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72"/>
          <w:szCs w:val="72"/>
        </w:rPr>
      </w:pPr>
    </w:p>
    <w:p>
      <w:pPr>
        <w:ind w:firstLine="2880" w:firstLineChars="400"/>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广元市救助管理站</w:t>
      </w:r>
    </w:p>
    <w:p>
      <w:pPr>
        <w:jc w:val="center"/>
        <w:rPr>
          <w:rFonts w:hint="eastAsia" w:ascii="黑体" w:hAnsi="黑体" w:eastAsia="黑体"/>
          <w:sz w:val="72"/>
          <w:szCs w:val="72"/>
        </w:rPr>
      </w:pPr>
      <w:r>
        <w:rPr>
          <w:rFonts w:hint="eastAsia" w:ascii="黑体" w:hAnsi="黑体" w:eastAsia="黑体"/>
          <w:sz w:val="72"/>
          <w:szCs w:val="72"/>
        </w:rPr>
        <w:t>2021年度</w:t>
      </w:r>
    </w:p>
    <w:p>
      <w:pPr>
        <w:jc w:val="center"/>
        <w:rPr>
          <w:rFonts w:hint="eastAsia" w:ascii="黑体" w:hAnsi="黑体" w:eastAsia="黑体"/>
          <w:sz w:val="72"/>
          <w:szCs w:val="72"/>
          <w:lang w:eastAsia="zh-CN"/>
        </w:rPr>
      </w:pPr>
      <w:r>
        <w:rPr>
          <w:rFonts w:hint="eastAsia" w:ascii="黑体" w:hAnsi="黑体" w:eastAsia="黑体"/>
          <w:sz w:val="72"/>
          <w:szCs w:val="72"/>
        </w:rPr>
        <w:t>单位决算</w:t>
      </w:r>
      <w:r>
        <w:rPr>
          <w:rFonts w:hint="eastAsia" w:ascii="黑体" w:hAnsi="黑体" w:eastAsia="黑体"/>
          <w:sz w:val="72"/>
          <w:szCs w:val="72"/>
          <w:lang w:eastAsia="zh-CN"/>
        </w:rPr>
        <w:t>编制说明</w:t>
      </w: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72"/>
          <w:szCs w:val="72"/>
        </w:rPr>
      </w:pPr>
    </w:p>
    <w:p>
      <w:pPr>
        <w:pStyle w:val="10"/>
        <w:spacing w:before="0" w:line="576" w:lineRule="exact"/>
        <w:ind w:firstLine="560" w:firstLineChars="200"/>
      </w:pPr>
    </w:p>
    <w:p>
      <w:pPr>
        <w:pStyle w:val="10"/>
        <w:spacing w:before="0" w:line="576" w:lineRule="exact"/>
        <w:ind w:firstLine="560" w:firstLineChars="200"/>
      </w:pPr>
    </w:p>
    <w:p>
      <w:pPr>
        <w:pStyle w:val="10"/>
        <w:spacing w:before="0" w:line="576" w:lineRule="exact"/>
        <w:ind w:firstLine="560" w:firstLineChars="200"/>
      </w:pPr>
    </w:p>
    <w:p>
      <w:pPr>
        <w:pStyle w:val="10"/>
        <w:spacing w:before="0" w:line="576" w:lineRule="exact"/>
        <w:ind w:firstLine="560" w:firstLineChars="200"/>
        <w:rPr>
          <w:color w:val="000000" w:themeColor="text1"/>
        </w:rPr>
      </w:pPr>
      <w:r>
        <w:rPr>
          <w:rFonts w:hint="eastAsia"/>
          <w:color w:val="000000" w:themeColor="text1"/>
        </w:rPr>
        <w:t>公开时间：2022年10月14日</w:t>
      </w:r>
    </w:p>
    <w:p>
      <w:pPr>
        <w:jc w:val="center"/>
        <w:rPr>
          <w:rFonts w:ascii="黑体" w:hAnsi="黑体" w:eastAsia="黑体"/>
          <w:sz w:val="72"/>
          <w:szCs w:val="72"/>
        </w:rPr>
      </w:pPr>
      <w:r>
        <w:rPr>
          <w:rFonts w:hint="eastAsia" w:ascii="黑体" w:hAnsi="黑体" w:eastAsia="黑体"/>
          <w:sz w:val="72"/>
          <w:szCs w:val="72"/>
        </w:rPr>
        <w:br w:type="page"/>
      </w:r>
    </w:p>
    <w:p>
      <w:pPr>
        <w:widowControl/>
        <w:spacing w:line="576" w:lineRule="exact"/>
        <w:jc w:val="center"/>
        <w:rPr>
          <w:rFonts w:ascii="黑体" w:hAnsi="黑体" w:eastAsia="黑体"/>
          <w:sz w:val="44"/>
          <w:szCs w:val="44"/>
        </w:rPr>
      </w:pPr>
      <w:r>
        <w:rPr>
          <w:rFonts w:hint="eastAsia" w:ascii="黑体" w:hAnsi="黑体" w:eastAsia="黑体"/>
          <w:sz w:val="44"/>
          <w:szCs w:val="44"/>
        </w:rPr>
        <w:t>目录</w:t>
      </w:r>
    </w:p>
    <w:p>
      <w:pPr>
        <w:widowControl/>
        <w:spacing w:line="576" w:lineRule="exact"/>
        <w:ind w:firstLine="560" w:firstLineChars="200"/>
        <w:jc w:val="center"/>
        <w:rPr>
          <w:rFonts w:ascii="黑体" w:hAnsi="黑体" w:eastAsia="黑体" w:cstheme="minorBidi"/>
          <w:sz w:val="28"/>
          <w:szCs w:val="28"/>
        </w:rPr>
      </w:pPr>
    </w:p>
    <w:p>
      <w:pPr>
        <w:spacing w:line="576" w:lineRule="exact"/>
        <w:ind w:firstLine="420" w:firstLineChars="200"/>
      </w:pPr>
    </w:p>
    <w:p>
      <w:pPr>
        <w:pStyle w:val="10"/>
        <w:adjustRightInd w:val="0"/>
        <w:snapToGrid w:val="0"/>
        <w:spacing w:before="0" w:line="576" w:lineRule="exact"/>
        <w:jc w:val="left"/>
        <w:rPr>
          <w:rFonts w:cstheme="minorBidi"/>
          <w:sz w:val="24"/>
          <w:szCs w:val="24"/>
        </w:rPr>
      </w:pPr>
      <w:r>
        <w:rPr>
          <w:rFonts w:hint="eastAsia"/>
          <w:sz w:val="24"/>
        </w:rPr>
        <w:t>第一部分</w:t>
      </w:r>
      <w:r>
        <w:rPr>
          <w:sz w:val="24"/>
        </w:rPr>
        <w:t xml:space="preserve"> </w:t>
      </w:r>
      <w:r>
        <w:rPr>
          <w:rFonts w:hint="eastAsia"/>
          <w:sz w:val="24"/>
        </w:rPr>
        <w:t xml:space="preserve">单位概况 </w:t>
      </w:r>
      <w:r>
        <w:rPr>
          <w:sz w:val="24"/>
        </w:rPr>
        <w:t>…………………………………………………</w:t>
      </w:r>
      <w:r>
        <w:rPr>
          <w:rFonts w:hint="eastAsia"/>
          <w:sz w:val="24"/>
        </w:rPr>
        <w:t>1</w:t>
      </w:r>
    </w:p>
    <w:p>
      <w:pPr>
        <w:pStyle w:val="11"/>
        <w:adjustRightInd w:val="0"/>
        <w:snapToGrid w:val="0"/>
        <w:spacing w:line="576" w:lineRule="exact"/>
        <w:jc w:val="left"/>
        <w:rPr>
          <w:sz w:val="24"/>
        </w:rPr>
      </w:pPr>
      <w:r>
        <w:rPr>
          <w:rFonts w:hint="eastAsia"/>
          <w:sz w:val="24"/>
        </w:rPr>
        <w:t>一、职能简介</w:t>
      </w:r>
    </w:p>
    <w:p>
      <w:pPr>
        <w:pStyle w:val="11"/>
        <w:adjustRightInd w:val="0"/>
        <w:snapToGrid w:val="0"/>
        <w:spacing w:line="576"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二、2021年重点工作完成情况</w:t>
      </w:r>
    </w:p>
    <w:p>
      <w:pPr>
        <w:pStyle w:val="10"/>
        <w:adjustRightInd w:val="0"/>
        <w:snapToGrid w:val="0"/>
        <w:spacing w:before="0" w:line="576" w:lineRule="exact"/>
        <w:jc w:val="left"/>
        <w:rPr>
          <w:sz w:val="24"/>
          <w:szCs w:val="24"/>
        </w:rPr>
      </w:pPr>
      <w:r>
        <w:rPr>
          <w:rFonts w:hint="eastAsia"/>
          <w:sz w:val="24"/>
        </w:rPr>
        <w:t>第二部分 2021年度单位决算情况说明</w:t>
      </w:r>
      <w:r>
        <w:rPr>
          <w:sz w:val="24"/>
        </w:rPr>
        <w:t>……………………………</w:t>
      </w:r>
      <w:r>
        <w:rPr>
          <w:rFonts w:hint="eastAsia"/>
          <w:sz w:val="24"/>
        </w:rPr>
        <w:t>8</w:t>
      </w:r>
    </w:p>
    <w:p>
      <w:pPr>
        <w:pStyle w:val="11"/>
        <w:adjustRightInd w:val="0"/>
        <w:snapToGrid w:val="0"/>
        <w:spacing w:line="576" w:lineRule="exact"/>
        <w:ind w:left="0" w:leftChars="0" w:firstLine="480" w:firstLineChars="200"/>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576" w:lineRule="exact"/>
        <w:ind w:left="0" w:leftChars="0" w:firstLine="480" w:firstLineChars="200"/>
        <w:jc w:val="left"/>
        <w:rPr>
          <w:rFonts w:ascii="仿宋" w:hAnsi="仿宋" w:eastAsia="仿宋" w:cstheme="minorBidi"/>
          <w:sz w:val="24"/>
        </w:rPr>
      </w:pPr>
      <w:r>
        <w:rPr>
          <w:rFonts w:hint="eastAsia"/>
          <w:sz w:val="24"/>
        </w:rPr>
        <w:t>二、收入决算情况说明</w:t>
      </w:r>
    </w:p>
    <w:p>
      <w:pPr>
        <w:pStyle w:val="11"/>
        <w:adjustRightInd w:val="0"/>
        <w:snapToGrid w:val="0"/>
        <w:spacing w:line="576" w:lineRule="exact"/>
        <w:ind w:left="0" w:leftChars="0" w:firstLine="480" w:firstLineChars="200"/>
        <w:jc w:val="left"/>
        <w:rPr>
          <w:rFonts w:ascii="仿宋" w:hAnsi="仿宋" w:eastAsia="仿宋" w:cstheme="minorBidi"/>
          <w:sz w:val="24"/>
        </w:rPr>
      </w:pPr>
      <w:r>
        <w:rPr>
          <w:rFonts w:hint="eastAsia"/>
          <w:sz w:val="24"/>
        </w:rPr>
        <w:t>三、支出决算情况说明</w:t>
      </w:r>
    </w:p>
    <w:p>
      <w:pPr>
        <w:pStyle w:val="11"/>
        <w:adjustRightInd w:val="0"/>
        <w:snapToGrid w:val="0"/>
        <w:spacing w:line="576" w:lineRule="exact"/>
        <w:ind w:left="0" w:leftChars="0" w:firstLine="480" w:firstLineChars="200"/>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576" w:lineRule="exact"/>
        <w:ind w:left="0" w:leftChars="0" w:firstLine="480" w:firstLineChars="200"/>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576" w:lineRule="exact"/>
        <w:ind w:left="0" w:leftChars="0" w:firstLine="480" w:firstLineChars="200"/>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576" w:lineRule="exact"/>
        <w:ind w:left="0" w:leftChars="0" w:firstLine="480" w:firstLineChars="200"/>
        <w:jc w:val="left"/>
        <w:rPr>
          <w:rFonts w:ascii="仿宋" w:hAnsi="仿宋" w:eastAsia="仿宋" w:cstheme="minorBidi"/>
          <w:sz w:val="24"/>
        </w:rPr>
      </w:pPr>
      <w:r>
        <w:rPr>
          <w:rFonts w:hint="eastAsia"/>
          <w:sz w:val="24"/>
        </w:rPr>
        <w:t>七、“三公”经费财政拨款支出决算情况说明</w:t>
      </w:r>
    </w:p>
    <w:p>
      <w:pPr>
        <w:pStyle w:val="11"/>
        <w:adjustRightInd w:val="0"/>
        <w:snapToGrid w:val="0"/>
        <w:spacing w:line="576" w:lineRule="exact"/>
        <w:ind w:left="0" w:leftChars="0" w:firstLine="480" w:firstLineChars="200"/>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576" w:lineRule="exact"/>
        <w:ind w:left="0" w:leftChars="0" w:firstLine="480" w:firstLineChars="200"/>
        <w:jc w:val="left"/>
        <w:rPr>
          <w:sz w:val="24"/>
        </w:rPr>
      </w:pPr>
      <w:r>
        <w:rPr>
          <w:rFonts w:hint="eastAsia"/>
          <w:sz w:val="24"/>
        </w:rPr>
        <w:t>九、国有资本经营预算支出决算情况说明</w:t>
      </w:r>
    </w:p>
    <w:p>
      <w:pPr>
        <w:pStyle w:val="11"/>
        <w:adjustRightInd w:val="0"/>
        <w:snapToGrid w:val="0"/>
        <w:spacing w:line="576" w:lineRule="exact"/>
        <w:ind w:left="0" w:leftChars="0" w:firstLine="480" w:firstLineChars="200"/>
        <w:jc w:val="left"/>
      </w:pPr>
      <w:r>
        <w:rPr>
          <w:rFonts w:hint="eastAsia"/>
          <w:sz w:val="24"/>
        </w:rPr>
        <w:t>十、</w:t>
      </w:r>
      <w:r>
        <w:rPr>
          <w:rFonts w:hint="eastAsia" w:asciiTheme="minorEastAsia" w:hAnsiTheme="minorEastAsia" w:eastAsiaTheme="minorEastAsia" w:cstheme="minorEastAsia"/>
          <w:sz w:val="24"/>
        </w:rPr>
        <w:t>预算绩效管理情况</w:t>
      </w:r>
    </w:p>
    <w:p>
      <w:pPr>
        <w:pStyle w:val="11"/>
        <w:adjustRightInd w:val="0"/>
        <w:snapToGrid w:val="0"/>
        <w:spacing w:line="576" w:lineRule="exact"/>
        <w:ind w:left="0" w:leftChars="0" w:firstLine="480" w:firstLineChars="200"/>
        <w:jc w:val="left"/>
      </w:pPr>
      <w:r>
        <w:rPr>
          <w:rFonts w:hint="eastAsia"/>
          <w:sz w:val="24"/>
        </w:rPr>
        <w:t>十一、其他重要事项的情况说明</w:t>
      </w:r>
    </w:p>
    <w:p>
      <w:pPr>
        <w:pStyle w:val="10"/>
        <w:adjustRightInd w:val="0"/>
        <w:snapToGrid w:val="0"/>
        <w:spacing w:before="0" w:line="576"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Pr>
          <w:sz w:val="24"/>
        </w:rPr>
        <w:t>……………………………………………………</w:t>
      </w:r>
      <w:r>
        <w:rPr>
          <w:rFonts w:hint="eastAsia"/>
          <w:sz w:val="24"/>
        </w:rPr>
        <w:t>17</w:t>
      </w:r>
    </w:p>
    <w:p>
      <w:pPr>
        <w:pStyle w:val="10"/>
        <w:adjustRightInd w:val="0"/>
        <w:snapToGrid w:val="0"/>
        <w:spacing w:before="0" w:line="576" w:lineRule="exact"/>
        <w:jc w:val="left"/>
        <w:rPr>
          <w:rFonts w:cstheme="minorBidi"/>
          <w:sz w:val="24"/>
          <w:szCs w:val="24"/>
        </w:rPr>
      </w:pPr>
      <w:r>
        <w:rPr>
          <w:rFonts w:hint="eastAsia"/>
          <w:sz w:val="24"/>
        </w:rPr>
        <w:t>第四部分</w:t>
      </w:r>
      <w:r>
        <w:rPr>
          <w:sz w:val="24"/>
        </w:rPr>
        <w:t xml:space="preserve"> </w:t>
      </w:r>
      <w:r>
        <w:rPr>
          <w:rFonts w:hint="eastAsia"/>
          <w:sz w:val="24"/>
        </w:rPr>
        <w:t>附件</w:t>
      </w:r>
      <w:r>
        <w:rPr>
          <w:sz w:val="24"/>
        </w:rPr>
        <w:t>…………………………………………………………</w:t>
      </w:r>
      <w:r>
        <w:rPr>
          <w:rFonts w:hint="eastAsia"/>
          <w:sz w:val="24"/>
        </w:rPr>
        <w:t>19</w:t>
      </w:r>
    </w:p>
    <w:p>
      <w:pPr>
        <w:pStyle w:val="10"/>
        <w:adjustRightInd w:val="0"/>
        <w:snapToGrid w:val="0"/>
        <w:spacing w:before="0" w:line="576" w:lineRule="exact"/>
        <w:jc w:val="left"/>
        <w:rPr>
          <w:rFonts w:cstheme="minorBidi"/>
          <w:sz w:val="24"/>
          <w:szCs w:val="24"/>
        </w:rPr>
      </w:pPr>
      <w:r>
        <w:rPr>
          <w:rFonts w:hint="eastAsia"/>
          <w:sz w:val="24"/>
        </w:rPr>
        <w:t>第五部分</w:t>
      </w:r>
      <w:r>
        <w:rPr>
          <w:sz w:val="24"/>
        </w:rPr>
        <w:t xml:space="preserve"> </w:t>
      </w:r>
      <w:r>
        <w:rPr>
          <w:rFonts w:hint="eastAsia"/>
          <w:sz w:val="24"/>
        </w:rPr>
        <w:t>附表</w:t>
      </w:r>
      <w:r>
        <w:rPr>
          <w:sz w:val="24"/>
        </w:rPr>
        <w:t>…………………………………………………………</w:t>
      </w:r>
      <w:r>
        <w:rPr>
          <w:rFonts w:hint="eastAsia"/>
          <w:sz w:val="24"/>
        </w:rPr>
        <w:t>33</w:t>
      </w:r>
    </w:p>
    <w:p>
      <w:pPr>
        <w:pStyle w:val="11"/>
        <w:adjustRightInd w:val="0"/>
        <w:snapToGrid w:val="0"/>
        <w:spacing w:line="576" w:lineRule="exact"/>
        <w:ind w:left="0" w:leftChars="0" w:firstLine="480" w:firstLineChars="200"/>
        <w:jc w:val="left"/>
        <w:rPr>
          <w:sz w:val="24"/>
        </w:rPr>
      </w:pPr>
      <w:r>
        <w:rPr>
          <w:rFonts w:hint="eastAsia"/>
          <w:sz w:val="24"/>
        </w:rPr>
        <w:t>一、收入支出决算总表</w:t>
      </w:r>
    </w:p>
    <w:p>
      <w:pPr>
        <w:pStyle w:val="11"/>
        <w:adjustRightInd w:val="0"/>
        <w:snapToGrid w:val="0"/>
        <w:spacing w:line="576" w:lineRule="exact"/>
        <w:ind w:left="0" w:leftChars="0" w:firstLine="480" w:firstLineChars="200"/>
        <w:jc w:val="left"/>
        <w:rPr>
          <w:sz w:val="24"/>
        </w:rPr>
      </w:pPr>
      <w:r>
        <w:rPr>
          <w:rFonts w:hint="eastAsia"/>
          <w:sz w:val="24"/>
        </w:rPr>
        <w:t>二、收入决算表</w:t>
      </w:r>
    </w:p>
    <w:p>
      <w:pPr>
        <w:pStyle w:val="11"/>
        <w:adjustRightInd w:val="0"/>
        <w:snapToGrid w:val="0"/>
        <w:spacing w:line="576" w:lineRule="exact"/>
        <w:ind w:left="0" w:leftChars="0" w:firstLine="480" w:firstLineChars="200"/>
        <w:jc w:val="left"/>
        <w:rPr>
          <w:sz w:val="24"/>
        </w:rPr>
      </w:pPr>
      <w:r>
        <w:rPr>
          <w:rFonts w:hint="eastAsia"/>
          <w:sz w:val="24"/>
        </w:rPr>
        <w:t>三、支出决算表</w:t>
      </w:r>
    </w:p>
    <w:p>
      <w:pPr>
        <w:pStyle w:val="11"/>
        <w:adjustRightInd w:val="0"/>
        <w:snapToGrid w:val="0"/>
        <w:spacing w:line="576" w:lineRule="exact"/>
        <w:ind w:left="0" w:leftChars="0" w:firstLine="480" w:firstLineChars="200"/>
        <w:jc w:val="left"/>
        <w:rPr>
          <w:sz w:val="24"/>
        </w:rPr>
      </w:pPr>
      <w:r>
        <w:rPr>
          <w:rFonts w:hint="eastAsia"/>
          <w:sz w:val="24"/>
        </w:rPr>
        <w:t>四、财政拨款收入支出决算总表</w:t>
      </w:r>
    </w:p>
    <w:p>
      <w:pPr>
        <w:pStyle w:val="11"/>
        <w:adjustRightInd w:val="0"/>
        <w:snapToGrid w:val="0"/>
        <w:spacing w:line="576" w:lineRule="exact"/>
        <w:ind w:left="0" w:leftChars="0" w:firstLine="480" w:firstLineChars="200"/>
        <w:jc w:val="left"/>
        <w:rPr>
          <w:sz w:val="24"/>
        </w:rPr>
      </w:pPr>
      <w:r>
        <w:rPr>
          <w:rFonts w:hint="eastAsia"/>
          <w:sz w:val="24"/>
        </w:rPr>
        <w:t>五、财政拨款支出决算明细表</w:t>
      </w:r>
    </w:p>
    <w:p>
      <w:pPr>
        <w:pStyle w:val="11"/>
        <w:adjustRightInd w:val="0"/>
        <w:snapToGrid w:val="0"/>
        <w:spacing w:line="576" w:lineRule="exact"/>
        <w:ind w:left="0" w:leftChars="0" w:firstLine="480" w:firstLineChars="200"/>
        <w:jc w:val="left"/>
        <w:rPr>
          <w:sz w:val="24"/>
        </w:rPr>
      </w:pPr>
      <w:r>
        <w:rPr>
          <w:rFonts w:hint="eastAsia"/>
          <w:sz w:val="24"/>
        </w:rPr>
        <w:t>六、一般公共预算财政拨款支出决算表</w:t>
      </w:r>
    </w:p>
    <w:p>
      <w:pPr>
        <w:pStyle w:val="11"/>
        <w:adjustRightInd w:val="0"/>
        <w:snapToGrid w:val="0"/>
        <w:spacing w:line="576" w:lineRule="exact"/>
        <w:ind w:left="0" w:leftChars="0" w:firstLine="480" w:firstLineChars="200"/>
        <w:jc w:val="left"/>
        <w:rPr>
          <w:sz w:val="24"/>
        </w:rPr>
      </w:pPr>
      <w:r>
        <w:rPr>
          <w:rFonts w:hint="eastAsia"/>
          <w:sz w:val="24"/>
        </w:rPr>
        <w:t>七、一般公共预算财政拨款支出决算明细表</w:t>
      </w:r>
    </w:p>
    <w:p>
      <w:pPr>
        <w:pStyle w:val="11"/>
        <w:adjustRightInd w:val="0"/>
        <w:snapToGrid w:val="0"/>
        <w:spacing w:line="576" w:lineRule="exact"/>
        <w:ind w:left="0" w:leftChars="0" w:firstLine="480" w:firstLineChars="200"/>
        <w:jc w:val="left"/>
        <w:rPr>
          <w:sz w:val="24"/>
        </w:rPr>
      </w:pPr>
      <w:r>
        <w:rPr>
          <w:rFonts w:hint="eastAsia"/>
          <w:sz w:val="24"/>
        </w:rPr>
        <w:t>八、一般公共预算财政拨款基本支出决算表</w:t>
      </w:r>
    </w:p>
    <w:p>
      <w:pPr>
        <w:pStyle w:val="11"/>
        <w:adjustRightInd w:val="0"/>
        <w:snapToGrid w:val="0"/>
        <w:spacing w:line="576" w:lineRule="exact"/>
        <w:ind w:left="0" w:leftChars="0" w:firstLine="480" w:firstLineChars="200"/>
        <w:jc w:val="left"/>
        <w:rPr>
          <w:sz w:val="24"/>
        </w:rPr>
      </w:pPr>
      <w:r>
        <w:rPr>
          <w:rFonts w:hint="eastAsia"/>
          <w:sz w:val="24"/>
        </w:rPr>
        <w:t>九、一般公共预算财政拨款项目支出决算表</w:t>
      </w:r>
    </w:p>
    <w:p>
      <w:pPr>
        <w:pStyle w:val="11"/>
        <w:adjustRightInd w:val="0"/>
        <w:snapToGrid w:val="0"/>
        <w:spacing w:line="576" w:lineRule="exact"/>
        <w:ind w:left="0" w:leftChars="0" w:firstLine="480" w:firstLineChars="200"/>
        <w:jc w:val="left"/>
        <w:rPr>
          <w:sz w:val="24"/>
        </w:rPr>
      </w:pPr>
      <w:r>
        <w:rPr>
          <w:rFonts w:hint="eastAsia"/>
          <w:sz w:val="24"/>
        </w:rPr>
        <w:t>十、一般公共预算财政拨款“三公”经费支出决算表</w:t>
      </w:r>
    </w:p>
    <w:p>
      <w:pPr>
        <w:pStyle w:val="11"/>
        <w:adjustRightInd w:val="0"/>
        <w:snapToGrid w:val="0"/>
        <w:spacing w:line="576" w:lineRule="exact"/>
        <w:ind w:left="0" w:leftChars="0" w:firstLine="480" w:firstLineChars="200"/>
        <w:jc w:val="left"/>
        <w:rPr>
          <w:sz w:val="24"/>
        </w:rPr>
      </w:pPr>
      <w:r>
        <w:rPr>
          <w:rFonts w:hint="eastAsia"/>
          <w:sz w:val="24"/>
        </w:rPr>
        <w:t>十一、政府性基金预算财政拨款收入支出决算表</w:t>
      </w:r>
    </w:p>
    <w:p>
      <w:pPr>
        <w:pStyle w:val="11"/>
        <w:adjustRightInd w:val="0"/>
        <w:snapToGrid w:val="0"/>
        <w:spacing w:line="576" w:lineRule="exact"/>
        <w:ind w:left="0" w:leftChars="0" w:firstLine="480" w:firstLineChars="200"/>
        <w:jc w:val="left"/>
        <w:rPr>
          <w:sz w:val="24"/>
        </w:rPr>
      </w:pPr>
      <w:r>
        <w:rPr>
          <w:rFonts w:hint="eastAsia"/>
          <w:sz w:val="24"/>
        </w:rPr>
        <w:t>十二、政府性基金预算财政拨款“三公”经费支出决算表</w:t>
      </w:r>
    </w:p>
    <w:p>
      <w:pPr>
        <w:pStyle w:val="11"/>
        <w:adjustRightInd w:val="0"/>
        <w:snapToGrid w:val="0"/>
        <w:spacing w:line="576" w:lineRule="exact"/>
        <w:ind w:left="0" w:leftChars="0" w:firstLine="480" w:firstLineChars="200"/>
        <w:jc w:val="left"/>
        <w:rPr>
          <w:sz w:val="24"/>
        </w:rPr>
      </w:pPr>
      <w:r>
        <w:rPr>
          <w:rFonts w:hint="eastAsia"/>
          <w:sz w:val="24"/>
        </w:rPr>
        <w:t>十三、国有资本经营预算财政拨款收入支出决算表</w:t>
      </w:r>
    </w:p>
    <w:p>
      <w:pPr>
        <w:pStyle w:val="11"/>
        <w:adjustRightInd w:val="0"/>
        <w:snapToGrid w:val="0"/>
        <w:spacing w:line="576" w:lineRule="exact"/>
        <w:ind w:left="0" w:leftChars="0" w:firstLine="480" w:firstLineChars="200"/>
        <w:jc w:val="left"/>
        <w:rPr>
          <w:sz w:val="24"/>
        </w:rPr>
      </w:pPr>
      <w:r>
        <w:rPr>
          <w:rFonts w:hint="eastAsia"/>
          <w:sz w:val="24"/>
        </w:rPr>
        <w:t>十四、国有资本经营预算财政拨款支出决算表</w:t>
      </w:r>
    </w:p>
    <w:p>
      <w:pPr>
        <w:widowControl/>
        <w:spacing w:line="576" w:lineRule="exact"/>
        <w:ind w:firstLine="482" w:firstLineChars="200"/>
        <w:jc w:val="left"/>
        <w:rPr>
          <w:rFonts w:ascii="仿宋" w:hAnsi="仿宋" w:eastAsia="仿宋"/>
          <w:bCs/>
          <w:kern w:val="44"/>
          <w:sz w:val="24"/>
        </w:rPr>
      </w:pPr>
      <w:bookmarkStart w:id="0" w:name="_Toc15396599"/>
      <w:bookmarkStart w:id="1" w:name="_Toc15377196"/>
      <w:r>
        <w:rPr>
          <w:rFonts w:ascii="仿宋" w:hAnsi="仿宋" w:eastAsia="仿宋"/>
          <w:b/>
          <w:sz w:val="24"/>
        </w:rPr>
        <w:br w:type="page"/>
      </w:r>
    </w:p>
    <w:p>
      <w:pPr>
        <w:pStyle w:val="3"/>
        <w:spacing w:before="0" w:after="0" w:line="576" w:lineRule="exact"/>
        <w:jc w:val="center"/>
        <w:rPr>
          <w:rStyle w:val="26"/>
          <w:rFonts w:ascii="黑体" w:hAnsi="黑体" w:eastAsia="黑体"/>
          <w:b w:val="0"/>
          <w:bCs w:val="0"/>
        </w:rPr>
      </w:pPr>
      <w:r>
        <w:rPr>
          <w:rFonts w:hint="eastAsia" w:ascii="黑体" w:hAnsi="黑体" w:eastAsia="黑体"/>
          <w:b w:val="0"/>
        </w:rPr>
        <w:t>第一部分 单位</w:t>
      </w:r>
      <w:r>
        <w:rPr>
          <w:rStyle w:val="26"/>
          <w:rFonts w:hint="eastAsia" w:ascii="黑体" w:hAnsi="黑体" w:eastAsia="黑体"/>
          <w:b w:val="0"/>
          <w:bCs w:val="0"/>
        </w:rPr>
        <w:t>概况</w:t>
      </w:r>
      <w:bookmarkEnd w:id="0"/>
      <w:bookmarkEnd w:id="1"/>
    </w:p>
    <w:p/>
    <w:p>
      <w:pPr>
        <w:pStyle w:val="4"/>
        <w:spacing w:before="0" w:after="0" w:line="576" w:lineRule="exact"/>
        <w:ind w:firstLine="640" w:firstLineChars="200"/>
        <w:rPr>
          <w:rStyle w:val="27"/>
          <w:rFonts w:ascii="黑体" w:hAnsi="黑体" w:eastAsia="黑体" w:cs="黑体"/>
          <w:b w:val="0"/>
          <w:bCs w:val="0"/>
        </w:rPr>
      </w:pPr>
      <w:bookmarkStart w:id="2" w:name="_Toc15396600"/>
      <w:bookmarkStart w:id="3" w:name="_Toc15377197"/>
      <w:r>
        <w:rPr>
          <w:rStyle w:val="27"/>
          <w:rFonts w:hint="eastAsia" w:ascii="黑体" w:hAnsi="黑体" w:eastAsia="黑体" w:cs="黑体"/>
          <w:b w:val="0"/>
          <w:bCs w:val="0"/>
        </w:rPr>
        <w:t>一、职能简介</w:t>
      </w:r>
    </w:p>
    <w:p>
      <w:pPr>
        <w:pStyle w:val="4"/>
        <w:spacing w:before="0" w:after="0" w:line="576" w:lineRule="exact"/>
        <w:ind w:firstLine="640" w:firstLineChars="200"/>
        <w:rPr>
          <w:rFonts w:ascii="仿宋" w:hAnsi="仿宋" w:eastAsia="仿宋" w:cs="仿宋"/>
          <w:b w:val="0"/>
          <w:bCs w:val="0"/>
        </w:rPr>
      </w:pPr>
      <w:r>
        <w:rPr>
          <w:rFonts w:hint="eastAsia" w:ascii="仿宋" w:hAnsi="仿宋" w:eastAsia="仿宋" w:cs="仿宋"/>
          <w:b w:val="0"/>
          <w:bCs w:val="0"/>
          <w:color w:val="000000"/>
        </w:rPr>
        <w:t>广元市救助管理站为市民政局直属事业单位，其主要职能是对城市生活无着的流浪乞讨人员提供临时性救助，依法保护未成年人合法权益，构建覆盖城乡的未成年人保护网络。</w:t>
      </w:r>
    </w:p>
    <w:p>
      <w:pPr>
        <w:pStyle w:val="4"/>
        <w:spacing w:before="0" w:after="0" w:line="576" w:lineRule="exact"/>
        <w:ind w:firstLine="640" w:firstLineChars="200"/>
        <w:rPr>
          <w:rFonts w:ascii="黑体" w:hAnsi="黑体" w:eastAsia="黑体"/>
          <w:b w:val="0"/>
        </w:rPr>
      </w:pPr>
      <w:r>
        <w:rPr>
          <w:rFonts w:hint="eastAsia" w:ascii="黑体" w:hAnsi="黑体" w:eastAsia="黑体"/>
          <w:b w:val="0"/>
        </w:rPr>
        <w:t>二、2021年重点工作</w:t>
      </w:r>
      <w:bookmarkEnd w:id="2"/>
      <w:bookmarkEnd w:id="3"/>
      <w:r>
        <w:rPr>
          <w:rFonts w:hint="eastAsia" w:ascii="黑体" w:hAnsi="黑体" w:eastAsia="黑体"/>
          <w:b w:val="0"/>
        </w:rPr>
        <w:t>完成情况</w:t>
      </w:r>
    </w:p>
    <w:p>
      <w:pPr>
        <w:pStyle w:val="4"/>
        <w:spacing w:before="0" w:after="0" w:line="576" w:lineRule="exact"/>
        <w:ind w:firstLine="600" w:firstLineChars="200"/>
        <w:rPr>
          <w:rFonts w:ascii="仿宋" w:hAnsi="仿宋" w:eastAsia="仿宋" w:cs="仿宋"/>
          <w:b w:val="0"/>
          <w:bCs w:val="0"/>
          <w:color w:val="000000"/>
          <w:sz w:val="30"/>
          <w:szCs w:val="30"/>
        </w:rPr>
      </w:pPr>
      <w:r>
        <w:rPr>
          <w:rFonts w:hint="eastAsia" w:ascii="仿宋" w:hAnsi="仿宋" w:eastAsia="仿宋" w:cs="仿宋"/>
          <w:b w:val="0"/>
          <w:bCs w:val="0"/>
          <w:color w:val="000000"/>
          <w:sz w:val="30"/>
          <w:szCs w:val="30"/>
        </w:rPr>
        <w:t>今年我站已向城市生活无着的流浪乞讨人员和因临时困难前来求助的1815人</w:t>
      </w:r>
      <w:r>
        <w:rPr>
          <w:rFonts w:hint="eastAsia" w:ascii="仿宋" w:hAnsi="仿宋" w:eastAsia="仿宋" w:cs="仿宋"/>
          <w:b w:val="0"/>
          <w:bCs w:val="0"/>
          <w:color w:val="000000"/>
          <w:sz w:val="30"/>
          <w:szCs w:val="30"/>
          <w:lang w:eastAsia="zh-CN"/>
        </w:rPr>
        <w:t>次</w:t>
      </w:r>
      <w:r>
        <w:rPr>
          <w:rFonts w:hint="eastAsia" w:ascii="仿宋" w:hAnsi="仿宋" w:eastAsia="仿宋" w:cs="仿宋"/>
          <w:b w:val="0"/>
          <w:bCs w:val="0"/>
          <w:color w:val="000000"/>
          <w:sz w:val="30"/>
          <w:szCs w:val="30"/>
        </w:rPr>
        <w:t>提供救助，其中女性683人，男性1132人，未成年人1069人，60岁以上老年人107人，肢体残疾26人，危重病人3人，精神异常188人，智力残疾15人，传染病1人，行动困难19人，省内自走93人，护送247人, 3名滞站流浪儿童继续就读于市黄冈学校。</w:t>
      </w:r>
    </w:p>
    <w:p>
      <w:pPr>
        <w:pStyle w:val="4"/>
        <w:spacing w:before="0" w:after="0" w:line="576" w:lineRule="exact"/>
        <w:ind w:firstLine="600" w:firstLineChars="200"/>
        <w:rPr>
          <w:rFonts w:ascii="仿宋" w:hAnsi="仿宋" w:eastAsia="仿宋" w:cs="仿宋"/>
          <w:b w:val="0"/>
          <w:bCs w:val="0"/>
          <w:color w:val="000000"/>
          <w:sz w:val="30"/>
          <w:szCs w:val="30"/>
        </w:rPr>
      </w:pPr>
      <w:r>
        <w:rPr>
          <w:rFonts w:hint="eastAsia" w:ascii="仿宋" w:hAnsi="仿宋" w:eastAsia="仿宋" w:cs="仿宋"/>
          <w:b w:val="0"/>
          <w:bCs w:val="0"/>
          <w:color w:val="000000"/>
          <w:sz w:val="30"/>
          <w:szCs w:val="30"/>
        </w:rPr>
        <w:t>1、救助管理及救助管理服务质量大提升专项行动</w:t>
      </w:r>
    </w:p>
    <w:p>
      <w:pPr>
        <w:pStyle w:val="4"/>
        <w:spacing w:before="0" w:after="0" w:line="576" w:lineRule="exact"/>
        <w:ind w:firstLine="600" w:firstLineChars="200"/>
        <w:rPr>
          <w:rFonts w:ascii="仿宋" w:hAnsi="仿宋" w:eastAsia="仿宋" w:cs="仿宋"/>
          <w:b w:val="0"/>
          <w:bCs w:val="0"/>
          <w:color w:val="000000"/>
          <w:sz w:val="30"/>
          <w:szCs w:val="30"/>
        </w:rPr>
      </w:pPr>
      <w:r>
        <w:rPr>
          <w:rFonts w:hint="eastAsia" w:ascii="仿宋" w:hAnsi="仿宋" w:eastAsia="仿宋" w:cs="仿宋"/>
          <w:b w:val="0"/>
          <w:bCs w:val="0"/>
          <w:color w:val="000000"/>
          <w:sz w:val="30"/>
          <w:szCs w:val="30"/>
        </w:rPr>
        <w:t>加大投入，全面提升救助管理机构服务能力。科学制定广元市救助管理站能力提升实施方案，用好省级救助管理机构能力提升三年行动下拨资金80万元，从受助人员</w:t>
      </w:r>
      <w:r>
        <w:rPr>
          <w:rFonts w:hint="eastAsia" w:ascii="仿宋" w:hAnsi="仿宋" w:eastAsia="仿宋" w:cs="仿宋"/>
          <w:b w:val="0"/>
          <w:bCs w:val="0"/>
          <w:color w:val="000000"/>
          <w:sz w:val="30"/>
          <w:szCs w:val="30"/>
          <w:lang w:eastAsia="zh-CN"/>
        </w:rPr>
        <w:t>救助</w:t>
      </w:r>
      <w:r>
        <w:rPr>
          <w:rFonts w:hint="eastAsia" w:ascii="仿宋" w:hAnsi="仿宋" w:eastAsia="仿宋" w:cs="仿宋"/>
          <w:b w:val="0"/>
          <w:bCs w:val="0"/>
          <w:color w:val="000000"/>
          <w:sz w:val="30"/>
          <w:szCs w:val="30"/>
        </w:rPr>
        <w:t>接待、生活照料、活动场所、医疗服务、站内照护、护送返乡、后勤保障七个方面全面优化设施设备配置，改善服务条件，补齐能力短板，降低机构运行风险，全面提升救助管理机构照料服务软硬件水平。</w:t>
      </w:r>
    </w:p>
    <w:p>
      <w:pPr>
        <w:spacing w:line="576" w:lineRule="exact"/>
        <w:ind w:firstLine="640" w:firstLineChars="200"/>
        <w:rPr>
          <w:rFonts w:ascii="仿宋_GB2312" w:hAnsi="仿宋_GB2312" w:eastAsia="仿宋_GB2312" w:cs="仿宋_GB2312"/>
          <w:color w:val="343434"/>
          <w:sz w:val="32"/>
          <w:szCs w:val="32"/>
        </w:rPr>
      </w:pPr>
      <w:r>
        <w:rPr>
          <w:rFonts w:hint="eastAsia" w:ascii="仿宋_GB2312" w:hAnsi="仿宋_GB2312" w:eastAsia="仿宋_GB2312" w:cs="仿宋_GB2312"/>
          <w:sz w:val="32"/>
          <w:szCs w:val="32"/>
        </w:rPr>
        <w:t>我站</w:t>
      </w:r>
      <w:r>
        <w:rPr>
          <w:rFonts w:hint="eastAsia" w:ascii="仿宋_GB2312" w:hAnsi="仿宋_GB2312" w:eastAsia="仿宋_GB2312" w:cs="仿宋_GB2312"/>
          <w:color w:val="343434"/>
          <w:sz w:val="32"/>
          <w:szCs w:val="32"/>
        </w:rPr>
        <w:t xml:space="preserve">全体工作人员在县、乡、村三级关爱救助中心的积极配合下，先后走进300户困难群众家中，向他们送去大米5000余斤、食用油300桶、棉被300床。为确保困难群众、流浪乞讨人员温暖过冬，为预防返乡流浪人员再流浪起到了十分重要的作用。 </w:t>
      </w:r>
    </w:p>
    <w:p>
      <w:pPr>
        <w:spacing w:line="576" w:lineRule="exact"/>
        <w:ind w:firstLine="640" w:firstLineChars="200"/>
        <w:rPr>
          <w:rFonts w:ascii="仿宋" w:hAnsi="仿宋" w:eastAsia="仿宋"/>
          <w:bCs/>
          <w:sz w:val="32"/>
        </w:rPr>
      </w:pPr>
      <w:r>
        <w:rPr>
          <w:rFonts w:hint="eastAsia" w:ascii="仿宋" w:hAnsi="仿宋" w:eastAsia="仿宋"/>
          <w:bCs/>
          <w:sz w:val="32"/>
        </w:rPr>
        <w:t>2、未成年人社会保护工作</w:t>
      </w:r>
    </w:p>
    <w:p>
      <w:pPr>
        <w:widowControl/>
        <w:spacing w:line="576" w:lineRule="exact"/>
        <w:ind w:firstLine="640" w:firstLineChars="200"/>
        <w:jc w:val="left"/>
        <w:rPr>
          <w:rFonts w:ascii="仿宋_GB2312" w:eastAsia="仿宋_GB2312"/>
          <w:sz w:val="32"/>
          <w:szCs w:val="32"/>
        </w:rPr>
      </w:pPr>
      <w:r>
        <w:rPr>
          <w:rFonts w:hint="eastAsia" w:ascii="仿宋_GB2312" w:hAnsi="仿宋_GB2312" w:eastAsia="仿宋_GB2312" w:cs="仿宋_GB2312"/>
          <w:sz w:val="32"/>
          <w:szCs w:val="32"/>
        </w:rPr>
        <w:t>6月是我市未成年人保护宣传月，为切实开展好新修订的</w:t>
      </w:r>
      <w:r>
        <w:rPr>
          <w:rFonts w:hint="eastAsia" w:ascii="仿宋_GB2312" w:eastAsia="仿宋_GB2312"/>
          <w:sz w:val="32"/>
          <w:szCs w:val="32"/>
        </w:rPr>
        <w:t>《中华人民共和国未成年人保护法》及</w:t>
      </w:r>
      <w:r>
        <w:rPr>
          <w:rFonts w:hint="eastAsia" w:ascii="仿宋_GB2312" w:hAnsi="仿宋_GB2312" w:eastAsia="仿宋_GB2312" w:cs="仿宋_GB2312"/>
          <w:sz w:val="32"/>
          <w:szCs w:val="32"/>
        </w:rPr>
        <w:t>相关法律法规宣传，动员社会各界力量积极参与到未成年人保护工作。举行了由市未成年人保护工作领导小组主办，市法院、市检察院、市委宣传部、市委网信办等15个单位承办的2021年广元市《未成年人保护法》主题宣传活动启动仪式，并采取多种形式</w:t>
      </w:r>
      <w:r>
        <w:rPr>
          <w:rFonts w:hint="eastAsia" w:ascii="仿宋_GB2312" w:eastAsia="仿宋_GB2312"/>
          <w:sz w:val="32"/>
          <w:szCs w:val="32"/>
        </w:rPr>
        <w:t>在全社会营造起了关爱保护未成年人健康成长的浓厚氛围。一是制作未保法宣传展板、宣传横幅、宣传海报广泛宣传未保法；二是印制宣传折页2000份、宣传团扇1000份、宣传环保袋700份，将未成年人保</w:t>
      </w:r>
      <w:r>
        <w:rPr>
          <w:rFonts w:hint="eastAsia" w:ascii="仿宋_GB2312" w:eastAsia="仿宋_GB2312"/>
          <w:sz w:val="32"/>
          <w:szCs w:val="32"/>
          <w:lang w:eastAsia="zh-CN"/>
        </w:rPr>
        <w:t>护</w:t>
      </w:r>
      <w:r>
        <w:rPr>
          <w:rFonts w:hint="eastAsia" w:ascii="仿宋_GB2312" w:eastAsia="仿宋_GB2312"/>
          <w:sz w:val="32"/>
          <w:szCs w:val="32"/>
        </w:rPr>
        <w:t>法送入群众身边，让他们当好义务宣传员； 三是在9路公交车车身投放宣传广告，627辆出租车顶灯投放宣传标语，东正电影院、劳动大厦电子显示屏投放宣传视频，多渠道地向群众普及未保法的相关知识；四是</w:t>
      </w:r>
      <w:r>
        <w:rPr>
          <w:rFonts w:hint="eastAsia" w:ascii="仿宋_GB2312" w:hAnsi="新宋体" w:eastAsia="仿宋_GB2312"/>
          <w:bCs/>
          <w:sz w:val="32"/>
          <w:szCs w:val="32"/>
        </w:rPr>
        <w:t>在中国共产党成立</w:t>
      </w:r>
      <w:r>
        <w:rPr>
          <w:rFonts w:hint="eastAsia" w:ascii="仿宋_GB2312" w:eastAsia="仿宋_GB2312"/>
          <w:bCs/>
          <w:sz w:val="32"/>
          <w:szCs w:val="32"/>
        </w:rPr>
        <w:t>100</w:t>
      </w:r>
      <w:r>
        <w:rPr>
          <w:rFonts w:hint="eastAsia" w:ascii="仿宋_GB2312" w:hAnsi="新宋体" w:eastAsia="仿宋_GB2312"/>
          <w:bCs/>
          <w:sz w:val="32"/>
          <w:szCs w:val="32"/>
        </w:rPr>
        <w:t>周年之际，我中心组织</w:t>
      </w:r>
      <w:r>
        <w:rPr>
          <w:rFonts w:hint="eastAsia" w:ascii="仿宋_GB2312" w:hAnsi="宋体" w:eastAsia="仿宋_GB2312"/>
          <w:sz w:val="32"/>
          <w:szCs w:val="32"/>
        </w:rPr>
        <w:t>利州区、朝天区、昭化区、苍溪县9个未成年人社会保护中心服务站的290名少年儿童，</w:t>
      </w:r>
      <w:r>
        <w:rPr>
          <w:rFonts w:hint="eastAsia" w:ascii="仿宋_GB2312" w:hAnsi="新宋体" w:eastAsia="仿宋_GB2312"/>
          <w:bCs/>
          <w:sz w:val="32"/>
          <w:szCs w:val="32"/>
        </w:rPr>
        <w:t>未保服务站留守困境未成年人及滞站未成年人，</w:t>
      </w:r>
      <w:r>
        <w:rPr>
          <w:rFonts w:hint="eastAsia" w:ascii="仿宋_GB2312" w:hAnsi="宋体" w:eastAsia="仿宋_GB2312"/>
          <w:sz w:val="32"/>
          <w:szCs w:val="32"/>
        </w:rPr>
        <w:t>开展了</w:t>
      </w:r>
      <w:r>
        <w:rPr>
          <w:rFonts w:hint="eastAsia" w:ascii="仿宋_GB2312" w:hAnsi="宋体" w:eastAsia="仿宋_GB2312" w:cs="微软雅黑"/>
          <w:bCs/>
          <w:sz w:val="32"/>
          <w:szCs w:val="32"/>
        </w:rPr>
        <w:t>“</w:t>
      </w:r>
      <w:r>
        <w:rPr>
          <w:rFonts w:hint="eastAsia" w:ascii="仿宋_GB2312" w:hAnsi="宋体" w:eastAsia="仿宋_GB2312"/>
          <w:bCs/>
          <w:sz w:val="32"/>
          <w:szCs w:val="32"/>
        </w:rPr>
        <w:t>红心向党</w:t>
      </w:r>
      <w:r>
        <w:rPr>
          <w:rFonts w:hint="eastAsia" w:ascii="仿宋_GB2312" w:eastAsia="仿宋_GB2312"/>
          <w:bCs/>
          <w:sz w:val="32"/>
          <w:szCs w:val="32"/>
        </w:rPr>
        <w:t xml:space="preserve"> 、筑梦启航</w:t>
      </w:r>
      <w:r>
        <w:rPr>
          <w:rFonts w:hint="eastAsia" w:ascii="仿宋_GB2312" w:hAnsi="宋体" w:eastAsia="仿宋_GB2312" w:cs="微软雅黑"/>
          <w:bCs/>
          <w:sz w:val="32"/>
          <w:szCs w:val="32"/>
        </w:rPr>
        <w:t>”</w:t>
      </w:r>
      <w:r>
        <w:rPr>
          <w:rFonts w:hint="eastAsia" w:ascii="仿宋_GB2312" w:hAnsi="宋体" w:eastAsia="仿宋_GB2312"/>
          <w:bCs/>
          <w:sz w:val="32"/>
          <w:szCs w:val="32"/>
        </w:rPr>
        <w:t>夏令营活动。此次</w:t>
      </w:r>
      <w:r>
        <w:rPr>
          <w:rFonts w:hint="eastAsia" w:ascii="仿宋_GB2312" w:hAnsi="新宋体" w:eastAsia="仿宋_GB2312"/>
          <w:bCs/>
          <w:kern w:val="0"/>
          <w:sz w:val="32"/>
          <w:szCs w:val="32"/>
        </w:rPr>
        <w:t>活动的开展，让困境、留守儿童度过了一个难忘而特别的假期，在他们的成长路上留下了一段难忘的记忆；五是认真</w:t>
      </w:r>
      <w:r>
        <w:rPr>
          <w:rFonts w:hint="eastAsia" w:ascii="仿宋_GB2312" w:eastAsia="仿宋_GB2312"/>
          <w:color w:val="333333"/>
          <w:kern w:val="0"/>
          <w:sz w:val="32"/>
          <w:szCs w:val="32"/>
          <w:shd w:val="clear" w:color="auto" w:fill="FFFFFF"/>
        </w:rPr>
        <w:t>贯彻落实省民政厅关于开展“寒冬送温暖”专项救助行动的要求，组织慰问小组深入</w:t>
      </w:r>
      <w:r>
        <w:rPr>
          <w:rFonts w:hint="eastAsia" w:ascii="仿宋_GB2312" w:eastAsia="仿宋_GB2312"/>
          <w:sz w:val="32"/>
          <w:szCs w:val="32"/>
        </w:rPr>
        <w:t>困境、留守未成年人的家庭了解越冬物质准备情况，并针对性地为700余名儿童补充御寒衣物，</w:t>
      </w:r>
      <w:r>
        <w:rPr>
          <w:rFonts w:hint="eastAsia" w:ascii="仿宋_GB2312" w:eastAsia="仿宋_GB2312"/>
          <w:color w:val="333333"/>
          <w:kern w:val="0"/>
          <w:sz w:val="32"/>
          <w:szCs w:val="32"/>
          <w:shd w:val="clear" w:color="auto" w:fill="FFFFFF"/>
        </w:rPr>
        <w:t xml:space="preserve">及时送去了党和政府的温暖与关爱。 </w:t>
      </w:r>
    </w:p>
    <w:p>
      <w:pPr>
        <w:spacing w:line="576" w:lineRule="exact"/>
        <w:ind w:firstLine="640" w:firstLineChars="200"/>
        <w:rPr>
          <w:rFonts w:ascii="仿宋_GB2312" w:eastAsia="仿宋_GB2312"/>
          <w:sz w:val="32"/>
          <w:szCs w:val="32"/>
        </w:rPr>
      </w:pPr>
      <w:r>
        <w:rPr>
          <w:rFonts w:hint="eastAsia" w:ascii="仿宋_GB2312" w:hAnsi="仿宋_GB2312" w:eastAsia="仿宋_GB2312" w:cs="仿宋_GB2312"/>
          <w:bCs/>
          <w:kern w:val="0"/>
          <w:sz w:val="32"/>
          <w:szCs w:val="32"/>
        </w:rPr>
        <w:t>我站多次组织干部职工、社会工作者、志愿服务者走进</w:t>
      </w:r>
      <w:r>
        <w:rPr>
          <w:rFonts w:hint="eastAsia" w:ascii="仿宋_GB2312" w:hAnsi="仿宋_GB2312" w:eastAsia="仿宋_GB2312" w:cs="仿宋_GB2312"/>
          <w:sz w:val="32"/>
          <w:szCs w:val="32"/>
        </w:rPr>
        <w:t>利州区、朝天区、昭化区、苍溪县、旺苍县等19个未成年人社会保护服务站（点），开展进</w:t>
      </w:r>
      <w:r>
        <w:rPr>
          <w:rFonts w:hint="eastAsia" w:ascii="仿宋_GB2312" w:hAnsi="仿宋_GB2312" w:eastAsia="仿宋_GB2312" w:cs="仿宋_GB2312"/>
          <w:sz w:val="32"/>
          <w:szCs w:val="32"/>
          <w:lang w:eastAsia="zh-CN"/>
        </w:rPr>
        <w:t>站</w:t>
      </w:r>
      <w:r>
        <w:rPr>
          <w:rFonts w:hint="eastAsia" w:ascii="仿宋_GB2312" w:hAnsi="仿宋_GB2312" w:eastAsia="仿宋_GB2312" w:cs="仿宋_GB2312"/>
          <w:sz w:val="32"/>
          <w:szCs w:val="32"/>
        </w:rPr>
        <w:t>点服务活动。一年来，先后参与了</w:t>
      </w:r>
      <w:r>
        <w:rPr>
          <w:rStyle w:val="32"/>
          <w:rFonts w:hint="eastAsia" w:ascii="仿宋_GB2312" w:hAnsi="Calibri" w:eastAsia="仿宋_GB2312"/>
          <w:sz w:val="32"/>
          <w:szCs w:val="32"/>
        </w:rPr>
        <w:t>“白朝小学”“王家小学”“木鱼小学”“五里小学”“金洞小学”“大滩小学”“白水小学”“柏林沟小学”孩子们</w:t>
      </w:r>
      <w:r>
        <w:rPr>
          <w:rFonts w:hint="eastAsia" w:ascii="仿宋_GB2312" w:hAnsi="仿宋_GB2312" w:eastAsia="仿宋_GB2312" w:cs="仿宋_GB2312"/>
          <w:sz w:val="32"/>
          <w:szCs w:val="32"/>
        </w:rPr>
        <w:t>的庆祝</w:t>
      </w:r>
      <w:r>
        <w:rPr>
          <w:rStyle w:val="32"/>
          <w:rFonts w:hint="eastAsia" w:ascii="仿宋_GB2312" w:hAnsi="Calibri" w:eastAsia="仿宋_GB2312"/>
          <w:sz w:val="32"/>
          <w:szCs w:val="32"/>
        </w:rPr>
        <w:t>“六一”及文艺汇演、优秀作品展示、游园、“童心向党”等活动。截至目前，我们有组织的</w:t>
      </w:r>
      <w:r>
        <w:rPr>
          <w:rFonts w:hint="eastAsia" w:eastAsia="仿宋_GB2312"/>
          <w:sz w:val="32"/>
        </w:rPr>
        <w:t>对全市留守、困境儿童开展延伸替代服务人数已达7059人次</w:t>
      </w:r>
      <w:r>
        <w:rPr>
          <w:rFonts w:hint="eastAsia" w:ascii="仿宋_GB2312" w:eastAsia="仿宋_GB2312"/>
          <w:sz w:val="32"/>
          <w:szCs w:val="32"/>
        </w:rPr>
        <w:t>。</w:t>
      </w:r>
    </w:p>
    <w:p>
      <w:pPr>
        <w:spacing w:line="576" w:lineRule="exact"/>
        <w:ind w:firstLine="640" w:firstLineChars="200"/>
        <w:rPr>
          <w:rFonts w:ascii="仿宋" w:hAnsi="仿宋" w:eastAsia="仿宋"/>
          <w:sz w:val="32"/>
        </w:rPr>
      </w:pPr>
      <w:r>
        <w:rPr>
          <w:rFonts w:hint="eastAsia" w:ascii="仿宋" w:hAnsi="仿宋" w:eastAsia="仿宋"/>
          <w:sz w:val="32"/>
        </w:rPr>
        <w:t>3、疫情防控工作</w:t>
      </w:r>
    </w:p>
    <w:p>
      <w:pPr>
        <w:spacing w:line="576" w:lineRule="exact"/>
        <w:ind w:firstLine="640" w:firstLineChars="200"/>
        <w:rPr>
          <w:rFonts w:ascii="仿宋" w:hAnsi="仿宋" w:eastAsia="仿宋" w:cs="仿宋_GB2312"/>
          <w:bCs/>
          <w:sz w:val="32"/>
          <w:szCs w:val="32"/>
        </w:rPr>
      </w:pPr>
      <w:r>
        <w:rPr>
          <w:rFonts w:hint="eastAsia" w:ascii="仿宋_GB2312" w:hAnsi="仿宋_GB2312" w:eastAsia="仿宋_GB2312" w:cs="仿宋_GB2312"/>
          <w:sz w:val="32"/>
          <w:szCs w:val="32"/>
        </w:rPr>
        <w:t>我站高度重视，周密部署，全力做好了新型冠状病毒感染的肺炎疫情防控应急工作。 成立了新冠肺炎疫情防控工作领导小组，并严格按照《生活无着的流浪乞讨人员救助管理机构新冠肺炎疫情防控工作指南》的相关要求，制定了救助管理机构“疫情判断、隔离、管理”等应急制度。干部职工做到了佩戴口罩，自觉接受门卫体温检测及扫健康码入站。对</w:t>
      </w:r>
      <w:r>
        <w:rPr>
          <w:rFonts w:hint="eastAsia" w:ascii="仿宋_GB2312" w:hAnsi="仿宋_GB2312" w:eastAsia="仿宋_GB2312" w:cs="仿宋_GB2312"/>
          <w:sz w:val="32"/>
          <w:szCs w:val="32"/>
          <w:lang w:eastAsia="zh-CN"/>
        </w:rPr>
        <w:t>来</w:t>
      </w:r>
      <w:r>
        <w:rPr>
          <w:rFonts w:hint="eastAsia" w:ascii="仿宋_GB2312" w:hAnsi="仿宋_GB2312" w:eastAsia="仿宋_GB2312" w:cs="仿宋_GB2312"/>
          <w:sz w:val="32"/>
          <w:szCs w:val="32"/>
        </w:rPr>
        <w:t>站求助人员采取了入站隔离、核酸检测，有效阻断了疫情在我站干部职工及受助对象中的传播途径。</w:t>
      </w:r>
    </w:p>
    <w:p>
      <w:pPr>
        <w:spacing w:line="576" w:lineRule="exact"/>
        <w:ind w:firstLine="640" w:firstLineChars="200"/>
        <w:rPr>
          <w:rFonts w:ascii="仿宋" w:hAnsi="仿宋" w:eastAsia="仿宋"/>
          <w:sz w:val="32"/>
        </w:rPr>
      </w:pPr>
      <w:r>
        <w:rPr>
          <w:rFonts w:hint="eastAsia" w:ascii="仿宋" w:hAnsi="仿宋" w:eastAsia="仿宋"/>
          <w:sz w:val="32"/>
        </w:rPr>
        <w:t>4、乡村振兴工作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接到上级下达的旺苍县木门镇青坪村乡村振兴工作的任务后，我们及时研究确定了工作人员，将该项工作列入了重要议事日程，做到了与业务工作一同研究、一同部署、一同落实。工作开展至今，我们已召开专题会议15次，在分析结对村的基本情况后，研究制定了具体的帮助工作措施，提出了工作过程中遇到难点问题的处置意见和建议，为确保下一步乡村振兴帮扶工作各项任务的完成夯实了基础。</w:t>
      </w:r>
    </w:p>
    <w:p>
      <w:pPr>
        <w:spacing w:line="576" w:lineRule="exact"/>
        <w:ind w:firstLine="420" w:firstLineChars="200"/>
      </w:pPr>
    </w:p>
    <w:p>
      <w:pPr>
        <w:widowControl/>
        <w:spacing w:line="576" w:lineRule="exact"/>
        <w:ind w:firstLine="640" w:firstLineChars="200"/>
        <w:jc w:val="left"/>
        <w:rPr>
          <w:rFonts w:ascii="仿宋" w:hAnsi="仿宋" w:eastAsia="仿宋"/>
          <w:sz w:val="32"/>
          <w:szCs w:val="32"/>
        </w:rPr>
      </w:pPr>
    </w:p>
    <w:p>
      <w:pPr>
        <w:widowControl/>
        <w:spacing w:line="576" w:lineRule="exact"/>
        <w:ind w:firstLine="640" w:firstLineChars="200"/>
        <w:jc w:val="left"/>
        <w:rPr>
          <w:rFonts w:ascii="仿宋" w:hAnsi="仿宋" w:eastAsia="仿宋"/>
          <w:sz w:val="32"/>
          <w:szCs w:val="32"/>
        </w:rPr>
      </w:pPr>
    </w:p>
    <w:p>
      <w:pPr>
        <w:widowControl/>
        <w:spacing w:line="576" w:lineRule="exact"/>
        <w:ind w:firstLine="640" w:firstLineChars="200"/>
        <w:jc w:val="left"/>
        <w:rPr>
          <w:rFonts w:ascii="仿宋" w:hAnsi="仿宋" w:eastAsia="仿宋"/>
          <w:kern w:val="0"/>
          <w:sz w:val="32"/>
          <w:szCs w:val="32"/>
        </w:rPr>
      </w:pPr>
      <w:r>
        <w:rPr>
          <w:rFonts w:ascii="仿宋" w:hAnsi="仿宋" w:eastAsia="仿宋"/>
          <w:sz w:val="32"/>
          <w:szCs w:val="32"/>
        </w:rPr>
        <w:br w:type="page"/>
      </w:r>
    </w:p>
    <w:p>
      <w:pPr>
        <w:pStyle w:val="3"/>
        <w:spacing w:before="0" w:after="0" w:line="576" w:lineRule="exact"/>
        <w:jc w:val="center"/>
        <w:rPr>
          <w:rStyle w:val="26"/>
          <w:rFonts w:ascii="黑体" w:hAnsi="黑体" w:eastAsia="黑体"/>
          <w:b w:val="0"/>
          <w:bCs/>
        </w:rPr>
      </w:pPr>
      <w:bookmarkStart w:id="4" w:name="_Toc15396602"/>
      <w:bookmarkStart w:id="5" w:name="_Toc15377204"/>
      <w:r>
        <w:rPr>
          <w:rFonts w:hint="eastAsia" w:ascii="黑体" w:hAnsi="黑体" w:eastAsia="黑体"/>
          <w:b w:val="0"/>
        </w:rPr>
        <w:t>第二部分 2021年度</w:t>
      </w:r>
      <w:r>
        <w:rPr>
          <w:rStyle w:val="26"/>
          <w:rFonts w:hint="eastAsia" w:ascii="黑体" w:hAnsi="黑体" w:eastAsia="黑体"/>
          <w:b w:val="0"/>
          <w:bCs/>
        </w:rPr>
        <w:t>单位决算情况说明</w:t>
      </w:r>
      <w:bookmarkEnd w:id="4"/>
      <w:bookmarkEnd w:id="5"/>
    </w:p>
    <w:p>
      <w:pPr>
        <w:spacing w:line="576" w:lineRule="exact"/>
        <w:ind w:firstLine="420" w:firstLineChars="200"/>
      </w:pPr>
    </w:p>
    <w:p>
      <w:pPr>
        <w:pStyle w:val="25"/>
        <w:spacing w:line="576" w:lineRule="exact"/>
        <w:ind w:firstLine="640"/>
        <w:outlineLvl w:val="1"/>
        <w:rPr>
          <w:rStyle w:val="27"/>
          <w:rFonts w:ascii="黑体" w:hAnsi="黑体" w:eastAsia="黑体"/>
          <w:b w:val="0"/>
        </w:rPr>
      </w:pPr>
      <w:bookmarkStart w:id="6" w:name="_Toc15377205"/>
      <w:bookmarkStart w:id="7" w:name="_Toc15396603"/>
      <w:r>
        <w:rPr>
          <w:rFonts w:hint="eastAsia" w:ascii="黑体" w:hAnsi="黑体" w:eastAsia="黑体"/>
          <w:sz w:val="32"/>
          <w:szCs w:val="32"/>
        </w:rPr>
        <w:t>一、收</w:t>
      </w:r>
      <w:r>
        <w:rPr>
          <w:rStyle w:val="27"/>
          <w:rFonts w:hint="eastAsia" w:ascii="黑体" w:hAnsi="黑体" w:eastAsia="黑体"/>
          <w:b w:val="0"/>
        </w:rPr>
        <w:t>入支出决算总体情况说明</w:t>
      </w:r>
      <w:bookmarkEnd w:id="6"/>
      <w:bookmarkEnd w:id="7"/>
    </w:p>
    <w:p>
      <w:pPr>
        <w:spacing w:line="576" w:lineRule="exact"/>
        <w:ind w:firstLine="640" w:firstLineChars="200"/>
        <w:rPr>
          <w:rFonts w:ascii="仿宋" w:hAnsi="仿宋" w:eastAsia="仿宋"/>
          <w:sz w:val="32"/>
          <w:szCs w:val="32"/>
        </w:rPr>
      </w:pPr>
      <w:r>
        <w:rPr>
          <w:rFonts w:hint="eastAsia" w:ascii="仿宋" w:hAnsi="仿宋" w:eastAsia="仿宋"/>
          <w:sz w:val="32"/>
          <w:szCs w:val="32"/>
        </w:rPr>
        <w:t>2021年度收、支总计2299.09万元。与2020年相比，收、支总计各增加20.3万元，增长0.89</w:t>
      </w:r>
      <w:r>
        <w:rPr>
          <w:rFonts w:ascii="仿宋" w:hAnsi="仿宋" w:eastAsia="仿宋"/>
          <w:sz w:val="32"/>
          <w:szCs w:val="32"/>
        </w:rPr>
        <w:t>%</w:t>
      </w:r>
      <w:r>
        <w:rPr>
          <w:rFonts w:hint="eastAsia" w:ascii="仿宋" w:hAnsi="仿宋" w:eastAsia="仿宋"/>
          <w:sz w:val="32"/>
          <w:szCs w:val="32"/>
        </w:rPr>
        <w:t>。主要变动原因是2021度单位人员经费增加。</w:t>
      </w:r>
    </w:p>
    <w:p>
      <w:pPr>
        <w:pStyle w:val="2"/>
        <w:spacing w:before="93"/>
        <w:jc w:val="center"/>
      </w:pPr>
      <w:r>
        <w:rPr>
          <w:rFonts w:hint="eastAsia"/>
        </w:rPr>
        <w:drawing>
          <wp:inline distT="0" distB="0" distL="114300" distR="114300">
            <wp:extent cx="2836545" cy="2305050"/>
            <wp:effectExtent l="4445" t="4445" r="16510"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
        <w:spacing w:before="93"/>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5"/>
        <w:spacing w:line="576" w:lineRule="exact"/>
        <w:ind w:left="420" w:leftChars="200" w:firstLine="320" w:firstLineChars="100"/>
        <w:outlineLvl w:val="1"/>
        <w:rPr>
          <w:rStyle w:val="27"/>
          <w:rFonts w:ascii="黑体" w:hAnsi="黑体" w:eastAsia="黑体"/>
          <w:b w:val="0"/>
        </w:rPr>
      </w:pPr>
      <w:bookmarkStart w:id="8" w:name="_Toc15396604"/>
      <w:bookmarkStart w:id="9" w:name="_Toc15377206"/>
      <w:r>
        <w:rPr>
          <w:rFonts w:hint="eastAsia" w:ascii="黑体" w:hAnsi="黑体" w:eastAsia="黑体"/>
          <w:sz w:val="32"/>
          <w:szCs w:val="32"/>
        </w:rPr>
        <w:t>二、收</w:t>
      </w:r>
      <w:r>
        <w:rPr>
          <w:rStyle w:val="27"/>
          <w:rFonts w:hint="eastAsia" w:ascii="黑体" w:hAnsi="黑体" w:eastAsia="黑体"/>
          <w:b w:val="0"/>
        </w:rPr>
        <w:t>入决算情况说明</w:t>
      </w:r>
      <w:bookmarkEnd w:id="8"/>
      <w:bookmarkEnd w:id="9"/>
    </w:p>
    <w:p>
      <w:pPr>
        <w:spacing w:line="576"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21年本年收入合计1498.85万元，其中：一般公共预算财政拨款收入1428.85万元，占95.3</w:t>
      </w:r>
      <w:r>
        <w:rPr>
          <w:rFonts w:ascii="仿宋" w:hAnsi="仿宋" w:eastAsia="仿宋"/>
          <w:sz w:val="32"/>
          <w:szCs w:val="32"/>
        </w:rPr>
        <w:t>%</w:t>
      </w:r>
      <w:r>
        <w:rPr>
          <w:rFonts w:hint="eastAsia" w:ascii="仿宋" w:hAnsi="仿宋" w:eastAsia="仿宋"/>
          <w:sz w:val="32"/>
          <w:szCs w:val="32"/>
        </w:rPr>
        <w:t>；政府性基金预算财政拨款收入70万元，占4.7</w:t>
      </w:r>
      <w:r>
        <w:rPr>
          <w:rFonts w:ascii="仿宋" w:hAnsi="仿宋" w:eastAsia="仿宋"/>
          <w:sz w:val="32"/>
          <w:szCs w:val="32"/>
        </w:rPr>
        <w:t>%</w:t>
      </w:r>
      <w:r>
        <w:rPr>
          <w:rFonts w:hint="eastAsia" w:ascii="仿宋" w:hAnsi="仿宋" w:eastAsia="仿宋"/>
          <w:sz w:val="32"/>
          <w:szCs w:val="32"/>
        </w:rPr>
        <w:t>。</w:t>
      </w:r>
    </w:p>
    <w:p>
      <w:pPr>
        <w:pStyle w:val="2"/>
        <w:spacing w:before="93"/>
      </w:pPr>
      <w:r>
        <w:rPr>
          <w:rFonts w:hint="eastAsia" w:ascii="仿宋" w:hAnsi="仿宋" w:eastAsia="仿宋"/>
          <w:sz w:val="32"/>
          <w:szCs w:val="32"/>
        </w:rPr>
        <w:drawing>
          <wp:anchor distT="0" distB="0" distL="114300" distR="114300" simplePos="0" relativeHeight="251659264" behindDoc="0" locked="0" layoutInCell="1" allowOverlap="1">
            <wp:simplePos x="0" y="0"/>
            <wp:positionH relativeFrom="column">
              <wp:posOffset>904875</wp:posOffset>
            </wp:positionH>
            <wp:positionV relativeFrom="paragraph">
              <wp:posOffset>22860</wp:posOffset>
            </wp:positionV>
            <wp:extent cx="2856865" cy="2219960"/>
            <wp:effectExtent l="4445" t="4445" r="15240" b="2349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spacing w:before="93"/>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pStyle w:val="25"/>
        <w:spacing w:line="576" w:lineRule="exact"/>
        <w:ind w:left="420" w:leftChars="200" w:firstLine="320" w:firstLineChars="100"/>
        <w:outlineLvl w:val="1"/>
        <w:rPr>
          <w:rStyle w:val="27"/>
          <w:rFonts w:ascii="黑体" w:hAnsi="黑体" w:eastAsia="黑体"/>
          <w:b w:val="0"/>
        </w:rPr>
      </w:pPr>
      <w:bookmarkStart w:id="10" w:name="_Toc15377207"/>
      <w:bookmarkStart w:id="11" w:name="_Toc15396605"/>
      <w:r>
        <w:rPr>
          <w:rFonts w:hint="eastAsia" w:ascii="黑体" w:hAnsi="黑体" w:eastAsia="黑体"/>
          <w:sz w:val="32"/>
          <w:szCs w:val="32"/>
        </w:rPr>
        <w:t>三、支</w:t>
      </w:r>
      <w:r>
        <w:rPr>
          <w:rStyle w:val="27"/>
          <w:rFonts w:hint="eastAsia" w:ascii="黑体" w:hAnsi="黑体" w:eastAsia="黑体"/>
          <w:b w:val="0"/>
        </w:rPr>
        <w:t>出决算情况说明</w:t>
      </w:r>
      <w:bookmarkEnd w:id="10"/>
      <w:bookmarkEnd w:id="11"/>
    </w:p>
    <w:p>
      <w:pPr>
        <w:spacing w:line="576"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21年本年支出合计1522.36万元，其中：基本支出820.53万元，占53.9</w:t>
      </w:r>
      <w:r>
        <w:rPr>
          <w:rFonts w:ascii="仿宋" w:hAnsi="仿宋" w:eastAsia="仿宋"/>
          <w:sz w:val="32"/>
          <w:szCs w:val="32"/>
        </w:rPr>
        <w:t>%</w:t>
      </w:r>
      <w:r>
        <w:rPr>
          <w:rFonts w:hint="eastAsia" w:ascii="仿宋" w:hAnsi="仿宋" w:eastAsia="仿宋"/>
          <w:sz w:val="32"/>
          <w:szCs w:val="32"/>
        </w:rPr>
        <w:t>；项目支出701.83万元，占46.1</w:t>
      </w:r>
      <w:r>
        <w:rPr>
          <w:rFonts w:ascii="仿宋" w:hAnsi="仿宋" w:eastAsia="仿宋"/>
          <w:sz w:val="32"/>
          <w:szCs w:val="32"/>
        </w:rPr>
        <w:t>%</w:t>
      </w:r>
      <w:r>
        <w:rPr>
          <w:rFonts w:hint="eastAsia" w:ascii="仿宋" w:hAnsi="仿宋" w:eastAsia="仿宋"/>
          <w:sz w:val="32"/>
          <w:szCs w:val="32"/>
        </w:rPr>
        <w:t>。</w:t>
      </w:r>
      <w:bookmarkStart w:id="12" w:name="_Toc15377208"/>
      <w:bookmarkStart w:id="13" w:name="_Toc15396606"/>
    </w:p>
    <w:p>
      <w:pPr>
        <w:pStyle w:val="2"/>
        <w:spacing w:before="93"/>
      </w:pPr>
      <w:r>
        <w:rPr>
          <w:rFonts w:hint="eastAsia" w:ascii="仿宋" w:hAnsi="仿宋" w:eastAsia="仿宋"/>
          <w:sz w:val="32"/>
          <w:szCs w:val="32"/>
        </w:rPr>
        <w:drawing>
          <wp:anchor distT="0" distB="0" distL="114300" distR="114300" simplePos="0" relativeHeight="251660288" behindDoc="0" locked="0" layoutInCell="1" allowOverlap="1">
            <wp:simplePos x="0" y="0"/>
            <wp:positionH relativeFrom="column">
              <wp:posOffset>1006475</wp:posOffset>
            </wp:positionH>
            <wp:positionV relativeFrom="paragraph">
              <wp:posOffset>89535</wp:posOffset>
            </wp:positionV>
            <wp:extent cx="2856865" cy="2219960"/>
            <wp:effectExtent l="4445" t="4445" r="15240" b="2349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576" w:lineRule="exact"/>
        <w:ind w:firstLine="640" w:firstLineChars="200"/>
        <w:outlineLvl w:val="1"/>
        <w:rPr>
          <w:rStyle w:val="27"/>
          <w:rFonts w:ascii="黑体" w:hAnsi="黑体" w:eastAsia="黑体"/>
          <w:b w:val="0"/>
        </w:rPr>
      </w:pPr>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12"/>
      <w:bookmarkEnd w:id="13"/>
    </w:p>
    <w:p>
      <w:pPr>
        <w:spacing w:line="576"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21年财政拨款收、支总计2299.09万元。与</w:t>
      </w:r>
      <w:r>
        <w:rPr>
          <w:rFonts w:ascii="仿宋" w:hAnsi="仿宋" w:eastAsia="仿宋"/>
          <w:sz w:val="32"/>
          <w:szCs w:val="32"/>
        </w:rPr>
        <w:t>20</w:t>
      </w:r>
      <w:r>
        <w:rPr>
          <w:rFonts w:hint="eastAsia" w:ascii="仿宋" w:hAnsi="仿宋" w:eastAsia="仿宋"/>
          <w:sz w:val="32"/>
          <w:szCs w:val="32"/>
        </w:rPr>
        <w:t>20年相比，财政拨款收、支总计各增加20.3万元，增长0.89</w:t>
      </w:r>
      <w:r>
        <w:rPr>
          <w:rFonts w:ascii="仿宋" w:hAnsi="仿宋" w:eastAsia="仿宋"/>
          <w:sz w:val="32"/>
          <w:szCs w:val="32"/>
        </w:rPr>
        <w:t>%</w:t>
      </w:r>
      <w:r>
        <w:rPr>
          <w:rFonts w:hint="eastAsia" w:ascii="仿宋" w:hAnsi="仿宋" w:eastAsia="仿宋"/>
          <w:sz w:val="32"/>
          <w:szCs w:val="32"/>
        </w:rPr>
        <w:t>。主要变动原因是2021度单位人员经费增加。</w:t>
      </w:r>
    </w:p>
    <w:p>
      <w:pPr>
        <w:pStyle w:val="2"/>
        <w:spacing w:before="93"/>
        <w:jc w:val="center"/>
      </w:pPr>
      <w:r>
        <w:rPr>
          <w:rFonts w:hint="eastAsia"/>
        </w:rPr>
        <w:drawing>
          <wp:inline distT="0" distB="0" distL="114300" distR="114300">
            <wp:extent cx="2836545" cy="2305050"/>
            <wp:effectExtent l="4445" t="4445" r="16510"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spacing w:before="93"/>
      </w:pPr>
      <w:r>
        <w:rPr>
          <w:rFonts w:hint="eastAsia" w:ascii="仿宋" w:hAnsi="仿宋" w:eastAsia="仿宋"/>
          <w:sz w:val="32"/>
          <w:szCs w:val="32"/>
        </w:rPr>
        <w:t>（图4：财政拨款收、支决算总计变动情况）（柱状图）</w:t>
      </w:r>
    </w:p>
    <w:p>
      <w:pPr>
        <w:spacing w:line="576" w:lineRule="exact"/>
        <w:ind w:firstLine="640" w:firstLineChars="200"/>
        <w:outlineLvl w:val="1"/>
        <w:rPr>
          <w:rStyle w:val="27"/>
          <w:rFonts w:ascii="黑体" w:hAnsi="黑体" w:eastAsia="黑体"/>
          <w:b w:val="0"/>
        </w:rPr>
      </w:pPr>
      <w:bookmarkStart w:id="14" w:name="_Toc15396607"/>
      <w:bookmarkStart w:id="15"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14"/>
      <w:bookmarkEnd w:id="15"/>
    </w:p>
    <w:p>
      <w:pPr>
        <w:spacing w:line="576" w:lineRule="exact"/>
        <w:ind w:firstLine="643" w:firstLineChars="200"/>
        <w:outlineLvl w:val="2"/>
        <w:rPr>
          <w:rFonts w:ascii="仿宋" w:hAnsi="仿宋" w:eastAsia="仿宋"/>
          <w:b/>
          <w:sz w:val="32"/>
          <w:szCs w:val="32"/>
        </w:rPr>
      </w:pPr>
      <w:bookmarkStart w:id="16" w:name="_Toc15377210"/>
      <w:r>
        <w:rPr>
          <w:rFonts w:hint="eastAsia" w:ascii="仿宋" w:hAnsi="仿宋" w:eastAsia="仿宋"/>
          <w:b/>
          <w:sz w:val="32"/>
          <w:szCs w:val="32"/>
        </w:rPr>
        <w:t>（一）一般公共预算财政拨款支出决算总体情况</w:t>
      </w:r>
      <w:bookmarkEnd w:id="16"/>
    </w:p>
    <w:p>
      <w:pPr>
        <w:spacing w:line="576"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21年一般公共预算财政拨款支出1492.36万元，占本年支出合计的98</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20年相比，一般公共预算财政拨款支出增加81.78万元，增长5.8</w:t>
      </w:r>
      <w:r>
        <w:rPr>
          <w:rFonts w:ascii="仿宋" w:hAnsi="仿宋" w:eastAsia="仿宋"/>
          <w:sz w:val="32"/>
          <w:szCs w:val="32"/>
        </w:rPr>
        <w:t>%</w:t>
      </w:r>
      <w:r>
        <w:rPr>
          <w:rFonts w:hint="eastAsia" w:ascii="仿宋" w:hAnsi="仿宋" w:eastAsia="仿宋"/>
          <w:sz w:val="32"/>
          <w:szCs w:val="32"/>
        </w:rPr>
        <w:t>。主要变动原因是2021年度人员经费支出增加61.26万元，项目经费支出增加20.52元。</w:t>
      </w:r>
    </w:p>
    <w:p>
      <w:pPr>
        <w:pStyle w:val="2"/>
        <w:tabs>
          <w:tab w:val="left" w:pos="6159"/>
        </w:tabs>
        <w:spacing w:before="93"/>
        <w:jc w:val="center"/>
      </w:pPr>
      <w:r>
        <w:rPr>
          <w:rFonts w:hint="eastAsia"/>
        </w:rPr>
        <w:drawing>
          <wp:inline distT="0" distB="0" distL="114300" distR="114300">
            <wp:extent cx="2836545" cy="2305050"/>
            <wp:effectExtent l="4445" t="4445" r="16510"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576" w:lineRule="exact"/>
        <w:ind w:firstLine="643" w:firstLineChars="200"/>
        <w:outlineLvl w:val="2"/>
        <w:rPr>
          <w:rFonts w:ascii="仿宋" w:hAnsi="仿宋" w:eastAsia="仿宋"/>
          <w:b/>
          <w:sz w:val="32"/>
          <w:szCs w:val="32"/>
        </w:rPr>
      </w:pPr>
      <w:bookmarkStart w:id="17" w:name="_Toc15377211"/>
      <w:r>
        <w:rPr>
          <w:rFonts w:hint="eastAsia" w:ascii="仿宋" w:hAnsi="仿宋" w:eastAsia="仿宋"/>
          <w:b/>
          <w:sz w:val="32"/>
          <w:szCs w:val="32"/>
        </w:rPr>
        <w:t>（二）一般公共预算财政拨款支出决算结构情况</w:t>
      </w:r>
      <w:bookmarkEnd w:id="17"/>
    </w:p>
    <w:p>
      <w:pPr>
        <w:spacing w:line="576"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21年一般公共预算财政拨款支出1492.36万元，主要用于以下方面</w:t>
      </w:r>
      <w:r>
        <w:rPr>
          <w:rFonts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支出1403.22万元，占94.03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27.67万元，占1.9</w:t>
      </w:r>
      <w:r>
        <w:rPr>
          <w:rFonts w:ascii="仿宋" w:hAnsi="仿宋" w:eastAsia="仿宋"/>
          <w:sz w:val="32"/>
          <w:szCs w:val="32"/>
        </w:rPr>
        <w:t>%</w:t>
      </w:r>
      <w:r>
        <w:rPr>
          <w:rFonts w:hint="eastAsia" w:ascii="仿宋" w:hAnsi="仿宋" w:eastAsia="仿宋"/>
          <w:sz w:val="32"/>
          <w:szCs w:val="32"/>
        </w:rPr>
        <w:t>；住房保障支出61.47万元，占4.07</w:t>
      </w:r>
      <w:r>
        <w:rPr>
          <w:rFonts w:ascii="仿宋" w:hAnsi="仿宋" w:eastAsia="仿宋"/>
          <w:sz w:val="32"/>
          <w:szCs w:val="32"/>
        </w:rPr>
        <w:t>%</w:t>
      </w:r>
      <w:r>
        <w:rPr>
          <w:rFonts w:hint="eastAsia" w:ascii="仿宋" w:hAnsi="仿宋" w:eastAsia="仿宋"/>
          <w:sz w:val="32"/>
          <w:szCs w:val="32"/>
        </w:rPr>
        <w:t>。</w:t>
      </w:r>
    </w:p>
    <w:p>
      <w:pPr>
        <w:pStyle w:val="2"/>
        <w:spacing w:before="93"/>
      </w:pPr>
      <w:r>
        <w:rPr>
          <w:rFonts w:hint="eastAsia" w:ascii="仿宋" w:hAnsi="仿宋" w:eastAsia="仿宋"/>
          <w:sz w:val="32"/>
          <w:szCs w:val="32"/>
        </w:rPr>
        <w:drawing>
          <wp:anchor distT="0" distB="0" distL="114300" distR="114300" simplePos="0" relativeHeight="251661312" behindDoc="0" locked="0" layoutInCell="1" allowOverlap="1">
            <wp:simplePos x="0" y="0"/>
            <wp:positionH relativeFrom="column">
              <wp:posOffset>1263650</wp:posOffset>
            </wp:positionH>
            <wp:positionV relativeFrom="paragraph">
              <wp:posOffset>95250</wp:posOffset>
            </wp:positionV>
            <wp:extent cx="2856865" cy="2219960"/>
            <wp:effectExtent l="4445" t="4445" r="15240" b="2349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spacing w:before="93"/>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576" w:lineRule="exact"/>
        <w:ind w:firstLine="643" w:firstLineChars="200"/>
        <w:outlineLvl w:val="2"/>
        <w:rPr>
          <w:rFonts w:ascii="仿宋" w:hAnsi="仿宋" w:eastAsia="仿宋"/>
          <w:b/>
          <w:sz w:val="32"/>
          <w:szCs w:val="32"/>
        </w:rPr>
      </w:pPr>
      <w:bookmarkStart w:id="18" w:name="_Toc15377212"/>
      <w:r>
        <w:rPr>
          <w:rFonts w:hint="eastAsia" w:ascii="仿宋" w:hAnsi="仿宋" w:eastAsia="仿宋"/>
          <w:b/>
          <w:sz w:val="32"/>
          <w:szCs w:val="32"/>
        </w:rPr>
        <w:t>（三）一般公共预算财政拨款支出决算具体情况</w:t>
      </w:r>
      <w:bookmarkEnd w:id="18"/>
    </w:p>
    <w:p>
      <w:pPr>
        <w:spacing w:line="576" w:lineRule="exact"/>
        <w:ind w:firstLine="643" w:firstLineChars="200"/>
        <w:outlineLvl w:val="2"/>
        <w:rPr>
          <w:rFonts w:ascii="仿宋" w:hAnsi="仿宋" w:eastAsia="仿宋"/>
          <w:sz w:val="32"/>
          <w:szCs w:val="32"/>
        </w:rPr>
      </w:pPr>
      <w:bookmarkStart w:id="19" w:name="_Toc15377444"/>
      <w:bookmarkStart w:id="20" w:name="_Toc15378460"/>
      <w:bookmarkStart w:id="21" w:name="_Toc15377213"/>
      <w:r>
        <w:rPr>
          <w:rFonts w:hint="eastAsia" w:ascii="仿宋" w:hAnsi="仿宋" w:eastAsia="仿宋"/>
          <w:b/>
          <w:sz w:val="32"/>
          <w:szCs w:val="32"/>
        </w:rPr>
        <w:t>2021年一般公共预算支出决算数为1492.36</w:t>
      </w:r>
      <w:r>
        <w:rPr>
          <w:rFonts w:hint="eastAsia" w:ascii="仿宋" w:hAnsi="仿宋" w:eastAsia="仿宋"/>
          <w:sz w:val="32"/>
          <w:szCs w:val="32"/>
        </w:rPr>
        <w:t>，</w:t>
      </w:r>
      <w:r>
        <w:rPr>
          <w:rStyle w:val="16"/>
          <w:rFonts w:hint="eastAsia" w:ascii="仿宋" w:hAnsi="仿宋" w:eastAsia="仿宋"/>
          <w:bCs/>
          <w:sz w:val="32"/>
          <w:szCs w:val="32"/>
        </w:rPr>
        <w:t>完成预算67.86</w:t>
      </w:r>
      <w:r>
        <w:rPr>
          <w:rStyle w:val="16"/>
          <w:rFonts w:ascii="仿宋" w:hAnsi="仿宋" w:eastAsia="仿宋"/>
          <w:bCs/>
          <w:sz w:val="32"/>
          <w:szCs w:val="32"/>
        </w:rPr>
        <w:t>%</w:t>
      </w:r>
      <w:r>
        <w:rPr>
          <w:rStyle w:val="16"/>
          <w:rFonts w:hint="eastAsia" w:ascii="仿宋" w:hAnsi="仿宋" w:eastAsia="仿宋"/>
          <w:bCs/>
          <w:sz w:val="32"/>
          <w:szCs w:val="32"/>
        </w:rPr>
        <w:t>。其中：</w:t>
      </w:r>
      <w:bookmarkEnd w:id="19"/>
      <w:bookmarkEnd w:id="20"/>
      <w:bookmarkEnd w:id="21"/>
    </w:p>
    <w:p>
      <w:pPr>
        <w:spacing w:line="576" w:lineRule="exact"/>
        <w:ind w:firstLine="643" w:firstLineChars="200"/>
        <w:rPr>
          <w:rStyle w:val="16"/>
          <w:rFonts w:ascii="仿宋" w:hAnsi="仿宋" w:eastAsia="仿宋"/>
          <w:b w:val="0"/>
          <w:bCs/>
          <w:sz w:val="32"/>
          <w:szCs w:val="32"/>
        </w:rPr>
      </w:pPr>
      <w:r>
        <w:rPr>
          <w:rStyle w:val="16"/>
          <w:rFonts w:ascii="仿宋" w:hAnsi="仿宋" w:eastAsia="仿宋"/>
          <w:bCs/>
          <w:sz w:val="32"/>
          <w:szCs w:val="32"/>
        </w:rPr>
        <w:t>1.</w:t>
      </w:r>
      <w:r>
        <w:rPr>
          <w:rStyle w:val="16"/>
          <w:rFonts w:hint="eastAsia" w:ascii="仿宋" w:hAnsi="仿宋" w:eastAsia="仿宋"/>
          <w:bCs/>
          <w:sz w:val="32"/>
          <w:szCs w:val="32"/>
        </w:rPr>
        <w:t xml:space="preserve"> 社会保障和就业（类）临时救助（款）临时救助支出（项）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支出决算为0万元，完成预算0</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，决算数小于预算数的主要原因是2021年度由于新冠疫情影响，预算到我站的临时救助经费20万元未实现支出，结转到2022年使用。</w:t>
      </w:r>
    </w:p>
    <w:p>
      <w:pPr>
        <w:spacing w:line="576"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2.社会保障和就业（类）其它社会保障和就业支出（款）其它社会保障和就业支出（项）</w:t>
      </w:r>
      <w:r>
        <w:rPr>
          <w:rStyle w:val="16"/>
          <w:rFonts w:hint="eastAsia" w:ascii="仿宋" w:hAnsi="仿宋" w:eastAsia="仿宋"/>
          <w:b w:val="0"/>
          <w:bCs/>
          <w:sz w:val="32"/>
          <w:szCs w:val="32"/>
        </w:rPr>
        <w:t>支出决算为0万元，完成预算0</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，决算数小于预算数的主要原因是2021年度由于新冠疫情影响，预算到我站的其它社会保障和就业经费483.72万元未实现支出，结转到2022年使用。</w:t>
      </w:r>
    </w:p>
    <w:p>
      <w:pPr>
        <w:spacing w:line="576" w:lineRule="exact"/>
        <w:ind w:firstLine="640" w:firstLineChars="200"/>
        <w:rPr>
          <w:rStyle w:val="16"/>
          <w:rFonts w:ascii="仿宋" w:hAnsi="仿宋" w:eastAsia="仿宋"/>
          <w:b w:val="0"/>
          <w:bCs/>
          <w:sz w:val="32"/>
          <w:szCs w:val="32"/>
        </w:rPr>
      </w:pPr>
      <w:r>
        <w:rPr>
          <w:rStyle w:val="16"/>
          <w:rFonts w:hint="eastAsia" w:ascii="仿宋" w:hAnsi="仿宋" w:eastAsia="仿宋"/>
          <w:b w:val="0"/>
          <w:bCs/>
          <w:sz w:val="32"/>
          <w:szCs w:val="32"/>
        </w:rPr>
        <w:t>3.</w:t>
      </w:r>
      <w:r>
        <w:rPr>
          <w:rStyle w:val="16"/>
          <w:rFonts w:hint="eastAsia" w:ascii="仿宋" w:hAnsi="仿宋" w:eastAsia="仿宋"/>
          <w:bCs/>
          <w:sz w:val="32"/>
          <w:szCs w:val="32"/>
        </w:rPr>
        <w:t>社会保障和就业（类）临时救助（款）流浪乞讨人员救助（项）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支出决算为1339.8万元，完成预算86.84</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，决算数小于预算数的主要原因是2020年度的流浪乞讨人员救助项目经费800.23万元结转到2021年使用，2021年度由于新冠疫情影响，到年终时，结转资金仍结余203.01万元，该笔资金年终被收回财政。</w:t>
      </w:r>
    </w:p>
    <w:p>
      <w:pPr>
        <w:spacing w:line="576" w:lineRule="exact"/>
        <w:ind w:firstLine="640" w:firstLineChars="200"/>
        <w:rPr>
          <w:rStyle w:val="16"/>
          <w:rFonts w:ascii="仿宋" w:hAnsi="仿宋" w:eastAsia="仿宋"/>
          <w:b w:val="0"/>
          <w:bCs/>
          <w:sz w:val="32"/>
          <w:szCs w:val="32"/>
        </w:rPr>
      </w:pPr>
      <w:r>
        <w:rPr>
          <w:rStyle w:val="16"/>
          <w:rFonts w:hint="eastAsia" w:ascii="仿宋" w:hAnsi="仿宋" w:eastAsia="仿宋"/>
          <w:b w:val="0"/>
          <w:bCs/>
          <w:sz w:val="32"/>
          <w:szCs w:val="32"/>
        </w:rPr>
        <w:t>4.</w:t>
      </w:r>
      <w:r>
        <w:rPr>
          <w:rStyle w:val="16"/>
          <w:rFonts w:hint="eastAsia" w:ascii="仿宋" w:hAnsi="仿宋" w:eastAsia="仿宋"/>
          <w:bCs/>
          <w:sz w:val="32"/>
          <w:szCs w:val="32"/>
        </w:rPr>
        <w:t>社会保障和就业（类）行政事业单位养老支出（款）机关事业单位基本养老保险缴费支出（项）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支出决算为55.34万元，完成预算100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576" w:lineRule="exact"/>
        <w:ind w:firstLine="640" w:firstLineChars="200"/>
        <w:rPr>
          <w:rFonts w:ascii="仿宋" w:hAnsi="仿宋" w:eastAsia="仿宋"/>
          <w:b/>
          <w:sz w:val="32"/>
          <w:szCs w:val="32"/>
        </w:rPr>
      </w:pPr>
      <w:r>
        <w:rPr>
          <w:rStyle w:val="16"/>
          <w:rFonts w:hint="eastAsia" w:ascii="仿宋" w:hAnsi="仿宋" w:eastAsia="仿宋"/>
          <w:b w:val="0"/>
          <w:bCs/>
          <w:sz w:val="32"/>
          <w:szCs w:val="32"/>
        </w:rPr>
        <w:t>5.</w:t>
      </w:r>
      <w:r>
        <w:rPr>
          <w:rStyle w:val="16"/>
          <w:rFonts w:hint="eastAsia" w:ascii="仿宋" w:hAnsi="仿宋" w:eastAsia="仿宋"/>
          <w:bCs/>
          <w:sz w:val="32"/>
          <w:szCs w:val="32"/>
        </w:rPr>
        <w:t>社会保障和就业（类）行政事业单位养老支出（款）机关事业单位职业年金缴费支出（项）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支出决算为8.08万元，完成预算100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576" w:lineRule="exact"/>
        <w:ind w:firstLine="643" w:firstLineChars="200"/>
        <w:rPr>
          <w:rFonts w:ascii="仿宋" w:hAnsi="仿宋" w:eastAsia="仿宋"/>
          <w:b/>
          <w:sz w:val="32"/>
          <w:szCs w:val="32"/>
        </w:rPr>
      </w:pPr>
      <w:r>
        <w:rPr>
          <w:rStyle w:val="16"/>
          <w:rFonts w:hint="eastAsia" w:ascii="仿宋" w:hAnsi="仿宋" w:eastAsia="仿宋"/>
          <w:bCs/>
          <w:sz w:val="32"/>
          <w:szCs w:val="32"/>
        </w:rPr>
        <w:t>6</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（类）行政事业单位医疗（款）事业单位医疗（项）</w:t>
      </w:r>
      <w:r>
        <w:rPr>
          <w:rStyle w:val="16"/>
          <w:rFonts w:ascii="仿宋" w:hAnsi="仿宋" w:eastAsia="仿宋"/>
          <w:bCs/>
          <w:sz w:val="32"/>
          <w:szCs w:val="32"/>
        </w:rPr>
        <w:t>:</w:t>
      </w:r>
      <w:r>
        <w:rPr>
          <w:rStyle w:val="16"/>
          <w:rFonts w:hint="eastAsia" w:ascii="仿宋" w:hAnsi="仿宋" w:eastAsia="仿宋"/>
          <w:b w:val="0"/>
          <w:bCs/>
          <w:sz w:val="32"/>
          <w:szCs w:val="32"/>
        </w:rPr>
        <w:t>支出决算为27.67万元，完成预算100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576" w:lineRule="exact"/>
        <w:ind w:firstLine="643" w:firstLineChars="200"/>
        <w:rPr>
          <w:rFonts w:ascii="仿宋" w:hAnsi="仿宋" w:eastAsia="仿宋"/>
          <w:b/>
          <w:sz w:val="32"/>
          <w:szCs w:val="32"/>
        </w:rPr>
      </w:pPr>
      <w:r>
        <w:rPr>
          <w:rStyle w:val="16"/>
          <w:rFonts w:hint="eastAsia" w:ascii="仿宋" w:hAnsi="仿宋" w:eastAsia="仿宋"/>
          <w:bCs/>
          <w:sz w:val="32"/>
          <w:szCs w:val="32"/>
        </w:rPr>
        <w:t>7</w:t>
      </w:r>
      <w:r>
        <w:rPr>
          <w:rStyle w:val="16"/>
          <w:rFonts w:ascii="仿宋" w:hAnsi="仿宋" w:eastAsia="仿宋"/>
          <w:bCs/>
          <w:sz w:val="32"/>
          <w:szCs w:val="32"/>
        </w:rPr>
        <w:t>.</w:t>
      </w:r>
      <w:r>
        <w:rPr>
          <w:rStyle w:val="16"/>
          <w:rFonts w:hint="eastAsia" w:ascii="仿宋" w:hAnsi="仿宋" w:eastAsia="仿宋"/>
          <w:bCs/>
          <w:sz w:val="32"/>
          <w:szCs w:val="32"/>
        </w:rPr>
        <w:t>住房保障支出（类）住房改革支出（款）住房公积金（项）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支出决算为61.47万元，完成预算100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tabs>
          <w:tab w:val="right" w:pos="8306"/>
        </w:tabs>
        <w:spacing w:line="576" w:lineRule="exact"/>
        <w:ind w:firstLine="640" w:firstLineChars="200"/>
        <w:outlineLvl w:val="1"/>
        <w:rPr>
          <w:rStyle w:val="27"/>
        </w:rPr>
      </w:pPr>
      <w:bookmarkStart w:id="22" w:name="_Toc15396608"/>
      <w:bookmarkStart w:id="23"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22"/>
      <w:bookmarkEnd w:id="23"/>
      <w:r>
        <w:rPr>
          <w:rStyle w:val="27"/>
          <w:rFonts w:ascii="黑体" w:hAnsi="黑体" w:eastAsia="黑体"/>
          <w:b w:val="0"/>
        </w:rPr>
        <w:tab/>
      </w:r>
    </w:p>
    <w:p>
      <w:pPr>
        <w:spacing w:line="576"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21年一般公共预算财政拨款基本支出820.53万元，其中：</w:t>
      </w:r>
    </w:p>
    <w:p>
      <w:pPr>
        <w:spacing w:line="576" w:lineRule="exact"/>
        <w:rPr>
          <w:rFonts w:ascii="仿宋" w:hAnsi="仿宋" w:eastAsia="仿宋"/>
          <w:sz w:val="32"/>
          <w:szCs w:val="32"/>
        </w:rPr>
      </w:pPr>
      <w:r>
        <w:rPr>
          <w:rFonts w:hint="eastAsia" w:ascii="仿宋" w:hAnsi="仿宋" w:eastAsia="仿宋"/>
          <w:sz w:val="32"/>
          <w:szCs w:val="32"/>
        </w:rPr>
        <w:t>人员经费735.73万元，主要包括：基本工资、津贴补贴、绩效工资、机关事业单位基本养老保险缴费、职业年金缴费、职工基本医疗保险缴费、其他工资福利支出、生活补助、住房公积金等。</w:t>
      </w:r>
      <w:r>
        <w:rPr>
          <w:rFonts w:ascii="仿宋" w:hAnsi="仿宋" w:eastAsia="仿宋"/>
          <w:sz w:val="32"/>
          <w:szCs w:val="32"/>
        </w:rPr>
        <w:br w:type="textWrapping"/>
      </w:r>
      <w:r>
        <w:rPr>
          <w:rFonts w:hint="eastAsia" w:ascii="仿宋" w:hAnsi="仿宋" w:eastAsia="仿宋"/>
          <w:sz w:val="32"/>
          <w:szCs w:val="32"/>
        </w:rPr>
        <w:t>　　公用经费84.8万元，主要包括：办公费、咨询费、水费、电费、邮电费、物业管理费、差旅费、维修（护）费、会议费、公务接待费、劳务费、工会经费、福利费、公务用车运行维护费、其他商品和服务支出等。</w:t>
      </w:r>
    </w:p>
    <w:p>
      <w:pPr>
        <w:spacing w:line="576" w:lineRule="exact"/>
        <w:ind w:firstLine="640" w:firstLineChars="200"/>
        <w:outlineLvl w:val="1"/>
        <w:rPr>
          <w:rStyle w:val="27"/>
          <w:rFonts w:ascii="黑体" w:hAnsi="黑体" w:eastAsia="黑体"/>
          <w:b w:val="0"/>
        </w:rPr>
      </w:pPr>
      <w:bookmarkStart w:id="24" w:name="_Toc15377215"/>
      <w:bookmarkStart w:id="25" w:name="_Toc15396609"/>
      <w:r>
        <w:rPr>
          <w:rFonts w:hint="eastAsia" w:ascii="黑体" w:eastAsia="黑体"/>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24"/>
      <w:bookmarkEnd w:id="25"/>
    </w:p>
    <w:p>
      <w:pPr>
        <w:spacing w:line="576" w:lineRule="exact"/>
        <w:ind w:firstLine="643" w:firstLineChars="200"/>
        <w:outlineLvl w:val="2"/>
        <w:rPr>
          <w:rFonts w:ascii="仿宋" w:hAnsi="仿宋" w:eastAsia="仿宋"/>
          <w:b/>
          <w:sz w:val="32"/>
          <w:szCs w:val="32"/>
        </w:rPr>
      </w:pPr>
      <w:bookmarkStart w:id="26" w:name="_Toc15377216"/>
      <w:r>
        <w:rPr>
          <w:rFonts w:hint="eastAsia" w:ascii="仿宋" w:hAnsi="仿宋" w:eastAsia="仿宋"/>
          <w:b/>
          <w:sz w:val="32"/>
          <w:szCs w:val="32"/>
        </w:rPr>
        <w:t>（一）“三公”经费财政拨款支出决算总体情况说明</w:t>
      </w:r>
      <w:bookmarkEnd w:id="26"/>
    </w:p>
    <w:p>
      <w:pPr>
        <w:spacing w:line="576" w:lineRule="exact"/>
        <w:ind w:firstLine="640" w:firstLineChars="200"/>
        <w:rPr>
          <w:rFonts w:ascii="仿宋" w:hAnsi="仿宋" w:eastAsia="仿宋"/>
          <w:sz w:val="32"/>
          <w:szCs w:val="32"/>
          <w:highlight w:val="red"/>
        </w:rPr>
      </w:pPr>
      <w:r>
        <w:rPr>
          <w:rFonts w:ascii="仿宋" w:hAnsi="仿宋" w:eastAsia="仿宋"/>
          <w:sz w:val="32"/>
          <w:szCs w:val="32"/>
        </w:rPr>
        <w:t>20</w:t>
      </w:r>
      <w:r>
        <w:rPr>
          <w:rFonts w:hint="eastAsia" w:ascii="仿宋" w:hAnsi="仿宋" w:eastAsia="仿宋"/>
          <w:sz w:val="32"/>
          <w:szCs w:val="32"/>
        </w:rPr>
        <w:t>21年“三公”经费财政拨款支出决算为33.86万元，完成预算99.73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仿宋"/>
          <w:sz w:val="32"/>
          <w:szCs w:val="32"/>
        </w:rPr>
        <w:t>决算数小于预算数的主要原因是：响应政府号召，压缩三公经费，过紧日子。</w:t>
      </w:r>
    </w:p>
    <w:p>
      <w:pPr>
        <w:spacing w:line="576" w:lineRule="exact"/>
        <w:ind w:firstLine="643" w:firstLineChars="200"/>
        <w:outlineLvl w:val="2"/>
        <w:rPr>
          <w:rFonts w:ascii="仿宋" w:hAnsi="仿宋" w:eastAsia="仿宋"/>
          <w:b/>
          <w:sz w:val="32"/>
          <w:szCs w:val="32"/>
        </w:rPr>
      </w:pPr>
      <w:bookmarkStart w:id="27" w:name="_Toc15377217"/>
      <w:r>
        <w:rPr>
          <w:rFonts w:hint="eastAsia" w:ascii="仿宋" w:hAnsi="仿宋" w:eastAsia="仿宋"/>
          <w:b/>
          <w:sz w:val="32"/>
          <w:szCs w:val="32"/>
        </w:rPr>
        <w:t>（二）“三公”经费财政拨款支出决算具体情况说明</w:t>
      </w:r>
      <w:bookmarkEnd w:id="27"/>
    </w:p>
    <w:p>
      <w:pPr>
        <w:spacing w:line="576"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21年“三公”经费财政拨款支出决算中，因公出国（境）费支出决算0万元，占0%；公务用车购置及运行维护费支出决算30.82万元，占91.02</w:t>
      </w:r>
      <w:r>
        <w:rPr>
          <w:rFonts w:ascii="仿宋" w:hAnsi="仿宋" w:eastAsia="仿宋"/>
          <w:sz w:val="32"/>
          <w:szCs w:val="32"/>
        </w:rPr>
        <w:t>%</w:t>
      </w:r>
      <w:r>
        <w:rPr>
          <w:rFonts w:hint="eastAsia" w:ascii="仿宋" w:hAnsi="仿宋" w:eastAsia="仿宋"/>
          <w:sz w:val="32"/>
          <w:szCs w:val="32"/>
        </w:rPr>
        <w:t>；公务接待费支出决算3.04万元，占8.98</w:t>
      </w:r>
      <w:r>
        <w:rPr>
          <w:rFonts w:ascii="仿宋" w:hAnsi="仿宋" w:eastAsia="仿宋"/>
          <w:sz w:val="32"/>
          <w:szCs w:val="32"/>
        </w:rPr>
        <w:t>%</w:t>
      </w:r>
      <w:r>
        <w:rPr>
          <w:rFonts w:hint="eastAsia" w:ascii="仿宋" w:hAnsi="仿宋" w:eastAsia="仿宋"/>
          <w:sz w:val="32"/>
          <w:szCs w:val="32"/>
        </w:rPr>
        <w:t>。具体情况如下：</w:t>
      </w:r>
    </w:p>
    <w:p>
      <w:pPr>
        <w:pStyle w:val="2"/>
        <w:spacing w:before="93"/>
      </w:pPr>
      <w:r>
        <w:rPr>
          <w:rFonts w:hint="eastAsia" w:ascii="仿宋" w:hAnsi="仿宋" w:eastAsia="仿宋"/>
          <w:sz w:val="32"/>
          <w:szCs w:val="32"/>
        </w:rPr>
        <w:drawing>
          <wp:anchor distT="0" distB="0" distL="114300" distR="114300" simplePos="0" relativeHeight="251662336" behindDoc="0" locked="0" layoutInCell="1" allowOverlap="1">
            <wp:simplePos x="0" y="0"/>
            <wp:positionH relativeFrom="column">
              <wp:posOffset>854075</wp:posOffset>
            </wp:positionH>
            <wp:positionV relativeFrom="paragraph">
              <wp:posOffset>86360</wp:posOffset>
            </wp:positionV>
            <wp:extent cx="3665855" cy="2314575"/>
            <wp:effectExtent l="5080" t="4445" r="5715" b="508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spacing w:before="93"/>
      </w:pPr>
      <w:r>
        <w:rPr>
          <w:rFonts w:hint="eastAsia" w:ascii="仿宋" w:hAnsi="仿宋" w:eastAsia="仿宋"/>
          <w:sz w:val="32"/>
          <w:szCs w:val="32"/>
        </w:rPr>
        <w:t>（图7：“三公”经费财政拨款支出结构）（饼状图）</w:t>
      </w:r>
    </w:p>
    <w:p>
      <w:pPr>
        <w:spacing w:line="576" w:lineRule="exact"/>
        <w:ind w:firstLine="643" w:firstLineChars="20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6"/>
          <w:rFonts w:hint="eastAsia" w:ascii="仿宋" w:hAnsi="仿宋" w:eastAsia="仿宋"/>
          <w:b w:val="0"/>
          <w:bCs/>
          <w:sz w:val="32"/>
          <w:szCs w:val="32"/>
        </w:rPr>
        <w:t>年初未安排预算</w:t>
      </w:r>
      <w:r>
        <w:rPr>
          <w:rFonts w:hint="eastAsia" w:ascii="仿宋_GB2312" w:eastAsia="仿宋_GB2312"/>
          <w:sz w:val="32"/>
          <w:szCs w:val="32"/>
        </w:rPr>
        <w:t>。因公出国（境）支出决算与</w:t>
      </w:r>
      <w:r>
        <w:rPr>
          <w:rFonts w:ascii="仿宋_GB2312" w:eastAsia="仿宋_GB2312"/>
          <w:sz w:val="32"/>
          <w:szCs w:val="32"/>
        </w:rPr>
        <w:t>20</w:t>
      </w:r>
      <w:r>
        <w:rPr>
          <w:rFonts w:hint="eastAsia" w:ascii="仿宋_GB2312" w:eastAsia="仿宋_GB2312"/>
          <w:sz w:val="32"/>
          <w:szCs w:val="32"/>
        </w:rPr>
        <w:t>20年比较无变化</w:t>
      </w:r>
      <w:r>
        <w:rPr>
          <w:rFonts w:hint="eastAsia" w:ascii="仿宋_GB2312" w:eastAsia="仿宋_GB2312"/>
          <w:sz w:val="32"/>
          <w:szCs w:val="32"/>
          <w:lang w:eastAsia="zh-CN"/>
        </w:rPr>
        <w:t>，当年没有发生因公出国（境）支出</w:t>
      </w:r>
      <w:r>
        <w:rPr>
          <w:rFonts w:hint="eastAsia" w:ascii="仿宋_GB2312" w:eastAsia="仿宋_GB2312"/>
          <w:sz w:val="32"/>
          <w:szCs w:val="32"/>
        </w:rPr>
        <w:t>。</w:t>
      </w:r>
    </w:p>
    <w:p>
      <w:pPr>
        <w:spacing w:line="576"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30.82万元,</w:t>
      </w:r>
      <w:r>
        <w:rPr>
          <w:rStyle w:val="16"/>
          <w:rFonts w:hint="eastAsia" w:ascii="仿宋" w:hAnsi="仿宋" w:eastAsia="仿宋"/>
          <w:b w:val="0"/>
          <w:bCs/>
          <w:sz w:val="32"/>
          <w:szCs w:val="32"/>
        </w:rPr>
        <w:t>完成预算99.84</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20年增加26.74万元，增长655</w:t>
      </w:r>
      <w:r>
        <w:rPr>
          <w:rFonts w:ascii="仿宋_GB2312" w:eastAsia="仿宋_GB2312"/>
          <w:sz w:val="32"/>
          <w:szCs w:val="32"/>
        </w:rPr>
        <w:t>%</w:t>
      </w:r>
      <w:r>
        <w:rPr>
          <w:rFonts w:hint="eastAsia" w:ascii="仿宋_GB2312" w:eastAsia="仿宋_GB2312"/>
          <w:sz w:val="32"/>
          <w:szCs w:val="32"/>
        </w:rPr>
        <w:t>。主要原因是2021年我站因救助业务需要，新购置1辆业务车，新车价格为26.78万元，公务用车运行维护费4.04万元与上年持平。</w:t>
      </w:r>
    </w:p>
    <w:p>
      <w:pPr>
        <w:spacing w:line="576"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26.78万元。全年按规定更新购置载客汽车1辆，主要用于流浪乞讨人员的流动救助及特殊救助对象的护送工作。截至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月底，单位共有公务用车4辆，其中：轿车1辆、载客汽车3辆。</w:t>
      </w:r>
    </w:p>
    <w:p>
      <w:pPr>
        <w:spacing w:line="576" w:lineRule="exact"/>
        <w:ind w:firstLine="643" w:firstLineChars="20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4.04万元。主要用于流浪乞讨人员的流动救助及特殊救助对象的护送工作等所需的公务用车燃料费、维修费、过路过桥费、保险费等支出。</w:t>
      </w:r>
    </w:p>
    <w:p>
      <w:pPr>
        <w:spacing w:line="576" w:lineRule="exact"/>
        <w:ind w:firstLine="643" w:firstLineChars="20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3.04万元，</w:t>
      </w:r>
      <w:r>
        <w:rPr>
          <w:rStyle w:val="16"/>
          <w:rFonts w:hint="eastAsia" w:ascii="仿宋" w:hAnsi="仿宋" w:eastAsia="仿宋"/>
          <w:b w:val="0"/>
          <w:bCs/>
          <w:sz w:val="32"/>
          <w:szCs w:val="32"/>
        </w:rPr>
        <w:t>完成预算98.70%。</w:t>
      </w:r>
      <w:r>
        <w:rPr>
          <w:rFonts w:hint="eastAsia" w:ascii="仿宋_GB2312" w:eastAsia="仿宋_GB2312"/>
          <w:sz w:val="32"/>
          <w:szCs w:val="32"/>
        </w:rPr>
        <w:t>公务接待费支出决算与</w:t>
      </w:r>
      <w:r>
        <w:rPr>
          <w:rFonts w:ascii="仿宋_GB2312" w:eastAsia="仿宋_GB2312"/>
          <w:sz w:val="32"/>
          <w:szCs w:val="32"/>
        </w:rPr>
        <w:t>20</w:t>
      </w:r>
      <w:r>
        <w:rPr>
          <w:rFonts w:hint="eastAsia" w:ascii="仿宋_GB2312" w:eastAsia="仿宋_GB2312"/>
          <w:sz w:val="32"/>
          <w:szCs w:val="32"/>
        </w:rPr>
        <w:t>20年持平。其中：</w:t>
      </w:r>
    </w:p>
    <w:p>
      <w:pPr>
        <w:spacing w:line="576" w:lineRule="exact"/>
        <w:ind w:firstLine="643" w:firstLineChars="200"/>
        <w:rPr>
          <w:rFonts w:ascii="仿宋_GB2312" w:eastAsia="仿宋_GB2312"/>
          <w:sz w:val="32"/>
          <w:szCs w:val="32"/>
          <w:highlight w:val="red"/>
        </w:rPr>
      </w:pPr>
      <w:r>
        <w:rPr>
          <w:rFonts w:hint="eastAsia" w:ascii="仿宋" w:hAnsi="仿宋" w:eastAsia="仿宋"/>
          <w:b/>
          <w:sz w:val="32"/>
          <w:szCs w:val="32"/>
        </w:rPr>
        <w:t>国内公务接待支出</w:t>
      </w:r>
      <w:r>
        <w:rPr>
          <w:rFonts w:hint="eastAsia" w:ascii="仿宋" w:hAnsi="仿宋" w:eastAsia="仿宋"/>
          <w:sz w:val="32"/>
          <w:szCs w:val="32"/>
        </w:rPr>
        <w:t>3.04</w:t>
      </w:r>
      <w:r>
        <w:rPr>
          <w:rFonts w:hint="eastAsia" w:ascii="仿宋_GB2312" w:eastAsia="仿宋_GB2312"/>
          <w:sz w:val="32"/>
          <w:szCs w:val="32"/>
        </w:rPr>
        <w:t>万元，主要用于执行公务、开展救助业务活动开支的交通费、住宿费、用餐费等。国内公务接待71批次，410人次（不包括陪同人员），共计支出3.04万元。</w:t>
      </w:r>
      <w:bookmarkStart w:id="28" w:name="_Toc15396610"/>
      <w:bookmarkStart w:id="29" w:name="_Toc15377218"/>
      <w:r>
        <w:rPr>
          <w:rFonts w:hint="eastAsia" w:ascii="仿宋" w:hAnsi="仿宋" w:eastAsia="仿宋" w:cs="仿宋"/>
          <w:sz w:val="32"/>
          <w:szCs w:val="32"/>
        </w:rPr>
        <w:t>具体内容包括：接待对口站护送的工作人员及来我站学习参观的人员。</w:t>
      </w:r>
    </w:p>
    <w:p>
      <w:pPr>
        <w:spacing w:line="576" w:lineRule="exact"/>
        <w:ind w:firstLine="640" w:firstLineChars="20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28"/>
      <w:bookmarkEnd w:id="29"/>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21年政府性基金预算财政拨款支出30万元，用于我站临时安置人员的医疗救助支出。</w:t>
      </w:r>
    </w:p>
    <w:p>
      <w:pPr>
        <w:numPr>
          <w:ilvl w:val="0"/>
          <w:numId w:val="1"/>
        </w:numPr>
        <w:spacing w:line="576" w:lineRule="exact"/>
        <w:ind w:firstLine="640" w:firstLineChars="200"/>
        <w:outlineLvl w:val="1"/>
        <w:rPr>
          <w:rStyle w:val="27"/>
          <w:rFonts w:ascii="黑体" w:hAnsi="黑体" w:eastAsia="黑体"/>
          <w:b w:val="0"/>
        </w:rPr>
      </w:pPr>
      <w:bookmarkStart w:id="30" w:name="_Toc15377219"/>
      <w:bookmarkStart w:id="31" w:name="_Toc15396611"/>
      <w:r>
        <w:rPr>
          <w:rStyle w:val="27"/>
          <w:rFonts w:hint="eastAsia" w:ascii="黑体" w:hAnsi="黑体" w:eastAsia="黑体"/>
          <w:b w:val="0"/>
        </w:rPr>
        <w:t>国有资本经营预算支出决算情况说明</w:t>
      </w:r>
      <w:bookmarkEnd w:id="30"/>
      <w:bookmarkEnd w:id="31"/>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1"/>
        </w:numPr>
        <w:spacing w:line="576" w:lineRule="exact"/>
        <w:ind w:firstLine="640" w:firstLineChars="200"/>
        <w:outlineLvl w:val="1"/>
        <w:rPr>
          <w:rStyle w:val="27"/>
          <w:rFonts w:ascii="黑体" w:hAnsi="黑体" w:eastAsia="黑体"/>
          <w:b w:val="0"/>
        </w:rPr>
      </w:pPr>
      <w:bookmarkStart w:id="32" w:name="_Toc15377221"/>
      <w:bookmarkStart w:id="33" w:name="_Toc15396612"/>
      <w:r>
        <w:rPr>
          <w:rStyle w:val="27"/>
          <w:rFonts w:hint="eastAsia" w:ascii="黑体" w:hAnsi="黑体" w:eastAsia="黑体"/>
          <w:b w:val="0"/>
        </w:rPr>
        <w:t>预算绩效管理情况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流浪乞讨人员救助项目等2个项目开展了预算事前绩效评估，对2个项目编制了绩效目标，预算执行过程中，选取1个项目开展绩效监控，年终执行完毕后，对2个项目开展了绩效自评，2021年部门预算项目绩效目标自评表见附件（第四部分）。</w:t>
      </w:r>
    </w:p>
    <w:p>
      <w:pPr>
        <w:numPr>
          <w:ilvl w:val="0"/>
          <w:numId w:val="1"/>
        </w:numPr>
        <w:spacing w:line="576" w:lineRule="exact"/>
        <w:ind w:firstLine="640" w:firstLineChars="200"/>
        <w:outlineLvl w:val="1"/>
        <w:rPr>
          <w:rStyle w:val="27"/>
          <w:rFonts w:ascii="黑体" w:hAnsi="黑体" w:eastAsia="黑体"/>
          <w:b w:val="0"/>
        </w:rPr>
      </w:pPr>
      <w:r>
        <w:rPr>
          <w:rStyle w:val="27"/>
          <w:rFonts w:hint="eastAsia" w:ascii="黑体" w:hAnsi="黑体" w:eastAsia="黑体"/>
          <w:b w:val="0"/>
        </w:rPr>
        <w:t>其他重要事项的情况说明</w:t>
      </w:r>
      <w:bookmarkEnd w:id="32"/>
      <w:bookmarkEnd w:id="33"/>
    </w:p>
    <w:p>
      <w:pPr>
        <w:spacing w:line="576" w:lineRule="exact"/>
        <w:ind w:firstLine="643" w:firstLineChars="200"/>
        <w:outlineLvl w:val="2"/>
        <w:rPr>
          <w:rFonts w:ascii="仿宋" w:hAnsi="仿宋" w:eastAsia="仿宋"/>
          <w:sz w:val="32"/>
          <w:szCs w:val="32"/>
        </w:rPr>
      </w:pPr>
      <w:bookmarkStart w:id="34" w:name="_Toc15377222"/>
      <w:r>
        <w:rPr>
          <w:rFonts w:hint="eastAsia" w:ascii="仿宋" w:hAnsi="仿宋" w:eastAsia="仿宋"/>
          <w:b/>
          <w:sz w:val="32"/>
          <w:szCs w:val="32"/>
        </w:rPr>
        <w:t>（一）机关运行经费支出情况</w:t>
      </w:r>
      <w:bookmarkEnd w:id="34"/>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21年，未发生机关运行经费支出，与</w:t>
      </w:r>
      <w:r>
        <w:rPr>
          <w:rFonts w:ascii="仿宋_GB2312" w:eastAsia="仿宋_GB2312"/>
          <w:sz w:val="32"/>
          <w:szCs w:val="32"/>
        </w:rPr>
        <w:t>20</w:t>
      </w:r>
      <w:r>
        <w:rPr>
          <w:rFonts w:hint="eastAsia" w:ascii="仿宋_GB2312" w:eastAsia="仿宋_GB2312"/>
          <w:sz w:val="32"/>
          <w:szCs w:val="32"/>
        </w:rPr>
        <w:t>20年决算数持平。</w:t>
      </w:r>
    </w:p>
    <w:p>
      <w:pPr>
        <w:autoSpaceDE w:val="0"/>
        <w:autoSpaceDN w:val="0"/>
        <w:adjustRightInd w:val="0"/>
        <w:spacing w:line="576" w:lineRule="exact"/>
        <w:ind w:firstLine="643" w:firstLineChars="200"/>
        <w:jc w:val="left"/>
        <w:outlineLvl w:val="2"/>
        <w:rPr>
          <w:rFonts w:ascii="仿宋" w:hAnsi="仿宋" w:eastAsia="仿宋"/>
          <w:b/>
          <w:sz w:val="32"/>
          <w:szCs w:val="32"/>
        </w:rPr>
      </w:pPr>
      <w:bookmarkStart w:id="35" w:name="_Toc15377223"/>
      <w:r>
        <w:rPr>
          <w:rFonts w:hint="eastAsia" w:ascii="仿宋" w:hAnsi="仿宋" w:eastAsia="仿宋"/>
          <w:b/>
          <w:sz w:val="32"/>
          <w:szCs w:val="32"/>
        </w:rPr>
        <w:t>（二）政府采购支出情况</w:t>
      </w:r>
      <w:bookmarkEnd w:id="35"/>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21年，广元市救助管理站政府采购支出总额26.78万元，用于政府采购货物支出26.78万元。主要用于购置救助工作业务用车1辆。授予小</w:t>
      </w:r>
      <w:r>
        <w:rPr>
          <w:rFonts w:hint="eastAsia" w:ascii="仿宋_GB2312" w:eastAsia="仿宋_GB2312"/>
          <w:sz w:val="32"/>
          <w:szCs w:val="32"/>
          <w:lang w:eastAsia="zh-CN"/>
        </w:rPr>
        <w:t>微</w:t>
      </w:r>
      <w:r>
        <w:rPr>
          <w:rFonts w:hint="eastAsia" w:ascii="仿宋_GB2312" w:eastAsia="仿宋_GB2312"/>
          <w:sz w:val="32"/>
          <w:szCs w:val="32"/>
        </w:rPr>
        <w:t>企业合同金额26.78万元，占政府采购支出总额的100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576" w:lineRule="exact"/>
        <w:ind w:firstLine="643" w:firstLineChars="200"/>
        <w:jc w:val="left"/>
        <w:outlineLvl w:val="2"/>
        <w:rPr>
          <w:rFonts w:ascii="仿宋" w:hAnsi="仿宋" w:eastAsia="仿宋"/>
          <w:b/>
          <w:sz w:val="32"/>
          <w:szCs w:val="32"/>
        </w:rPr>
      </w:pPr>
      <w:bookmarkStart w:id="36" w:name="_Toc15377224"/>
      <w:r>
        <w:rPr>
          <w:rFonts w:hint="eastAsia" w:ascii="仿宋" w:hAnsi="仿宋" w:eastAsia="仿宋"/>
          <w:b/>
          <w:sz w:val="32"/>
          <w:szCs w:val="32"/>
        </w:rPr>
        <w:t>（三）国有资产占有使用情况</w:t>
      </w:r>
      <w:bookmarkEnd w:id="36"/>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日，广元市救助管理站共有车辆4辆，主要是用于我站的流浪乞讨人员救助工作及未成年人社会保护工作。单价50万元以上通用设备0台、单价100万元以上专用设备0台。</w:t>
      </w:r>
    </w:p>
    <w:p>
      <w:pPr>
        <w:autoSpaceDE w:val="0"/>
        <w:autoSpaceDN w:val="0"/>
        <w:adjustRightInd w:val="0"/>
        <w:spacing w:line="600" w:lineRule="exact"/>
        <w:ind w:firstLine="640" w:firstLineChars="200"/>
        <w:jc w:val="left"/>
        <w:rPr>
          <w:rFonts w:ascii="仿宋_GB2312" w:eastAsia="仿宋_GB2312"/>
          <w:sz w:val="32"/>
          <w:szCs w:val="32"/>
        </w:rPr>
      </w:pPr>
    </w:p>
    <w:p>
      <w:pPr>
        <w:widowControl/>
        <w:spacing w:line="576" w:lineRule="exact"/>
        <w:ind w:firstLine="643" w:firstLineChars="200"/>
        <w:jc w:val="left"/>
        <w:rPr>
          <w:rFonts w:ascii="仿宋_GB2312" w:eastAsia="仿宋_GB2312"/>
          <w:b/>
          <w:sz w:val="32"/>
          <w:szCs w:val="32"/>
        </w:rPr>
      </w:pPr>
      <w:r>
        <w:rPr>
          <w:rFonts w:ascii="仿宋_GB2312" w:eastAsia="仿宋_GB2312"/>
          <w:b/>
          <w:sz w:val="32"/>
          <w:szCs w:val="32"/>
        </w:rPr>
        <w:br w:type="page"/>
      </w:r>
    </w:p>
    <w:p>
      <w:pPr>
        <w:spacing w:line="576" w:lineRule="exact"/>
        <w:jc w:val="center"/>
        <w:outlineLvl w:val="0"/>
        <w:rPr>
          <w:rStyle w:val="26"/>
          <w:rFonts w:ascii="黑体" w:hAnsi="黑体" w:eastAsia="黑体"/>
          <w:b w:val="0"/>
        </w:rPr>
      </w:pPr>
      <w:bookmarkStart w:id="37" w:name="_Toc15377225"/>
      <w:bookmarkStart w:id="38" w:name="_Toc15396613"/>
      <w:r>
        <w:rPr>
          <w:rFonts w:hint="eastAsia" w:ascii="黑体" w:hAnsi="黑体" w:eastAsia="黑体"/>
          <w:sz w:val="44"/>
          <w:szCs w:val="44"/>
        </w:rPr>
        <w:t>第三部分 名</w:t>
      </w:r>
      <w:r>
        <w:rPr>
          <w:rStyle w:val="26"/>
          <w:rFonts w:hint="eastAsia" w:ascii="黑体" w:hAnsi="黑体" w:eastAsia="黑体"/>
          <w:b w:val="0"/>
        </w:rPr>
        <w:t>词解释</w:t>
      </w:r>
      <w:bookmarkEnd w:id="37"/>
      <w:bookmarkEnd w:id="38"/>
    </w:p>
    <w:p>
      <w:pPr>
        <w:spacing w:line="576" w:lineRule="exact"/>
        <w:ind w:firstLine="883" w:firstLineChars="200"/>
        <w:jc w:val="left"/>
        <w:rPr>
          <w:rFonts w:ascii="宋体"/>
          <w:b/>
          <w:sz w:val="44"/>
          <w:szCs w:val="44"/>
        </w:rPr>
      </w:pPr>
    </w:p>
    <w:p>
      <w:pPr>
        <w:pStyle w:val="24"/>
        <w:spacing w:line="576"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4"/>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4"/>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3、年末结转和结余：指单位按有关规定结转到下年或以后年度继续使用的资金。</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 xml:space="preserve"> </w:t>
      </w:r>
      <w:r>
        <w:rPr>
          <w:rStyle w:val="16"/>
          <w:rFonts w:hint="eastAsia" w:ascii="仿宋" w:hAnsi="仿宋" w:eastAsia="仿宋"/>
          <w:b w:val="0"/>
          <w:bCs/>
          <w:sz w:val="32"/>
          <w:szCs w:val="32"/>
        </w:rPr>
        <w:t>社会保障和就业（类）临时救助（款）临时救助支出（项）</w:t>
      </w:r>
      <w:r>
        <w:rPr>
          <w:rFonts w:hint="eastAsia" w:ascii="仿宋_GB2312" w:eastAsia="仿宋_GB2312"/>
          <w:sz w:val="32"/>
          <w:szCs w:val="32"/>
        </w:rPr>
        <w:t>：指反映用于城乡生活困难居民的临时救助等支出。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Style w:val="16"/>
          <w:rFonts w:hint="eastAsia" w:ascii="仿宋" w:hAnsi="仿宋" w:eastAsia="仿宋"/>
          <w:b w:val="0"/>
          <w:bCs/>
          <w:sz w:val="32"/>
          <w:szCs w:val="32"/>
        </w:rPr>
        <w:t xml:space="preserve"> 社会保障和就业（类）其它社会保障和就业支出（款）其它社会保障和就业支出（项）</w:t>
      </w:r>
      <w:r>
        <w:rPr>
          <w:rFonts w:hint="eastAsia" w:ascii="仿宋_GB2312" w:eastAsia="仿宋_GB2312"/>
          <w:sz w:val="32"/>
          <w:szCs w:val="32"/>
        </w:rPr>
        <w:t>指反映上述项目以外其他用于</w:t>
      </w:r>
      <w:r>
        <w:rPr>
          <w:rStyle w:val="16"/>
          <w:rFonts w:hint="eastAsia" w:ascii="仿宋" w:hAnsi="仿宋" w:eastAsia="仿宋"/>
          <w:b w:val="0"/>
          <w:bCs/>
          <w:sz w:val="32"/>
          <w:szCs w:val="32"/>
        </w:rPr>
        <w:t>社会保障和就业方面的支出</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Style w:val="16"/>
          <w:rFonts w:hint="eastAsia" w:ascii="仿宋" w:hAnsi="仿宋" w:eastAsia="仿宋"/>
          <w:b w:val="0"/>
          <w:bCs/>
          <w:sz w:val="32"/>
          <w:szCs w:val="32"/>
        </w:rPr>
        <w:t xml:space="preserve"> 社会保障和就业（类）临时救助（款）流浪乞讨人员救助（项）</w:t>
      </w:r>
      <w:r>
        <w:rPr>
          <w:rFonts w:hint="eastAsia" w:ascii="仿宋_GB2312" w:eastAsia="仿宋_GB2312"/>
          <w:sz w:val="32"/>
          <w:szCs w:val="32"/>
        </w:rPr>
        <w:t>：指反映用于生活无着的流浪乞讨人员的救助支出和救助管理机构的运转支出。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w:t>
      </w:r>
      <w:r>
        <w:rPr>
          <w:rStyle w:val="16"/>
          <w:rFonts w:hint="eastAsia" w:ascii="仿宋" w:hAnsi="仿宋" w:eastAsia="仿宋"/>
          <w:bCs/>
          <w:sz w:val="32"/>
          <w:szCs w:val="32"/>
        </w:rPr>
        <w:t xml:space="preserve"> </w:t>
      </w:r>
      <w:r>
        <w:rPr>
          <w:rStyle w:val="16"/>
          <w:rFonts w:hint="eastAsia" w:ascii="仿宋" w:hAnsi="仿宋" w:eastAsia="仿宋"/>
          <w:b w:val="0"/>
          <w:bCs/>
          <w:sz w:val="32"/>
          <w:szCs w:val="32"/>
        </w:rPr>
        <w:t>社会保障和就业（类）行政事业单位养老支出（款）机关事业单位基本养老保险缴费支出（项）</w:t>
      </w:r>
      <w:r>
        <w:rPr>
          <w:rFonts w:hint="eastAsia" w:ascii="仿宋_GB2312" w:eastAsia="仿宋_GB2312"/>
          <w:b/>
          <w:sz w:val="32"/>
          <w:szCs w:val="32"/>
        </w:rPr>
        <w:t>：</w:t>
      </w:r>
      <w:r>
        <w:rPr>
          <w:rFonts w:hint="eastAsia" w:ascii="仿宋_GB2312" w:eastAsia="仿宋_GB2312"/>
          <w:sz w:val="32"/>
          <w:szCs w:val="32"/>
        </w:rPr>
        <w:t>指反映机关事业单位实施养老保险制度由单位缴纳的基本养老保险费支出。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w:t>
      </w:r>
      <w:r>
        <w:rPr>
          <w:rStyle w:val="16"/>
          <w:rFonts w:hint="eastAsia" w:ascii="仿宋" w:hAnsi="仿宋" w:eastAsia="仿宋"/>
          <w:bCs/>
          <w:sz w:val="32"/>
          <w:szCs w:val="32"/>
        </w:rPr>
        <w:t xml:space="preserve"> </w:t>
      </w:r>
      <w:r>
        <w:rPr>
          <w:rStyle w:val="16"/>
          <w:rFonts w:hint="eastAsia" w:ascii="仿宋" w:hAnsi="仿宋" w:eastAsia="仿宋"/>
          <w:b w:val="0"/>
          <w:bCs/>
          <w:sz w:val="32"/>
          <w:szCs w:val="32"/>
        </w:rPr>
        <w:t>社会保障和就业（类）行政事业单位养老支出（款）机关事业单位职业年金缴费支出（项）</w:t>
      </w:r>
      <w:r>
        <w:rPr>
          <w:rFonts w:hint="eastAsia" w:ascii="仿宋_GB2312" w:eastAsia="仿宋_GB2312"/>
          <w:sz w:val="32"/>
          <w:szCs w:val="32"/>
        </w:rPr>
        <w:t>。指反映机关事业单位实施养老保险制度由单位实际缴纳的职业年金支出。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 w:hAnsi="仿宋" w:eastAsia="仿宋"/>
          <w:b/>
          <w:bCs/>
          <w:sz w:val="32"/>
          <w:szCs w:val="32"/>
        </w:rPr>
        <w:t xml:space="preserve"> </w:t>
      </w:r>
      <w:r>
        <w:rPr>
          <w:rFonts w:hint="eastAsia" w:ascii="仿宋" w:hAnsi="仿宋" w:eastAsia="仿宋"/>
          <w:bCs/>
          <w:sz w:val="32"/>
          <w:szCs w:val="32"/>
        </w:rPr>
        <w:t>卫生健康</w:t>
      </w:r>
      <w:r>
        <w:rPr>
          <w:rStyle w:val="16"/>
          <w:rFonts w:hint="eastAsia" w:ascii="仿宋" w:hAnsi="仿宋" w:eastAsia="仿宋"/>
          <w:b w:val="0"/>
          <w:bCs/>
          <w:sz w:val="32"/>
          <w:szCs w:val="32"/>
        </w:rPr>
        <w:t>（类）行政事业单位医疗（款）事业单位医疗（项）</w:t>
      </w:r>
      <w:r>
        <w:rPr>
          <w:rFonts w:hint="eastAsia" w:ascii="仿宋_GB2312" w:eastAsia="仿宋_GB2312"/>
          <w:b/>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指反映财政部门安排的事业单位基本医疗保险缴费经费，未参加医疗保险的事业单位的公费医疗经费，按国家规定享受离休人员待遇的医疗经费。</w:t>
      </w:r>
    </w:p>
    <w:p>
      <w:pPr>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0</w:t>
      </w:r>
      <w:r>
        <w:rPr>
          <w:rFonts w:ascii="仿宋_GB2312" w:eastAsia="仿宋_GB2312"/>
          <w:sz w:val="32"/>
          <w:szCs w:val="32"/>
        </w:rPr>
        <w:t>.</w:t>
      </w:r>
      <w:r>
        <w:rPr>
          <w:rStyle w:val="16"/>
          <w:rFonts w:hint="eastAsia" w:ascii="仿宋" w:hAnsi="仿宋" w:eastAsia="仿宋"/>
          <w:bCs/>
          <w:sz w:val="32"/>
          <w:szCs w:val="32"/>
        </w:rPr>
        <w:t xml:space="preserve"> </w:t>
      </w:r>
      <w:r>
        <w:rPr>
          <w:rStyle w:val="16"/>
          <w:rFonts w:hint="eastAsia" w:ascii="仿宋" w:hAnsi="仿宋" w:eastAsia="仿宋"/>
          <w:b w:val="0"/>
          <w:bCs/>
          <w:sz w:val="32"/>
          <w:szCs w:val="32"/>
        </w:rPr>
        <w:t>住房保障支出（类）住房改革支出（款）住房公积金（项）</w:t>
      </w:r>
      <w:r>
        <w:rPr>
          <w:rFonts w:hint="eastAsia" w:ascii="仿宋_GB2312" w:eastAsia="仿宋_GB2312"/>
          <w:b/>
          <w:sz w:val="32"/>
          <w:szCs w:val="32"/>
        </w:rPr>
        <w:t>：</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4"/>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13</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76" w:lineRule="exact"/>
        <w:ind w:firstLine="640" w:firstLineChars="200"/>
        <w:rPr>
          <w:rFonts w:hint="eastAsia" w:ascii="仿宋_GB2312" w:eastAsia="仿宋_GB2312" w:cs="黑体"/>
          <w:color w:val="auto"/>
          <w:sz w:val="32"/>
          <w:szCs w:val="32"/>
          <w:lang w:val="en-US" w:eastAsia="zh-CN"/>
        </w:rPr>
      </w:pPr>
      <w:r>
        <w:rPr>
          <w:rFonts w:hint="eastAsia" w:ascii="仿宋_GB2312" w:eastAsia="仿宋_GB2312" w:cs="黑体"/>
          <w:color w:val="auto"/>
          <w:sz w:val="32"/>
          <w:szCs w:val="32"/>
          <w:lang w:val="en-US" w:eastAsia="zh-CN"/>
        </w:rPr>
        <w:t xml:space="preserve">14.用于城乡医疗救助的的彩票公益金支出：反映用于城乡医疗救助的的彩票公益金支出。                                                </w:t>
      </w:r>
    </w:p>
    <w:p>
      <w:pPr>
        <w:pStyle w:val="24"/>
        <w:spacing w:line="576" w:lineRule="exact"/>
        <w:ind w:firstLine="640" w:firstLineChars="200"/>
        <w:rPr>
          <w:rFonts w:hint="eastAsia" w:ascii="仿宋_GB2312" w:eastAsia="仿宋_GB2312" w:cs="黑体"/>
          <w:color w:val="auto"/>
          <w:sz w:val="32"/>
          <w:szCs w:val="32"/>
          <w:lang w:val="en-US" w:eastAsia="zh-CN"/>
        </w:rPr>
      </w:pPr>
      <w:r>
        <w:rPr>
          <w:rFonts w:hint="eastAsia" w:ascii="仿宋_GB2312" w:eastAsia="仿宋_GB2312" w:cs="黑体"/>
          <w:color w:val="auto"/>
          <w:sz w:val="32"/>
          <w:szCs w:val="32"/>
          <w:lang w:val="en-US" w:eastAsia="zh-CN"/>
        </w:rPr>
        <w:t>15.用于其他社会公益事业的彩票公益金支出：反映于其他社会公益事业的彩票公益金支出。</w:t>
      </w:r>
    </w:p>
    <w:p>
      <w:pPr>
        <w:spacing w:line="576" w:lineRule="exact"/>
        <w:ind w:firstLine="883" w:firstLineChars="200"/>
        <w:jc w:val="left"/>
        <w:outlineLvl w:val="0"/>
        <w:rPr>
          <w:rStyle w:val="26"/>
          <w:rFonts w:ascii="黑体" w:hAnsi="黑体" w:eastAsia="黑体"/>
          <w:b w:val="0"/>
        </w:rPr>
      </w:pPr>
      <w:bookmarkStart w:id="39" w:name="_Toc15377226"/>
      <w:r>
        <w:rPr>
          <w:rFonts w:ascii="宋体"/>
          <w:b/>
          <w:sz w:val="44"/>
          <w:szCs w:val="44"/>
        </w:rPr>
        <w:br w:type="page"/>
      </w:r>
      <w:bookmarkStart w:id="40" w:name="_Toc15396614"/>
      <w:r>
        <w:rPr>
          <w:rFonts w:hint="eastAsia" w:ascii="黑体" w:hAnsi="黑体" w:eastAsia="黑体"/>
          <w:sz w:val="44"/>
          <w:szCs w:val="44"/>
        </w:rPr>
        <w:t>第</w:t>
      </w:r>
      <w:r>
        <w:rPr>
          <w:rStyle w:val="26"/>
          <w:rFonts w:hint="eastAsia" w:ascii="黑体" w:hAnsi="黑体" w:eastAsia="黑体"/>
          <w:b w:val="0"/>
        </w:rPr>
        <w:t>四部分 附件</w:t>
      </w:r>
      <w:bookmarkEnd w:id="40"/>
    </w:p>
    <w:p>
      <w:pPr>
        <w:spacing w:line="576" w:lineRule="exact"/>
        <w:ind w:firstLine="800" w:firstLineChars="200"/>
        <w:jc w:val="center"/>
        <w:rPr>
          <w:rFonts w:ascii="方正小标宋简体" w:hAnsi="方正小标宋简体" w:eastAsia="方正小标宋简体" w:cs="方正小标宋简体"/>
          <w:sz w:val="40"/>
          <w:szCs w:val="40"/>
        </w:rPr>
      </w:pPr>
    </w:p>
    <w:p>
      <w:pPr>
        <w:spacing w:line="576"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2021年流浪乞讨人员救助</w:t>
      </w:r>
      <w:r>
        <w:rPr>
          <w:rFonts w:hint="eastAsia" w:ascii="方正小标宋简体" w:hAnsi="方正小标宋简体" w:eastAsia="方正小标宋简体" w:cs="方正小标宋简体"/>
          <w:sz w:val="40"/>
          <w:szCs w:val="40"/>
          <w:lang w:val="zh-CN"/>
        </w:rPr>
        <w:t>专项</w:t>
      </w:r>
    </w:p>
    <w:p>
      <w:pPr>
        <w:spacing w:line="576"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预算项目支出绩效自评报告</w:t>
      </w:r>
    </w:p>
    <w:p>
      <w:pPr>
        <w:adjustRightInd w:val="0"/>
        <w:snapToGrid w:val="0"/>
        <w:spacing w:line="576"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6" w:lineRule="exact"/>
        <w:ind w:firstLine="643" w:firstLineChars="200"/>
        <w:rPr>
          <w:rFonts w:ascii="仿宋" w:hAnsi="仿宋" w:eastAsia="仿宋"/>
          <w:b/>
          <w:sz w:val="32"/>
          <w:szCs w:val="32"/>
          <w:lang w:val="zh-CN"/>
        </w:rPr>
      </w:pPr>
      <w:r>
        <w:rPr>
          <w:rFonts w:hint="eastAsia" w:ascii="仿宋" w:hAnsi="仿宋" w:eastAsia="仿宋"/>
          <w:b/>
          <w:sz w:val="32"/>
          <w:szCs w:val="32"/>
          <w:lang w:val="zh-CN"/>
        </w:rPr>
        <w:t>（一）项目基本情况</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1．项目主管部门（单位）在该项目管理中的职能。</w:t>
      </w:r>
    </w:p>
    <w:p>
      <w:pPr>
        <w:adjustRightInd w:val="0"/>
        <w:snapToGrid w:val="0"/>
        <w:spacing w:line="576" w:lineRule="exact"/>
        <w:ind w:firstLine="640" w:firstLineChars="200"/>
        <w:rPr>
          <w:rFonts w:ascii="仿宋" w:hAnsi="仿宋" w:eastAsia="仿宋"/>
          <w:sz w:val="32"/>
          <w:szCs w:val="32"/>
        </w:rPr>
      </w:pPr>
      <w:r>
        <w:rPr>
          <w:rFonts w:hint="eastAsia" w:ascii="仿宋" w:hAnsi="仿宋" w:eastAsia="仿宋"/>
          <w:sz w:val="32"/>
          <w:szCs w:val="32"/>
        </w:rPr>
        <w:t>我站始终坚持“自愿求助、无偿救助、依法救助”的工作原则，认真做好救助管理服务工作，做好寒冬季节流浪乞讨人员和困境未成年人救助保护工作、实施“朝阳计划”“假日养吧” 并实施“2+2专业救助计划”（即：周六、周日+暑假、寒假）引领“超前救助”的农村困境未成年人专业化保护的“广元实践”，全面完成救助任务。本单位在项目管理的职责包括具体实施、指导培训、监督检查等。</w:t>
      </w:r>
    </w:p>
    <w:p>
      <w:pPr>
        <w:numPr>
          <w:ilvl w:val="0"/>
          <w:numId w:val="2"/>
        </w:num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项目立项、资金申报的依据。</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项目立项、资金申报的依据主要是本单位职能职责及年度工作计划。</w:t>
      </w:r>
    </w:p>
    <w:p>
      <w:pPr>
        <w:numPr>
          <w:ilvl w:val="0"/>
          <w:numId w:val="2"/>
        </w:num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资金管理办法制定情况，资金支持具体项目的条件、范围与支持方式概况。</w:t>
      </w:r>
    </w:p>
    <w:p>
      <w:pPr>
        <w:pStyle w:val="12"/>
        <w:spacing w:before="0" w:beforeAutospacing="0" w:after="0" w:afterAutospacing="0" w:line="576"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我站依据《中央财政流浪乞讨人员救助补助资金管理办法》，制定本单位专项资金管理制度及办法，严格执行财务管理制度，规范会计核算。</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cs="仿宋_GB2312"/>
          <w:color w:val="000000"/>
          <w:sz w:val="32"/>
          <w:szCs w:val="32"/>
        </w:rPr>
        <w:t>流浪乞讨救助资金用于流浪乞讨人员生活救助、医疗救治、教育矫治、返乡救助、主动救助、未成年人社会保护和临时安置等救助保护支出</w:t>
      </w:r>
      <w:r>
        <w:rPr>
          <w:rFonts w:hint="eastAsia" w:ascii="仿宋" w:hAnsi="仿宋" w:eastAsia="仿宋"/>
          <w:sz w:val="32"/>
          <w:szCs w:val="32"/>
          <w:lang w:val="zh-CN"/>
        </w:rPr>
        <w:t>，财政全额支持。</w:t>
      </w:r>
    </w:p>
    <w:p>
      <w:pPr>
        <w:numPr>
          <w:ilvl w:val="0"/>
          <w:numId w:val="2"/>
        </w:num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资金分配的原则及考虑因素。</w:t>
      </w:r>
    </w:p>
    <w:p>
      <w:pPr>
        <w:adjustRightInd w:val="0"/>
        <w:snapToGrid w:val="0"/>
        <w:spacing w:line="576" w:lineRule="exact"/>
        <w:ind w:firstLine="640" w:firstLineChars="200"/>
        <w:jc w:val="left"/>
        <w:rPr>
          <w:rFonts w:ascii="仿宋" w:hAnsi="仿宋" w:eastAsia="仿宋"/>
          <w:sz w:val="32"/>
          <w:szCs w:val="32"/>
          <w:lang w:val="zh-CN"/>
        </w:rPr>
      </w:pPr>
      <w:r>
        <w:rPr>
          <w:rFonts w:hint="eastAsia" w:ascii="仿宋" w:hAnsi="仿宋" w:eastAsia="仿宋"/>
          <w:sz w:val="32"/>
          <w:szCs w:val="32"/>
          <w:lang w:val="zh-CN"/>
        </w:rPr>
        <w:t>项目资金全部由本单位使用，根据项目具体实施内容匹配资金。</w:t>
      </w:r>
    </w:p>
    <w:p>
      <w:pPr>
        <w:adjustRightInd w:val="0"/>
        <w:snapToGrid w:val="0"/>
        <w:spacing w:line="576" w:lineRule="exact"/>
        <w:ind w:firstLine="643" w:firstLineChars="200"/>
        <w:rPr>
          <w:rFonts w:ascii="仿宋" w:hAnsi="仿宋" w:eastAsia="仿宋"/>
          <w:b/>
          <w:sz w:val="32"/>
          <w:szCs w:val="32"/>
          <w:lang w:val="zh-CN"/>
        </w:rPr>
      </w:pPr>
      <w:r>
        <w:rPr>
          <w:rFonts w:hint="eastAsia" w:ascii="仿宋" w:hAnsi="仿宋" w:eastAsia="仿宋"/>
          <w:b/>
          <w:sz w:val="32"/>
          <w:szCs w:val="32"/>
          <w:lang w:val="zh-CN"/>
        </w:rPr>
        <w:t>（二）项目绩效目标</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1．项目主要内容。</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我站始终坚持“自愿求助、无偿救助、依法救助”的工作原则，认真做好救助管理服务工作，做好寒冬季节流浪乞讨人员和困境未成年人救助保护工作、实施“朝阳计划”“假日养吧” 并实施“2+2专业救助计划”（即：周六、周日+暑假、寒假）引领“超前救助”的农村困境未成年人专业化保护的“广元实践”，全面完成救助任务。</w:t>
      </w:r>
      <w:r>
        <w:rPr>
          <w:rFonts w:hint="eastAsia" w:ascii="仿宋" w:hAnsi="仿宋" w:eastAsia="仿宋" w:cs="仿宋_GB2312"/>
          <w:color w:val="000000"/>
          <w:sz w:val="32"/>
          <w:szCs w:val="32"/>
        </w:rPr>
        <w:t>我站流浪乞讨救助资金用于救助生活支出包括水电气、饮食、住宿、衣物、通过政府购买服务</w:t>
      </w:r>
      <w:r>
        <w:rPr>
          <w:rFonts w:hint="eastAsia" w:ascii="仿宋" w:hAnsi="仿宋" w:eastAsia="仿宋" w:cs="仿宋_GB2312"/>
          <w:color w:val="000000"/>
          <w:sz w:val="32"/>
          <w:szCs w:val="32"/>
          <w:lang w:eastAsia="zh-CN"/>
        </w:rPr>
        <w:t>为</w:t>
      </w:r>
      <w:r>
        <w:rPr>
          <w:rFonts w:hint="eastAsia" w:ascii="仿宋" w:hAnsi="仿宋" w:eastAsia="仿宋" w:cs="仿宋_GB2312"/>
          <w:color w:val="000000"/>
          <w:sz w:val="32"/>
          <w:szCs w:val="32"/>
        </w:rPr>
        <w:t>救助对象提供安保、护工、保洁、社工等劳务服务；医疗支出包括受助人员在医院开支的就</w:t>
      </w:r>
      <w:r>
        <w:rPr>
          <w:rFonts w:hint="eastAsia" w:ascii="仿宋" w:hAnsi="仿宋" w:eastAsia="仿宋" w:cs="仿宋_GB2312"/>
          <w:color w:val="000000"/>
          <w:sz w:val="32"/>
          <w:szCs w:val="32"/>
          <w:lang w:eastAsia="zh-CN"/>
        </w:rPr>
        <w:t>医</w:t>
      </w:r>
      <w:r>
        <w:rPr>
          <w:rFonts w:hint="eastAsia" w:ascii="仿宋" w:hAnsi="仿宋" w:eastAsia="仿宋" w:cs="仿宋_GB2312"/>
          <w:color w:val="000000"/>
          <w:sz w:val="32"/>
          <w:szCs w:val="32"/>
        </w:rPr>
        <w:t>费用、受助人员遗体处理的相关费用及</w:t>
      </w:r>
      <w:r>
        <w:rPr>
          <w:rFonts w:hint="eastAsia" w:ascii="仿宋" w:hAnsi="仿宋" w:eastAsia="仿宋" w:cs="仿宋_GB2312"/>
          <w:color w:val="000000"/>
          <w:sz w:val="32"/>
          <w:szCs w:val="32"/>
          <w:lang w:eastAsia="zh-CN"/>
        </w:rPr>
        <w:t>常备</w:t>
      </w:r>
      <w:r>
        <w:rPr>
          <w:rFonts w:hint="eastAsia" w:ascii="仿宋" w:hAnsi="仿宋" w:eastAsia="仿宋" w:cs="仿宋_GB2312"/>
          <w:color w:val="000000"/>
          <w:sz w:val="32"/>
          <w:szCs w:val="32"/>
        </w:rPr>
        <w:t>药品和医疗器械等费用；返乡支出包括受助人员查询费、返乡差旅费及护送差旅费等；教育矫治支出主要是对流浪未成年人开展文化法制教育、心理疏导、行为矫治等；主动救助支出包括救助车辆巡回救助以及引导、护送所需开支，在巡回救助中发放的食品、饮用水、衣物、防暑防寒用品，街头设立和维护救助宣传栏、引导路牌、救助咨询点、服务点的设立运转等；临时安置支出包括暂时找不到户籍、无家可归的受助人员提供养育照料、生活护理等；未成年人社会保护支出包括强化流浪未成年人源头预防和治理而开展救助保护线索收集、跟踪回访、监督教育指导、监护支持、监护资格转移诉讼等；</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2．项目应实现的具体绩效目标，包括目标的量化、细化情况以及项目实施进度计划等。</w:t>
      </w:r>
    </w:p>
    <w:p>
      <w:pPr>
        <w:adjustRightInd w:val="0"/>
        <w:snapToGrid w:val="0"/>
        <w:spacing w:line="576" w:lineRule="exact"/>
        <w:ind w:firstLine="640" w:firstLineChars="200"/>
        <w:rPr>
          <w:rFonts w:ascii="仿宋" w:hAnsi="仿宋" w:eastAsia="仿宋"/>
          <w:sz w:val="32"/>
          <w:szCs w:val="32"/>
        </w:rPr>
      </w:pPr>
      <w:r>
        <w:rPr>
          <w:rFonts w:hint="eastAsia" w:ascii="仿宋" w:hAnsi="仿宋" w:eastAsia="仿宋"/>
          <w:sz w:val="32"/>
          <w:szCs w:val="32"/>
          <w:lang w:val="zh-CN"/>
        </w:rPr>
        <w:t>项目申请时依据项目实际情况明确了具体的绩效目标，包括数量指标（</w:t>
      </w:r>
      <w:r>
        <w:rPr>
          <w:rFonts w:hint="eastAsia" w:ascii="仿宋" w:hAnsi="仿宋" w:eastAsia="仿宋"/>
          <w:sz w:val="32"/>
          <w:szCs w:val="32"/>
        </w:rPr>
        <w:t>完成救助1815人次</w:t>
      </w:r>
      <w:r>
        <w:rPr>
          <w:rFonts w:hint="eastAsia" w:ascii="仿宋" w:hAnsi="仿宋" w:eastAsia="仿宋"/>
          <w:sz w:val="32"/>
          <w:szCs w:val="32"/>
          <w:lang w:val="zh-CN"/>
        </w:rPr>
        <w:t>）、质量指标（</w:t>
      </w:r>
      <w:r>
        <w:rPr>
          <w:rFonts w:hint="eastAsia" w:ascii="仿宋" w:hAnsi="仿宋" w:eastAsia="仿宋"/>
          <w:sz w:val="32"/>
          <w:szCs w:val="32"/>
        </w:rPr>
        <w:t>完成对救助人员的各项服务</w:t>
      </w:r>
      <w:r>
        <w:rPr>
          <w:rFonts w:hint="eastAsia" w:ascii="仿宋" w:hAnsi="仿宋" w:eastAsia="仿宋"/>
          <w:sz w:val="32"/>
          <w:szCs w:val="32"/>
          <w:lang w:val="zh-CN"/>
        </w:rPr>
        <w:t>）、时效指标（</w:t>
      </w:r>
      <w:r>
        <w:rPr>
          <w:rFonts w:hint="eastAsia" w:ascii="仿宋" w:hAnsi="仿宋" w:eastAsia="仿宋"/>
          <w:sz w:val="32"/>
          <w:szCs w:val="32"/>
        </w:rPr>
        <w:t>上下半年各一次结算救助医疗及临时安置费</w:t>
      </w:r>
      <w:r>
        <w:rPr>
          <w:rFonts w:hint="eastAsia" w:ascii="仿宋" w:hAnsi="仿宋" w:eastAsia="仿宋"/>
          <w:sz w:val="32"/>
          <w:szCs w:val="32"/>
          <w:lang w:val="zh-CN"/>
        </w:rPr>
        <w:t>）、社会效益指标（</w:t>
      </w:r>
      <w:r>
        <w:rPr>
          <w:rFonts w:hint="eastAsia" w:ascii="仿宋" w:hAnsi="仿宋" w:eastAsia="仿宋"/>
          <w:sz w:val="32"/>
          <w:szCs w:val="32"/>
        </w:rPr>
        <w:t>不断提升维护社会稳定、保护弱势群体权益</w:t>
      </w:r>
      <w:r>
        <w:rPr>
          <w:rFonts w:hint="eastAsia" w:ascii="仿宋" w:hAnsi="仿宋" w:eastAsia="仿宋"/>
          <w:sz w:val="32"/>
          <w:szCs w:val="32"/>
          <w:lang w:val="zh-CN"/>
        </w:rPr>
        <w:t>）、可持续影响（</w:t>
      </w:r>
      <w:r>
        <w:rPr>
          <w:rFonts w:hint="eastAsia" w:ascii="仿宋" w:hAnsi="仿宋" w:eastAsia="仿宋"/>
          <w:sz w:val="32"/>
          <w:szCs w:val="32"/>
        </w:rPr>
        <w:t>进一步提升社会持续稳定</w:t>
      </w:r>
      <w:r>
        <w:rPr>
          <w:rFonts w:hint="eastAsia" w:ascii="仿宋" w:hAnsi="仿宋" w:eastAsia="仿宋"/>
          <w:sz w:val="32"/>
          <w:szCs w:val="32"/>
          <w:lang w:val="zh-CN"/>
        </w:rPr>
        <w:t>）等</w:t>
      </w:r>
      <w:r>
        <w:rPr>
          <w:rFonts w:hint="eastAsia" w:ascii="仿宋" w:hAnsi="仿宋" w:eastAsia="仿宋"/>
          <w:sz w:val="32"/>
          <w:szCs w:val="32"/>
        </w:rPr>
        <w:t>5个指标</w:t>
      </w:r>
      <w:r>
        <w:rPr>
          <w:rFonts w:hint="eastAsia" w:ascii="仿宋" w:hAnsi="仿宋" w:eastAsia="仿宋"/>
          <w:sz w:val="32"/>
          <w:szCs w:val="32"/>
          <w:lang w:val="zh-CN"/>
        </w:rPr>
        <w:t>。并对指标值进行了量化、细化</w:t>
      </w:r>
      <w:r>
        <w:rPr>
          <w:rFonts w:hint="eastAsia" w:ascii="仿宋" w:hAnsi="仿宋" w:eastAsia="仿宋"/>
          <w:sz w:val="32"/>
          <w:szCs w:val="32"/>
        </w:rPr>
        <w:t>。项目制定了详细可行的进度计划，确保了项目顺利实施。</w:t>
      </w:r>
    </w:p>
    <w:p>
      <w:pPr>
        <w:numPr>
          <w:ilvl w:val="0"/>
          <w:numId w:val="3"/>
        </w:num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分析评价申报内容是否与实际相符，申报目标是否合理可行。</w:t>
      </w:r>
    </w:p>
    <w:p>
      <w:pPr>
        <w:adjustRightInd w:val="0"/>
        <w:snapToGrid w:val="0"/>
        <w:spacing w:line="576" w:lineRule="exact"/>
        <w:ind w:firstLine="640" w:firstLineChars="200"/>
        <w:rPr>
          <w:rFonts w:ascii="仿宋" w:hAnsi="仿宋" w:eastAsia="仿宋"/>
          <w:sz w:val="32"/>
          <w:szCs w:val="32"/>
        </w:rPr>
      </w:pPr>
      <w:r>
        <w:rPr>
          <w:rFonts w:hint="eastAsia" w:ascii="仿宋" w:hAnsi="仿宋" w:eastAsia="仿宋"/>
          <w:sz w:val="32"/>
          <w:szCs w:val="32"/>
        </w:rPr>
        <w:t xml:space="preserve">   绩效自评结果表明，项目</w:t>
      </w:r>
      <w:r>
        <w:rPr>
          <w:rFonts w:hint="eastAsia" w:ascii="仿宋" w:hAnsi="仿宋" w:eastAsia="仿宋"/>
          <w:sz w:val="32"/>
          <w:szCs w:val="32"/>
          <w:lang w:val="zh-CN"/>
        </w:rPr>
        <w:t>申报内容与实际相符，申报目标合理可行。</w:t>
      </w:r>
    </w:p>
    <w:p>
      <w:pPr>
        <w:adjustRightInd w:val="0"/>
        <w:snapToGrid w:val="0"/>
        <w:spacing w:line="576" w:lineRule="exact"/>
        <w:ind w:firstLine="643" w:firstLineChars="200"/>
        <w:rPr>
          <w:rFonts w:ascii="仿宋" w:hAnsi="仿宋" w:eastAsia="仿宋"/>
          <w:b/>
          <w:sz w:val="32"/>
          <w:szCs w:val="32"/>
          <w:lang w:val="zh-CN"/>
        </w:rPr>
      </w:pPr>
      <w:r>
        <w:rPr>
          <w:rFonts w:hint="eastAsia" w:ascii="仿宋" w:hAnsi="仿宋" w:eastAsia="仿宋"/>
          <w:b/>
          <w:sz w:val="32"/>
          <w:szCs w:val="32"/>
          <w:lang w:val="zh-CN"/>
        </w:rPr>
        <w:t>（三）项目自评步骤及方法</w:t>
      </w:r>
    </w:p>
    <w:p>
      <w:pPr>
        <w:spacing w:line="576" w:lineRule="exact"/>
        <w:ind w:firstLine="640" w:firstLineChars="200"/>
        <w:rPr>
          <w:rFonts w:ascii="仿宋" w:hAnsi="仿宋" w:eastAsia="仿宋"/>
          <w:sz w:val="28"/>
          <w:szCs w:val="28"/>
        </w:rPr>
      </w:pPr>
      <w:r>
        <w:rPr>
          <w:rFonts w:hint="eastAsia" w:ascii="仿宋" w:hAnsi="仿宋" w:eastAsia="仿宋"/>
          <w:sz w:val="32"/>
          <w:szCs w:val="32"/>
        </w:rPr>
        <w:t>我单位对此次自评工作高度重视，成立了绩效评价工作小组，按照下列程序实施：</w:t>
      </w:r>
    </w:p>
    <w:p>
      <w:pPr>
        <w:adjustRightInd w:val="0"/>
        <w:snapToGrid w:val="0"/>
        <w:spacing w:line="576" w:lineRule="exact"/>
        <w:ind w:firstLine="640" w:firstLineChars="200"/>
        <w:rPr>
          <w:rFonts w:ascii="仿宋" w:hAnsi="仿宋" w:eastAsia="仿宋"/>
          <w:sz w:val="32"/>
          <w:szCs w:val="32"/>
        </w:rPr>
      </w:pPr>
      <w:r>
        <w:rPr>
          <w:rFonts w:hint="eastAsia" w:ascii="仿宋" w:hAnsi="仿宋" w:eastAsia="仿宋"/>
          <w:sz w:val="32"/>
          <w:szCs w:val="32"/>
        </w:rPr>
        <w:t>1、分解任务：根据部门支出绩效评价涉及的工作内容，分解到各科室；</w:t>
      </w:r>
    </w:p>
    <w:p>
      <w:pPr>
        <w:adjustRightInd w:val="0"/>
        <w:snapToGrid w:val="0"/>
        <w:spacing w:line="576" w:lineRule="exact"/>
        <w:ind w:firstLine="640" w:firstLineChars="200"/>
        <w:rPr>
          <w:rFonts w:ascii="仿宋" w:hAnsi="仿宋" w:eastAsia="仿宋"/>
          <w:sz w:val="32"/>
          <w:szCs w:val="32"/>
        </w:rPr>
      </w:pPr>
      <w:r>
        <w:rPr>
          <w:rFonts w:hint="eastAsia" w:ascii="仿宋" w:hAnsi="仿宋" w:eastAsia="仿宋"/>
          <w:sz w:val="32"/>
          <w:szCs w:val="32"/>
        </w:rPr>
        <w:t>2、科室初评：业务科室根据计分标准对各自负责的工作逐一检查，翻阅资料，对标自评；</w:t>
      </w:r>
    </w:p>
    <w:p>
      <w:pPr>
        <w:adjustRightInd w:val="0"/>
        <w:snapToGrid w:val="0"/>
        <w:spacing w:line="576" w:lineRule="exact"/>
        <w:ind w:firstLine="640" w:firstLineChars="200"/>
        <w:rPr>
          <w:rFonts w:ascii="仿宋" w:hAnsi="仿宋" w:eastAsia="仿宋"/>
          <w:sz w:val="32"/>
          <w:szCs w:val="32"/>
        </w:rPr>
      </w:pPr>
      <w:r>
        <w:rPr>
          <w:rFonts w:hint="eastAsia" w:ascii="仿宋" w:hAnsi="仿宋" w:eastAsia="仿宋"/>
          <w:sz w:val="32"/>
          <w:szCs w:val="32"/>
        </w:rPr>
        <w:t>3、小组复评：绩效评价工作小组对初评情况进行检查，并再次评价；</w:t>
      </w:r>
    </w:p>
    <w:p>
      <w:pPr>
        <w:adjustRightInd w:val="0"/>
        <w:snapToGrid w:val="0"/>
        <w:spacing w:line="576" w:lineRule="exact"/>
        <w:ind w:firstLine="640" w:firstLineChars="200"/>
        <w:rPr>
          <w:rFonts w:ascii="仿宋" w:hAnsi="仿宋" w:eastAsia="仿宋"/>
          <w:sz w:val="28"/>
          <w:szCs w:val="28"/>
        </w:rPr>
      </w:pPr>
      <w:r>
        <w:rPr>
          <w:rFonts w:hint="eastAsia" w:ascii="仿宋" w:hAnsi="仿宋" w:eastAsia="仿宋"/>
          <w:sz w:val="32"/>
          <w:szCs w:val="32"/>
        </w:rPr>
        <w:t>4、整理上报：对自评情况进行梳理，及时上报财政部门，并对存在的问题落实整改。</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二、项目资金申报及使用情况</w:t>
      </w:r>
    </w:p>
    <w:p>
      <w:pPr>
        <w:adjustRightInd w:val="0"/>
        <w:snapToGrid w:val="0"/>
        <w:spacing w:line="576" w:lineRule="exact"/>
        <w:ind w:firstLine="643" w:firstLineChars="200"/>
        <w:rPr>
          <w:rFonts w:ascii="仿宋" w:hAnsi="仿宋" w:eastAsia="仿宋"/>
          <w:b/>
          <w:sz w:val="32"/>
          <w:szCs w:val="32"/>
          <w:lang w:val="zh-CN"/>
        </w:rPr>
      </w:pPr>
      <w:r>
        <w:rPr>
          <w:rFonts w:hint="eastAsia" w:ascii="仿宋" w:hAnsi="仿宋" w:eastAsia="仿宋"/>
          <w:b/>
          <w:sz w:val="32"/>
          <w:szCs w:val="32"/>
          <w:lang w:val="zh-CN"/>
        </w:rPr>
        <w:t>（一）项目资金申报及批复情况</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本项目资金是年初纳入部门预算申报并获得批复，无预算调整。</w:t>
      </w:r>
    </w:p>
    <w:p>
      <w:pPr>
        <w:adjustRightInd w:val="0"/>
        <w:snapToGrid w:val="0"/>
        <w:spacing w:line="576" w:lineRule="exact"/>
        <w:ind w:firstLine="643" w:firstLineChars="200"/>
        <w:rPr>
          <w:rFonts w:ascii="仿宋" w:hAnsi="仿宋" w:eastAsia="仿宋"/>
          <w:b/>
          <w:sz w:val="32"/>
          <w:szCs w:val="32"/>
          <w:lang w:val="zh-CN"/>
        </w:rPr>
      </w:pPr>
      <w:r>
        <w:rPr>
          <w:rFonts w:hint="eastAsia" w:ascii="仿宋" w:hAnsi="仿宋" w:eastAsia="仿宋"/>
          <w:b/>
          <w:sz w:val="32"/>
          <w:szCs w:val="32"/>
          <w:lang w:val="zh-CN"/>
        </w:rPr>
        <w:t>（二）资金计划、到位及使用情况如下：</w:t>
      </w:r>
    </w:p>
    <w:tbl>
      <w:tblPr>
        <w:tblStyle w:val="13"/>
        <w:tblW w:w="8946" w:type="dxa"/>
        <w:jc w:val="center"/>
        <w:tblLayout w:type="autofit"/>
        <w:tblCellMar>
          <w:top w:w="0" w:type="dxa"/>
          <w:left w:w="0" w:type="dxa"/>
          <w:bottom w:w="0" w:type="dxa"/>
          <w:right w:w="0" w:type="dxa"/>
        </w:tblCellMar>
      </w:tblPr>
      <w:tblGrid>
        <w:gridCol w:w="2567"/>
        <w:gridCol w:w="2268"/>
        <w:gridCol w:w="2268"/>
        <w:gridCol w:w="1843"/>
      </w:tblGrid>
      <w:tr>
        <w:tblPrEx>
          <w:tblCellMar>
            <w:top w:w="0" w:type="dxa"/>
            <w:left w:w="0" w:type="dxa"/>
            <w:bottom w:w="0" w:type="dxa"/>
            <w:right w:w="0" w:type="dxa"/>
          </w:tblCellMar>
        </w:tblPrEx>
        <w:trPr>
          <w:trHeight w:val="420" w:hRule="atLeast"/>
          <w:jc w:val="center"/>
        </w:trPr>
        <w:tc>
          <w:tcPr>
            <w:tcW w:w="2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资金预算（元）</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资金到位（元）</w:t>
            </w:r>
          </w:p>
        </w:tc>
        <w:tc>
          <w:tcPr>
            <w:tcW w:w="1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资金使用（元）</w:t>
            </w:r>
          </w:p>
        </w:tc>
      </w:tr>
      <w:tr>
        <w:tblPrEx>
          <w:tblCellMar>
            <w:top w:w="0" w:type="dxa"/>
            <w:left w:w="0" w:type="dxa"/>
            <w:bottom w:w="0" w:type="dxa"/>
            <w:right w:w="0" w:type="dxa"/>
          </w:tblCellMar>
        </w:tblPrEx>
        <w:trPr>
          <w:trHeight w:val="420" w:hRule="atLeast"/>
          <w:jc w:val="center"/>
        </w:trPr>
        <w:tc>
          <w:tcPr>
            <w:tcW w:w="2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76" w:lineRule="exact"/>
              <w:ind w:firstLine="480" w:firstLineChars="200"/>
              <w:jc w:val="center"/>
              <w:rPr>
                <w:rFonts w:ascii="仿宋" w:hAnsi="仿宋" w:eastAsia="仿宋" w:cs="宋体"/>
                <w:color w:val="000000"/>
                <w:sz w:val="24"/>
              </w:rPr>
            </w:pP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财政资金</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财政资金</w:t>
            </w:r>
          </w:p>
        </w:tc>
        <w:tc>
          <w:tcPr>
            <w:tcW w:w="1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财政资金</w:t>
            </w:r>
          </w:p>
        </w:tc>
      </w:tr>
      <w:tr>
        <w:tblPrEx>
          <w:tblCellMar>
            <w:top w:w="0" w:type="dxa"/>
            <w:left w:w="0" w:type="dxa"/>
            <w:bottom w:w="0" w:type="dxa"/>
            <w:right w:w="0" w:type="dxa"/>
          </w:tblCellMar>
        </w:tblPrEx>
        <w:trPr>
          <w:trHeight w:val="460" w:hRule="atLeast"/>
          <w:jc w:val="center"/>
        </w:trPr>
        <w:tc>
          <w:tcPr>
            <w:tcW w:w="2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 w:hAnsi="仿宋" w:eastAsia="仿宋" w:cs="宋体"/>
                <w:color w:val="000000"/>
                <w:sz w:val="24"/>
              </w:rPr>
            </w:pPr>
            <w:r>
              <w:rPr>
                <w:rFonts w:hint="eastAsia" w:ascii="仿宋" w:hAnsi="仿宋" w:eastAsia="仿宋" w:cs="宋体"/>
                <w:color w:val="000000"/>
                <w:kern w:val="0"/>
                <w:sz w:val="24"/>
              </w:rPr>
              <w:t>流浪乞讨人员救助</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 w:hAnsi="仿宋" w:eastAsia="仿宋" w:cs="宋体"/>
                <w:color w:val="000000"/>
                <w:sz w:val="24"/>
              </w:rPr>
            </w:pPr>
            <w:r>
              <w:rPr>
                <w:rFonts w:hint="eastAsia" w:ascii="仿宋" w:hAnsi="仿宋" w:eastAsia="仿宋" w:cs="宋体"/>
                <w:color w:val="000000"/>
                <w:sz w:val="24"/>
              </w:rPr>
              <w:t>7018300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 w:hAnsi="仿宋" w:eastAsia="仿宋" w:cs="宋体"/>
                <w:color w:val="000000"/>
                <w:sz w:val="24"/>
              </w:rPr>
            </w:pPr>
            <w:r>
              <w:rPr>
                <w:rFonts w:hint="eastAsia" w:ascii="仿宋" w:hAnsi="仿宋" w:eastAsia="仿宋" w:cs="宋体"/>
                <w:color w:val="000000"/>
                <w:sz w:val="24"/>
              </w:rPr>
              <w:t>7018300</w:t>
            </w:r>
          </w:p>
        </w:tc>
        <w:tc>
          <w:tcPr>
            <w:tcW w:w="1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仿宋" w:hAnsi="仿宋" w:eastAsia="仿宋" w:cs="宋体"/>
                <w:color w:val="000000"/>
                <w:sz w:val="24"/>
              </w:rPr>
            </w:pPr>
            <w:r>
              <w:rPr>
                <w:rFonts w:hint="eastAsia" w:ascii="仿宋" w:hAnsi="仿宋" w:eastAsia="仿宋" w:cs="宋体"/>
                <w:color w:val="000000"/>
                <w:sz w:val="24"/>
              </w:rPr>
              <w:t>7018300</w:t>
            </w:r>
          </w:p>
        </w:tc>
      </w:tr>
    </w:tbl>
    <w:p>
      <w:pPr>
        <w:adjustRightInd w:val="0"/>
        <w:snapToGrid w:val="0"/>
        <w:spacing w:line="576" w:lineRule="exact"/>
        <w:ind w:firstLine="640" w:firstLineChars="200"/>
        <w:rPr>
          <w:rFonts w:ascii="仿宋" w:hAnsi="仿宋" w:eastAsia="仿宋"/>
          <w:sz w:val="32"/>
          <w:szCs w:val="32"/>
        </w:rPr>
      </w:pPr>
      <w:r>
        <w:rPr>
          <w:rFonts w:hint="eastAsia" w:ascii="仿宋" w:hAnsi="仿宋" w:eastAsia="仿宋"/>
          <w:sz w:val="32"/>
          <w:szCs w:val="32"/>
          <w:lang w:val="zh-CN"/>
        </w:rPr>
        <w:t>1．资金计划。</w:t>
      </w:r>
      <w:r>
        <w:rPr>
          <w:rFonts w:hint="eastAsia" w:ascii="仿宋" w:hAnsi="仿宋" w:eastAsia="仿宋"/>
          <w:sz w:val="32"/>
          <w:szCs w:val="32"/>
        </w:rPr>
        <w:t>项目资金计划7018300元，均为财政资金。</w:t>
      </w:r>
    </w:p>
    <w:p>
      <w:pPr>
        <w:adjustRightInd w:val="0"/>
        <w:snapToGrid w:val="0"/>
        <w:spacing w:line="576" w:lineRule="exact"/>
        <w:ind w:firstLine="640" w:firstLineChars="200"/>
        <w:rPr>
          <w:rFonts w:ascii="仿宋" w:hAnsi="仿宋" w:eastAsia="仿宋"/>
          <w:sz w:val="32"/>
          <w:szCs w:val="32"/>
        </w:rPr>
      </w:pPr>
      <w:r>
        <w:rPr>
          <w:rFonts w:hint="eastAsia" w:ascii="仿宋" w:hAnsi="仿宋" w:eastAsia="仿宋"/>
          <w:sz w:val="32"/>
          <w:szCs w:val="32"/>
          <w:lang w:val="zh-CN"/>
        </w:rPr>
        <w:t>2．资金到位。资金到位率</w:t>
      </w:r>
      <w:r>
        <w:rPr>
          <w:rFonts w:hint="eastAsia" w:ascii="仿宋" w:hAnsi="仿宋" w:eastAsia="仿宋"/>
          <w:sz w:val="32"/>
          <w:szCs w:val="32"/>
        </w:rPr>
        <w:t>100%，</w:t>
      </w:r>
      <w:r>
        <w:rPr>
          <w:rFonts w:hint="eastAsia" w:ascii="仿宋" w:hAnsi="仿宋" w:eastAsia="仿宋"/>
          <w:sz w:val="32"/>
          <w:szCs w:val="32"/>
          <w:lang w:val="zh-CN"/>
        </w:rPr>
        <w:t>到位及时率</w:t>
      </w:r>
      <w:r>
        <w:rPr>
          <w:rFonts w:hint="eastAsia" w:ascii="仿宋" w:hAnsi="仿宋" w:eastAsia="仿宋"/>
          <w:sz w:val="32"/>
          <w:szCs w:val="32"/>
        </w:rPr>
        <w:t>100%.</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3．资金使用。资金支出</w:t>
      </w:r>
      <w:r>
        <w:rPr>
          <w:rFonts w:hint="eastAsia" w:ascii="仿宋" w:hAnsi="仿宋" w:eastAsia="仿宋"/>
          <w:sz w:val="32"/>
          <w:szCs w:val="32"/>
        </w:rPr>
        <w:t>7018300元，</w:t>
      </w:r>
      <w:r>
        <w:rPr>
          <w:rFonts w:hint="eastAsia" w:ascii="仿宋" w:hAnsi="仿宋" w:eastAsia="仿宋"/>
          <w:sz w:val="32"/>
          <w:szCs w:val="32"/>
          <w:lang w:val="zh-CN"/>
        </w:rPr>
        <w:t>资金使用安全、规范、效果显著。资金支付范围</w:t>
      </w:r>
      <w:r>
        <w:rPr>
          <w:rFonts w:hint="eastAsia" w:ascii="仿宋" w:hAnsi="仿宋" w:eastAsia="仿宋"/>
          <w:sz w:val="32"/>
          <w:szCs w:val="32"/>
        </w:rPr>
        <w:t>全用于支付流浪乞讨人员各项支出，包括结算救助医疗及临时安置费等</w:t>
      </w:r>
      <w:r>
        <w:rPr>
          <w:rFonts w:hint="eastAsia" w:ascii="仿宋" w:hAnsi="仿宋" w:eastAsia="仿宋"/>
          <w:sz w:val="32"/>
          <w:szCs w:val="32"/>
          <w:lang w:val="zh-CN"/>
        </w:rPr>
        <w:t>。支付标准均按照财政资金管理限额（标准）执行。根据项目实施进度支付款项，支付依据合规合法，支出金额与预算相符。</w:t>
      </w:r>
    </w:p>
    <w:p>
      <w:pPr>
        <w:adjustRightInd w:val="0"/>
        <w:snapToGrid w:val="0"/>
        <w:spacing w:line="576" w:lineRule="exact"/>
        <w:ind w:firstLine="643" w:firstLineChars="200"/>
        <w:rPr>
          <w:rFonts w:ascii="仿宋" w:hAnsi="仿宋" w:eastAsia="仿宋"/>
          <w:b/>
          <w:sz w:val="32"/>
          <w:szCs w:val="32"/>
          <w:lang w:val="zh-CN"/>
        </w:rPr>
      </w:pPr>
      <w:r>
        <w:rPr>
          <w:rFonts w:hint="eastAsia" w:ascii="仿宋" w:hAnsi="仿宋" w:eastAsia="仿宋"/>
          <w:b/>
          <w:sz w:val="32"/>
          <w:szCs w:val="32"/>
          <w:lang w:val="zh-CN"/>
        </w:rPr>
        <w:t>（三）项目财务管理情况</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本单位财务管理制度健全，严格执行财务管理制度，账务处理及时，会计核算规范。</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三、项目实施及管理情况</w:t>
      </w:r>
    </w:p>
    <w:p>
      <w:pPr>
        <w:adjustRightInd w:val="0"/>
        <w:snapToGrid w:val="0"/>
        <w:spacing w:line="576" w:lineRule="exact"/>
        <w:ind w:firstLine="640" w:firstLineChars="200"/>
        <w:rPr>
          <w:rFonts w:ascii="仿宋" w:hAnsi="仿宋" w:eastAsia="仿宋"/>
          <w:b/>
          <w:sz w:val="32"/>
          <w:szCs w:val="32"/>
          <w:lang w:val="zh-CN"/>
        </w:rPr>
      </w:pPr>
      <w:r>
        <w:rPr>
          <w:rFonts w:hint="eastAsia" w:ascii="仿宋" w:hAnsi="仿宋" w:eastAsia="仿宋"/>
          <w:bCs/>
          <w:sz w:val="32"/>
          <w:szCs w:val="32"/>
          <w:lang w:val="zh-CN"/>
        </w:rPr>
        <w:t>（一）</w:t>
      </w:r>
      <w:r>
        <w:rPr>
          <w:rFonts w:hint="eastAsia" w:ascii="仿宋" w:hAnsi="仿宋" w:eastAsia="仿宋"/>
          <w:sz w:val="32"/>
          <w:szCs w:val="32"/>
          <w:lang w:val="zh-CN"/>
        </w:rPr>
        <w:t>项目组织架构及实施流程。我单位成立了项目领导小组负责项目统筹安排及管理，安排专人具体负责实施。</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bCs/>
          <w:sz w:val="32"/>
          <w:szCs w:val="32"/>
          <w:lang w:val="zh-CN"/>
        </w:rPr>
        <w:t>（二）</w:t>
      </w:r>
      <w:r>
        <w:rPr>
          <w:rFonts w:hint="eastAsia" w:ascii="仿宋" w:hAnsi="仿宋" w:eastAsia="仿宋"/>
          <w:sz w:val="32"/>
          <w:szCs w:val="32"/>
          <w:lang w:val="zh-CN"/>
        </w:rPr>
        <w:t>项目管理情况。我单位严格执行相关法律法规及项目管理制度，管理有序，质量较高，取得了良好的效果。</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bCs/>
          <w:sz w:val="32"/>
          <w:szCs w:val="32"/>
          <w:lang w:val="zh-CN"/>
        </w:rPr>
        <w:t>（三）</w:t>
      </w:r>
      <w:r>
        <w:rPr>
          <w:rFonts w:hint="eastAsia" w:ascii="仿宋" w:hAnsi="仿宋" w:eastAsia="仿宋"/>
          <w:sz w:val="32"/>
          <w:szCs w:val="32"/>
          <w:lang w:val="zh-CN"/>
        </w:rPr>
        <w:t>项目监管情况。我单位项目主要是</w:t>
      </w:r>
      <w:r>
        <w:rPr>
          <w:rFonts w:hint="eastAsia" w:ascii="仿宋" w:hAnsi="仿宋" w:eastAsia="仿宋"/>
          <w:sz w:val="32"/>
          <w:szCs w:val="32"/>
        </w:rPr>
        <w:t>流浪</w:t>
      </w:r>
      <w:r>
        <w:rPr>
          <w:rFonts w:hint="eastAsia" w:ascii="仿宋" w:hAnsi="仿宋" w:eastAsia="仿宋"/>
          <w:sz w:val="32"/>
          <w:szCs w:val="32"/>
          <w:lang w:eastAsia="zh-CN"/>
        </w:rPr>
        <w:t>乞讨</w:t>
      </w:r>
      <w:r>
        <w:rPr>
          <w:rFonts w:hint="eastAsia" w:ascii="仿宋" w:hAnsi="仿宋" w:eastAsia="仿宋"/>
          <w:sz w:val="32"/>
          <w:szCs w:val="32"/>
        </w:rPr>
        <w:t>人员</w:t>
      </w:r>
      <w:r>
        <w:rPr>
          <w:rFonts w:hint="eastAsia" w:ascii="仿宋" w:hAnsi="仿宋" w:eastAsia="仿宋"/>
          <w:sz w:val="32"/>
          <w:szCs w:val="32"/>
          <w:lang w:eastAsia="zh-CN"/>
        </w:rPr>
        <w:t>救助</w:t>
      </w:r>
      <w:r>
        <w:rPr>
          <w:rFonts w:hint="eastAsia" w:ascii="仿宋" w:hAnsi="仿宋" w:eastAsia="仿宋"/>
          <w:sz w:val="32"/>
          <w:szCs w:val="32"/>
        </w:rPr>
        <w:t>补助</w:t>
      </w:r>
      <w:r>
        <w:rPr>
          <w:rFonts w:hint="eastAsia" w:ascii="仿宋" w:hAnsi="仿宋" w:eastAsia="仿宋"/>
          <w:sz w:val="32"/>
          <w:szCs w:val="32"/>
          <w:lang w:eastAsia="zh-CN"/>
        </w:rPr>
        <w:t>资金</w:t>
      </w:r>
      <w:r>
        <w:rPr>
          <w:rFonts w:hint="eastAsia" w:ascii="仿宋" w:hAnsi="仿宋" w:eastAsia="仿宋"/>
          <w:sz w:val="32"/>
          <w:szCs w:val="32"/>
          <w:lang w:val="zh-CN"/>
        </w:rPr>
        <w:t>，费用支出经过逐级审核，项目实施中纪检部门进行监管，按照单位内控控制制度实施监管，有力的促进了项目顺利实施，圆满完成，监管效果良好。</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四、项目绩效情况</w:t>
      </w:r>
      <w:r>
        <w:rPr>
          <w:rFonts w:hint="eastAsia" w:ascii="仿宋" w:hAnsi="仿宋" w:eastAsia="仿宋"/>
          <w:sz w:val="32"/>
          <w:szCs w:val="32"/>
          <w:lang w:val="zh-CN"/>
        </w:rPr>
        <w:tab/>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（一）项目完成情况</w:t>
      </w:r>
    </w:p>
    <w:p>
      <w:pPr>
        <w:adjustRightInd w:val="0"/>
        <w:snapToGrid w:val="0"/>
        <w:spacing w:line="576" w:lineRule="exact"/>
        <w:ind w:firstLine="640" w:firstLineChars="200"/>
        <w:rPr>
          <w:rFonts w:ascii="仿宋" w:hAnsi="仿宋" w:eastAsia="仿宋"/>
          <w:sz w:val="32"/>
          <w:szCs w:val="32"/>
        </w:rPr>
      </w:pPr>
      <w:r>
        <w:rPr>
          <w:rFonts w:hint="eastAsia" w:ascii="仿宋" w:hAnsi="仿宋" w:eastAsia="仿宋"/>
          <w:sz w:val="32"/>
          <w:szCs w:val="32"/>
          <w:lang w:val="zh-CN"/>
        </w:rPr>
        <w:t>项目全部完成预期目标，均达到数量计划值，质量良好、按时完成、未超预算，无资金结余，无违规违纪情况。</w:t>
      </w:r>
      <w:r>
        <w:rPr>
          <w:rFonts w:hint="eastAsia" w:ascii="仿宋" w:hAnsi="仿宋" w:eastAsia="仿宋"/>
          <w:sz w:val="32"/>
          <w:szCs w:val="32"/>
        </w:rPr>
        <w:t xml:space="preserve">      </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（二）项目效益情况</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项目取得了良好的社会效益、可持续效益。</w:t>
      </w:r>
      <w:r>
        <w:rPr>
          <w:rFonts w:hint="eastAsia" w:ascii="仿宋" w:hAnsi="仿宋" w:eastAsia="仿宋"/>
          <w:sz w:val="32"/>
          <w:szCs w:val="32"/>
        </w:rPr>
        <w:t>全年完成救助人数1815人次，实施“朝阳计划”“假日养吧” 并实施“2+2专业救助计划”上下半年各一次结算救助医疗及临时安置费，进一步提升受助人员生活状况、健康状况，不断提升维护社会稳定、保护弱势群体权益。</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五、评价结论及建议</w:t>
      </w:r>
    </w:p>
    <w:p>
      <w:pPr>
        <w:adjustRightInd w:val="0"/>
        <w:snapToGrid w:val="0"/>
        <w:spacing w:line="576" w:lineRule="exact"/>
        <w:ind w:firstLine="643" w:firstLineChars="200"/>
        <w:rPr>
          <w:rFonts w:ascii="仿宋" w:hAnsi="仿宋" w:eastAsia="仿宋"/>
          <w:b/>
          <w:sz w:val="32"/>
          <w:szCs w:val="32"/>
          <w:lang w:val="zh-CN"/>
        </w:rPr>
      </w:pPr>
      <w:r>
        <w:rPr>
          <w:rFonts w:hint="eastAsia" w:ascii="仿宋" w:hAnsi="仿宋" w:eastAsia="仿宋"/>
          <w:b/>
          <w:sz w:val="32"/>
          <w:szCs w:val="32"/>
          <w:lang w:val="zh-CN"/>
        </w:rPr>
        <w:t>（一）评价结论</w:t>
      </w:r>
    </w:p>
    <w:p>
      <w:pPr>
        <w:adjustRightInd w:val="0"/>
        <w:snapToGrid w:val="0"/>
        <w:spacing w:line="576" w:lineRule="exact"/>
        <w:ind w:firstLine="640" w:firstLineChars="200"/>
        <w:rPr>
          <w:rFonts w:ascii="仿宋" w:hAnsi="仿宋" w:eastAsia="仿宋"/>
          <w:sz w:val="32"/>
          <w:szCs w:val="32"/>
          <w:bdr w:val="single" w:color="auto" w:sz="4" w:space="0"/>
        </w:rPr>
      </w:pPr>
      <w:r>
        <w:rPr>
          <w:rFonts w:hint="eastAsia" w:ascii="仿宋" w:hAnsi="仿宋" w:eastAsia="仿宋"/>
          <w:sz w:val="32"/>
          <w:szCs w:val="32"/>
        </w:rPr>
        <w:t>项目管理良好，实施有序，绩效显著。均达到了预期目标</w:t>
      </w:r>
      <w:r>
        <w:rPr>
          <w:rFonts w:hint="eastAsia" w:ascii="仿宋" w:hAnsi="仿宋" w:eastAsia="仿宋"/>
          <w:sz w:val="32"/>
          <w:szCs w:val="32"/>
          <w:lang w:val="zh-CN"/>
        </w:rPr>
        <w:t>。评价得分</w:t>
      </w:r>
      <w:r>
        <w:rPr>
          <w:rFonts w:hint="eastAsia" w:ascii="仿宋" w:hAnsi="仿宋" w:eastAsia="仿宋"/>
          <w:sz w:val="32"/>
          <w:szCs w:val="32"/>
        </w:rPr>
        <w:t>99分。</w:t>
      </w:r>
    </w:p>
    <w:p>
      <w:pPr>
        <w:adjustRightInd w:val="0"/>
        <w:snapToGrid w:val="0"/>
        <w:spacing w:line="576" w:lineRule="exact"/>
        <w:ind w:firstLine="643" w:firstLineChars="200"/>
        <w:rPr>
          <w:rFonts w:ascii="仿宋" w:hAnsi="仿宋" w:eastAsia="仿宋"/>
          <w:b/>
          <w:sz w:val="32"/>
          <w:szCs w:val="32"/>
          <w:lang w:val="zh-CN"/>
        </w:rPr>
      </w:pPr>
      <w:r>
        <w:rPr>
          <w:rFonts w:hint="eastAsia" w:ascii="仿宋" w:hAnsi="仿宋" w:eastAsia="仿宋"/>
          <w:b/>
          <w:sz w:val="32"/>
          <w:szCs w:val="32"/>
          <w:lang w:val="zh-CN"/>
        </w:rPr>
        <w:t>（二）存在的问题</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一是项目绩效的制度建设需进一步完善；二是在项目管理方面还需不断提高。</w:t>
      </w:r>
      <w:r>
        <w:rPr>
          <w:rFonts w:hint="eastAsia" w:ascii="仿宋" w:hAnsi="仿宋" w:eastAsia="仿宋"/>
          <w:sz w:val="32"/>
          <w:szCs w:val="32"/>
          <w:lang w:val="zh-CN"/>
        </w:rPr>
        <w:tab/>
      </w:r>
    </w:p>
    <w:p>
      <w:pPr>
        <w:adjustRightInd w:val="0"/>
        <w:snapToGrid w:val="0"/>
        <w:spacing w:line="576" w:lineRule="exact"/>
        <w:ind w:firstLine="643" w:firstLineChars="200"/>
        <w:rPr>
          <w:rFonts w:ascii="仿宋" w:hAnsi="仿宋" w:eastAsia="仿宋"/>
          <w:b/>
          <w:sz w:val="32"/>
          <w:szCs w:val="32"/>
          <w:lang w:val="zh-CN"/>
        </w:rPr>
      </w:pPr>
      <w:r>
        <w:rPr>
          <w:rFonts w:hint="eastAsia" w:ascii="仿宋" w:hAnsi="仿宋" w:eastAsia="仿宋"/>
          <w:b/>
          <w:sz w:val="32"/>
          <w:szCs w:val="32"/>
          <w:lang w:val="zh-CN"/>
        </w:rPr>
        <w:t>（三）相关建议</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一是加强业务培训，进一步提高工作人员财政资金绩效意识；二是进一步细化项目预算，严格控制各项费用。</w:t>
      </w:r>
      <w:bookmarkEnd w:id="39"/>
    </w:p>
    <w:p>
      <w:pPr>
        <w:pStyle w:val="2"/>
        <w:spacing w:before="93"/>
        <w:rPr>
          <w:rFonts w:ascii="宋体" w:hAnsi="宋体" w:cs="宋体"/>
          <w:b/>
          <w:sz w:val="32"/>
          <w:szCs w:val="32"/>
        </w:rPr>
      </w:pPr>
      <w:r>
        <w:rPr>
          <w:rFonts w:hint="eastAsia" w:ascii="宋体" w:hAnsi="宋体" w:cs="宋体"/>
          <w:b/>
          <w:sz w:val="32"/>
          <w:szCs w:val="32"/>
        </w:rPr>
        <w:t>附表</w:t>
      </w:r>
    </w:p>
    <w:p>
      <w:pPr>
        <w:pStyle w:val="2"/>
        <w:spacing w:before="93"/>
        <w:jc w:val="center"/>
        <w:rPr>
          <w:lang w:val="zh-CN"/>
        </w:rPr>
      </w:pPr>
      <w:r>
        <w:rPr>
          <w:rFonts w:hint="eastAsia" w:ascii="宋体" w:hAnsi="宋体" w:cs="宋体"/>
          <w:b/>
          <w:sz w:val="32"/>
          <w:szCs w:val="32"/>
        </w:rPr>
        <w:t>2021年部门预算项目绩效目标自评</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188"/>
        <w:gridCol w:w="2100"/>
        <w:gridCol w:w="1835"/>
        <w:gridCol w:w="1834"/>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2091" w:type="dxa"/>
            <w:gridSpan w:val="2"/>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sz w:val="24"/>
                <w:lang w:val="zh-CN"/>
              </w:rPr>
              <w:t>主管部门及代码</w:t>
            </w:r>
          </w:p>
        </w:tc>
        <w:tc>
          <w:tcPr>
            <w:tcW w:w="3935" w:type="dxa"/>
            <w:gridSpan w:val="2"/>
            <w:vAlign w:val="center"/>
          </w:tcPr>
          <w:p>
            <w:pPr>
              <w:adjustRightInd w:val="0"/>
              <w:snapToGrid w:val="0"/>
              <w:spacing w:line="576"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lang w:val="zh-CN"/>
              </w:rPr>
              <w:t>广元市民政局</w:t>
            </w:r>
            <w:r>
              <w:rPr>
                <w:rFonts w:hint="eastAsia" w:ascii="方正仿宋_GBK" w:hAnsi="方正仿宋_GBK" w:eastAsia="方正仿宋_GBK" w:cs="方正仿宋_GBK"/>
                <w:sz w:val="24"/>
              </w:rPr>
              <w:t>343</w:t>
            </w:r>
          </w:p>
        </w:tc>
        <w:tc>
          <w:tcPr>
            <w:tcW w:w="1834" w:type="dxa"/>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sz w:val="24"/>
                <w:lang w:val="zh-CN"/>
              </w:rPr>
              <w:t>实施单位</w:t>
            </w:r>
          </w:p>
        </w:tc>
        <w:tc>
          <w:tcPr>
            <w:tcW w:w="1201" w:type="dxa"/>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sz w:val="24"/>
                <w:lang w:val="zh-CN"/>
              </w:rPr>
              <w:t>广元市救助管理站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gridSpan w:val="2"/>
            <w:vMerge w:val="restart"/>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sz w:val="24"/>
                <w:lang w:val="zh-CN"/>
              </w:rPr>
              <w:t>项目预算</w:t>
            </w:r>
          </w:p>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sz w:val="24"/>
                <w:lang w:val="zh-CN"/>
              </w:rPr>
              <w:t>执行情况</w:t>
            </w:r>
            <w:r>
              <w:rPr>
                <w:rFonts w:hint="eastAsia" w:ascii="方正仿宋_GBK" w:hAnsi="方正仿宋_GBK" w:eastAsia="方正仿宋_GBK" w:cs="方正仿宋_GBK"/>
                <w:sz w:val="24"/>
                <w:lang w:val="zh-CN"/>
              </w:rPr>
              <w:br w:type="textWrapping"/>
            </w:r>
            <w:r>
              <w:rPr>
                <w:rFonts w:hint="eastAsia" w:ascii="方正仿宋_GBK" w:hAnsi="方正仿宋_GBK" w:eastAsia="方正仿宋_GBK" w:cs="方正仿宋_GBK"/>
                <w:sz w:val="24"/>
                <w:lang w:val="zh-CN"/>
              </w:rPr>
              <w:t>（元）</w:t>
            </w:r>
          </w:p>
        </w:tc>
        <w:tc>
          <w:tcPr>
            <w:tcW w:w="2100" w:type="dxa"/>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sz w:val="24"/>
                <w:lang w:val="zh-CN"/>
              </w:rPr>
              <w:t>预算数：</w:t>
            </w:r>
          </w:p>
        </w:tc>
        <w:tc>
          <w:tcPr>
            <w:tcW w:w="1835" w:type="dxa"/>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sz w:val="24"/>
              </w:rPr>
              <w:t>7018300</w:t>
            </w:r>
          </w:p>
        </w:tc>
        <w:tc>
          <w:tcPr>
            <w:tcW w:w="1834" w:type="dxa"/>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sz w:val="24"/>
                <w:lang w:val="zh-CN"/>
              </w:rPr>
              <w:t>执行数：</w:t>
            </w:r>
          </w:p>
        </w:tc>
        <w:tc>
          <w:tcPr>
            <w:tcW w:w="1201" w:type="dxa"/>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sz w:val="24"/>
              </w:rPr>
              <w:t>7018300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091" w:type="dxa"/>
            <w:gridSpan w:val="2"/>
            <w:vMerge w:val="continue"/>
            <w:vAlign w:val="center"/>
          </w:tcPr>
          <w:p>
            <w:pPr>
              <w:adjustRightInd w:val="0"/>
              <w:snapToGrid w:val="0"/>
              <w:spacing w:line="576" w:lineRule="exact"/>
              <w:jc w:val="center"/>
              <w:rPr>
                <w:rFonts w:ascii="方正仿宋_GBK" w:hAnsi="方正仿宋_GBK" w:eastAsia="方正仿宋_GBK" w:cs="方正仿宋_GBK"/>
                <w:sz w:val="24"/>
                <w:lang w:val="zh-CN"/>
              </w:rPr>
            </w:pPr>
          </w:p>
        </w:tc>
        <w:tc>
          <w:tcPr>
            <w:tcW w:w="2100" w:type="dxa"/>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sz w:val="24"/>
                <w:lang w:val="zh-CN"/>
              </w:rPr>
              <w:t>其中：财政拨款</w:t>
            </w:r>
          </w:p>
        </w:tc>
        <w:tc>
          <w:tcPr>
            <w:tcW w:w="1835" w:type="dxa"/>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sz w:val="24"/>
              </w:rPr>
              <w:t>7018300</w:t>
            </w:r>
          </w:p>
        </w:tc>
        <w:tc>
          <w:tcPr>
            <w:tcW w:w="1834" w:type="dxa"/>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sz w:val="24"/>
                <w:lang w:val="zh-CN"/>
              </w:rPr>
              <w:t>其中：财政拨款</w:t>
            </w:r>
          </w:p>
        </w:tc>
        <w:tc>
          <w:tcPr>
            <w:tcW w:w="1201" w:type="dxa"/>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sz w:val="24"/>
              </w:rPr>
              <w:t>7018300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gridSpan w:val="2"/>
            <w:vMerge w:val="continue"/>
            <w:vAlign w:val="center"/>
          </w:tcPr>
          <w:p>
            <w:pPr>
              <w:adjustRightInd w:val="0"/>
              <w:snapToGrid w:val="0"/>
              <w:spacing w:line="576" w:lineRule="exact"/>
              <w:jc w:val="center"/>
              <w:rPr>
                <w:rFonts w:ascii="方正仿宋_GBK" w:hAnsi="方正仿宋_GBK" w:eastAsia="方正仿宋_GBK" w:cs="方正仿宋_GBK"/>
                <w:sz w:val="24"/>
                <w:lang w:val="zh-CN"/>
              </w:rPr>
            </w:pPr>
          </w:p>
        </w:tc>
        <w:tc>
          <w:tcPr>
            <w:tcW w:w="2100" w:type="dxa"/>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kern w:val="0"/>
                <w:sz w:val="24"/>
              </w:rPr>
              <w:t>其他资金</w:t>
            </w:r>
          </w:p>
        </w:tc>
        <w:tc>
          <w:tcPr>
            <w:tcW w:w="1835" w:type="dxa"/>
            <w:vAlign w:val="center"/>
          </w:tcPr>
          <w:p>
            <w:pPr>
              <w:adjustRightInd w:val="0"/>
              <w:snapToGrid w:val="0"/>
              <w:spacing w:line="576" w:lineRule="exact"/>
              <w:jc w:val="center"/>
              <w:rPr>
                <w:rFonts w:ascii="方正仿宋_GBK" w:hAnsi="方正仿宋_GBK" w:eastAsia="方正仿宋_GBK" w:cs="方正仿宋_GBK"/>
                <w:sz w:val="24"/>
                <w:lang w:val="zh-CN"/>
              </w:rPr>
            </w:pPr>
          </w:p>
        </w:tc>
        <w:tc>
          <w:tcPr>
            <w:tcW w:w="1834" w:type="dxa"/>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kern w:val="0"/>
                <w:sz w:val="24"/>
              </w:rPr>
              <w:t>其他资金</w:t>
            </w:r>
          </w:p>
        </w:tc>
        <w:tc>
          <w:tcPr>
            <w:tcW w:w="1201" w:type="dxa"/>
            <w:vAlign w:val="center"/>
          </w:tcPr>
          <w:p>
            <w:pPr>
              <w:adjustRightInd w:val="0"/>
              <w:snapToGrid w:val="0"/>
              <w:spacing w:line="576" w:lineRule="exact"/>
              <w:jc w:val="center"/>
              <w:rPr>
                <w:rFonts w:ascii="方正仿宋_GBK" w:hAnsi="方正仿宋_GBK" w:eastAsia="方正仿宋_GBK" w:cs="方正仿宋_GBK"/>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gridSpan w:val="2"/>
            <w:vMerge w:val="restart"/>
            <w:vAlign w:val="center"/>
          </w:tcPr>
          <w:p>
            <w:pPr>
              <w:widowControl/>
              <w:spacing w:line="576" w:lineRule="exact"/>
              <w:jc w:val="center"/>
              <w:textAlignment w:val="center"/>
              <w:rPr>
                <w:rFonts w:ascii="方正仿宋_GBK" w:hAnsi="方正仿宋_GBK" w:eastAsia="方正仿宋_GBK" w:cs="方正仿宋_GBK"/>
                <w:sz w:val="24"/>
                <w:lang w:val="zh-CN"/>
              </w:rPr>
            </w:pPr>
            <w:r>
              <w:rPr>
                <w:rFonts w:hint="eastAsia" w:ascii="方正仿宋_GBK" w:hAnsi="方正仿宋_GBK" w:eastAsia="方正仿宋_GBK" w:cs="方正仿宋_GBK"/>
                <w:kern w:val="0"/>
                <w:sz w:val="24"/>
              </w:rPr>
              <w:t>年度总体目标完成情况</w:t>
            </w:r>
          </w:p>
        </w:tc>
        <w:tc>
          <w:tcPr>
            <w:tcW w:w="3935" w:type="dxa"/>
            <w:gridSpan w:val="2"/>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kern w:val="0"/>
                <w:sz w:val="24"/>
              </w:rPr>
              <w:t>预期目标</w:t>
            </w:r>
          </w:p>
        </w:tc>
        <w:tc>
          <w:tcPr>
            <w:tcW w:w="3035" w:type="dxa"/>
            <w:gridSpan w:val="2"/>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kern w:val="0"/>
                <w:sz w:val="24"/>
              </w:rPr>
              <w:t>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gridSpan w:val="2"/>
            <w:vMerge w:val="continue"/>
            <w:vAlign w:val="center"/>
          </w:tcPr>
          <w:p>
            <w:pPr>
              <w:adjustRightInd w:val="0"/>
              <w:snapToGrid w:val="0"/>
              <w:spacing w:line="576" w:lineRule="exact"/>
              <w:jc w:val="center"/>
              <w:rPr>
                <w:rFonts w:ascii="方正仿宋_GBK" w:hAnsi="方正仿宋_GBK" w:eastAsia="方正仿宋_GBK" w:cs="方正仿宋_GBK"/>
                <w:sz w:val="24"/>
                <w:lang w:val="zh-CN"/>
              </w:rPr>
            </w:pPr>
          </w:p>
        </w:tc>
        <w:tc>
          <w:tcPr>
            <w:tcW w:w="3935" w:type="dxa"/>
            <w:gridSpan w:val="2"/>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sz w:val="24"/>
              </w:rPr>
              <w:t>1、始终坚持“自愿</w:t>
            </w:r>
            <w:r>
              <w:rPr>
                <w:rFonts w:hint="eastAsia" w:ascii="方正仿宋_GBK" w:hAnsi="方正仿宋_GBK" w:eastAsia="方正仿宋_GBK" w:cs="方正仿宋_GBK"/>
                <w:sz w:val="24"/>
                <w:lang w:eastAsia="zh-CN"/>
              </w:rPr>
              <w:t>求助</w:t>
            </w:r>
            <w:r>
              <w:rPr>
                <w:rFonts w:hint="eastAsia" w:ascii="方正仿宋_GBK" w:hAnsi="方正仿宋_GBK" w:eastAsia="方正仿宋_GBK" w:cs="方正仿宋_GBK"/>
                <w:sz w:val="24"/>
              </w:rPr>
              <w:t>、无偿救助、依法救助”的工作原则，认真做好救助管理服务工作。2、做好寒冬季节流浪乞讨人员和困境未成年人救助保护工作。3、实施“朝阳计划”“假日养吧” 并实施“2+2专业救助计划”（即：周六、周日+暑假、寒假）引领“超前救助”的农村困境未成年人专业化保护的“广元实践”，全面完成救助任务。</w:t>
            </w:r>
          </w:p>
        </w:tc>
        <w:tc>
          <w:tcPr>
            <w:tcW w:w="3035" w:type="dxa"/>
            <w:gridSpan w:val="2"/>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sz w:val="24"/>
                <w:lang w:val="zh-CN"/>
              </w:rPr>
              <w:t>1、认真做好救助管理服务工作。2、做好寒冬季节流浪乞讨人员和困境未成年人救助保护工作。3、实施“朝阳计划”“假日养吧”，做好未成年人社会保护工作。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restart"/>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kern w:val="0"/>
                <w:sz w:val="24"/>
              </w:rPr>
              <w:t>年度绩效指标完成情况</w:t>
            </w:r>
          </w:p>
        </w:tc>
        <w:tc>
          <w:tcPr>
            <w:tcW w:w="1188" w:type="dxa"/>
            <w:vAlign w:val="center"/>
          </w:tcPr>
          <w:p>
            <w:pPr>
              <w:widowControl/>
              <w:spacing w:line="576" w:lineRule="exact"/>
              <w:jc w:val="center"/>
              <w:textAlignment w:val="center"/>
              <w:rPr>
                <w:rFonts w:ascii="方正仿宋_GBK" w:hAnsi="方正仿宋_GBK" w:eastAsia="方正仿宋_GBK" w:cs="方正仿宋_GBK"/>
                <w:sz w:val="24"/>
                <w:lang w:val="zh-CN"/>
              </w:rPr>
            </w:pPr>
            <w:r>
              <w:rPr>
                <w:rFonts w:hint="eastAsia" w:ascii="方正仿宋_GBK" w:hAnsi="方正仿宋_GBK" w:eastAsia="方正仿宋_GBK" w:cs="方正仿宋_GBK"/>
                <w:kern w:val="0"/>
                <w:sz w:val="24"/>
              </w:rPr>
              <w:t>一级指标</w:t>
            </w:r>
          </w:p>
        </w:tc>
        <w:tc>
          <w:tcPr>
            <w:tcW w:w="2100" w:type="dxa"/>
            <w:vAlign w:val="center"/>
          </w:tcPr>
          <w:p>
            <w:pPr>
              <w:widowControl/>
              <w:spacing w:line="576" w:lineRule="exact"/>
              <w:jc w:val="center"/>
              <w:textAlignment w:val="center"/>
              <w:rPr>
                <w:rFonts w:ascii="方正仿宋_GBK" w:hAnsi="方正仿宋_GBK" w:eastAsia="方正仿宋_GBK" w:cs="方正仿宋_GBK"/>
                <w:sz w:val="24"/>
                <w:lang w:val="zh-CN"/>
              </w:rPr>
            </w:pPr>
            <w:r>
              <w:rPr>
                <w:rFonts w:hint="eastAsia" w:ascii="方正仿宋_GBK" w:hAnsi="方正仿宋_GBK" w:eastAsia="方正仿宋_GBK" w:cs="方正仿宋_GBK"/>
                <w:kern w:val="0"/>
                <w:sz w:val="24"/>
              </w:rPr>
              <w:t>二级指标</w:t>
            </w:r>
          </w:p>
        </w:tc>
        <w:tc>
          <w:tcPr>
            <w:tcW w:w="1835" w:type="dxa"/>
            <w:vAlign w:val="center"/>
          </w:tcPr>
          <w:p>
            <w:pPr>
              <w:widowControl/>
              <w:spacing w:line="576" w:lineRule="exact"/>
              <w:jc w:val="center"/>
              <w:textAlignment w:val="center"/>
              <w:rPr>
                <w:rFonts w:ascii="方正仿宋_GBK" w:hAnsi="方正仿宋_GBK" w:eastAsia="方正仿宋_GBK" w:cs="方正仿宋_GBK"/>
                <w:sz w:val="24"/>
                <w:lang w:val="zh-CN"/>
              </w:rPr>
            </w:pPr>
            <w:r>
              <w:rPr>
                <w:rFonts w:hint="eastAsia" w:ascii="方正仿宋_GBK" w:hAnsi="方正仿宋_GBK" w:eastAsia="方正仿宋_GBK" w:cs="方正仿宋_GBK"/>
                <w:kern w:val="0"/>
                <w:sz w:val="24"/>
              </w:rPr>
              <w:t>三级指标</w:t>
            </w:r>
          </w:p>
        </w:tc>
        <w:tc>
          <w:tcPr>
            <w:tcW w:w="1834" w:type="dxa"/>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kern w:val="0"/>
                <w:sz w:val="24"/>
              </w:rPr>
              <w:t>预期指标值</w:t>
            </w:r>
          </w:p>
        </w:tc>
        <w:tc>
          <w:tcPr>
            <w:tcW w:w="1201" w:type="dxa"/>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kern w:val="0"/>
                <w:sz w:val="24"/>
              </w:rPr>
              <w:t>实际完成指标值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adjustRightInd w:val="0"/>
              <w:snapToGrid w:val="0"/>
              <w:spacing w:line="576" w:lineRule="exact"/>
              <w:jc w:val="center"/>
              <w:rPr>
                <w:rFonts w:ascii="方正仿宋_GBK" w:hAnsi="方正仿宋_GBK" w:eastAsia="方正仿宋_GBK" w:cs="方正仿宋_GBK"/>
                <w:sz w:val="24"/>
                <w:lang w:val="zh-CN"/>
              </w:rPr>
            </w:pPr>
          </w:p>
        </w:tc>
        <w:tc>
          <w:tcPr>
            <w:tcW w:w="1188" w:type="dxa"/>
            <w:vMerge w:val="restart"/>
            <w:vAlign w:val="center"/>
          </w:tcPr>
          <w:p>
            <w:pPr>
              <w:widowControl/>
              <w:spacing w:line="576" w:lineRule="exact"/>
              <w:jc w:val="center"/>
              <w:textAlignment w:val="bottom"/>
              <w:rPr>
                <w:rFonts w:ascii="方正仿宋_GBK" w:hAnsi="方正仿宋_GBK" w:eastAsia="方正仿宋_GBK" w:cs="方正仿宋_GBK"/>
                <w:sz w:val="24"/>
                <w:lang w:val="zh-CN"/>
              </w:rPr>
            </w:pPr>
            <w:r>
              <w:rPr>
                <w:rFonts w:hint="eastAsia" w:ascii="方正仿宋_GBK" w:hAnsi="方正仿宋_GBK" w:eastAsia="方正仿宋_GBK" w:cs="方正仿宋_GBK"/>
                <w:kern w:val="0"/>
                <w:sz w:val="24"/>
              </w:rPr>
              <w:t>完成指标</w:t>
            </w:r>
          </w:p>
        </w:tc>
        <w:tc>
          <w:tcPr>
            <w:tcW w:w="2100" w:type="dxa"/>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kern w:val="0"/>
                <w:sz w:val="24"/>
              </w:rPr>
              <w:t>数量指标</w:t>
            </w:r>
          </w:p>
        </w:tc>
        <w:tc>
          <w:tcPr>
            <w:tcW w:w="1835" w:type="dxa"/>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sz w:val="24"/>
              </w:rPr>
              <w:t>救助人数</w:t>
            </w:r>
          </w:p>
        </w:tc>
        <w:tc>
          <w:tcPr>
            <w:tcW w:w="1834" w:type="dxa"/>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sz w:val="24"/>
              </w:rPr>
              <w:t>1800</w:t>
            </w:r>
          </w:p>
        </w:tc>
        <w:tc>
          <w:tcPr>
            <w:tcW w:w="1201" w:type="dxa"/>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sz w:val="24"/>
              </w:rPr>
              <w:t>1815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adjustRightInd w:val="0"/>
              <w:snapToGrid w:val="0"/>
              <w:spacing w:line="576" w:lineRule="exact"/>
              <w:jc w:val="center"/>
              <w:rPr>
                <w:rFonts w:ascii="方正仿宋_GBK" w:hAnsi="方正仿宋_GBK" w:eastAsia="方正仿宋_GBK" w:cs="方正仿宋_GBK"/>
                <w:sz w:val="24"/>
                <w:lang w:val="zh-CN"/>
              </w:rPr>
            </w:pPr>
          </w:p>
        </w:tc>
        <w:tc>
          <w:tcPr>
            <w:tcW w:w="1188" w:type="dxa"/>
            <w:vMerge w:val="continue"/>
            <w:vAlign w:val="center"/>
          </w:tcPr>
          <w:p>
            <w:pPr>
              <w:adjustRightInd w:val="0"/>
              <w:snapToGrid w:val="0"/>
              <w:spacing w:line="576" w:lineRule="exact"/>
              <w:jc w:val="center"/>
              <w:rPr>
                <w:rFonts w:ascii="方正仿宋_GBK" w:hAnsi="方正仿宋_GBK" w:eastAsia="方正仿宋_GBK" w:cs="方正仿宋_GBK"/>
                <w:sz w:val="24"/>
                <w:lang w:val="zh-CN"/>
              </w:rPr>
            </w:pPr>
          </w:p>
        </w:tc>
        <w:tc>
          <w:tcPr>
            <w:tcW w:w="2100" w:type="dxa"/>
            <w:vAlign w:val="center"/>
          </w:tcPr>
          <w:p>
            <w:pPr>
              <w:widowControl/>
              <w:spacing w:line="576" w:lineRule="exact"/>
              <w:jc w:val="center"/>
              <w:textAlignment w:val="bottom"/>
              <w:rPr>
                <w:rFonts w:ascii="方正仿宋_GBK" w:hAnsi="方正仿宋_GBK" w:eastAsia="方正仿宋_GBK" w:cs="方正仿宋_GBK"/>
                <w:sz w:val="24"/>
                <w:lang w:val="zh-CN"/>
              </w:rPr>
            </w:pPr>
            <w:r>
              <w:rPr>
                <w:rFonts w:hint="eastAsia" w:ascii="方正仿宋_GBK" w:hAnsi="方正仿宋_GBK" w:eastAsia="方正仿宋_GBK" w:cs="方正仿宋_GBK"/>
                <w:kern w:val="0"/>
                <w:sz w:val="24"/>
              </w:rPr>
              <w:t>质量指标</w:t>
            </w:r>
          </w:p>
        </w:tc>
        <w:tc>
          <w:tcPr>
            <w:tcW w:w="1835" w:type="dxa"/>
            <w:vAlign w:val="center"/>
          </w:tcPr>
          <w:p>
            <w:pPr>
              <w:widowControl/>
              <w:spacing w:line="576" w:lineRule="exact"/>
              <w:jc w:val="center"/>
              <w:textAlignment w:val="bottom"/>
              <w:rPr>
                <w:rFonts w:ascii="方正仿宋_GBK" w:hAnsi="方正仿宋_GBK" w:eastAsia="方正仿宋_GBK" w:cs="方正仿宋_GBK"/>
                <w:sz w:val="24"/>
                <w:lang w:val="zh-CN"/>
              </w:rPr>
            </w:pPr>
            <w:r>
              <w:rPr>
                <w:rFonts w:hint="eastAsia" w:ascii="方正仿宋_GBK" w:hAnsi="方正仿宋_GBK" w:eastAsia="方正仿宋_GBK" w:cs="方正仿宋_GBK"/>
                <w:sz w:val="24"/>
              </w:rPr>
              <w:t>对受助人员的服务</w:t>
            </w:r>
          </w:p>
        </w:tc>
        <w:tc>
          <w:tcPr>
            <w:tcW w:w="1834" w:type="dxa"/>
            <w:vAlign w:val="center"/>
          </w:tcPr>
          <w:p>
            <w:pPr>
              <w:widowControl/>
              <w:spacing w:line="576" w:lineRule="exact"/>
              <w:jc w:val="center"/>
              <w:textAlignment w:val="bottom"/>
              <w:rPr>
                <w:rFonts w:ascii="方正仿宋_GBK" w:hAnsi="方正仿宋_GBK" w:eastAsia="方正仿宋_GBK" w:cs="方正仿宋_GBK"/>
                <w:sz w:val="24"/>
                <w:lang w:val="zh-CN"/>
              </w:rPr>
            </w:pPr>
            <w:r>
              <w:rPr>
                <w:rFonts w:hint="eastAsia" w:ascii="方正仿宋_GBK" w:hAnsi="方正仿宋_GBK" w:eastAsia="方正仿宋_GBK" w:cs="方正仿宋_GBK"/>
                <w:sz w:val="24"/>
              </w:rPr>
              <w:t>依法依规</w:t>
            </w:r>
          </w:p>
        </w:tc>
        <w:tc>
          <w:tcPr>
            <w:tcW w:w="1201" w:type="dxa"/>
            <w:vAlign w:val="center"/>
          </w:tcPr>
          <w:p>
            <w:pPr>
              <w:widowControl/>
              <w:spacing w:line="576" w:lineRule="exact"/>
              <w:jc w:val="center"/>
              <w:textAlignment w:val="bottom"/>
              <w:rPr>
                <w:rFonts w:ascii="方正仿宋_GBK" w:hAnsi="方正仿宋_GBK" w:eastAsia="方正仿宋_GBK" w:cs="方正仿宋_GBK"/>
                <w:sz w:val="24"/>
                <w:lang w:val="zh-CN"/>
              </w:rPr>
            </w:pPr>
            <w:r>
              <w:rPr>
                <w:rFonts w:hint="eastAsia" w:ascii="方正仿宋_GBK" w:hAnsi="方正仿宋_GBK" w:eastAsia="方正仿宋_GBK" w:cs="方正仿宋_GBK"/>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adjustRightInd w:val="0"/>
              <w:snapToGrid w:val="0"/>
              <w:spacing w:line="576" w:lineRule="exact"/>
              <w:jc w:val="center"/>
              <w:rPr>
                <w:rFonts w:ascii="方正仿宋_GBK" w:hAnsi="方正仿宋_GBK" w:eastAsia="方正仿宋_GBK" w:cs="方正仿宋_GBK"/>
                <w:sz w:val="24"/>
                <w:lang w:val="zh-CN"/>
              </w:rPr>
            </w:pPr>
          </w:p>
        </w:tc>
        <w:tc>
          <w:tcPr>
            <w:tcW w:w="1188" w:type="dxa"/>
            <w:vMerge w:val="continue"/>
            <w:vAlign w:val="center"/>
          </w:tcPr>
          <w:p>
            <w:pPr>
              <w:adjustRightInd w:val="0"/>
              <w:snapToGrid w:val="0"/>
              <w:spacing w:line="576" w:lineRule="exact"/>
              <w:jc w:val="center"/>
              <w:rPr>
                <w:rFonts w:ascii="方正仿宋_GBK" w:hAnsi="方正仿宋_GBK" w:eastAsia="方正仿宋_GBK" w:cs="方正仿宋_GBK"/>
                <w:sz w:val="24"/>
                <w:lang w:val="zh-CN"/>
              </w:rPr>
            </w:pPr>
          </w:p>
        </w:tc>
        <w:tc>
          <w:tcPr>
            <w:tcW w:w="2100" w:type="dxa"/>
            <w:vAlign w:val="center"/>
          </w:tcPr>
          <w:p>
            <w:pPr>
              <w:widowControl/>
              <w:spacing w:line="576" w:lineRule="exact"/>
              <w:jc w:val="center"/>
              <w:textAlignment w:val="bottom"/>
              <w:rPr>
                <w:rFonts w:ascii="方正仿宋_GBK" w:hAnsi="方正仿宋_GBK" w:eastAsia="方正仿宋_GBK" w:cs="方正仿宋_GBK"/>
                <w:sz w:val="24"/>
                <w:lang w:val="zh-CN"/>
              </w:rPr>
            </w:pPr>
            <w:r>
              <w:rPr>
                <w:rFonts w:hint="eastAsia" w:ascii="方正仿宋_GBK" w:hAnsi="方正仿宋_GBK" w:eastAsia="方正仿宋_GBK" w:cs="方正仿宋_GBK"/>
                <w:kern w:val="0"/>
                <w:sz w:val="24"/>
              </w:rPr>
              <w:t>时效指标</w:t>
            </w:r>
          </w:p>
        </w:tc>
        <w:tc>
          <w:tcPr>
            <w:tcW w:w="1835" w:type="dxa"/>
            <w:vAlign w:val="center"/>
          </w:tcPr>
          <w:p>
            <w:pPr>
              <w:widowControl/>
              <w:spacing w:line="576" w:lineRule="exact"/>
              <w:jc w:val="center"/>
              <w:textAlignment w:val="bottom"/>
              <w:rPr>
                <w:rFonts w:ascii="方正仿宋_GBK" w:hAnsi="方正仿宋_GBK" w:eastAsia="方正仿宋_GBK" w:cs="方正仿宋_GBK"/>
                <w:sz w:val="24"/>
                <w:lang w:val="zh-CN"/>
              </w:rPr>
            </w:pPr>
            <w:r>
              <w:rPr>
                <w:rFonts w:hint="eastAsia" w:ascii="方正仿宋_GBK" w:hAnsi="方正仿宋_GBK" w:eastAsia="方正仿宋_GBK" w:cs="方正仿宋_GBK"/>
                <w:sz w:val="24"/>
              </w:rPr>
              <w:t>结算救助医疗及临时安置费</w:t>
            </w:r>
          </w:p>
        </w:tc>
        <w:tc>
          <w:tcPr>
            <w:tcW w:w="1834" w:type="dxa"/>
            <w:vAlign w:val="center"/>
          </w:tcPr>
          <w:p>
            <w:pPr>
              <w:widowControl/>
              <w:spacing w:line="576" w:lineRule="exact"/>
              <w:jc w:val="center"/>
              <w:textAlignment w:val="bottom"/>
              <w:rPr>
                <w:rFonts w:ascii="方正仿宋_GBK" w:hAnsi="方正仿宋_GBK" w:eastAsia="方正仿宋_GBK" w:cs="方正仿宋_GBK"/>
                <w:sz w:val="24"/>
                <w:lang w:val="zh-CN"/>
              </w:rPr>
            </w:pPr>
            <w:r>
              <w:rPr>
                <w:rFonts w:hint="eastAsia" w:ascii="方正仿宋_GBK" w:hAnsi="方正仿宋_GBK" w:eastAsia="方正仿宋_GBK" w:cs="方正仿宋_GBK"/>
                <w:sz w:val="24"/>
              </w:rPr>
              <w:t>上下半年各一次</w:t>
            </w:r>
          </w:p>
        </w:tc>
        <w:tc>
          <w:tcPr>
            <w:tcW w:w="1201" w:type="dxa"/>
            <w:vAlign w:val="center"/>
          </w:tcPr>
          <w:p>
            <w:pPr>
              <w:widowControl/>
              <w:spacing w:line="576" w:lineRule="exact"/>
              <w:jc w:val="center"/>
              <w:textAlignment w:val="bottom"/>
              <w:rPr>
                <w:rFonts w:ascii="方正仿宋_GBK" w:hAnsi="方正仿宋_GBK" w:eastAsia="方正仿宋_GBK" w:cs="方正仿宋_GBK"/>
                <w:sz w:val="24"/>
                <w:lang w:val="zh-CN"/>
              </w:rPr>
            </w:pPr>
            <w:r>
              <w:rPr>
                <w:rFonts w:hint="eastAsia" w:ascii="方正仿宋_GBK" w:hAnsi="方正仿宋_GBK" w:eastAsia="方正仿宋_GBK" w:cs="方正仿宋_GBK"/>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adjustRightInd w:val="0"/>
              <w:snapToGrid w:val="0"/>
              <w:spacing w:line="576" w:lineRule="exact"/>
              <w:jc w:val="center"/>
              <w:rPr>
                <w:rFonts w:ascii="方正仿宋_GBK" w:hAnsi="方正仿宋_GBK" w:eastAsia="方正仿宋_GBK" w:cs="方正仿宋_GBK"/>
                <w:sz w:val="24"/>
                <w:lang w:val="zh-CN"/>
              </w:rPr>
            </w:pPr>
          </w:p>
        </w:tc>
        <w:tc>
          <w:tcPr>
            <w:tcW w:w="1188" w:type="dxa"/>
            <w:vMerge w:val="continue"/>
            <w:vAlign w:val="center"/>
          </w:tcPr>
          <w:p>
            <w:pPr>
              <w:adjustRightInd w:val="0"/>
              <w:snapToGrid w:val="0"/>
              <w:spacing w:line="576" w:lineRule="exact"/>
              <w:jc w:val="center"/>
              <w:rPr>
                <w:rFonts w:ascii="方正仿宋_GBK" w:hAnsi="方正仿宋_GBK" w:eastAsia="方正仿宋_GBK" w:cs="方正仿宋_GBK"/>
                <w:sz w:val="24"/>
                <w:lang w:val="zh-CN"/>
              </w:rPr>
            </w:pPr>
          </w:p>
        </w:tc>
        <w:tc>
          <w:tcPr>
            <w:tcW w:w="2100" w:type="dxa"/>
            <w:vAlign w:val="center"/>
          </w:tcPr>
          <w:p>
            <w:pPr>
              <w:widowControl/>
              <w:spacing w:line="576" w:lineRule="exact"/>
              <w:jc w:val="center"/>
              <w:textAlignment w:val="bottom"/>
              <w:rPr>
                <w:rFonts w:ascii="方正仿宋_GBK" w:hAnsi="方正仿宋_GBK" w:eastAsia="方正仿宋_GBK" w:cs="方正仿宋_GBK"/>
                <w:sz w:val="24"/>
                <w:lang w:val="zh-CN"/>
              </w:rPr>
            </w:pPr>
            <w:r>
              <w:rPr>
                <w:rFonts w:hint="eastAsia" w:ascii="方正仿宋_GBK" w:hAnsi="方正仿宋_GBK" w:eastAsia="方正仿宋_GBK" w:cs="方正仿宋_GBK"/>
                <w:kern w:val="0"/>
                <w:sz w:val="24"/>
              </w:rPr>
              <w:t>成本指标</w:t>
            </w:r>
          </w:p>
        </w:tc>
        <w:tc>
          <w:tcPr>
            <w:tcW w:w="1835" w:type="dxa"/>
            <w:vAlign w:val="center"/>
          </w:tcPr>
          <w:p>
            <w:pPr>
              <w:widowControl/>
              <w:spacing w:line="576" w:lineRule="exact"/>
              <w:jc w:val="center"/>
              <w:textAlignment w:val="bottom"/>
              <w:rPr>
                <w:rFonts w:ascii="方正仿宋_GBK" w:hAnsi="方正仿宋_GBK" w:eastAsia="方正仿宋_GBK" w:cs="方正仿宋_GBK"/>
                <w:sz w:val="24"/>
                <w:lang w:val="zh-CN"/>
              </w:rPr>
            </w:pPr>
            <w:r>
              <w:rPr>
                <w:rFonts w:hint="eastAsia" w:ascii="方正仿宋_GBK" w:hAnsi="方正仿宋_GBK" w:eastAsia="方正仿宋_GBK" w:cs="方正仿宋_GBK"/>
                <w:sz w:val="24"/>
              </w:rPr>
              <w:t>支付流浪乞讨人员各项支出</w:t>
            </w:r>
          </w:p>
        </w:tc>
        <w:tc>
          <w:tcPr>
            <w:tcW w:w="1834" w:type="dxa"/>
            <w:vAlign w:val="center"/>
          </w:tcPr>
          <w:p>
            <w:pPr>
              <w:widowControl/>
              <w:spacing w:line="576" w:lineRule="exact"/>
              <w:jc w:val="center"/>
              <w:textAlignment w:val="bottom"/>
              <w:rPr>
                <w:rFonts w:ascii="方正仿宋_GBK" w:hAnsi="方正仿宋_GBK" w:eastAsia="方正仿宋_GBK" w:cs="方正仿宋_GBK"/>
                <w:sz w:val="24"/>
                <w:lang w:val="zh-CN"/>
              </w:rPr>
            </w:pPr>
            <w:r>
              <w:rPr>
                <w:rFonts w:hint="eastAsia" w:ascii="方正仿宋_GBK" w:hAnsi="方正仿宋_GBK" w:eastAsia="方正仿宋_GBK" w:cs="方正仿宋_GBK"/>
                <w:sz w:val="24"/>
              </w:rPr>
              <w:t>据实结算、节约开支</w:t>
            </w:r>
          </w:p>
        </w:tc>
        <w:tc>
          <w:tcPr>
            <w:tcW w:w="1201" w:type="dxa"/>
            <w:vAlign w:val="center"/>
          </w:tcPr>
          <w:p>
            <w:pPr>
              <w:widowControl/>
              <w:spacing w:line="576" w:lineRule="exact"/>
              <w:jc w:val="center"/>
              <w:textAlignment w:val="bottom"/>
              <w:rPr>
                <w:rFonts w:ascii="方正仿宋_GBK" w:hAnsi="方正仿宋_GBK" w:eastAsia="方正仿宋_GBK" w:cs="方正仿宋_GBK"/>
                <w:sz w:val="24"/>
                <w:lang w:val="zh-CN"/>
              </w:rPr>
            </w:pPr>
            <w:r>
              <w:rPr>
                <w:rFonts w:hint="eastAsia" w:ascii="方正仿宋_GBK" w:hAnsi="方正仿宋_GBK" w:eastAsia="方正仿宋_GBK" w:cs="方正仿宋_GBK"/>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adjustRightInd w:val="0"/>
              <w:snapToGrid w:val="0"/>
              <w:spacing w:line="576" w:lineRule="exact"/>
              <w:jc w:val="center"/>
              <w:rPr>
                <w:rFonts w:ascii="方正仿宋_GBK" w:hAnsi="方正仿宋_GBK" w:eastAsia="方正仿宋_GBK" w:cs="方正仿宋_GBK"/>
                <w:sz w:val="24"/>
                <w:lang w:val="zh-CN"/>
              </w:rPr>
            </w:pPr>
          </w:p>
        </w:tc>
        <w:tc>
          <w:tcPr>
            <w:tcW w:w="1188" w:type="dxa"/>
            <w:vMerge w:val="restart"/>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kern w:val="0"/>
                <w:sz w:val="24"/>
              </w:rPr>
              <w:t>效益</w:t>
            </w:r>
            <w:r>
              <w:rPr>
                <w:rFonts w:hint="eastAsia" w:ascii="方正仿宋_GBK" w:hAnsi="方正仿宋_GBK" w:eastAsia="方正仿宋_GBK" w:cs="方正仿宋_GBK"/>
                <w:kern w:val="0"/>
                <w:sz w:val="24"/>
              </w:rPr>
              <w:br w:type="textWrapping"/>
            </w:r>
            <w:r>
              <w:rPr>
                <w:rFonts w:hint="eastAsia" w:ascii="方正仿宋_GBK" w:hAnsi="方正仿宋_GBK" w:eastAsia="方正仿宋_GBK" w:cs="方正仿宋_GBK"/>
                <w:kern w:val="0"/>
                <w:sz w:val="24"/>
              </w:rPr>
              <w:t>指标</w:t>
            </w:r>
          </w:p>
        </w:tc>
        <w:tc>
          <w:tcPr>
            <w:tcW w:w="2100" w:type="dxa"/>
            <w:vAlign w:val="center"/>
          </w:tcPr>
          <w:p>
            <w:pPr>
              <w:widowControl/>
              <w:spacing w:line="576" w:lineRule="exact"/>
              <w:jc w:val="center"/>
              <w:textAlignment w:val="bottom"/>
              <w:rPr>
                <w:rFonts w:ascii="方正仿宋_GBK" w:hAnsi="方正仿宋_GBK" w:eastAsia="方正仿宋_GBK" w:cs="方正仿宋_GBK"/>
                <w:sz w:val="24"/>
                <w:lang w:val="zh-CN"/>
              </w:rPr>
            </w:pPr>
            <w:r>
              <w:rPr>
                <w:rFonts w:hint="eastAsia" w:ascii="方正仿宋_GBK" w:hAnsi="方正仿宋_GBK" w:eastAsia="方正仿宋_GBK" w:cs="方正仿宋_GBK"/>
                <w:kern w:val="0"/>
                <w:sz w:val="24"/>
              </w:rPr>
              <w:t>经济效益指标</w:t>
            </w:r>
          </w:p>
        </w:tc>
        <w:tc>
          <w:tcPr>
            <w:tcW w:w="1835" w:type="dxa"/>
            <w:vAlign w:val="center"/>
          </w:tcPr>
          <w:p>
            <w:pPr>
              <w:widowControl/>
              <w:spacing w:line="576" w:lineRule="exact"/>
              <w:jc w:val="center"/>
              <w:textAlignment w:val="bottom"/>
              <w:rPr>
                <w:rFonts w:ascii="方正仿宋_GBK" w:hAnsi="方正仿宋_GBK" w:eastAsia="方正仿宋_GBK" w:cs="方正仿宋_GBK"/>
                <w:sz w:val="24"/>
                <w:lang w:val="zh-CN"/>
              </w:rPr>
            </w:pPr>
            <w:r>
              <w:rPr>
                <w:rFonts w:hint="eastAsia" w:ascii="方正仿宋_GBK" w:hAnsi="方正仿宋_GBK" w:eastAsia="方正仿宋_GBK" w:cs="方正仿宋_GBK"/>
                <w:sz w:val="24"/>
              </w:rPr>
              <w:t>受助人员生活状况、健康状况</w:t>
            </w:r>
          </w:p>
        </w:tc>
        <w:tc>
          <w:tcPr>
            <w:tcW w:w="1834" w:type="dxa"/>
            <w:vAlign w:val="center"/>
          </w:tcPr>
          <w:p>
            <w:pPr>
              <w:widowControl/>
              <w:spacing w:line="576" w:lineRule="exact"/>
              <w:jc w:val="center"/>
              <w:textAlignment w:val="bottom"/>
              <w:rPr>
                <w:rFonts w:ascii="方正仿宋_GBK" w:hAnsi="方正仿宋_GBK" w:eastAsia="方正仿宋_GBK" w:cs="方正仿宋_GBK"/>
                <w:sz w:val="24"/>
                <w:lang w:val="zh-CN"/>
              </w:rPr>
            </w:pPr>
            <w:r>
              <w:rPr>
                <w:rFonts w:hint="eastAsia" w:ascii="方正仿宋_GBK" w:hAnsi="方正仿宋_GBK" w:eastAsia="方正仿宋_GBK" w:cs="方正仿宋_GBK"/>
                <w:sz w:val="24"/>
              </w:rPr>
              <w:t>进一步提升</w:t>
            </w:r>
          </w:p>
        </w:tc>
        <w:tc>
          <w:tcPr>
            <w:tcW w:w="1201" w:type="dxa"/>
            <w:vAlign w:val="center"/>
          </w:tcPr>
          <w:p>
            <w:pPr>
              <w:widowControl/>
              <w:spacing w:line="576" w:lineRule="exact"/>
              <w:jc w:val="center"/>
              <w:textAlignment w:val="bottom"/>
              <w:rPr>
                <w:rFonts w:ascii="方正仿宋_GBK" w:hAnsi="方正仿宋_GBK" w:eastAsia="方正仿宋_GBK" w:cs="方正仿宋_GBK"/>
                <w:sz w:val="24"/>
                <w:lang w:val="zh-CN"/>
              </w:rPr>
            </w:pPr>
            <w:r>
              <w:rPr>
                <w:rFonts w:hint="eastAsia" w:ascii="方正仿宋_GBK" w:hAnsi="方正仿宋_GBK" w:eastAsia="方正仿宋_GBK" w:cs="方正仿宋_GBK"/>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adjustRightInd w:val="0"/>
              <w:snapToGrid w:val="0"/>
              <w:spacing w:line="576" w:lineRule="exact"/>
              <w:jc w:val="center"/>
              <w:rPr>
                <w:rFonts w:ascii="方正仿宋_GBK" w:hAnsi="方正仿宋_GBK" w:eastAsia="方正仿宋_GBK" w:cs="方正仿宋_GBK"/>
                <w:sz w:val="24"/>
                <w:lang w:val="zh-CN"/>
              </w:rPr>
            </w:pPr>
          </w:p>
        </w:tc>
        <w:tc>
          <w:tcPr>
            <w:tcW w:w="1188" w:type="dxa"/>
            <w:vMerge w:val="continue"/>
            <w:vAlign w:val="center"/>
          </w:tcPr>
          <w:p>
            <w:pPr>
              <w:adjustRightInd w:val="0"/>
              <w:snapToGrid w:val="0"/>
              <w:spacing w:line="576" w:lineRule="exact"/>
              <w:jc w:val="center"/>
              <w:rPr>
                <w:rFonts w:ascii="方正仿宋_GBK" w:hAnsi="方正仿宋_GBK" w:eastAsia="方正仿宋_GBK" w:cs="方正仿宋_GBK"/>
                <w:sz w:val="24"/>
                <w:lang w:val="zh-CN"/>
              </w:rPr>
            </w:pPr>
          </w:p>
        </w:tc>
        <w:tc>
          <w:tcPr>
            <w:tcW w:w="2100" w:type="dxa"/>
            <w:vAlign w:val="center"/>
          </w:tcPr>
          <w:p>
            <w:pPr>
              <w:widowControl/>
              <w:spacing w:line="576" w:lineRule="exact"/>
              <w:jc w:val="center"/>
              <w:textAlignment w:val="bottom"/>
              <w:rPr>
                <w:rFonts w:ascii="方正仿宋_GBK" w:hAnsi="方正仿宋_GBK" w:eastAsia="方正仿宋_GBK" w:cs="方正仿宋_GBK"/>
                <w:sz w:val="24"/>
              </w:rPr>
            </w:pPr>
            <w:r>
              <w:rPr>
                <w:rFonts w:hint="eastAsia" w:ascii="方正仿宋_GBK" w:hAnsi="方正仿宋_GBK" w:eastAsia="方正仿宋_GBK" w:cs="方正仿宋_GBK"/>
                <w:kern w:val="0"/>
                <w:sz w:val="24"/>
              </w:rPr>
              <w:t>社会效益指标</w:t>
            </w:r>
          </w:p>
        </w:tc>
        <w:tc>
          <w:tcPr>
            <w:tcW w:w="1835" w:type="dxa"/>
            <w:vAlign w:val="center"/>
          </w:tcPr>
          <w:p>
            <w:pPr>
              <w:widowControl/>
              <w:spacing w:line="576" w:lineRule="exact"/>
              <w:jc w:val="center"/>
              <w:textAlignment w:val="bottom"/>
              <w:rPr>
                <w:rFonts w:ascii="方正仿宋_GBK" w:hAnsi="方正仿宋_GBK" w:eastAsia="方正仿宋_GBK" w:cs="方正仿宋_GBK"/>
                <w:sz w:val="24"/>
              </w:rPr>
            </w:pPr>
            <w:r>
              <w:rPr>
                <w:rFonts w:hint="eastAsia" w:ascii="方正仿宋_GBK" w:hAnsi="方正仿宋_GBK" w:eastAsia="方正仿宋_GBK" w:cs="方正仿宋_GBK"/>
                <w:sz w:val="24"/>
              </w:rPr>
              <w:t>维护社会稳定、保护弱势群体权益</w:t>
            </w:r>
          </w:p>
        </w:tc>
        <w:tc>
          <w:tcPr>
            <w:tcW w:w="1834" w:type="dxa"/>
            <w:vAlign w:val="center"/>
          </w:tcPr>
          <w:p>
            <w:pPr>
              <w:widowControl/>
              <w:spacing w:line="576" w:lineRule="exact"/>
              <w:jc w:val="center"/>
              <w:textAlignment w:val="bottom"/>
              <w:rPr>
                <w:rFonts w:ascii="方正仿宋_GBK" w:hAnsi="方正仿宋_GBK" w:eastAsia="方正仿宋_GBK" w:cs="方正仿宋_GBK"/>
                <w:sz w:val="24"/>
              </w:rPr>
            </w:pPr>
            <w:r>
              <w:rPr>
                <w:rFonts w:hint="eastAsia" w:ascii="方正仿宋_GBK" w:hAnsi="方正仿宋_GBK" w:eastAsia="方正仿宋_GBK" w:cs="方正仿宋_GBK"/>
                <w:sz w:val="24"/>
              </w:rPr>
              <w:t>不断提升</w:t>
            </w:r>
          </w:p>
        </w:tc>
        <w:tc>
          <w:tcPr>
            <w:tcW w:w="1201" w:type="dxa"/>
            <w:vAlign w:val="center"/>
          </w:tcPr>
          <w:p>
            <w:pPr>
              <w:widowControl/>
              <w:spacing w:line="576" w:lineRule="exact"/>
              <w:jc w:val="center"/>
              <w:textAlignment w:val="bottom"/>
              <w:rPr>
                <w:rFonts w:ascii="方正仿宋_GBK" w:hAnsi="方正仿宋_GBK" w:eastAsia="方正仿宋_GBK" w:cs="方正仿宋_GBK"/>
                <w:sz w:val="24"/>
              </w:rPr>
            </w:pPr>
            <w:r>
              <w:rPr>
                <w:rFonts w:hint="eastAsia" w:ascii="方正仿宋_GBK" w:hAnsi="方正仿宋_GBK" w:eastAsia="方正仿宋_GBK" w:cs="方正仿宋_GBK"/>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adjustRightInd w:val="0"/>
              <w:snapToGrid w:val="0"/>
              <w:spacing w:line="576" w:lineRule="exact"/>
              <w:jc w:val="center"/>
              <w:rPr>
                <w:rFonts w:ascii="方正仿宋_GBK" w:hAnsi="方正仿宋_GBK" w:eastAsia="方正仿宋_GBK" w:cs="方正仿宋_GBK"/>
                <w:sz w:val="24"/>
                <w:lang w:val="zh-CN"/>
              </w:rPr>
            </w:pPr>
          </w:p>
        </w:tc>
        <w:tc>
          <w:tcPr>
            <w:tcW w:w="1188" w:type="dxa"/>
            <w:vMerge w:val="continue"/>
            <w:vAlign w:val="center"/>
          </w:tcPr>
          <w:p>
            <w:pPr>
              <w:adjustRightInd w:val="0"/>
              <w:snapToGrid w:val="0"/>
              <w:spacing w:line="576" w:lineRule="exact"/>
              <w:jc w:val="center"/>
              <w:rPr>
                <w:rFonts w:ascii="方正仿宋_GBK" w:hAnsi="方正仿宋_GBK" w:eastAsia="方正仿宋_GBK" w:cs="方正仿宋_GBK"/>
                <w:sz w:val="24"/>
                <w:lang w:val="zh-CN"/>
              </w:rPr>
            </w:pPr>
          </w:p>
        </w:tc>
        <w:tc>
          <w:tcPr>
            <w:tcW w:w="2100" w:type="dxa"/>
            <w:vAlign w:val="center"/>
          </w:tcPr>
          <w:p>
            <w:pPr>
              <w:widowControl/>
              <w:spacing w:line="576" w:lineRule="exact"/>
              <w:jc w:val="center"/>
              <w:textAlignment w:val="bottom"/>
              <w:rPr>
                <w:rFonts w:ascii="方正仿宋_GBK" w:hAnsi="方正仿宋_GBK" w:eastAsia="方正仿宋_GBK" w:cs="方正仿宋_GBK"/>
                <w:sz w:val="24"/>
              </w:rPr>
            </w:pPr>
            <w:r>
              <w:rPr>
                <w:rFonts w:hint="eastAsia" w:ascii="方正仿宋_GBK" w:hAnsi="方正仿宋_GBK" w:eastAsia="方正仿宋_GBK" w:cs="方正仿宋_GBK"/>
                <w:kern w:val="0"/>
                <w:sz w:val="24"/>
              </w:rPr>
              <w:t>生态效益指标</w:t>
            </w:r>
          </w:p>
        </w:tc>
        <w:tc>
          <w:tcPr>
            <w:tcW w:w="1835" w:type="dxa"/>
            <w:vAlign w:val="center"/>
          </w:tcPr>
          <w:p>
            <w:pPr>
              <w:widowControl/>
              <w:spacing w:line="576" w:lineRule="exact"/>
              <w:jc w:val="center"/>
              <w:textAlignment w:val="bottom"/>
              <w:rPr>
                <w:rFonts w:ascii="方正仿宋_GBK" w:hAnsi="方正仿宋_GBK" w:eastAsia="方正仿宋_GBK" w:cs="方正仿宋_GBK"/>
                <w:sz w:val="24"/>
              </w:rPr>
            </w:pPr>
            <w:r>
              <w:rPr>
                <w:rFonts w:hint="eastAsia" w:ascii="方正仿宋_GBK" w:hAnsi="方正仿宋_GBK" w:eastAsia="方正仿宋_GBK" w:cs="方正仿宋_GBK"/>
                <w:sz w:val="24"/>
              </w:rPr>
              <w:t>维护社会生态</w:t>
            </w:r>
          </w:p>
        </w:tc>
        <w:tc>
          <w:tcPr>
            <w:tcW w:w="1834" w:type="dxa"/>
            <w:vAlign w:val="center"/>
          </w:tcPr>
          <w:p>
            <w:pPr>
              <w:widowControl/>
              <w:spacing w:line="576" w:lineRule="exact"/>
              <w:jc w:val="center"/>
              <w:textAlignment w:val="bottom"/>
              <w:rPr>
                <w:rFonts w:ascii="方正仿宋_GBK" w:hAnsi="方正仿宋_GBK" w:eastAsia="方正仿宋_GBK" w:cs="方正仿宋_GBK"/>
                <w:sz w:val="24"/>
              </w:rPr>
            </w:pPr>
            <w:r>
              <w:rPr>
                <w:rFonts w:hint="eastAsia" w:ascii="方正仿宋_GBK" w:hAnsi="方正仿宋_GBK" w:eastAsia="方正仿宋_GBK" w:cs="方正仿宋_GBK"/>
                <w:sz w:val="24"/>
              </w:rPr>
              <w:t>平衡</w:t>
            </w:r>
          </w:p>
        </w:tc>
        <w:tc>
          <w:tcPr>
            <w:tcW w:w="1201" w:type="dxa"/>
            <w:vAlign w:val="center"/>
          </w:tcPr>
          <w:p>
            <w:pPr>
              <w:widowControl/>
              <w:spacing w:line="576" w:lineRule="exact"/>
              <w:jc w:val="center"/>
              <w:textAlignment w:val="bottom"/>
              <w:rPr>
                <w:rFonts w:ascii="方正仿宋_GBK" w:hAnsi="方正仿宋_GBK" w:eastAsia="方正仿宋_GBK" w:cs="方正仿宋_GBK"/>
                <w:sz w:val="24"/>
              </w:rPr>
            </w:pPr>
            <w:r>
              <w:rPr>
                <w:rFonts w:hint="eastAsia" w:ascii="方正仿宋_GBK" w:hAnsi="方正仿宋_GBK" w:eastAsia="方正仿宋_GBK" w:cs="方正仿宋_GBK"/>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adjustRightInd w:val="0"/>
              <w:snapToGrid w:val="0"/>
              <w:spacing w:line="576" w:lineRule="exact"/>
              <w:jc w:val="center"/>
              <w:rPr>
                <w:rFonts w:ascii="方正仿宋_GBK" w:hAnsi="方正仿宋_GBK" w:eastAsia="方正仿宋_GBK" w:cs="方正仿宋_GBK"/>
                <w:sz w:val="24"/>
                <w:lang w:val="zh-CN"/>
              </w:rPr>
            </w:pPr>
          </w:p>
        </w:tc>
        <w:tc>
          <w:tcPr>
            <w:tcW w:w="1188" w:type="dxa"/>
            <w:vMerge w:val="continue"/>
            <w:vAlign w:val="center"/>
          </w:tcPr>
          <w:p>
            <w:pPr>
              <w:adjustRightInd w:val="0"/>
              <w:snapToGrid w:val="0"/>
              <w:spacing w:line="576" w:lineRule="exact"/>
              <w:jc w:val="center"/>
              <w:rPr>
                <w:rFonts w:ascii="方正仿宋_GBK" w:hAnsi="方正仿宋_GBK" w:eastAsia="方正仿宋_GBK" w:cs="方正仿宋_GBK"/>
                <w:sz w:val="24"/>
                <w:lang w:val="zh-CN"/>
              </w:rPr>
            </w:pPr>
          </w:p>
        </w:tc>
        <w:tc>
          <w:tcPr>
            <w:tcW w:w="2100" w:type="dxa"/>
            <w:vAlign w:val="center"/>
          </w:tcPr>
          <w:p>
            <w:pPr>
              <w:widowControl/>
              <w:spacing w:line="576" w:lineRule="exact"/>
              <w:jc w:val="center"/>
              <w:textAlignment w:val="bottom"/>
              <w:rPr>
                <w:rFonts w:ascii="方正仿宋_GBK" w:hAnsi="方正仿宋_GBK" w:eastAsia="方正仿宋_GBK" w:cs="方正仿宋_GBK"/>
                <w:sz w:val="24"/>
              </w:rPr>
            </w:pPr>
            <w:r>
              <w:rPr>
                <w:rFonts w:hint="eastAsia" w:ascii="方正仿宋_GBK" w:hAnsi="方正仿宋_GBK" w:eastAsia="方正仿宋_GBK" w:cs="方正仿宋_GBK"/>
                <w:kern w:val="0"/>
                <w:sz w:val="24"/>
              </w:rPr>
              <w:t>可持续影响指标</w:t>
            </w:r>
          </w:p>
        </w:tc>
        <w:tc>
          <w:tcPr>
            <w:tcW w:w="1835" w:type="dxa"/>
            <w:vAlign w:val="center"/>
          </w:tcPr>
          <w:p>
            <w:pPr>
              <w:widowControl/>
              <w:spacing w:line="576" w:lineRule="exact"/>
              <w:jc w:val="center"/>
              <w:textAlignment w:val="bottom"/>
              <w:rPr>
                <w:rFonts w:ascii="方正仿宋_GBK" w:hAnsi="方正仿宋_GBK" w:eastAsia="方正仿宋_GBK" w:cs="方正仿宋_GBK"/>
                <w:sz w:val="24"/>
              </w:rPr>
            </w:pPr>
            <w:r>
              <w:rPr>
                <w:rFonts w:hint="eastAsia" w:ascii="方正仿宋_GBK" w:hAnsi="方正仿宋_GBK" w:eastAsia="方正仿宋_GBK" w:cs="方正仿宋_GBK"/>
                <w:sz w:val="24"/>
              </w:rPr>
              <w:t>社会持续稳定</w:t>
            </w:r>
          </w:p>
        </w:tc>
        <w:tc>
          <w:tcPr>
            <w:tcW w:w="1834" w:type="dxa"/>
            <w:vAlign w:val="center"/>
          </w:tcPr>
          <w:p>
            <w:pPr>
              <w:widowControl/>
              <w:spacing w:line="576" w:lineRule="exact"/>
              <w:jc w:val="center"/>
              <w:textAlignment w:val="bottom"/>
              <w:rPr>
                <w:rFonts w:ascii="方正仿宋_GBK" w:hAnsi="方正仿宋_GBK" w:eastAsia="方正仿宋_GBK" w:cs="方正仿宋_GBK"/>
                <w:sz w:val="24"/>
              </w:rPr>
            </w:pPr>
            <w:r>
              <w:rPr>
                <w:rFonts w:hint="eastAsia" w:ascii="方正仿宋_GBK" w:hAnsi="方正仿宋_GBK" w:eastAsia="方正仿宋_GBK" w:cs="方正仿宋_GBK"/>
                <w:sz w:val="24"/>
              </w:rPr>
              <w:t>不断提升</w:t>
            </w:r>
          </w:p>
        </w:tc>
        <w:tc>
          <w:tcPr>
            <w:tcW w:w="1201" w:type="dxa"/>
            <w:vAlign w:val="center"/>
          </w:tcPr>
          <w:p>
            <w:pPr>
              <w:widowControl/>
              <w:spacing w:line="576" w:lineRule="exact"/>
              <w:jc w:val="center"/>
              <w:textAlignment w:val="bottom"/>
              <w:rPr>
                <w:rFonts w:ascii="方正仿宋_GBK" w:hAnsi="方正仿宋_GBK" w:eastAsia="方正仿宋_GBK" w:cs="方正仿宋_GBK"/>
                <w:sz w:val="24"/>
              </w:rPr>
            </w:pPr>
            <w:r>
              <w:rPr>
                <w:rFonts w:hint="eastAsia" w:ascii="方正仿宋_GBK" w:hAnsi="方正仿宋_GBK" w:eastAsia="方正仿宋_GBK" w:cs="方正仿宋_GBK"/>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adjustRightInd w:val="0"/>
              <w:snapToGrid w:val="0"/>
              <w:spacing w:line="576" w:lineRule="exact"/>
              <w:jc w:val="center"/>
              <w:rPr>
                <w:rFonts w:ascii="方正仿宋_GBK" w:hAnsi="方正仿宋_GBK" w:eastAsia="方正仿宋_GBK" w:cs="方正仿宋_GBK"/>
                <w:sz w:val="24"/>
                <w:lang w:val="zh-CN"/>
              </w:rPr>
            </w:pPr>
          </w:p>
        </w:tc>
        <w:tc>
          <w:tcPr>
            <w:tcW w:w="1188" w:type="dxa"/>
            <w:vAlign w:val="center"/>
          </w:tcPr>
          <w:p>
            <w:pPr>
              <w:adjustRightInd w:val="0"/>
              <w:snapToGrid w:val="0"/>
              <w:spacing w:line="576" w:lineRule="exact"/>
              <w:jc w:val="center"/>
              <w:rPr>
                <w:rFonts w:ascii="方正仿宋_GBK" w:hAnsi="方正仿宋_GBK" w:eastAsia="方正仿宋_GBK" w:cs="方正仿宋_GBK"/>
                <w:sz w:val="24"/>
                <w:lang w:val="zh-CN"/>
              </w:rPr>
            </w:pPr>
            <w:r>
              <w:rPr>
                <w:rFonts w:hint="eastAsia" w:ascii="方正仿宋_GBK" w:hAnsi="方正仿宋_GBK" w:eastAsia="方正仿宋_GBK" w:cs="方正仿宋_GBK"/>
                <w:kern w:val="0"/>
                <w:sz w:val="24"/>
              </w:rPr>
              <w:t>满意</w:t>
            </w:r>
            <w:r>
              <w:rPr>
                <w:rFonts w:hint="eastAsia" w:ascii="方正仿宋_GBK" w:hAnsi="方正仿宋_GBK" w:eastAsia="方正仿宋_GBK" w:cs="方正仿宋_GBK"/>
                <w:kern w:val="0"/>
                <w:sz w:val="24"/>
              </w:rPr>
              <w:br w:type="textWrapping"/>
            </w:r>
            <w:r>
              <w:rPr>
                <w:rFonts w:hint="eastAsia" w:ascii="方正仿宋_GBK" w:hAnsi="方正仿宋_GBK" w:eastAsia="方正仿宋_GBK" w:cs="方正仿宋_GBK"/>
                <w:kern w:val="0"/>
                <w:sz w:val="24"/>
              </w:rPr>
              <w:t>度指标</w:t>
            </w:r>
          </w:p>
        </w:tc>
        <w:tc>
          <w:tcPr>
            <w:tcW w:w="2100" w:type="dxa"/>
            <w:vAlign w:val="center"/>
          </w:tcPr>
          <w:p>
            <w:pPr>
              <w:widowControl/>
              <w:spacing w:line="576" w:lineRule="exact"/>
              <w:jc w:val="center"/>
              <w:textAlignment w:val="bottom"/>
              <w:rPr>
                <w:rFonts w:ascii="方正仿宋_GBK" w:hAnsi="方正仿宋_GBK" w:eastAsia="方正仿宋_GBK" w:cs="方正仿宋_GBK"/>
                <w:sz w:val="24"/>
              </w:rPr>
            </w:pPr>
            <w:r>
              <w:rPr>
                <w:rFonts w:hint="eastAsia" w:ascii="方正仿宋_GBK" w:hAnsi="方正仿宋_GBK" w:eastAsia="方正仿宋_GBK" w:cs="方正仿宋_GBK"/>
                <w:kern w:val="0"/>
                <w:sz w:val="24"/>
              </w:rPr>
              <w:t>满意度指标</w:t>
            </w:r>
          </w:p>
        </w:tc>
        <w:tc>
          <w:tcPr>
            <w:tcW w:w="1835" w:type="dxa"/>
            <w:vAlign w:val="center"/>
          </w:tcPr>
          <w:p>
            <w:pPr>
              <w:widowControl/>
              <w:spacing w:line="576" w:lineRule="exact"/>
              <w:jc w:val="center"/>
              <w:textAlignment w:val="bottom"/>
              <w:rPr>
                <w:rFonts w:ascii="方正仿宋_GBK" w:hAnsi="方正仿宋_GBK" w:eastAsia="方正仿宋_GBK" w:cs="方正仿宋_GBK"/>
                <w:sz w:val="24"/>
              </w:rPr>
            </w:pPr>
            <w:r>
              <w:rPr>
                <w:rFonts w:hint="eastAsia" w:ascii="方正仿宋_GBK" w:hAnsi="方正仿宋_GBK" w:eastAsia="方正仿宋_GBK" w:cs="方正仿宋_GBK"/>
                <w:sz w:val="24"/>
              </w:rPr>
              <w:t>受助人员满意度、社会满意度</w:t>
            </w:r>
          </w:p>
        </w:tc>
        <w:tc>
          <w:tcPr>
            <w:tcW w:w="1834" w:type="dxa"/>
            <w:vAlign w:val="center"/>
          </w:tcPr>
          <w:p>
            <w:pPr>
              <w:widowControl/>
              <w:spacing w:line="576" w:lineRule="exact"/>
              <w:jc w:val="center"/>
              <w:textAlignment w:val="bottom"/>
              <w:rPr>
                <w:rFonts w:ascii="方正仿宋_GBK" w:hAnsi="方正仿宋_GBK" w:eastAsia="方正仿宋_GBK" w:cs="方正仿宋_GBK"/>
                <w:sz w:val="24"/>
              </w:rPr>
            </w:pPr>
            <w:r>
              <w:rPr>
                <w:rFonts w:hint="eastAsia" w:ascii="方正仿宋_GBK" w:hAnsi="方正仿宋_GBK" w:eastAsia="方正仿宋_GBK" w:cs="方正仿宋_GBK"/>
                <w:sz w:val="24"/>
              </w:rPr>
              <w:t>达90%</w:t>
            </w:r>
          </w:p>
        </w:tc>
        <w:tc>
          <w:tcPr>
            <w:tcW w:w="1201" w:type="dxa"/>
            <w:vAlign w:val="center"/>
          </w:tcPr>
          <w:p>
            <w:pPr>
              <w:widowControl/>
              <w:spacing w:line="576" w:lineRule="exact"/>
              <w:jc w:val="center"/>
              <w:textAlignment w:val="bottom"/>
              <w:rPr>
                <w:rFonts w:ascii="方正仿宋_GBK" w:hAnsi="方正仿宋_GBK" w:eastAsia="方正仿宋_GBK" w:cs="方正仿宋_GBK"/>
                <w:sz w:val="24"/>
              </w:rPr>
            </w:pPr>
            <w:r>
              <w:rPr>
                <w:rFonts w:hint="eastAsia" w:ascii="方正仿宋_GBK" w:hAnsi="方正仿宋_GBK" w:eastAsia="方正仿宋_GBK" w:cs="方正仿宋_GBK"/>
                <w:sz w:val="24"/>
              </w:rPr>
              <w:t>92%</w:t>
            </w:r>
          </w:p>
        </w:tc>
      </w:tr>
    </w:tbl>
    <w:p>
      <w:pPr>
        <w:spacing w:line="576" w:lineRule="exact"/>
        <w:ind w:firstLine="800" w:firstLineChars="200"/>
        <w:rPr>
          <w:rFonts w:ascii="方正小标宋简体" w:hAnsi="方正小标宋简体" w:eastAsia="方正小标宋简体" w:cs="方正小标宋简体"/>
          <w:sz w:val="40"/>
          <w:szCs w:val="40"/>
        </w:rPr>
      </w:pPr>
    </w:p>
    <w:p>
      <w:pPr>
        <w:pStyle w:val="2"/>
        <w:spacing w:before="93"/>
      </w:pPr>
    </w:p>
    <w:p>
      <w:pPr>
        <w:spacing w:line="576"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2021年脱贫攻坚工作经费</w:t>
      </w:r>
      <w:r>
        <w:rPr>
          <w:rFonts w:hint="eastAsia" w:ascii="方正小标宋简体" w:hAnsi="方正小标宋简体" w:eastAsia="方正小标宋简体" w:cs="方正小标宋简体"/>
          <w:sz w:val="40"/>
          <w:szCs w:val="40"/>
          <w:lang w:val="zh-CN"/>
        </w:rPr>
        <w:t>专项</w:t>
      </w:r>
    </w:p>
    <w:p>
      <w:pPr>
        <w:spacing w:line="576"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预算项目支出绩效自评报告</w:t>
      </w:r>
    </w:p>
    <w:p>
      <w:pPr>
        <w:adjustRightInd w:val="0"/>
        <w:snapToGrid w:val="0"/>
        <w:spacing w:line="576" w:lineRule="exact"/>
        <w:ind w:firstLine="640" w:firstLineChars="200"/>
        <w:rPr>
          <w:rFonts w:ascii="方正黑体简体" w:hAnsi="宋体" w:eastAsia="方正黑体简体"/>
          <w:sz w:val="32"/>
          <w:szCs w:val="32"/>
          <w:lang w:val="zh-CN"/>
        </w:rPr>
      </w:pPr>
      <w:r>
        <w:rPr>
          <w:rFonts w:hint="eastAsia" w:ascii="方正黑体简体" w:hAnsi="宋体" w:eastAsia="方正黑体简体"/>
          <w:sz w:val="32"/>
          <w:szCs w:val="32"/>
          <w:lang w:val="zh-CN"/>
        </w:rPr>
        <w:t>一、项目概况</w:t>
      </w:r>
    </w:p>
    <w:p>
      <w:pPr>
        <w:adjustRightInd w:val="0"/>
        <w:snapToGrid w:val="0"/>
        <w:spacing w:line="576" w:lineRule="exact"/>
        <w:ind w:firstLine="640" w:firstLineChars="20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（一）项目基本情况</w:t>
      </w:r>
    </w:p>
    <w:p>
      <w:pPr>
        <w:adjustRightInd w:val="0"/>
        <w:snapToGrid w:val="0"/>
        <w:spacing w:line="576"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1．项目主管部门（单位）在该项目管理中的职能。</w:t>
      </w:r>
    </w:p>
    <w:p>
      <w:pPr>
        <w:adjustRightInd w:val="0"/>
        <w:snapToGrid w:val="0"/>
        <w:spacing w:line="576"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我站认真贯彻习近平总书记关于扶贫工作的系列重要讲话精神，依照中央、省委、市委脱贫攻坚工作要求，严格落实市局帮扶工作具体举措，在前期深入摸底，全面了解插花贫困户的个人及家庭情况、村情村况的基础上，认真学习</w:t>
      </w:r>
      <w:r>
        <w:rPr>
          <w:rFonts w:hint="eastAsia" w:ascii="方正仿宋简体" w:hAnsi="宋体" w:eastAsia="方正仿宋简体"/>
          <w:sz w:val="32"/>
          <w:szCs w:val="32"/>
          <w:lang w:eastAsia="zh-CN"/>
        </w:rPr>
        <w:t>钻研</w:t>
      </w:r>
      <w:r>
        <w:rPr>
          <w:rFonts w:hint="eastAsia" w:ascii="方正仿宋简体" w:hAnsi="宋体" w:eastAsia="方正仿宋简体"/>
          <w:sz w:val="32"/>
          <w:szCs w:val="32"/>
        </w:rPr>
        <w:t>扶贫措施，进一步理清工作思路，强化全体帮扶责任人责任意识，因户施策，将扶贫攻坚工作扎实稳步推进，进一步提高贫困户生活水平。本单位在项目管理的职责包括具体实施、指导培训、监督检查等。</w:t>
      </w:r>
    </w:p>
    <w:p>
      <w:pPr>
        <w:adjustRightInd w:val="0"/>
        <w:snapToGrid w:val="0"/>
        <w:spacing w:line="576"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2.项目立项、资金申报的依据。</w:t>
      </w:r>
    </w:p>
    <w:p>
      <w:pPr>
        <w:adjustRightInd w:val="0"/>
        <w:snapToGrid w:val="0"/>
        <w:spacing w:line="576"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项目立项、资金申报的依据主要是本单位职能职责及年度工作计划。</w:t>
      </w:r>
    </w:p>
    <w:p>
      <w:pPr>
        <w:adjustRightInd w:val="0"/>
        <w:snapToGrid w:val="0"/>
        <w:spacing w:line="576"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3.资金管理办法制定情况，资金支持具体项目的条件、范围与支持方式概况。</w:t>
      </w:r>
    </w:p>
    <w:p>
      <w:pPr>
        <w:adjustRightInd w:val="0"/>
        <w:snapToGrid w:val="0"/>
        <w:spacing w:line="576"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本项目主要是工作经费，按照财政资金相关管理办法和要求执行。资金用于脱贫攻坚工作经费，财政全额支持。</w:t>
      </w:r>
    </w:p>
    <w:p>
      <w:pPr>
        <w:adjustRightInd w:val="0"/>
        <w:snapToGrid w:val="0"/>
        <w:spacing w:line="576"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4.资金分配的原则及考虑因素。</w:t>
      </w:r>
    </w:p>
    <w:p>
      <w:pPr>
        <w:adjustRightInd w:val="0"/>
        <w:snapToGrid w:val="0"/>
        <w:spacing w:line="576"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项目资金全部由本单位使用，财政依据帮扶的村是否贫困分配工作经费，我站帮扶旺苍县龙台村为非贫困村，分配工作经费2500元。</w:t>
      </w:r>
    </w:p>
    <w:p>
      <w:pPr>
        <w:adjustRightInd w:val="0"/>
        <w:snapToGrid w:val="0"/>
        <w:spacing w:line="576" w:lineRule="exact"/>
        <w:ind w:firstLine="640" w:firstLineChars="200"/>
        <w:rPr>
          <w:rFonts w:ascii="方正楷体简体" w:hAnsi="宋体" w:eastAsia="方正楷体简体"/>
          <w:b/>
          <w:sz w:val="32"/>
          <w:szCs w:val="32"/>
          <w:lang w:val="zh-CN"/>
        </w:rPr>
      </w:pPr>
      <w:r>
        <w:rPr>
          <w:rFonts w:hint="eastAsia" w:ascii="方正楷体简体" w:hAnsi="宋体" w:eastAsia="方正楷体简体"/>
          <w:b/>
          <w:sz w:val="32"/>
          <w:szCs w:val="32"/>
          <w:lang w:val="zh-CN"/>
        </w:rPr>
        <w:t>（二）项目绩效目标</w:t>
      </w:r>
    </w:p>
    <w:p>
      <w:pPr>
        <w:adjustRightInd w:val="0"/>
        <w:snapToGrid w:val="0"/>
        <w:spacing w:line="576"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1．项目主要内容。</w:t>
      </w:r>
    </w:p>
    <w:p>
      <w:pPr>
        <w:adjustRightInd w:val="0"/>
        <w:snapToGrid w:val="0"/>
        <w:spacing w:line="576"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我站认真贯彻习近平总书记关于扶贫工作的系列重要讲话精神，依照中央、省委、市委脱贫攻坚工作要求，严格落实市局帮扶工作具体举措，在前期深入摸底，全面了解插花贫困户的个人及家庭情况、村情村况的基础上，认真学习钻研扶贫措施，进一步理清工作思路，强化全体帮扶责任人责任意识，因户施策，将扶贫攻坚工作扎实稳步推进，进一步提高贫困户生活水平。</w:t>
      </w:r>
    </w:p>
    <w:p>
      <w:pPr>
        <w:adjustRightInd w:val="0"/>
        <w:snapToGrid w:val="0"/>
        <w:spacing w:line="576"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2．项目应实现的具体绩效目标，包括目标的量化、细化情况以及项目实施进度计划等。</w:t>
      </w:r>
    </w:p>
    <w:p>
      <w:pPr>
        <w:adjustRightInd w:val="0"/>
        <w:snapToGrid w:val="0"/>
        <w:spacing w:line="576"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lang w:val="zh-CN"/>
        </w:rPr>
        <w:t>项目申请时依据项目实际情况明确了具体的绩效目标，包括数量指标（</w:t>
      </w:r>
      <w:r>
        <w:rPr>
          <w:rFonts w:hint="eastAsia" w:ascii="方正仿宋简体" w:hAnsi="宋体" w:eastAsia="方正仿宋简体"/>
          <w:sz w:val="32"/>
          <w:szCs w:val="32"/>
        </w:rPr>
        <w:t>帮扶贫困户户数20户</w:t>
      </w:r>
      <w:r>
        <w:rPr>
          <w:rFonts w:hint="eastAsia" w:ascii="方正仿宋简体" w:hAnsi="宋体" w:eastAsia="方正仿宋简体"/>
          <w:sz w:val="32"/>
          <w:szCs w:val="32"/>
          <w:lang w:val="zh-CN"/>
        </w:rPr>
        <w:t>）、质量指标（</w:t>
      </w:r>
      <w:r>
        <w:rPr>
          <w:rFonts w:hint="eastAsia" w:ascii="方正仿宋简体" w:hAnsi="宋体" w:eastAsia="方正仿宋简体"/>
          <w:sz w:val="32"/>
          <w:szCs w:val="32"/>
        </w:rPr>
        <w:t>完成贫困户帮扶</w:t>
      </w:r>
      <w:r>
        <w:rPr>
          <w:rFonts w:hint="eastAsia" w:ascii="方正仿宋简体" w:hAnsi="宋体" w:eastAsia="方正仿宋简体"/>
          <w:sz w:val="32"/>
          <w:szCs w:val="32"/>
          <w:lang w:val="zh-CN"/>
        </w:rPr>
        <w:t>）、时效指标（</w:t>
      </w:r>
      <w:r>
        <w:rPr>
          <w:rFonts w:hint="eastAsia" w:ascii="方正仿宋简体" w:hAnsi="宋体" w:eastAsia="方正仿宋简体"/>
          <w:sz w:val="32"/>
          <w:szCs w:val="32"/>
        </w:rPr>
        <w:t>第一书记每月驻村时间不少于15天</w:t>
      </w:r>
      <w:r>
        <w:rPr>
          <w:rFonts w:hint="eastAsia" w:ascii="方正仿宋简体" w:hAnsi="宋体" w:eastAsia="方正仿宋简体"/>
          <w:sz w:val="32"/>
          <w:szCs w:val="32"/>
          <w:lang w:val="zh-CN"/>
        </w:rPr>
        <w:t>）、社会效益指标（</w:t>
      </w:r>
      <w:r>
        <w:rPr>
          <w:rFonts w:hint="eastAsia" w:ascii="方正仿宋简体" w:hAnsi="宋体" w:eastAsia="方正仿宋简体"/>
          <w:sz w:val="32"/>
          <w:szCs w:val="32"/>
        </w:rPr>
        <w:t>不断提升促进帮扶村社会发展</w:t>
      </w:r>
      <w:r>
        <w:rPr>
          <w:rFonts w:hint="eastAsia" w:ascii="方正仿宋简体" w:hAnsi="宋体" w:eastAsia="方正仿宋简体"/>
          <w:sz w:val="32"/>
          <w:szCs w:val="32"/>
          <w:lang w:val="zh-CN"/>
        </w:rPr>
        <w:t>）、可持续影响（</w:t>
      </w:r>
      <w:r>
        <w:rPr>
          <w:rFonts w:hint="eastAsia" w:ascii="方正仿宋简体" w:hAnsi="宋体" w:eastAsia="方正仿宋简体"/>
          <w:sz w:val="32"/>
          <w:szCs w:val="32"/>
        </w:rPr>
        <w:t>进一步提升贫困户创收能力</w:t>
      </w:r>
      <w:r>
        <w:rPr>
          <w:rFonts w:hint="eastAsia" w:ascii="方正仿宋简体" w:hAnsi="宋体" w:eastAsia="方正仿宋简体"/>
          <w:sz w:val="32"/>
          <w:szCs w:val="32"/>
          <w:lang w:val="zh-CN"/>
        </w:rPr>
        <w:t>）等</w:t>
      </w:r>
      <w:r>
        <w:rPr>
          <w:rFonts w:hint="eastAsia" w:ascii="方正仿宋简体" w:hAnsi="宋体" w:eastAsia="方正仿宋简体"/>
          <w:sz w:val="32"/>
          <w:szCs w:val="32"/>
        </w:rPr>
        <w:t>5个指标</w:t>
      </w:r>
      <w:r>
        <w:rPr>
          <w:rFonts w:hint="eastAsia" w:ascii="方正仿宋简体" w:hAnsi="宋体" w:eastAsia="方正仿宋简体"/>
          <w:sz w:val="32"/>
          <w:szCs w:val="32"/>
          <w:lang w:val="zh-CN"/>
        </w:rPr>
        <w:t>。并对指标值进行了量化、细化</w:t>
      </w:r>
      <w:r>
        <w:rPr>
          <w:rFonts w:hint="eastAsia" w:ascii="方正仿宋简体" w:hAnsi="宋体" w:eastAsia="方正仿宋简体"/>
          <w:sz w:val="32"/>
          <w:szCs w:val="32"/>
        </w:rPr>
        <w:t>。项目制定了详细可行的进度计划，确保了项目顺利实施。</w:t>
      </w:r>
    </w:p>
    <w:p>
      <w:pPr>
        <w:adjustRightInd w:val="0"/>
        <w:snapToGrid w:val="0"/>
        <w:spacing w:line="576"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3.分析评价申报内容是否与实际相符，申报目标是否合理可行。</w:t>
      </w:r>
    </w:p>
    <w:p>
      <w:pPr>
        <w:adjustRightInd w:val="0"/>
        <w:snapToGrid w:val="0"/>
        <w:spacing w:line="576"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 xml:space="preserve">  绩效自评结果表明，项目</w:t>
      </w:r>
      <w:r>
        <w:rPr>
          <w:rFonts w:hint="eastAsia" w:ascii="方正仿宋简体" w:hAnsi="宋体" w:eastAsia="方正仿宋简体"/>
          <w:sz w:val="32"/>
          <w:szCs w:val="32"/>
          <w:lang w:val="zh-CN"/>
        </w:rPr>
        <w:t>申报内容与实际相符，申报目标合理可行。</w:t>
      </w:r>
    </w:p>
    <w:p>
      <w:pPr>
        <w:adjustRightInd w:val="0"/>
        <w:snapToGrid w:val="0"/>
        <w:spacing w:line="576" w:lineRule="exact"/>
        <w:ind w:firstLine="640" w:firstLineChars="20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（三）项目自评步骤及方法</w:t>
      </w:r>
    </w:p>
    <w:p>
      <w:pPr>
        <w:spacing w:line="576" w:lineRule="exact"/>
        <w:ind w:firstLine="640" w:firstLineChars="200"/>
        <w:rPr>
          <w:sz w:val="28"/>
          <w:szCs w:val="28"/>
        </w:rPr>
      </w:pPr>
      <w:r>
        <w:rPr>
          <w:rFonts w:hint="eastAsia" w:ascii="方正仿宋简体" w:hAnsi="宋体" w:eastAsia="方正仿宋简体"/>
          <w:sz w:val="32"/>
          <w:szCs w:val="32"/>
        </w:rPr>
        <w:t>我单位对此次自评工作高度重视，成立了绩效评价工作小组，按照下列程序实施：</w:t>
      </w:r>
    </w:p>
    <w:p>
      <w:pPr>
        <w:adjustRightInd w:val="0"/>
        <w:snapToGrid w:val="0"/>
        <w:spacing w:line="576"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1、分解任务：根据部门支出绩效评价涉及的工作内容，分解到各科室；</w:t>
      </w:r>
    </w:p>
    <w:p>
      <w:pPr>
        <w:adjustRightInd w:val="0"/>
        <w:snapToGrid w:val="0"/>
        <w:spacing w:line="576"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2、科室初评：业务科室根据计分标准对各自负责的工作逐一检查，翻阅资料，对标自评；</w:t>
      </w:r>
    </w:p>
    <w:p>
      <w:pPr>
        <w:adjustRightInd w:val="0"/>
        <w:snapToGrid w:val="0"/>
        <w:spacing w:line="576"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3、小组复评：绩效评价工作小组对初评情况进行检查，并再次评价；</w:t>
      </w:r>
    </w:p>
    <w:p>
      <w:pPr>
        <w:adjustRightInd w:val="0"/>
        <w:snapToGrid w:val="0"/>
        <w:spacing w:line="576" w:lineRule="exact"/>
        <w:ind w:firstLine="640" w:firstLineChars="200"/>
        <w:rPr>
          <w:sz w:val="28"/>
          <w:szCs w:val="28"/>
        </w:rPr>
      </w:pPr>
      <w:r>
        <w:rPr>
          <w:rFonts w:hint="eastAsia" w:ascii="方正仿宋简体" w:hAnsi="宋体" w:eastAsia="方正仿宋简体"/>
          <w:sz w:val="32"/>
          <w:szCs w:val="32"/>
        </w:rPr>
        <w:t>4、整理上报：对自评情况进行梳理，及时上报财政部门，并对存在的问题落实整改。</w:t>
      </w:r>
    </w:p>
    <w:p>
      <w:pPr>
        <w:adjustRightInd w:val="0"/>
        <w:snapToGrid w:val="0"/>
        <w:spacing w:line="576" w:lineRule="exact"/>
        <w:ind w:firstLine="640" w:firstLineChars="200"/>
        <w:rPr>
          <w:rFonts w:ascii="方正黑体简体" w:hAnsi="宋体" w:eastAsia="方正黑体简体"/>
          <w:sz w:val="32"/>
          <w:szCs w:val="32"/>
          <w:lang w:val="zh-CN"/>
        </w:rPr>
      </w:pPr>
      <w:r>
        <w:rPr>
          <w:rFonts w:hint="eastAsia" w:ascii="方正黑体简体" w:hAnsi="宋体" w:eastAsia="方正黑体简体"/>
          <w:sz w:val="32"/>
          <w:szCs w:val="32"/>
          <w:lang w:val="zh-CN"/>
        </w:rPr>
        <w:t>二、项目资金申报及使用情况</w:t>
      </w:r>
    </w:p>
    <w:p>
      <w:pPr>
        <w:adjustRightInd w:val="0"/>
        <w:snapToGrid w:val="0"/>
        <w:spacing w:line="576" w:lineRule="exact"/>
        <w:ind w:firstLine="640" w:firstLineChars="20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（一）项目资金申报及批复情况</w:t>
      </w:r>
    </w:p>
    <w:p>
      <w:pPr>
        <w:adjustRightInd w:val="0"/>
        <w:snapToGrid w:val="0"/>
        <w:spacing w:line="576"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本项目资金是年初纳入部门预算申报并获得批复，无预算调整。</w:t>
      </w:r>
    </w:p>
    <w:p>
      <w:pPr>
        <w:adjustRightInd w:val="0"/>
        <w:snapToGrid w:val="0"/>
        <w:spacing w:line="576" w:lineRule="exact"/>
        <w:ind w:firstLine="640" w:firstLineChars="200"/>
        <w:rPr>
          <w:rFonts w:ascii="方正楷体简体" w:hAnsi="宋体" w:eastAsia="方正楷体简体"/>
          <w:b/>
          <w:sz w:val="32"/>
          <w:szCs w:val="32"/>
          <w:lang w:val="zh-CN"/>
        </w:rPr>
      </w:pPr>
      <w:r>
        <w:rPr>
          <w:rFonts w:hint="eastAsia" w:ascii="方正楷体简体" w:hAnsi="宋体" w:eastAsia="方正楷体简体"/>
          <w:b/>
          <w:sz w:val="32"/>
          <w:szCs w:val="32"/>
          <w:lang w:val="zh-CN"/>
        </w:rPr>
        <w:t>（二）资金计划、到位及使用情况如下：</w:t>
      </w:r>
    </w:p>
    <w:tbl>
      <w:tblPr>
        <w:tblStyle w:val="13"/>
        <w:tblW w:w="88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18"/>
        <w:gridCol w:w="2175"/>
        <w:gridCol w:w="2068"/>
        <w:gridCol w:w="2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hRule="atLeast"/>
        </w:trPr>
        <w:tc>
          <w:tcPr>
            <w:tcW w:w="2618" w:type="dxa"/>
            <w:vMerge w:val="restart"/>
            <w:noWrap/>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2175" w:type="dxa"/>
            <w:noWrap/>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资金预算（元）</w:t>
            </w:r>
          </w:p>
        </w:tc>
        <w:tc>
          <w:tcPr>
            <w:tcW w:w="2068" w:type="dxa"/>
            <w:noWrap/>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资金到位（元）</w:t>
            </w:r>
          </w:p>
        </w:tc>
        <w:tc>
          <w:tcPr>
            <w:tcW w:w="2014" w:type="dxa"/>
            <w:noWrap/>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资金使用（元）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2618" w:type="dxa"/>
            <w:vMerge w:val="continue"/>
            <w:noWrap/>
            <w:tcMar>
              <w:top w:w="15" w:type="dxa"/>
              <w:left w:w="15" w:type="dxa"/>
              <w:right w:w="15" w:type="dxa"/>
            </w:tcMar>
            <w:vAlign w:val="center"/>
          </w:tcPr>
          <w:p>
            <w:pPr>
              <w:spacing w:line="576" w:lineRule="exact"/>
              <w:ind w:firstLine="480" w:firstLineChars="200"/>
              <w:jc w:val="center"/>
              <w:rPr>
                <w:rFonts w:ascii="宋体" w:hAnsi="宋体" w:cs="宋体"/>
                <w:color w:val="000000"/>
                <w:sz w:val="24"/>
              </w:rPr>
            </w:pPr>
          </w:p>
        </w:tc>
        <w:tc>
          <w:tcPr>
            <w:tcW w:w="2175" w:type="dxa"/>
            <w:noWrap/>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财政资金</w:t>
            </w:r>
          </w:p>
        </w:tc>
        <w:tc>
          <w:tcPr>
            <w:tcW w:w="2068" w:type="dxa"/>
            <w:noWrap/>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财政资金</w:t>
            </w:r>
          </w:p>
        </w:tc>
        <w:tc>
          <w:tcPr>
            <w:tcW w:w="2014" w:type="dxa"/>
            <w:noWrap/>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618" w:type="dxa"/>
            <w:noWrap/>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kern w:val="0"/>
                <w:sz w:val="24"/>
              </w:rPr>
              <w:t>流浪乞讨人员救助</w:t>
            </w:r>
          </w:p>
        </w:tc>
        <w:tc>
          <w:tcPr>
            <w:tcW w:w="2175" w:type="dxa"/>
            <w:noWrap/>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sz w:val="24"/>
              </w:rPr>
              <w:t>2500</w:t>
            </w:r>
          </w:p>
        </w:tc>
        <w:tc>
          <w:tcPr>
            <w:tcW w:w="2068" w:type="dxa"/>
            <w:noWrap/>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sz w:val="24"/>
              </w:rPr>
              <w:t>2500</w:t>
            </w:r>
          </w:p>
        </w:tc>
        <w:tc>
          <w:tcPr>
            <w:tcW w:w="2014" w:type="dxa"/>
            <w:noWrap/>
            <w:tcMar>
              <w:top w:w="15" w:type="dxa"/>
              <w:left w:w="15" w:type="dxa"/>
              <w:right w:w="15" w:type="dxa"/>
            </w:tcMar>
            <w:vAlign w:val="center"/>
          </w:tcPr>
          <w:p>
            <w:pPr>
              <w:widowControl/>
              <w:spacing w:line="576" w:lineRule="exact"/>
              <w:jc w:val="center"/>
              <w:textAlignment w:val="center"/>
              <w:rPr>
                <w:rFonts w:ascii="宋体" w:hAnsi="宋体" w:cs="宋体"/>
                <w:color w:val="000000"/>
                <w:sz w:val="24"/>
              </w:rPr>
            </w:pPr>
            <w:r>
              <w:rPr>
                <w:rFonts w:hint="eastAsia" w:ascii="宋体" w:hAnsi="宋体" w:cs="宋体"/>
                <w:color w:val="000000"/>
                <w:sz w:val="24"/>
              </w:rPr>
              <w:t>2500</w:t>
            </w:r>
          </w:p>
        </w:tc>
      </w:tr>
    </w:tbl>
    <w:p>
      <w:pPr>
        <w:adjustRightInd w:val="0"/>
        <w:snapToGrid w:val="0"/>
        <w:spacing w:line="576"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lang w:val="zh-CN"/>
        </w:rPr>
        <w:t>1．资金计划。</w:t>
      </w:r>
      <w:r>
        <w:rPr>
          <w:rFonts w:hint="eastAsia" w:ascii="方正仿宋简体" w:hAnsi="宋体" w:eastAsia="方正仿宋简体"/>
          <w:sz w:val="32"/>
          <w:szCs w:val="32"/>
        </w:rPr>
        <w:t>项目资金计划2500元，均为财政资金。</w:t>
      </w:r>
    </w:p>
    <w:p>
      <w:pPr>
        <w:adjustRightInd w:val="0"/>
        <w:snapToGrid w:val="0"/>
        <w:spacing w:line="576"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lang w:val="zh-CN"/>
        </w:rPr>
        <w:t>2．资金到位。资金到位率</w:t>
      </w:r>
      <w:r>
        <w:rPr>
          <w:rFonts w:hint="eastAsia" w:ascii="方正仿宋简体" w:hAnsi="宋体" w:eastAsia="方正仿宋简体"/>
          <w:sz w:val="32"/>
          <w:szCs w:val="32"/>
        </w:rPr>
        <w:t>100%，</w:t>
      </w:r>
      <w:r>
        <w:rPr>
          <w:rFonts w:hint="eastAsia" w:ascii="方正仿宋简体" w:hAnsi="宋体" w:eastAsia="方正仿宋简体"/>
          <w:sz w:val="32"/>
          <w:szCs w:val="32"/>
          <w:lang w:val="zh-CN"/>
        </w:rPr>
        <w:t>到位及时率</w:t>
      </w:r>
      <w:r>
        <w:rPr>
          <w:rFonts w:hint="eastAsia" w:ascii="方正仿宋简体" w:hAnsi="宋体" w:eastAsia="方正仿宋简体"/>
          <w:sz w:val="32"/>
          <w:szCs w:val="32"/>
        </w:rPr>
        <w:t>100%.</w:t>
      </w:r>
    </w:p>
    <w:p>
      <w:pPr>
        <w:adjustRightInd w:val="0"/>
        <w:snapToGrid w:val="0"/>
        <w:spacing w:line="576"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3．资金使用。资金支出</w:t>
      </w:r>
      <w:r>
        <w:rPr>
          <w:rFonts w:hint="eastAsia" w:ascii="方正仿宋简体" w:hAnsi="宋体" w:eastAsia="方正仿宋简体"/>
          <w:sz w:val="32"/>
          <w:szCs w:val="32"/>
        </w:rPr>
        <w:t>2500元，</w:t>
      </w:r>
      <w:r>
        <w:rPr>
          <w:rFonts w:hint="eastAsia" w:ascii="方正仿宋简体" w:hAnsi="宋体" w:eastAsia="方正仿宋简体"/>
          <w:sz w:val="32"/>
          <w:szCs w:val="32"/>
          <w:lang w:val="zh-CN"/>
        </w:rPr>
        <w:t>资金使用安全、规范、效果显著。资金支付范围</w:t>
      </w:r>
      <w:r>
        <w:rPr>
          <w:rFonts w:hint="eastAsia" w:ascii="方正仿宋简体" w:hAnsi="宋体" w:eastAsia="方正仿宋简体"/>
          <w:sz w:val="32"/>
          <w:szCs w:val="32"/>
        </w:rPr>
        <w:t>全用于支付第一书记驻村期间的各项工作经费支出</w:t>
      </w:r>
      <w:r>
        <w:rPr>
          <w:rFonts w:hint="eastAsia" w:ascii="方正仿宋简体" w:hAnsi="宋体" w:eastAsia="方正仿宋简体"/>
          <w:sz w:val="32"/>
          <w:szCs w:val="32"/>
          <w:lang w:val="zh-CN"/>
        </w:rPr>
        <w:t>。支付标准均按照财政资金管理限额（标准）执行。根据项目实施进度支付款项，支付依据合规合法，支出金额与预算相符。</w:t>
      </w:r>
    </w:p>
    <w:p>
      <w:pPr>
        <w:adjustRightInd w:val="0"/>
        <w:snapToGrid w:val="0"/>
        <w:spacing w:line="576" w:lineRule="exact"/>
        <w:ind w:firstLine="640" w:firstLineChars="20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（三）项目财务管理情况</w:t>
      </w:r>
    </w:p>
    <w:p>
      <w:pPr>
        <w:adjustRightInd w:val="0"/>
        <w:snapToGrid w:val="0"/>
        <w:spacing w:line="576"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本单位财务管理制度健全，严格执行财务管理制度，账务处理及时，会计核算规范。</w:t>
      </w:r>
    </w:p>
    <w:p>
      <w:pPr>
        <w:adjustRightInd w:val="0"/>
        <w:snapToGrid w:val="0"/>
        <w:spacing w:line="576" w:lineRule="exact"/>
        <w:ind w:firstLine="640" w:firstLineChars="200"/>
        <w:rPr>
          <w:rFonts w:ascii="方正黑体简体" w:hAnsi="宋体" w:eastAsia="方正黑体简体"/>
          <w:sz w:val="32"/>
          <w:szCs w:val="32"/>
          <w:lang w:val="zh-CN"/>
        </w:rPr>
      </w:pPr>
      <w:r>
        <w:rPr>
          <w:rFonts w:hint="eastAsia" w:ascii="方正黑体简体" w:hAnsi="宋体" w:eastAsia="方正黑体简体"/>
          <w:sz w:val="32"/>
          <w:szCs w:val="32"/>
          <w:lang w:val="zh-CN"/>
        </w:rPr>
        <w:t>三、项目实施及管理情况</w:t>
      </w:r>
    </w:p>
    <w:p>
      <w:pPr>
        <w:adjustRightInd w:val="0"/>
        <w:snapToGrid w:val="0"/>
        <w:spacing w:line="576" w:lineRule="exact"/>
        <w:ind w:firstLine="640" w:firstLineChars="200"/>
        <w:rPr>
          <w:rFonts w:ascii="方正楷体简体" w:hAnsi="宋体" w:eastAsia="方正楷体简体"/>
          <w:b/>
          <w:sz w:val="32"/>
          <w:szCs w:val="32"/>
          <w:lang w:val="zh-CN"/>
        </w:rPr>
      </w:pPr>
      <w:r>
        <w:rPr>
          <w:rFonts w:hint="eastAsia" w:ascii="方正楷体简体" w:hAnsi="宋体" w:eastAsia="方正楷体简体"/>
          <w:bCs/>
          <w:sz w:val="32"/>
          <w:szCs w:val="32"/>
          <w:lang w:val="zh-CN"/>
        </w:rPr>
        <w:t>（一）</w:t>
      </w:r>
      <w:r>
        <w:rPr>
          <w:rFonts w:hint="eastAsia" w:ascii="方正仿宋简体" w:hAnsi="宋体" w:eastAsia="方正仿宋简体"/>
          <w:sz w:val="32"/>
          <w:szCs w:val="32"/>
          <w:lang w:val="zh-CN"/>
        </w:rPr>
        <w:t>项目组织架构及实施流程。我单位成立了项目领导小组负责项目统筹安排及管理，安排专人具体负责实施。</w:t>
      </w:r>
    </w:p>
    <w:p>
      <w:pPr>
        <w:adjustRightInd w:val="0"/>
        <w:snapToGrid w:val="0"/>
        <w:spacing w:line="576" w:lineRule="exact"/>
        <w:ind w:firstLine="640" w:firstLineChars="200"/>
        <w:rPr>
          <w:rFonts w:ascii="方正仿宋简体" w:hAnsi="宋体" w:eastAsia="方正仿宋简体"/>
          <w:sz w:val="32"/>
          <w:szCs w:val="32"/>
          <w:lang w:val="zh-CN"/>
        </w:rPr>
      </w:pPr>
      <w:r>
        <w:rPr>
          <w:rFonts w:hint="eastAsia" w:ascii="方正楷体简体" w:hAnsi="宋体" w:eastAsia="方正楷体简体"/>
          <w:bCs/>
          <w:sz w:val="32"/>
          <w:szCs w:val="32"/>
          <w:lang w:val="zh-CN"/>
        </w:rPr>
        <w:t>（二）</w:t>
      </w:r>
      <w:r>
        <w:rPr>
          <w:rFonts w:hint="eastAsia" w:ascii="方正仿宋简体" w:hAnsi="宋体" w:eastAsia="方正仿宋简体"/>
          <w:sz w:val="32"/>
          <w:szCs w:val="32"/>
          <w:lang w:val="zh-CN"/>
        </w:rPr>
        <w:t>项目管理情况。我单位严格执行相关法律法规及项目管理制度，管理有序，质量较高，取得了良好的效果。</w:t>
      </w:r>
    </w:p>
    <w:p>
      <w:pPr>
        <w:adjustRightInd w:val="0"/>
        <w:snapToGrid w:val="0"/>
        <w:spacing w:line="576" w:lineRule="exact"/>
        <w:ind w:firstLine="640" w:firstLineChars="200"/>
        <w:rPr>
          <w:rFonts w:ascii="方正仿宋简体" w:hAnsi="宋体" w:eastAsia="方正仿宋简体"/>
          <w:sz w:val="32"/>
          <w:szCs w:val="32"/>
          <w:lang w:val="zh-CN"/>
        </w:rPr>
      </w:pPr>
      <w:r>
        <w:rPr>
          <w:rFonts w:hint="eastAsia" w:ascii="方正楷体简体" w:hAnsi="宋体" w:eastAsia="方正楷体简体"/>
          <w:bCs/>
          <w:sz w:val="32"/>
          <w:szCs w:val="32"/>
          <w:lang w:val="zh-CN"/>
        </w:rPr>
        <w:t>（三）</w:t>
      </w:r>
      <w:r>
        <w:rPr>
          <w:rFonts w:hint="eastAsia" w:ascii="方正仿宋简体" w:hAnsi="宋体" w:eastAsia="方正仿宋简体"/>
          <w:sz w:val="32"/>
          <w:szCs w:val="32"/>
          <w:lang w:val="zh-CN"/>
        </w:rPr>
        <w:t>项目监管情况。我单位项目主要是</w:t>
      </w:r>
      <w:r>
        <w:rPr>
          <w:rFonts w:hint="eastAsia" w:ascii="方正仿宋简体" w:hAnsi="宋体" w:eastAsia="方正仿宋简体"/>
          <w:sz w:val="32"/>
          <w:szCs w:val="32"/>
        </w:rPr>
        <w:t>第一书记驻村期间的各项工作经费。</w:t>
      </w:r>
      <w:r>
        <w:rPr>
          <w:rFonts w:hint="eastAsia" w:ascii="方正仿宋简体" w:hAnsi="宋体" w:eastAsia="方正仿宋简体"/>
          <w:sz w:val="32"/>
          <w:szCs w:val="32"/>
          <w:lang w:val="zh-CN"/>
        </w:rPr>
        <w:t>费用支出经过逐级审核，项目实施中纪检部门进行监管，按照单位内控控制制度实施监管，有力的促进了项目顺利实施，圆满完成，监管效果良好。</w:t>
      </w:r>
    </w:p>
    <w:p>
      <w:pPr>
        <w:adjustRightInd w:val="0"/>
        <w:snapToGrid w:val="0"/>
        <w:spacing w:line="576" w:lineRule="exact"/>
        <w:ind w:firstLine="640" w:firstLineChars="200"/>
        <w:rPr>
          <w:rFonts w:ascii="方正黑体简体" w:hAnsi="宋体" w:eastAsia="方正黑体简体"/>
          <w:sz w:val="32"/>
          <w:szCs w:val="32"/>
          <w:lang w:val="zh-CN"/>
        </w:rPr>
      </w:pPr>
      <w:r>
        <w:rPr>
          <w:rFonts w:hint="eastAsia" w:ascii="方正黑体简体" w:hAnsi="宋体" w:eastAsia="方正黑体简体"/>
          <w:sz w:val="32"/>
          <w:szCs w:val="32"/>
          <w:lang w:val="zh-CN"/>
        </w:rPr>
        <w:t>四、项目绩效情况</w:t>
      </w:r>
      <w:r>
        <w:rPr>
          <w:rFonts w:hint="eastAsia" w:ascii="方正黑体简体" w:hAnsi="宋体" w:eastAsia="方正黑体简体"/>
          <w:sz w:val="32"/>
          <w:szCs w:val="32"/>
          <w:lang w:val="zh-CN"/>
        </w:rPr>
        <w:tab/>
      </w:r>
    </w:p>
    <w:p>
      <w:pPr>
        <w:adjustRightInd w:val="0"/>
        <w:snapToGrid w:val="0"/>
        <w:spacing w:line="576"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（一）项目完成情况</w:t>
      </w:r>
    </w:p>
    <w:p>
      <w:pPr>
        <w:adjustRightInd w:val="0"/>
        <w:snapToGrid w:val="0"/>
        <w:spacing w:line="576"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lang w:val="zh-CN"/>
        </w:rPr>
        <w:t>项目全部完成预期目标，均达到数量计划值，质量良好、按时完成、未超预算，无资金结余，无违规违纪情况。</w:t>
      </w:r>
      <w:r>
        <w:rPr>
          <w:rFonts w:hint="eastAsia" w:ascii="方正仿宋简体" w:hAnsi="宋体" w:eastAsia="方正仿宋简体"/>
          <w:sz w:val="32"/>
          <w:szCs w:val="32"/>
        </w:rPr>
        <w:t xml:space="preserve">      </w:t>
      </w:r>
    </w:p>
    <w:p>
      <w:pPr>
        <w:adjustRightInd w:val="0"/>
        <w:snapToGrid w:val="0"/>
        <w:spacing w:line="576"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（二）项目效益情况</w:t>
      </w:r>
    </w:p>
    <w:p>
      <w:pPr>
        <w:adjustRightInd w:val="0"/>
        <w:snapToGrid w:val="0"/>
        <w:spacing w:line="576"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lang w:val="zh-CN"/>
        </w:rPr>
        <w:t>项目取得了良好的社会效益、可持续效益。</w:t>
      </w:r>
      <w:r>
        <w:rPr>
          <w:rFonts w:hint="eastAsia" w:ascii="方正仿宋简体" w:hAnsi="宋体" w:eastAsia="方正仿宋简体"/>
          <w:sz w:val="32"/>
          <w:szCs w:val="32"/>
        </w:rPr>
        <w:t>全年完成帮扶贫困户户数20户，稳步提高贫困户的收入，促进帮扶村发展，为贫困户创造收入途径和能力，全面完成</w:t>
      </w:r>
      <w:r>
        <w:rPr>
          <w:rFonts w:hint="eastAsia" w:ascii="方正仿宋简体" w:hAnsi="宋体" w:eastAsia="方正仿宋简体"/>
          <w:sz w:val="32"/>
          <w:szCs w:val="32"/>
          <w:lang w:eastAsia="zh-CN"/>
        </w:rPr>
        <w:t>脱贫</w:t>
      </w:r>
      <w:r>
        <w:rPr>
          <w:rFonts w:hint="eastAsia" w:ascii="方正仿宋简体" w:hAnsi="宋体" w:eastAsia="方正仿宋简体"/>
          <w:sz w:val="32"/>
          <w:szCs w:val="32"/>
        </w:rPr>
        <w:t>攻坚工作。</w:t>
      </w:r>
    </w:p>
    <w:p>
      <w:pPr>
        <w:adjustRightInd w:val="0"/>
        <w:snapToGrid w:val="0"/>
        <w:spacing w:line="576" w:lineRule="exact"/>
        <w:ind w:firstLine="640" w:firstLineChars="200"/>
        <w:rPr>
          <w:rFonts w:ascii="方正黑体简体" w:hAnsi="宋体" w:eastAsia="方正黑体简体"/>
          <w:sz w:val="32"/>
          <w:szCs w:val="32"/>
          <w:lang w:val="zh-CN"/>
        </w:rPr>
      </w:pPr>
      <w:r>
        <w:rPr>
          <w:rFonts w:hint="eastAsia" w:ascii="方正黑体简体" w:hAnsi="宋体" w:eastAsia="方正黑体简体"/>
          <w:sz w:val="32"/>
          <w:szCs w:val="32"/>
          <w:lang w:val="zh-CN"/>
        </w:rPr>
        <w:t>五、评价结论及建议</w:t>
      </w:r>
    </w:p>
    <w:p>
      <w:pPr>
        <w:adjustRightInd w:val="0"/>
        <w:snapToGrid w:val="0"/>
        <w:spacing w:line="576" w:lineRule="exact"/>
        <w:ind w:firstLine="640" w:firstLineChars="20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（一）评价结论</w:t>
      </w:r>
    </w:p>
    <w:p>
      <w:pPr>
        <w:adjustRightInd w:val="0"/>
        <w:snapToGrid w:val="0"/>
        <w:spacing w:line="576" w:lineRule="exact"/>
        <w:ind w:firstLine="640" w:firstLineChars="200"/>
        <w:rPr>
          <w:rFonts w:ascii="方正仿宋简体" w:hAnsi="宋体" w:eastAsia="方正仿宋简体"/>
          <w:sz w:val="32"/>
          <w:szCs w:val="32"/>
          <w:bdr w:val="single" w:color="auto" w:sz="4" w:space="0"/>
        </w:rPr>
      </w:pPr>
      <w:r>
        <w:rPr>
          <w:rFonts w:hint="eastAsia" w:ascii="方正仿宋简体" w:hAnsi="宋体" w:eastAsia="方正仿宋简体"/>
          <w:sz w:val="32"/>
          <w:szCs w:val="32"/>
        </w:rPr>
        <w:t>项目管理良好，实施有序，绩效显著。均达到了预期目标</w:t>
      </w:r>
      <w:r>
        <w:rPr>
          <w:rFonts w:hint="eastAsia" w:ascii="方正仿宋简体" w:hAnsi="宋体" w:eastAsia="方正仿宋简体"/>
          <w:sz w:val="32"/>
          <w:szCs w:val="32"/>
          <w:lang w:val="zh-CN"/>
        </w:rPr>
        <w:t>。评价得分</w:t>
      </w:r>
      <w:r>
        <w:rPr>
          <w:rFonts w:hint="eastAsia" w:ascii="方正仿宋简体" w:hAnsi="宋体" w:eastAsia="方正仿宋简体"/>
          <w:sz w:val="32"/>
          <w:szCs w:val="32"/>
        </w:rPr>
        <w:t>99分。</w:t>
      </w:r>
    </w:p>
    <w:p>
      <w:pPr>
        <w:adjustRightInd w:val="0"/>
        <w:snapToGrid w:val="0"/>
        <w:spacing w:line="576" w:lineRule="exact"/>
        <w:ind w:firstLine="640" w:firstLineChars="200"/>
        <w:rPr>
          <w:rFonts w:ascii="方正楷体简体" w:hAnsi="宋体" w:eastAsia="方正楷体简体"/>
          <w:b/>
          <w:sz w:val="32"/>
          <w:szCs w:val="32"/>
          <w:lang w:val="zh-CN"/>
        </w:rPr>
      </w:pPr>
      <w:r>
        <w:rPr>
          <w:rFonts w:hint="eastAsia" w:ascii="方正楷体简体" w:hAnsi="宋体" w:eastAsia="方正楷体简体"/>
          <w:b/>
          <w:sz w:val="32"/>
          <w:szCs w:val="32"/>
          <w:lang w:val="zh-CN"/>
        </w:rPr>
        <w:t>（二）存在的问题</w:t>
      </w:r>
    </w:p>
    <w:p>
      <w:pPr>
        <w:adjustRightInd w:val="0"/>
        <w:snapToGrid w:val="0"/>
        <w:spacing w:line="576"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无。</w:t>
      </w:r>
      <w:r>
        <w:rPr>
          <w:rFonts w:hint="eastAsia" w:ascii="方正仿宋简体" w:hAnsi="宋体" w:eastAsia="方正仿宋简体"/>
          <w:sz w:val="32"/>
          <w:szCs w:val="32"/>
          <w:lang w:val="zh-CN"/>
        </w:rPr>
        <w:tab/>
      </w:r>
    </w:p>
    <w:p>
      <w:pPr>
        <w:adjustRightInd w:val="0"/>
        <w:snapToGrid w:val="0"/>
        <w:spacing w:line="576" w:lineRule="exact"/>
        <w:ind w:firstLine="640" w:firstLineChars="200"/>
        <w:rPr>
          <w:rFonts w:ascii="方正楷体简体" w:hAnsi="宋体" w:eastAsia="方正楷体简体"/>
          <w:b/>
          <w:sz w:val="32"/>
          <w:szCs w:val="32"/>
          <w:lang w:val="zh-CN"/>
        </w:rPr>
      </w:pPr>
      <w:r>
        <w:rPr>
          <w:rFonts w:hint="eastAsia" w:ascii="方正楷体简体" w:hAnsi="宋体" w:eastAsia="方正楷体简体"/>
          <w:b/>
          <w:sz w:val="32"/>
          <w:szCs w:val="32"/>
          <w:lang w:val="zh-CN"/>
        </w:rPr>
        <w:t>（三）相关建议</w:t>
      </w:r>
    </w:p>
    <w:p>
      <w:pPr>
        <w:adjustRightInd w:val="0"/>
        <w:snapToGrid w:val="0"/>
        <w:spacing w:line="576" w:lineRule="exact"/>
        <w:ind w:firstLine="640" w:firstLineChars="200"/>
        <w:rPr>
          <w:rFonts w:ascii="方正仿宋简体" w:hAnsi="宋体" w:eastAsia="方正仿宋简体"/>
          <w:sz w:val="32"/>
          <w:szCs w:val="32"/>
          <w:lang w:val="zh-CN"/>
        </w:rPr>
      </w:pPr>
      <w:r>
        <w:rPr>
          <w:rFonts w:hint="eastAsia" w:ascii="方正仿宋简体" w:hAnsi="宋体" w:eastAsia="方正仿宋简体"/>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p>
      <w:pPr>
        <w:adjustRightInd w:val="0"/>
        <w:snapToGrid w:val="0"/>
        <w:spacing w:line="576" w:lineRule="exact"/>
        <w:ind w:firstLine="640" w:firstLineChars="200"/>
        <w:rPr>
          <w:rFonts w:ascii="方正仿宋简体" w:hAnsi="宋体" w:eastAsia="方正仿宋简体"/>
          <w:sz w:val="32"/>
          <w:szCs w:val="32"/>
          <w:lang w:val="zh-CN"/>
        </w:rPr>
      </w:pPr>
    </w:p>
    <w:p>
      <w:pPr>
        <w:adjustRightInd w:val="0"/>
        <w:snapToGrid w:val="0"/>
        <w:spacing w:line="576" w:lineRule="exact"/>
        <w:jc w:val="center"/>
        <w:rPr>
          <w:rFonts w:ascii="宋体" w:hAnsi="宋体" w:cs="宋体"/>
          <w:b/>
          <w:sz w:val="32"/>
          <w:szCs w:val="32"/>
        </w:rPr>
      </w:pPr>
      <w:r>
        <w:rPr>
          <w:rFonts w:hint="eastAsia" w:ascii="宋体" w:hAnsi="宋体" w:cs="宋体"/>
          <w:b/>
          <w:sz w:val="32"/>
          <w:szCs w:val="32"/>
        </w:rPr>
        <w:t>2021年部门预算项目绩效目标自评</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326"/>
        <w:gridCol w:w="1875"/>
        <w:gridCol w:w="1586"/>
        <w:gridCol w:w="199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229" w:type="dxa"/>
            <w:gridSpan w:val="2"/>
            <w:vAlign w:val="center"/>
          </w:tcPr>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sz w:val="24"/>
                <w:lang w:val="zh-CN"/>
              </w:rPr>
              <w:t>主管部门及代码</w:t>
            </w:r>
          </w:p>
        </w:tc>
        <w:tc>
          <w:tcPr>
            <w:tcW w:w="3461" w:type="dxa"/>
            <w:gridSpan w:val="2"/>
            <w:vAlign w:val="center"/>
          </w:tcPr>
          <w:p>
            <w:pPr>
              <w:adjustRightInd w:val="0"/>
              <w:snapToGrid w:val="0"/>
              <w:spacing w:line="576" w:lineRule="exact"/>
              <w:jc w:val="center"/>
              <w:rPr>
                <w:rFonts w:hint="eastAsia" w:ascii="仿宋" w:hAnsi="仿宋" w:eastAsia="仿宋" w:cs="仿宋"/>
                <w:sz w:val="24"/>
              </w:rPr>
            </w:pPr>
            <w:r>
              <w:rPr>
                <w:rFonts w:hint="eastAsia" w:ascii="仿宋" w:hAnsi="仿宋" w:eastAsia="仿宋" w:cs="仿宋"/>
                <w:sz w:val="24"/>
                <w:lang w:val="zh-CN"/>
              </w:rPr>
              <w:t>广元市民政局</w:t>
            </w:r>
            <w:r>
              <w:rPr>
                <w:rFonts w:hint="eastAsia" w:ascii="仿宋" w:hAnsi="仿宋" w:eastAsia="仿宋" w:cs="仿宋"/>
                <w:sz w:val="24"/>
              </w:rPr>
              <w:t>343</w:t>
            </w:r>
          </w:p>
        </w:tc>
        <w:tc>
          <w:tcPr>
            <w:tcW w:w="1993" w:type="dxa"/>
            <w:vAlign w:val="center"/>
          </w:tcPr>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sz w:val="24"/>
                <w:lang w:val="zh-CN"/>
              </w:rPr>
              <w:t>实施单位</w:t>
            </w:r>
          </w:p>
        </w:tc>
        <w:tc>
          <w:tcPr>
            <w:tcW w:w="1378" w:type="dxa"/>
            <w:vAlign w:val="center"/>
          </w:tcPr>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sz w:val="24"/>
                <w:lang w:val="zh-CN"/>
              </w:rPr>
              <w:t>广元市救助管理站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29" w:type="dxa"/>
            <w:gridSpan w:val="2"/>
            <w:vMerge w:val="restart"/>
            <w:vAlign w:val="center"/>
          </w:tcPr>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sz w:val="24"/>
                <w:lang w:val="zh-CN"/>
              </w:rPr>
              <w:t>项目预算</w:t>
            </w:r>
          </w:p>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sz w:val="24"/>
                <w:lang w:val="zh-CN"/>
              </w:rPr>
              <w:t>执行情况</w:t>
            </w:r>
            <w:r>
              <w:rPr>
                <w:rFonts w:hint="eastAsia" w:ascii="仿宋" w:hAnsi="仿宋" w:eastAsia="仿宋" w:cs="仿宋"/>
                <w:sz w:val="24"/>
                <w:lang w:val="zh-CN"/>
              </w:rPr>
              <w:br w:type="textWrapping"/>
            </w:r>
            <w:r>
              <w:rPr>
                <w:rFonts w:hint="eastAsia" w:ascii="仿宋" w:hAnsi="仿宋" w:eastAsia="仿宋" w:cs="仿宋"/>
                <w:sz w:val="24"/>
                <w:lang w:val="zh-CN"/>
              </w:rPr>
              <w:t>（元）</w:t>
            </w:r>
          </w:p>
        </w:tc>
        <w:tc>
          <w:tcPr>
            <w:tcW w:w="1875" w:type="dxa"/>
            <w:vAlign w:val="center"/>
          </w:tcPr>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sz w:val="24"/>
                <w:lang w:val="zh-CN"/>
              </w:rPr>
              <w:t>预算数：</w:t>
            </w:r>
          </w:p>
        </w:tc>
        <w:tc>
          <w:tcPr>
            <w:tcW w:w="1586" w:type="dxa"/>
            <w:vAlign w:val="center"/>
          </w:tcPr>
          <w:p>
            <w:pPr>
              <w:adjustRightInd w:val="0"/>
              <w:snapToGrid w:val="0"/>
              <w:spacing w:line="576" w:lineRule="exact"/>
              <w:jc w:val="center"/>
              <w:rPr>
                <w:rFonts w:hint="eastAsia" w:ascii="仿宋" w:hAnsi="仿宋" w:eastAsia="仿宋" w:cs="仿宋"/>
                <w:sz w:val="24"/>
              </w:rPr>
            </w:pPr>
            <w:r>
              <w:rPr>
                <w:rFonts w:hint="eastAsia" w:ascii="仿宋" w:hAnsi="仿宋" w:eastAsia="仿宋" w:cs="仿宋"/>
                <w:sz w:val="24"/>
              </w:rPr>
              <w:t>2500</w:t>
            </w:r>
          </w:p>
        </w:tc>
        <w:tc>
          <w:tcPr>
            <w:tcW w:w="1993" w:type="dxa"/>
            <w:vAlign w:val="center"/>
          </w:tcPr>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sz w:val="24"/>
                <w:lang w:val="zh-CN"/>
              </w:rPr>
              <w:t>执行数：</w:t>
            </w:r>
          </w:p>
        </w:tc>
        <w:tc>
          <w:tcPr>
            <w:tcW w:w="1378" w:type="dxa"/>
            <w:vAlign w:val="center"/>
          </w:tcPr>
          <w:p>
            <w:pPr>
              <w:adjustRightInd w:val="0"/>
              <w:snapToGrid w:val="0"/>
              <w:spacing w:line="576" w:lineRule="exact"/>
              <w:jc w:val="center"/>
              <w:rPr>
                <w:rFonts w:hint="eastAsia" w:ascii="仿宋" w:hAnsi="仿宋" w:eastAsia="仿宋" w:cs="仿宋"/>
                <w:sz w:val="24"/>
              </w:rPr>
            </w:pPr>
            <w:r>
              <w:rPr>
                <w:rFonts w:hint="eastAsia" w:ascii="仿宋" w:hAnsi="仿宋" w:eastAsia="仿宋" w:cs="仿宋"/>
                <w:sz w:val="24"/>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229" w:type="dxa"/>
            <w:gridSpan w:val="2"/>
            <w:vMerge w:val="continue"/>
            <w:vAlign w:val="center"/>
          </w:tcPr>
          <w:p>
            <w:pPr>
              <w:adjustRightInd w:val="0"/>
              <w:snapToGrid w:val="0"/>
              <w:spacing w:line="576" w:lineRule="exact"/>
              <w:jc w:val="center"/>
              <w:rPr>
                <w:rFonts w:hint="eastAsia" w:ascii="仿宋" w:hAnsi="仿宋" w:eastAsia="仿宋" w:cs="仿宋"/>
                <w:sz w:val="24"/>
                <w:lang w:val="zh-CN"/>
              </w:rPr>
            </w:pPr>
          </w:p>
        </w:tc>
        <w:tc>
          <w:tcPr>
            <w:tcW w:w="1875" w:type="dxa"/>
            <w:vAlign w:val="center"/>
          </w:tcPr>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sz w:val="24"/>
                <w:lang w:val="zh-CN"/>
              </w:rPr>
              <w:t>其中：财政拨款</w:t>
            </w:r>
          </w:p>
        </w:tc>
        <w:tc>
          <w:tcPr>
            <w:tcW w:w="1586" w:type="dxa"/>
            <w:vAlign w:val="center"/>
          </w:tcPr>
          <w:p>
            <w:pPr>
              <w:adjustRightInd w:val="0"/>
              <w:snapToGrid w:val="0"/>
              <w:spacing w:line="576" w:lineRule="exact"/>
              <w:jc w:val="center"/>
              <w:rPr>
                <w:rFonts w:hint="eastAsia" w:ascii="仿宋" w:hAnsi="仿宋" w:eastAsia="仿宋" w:cs="仿宋"/>
                <w:sz w:val="24"/>
              </w:rPr>
            </w:pPr>
            <w:r>
              <w:rPr>
                <w:rFonts w:hint="eastAsia" w:ascii="仿宋" w:hAnsi="仿宋" w:eastAsia="仿宋" w:cs="仿宋"/>
                <w:sz w:val="24"/>
              </w:rPr>
              <w:t>2500</w:t>
            </w:r>
          </w:p>
        </w:tc>
        <w:tc>
          <w:tcPr>
            <w:tcW w:w="1993" w:type="dxa"/>
            <w:vAlign w:val="center"/>
          </w:tcPr>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sz w:val="24"/>
                <w:lang w:val="zh-CN"/>
              </w:rPr>
              <w:t>其中：财政拨款</w:t>
            </w:r>
          </w:p>
        </w:tc>
        <w:tc>
          <w:tcPr>
            <w:tcW w:w="1378" w:type="dxa"/>
            <w:vAlign w:val="center"/>
          </w:tcPr>
          <w:p>
            <w:pPr>
              <w:adjustRightInd w:val="0"/>
              <w:snapToGrid w:val="0"/>
              <w:spacing w:line="576" w:lineRule="exact"/>
              <w:jc w:val="center"/>
              <w:rPr>
                <w:rFonts w:hint="eastAsia" w:ascii="仿宋" w:hAnsi="仿宋" w:eastAsia="仿宋" w:cs="仿宋"/>
                <w:sz w:val="24"/>
              </w:rPr>
            </w:pPr>
            <w:r>
              <w:rPr>
                <w:rFonts w:hint="eastAsia" w:ascii="仿宋" w:hAnsi="仿宋" w:eastAsia="仿宋" w:cs="仿宋"/>
                <w:sz w:val="24"/>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2229" w:type="dxa"/>
            <w:gridSpan w:val="2"/>
            <w:vMerge w:val="continue"/>
            <w:vAlign w:val="center"/>
          </w:tcPr>
          <w:p>
            <w:pPr>
              <w:adjustRightInd w:val="0"/>
              <w:snapToGrid w:val="0"/>
              <w:spacing w:line="576" w:lineRule="exact"/>
              <w:jc w:val="center"/>
              <w:rPr>
                <w:rFonts w:hint="eastAsia" w:ascii="仿宋" w:hAnsi="仿宋" w:eastAsia="仿宋" w:cs="仿宋"/>
                <w:sz w:val="24"/>
                <w:lang w:val="zh-CN"/>
              </w:rPr>
            </w:pPr>
          </w:p>
        </w:tc>
        <w:tc>
          <w:tcPr>
            <w:tcW w:w="1875" w:type="dxa"/>
            <w:vAlign w:val="center"/>
          </w:tcPr>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kern w:val="0"/>
                <w:sz w:val="24"/>
              </w:rPr>
              <w:t>其他资金</w:t>
            </w:r>
          </w:p>
        </w:tc>
        <w:tc>
          <w:tcPr>
            <w:tcW w:w="1586" w:type="dxa"/>
            <w:vAlign w:val="center"/>
          </w:tcPr>
          <w:p>
            <w:pPr>
              <w:adjustRightInd w:val="0"/>
              <w:snapToGrid w:val="0"/>
              <w:spacing w:line="576" w:lineRule="exact"/>
              <w:jc w:val="center"/>
              <w:rPr>
                <w:rFonts w:hint="eastAsia" w:ascii="仿宋" w:hAnsi="仿宋" w:eastAsia="仿宋" w:cs="仿宋"/>
                <w:sz w:val="24"/>
                <w:lang w:val="zh-CN"/>
              </w:rPr>
            </w:pPr>
          </w:p>
        </w:tc>
        <w:tc>
          <w:tcPr>
            <w:tcW w:w="1993" w:type="dxa"/>
            <w:vAlign w:val="center"/>
          </w:tcPr>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kern w:val="0"/>
                <w:sz w:val="24"/>
              </w:rPr>
              <w:t>其他资金</w:t>
            </w:r>
          </w:p>
        </w:tc>
        <w:tc>
          <w:tcPr>
            <w:tcW w:w="1378" w:type="dxa"/>
            <w:vAlign w:val="center"/>
          </w:tcPr>
          <w:p>
            <w:pPr>
              <w:adjustRightInd w:val="0"/>
              <w:snapToGrid w:val="0"/>
              <w:spacing w:line="576" w:lineRule="exact"/>
              <w:jc w:val="center"/>
              <w:rPr>
                <w:rFonts w:hint="eastAsia" w:ascii="仿宋" w:hAnsi="仿宋" w:eastAsia="仿宋" w:cs="仿宋"/>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29" w:type="dxa"/>
            <w:gridSpan w:val="2"/>
            <w:vMerge w:val="restart"/>
            <w:vAlign w:val="center"/>
          </w:tcPr>
          <w:p>
            <w:pPr>
              <w:widowControl/>
              <w:spacing w:line="576" w:lineRule="exact"/>
              <w:jc w:val="center"/>
              <w:textAlignment w:val="center"/>
              <w:rPr>
                <w:rFonts w:hint="eastAsia" w:ascii="仿宋" w:hAnsi="仿宋" w:eastAsia="仿宋" w:cs="仿宋"/>
                <w:sz w:val="24"/>
                <w:lang w:val="zh-CN"/>
              </w:rPr>
            </w:pPr>
            <w:r>
              <w:rPr>
                <w:rFonts w:hint="eastAsia" w:ascii="仿宋" w:hAnsi="仿宋" w:eastAsia="仿宋" w:cs="仿宋"/>
                <w:kern w:val="0"/>
                <w:sz w:val="24"/>
              </w:rPr>
              <w:t>年度总体目标完成情况</w:t>
            </w:r>
          </w:p>
        </w:tc>
        <w:tc>
          <w:tcPr>
            <w:tcW w:w="3461" w:type="dxa"/>
            <w:gridSpan w:val="2"/>
            <w:vAlign w:val="center"/>
          </w:tcPr>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kern w:val="0"/>
                <w:sz w:val="24"/>
              </w:rPr>
              <w:t>预期目标</w:t>
            </w:r>
            <w:bookmarkStart w:id="53" w:name="_GoBack"/>
            <w:bookmarkEnd w:id="53"/>
          </w:p>
        </w:tc>
        <w:tc>
          <w:tcPr>
            <w:tcW w:w="3371" w:type="dxa"/>
            <w:gridSpan w:val="2"/>
            <w:vAlign w:val="center"/>
          </w:tcPr>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kern w:val="0"/>
                <w:sz w:val="24"/>
              </w:rPr>
              <w:t>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229" w:type="dxa"/>
            <w:gridSpan w:val="2"/>
            <w:vMerge w:val="continue"/>
            <w:vAlign w:val="center"/>
          </w:tcPr>
          <w:p>
            <w:pPr>
              <w:adjustRightInd w:val="0"/>
              <w:snapToGrid w:val="0"/>
              <w:spacing w:line="576" w:lineRule="exact"/>
              <w:jc w:val="center"/>
              <w:rPr>
                <w:rFonts w:hint="eastAsia" w:ascii="仿宋" w:hAnsi="仿宋" w:eastAsia="仿宋" w:cs="仿宋"/>
                <w:sz w:val="24"/>
                <w:lang w:val="zh-CN"/>
              </w:rPr>
            </w:pPr>
          </w:p>
        </w:tc>
        <w:tc>
          <w:tcPr>
            <w:tcW w:w="3461" w:type="dxa"/>
            <w:gridSpan w:val="2"/>
            <w:vAlign w:val="center"/>
          </w:tcPr>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color w:val="000000"/>
                <w:sz w:val="24"/>
              </w:rPr>
              <w:t>扶贫攻坚工作扎实稳步推进，进一步提高贫困户生活水平。</w:t>
            </w:r>
          </w:p>
        </w:tc>
        <w:tc>
          <w:tcPr>
            <w:tcW w:w="3371" w:type="dxa"/>
            <w:gridSpan w:val="2"/>
            <w:vAlign w:val="center"/>
          </w:tcPr>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color w:val="000000"/>
                <w:sz w:val="24"/>
              </w:rPr>
              <w:t>20户顺利脱贫。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903" w:type="dxa"/>
            <w:vMerge w:val="restart"/>
            <w:vAlign w:val="center"/>
          </w:tcPr>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kern w:val="0"/>
                <w:sz w:val="24"/>
              </w:rPr>
              <w:t>年度绩效指标完成情况</w:t>
            </w:r>
          </w:p>
        </w:tc>
        <w:tc>
          <w:tcPr>
            <w:tcW w:w="1326" w:type="dxa"/>
            <w:vAlign w:val="center"/>
          </w:tcPr>
          <w:p>
            <w:pPr>
              <w:widowControl/>
              <w:spacing w:line="576" w:lineRule="exact"/>
              <w:jc w:val="center"/>
              <w:textAlignment w:val="center"/>
              <w:rPr>
                <w:rFonts w:hint="eastAsia" w:ascii="仿宋" w:hAnsi="仿宋" w:eastAsia="仿宋" w:cs="仿宋"/>
                <w:sz w:val="24"/>
                <w:lang w:val="zh-CN"/>
              </w:rPr>
            </w:pPr>
            <w:r>
              <w:rPr>
                <w:rFonts w:hint="eastAsia" w:ascii="仿宋" w:hAnsi="仿宋" w:eastAsia="仿宋" w:cs="仿宋"/>
                <w:kern w:val="0"/>
                <w:sz w:val="24"/>
              </w:rPr>
              <w:t>一级指标</w:t>
            </w:r>
          </w:p>
        </w:tc>
        <w:tc>
          <w:tcPr>
            <w:tcW w:w="1875" w:type="dxa"/>
            <w:vAlign w:val="center"/>
          </w:tcPr>
          <w:p>
            <w:pPr>
              <w:widowControl/>
              <w:spacing w:line="576" w:lineRule="exact"/>
              <w:jc w:val="center"/>
              <w:textAlignment w:val="center"/>
              <w:rPr>
                <w:rFonts w:hint="eastAsia" w:ascii="仿宋" w:hAnsi="仿宋" w:eastAsia="仿宋" w:cs="仿宋"/>
                <w:sz w:val="24"/>
                <w:lang w:val="zh-CN"/>
              </w:rPr>
            </w:pPr>
            <w:r>
              <w:rPr>
                <w:rFonts w:hint="eastAsia" w:ascii="仿宋" w:hAnsi="仿宋" w:eastAsia="仿宋" w:cs="仿宋"/>
                <w:kern w:val="0"/>
                <w:sz w:val="24"/>
              </w:rPr>
              <w:t>二级指标</w:t>
            </w:r>
          </w:p>
        </w:tc>
        <w:tc>
          <w:tcPr>
            <w:tcW w:w="1586" w:type="dxa"/>
            <w:vAlign w:val="center"/>
          </w:tcPr>
          <w:p>
            <w:pPr>
              <w:widowControl/>
              <w:spacing w:line="576" w:lineRule="exact"/>
              <w:jc w:val="center"/>
              <w:textAlignment w:val="center"/>
              <w:rPr>
                <w:rFonts w:hint="eastAsia" w:ascii="仿宋" w:hAnsi="仿宋" w:eastAsia="仿宋" w:cs="仿宋"/>
                <w:sz w:val="24"/>
                <w:lang w:val="zh-CN"/>
              </w:rPr>
            </w:pPr>
            <w:r>
              <w:rPr>
                <w:rFonts w:hint="eastAsia" w:ascii="仿宋" w:hAnsi="仿宋" w:eastAsia="仿宋" w:cs="仿宋"/>
                <w:kern w:val="0"/>
                <w:sz w:val="24"/>
              </w:rPr>
              <w:t>三级指标</w:t>
            </w:r>
          </w:p>
        </w:tc>
        <w:tc>
          <w:tcPr>
            <w:tcW w:w="1993" w:type="dxa"/>
            <w:vAlign w:val="center"/>
          </w:tcPr>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kern w:val="0"/>
                <w:sz w:val="24"/>
              </w:rPr>
              <w:t>预期指标值</w:t>
            </w:r>
          </w:p>
        </w:tc>
        <w:tc>
          <w:tcPr>
            <w:tcW w:w="1378" w:type="dxa"/>
            <w:vAlign w:val="center"/>
          </w:tcPr>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kern w:val="0"/>
                <w:sz w:val="24"/>
              </w:rPr>
              <w:t>实际完成指标值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adjustRightInd w:val="0"/>
              <w:snapToGrid w:val="0"/>
              <w:spacing w:line="576" w:lineRule="exact"/>
              <w:jc w:val="center"/>
              <w:rPr>
                <w:rFonts w:hint="eastAsia" w:ascii="仿宋" w:hAnsi="仿宋" w:eastAsia="仿宋" w:cs="仿宋"/>
                <w:sz w:val="24"/>
                <w:lang w:val="zh-CN"/>
              </w:rPr>
            </w:pPr>
          </w:p>
        </w:tc>
        <w:tc>
          <w:tcPr>
            <w:tcW w:w="1326" w:type="dxa"/>
            <w:vMerge w:val="restart"/>
            <w:vAlign w:val="center"/>
          </w:tcPr>
          <w:p>
            <w:pPr>
              <w:widowControl/>
              <w:spacing w:line="576" w:lineRule="exact"/>
              <w:jc w:val="center"/>
              <w:textAlignment w:val="bottom"/>
              <w:rPr>
                <w:rFonts w:hint="eastAsia" w:ascii="仿宋" w:hAnsi="仿宋" w:eastAsia="仿宋" w:cs="仿宋"/>
                <w:sz w:val="24"/>
                <w:lang w:val="zh-CN"/>
              </w:rPr>
            </w:pPr>
            <w:r>
              <w:rPr>
                <w:rFonts w:hint="eastAsia" w:ascii="仿宋" w:hAnsi="仿宋" w:eastAsia="仿宋" w:cs="仿宋"/>
                <w:kern w:val="0"/>
                <w:sz w:val="24"/>
              </w:rPr>
              <w:t>完成指标</w:t>
            </w:r>
          </w:p>
        </w:tc>
        <w:tc>
          <w:tcPr>
            <w:tcW w:w="1875" w:type="dxa"/>
            <w:vAlign w:val="center"/>
          </w:tcPr>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kern w:val="0"/>
                <w:sz w:val="24"/>
              </w:rPr>
              <w:t>数量指标</w:t>
            </w:r>
          </w:p>
        </w:tc>
        <w:tc>
          <w:tcPr>
            <w:tcW w:w="1586" w:type="dxa"/>
            <w:vAlign w:val="center"/>
          </w:tcPr>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szCs w:val="21"/>
              </w:rPr>
              <w:t>帮扶户数</w:t>
            </w:r>
          </w:p>
        </w:tc>
        <w:tc>
          <w:tcPr>
            <w:tcW w:w="1993" w:type="dxa"/>
            <w:vAlign w:val="center"/>
          </w:tcPr>
          <w:p>
            <w:pPr>
              <w:adjustRightInd w:val="0"/>
              <w:snapToGrid w:val="0"/>
              <w:spacing w:line="576" w:lineRule="exact"/>
              <w:jc w:val="center"/>
              <w:rPr>
                <w:rFonts w:hint="eastAsia" w:ascii="仿宋" w:hAnsi="仿宋" w:eastAsia="仿宋" w:cs="仿宋"/>
                <w:sz w:val="24"/>
              </w:rPr>
            </w:pPr>
            <w:r>
              <w:rPr>
                <w:rFonts w:hint="eastAsia" w:ascii="仿宋" w:hAnsi="仿宋" w:eastAsia="仿宋" w:cs="仿宋"/>
                <w:sz w:val="24"/>
              </w:rPr>
              <w:t>20户</w:t>
            </w:r>
          </w:p>
        </w:tc>
        <w:tc>
          <w:tcPr>
            <w:tcW w:w="1378" w:type="dxa"/>
            <w:vAlign w:val="center"/>
          </w:tcPr>
          <w:p>
            <w:pPr>
              <w:adjustRightInd w:val="0"/>
              <w:snapToGrid w:val="0"/>
              <w:spacing w:line="576" w:lineRule="exact"/>
              <w:jc w:val="center"/>
              <w:rPr>
                <w:rFonts w:hint="eastAsia" w:ascii="仿宋" w:hAnsi="仿宋" w:eastAsia="仿宋" w:cs="仿宋"/>
                <w:sz w:val="24"/>
              </w:rPr>
            </w:pPr>
            <w:r>
              <w:rPr>
                <w:rFonts w:hint="eastAsia" w:ascii="仿宋" w:hAnsi="仿宋" w:eastAsia="仿宋" w:cs="仿宋"/>
                <w:sz w:val="24"/>
              </w:rPr>
              <w:t>20户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adjustRightInd w:val="0"/>
              <w:snapToGrid w:val="0"/>
              <w:spacing w:line="576" w:lineRule="exact"/>
              <w:jc w:val="center"/>
              <w:rPr>
                <w:rFonts w:hint="eastAsia" w:ascii="仿宋" w:hAnsi="仿宋" w:eastAsia="仿宋" w:cs="仿宋"/>
                <w:sz w:val="24"/>
                <w:lang w:val="zh-CN"/>
              </w:rPr>
            </w:pPr>
          </w:p>
        </w:tc>
        <w:tc>
          <w:tcPr>
            <w:tcW w:w="1326" w:type="dxa"/>
            <w:vMerge w:val="continue"/>
            <w:vAlign w:val="center"/>
          </w:tcPr>
          <w:p>
            <w:pPr>
              <w:adjustRightInd w:val="0"/>
              <w:snapToGrid w:val="0"/>
              <w:spacing w:line="576" w:lineRule="exact"/>
              <w:jc w:val="center"/>
              <w:rPr>
                <w:rFonts w:hint="eastAsia" w:ascii="仿宋" w:hAnsi="仿宋" w:eastAsia="仿宋" w:cs="仿宋"/>
                <w:sz w:val="24"/>
                <w:lang w:val="zh-CN"/>
              </w:rPr>
            </w:pPr>
          </w:p>
        </w:tc>
        <w:tc>
          <w:tcPr>
            <w:tcW w:w="1875" w:type="dxa"/>
            <w:vAlign w:val="center"/>
          </w:tcPr>
          <w:p>
            <w:pPr>
              <w:widowControl/>
              <w:spacing w:line="576" w:lineRule="exact"/>
              <w:jc w:val="center"/>
              <w:textAlignment w:val="bottom"/>
              <w:rPr>
                <w:rFonts w:hint="eastAsia" w:ascii="仿宋" w:hAnsi="仿宋" w:eastAsia="仿宋" w:cs="仿宋"/>
                <w:sz w:val="24"/>
                <w:lang w:val="zh-CN"/>
              </w:rPr>
            </w:pPr>
            <w:r>
              <w:rPr>
                <w:rFonts w:hint="eastAsia" w:ascii="仿宋" w:hAnsi="仿宋" w:eastAsia="仿宋" w:cs="仿宋"/>
                <w:kern w:val="0"/>
                <w:sz w:val="24"/>
              </w:rPr>
              <w:t>质量指标</w:t>
            </w:r>
          </w:p>
        </w:tc>
        <w:tc>
          <w:tcPr>
            <w:tcW w:w="1586" w:type="dxa"/>
            <w:vAlign w:val="center"/>
          </w:tcPr>
          <w:p>
            <w:pPr>
              <w:widowControl/>
              <w:spacing w:line="576" w:lineRule="exact"/>
              <w:jc w:val="center"/>
              <w:textAlignment w:val="bottom"/>
              <w:rPr>
                <w:rFonts w:hint="eastAsia" w:ascii="仿宋" w:hAnsi="仿宋" w:eastAsia="仿宋" w:cs="仿宋"/>
                <w:sz w:val="24"/>
                <w:lang w:val="zh-CN"/>
              </w:rPr>
            </w:pPr>
            <w:r>
              <w:rPr>
                <w:rFonts w:hint="eastAsia" w:ascii="仿宋" w:hAnsi="仿宋" w:eastAsia="仿宋" w:cs="仿宋"/>
                <w:szCs w:val="21"/>
              </w:rPr>
              <w:t>帮扶成效</w:t>
            </w:r>
          </w:p>
        </w:tc>
        <w:tc>
          <w:tcPr>
            <w:tcW w:w="1993" w:type="dxa"/>
            <w:vAlign w:val="center"/>
          </w:tcPr>
          <w:p>
            <w:pPr>
              <w:widowControl/>
              <w:spacing w:line="576" w:lineRule="exact"/>
              <w:jc w:val="center"/>
              <w:textAlignment w:val="bottom"/>
              <w:rPr>
                <w:rFonts w:hint="eastAsia" w:ascii="仿宋" w:hAnsi="仿宋" w:eastAsia="仿宋" w:cs="仿宋"/>
                <w:sz w:val="24"/>
                <w:lang w:val="zh-CN"/>
              </w:rPr>
            </w:pPr>
            <w:r>
              <w:rPr>
                <w:rFonts w:hint="eastAsia" w:ascii="仿宋" w:hAnsi="仿宋" w:eastAsia="仿宋" w:cs="仿宋"/>
                <w:szCs w:val="21"/>
              </w:rPr>
              <w:t>贫困户满意</w:t>
            </w:r>
          </w:p>
        </w:tc>
        <w:tc>
          <w:tcPr>
            <w:tcW w:w="1378" w:type="dxa"/>
            <w:vAlign w:val="center"/>
          </w:tcPr>
          <w:p>
            <w:pPr>
              <w:widowControl/>
              <w:spacing w:line="576" w:lineRule="exact"/>
              <w:jc w:val="center"/>
              <w:textAlignment w:val="bottom"/>
              <w:rPr>
                <w:rFonts w:hint="eastAsia" w:ascii="仿宋" w:hAnsi="仿宋" w:eastAsia="仿宋" w:cs="仿宋"/>
                <w:sz w:val="24"/>
                <w:lang w:val="zh-CN"/>
              </w:rPr>
            </w:pPr>
            <w:r>
              <w:rPr>
                <w:rFonts w:hint="eastAsia" w:ascii="仿宋" w:hAnsi="仿宋" w:eastAsia="仿宋" w:cs="仿宋"/>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adjustRightInd w:val="0"/>
              <w:snapToGrid w:val="0"/>
              <w:spacing w:line="576" w:lineRule="exact"/>
              <w:jc w:val="center"/>
              <w:rPr>
                <w:rFonts w:hint="eastAsia" w:ascii="仿宋" w:hAnsi="仿宋" w:eastAsia="仿宋" w:cs="仿宋"/>
                <w:sz w:val="24"/>
                <w:lang w:val="zh-CN"/>
              </w:rPr>
            </w:pPr>
          </w:p>
        </w:tc>
        <w:tc>
          <w:tcPr>
            <w:tcW w:w="1326" w:type="dxa"/>
            <w:vMerge w:val="continue"/>
            <w:vAlign w:val="center"/>
          </w:tcPr>
          <w:p>
            <w:pPr>
              <w:adjustRightInd w:val="0"/>
              <w:snapToGrid w:val="0"/>
              <w:spacing w:line="576" w:lineRule="exact"/>
              <w:jc w:val="center"/>
              <w:rPr>
                <w:rFonts w:hint="eastAsia" w:ascii="仿宋" w:hAnsi="仿宋" w:eastAsia="仿宋" w:cs="仿宋"/>
                <w:sz w:val="24"/>
                <w:lang w:val="zh-CN"/>
              </w:rPr>
            </w:pPr>
          </w:p>
        </w:tc>
        <w:tc>
          <w:tcPr>
            <w:tcW w:w="1875" w:type="dxa"/>
            <w:vAlign w:val="center"/>
          </w:tcPr>
          <w:p>
            <w:pPr>
              <w:widowControl/>
              <w:spacing w:line="576" w:lineRule="exact"/>
              <w:jc w:val="center"/>
              <w:textAlignment w:val="bottom"/>
              <w:rPr>
                <w:rFonts w:hint="eastAsia" w:ascii="仿宋" w:hAnsi="仿宋" w:eastAsia="仿宋" w:cs="仿宋"/>
                <w:sz w:val="24"/>
                <w:lang w:val="zh-CN"/>
              </w:rPr>
            </w:pPr>
            <w:r>
              <w:rPr>
                <w:rFonts w:hint="eastAsia" w:ascii="仿宋" w:hAnsi="仿宋" w:eastAsia="仿宋" w:cs="仿宋"/>
                <w:kern w:val="0"/>
                <w:sz w:val="24"/>
              </w:rPr>
              <w:t>时效指标</w:t>
            </w:r>
          </w:p>
        </w:tc>
        <w:tc>
          <w:tcPr>
            <w:tcW w:w="1586" w:type="dxa"/>
            <w:vAlign w:val="center"/>
          </w:tcPr>
          <w:p>
            <w:pPr>
              <w:widowControl/>
              <w:spacing w:line="576" w:lineRule="exact"/>
              <w:jc w:val="center"/>
              <w:textAlignment w:val="bottom"/>
              <w:rPr>
                <w:rFonts w:hint="eastAsia" w:ascii="仿宋" w:hAnsi="仿宋" w:eastAsia="仿宋" w:cs="仿宋"/>
                <w:sz w:val="24"/>
                <w:lang w:val="zh-CN"/>
              </w:rPr>
            </w:pPr>
            <w:r>
              <w:rPr>
                <w:rFonts w:hint="eastAsia" w:ascii="仿宋" w:hAnsi="仿宋" w:eastAsia="仿宋" w:cs="仿宋"/>
                <w:szCs w:val="21"/>
              </w:rPr>
              <w:t>第一书记驻村时间</w:t>
            </w:r>
          </w:p>
        </w:tc>
        <w:tc>
          <w:tcPr>
            <w:tcW w:w="1993" w:type="dxa"/>
            <w:vAlign w:val="center"/>
          </w:tcPr>
          <w:p>
            <w:pPr>
              <w:widowControl/>
              <w:spacing w:line="576" w:lineRule="exact"/>
              <w:jc w:val="center"/>
              <w:textAlignment w:val="bottom"/>
              <w:rPr>
                <w:rFonts w:hint="eastAsia" w:ascii="仿宋" w:hAnsi="仿宋" w:eastAsia="仿宋" w:cs="仿宋"/>
                <w:sz w:val="24"/>
                <w:lang w:val="zh-CN"/>
              </w:rPr>
            </w:pPr>
            <w:r>
              <w:rPr>
                <w:rFonts w:hint="eastAsia" w:ascii="仿宋" w:hAnsi="仿宋" w:eastAsia="仿宋" w:cs="仿宋"/>
                <w:szCs w:val="21"/>
              </w:rPr>
              <w:t>每月不少于15天</w:t>
            </w:r>
          </w:p>
        </w:tc>
        <w:tc>
          <w:tcPr>
            <w:tcW w:w="1378" w:type="dxa"/>
            <w:vAlign w:val="center"/>
          </w:tcPr>
          <w:p>
            <w:pPr>
              <w:widowControl/>
              <w:spacing w:line="576" w:lineRule="exact"/>
              <w:jc w:val="center"/>
              <w:textAlignment w:val="bottom"/>
              <w:rPr>
                <w:rFonts w:hint="eastAsia" w:ascii="仿宋" w:hAnsi="仿宋" w:eastAsia="仿宋" w:cs="仿宋"/>
                <w:sz w:val="24"/>
              </w:rPr>
            </w:pPr>
            <w:r>
              <w:rPr>
                <w:rFonts w:hint="eastAsia" w:ascii="仿宋" w:hAnsi="仿宋" w:eastAsia="仿宋" w:cs="仿宋"/>
                <w:sz w:val="24"/>
              </w:rPr>
              <w:t>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adjustRightInd w:val="0"/>
              <w:snapToGrid w:val="0"/>
              <w:spacing w:line="576" w:lineRule="exact"/>
              <w:jc w:val="center"/>
              <w:rPr>
                <w:rFonts w:hint="eastAsia" w:ascii="仿宋" w:hAnsi="仿宋" w:eastAsia="仿宋" w:cs="仿宋"/>
                <w:sz w:val="24"/>
                <w:lang w:val="zh-CN"/>
              </w:rPr>
            </w:pPr>
          </w:p>
        </w:tc>
        <w:tc>
          <w:tcPr>
            <w:tcW w:w="1326" w:type="dxa"/>
            <w:vMerge w:val="continue"/>
            <w:vAlign w:val="center"/>
          </w:tcPr>
          <w:p>
            <w:pPr>
              <w:adjustRightInd w:val="0"/>
              <w:snapToGrid w:val="0"/>
              <w:spacing w:line="576" w:lineRule="exact"/>
              <w:jc w:val="center"/>
              <w:rPr>
                <w:rFonts w:hint="eastAsia" w:ascii="仿宋" w:hAnsi="仿宋" w:eastAsia="仿宋" w:cs="仿宋"/>
                <w:sz w:val="24"/>
                <w:lang w:val="zh-CN"/>
              </w:rPr>
            </w:pPr>
          </w:p>
        </w:tc>
        <w:tc>
          <w:tcPr>
            <w:tcW w:w="1875" w:type="dxa"/>
            <w:vAlign w:val="center"/>
          </w:tcPr>
          <w:p>
            <w:pPr>
              <w:widowControl/>
              <w:spacing w:line="576" w:lineRule="exact"/>
              <w:jc w:val="center"/>
              <w:textAlignment w:val="bottom"/>
              <w:rPr>
                <w:rFonts w:hint="eastAsia" w:ascii="仿宋" w:hAnsi="仿宋" w:eastAsia="仿宋" w:cs="仿宋"/>
                <w:sz w:val="24"/>
                <w:lang w:val="zh-CN"/>
              </w:rPr>
            </w:pPr>
            <w:r>
              <w:rPr>
                <w:rFonts w:hint="eastAsia" w:ascii="仿宋" w:hAnsi="仿宋" w:eastAsia="仿宋" w:cs="仿宋"/>
                <w:kern w:val="0"/>
                <w:sz w:val="24"/>
              </w:rPr>
              <w:t>成本指标</w:t>
            </w:r>
          </w:p>
        </w:tc>
        <w:tc>
          <w:tcPr>
            <w:tcW w:w="1586" w:type="dxa"/>
            <w:vAlign w:val="center"/>
          </w:tcPr>
          <w:p>
            <w:pPr>
              <w:widowControl/>
              <w:spacing w:line="576" w:lineRule="exact"/>
              <w:jc w:val="center"/>
              <w:textAlignment w:val="bottom"/>
              <w:rPr>
                <w:rFonts w:hint="eastAsia" w:ascii="仿宋" w:hAnsi="仿宋" w:eastAsia="仿宋" w:cs="仿宋"/>
                <w:sz w:val="24"/>
                <w:lang w:val="zh-CN"/>
              </w:rPr>
            </w:pPr>
            <w:r>
              <w:rPr>
                <w:rFonts w:hint="eastAsia" w:ascii="仿宋" w:hAnsi="仿宋" w:eastAsia="仿宋" w:cs="仿宋"/>
                <w:szCs w:val="21"/>
              </w:rPr>
              <w:t>工作经费</w:t>
            </w:r>
          </w:p>
        </w:tc>
        <w:tc>
          <w:tcPr>
            <w:tcW w:w="1993" w:type="dxa"/>
            <w:vAlign w:val="center"/>
          </w:tcPr>
          <w:p>
            <w:pPr>
              <w:widowControl/>
              <w:spacing w:line="576" w:lineRule="exact"/>
              <w:jc w:val="center"/>
              <w:textAlignment w:val="bottom"/>
              <w:rPr>
                <w:rFonts w:hint="eastAsia" w:ascii="仿宋" w:hAnsi="仿宋" w:eastAsia="仿宋" w:cs="仿宋"/>
                <w:sz w:val="24"/>
                <w:lang w:val="zh-CN"/>
              </w:rPr>
            </w:pPr>
            <w:r>
              <w:rPr>
                <w:rFonts w:hint="eastAsia" w:ascii="仿宋" w:hAnsi="仿宋" w:eastAsia="仿宋" w:cs="仿宋"/>
                <w:szCs w:val="21"/>
              </w:rPr>
              <w:t>工作经费控制在2500元</w:t>
            </w:r>
          </w:p>
        </w:tc>
        <w:tc>
          <w:tcPr>
            <w:tcW w:w="1378" w:type="dxa"/>
            <w:vAlign w:val="center"/>
          </w:tcPr>
          <w:p>
            <w:pPr>
              <w:widowControl/>
              <w:spacing w:line="576" w:lineRule="exact"/>
              <w:jc w:val="center"/>
              <w:textAlignment w:val="bottom"/>
              <w:rPr>
                <w:rFonts w:hint="eastAsia" w:ascii="仿宋" w:hAnsi="仿宋" w:eastAsia="仿宋" w:cs="仿宋"/>
                <w:sz w:val="24"/>
              </w:rPr>
            </w:pPr>
            <w:r>
              <w:rPr>
                <w:rFonts w:hint="eastAsia" w:ascii="仿宋" w:hAnsi="仿宋" w:eastAsia="仿宋" w:cs="仿宋"/>
                <w:sz w:val="24"/>
              </w:rPr>
              <w:t>2500元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adjustRightInd w:val="0"/>
              <w:snapToGrid w:val="0"/>
              <w:spacing w:line="576" w:lineRule="exact"/>
              <w:jc w:val="center"/>
              <w:rPr>
                <w:rFonts w:hint="eastAsia" w:ascii="仿宋" w:hAnsi="仿宋" w:eastAsia="仿宋" w:cs="仿宋"/>
                <w:sz w:val="24"/>
                <w:lang w:val="zh-CN"/>
              </w:rPr>
            </w:pPr>
          </w:p>
        </w:tc>
        <w:tc>
          <w:tcPr>
            <w:tcW w:w="1326" w:type="dxa"/>
            <w:vMerge w:val="restart"/>
            <w:vAlign w:val="center"/>
          </w:tcPr>
          <w:p>
            <w:pPr>
              <w:adjustRightInd w:val="0"/>
              <w:snapToGrid w:val="0"/>
              <w:spacing w:line="576" w:lineRule="exact"/>
              <w:jc w:val="center"/>
              <w:rPr>
                <w:rFonts w:hint="eastAsia" w:ascii="仿宋" w:hAnsi="仿宋" w:eastAsia="仿宋" w:cs="仿宋"/>
                <w:sz w:val="24"/>
                <w:lang w:val="zh-CN"/>
              </w:rPr>
            </w:pPr>
            <w:r>
              <w:rPr>
                <w:rFonts w:hint="eastAsia" w:ascii="仿宋" w:hAnsi="仿宋" w:eastAsia="仿宋" w:cs="仿宋"/>
                <w:kern w:val="0"/>
                <w:sz w:val="24"/>
              </w:rPr>
              <w:t>效益</w:t>
            </w:r>
            <w:r>
              <w:rPr>
                <w:rFonts w:hint="eastAsia" w:ascii="仿宋" w:hAnsi="仿宋" w:eastAsia="仿宋" w:cs="仿宋"/>
                <w:kern w:val="0"/>
                <w:sz w:val="24"/>
              </w:rPr>
              <w:br w:type="textWrapping"/>
            </w:r>
            <w:r>
              <w:rPr>
                <w:rFonts w:hint="eastAsia" w:ascii="仿宋" w:hAnsi="仿宋" w:eastAsia="仿宋" w:cs="仿宋"/>
                <w:kern w:val="0"/>
                <w:sz w:val="24"/>
              </w:rPr>
              <w:t>指标</w:t>
            </w:r>
          </w:p>
        </w:tc>
        <w:tc>
          <w:tcPr>
            <w:tcW w:w="1875" w:type="dxa"/>
            <w:vAlign w:val="center"/>
          </w:tcPr>
          <w:p>
            <w:pPr>
              <w:widowControl/>
              <w:spacing w:line="576" w:lineRule="exact"/>
              <w:jc w:val="center"/>
              <w:textAlignment w:val="bottom"/>
              <w:rPr>
                <w:rFonts w:hint="eastAsia" w:ascii="仿宋" w:hAnsi="仿宋" w:eastAsia="仿宋" w:cs="仿宋"/>
                <w:sz w:val="24"/>
                <w:lang w:val="zh-CN"/>
              </w:rPr>
            </w:pPr>
            <w:r>
              <w:rPr>
                <w:rFonts w:hint="eastAsia" w:ascii="仿宋" w:hAnsi="仿宋" w:eastAsia="仿宋" w:cs="仿宋"/>
                <w:kern w:val="0"/>
                <w:sz w:val="24"/>
              </w:rPr>
              <w:t>经济效益指标</w:t>
            </w:r>
          </w:p>
        </w:tc>
        <w:tc>
          <w:tcPr>
            <w:tcW w:w="1586" w:type="dxa"/>
            <w:vAlign w:val="center"/>
          </w:tcPr>
          <w:p>
            <w:pPr>
              <w:widowControl/>
              <w:spacing w:line="576" w:lineRule="exact"/>
              <w:jc w:val="center"/>
              <w:textAlignment w:val="bottom"/>
              <w:rPr>
                <w:rFonts w:hint="eastAsia" w:ascii="仿宋" w:hAnsi="仿宋" w:eastAsia="仿宋" w:cs="仿宋"/>
                <w:sz w:val="24"/>
                <w:lang w:val="zh-CN"/>
              </w:rPr>
            </w:pPr>
            <w:r>
              <w:rPr>
                <w:rFonts w:hint="eastAsia" w:ascii="仿宋" w:hAnsi="仿宋" w:eastAsia="仿宋" w:cs="仿宋"/>
                <w:szCs w:val="21"/>
              </w:rPr>
              <w:t>贫困户的收入</w:t>
            </w:r>
          </w:p>
        </w:tc>
        <w:tc>
          <w:tcPr>
            <w:tcW w:w="1993" w:type="dxa"/>
            <w:vAlign w:val="center"/>
          </w:tcPr>
          <w:p>
            <w:pPr>
              <w:widowControl/>
              <w:spacing w:line="576" w:lineRule="exact"/>
              <w:jc w:val="center"/>
              <w:textAlignment w:val="bottom"/>
              <w:rPr>
                <w:rFonts w:hint="eastAsia" w:ascii="仿宋" w:hAnsi="仿宋" w:eastAsia="仿宋" w:cs="仿宋"/>
                <w:sz w:val="24"/>
                <w:lang w:val="zh-CN"/>
              </w:rPr>
            </w:pPr>
            <w:r>
              <w:rPr>
                <w:rFonts w:hint="eastAsia" w:ascii="仿宋" w:hAnsi="仿宋" w:eastAsia="仿宋" w:cs="仿宋"/>
                <w:szCs w:val="21"/>
              </w:rPr>
              <w:t>稳步提高</w:t>
            </w:r>
          </w:p>
        </w:tc>
        <w:tc>
          <w:tcPr>
            <w:tcW w:w="1378" w:type="dxa"/>
            <w:vAlign w:val="center"/>
          </w:tcPr>
          <w:p>
            <w:pPr>
              <w:widowControl/>
              <w:spacing w:line="576" w:lineRule="exact"/>
              <w:jc w:val="center"/>
              <w:textAlignment w:val="bottom"/>
              <w:rPr>
                <w:rFonts w:hint="eastAsia" w:ascii="仿宋" w:hAnsi="仿宋" w:eastAsia="仿宋" w:cs="仿宋"/>
                <w:sz w:val="24"/>
                <w:lang w:val="zh-CN"/>
              </w:rPr>
            </w:pPr>
            <w:r>
              <w:rPr>
                <w:rFonts w:hint="eastAsia" w:ascii="仿宋" w:hAnsi="仿宋" w:eastAsia="仿宋" w:cs="仿宋"/>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adjustRightInd w:val="0"/>
              <w:snapToGrid w:val="0"/>
              <w:spacing w:line="576" w:lineRule="exact"/>
              <w:jc w:val="center"/>
              <w:rPr>
                <w:rFonts w:hint="eastAsia" w:ascii="仿宋" w:hAnsi="仿宋" w:eastAsia="仿宋" w:cs="仿宋"/>
                <w:sz w:val="24"/>
                <w:lang w:val="zh-CN"/>
              </w:rPr>
            </w:pPr>
          </w:p>
        </w:tc>
        <w:tc>
          <w:tcPr>
            <w:tcW w:w="1326" w:type="dxa"/>
            <w:vMerge w:val="continue"/>
            <w:vAlign w:val="center"/>
          </w:tcPr>
          <w:p>
            <w:pPr>
              <w:adjustRightInd w:val="0"/>
              <w:snapToGrid w:val="0"/>
              <w:spacing w:line="576" w:lineRule="exact"/>
              <w:jc w:val="center"/>
              <w:rPr>
                <w:rFonts w:hint="eastAsia" w:ascii="仿宋" w:hAnsi="仿宋" w:eastAsia="仿宋" w:cs="仿宋"/>
                <w:sz w:val="24"/>
                <w:lang w:val="zh-CN"/>
              </w:rPr>
            </w:pPr>
          </w:p>
        </w:tc>
        <w:tc>
          <w:tcPr>
            <w:tcW w:w="1875" w:type="dxa"/>
            <w:vAlign w:val="center"/>
          </w:tcPr>
          <w:p>
            <w:pPr>
              <w:widowControl/>
              <w:spacing w:line="576" w:lineRule="exact"/>
              <w:jc w:val="center"/>
              <w:textAlignment w:val="bottom"/>
              <w:rPr>
                <w:rFonts w:hint="eastAsia" w:ascii="仿宋" w:hAnsi="仿宋" w:eastAsia="仿宋" w:cs="仿宋"/>
                <w:sz w:val="24"/>
              </w:rPr>
            </w:pPr>
            <w:r>
              <w:rPr>
                <w:rFonts w:hint="eastAsia" w:ascii="仿宋" w:hAnsi="仿宋" w:eastAsia="仿宋" w:cs="仿宋"/>
                <w:kern w:val="0"/>
                <w:sz w:val="24"/>
              </w:rPr>
              <w:t>社会效益指标</w:t>
            </w:r>
          </w:p>
        </w:tc>
        <w:tc>
          <w:tcPr>
            <w:tcW w:w="1586" w:type="dxa"/>
            <w:vAlign w:val="center"/>
          </w:tcPr>
          <w:p>
            <w:pPr>
              <w:widowControl/>
              <w:spacing w:line="576" w:lineRule="exact"/>
              <w:jc w:val="center"/>
              <w:textAlignment w:val="bottom"/>
              <w:rPr>
                <w:rFonts w:hint="eastAsia" w:ascii="仿宋" w:hAnsi="仿宋" w:eastAsia="仿宋" w:cs="仿宋"/>
                <w:sz w:val="24"/>
              </w:rPr>
            </w:pPr>
            <w:r>
              <w:rPr>
                <w:rFonts w:hint="eastAsia" w:ascii="仿宋" w:hAnsi="仿宋" w:eastAsia="仿宋" w:cs="仿宋"/>
                <w:szCs w:val="21"/>
              </w:rPr>
              <w:t>贫困户减少</w:t>
            </w:r>
          </w:p>
        </w:tc>
        <w:tc>
          <w:tcPr>
            <w:tcW w:w="1993" w:type="dxa"/>
            <w:vAlign w:val="center"/>
          </w:tcPr>
          <w:p>
            <w:pPr>
              <w:widowControl/>
              <w:spacing w:line="576" w:lineRule="exact"/>
              <w:jc w:val="center"/>
              <w:textAlignment w:val="bottom"/>
              <w:rPr>
                <w:rFonts w:hint="eastAsia" w:ascii="仿宋" w:hAnsi="仿宋" w:eastAsia="仿宋" w:cs="仿宋"/>
                <w:sz w:val="24"/>
              </w:rPr>
            </w:pPr>
            <w:r>
              <w:rPr>
                <w:rFonts w:hint="eastAsia" w:ascii="仿宋" w:hAnsi="仿宋" w:eastAsia="仿宋" w:cs="仿宋"/>
                <w:sz w:val="24"/>
              </w:rPr>
              <w:t>20户</w:t>
            </w:r>
          </w:p>
        </w:tc>
        <w:tc>
          <w:tcPr>
            <w:tcW w:w="1378" w:type="dxa"/>
            <w:vAlign w:val="center"/>
          </w:tcPr>
          <w:p>
            <w:pPr>
              <w:widowControl/>
              <w:spacing w:line="576" w:lineRule="exact"/>
              <w:jc w:val="center"/>
              <w:textAlignment w:val="bottom"/>
              <w:rPr>
                <w:rFonts w:hint="eastAsia" w:ascii="仿宋" w:hAnsi="仿宋" w:eastAsia="仿宋" w:cs="仿宋"/>
                <w:sz w:val="24"/>
              </w:rPr>
            </w:pPr>
            <w:r>
              <w:rPr>
                <w:rFonts w:hint="eastAsia" w:ascii="仿宋" w:hAnsi="仿宋" w:eastAsia="仿宋" w:cs="仿宋"/>
                <w:sz w:val="24"/>
              </w:rPr>
              <w:t>20户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adjustRightInd w:val="0"/>
              <w:snapToGrid w:val="0"/>
              <w:spacing w:line="576" w:lineRule="exact"/>
              <w:jc w:val="center"/>
              <w:rPr>
                <w:rFonts w:hint="eastAsia" w:ascii="仿宋" w:hAnsi="仿宋" w:eastAsia="仿宋" w:cs="仿宋"/>
                <w:sz w:val="24"/>
                <w:lang w:val="zh-CN"/>
              </w:rPr>
            </w:pPr>
          </w:p>
        </w:tc>
        <w:tc>
          <w:tcPr>
            <w:tcW w:w="1326" w:type="dxa"/>
            <w:vMerge w:val="continue"/>
            <w:vAlign w:val="center"/>
          </w:tcPr>
          <w:p>
            <w:pPr>
              <w:adjustRightInd w:val="0"/>
              <w:snapToGrid w:val="0"/>
              <w:spacing w:line="576" w:lineRule="exact"/>
              <w:jc w:val="center"/>
              <w:rPr>
                <w:rFonts w:hint="eastAsia" w:ascii="仿宋" w:hAnsi="仿宋" w:eastAsia="仿宋" w:cs="仿宋"/>
                <w:sz w:val="24"/>
                <w:lang w:val="zh-CN"/>
              </w:rPr>
            </w:pPr>
          </w:p>
        </w:tc>
        <w:tc>
          <w:tcPr>
            <w:tcW w:w="1875" w:type="dxa"/>
            <w:vAlign w:val="center"/>
          </w:tcPr>
          <w:p>
            <w:pPr>
              <w:widowControl/>
              <w:spacing w:line="576" w:lineRule="exact"/>
              <w:jc w:val="center"/>
              <w:textAlignment w:val="bottom"/>
              <w:rPr>
                <w:rFonts w:hint="eastAsia" w:ascii="仿宋" w:hAnsi="仿宋" w:eastAsia="仿宋" w:cs="仿宋"/>
                <w:sz w:val="24"/>
              </w:rPr>
            </w:pPr>
            <w:r>
              <w:rPr>
                <w:rFonts w:hint="eastAsia" w:ascii="仿宋" w:hAnsi="仿宋" w:eastAsia="仿宋" w:cs="仿宋"/>
                <w:kern w:val="0"/>
                <w:sz w:val="24"/>
              </w:rPr>
              <w:t>生态效益指标</w:t>
            </w:r>
          </w:p>
        </w:tc>
        <w:tc>
          <w:tcPr>
            <w:tcW w:w="1586" w:type="dxa"/>
            <w:vAlign w:val="center"/>
          </w:tcPr>
          <w:p>
            <w:pPr>
              <w:widowControl/>
              <w:spacing w:line="576" w:lineRule="exact"/>
              <w:jc w:val="center"/>
              <w:textAlignment w:val="bottom"/>
              <w:rPr>
                <w:rFonts w:hint="eastAsia" w:ascii="仿宋" w:hAnsi="仿宋" w:eastAsia="仿宋" w:cs="仿宋"/>
                <w:sz w:val="24"/>
              </w:rPr>
            </w:pPr>
            <w:r>
              <w:rPr>
                <w:rFonts w:hint="eastAsia" w:ascii="仿宋" w:hAnsi="仿宋" w:eastAsia="仿宋" w:cs="仿宋"/>
                <w:szCs w:val="21"/>
              </w:rPr>
              <w:t>贫困户创收途径</w:t>
            </w:r>
          </w:p>
        </w:tc>
        <w:tc>
          <w:tcPr>
            <w:tcW w:w="1993" w:type="dxa"/>
            <w:vAlign w:val="center"/>
          </w:tcPr>
          <w:p>
            <w:pPr>
              <w:widowControl/>
              <w:spacing w:line="576" w:lineRule="exact"/>
              <w:jc w:val="center"/>
              <w:textAlignment w:val="bottom"/>
              <w:rPr>
                <w:rFonts w:hint="eastAsia" w:ascii="仿宋" w:hAnsi="仿宋" w:eastAsia="仿宋" w:cs="仿宋"/>
                <w:sz w:val="24"/>
              </w:rPr>
            </w:pPr>
            <w:r>
              <w:rPr>
                <w:rFonts w:hint="eastAsia" w:ascii="仿宋" w:hAnsi="仿宋" w:eastAsia="仿宋" w:cs="仿宋"/>
                <w:szCs w:val="21"/>
              </w:rPr>
              <w:t>生态、环保</w:t>
            </w:r>
          </w:p>
        </w:tc>
        <w:tc>
          <w:tcPr>
            <w:tcW w:w="1378" w:type="dxa"/>
            <w:vAlign w:val="center"/>
          </w:tcPr>
          <w:p>
            <w:pPr>
              <w:widowControl/>
              <w:spacing w:line="576" w:lineRule="exact"/>
              <w:jc w:val="center"/>
              <w:textAlignment w:val="bottom"/>
              <w:rPr>
                <w:rFonts w:hint="eastAsia" w:ascii="仿宋" w:hAnsi="仿宋" w:eastAsia="仿宋" w:cs="仿宋"/>
                <w:sz w:val="24"/>
              </w:rPr>
            </w:pPr>
            <w:r>
              <w:rPr>
                <w:rFonts w:hint="eastAsia" w:ascii="仿宋" w:hAnsi="仿宋" w:eastAsia="仿宋" w:cs="仿宋"/>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adjustRightInd w:val="0"/>
              <w:snapToGrid w:val="0"/>
              <w:spacing w:line="576" w:lineRule="exact"/>
              <w:jc w:val="center"/>
              <w:rPr>
                <w:rFonts w:hint="eastAsia" w:ascii="仿宋" w:hAnsi="仿宋" w:eastAsia="仿宋" w:cs="仿宋"/>
                <w:sz w:val="24"/>
                <w:lang w:val="zh-CN"/>
              </w:rPr>
            </w:pPr>
          </w:p>
        </w:tc>
        <w:tc>
          <w:tcPr>
            <w:tcW w:w="1326" w:type="dxa"/>
            <w:vMerge w:val="continue"/>
            <w:vAlign w:val="center"/>
          </w:tcPr>
          <w:p>
            <w:pPr>
              <w:adjustRightInd w:val="0"/>
              <w:snapToGrid w:val="0"/>
              <w:spacing w:line="576" w:lineRule="exact"/>
              <w:jc w:val="center"/>
              <w:rPr>
                <w:rFonts w:hint="eastAsia" w:ascii="仿宋" w:hAnsi="仿宋" w:eastAsia="仿宋" w:cs="仿宋"/>
                <w:sz w:val="24"/>
                <w:lang w:val="zh-CN"/>
              </w:rPr>
            </w:pPr>
          </w:p>
        </w:tc>
        <w:tc>
          <w:tcPr>
            <w:tcW w:w="1875" w:type="dxa"/>
            <w:vAlign w:val="center"/>
          </w:tcPr>
          <w:p>
            <w:pPr>
              <w:widowControl/>
              <w:spacing w:line="576" w:lineRule="exact"/>
              <w:jc w:val="center"/>
              <w:textAlignment w:val="bottom"/>
              <w:rPr>
                <w:rFonts w:hint="eastAsia" w:ascii="仿宋" w:hAnsi="仿宋" w:eastAsia="仿宋" w:cs="仿宋"/>
                <w:sz w:val="24"/>
              </w:rPr>
            </w:pPr>
            <w:r>
              <w:rPr>
                <w:rFonts w:hint="eastAsia" w:ascii="仿宋" w:hAnsi="仿宋" w:eastAsia="仿宋" w:cs="仿宋"/>
                <w:kern w:val="0"/>
                <w:sz w:val="24"/>
              </w:rPr>
              <w:t>可持续影响指标</w:t>
            </w:r>
          </w:p>
        </w:tc>
        <w:tc>
          <w:tcPr>
            <w:tcW w:w="1586" w:type="dxa"/>
            <w:vAlign w:val="center"/>
          </w:tcPr>
          <w:p>
            <w:pPr>
              <w:widowControl/>
              <w:spacing w:line="576" w:lineRule="exact"/>
              <w:jc w:val="center"/>
              <w:textAlignment w:val="bottom"/>
              <w:rPr>
                <w:rFonts w:hint="eastAsia" w:ascii="仿宋" w:hAnsi="仿宋" w:eastAsia="仿宋" w:cs="仿宋"/>
                <w:sz w:val="24"/>
              </w:rPr>
            </w:pPr>
            <w:r>
              <w:rPr>
                <w:rFonts w:hint="eastAsia" w:ascii="仿宋" w:hAnsi="仿宋" w:eastAsia="仿宋" w:cs="仿宋"/>
                <w:szCs w:val="21"/>
              </w:rPr>
              <w:t>贫困户创收能力</w:t>
            </w:r>
          </w:p>
        </w:tc>
        <w:tc>
          <w:tcPr>
            <w:tcW w:w="1993" w:type="dxa"/>
            <w:vAlign w:val="center"/>
          </w:tcPr>
          <w:p>
            <w:pPr>
              <w:widowControl/>
              <w:spacing w:line="576" w:lineRule="exact"/>
              <w:jc w:val="center"/>
              <w:textAlignment w:val="bottom"/>
              <w:rPr>
                <w:rFonts w:hint="eastAsia" w:ascii="仿宋" w:hAnsi="仿宋" w:eastAsia="仿宋" w:cs="仿宋"/>
                <w:sz w:val="24"/>
              </w:rPr>
            </w:pPr>
            <w:r>
              <w:rPr>
                <w:rFonts w:hint="eastAsia" w:ascii="仿宋" w:hAnsi="仿宋" w:eastAsia="仿宋" w:cs="仿宋"/>
                <w:szCs w:val="21"/>
              </w:rPr>
              <w:t>不断加强</w:t>
            </w:r>
          </w:p>
        </w:tc>
        <w:tc>
          <w:tcPr>
            <w:tcW w:w="1378" w:type="dxa"/>
            <w:vAlign w:val="center"/>
          </w:tcPr>
          <w:p>
            <w:pPr>
              <w:widowControl/>
              <w:spacing w:line="576" w:lineRule="exact"/>
              <w:jc w:val="center"/>
              <w:textAlignment w:val="bottom"/>
              <w:rPr>
                <w:rFonts w:hint="eastAsia" w:ascii="仿宋" w:hAnsi="仿宋" w:eastAsia="仿宋" w:cs="仿宋"/>
                <w:sz w:val="24"/>
              </w:rPr>
            </w:pPr>
            <w:r>
              <w:rPr>
                <w:rFonts w:hint="eastAsia" w:ascii="仿宋" w:hAnsi="仿宋" w:eastAsia="仿宋" w:cs="仿宋"/>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adjustRightInd w:val="0"/>
              <w:snapToGrid w:val="0"/>
              <w:spacing w:line="576" w:lineRule="exact"/>
              <w:jc w:val="center"/>
              <w:rPr>
                <w:rFonts w:hint="eastAsia" w:ascii="仿宋" w:hAnsi="仿宋" w:eastAsia="仿宋" w:cs="仿宋"/>
                <w:sz w:val="24"/>
                <w:lang w:val="zh-CN"/>
              </w:rPr>
            </w:pPr>
          </w:p>
        </w:tc>
        <w:tc>
          <w:tcPr>
            <w:tcW w:w="1326" w:type="dxa"/>
            <w:vAlign w:val="center"/>
          </w:tcPr>
          <w:p>
            <w:pPr>
              <w:adjustRightInd w:val="0"/>
              <w:snapToGrid w:val="0"/>
              <w:spacing w:line="576" w:lineRule="exact"/>
              <w:rPr>
                <w:rFonts w:hint="eastAsia" w:ascii="仿宋" w:hAnsi="仿宋" w:eastAsia="仿宋" w:cs="仿宋"/>
                <w:sz w:val="24"/>
                <w:lang w:val="zh-CN"/>
              </w:rPr>
            </w:pPr>
            <w:r>
              <w:rPr>
                <w:rFonts w:hint="eastAsia" w:ascii="仿宋" w:hAnsi="仿宋" w:eastAsia="仿宋" w:cs="仿宋"/>
                <w:kern w:val="0"/>
                <w:sz w:val="24"/>
              </w:rPr>
              <w:t>满意度指标</w:t>
            </w:r>
          </w:p>
        </w:tc>
        <w:tc>
          <w:tcPr>
            <w:tcW w:w="1875" w:type="dxa"/>
            <w:vAlign w:val="center"/>
          </w:tcPr>
          <w:p>
            <w:pPr>
              <w:widowControl/>
              <w:spacing w:line="576" w:lineRule="exact"/>
              <w:jc w:val="center"/>
              <w:textAlignment w:val="bottom"/>
              <w:rPr>
                <w:rFonts w:hint="eastAsia" w:ascii="仿宋" w:hAnsi="仿宋" w:eastAsia="仿宋" w:cs="仿宋"/>
                <w:sz w:val="24"/>
              </w:rPr>
            </w:pPr>
            <w:r>
              <w:rPr>
                <w:rFonts w:hint="eastAsia" w:ascii="仿宋" w:hAnsi="仿宋" w:eastAsia="仿宋" w:cs="仿宋"/>
                <w:kern w:val="0"/>
                <w:sz w:val="24"/>
              </w:rPr>
              <w:t>满意度指标</w:t>
            </w:r>
          </w:p>
        </w:tc>
        <w:tc>
          <w:tcPr>
            <w:tcW w:w="1586" w:type="dxa"/>
            <w:vAlign w:val="center"/>
          </w:tcPr>
          <w:p>
            <w:pPr>
              <w:widowControl/>
              <w:spacing w:line="576" w:lineRule="exact"/>
              <w:jc w:val="center"/>
              <w:textAlignment w:val="bottom"/>
              <w:rPr>
                <w:rFonts w:hint="eastAsia" w:ascii="仿宋" w:hAnsi="仿宋" w:eastAsia="仿宋" w:cs="仿宋"/>
                <w:sz w:val="24"/>
              </w:rPr>
            </w:pPr>
            <w:r>
              <w:rPr>
                <w:rFonts w:hint="eastAsia" w:ascii="仿宋" w:hAnsi="仿宋" w:eastAsia="仿宋" w:cs="仿宋"/>
                <w:szCs w:val="21"/>
              </w:rPr>
              <w:t>社会满意度</w:t>
            </w:r>
          </w:p>
        </w:tc>
        <w:tc>
          <w:tcPr>
            <w:tcW w:w="1993" w:type="dxa"/>
            <w:vAlign w:val="center"/>
          </w:tcPr>
          <w:p>
            <w:pPr>
              <w:widowControl/>
              <w:spacing w:line="576" w:lineRule="exact"/>
              <w:jc w:val="center"/>
              <w:textAlignment w:val="bottom"/>
              <w:rPr>
                <w:rFonts w:hint="eastAsia" w:ascii="仿宋" w:hAnsi="仿宋" w:eastAsia="仿宋" w:cs="仿宋"/>
                <w:sz w:val="24"/>
              </w:rPr>
            </w:pPr>
            <w:r>
              <w:rPr>
                <w:rFonts w:hint="eastAsia" w:ascii="仿宋" w:hAnsi="仿宋" w:eastAsia="仿宋" w:cs="仿宋"/>
                <w:sz w:val="24"/>
              </w:rPr>
              <w:t>达80%</w:t>
            </w:r>
          </w:p>
        </w:tc>
        <w:tc>
          <w:tcPr>
            <w:tcW w:w="1378" w:type="dxa"/>
            <w:vAlign w:val="center"/>
          </w:tcPr>
          <w:p>
            <w:pPr>
              <w:widowControl/>
              <w:spacing w:line="576" w:lineRule="exact"/>
              <w:jc w:val="center"/>
              <w:textAlignment w:val="bottom"/>
              <w:rPr>
                <w:rFonts w:hint="eastAsia" w:ascii="仿宋" w:hAnsi="仿宋" w:eastAsia="仿宋" w:cs="仿宋"/>
                <w:sz w:val="24"/>
              </w:rPr>
            </w:pPr>
            <w:r>
              <w:rPr>
                <w:rFonts w:hint="eastAsia" w:ascii="仿宋" w:hAnsi="仿宋" w:eastAsia="仿宋" w:cs="仿宋"/>
                <w:sz w:val="24"/>
              </w:rPr>
              <w:t>82%</w:t>
            </w:r>
          </w:p>
        </w:tc>
      </w:tr>
    </w:tbl>
    <w:p>
      <w:pPr>
        <w:rPr>
          <w:rFonts w:ascii="黑体" w:hAnsi="黑体" w:eastAsia="黑体"/>
          <w:sz w:val="44"/>
          <w:szCs w:val="44"/>
        </w:rPr>
      </w:pPr>
      <w:r>
        <w:rPr>
          <w:rFonts w:hint="eastAsia" w:ascii="黑体" w:hAnsi="黑体" w:eastAsia="黑体"/>
          <w:sz w:val="44"/>
          <w:szCs w:val="44"/>
        </w:rPr>
        <w:br w:type="page"/>
      </w:r>
    </w:p>
    <w:p>
      <w:pPr>
        <w:pStyle w:val="2"/>
        <w:spacing w:before="93"/>
        <w:jc w:val="center"/>
        <w:rPr>
          <w:rStyle w:val="26"/>
          <w:rFonts w:ascii="黑体" w:hAnsi="黑体" w:eastAsia="黑体"/>
          <w:b w:val="0"/>
        </w:rPr>
      </w:pPr>
      <w:r>
        <w:rPr>
          <w:rFonts w:hint="eastAsia" w:ascii="黑体" w:hAnsi="黑体" w:eastAsia="黑体"/>
          <w:sz w:val="44"/>
          <w:szCs w:val="44"/>
        </w:rPr>
        <w:t>第</w:t>
      </w:r>
      <w:r>
        <w:rPr>
          <w:rStyle w:val="26"/>
          <w:rFonts w:hint="eastAsia" w:ascii="黑体" w:hAnsi="黑体" w:eastAsia="黑体"/>
          <w:b w:val="0"/>
        </w:rPr>
        <w:t>五部分 附表</w:t>
      </w:r>
    </w:p>
    <w:p>
      <w:pPr>
        <w:pStyle w:val="4"/>
        <w:spacing w:before="0" w:after="0" w:line="576" w:lineRule="exact"/>
        <w:ind w:firstLine="640" w:firstLineChars="200"/>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p>
    <w:p>
      <w:pPr>
        <w:pStyle w:val="4"/>
        <w:spacing w:before="0" w:after="0" w:line="576" w:lineRule="exact"/>
        <w:ind w:firstLine="640" w:firstLineChars="200"/>
        <w:rPr>
          <w:rFonts w:ascii="仿宋" w:hAnsi="仿宋" w:eastAsia="仿宋"/>
        </w:rPr>
      </w:pPr>
      <w:bookmarkStart w:id="41" w:name="_Toc15396620"/>
      <w:r>
        <w:rPr>
          <w:rFonts w:hint="eastAsia" w:ascii="仿宋" w:hAnsi="仿宋" w:eastAsia="仿宋"/>
          <w:b w:val="0"/>
        </w:rPr>
        <w:t>二、收</w:t>
      </w:r>
      <w:r>
        <w:rPr>
          <w:rStyle w:val="27"/>
          <w:rFonts w:hint="eastAsia" w:ascii="仿宋" w:hAnsi="仿宋" w:eastAsia="仿宋"/>
          <w:b w:val="0"/>
          <w:bCs w:val="0"/>
        </w:rPr>
        <w:t>入决算表</w:t>
      </w:r>
      <w:bookmarkEnd w:id="41"/>
    </w:p>
    <w:p>
      <w:pPr>
        <w:pStyle w:val="4"/>
        <w:spacing w:before="0" w:after="0" w:line="576" w:lineRule="exact"/>
        <w:ind w:firstLine="640" w:firstLineChars="200"/>
        <w:rPr>
          <w:rFonts w:ascii="仿宋" w:hAnsi="仿宋" w:eastAsia="仿宋"/>
        </w:rPr>
      </w:pPr>
      <w:bookmarkStart w:id="42"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42"/>
    </w:p>
    <w:p>
      <w:pPr>
        <w:pStyle w:val="4"/>
        <w:spacing w:before="0" w:after="0" w:line="576" w:lineRule="exact"/>
        <w:ind w:firstLine="640" w:firstLineChars="200"/>
        <w:rPr>
          <w:rFonts w:ascii="仿宋" w:hAnsi="仿宋" w:eastAsia="仿宋"/>
          <w:b w:val="0"/>
        </w:rPr>
      </w:pPr>
      <w:bookmarkStart w:id="43"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43"/>
    </w:p>
    <w:p>
      <w:pPr>
        <w:pStyle w:val="4"/>
        <w:spacing w:before="0" w:after="0" w:line="576" w:lineRule="exact"/>
        <w:ind w:firstLine="640" w:firstLineChars="200"/>
        <w:rPr>
          <w:rStyle w:val="27"/>
          <w:rFonts w:ascii="仿宋" w:hAnsi="仿宋" w:eastAsia="仿宋"/>
          <w:b w:val="0"/>
          <w:bCs w:val="0"/>
        </w:rPr>
      </w:pPr>
      <w:bookmarkStart w:id="44"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44"/>
      <w:bookmarkStart w:id="45" w:name="_Toc15396624"/>
    </w:p>
    <w:p>
      <w:pPr>
        <w:pStyle w:val="4"/>
        <w:spacing w:before="0" w:after="0" w:line="576" w:lineRule="exact"/>
        <w:ind w:firstLine="640" w:firstLineChars="200"/>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45"/>
    </w:p>
    <w:p>
      <w:pPr>
        <w:pStyle w:val="4"/>
        <w:spacing w:before="0" w:after="0" w:line="576" w:lineRule="exact"/>
        <w:ind w:firstLine="640" w:firstLineChars="200"/>
        <w:rPr>
          <w:rFonts w:ascii="仿宋" w:hAnsi="仿宋" w:eastAsia="仿宋"/>
        </w:rPr>
      </w:pPr>
      <w:bookmarkStart w:id="46"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46"/>
    </w:p>
    <w:p>
      <w:pPr>
        <w:pStyle w:val="4"/>
        <w:spacing w:before="0" w:after="0" w:line="576" w:lineRule="exact"/>
        <w:ind w:firstLine="640" w:firstLineChars="200"/>
        <w:rPr>
          <w:rFonts w:ascii="仿宋" w:hAnsi="仿宋" w:eastAsia="仿宋"/>
        </w:rPr>
      </w:pPr>
      <w:bookmarkStart w:id="47"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47"/>
    </w:p>
    <w:p>
      <w:pPr>
        <w:pStyle w:val="4"/>
        <w:spacing w:before="0" w:after="0" w:line="576" w:lineRule="exact"/>
        <w:ind w:firstLine="640" w:firstLineChars="200"/>
        <w:rPr>
          <w:rFonts w:ascii="仿宋" w:hAnsi="仿宋" w:eastAsia="仿宋"/>
        </w:rPr>
      </w:pPr>
      <w:bookmarkStart w:id="48"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48"/>
    </w:p>
    <w:p>
      <w:pPr>
        <w:pStyle w:val="4"/>
        <w:spacing w:before="0" w:after="0" w:line="576" w:lineRule="exact"/>
        <w:ind w:firstLine="640" w:firstLineChars="200"/>
        <w:rPr>
          <w:rFonts w:ascii="仿宋" w:hAnsi="仿宋" w:eastAsia="仿宋"/>
        </w:rPr>
      </w:pPr>
      <w:bookmarkStart w:id="49" w:name="_Toc15396628"/>
      <w:r>
        <w:rPr>
          <w:rStyle w:val="27"/>
          <w:rFonts w:hint="eastAsia" w:ascii="仿宋" w:hAnsi="仿宋" w:eastAsia="仿宋"/>
          <w:b w:val="0"/>
          <w:bCs w:val="0"/>
        </w:rPr>
        <w:t>十、</w:t>
      </w:r>
      <w:r>
        <w:rPr>
          <w:rFonts w:hint="eastAsia" w:ascii="仿宋" w:hAnsi="仿宋" w:eastAsia="仿宋"/>
          <w:b w:val="0"/>
        </w:rPr>
        <w:t>一</w:t>
      </w:r>
      <w:r>
        <w:rPr>
          <w:rStyle w:val="27"/>
          <w:rFonts w:hint="eastAsia" w:ascii="仿宋" w:hAnsi="仿宋" w:eastAsia="仿宋"/>
          <w:b w:val="0"/>
          <w:bCs w:val="0"/>
        </w:rPr>
        <w:t>般公共预算财政拨款“三公”经费支出决算表</w:t>
      </w:r>
      <w:bookmarkEnd w:id="49"/>
    </w:p>
    <w:p>
      <w:pPr>
        <w:pStyle w:val="4"/>
        <w:spacing w:before="0" w:after="0" w:line="576" w:lineRule="exact"/>
        <w:ind w:firstLine="640" w:firstLineChars="200"/>
        <w:rPr>
          <w:rFonts w:ascii="仿宋" w:hAnsi="仿宋" w:eastAsia="仿宋"/>
        </w:rPr>
      </w:pPr>
      <w:bookmarkStart w:id="50" w:name="_Toc15396629"/>
      <w:r>
        <w:rPr>
          <w:rStyle w:val="27"/>
          <w:rFonts w:hint="eastAsia" w:ascii="仿宋" w:hAnsi="仿宋" w:eastAsia="仿宋"/>
          <w:b w:val="0"/>
          <w:bCs w:val="0"/>
        </w:rPr>
        <w:t>十一、</w:t>
      </w:r>
      <w:r>
        <w:rPr>
          <w:rFonts w:hint="eastAsia" w:ascii="仿宋" w:hAnsi="仿宋" w:eastAsia="仿宋"/>
          <w:b w:val="0"/>
        </w:rPr>
        <w:t>政</w:t>
      </w:r>
      <w:r>
        <w:rPr>
          <w:rStyle w:val="27"/>
          <w:rFonts w:hint="eastAsia" w:ascii="仿宋" w:hAnsi="仿宋" w:eastAsia="仿宋"/>
          <w:b w:val="0"/>
          <w:bCs w:val="0"/>
        </w:rPr>
        <w:t>府性基金预算财政拨款收入支出决算表</w:t>
      </w:r>
      <w:bookmarkEnd w:id="50"/>
    </w:p>
    <w:p>
      <w:pPr>
        <w:pStyle w:val="4"/>
        <w:spacing w:before="0" w:after="0" w:line="576" w:lineRule="exact"/>
        <w:ind w:firstLine="640" w:firstLineChars="200"/>
        <w:rPr>
          <w:rFonts w:ascii="仿宋" w:hAnsi="仿宋" w:eastAsia="仿宋"/>
        </w:rPr>
      </w:pPr>
      <w:bookmarkStart w:id="51" w:name="_Toc15396630"/>
      <w:r>
        <w:rPr>
          <w:rStyle w:val="27"/>
          <w:rFonts w:hint="eastAsia" w:ascii="仿宋" w:hAnsi="仿宋" w:eastAsia="仿宋"/>
          <w:b w:val="0"/>
          <w:bCs w:val="0"/>
        </w:rPr>
        <w:t>十二、</w:t>
      </w:r>
      <w:r>
        <w:rPr>
          <w:rFonts w:hint="eastAsia" w:ascii="仿宋" w:hAnsi="仿宋" w:eastAsia="仿宋"/>
          <w:b w:val="0"/>
        </w:rPr>
        <w:t>政</w:t>
      </w:r>
      <w:r>
        <w:rPr>
          <w:rStyle w:val="27"/>
          <w:rFonts w:hint="eastAsia" w:ascii="仿宋" w:hAnsi="仿宋" w:eastAsia="仿宋"/>
          <w:b w:val="0"/>
          <w:bCs w:val="0"/>
        </w:rPr>
        <w:t>府性基金预算财政拨款“三公”经费支出决算表</w:t>
      </w:r>
      <w:bookmarkEnd w:id="51"/>
    </w:p>
    <w:p>
      <w:pPr>
        <w:pStyle w:val="4"/>
        <w:spacing w:before="0" w:after="0" w:line="576" w:lineRule="exact"/>
        <w:ind w:firstLine="640" w:firstLineChars="200"/>
        <w:rPr>
          <w:rStyle w:val="27"/>
          <w:rFonts w:ascii="仿宋" w:hAnsi="仿宋" w:eastAsia="仿宋"/>
          <w:b w:val="0"/>
          <w:bCs w:val="0"/>
        </w:rPr>
      </w:pPr>
      <w:bookmarkStart w:id="52" w:name="_Toc15396631"/>
      <w:r>
        <w:rPr>
          <w:rStyle w:val="27"/>
          <w:rFonts w:hint="eastAsia" w:ascii="仿宋" w:hAnsi="仿宋" w:eastAsia="仿宋"/>
          <w:b w:val="0"/>
          <w:bCs w:val="0"/>
        </w:rPr>
        <w:t>十三、</w:t>
      </w:r>
      <w:r>
        <w:rPr>
          <w:rFonts w:hint="eastAsia" w:ascii="仿宋" w:hAnsi="仿宋" w:eastAsia="仿宋"/>
          <w:b w:val="0"/>
        </w:rPr>
        <w:t>国</w:t>
      </w:r>
      <w:r>
        <w:rPr>
          <w:rStyle w:val="27"/>
          <w:rFonts w:hint="eastAsia" w:ascii="仿宋" w:hAnsi="仿宋" w:eastAsia="仿宋"/>
          <w:b w:val="0"/>
          <w:bCs w:val="0"/>
        </w:rPr>
        <w:t>有资本经营预算财政拨款收入支出决算表</w:t>
      </w:r>
      <w:bookmarkEnd w:id="52"/>
    </w:p>
    <w:p>
      <w:pPr>
        <w:spacing w:line="576" w:lineRule="exact"/>
        <w:ind w:firstLine="640" w:firstLineChars="200"/>
        <w:rPr>
          <w:rFonts w:eastAsia="仿宋"/>
        </w:rPr>
      </w:pPr>
      <w:r>
        <w:rPr>
          <w:rStyle w:val="27"/>
          <w:rFonts w:hint="eastAsia" w:ascii="仿宋" w:hAnsi="仿宋" w:eastAsia="仿宋"/>
          <w:b w:val="0"/>
          <w:bCs w:val="0"/>
        </w:rPr>
        <w:t>十四、国有资本经营预算财政拨款支出决算表</w:t>
      </w:r>
    </w:p>
    <w:p>
      <w:pPr>
        <w:pStyle w:val="2"/>
        <w:spacing w:before="93"/>
        <w:rPr>
          <w:rStyle w:val="26"/>
          <w:rFonts w:ascii="黑体" w:hAnsi="黑体" w:eastAsia="黑体"/>
          <w:b w:val="0"/>
        </w:rPr>
      </w:pPr>
    </w:p>
    <w:sectPr>
      <w:headerReference r:id="rId3" w:type="default"/>
      <w:footerReference r:id="rId4" w:type="default"/>
      <w:pgSz w:w="11906" w:h="16838"/>
      <w:pgMar w:top="2098" w:right="1474" w:bottom="1984"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AE30DE-8CEB-4C8A-9ECF-92C2AFC107E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CA53FD2-93F6-4CFB-8146-56DCEBFFC196}"/>
  </w:font>
  <w:font w:name="Cambria">
    <w:panose1 w:val="02040503050406030204"/>
    <w:charset w:val="00"/>
    <w:family w:val="roman"/>
    <w:pitch w:val="default"/>
    <w:sig w:usb0="E00002FF" w:usb1="400004FF" w:usb2="00000000" w:usb3="00000000" w:csb0="2000019F" w:csb1="00000000"/>
    <w:embedRegular r:id="rId3" w:fontKey="{19B2FF73-5333-45E8-A1B9-A98FB0EC898F}"/>
  </w:font>
  <w:font w:name="仿宋_GB2312">
    <w:altName w:val="仿宋"/>
    <w:panose1 w:val="00000000000000000000"/>
    <w:charset w:val="86"/>
    <w:family w:val="modern"/>
    <w:pitch w:val="default"/>
    <w:sig w:usb0="00000000" w:usb1="00000000" w:usb2="00000000" w:usb3="00000000" w:csb0="00040000" w:csb1="00000000"/>
    <w:embedRegular r:id="rId4" w:fontKey="{F3E8F88E-7943-49EB-A74B-E3F1505C928F}"/>
  </w:font>
  <w:font w:name="仿宋">
    <w:panose1 w:val="02010609060101010101"/>
    <w:charset w:val="86"/>
    <w:family w:val="modern"/>
    <w:pitch w:val="default"/>
    <w:sig w:usb0="800002BF" w:usb1="38CF7CFA" w:usb2="00000016" w:usb3="00000000" w:csb0="00040001" w:csb1="00000000"/>
    <w:embedRegular r:id="rId5" w:fontKey="{98037CF0-FEFD-4545-9C84-F22627131E76}"/>
  </w:font>
  <w:font w:name="新宋体">
    <w:panose1 w:val="02010609030101010101"/>
    <w:charset w:val="86"/>
    <w:family w:val="modern"/>
    <w:pitch w:val="default"/>
    <w:sig w:usb0="00000003" w:usb1="288F0000" w:usb2="00000006" w:usb3="00000000" w:csb0="00040001" w:csb1="00000000"/>
    <w:embedRegular r:id="rId6" w:fontKey="{F4903023-27C4-4329-BD0E-5C3F250654C2}"/>
  </w:font>
  <w:font w:name="微软雅黑">
    <w:panose1 w:val="020B0503020204020204"/>
    <w:charset w:val="86"/>
    <w:family w:val="swiss"/>
    <w:pitch w:val="default"/>
    <w:sig w:usb0="80000287" w:usb1="280F3C52" w:usb2="00000016" w:usb3="00000000" w:csb0="0004001F" w:csb1="00000000"/>
    <w:embedRegular r:id="rId7" w:fontKey="{5D5690FD-9D87-4CEE-A3F0-1A11FEC4E4FF}"/>
  </w:font>
  <w:font w:name="方正小标宋简体">
    <w:altName w:val="微软雅黑"/>
    <w:panose1 w:val="00000000000000000000"/>
    <w:charset w:val="86"/>
    <w:family w:val="script"/>
    <w:pitch w:val="default"/>
    <w:sig w:usb0="00000000" w:usb1="00000000" w:usb2="00000012" w:usb3="00000000" w:csb0="00040001" w:csb1="00000000"/>
    <w:embedRegular r:id="rId8" w:fontKey="{E4126951-56EA-40A8-9472-D0E5C38D904C}"/>
  </w:font>
  <w:font w:name="方正仿宋_GBK">
    <w:altName w:val="微软雅黑"/>
    <w:panose1 w:val="00000000000000000000"/>
    <w:charset w:val="86"/>
    <w:family w:val="auto"/>
    <w:pitch w:val="default"/>
    <w:sig w:usb0="00000000" w:usb1="00000000" w:usb2="00000000" w:usb3="00000000" w:csb0="00040000" w:csb1="00000000"/>
    <w:embedRegular r:id="rId9" w:fontKey="{98425829-D007-4B67-82C1-95ACA672D1CA}"/>
  </w:font>
  <w:font w:name="方正黑体简体">
    <w:altName w:val="微软雅黑"/>
    <w:panose1 w:val="00000000000000000000"/>
    <w:charset w:val="86"/>
    <w:family w:val="auto"/>
    <w:pitch w:val="default"/>
    <w:sig w:usb0="00000000" w:usb1="00000000" w:usb2="00000000" w:usb3="00000000" w:csb0="00040000" w:csb1="00000000"/>
    <w:embedRegular r:id="rId10" w:fontKey="{9D7109A0-E272-4137-BB44-2EF1C4C0794B}"/>
  </w:font>
  <w:font w:name="方正楷体简体">
    <w:altName w:val="微软雅黑"/>
    <w:panose1 w:val="00000000000000000000"/>
    <w:charset w:val="86"/>
    <w:family w:val="auto"/>
    <w:pitch w:val="default"/>
    <w:sig w:usb0="00000000" w:usb1="00000000" w:usb2="00000000" w:usb3="00000000" w:csb0="00040000" w:csb1="00000000"/>
    <w:embedRegular r:id="rId11" w:fontKey="{609838E2-F90B-461B-B325-582CF559359E}"/>
  </w:font>
  <w:font w:name="方正仿宋简体">
    <w:altName w:val="微软雅黑"/>
    <w:panose1 w:val="00000000000000000000"/>
    <w:charset w:val="86"/>
    <w:family w:val="auto"/>
    <w:pitch w:val="default"/>
    <w:sig w:usb0="00000000" w:usb1="00000000" w:usb2="00000000" w:usb3="00000000" w:csb0="00040000" w:csb1="00000000"/>
    <w:embedRegular r:id="rId12" w:fontKey="{D24E5D24-DA7D-453B-966A-456506D2D26C}"/>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3300"/>
      </w:tabs>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54BE9F4"/>
    <w:multiLevelType w:val="singleLevel"/>
    <w:tmpl w:val="D54BE9F4"/>
    <w:lvl w:ilvl="0" w:tentative="0">
      <w:start w:val="2"/>
      <w:numFmt w:val="decimal"/>
      <w:suff w:val="nothing"/>
      <w:lvlText w:val="%1．"/>
      <w:lvlJc w:val="left"/>
    </w:lvl>
  </w:abstractNum>
  <w:abstractNum w:abstractNumId="2">
    <w:nsid w:val="59271687"/>
    <w:multiLevelType w:val="singleLevel"/>
    <w:tmpl w:val="59271687"/>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RmNjBhN2Q3Y2Q2MzMzYTBmNGNkZTA5NmQ4MmEyMjMifQ=="/>
  </w:docVars>
  <w:rsids>
    <w:rsidRoot w:val="00F1361C"/>
    <w:rsid w:val="000002E0"/>
    <w:rsid w:val="000222C6"/>
    <w:rsid w:val="0002549F"/>
    <w:rsid w:val="000468DB"/>
    <w:rsid w:val="0006487A"/>
    <w:rsid w:val="00065F8F"/>
    <w:rsid w:val="00070A43"/>
    <w:rsid w:val="000768F2"/>
    <w:rsid w:val="000827D8"/>
    <w:rsid w:val="0009184B"/>
    <w:rsid w:val="00094236"/>
    <w:rsid w:val="0009593C"/>
    <w:rsid w:val="000959C5"/>
    <w:rsid w:val="00097322"/>
    <w:rsid w:val="000A6A92"/>
    <w:rsid w:val="000B047F"/>
    <w:rsid w:val="000B5923"/>
    <w:rsid w:val="000B5A48"/>
    <w:rsid w:val="000B6FF3"/>
    <w:rsid w:val="000C3467"/>
    <w:rsid w:val="000C3CA6"/>
    <w:rsid w:val="000D1267"/>
    <w:rsid w:val="000D1D50"/>
    <w:rsid w:val="000D5782"/>
    <w:rsid w:val="000E6613"/>
    <w:rsid w:val="000E7119"/>
    <w:rsid w:val="00111DC6"/>
    <w:rsid w:val="00114E9B"/>
    <w:rsid w:val="00142216"/>
    <w:rsid w:val="00144D6A"/>
    <w:rsid w:val="0014729F"/>
    <w:rsid w:val="00157BAB"/>
    <w:rsid w:val="001654D1"/>
    <w:rsid w:val="00174518"/>
    <w:rsid w:val="0018106D"/>
    <w:rsid w:val="001877A7"/>
    <w:rsid w:val="00191536"/>
    <w:rsid w:val="00196687"/>
    <w:rsid w:val="001A6295"/>
    <w:rsid w:val="001C0962"/>
    <w:rsid w:val="001C18CC"/>
    <w:rsid w:val="001D7531"/>
    <w:rsid w:val="001E737D"/>
    <w:rsid w:val="001E7E59"/>
    <w:rsid w:val="001F0592"/>
    <w:rsid w:val="001F7506"/>
    <w:rsid w:val="002006CD"/>
    <w:rsid w:val="00202B36"/>
    <w:rsid w:val="00204B7A"/>
    <w:rsid w:val="00204CDE"/>
    <w:rsid w:val="0021101A"/>
    <w:rsid w:val="002133AB"/>
    <w:rsid w:val="00220536"/>
    <w:rsid w:val="00235629"/>
    <w:rsid w:val="00260C38"/>
    <w:rsid w:val="002616C0"/>
    <w:rsid w:val="00265372"/>
    <w:rsid w:val="002662AA"/>
    <w:rsid w:val="00267289"/>
    <w:rsid w:val="00274903"/>
    <w:rsid w:val="00280496"/>
    <w:rsid w:val="00294DC9"/>
    <w:rsid w:val="00295495"/>
    <w:rsid w:val="002A31DE"/>
    <w:rsid w:val="002A7150"/>
    <w:rsid w:val="002B2613"/>
    <w:rsid w:val="002D6D05"/>
    <w:rsid w:val="002F1818"/>
    <w:rsid w:val="002F567B"/>
    <w:rsid w:val="00316F67"/>
    <w:rsid w:val="003216A9"/>
    <w:rsid w:val="00335A74"/>
    <w:rsid w:val="00344804"/>
    <w:rsid w:val="0036561B"/>
    <w:rsid w:val="0037013F"/>
    <w:rsid w:val="00380C92"/>
    <w:rsid w:val="00382D9F"/>
    <w:rsid w:val="003A484F"/>
    <w:rsid w:val="003A4883"/>
    <w:rsid w:val="003B0BE0"/>
    <w:rsid w:val="003B0C1B"/>
    <w:rsid w:val="003B688C"/>
    <w:rsid w:val="003C0291"/>
    <w:rsid w:val="003C39AE"/>
    <w:rsid w:val="003C7B60"/>
    <w:rsid w:val="003D0C0F"/>
    <w:rsid w:val="003D1FB2"/>
    <w:rsid w:val="003D48EC"/>
    <w:rsid w:val="003D66DA"/>
    <w:rsid w:val="003E1310"/>
    <w:rsid w:val="003E6F55"/>
    <w:rsid w:val="003F114C"/>
    <w:rsid w:val="003F282B"/>
    <w:rsid w:val="00406254"/>
    <w:rsid w:val="004145DB"/>
    <w:rsid w:val="004223DE"/>
    <w:rsid w:val="00422608"/>
    <w:rsid w:val="00424DC4"/>
    <w:rsid w:val="00434489"/>
    <w:rsid w:val="00437085"/>
    <w:rsid w:val="00443880"/>
    <w:rsid w:val="004464F4"/>
    <w:rsid w:val="00471401"/>
    <w:rsid w:val="00473F31"/>
    <w:rsid w:val="0048263A"/>
    <w:rsid w:val="00487E5D"/>
    <w:rsid w:val="004A2880"/>
    <w:rsid w:val="004A711F"/>
    <w:rsid w:val="004B199D"/>
    <w:rsid w:val="004B4690"/>
    <w:rsid w:val="004C0201"/>
    <w:rsid w:val="004E0A2D"/>
    <w:rsid w:val="004E206B"/>
    <w:rsid w:val="004E6DF7"/>
    <w:rsid w:val="004F0FBD"/>
    <w:rsid w:val="00505A47"/>
    <w:rsid w:val="00512FDA"/>
    <w:rsid w:val="00520DA0"/>
    <w:rsid w:val="00534128"/>
    <w:rsid w:val="00540D70"/>
    <w:rsid w:val="00554A7C"/>
    <w:rsid w:val="005664BB"/>
    <w:rsid w:val="00566FFA"/>
    <w:rsid w:val="00570E8A"/>
    <w:rsid w:val="0057481D"/>
    <w:rsid w:val="0058486E"/>
    <w:rsid w:val="00585B33"/>
    <w:rsid w:val="0059014D"/>
    <w:rsid w:val="005A33D0"/>
    <w:rsid w:val="005B5C64"/>
    <w:rsid w:val="005B698D"/>
    <w:rsid w:val="005C5337"/>
    <w:rsid w:val="005C6BD0"/>
    <w:rsid w:val="005D1C8B"/>
    <w:rsid w:val="005D468D"/>
    <w:rsid w:val="005D5CED"/>
    <w:rsid w:val="005E3C4E"/>
    <w:rsid w:val="005E7E28"/>
    <w:rsid w:val="005F1A4C"/>
    <w:rsid w:val="006037D1"/>
    <w:rsid w:val="00604C34"/>
    <w:rsid w:val="00605688"/>
    <w:rsid w:val="006070AF"/>
    <w:rsid w:val="006076D4"/>
    <w:rsid w:val="00607E6C"/>
    <w:rsid w:val="006101B1"/>
    <w:rsid w:val="00611548"/>
    <w:rsid w:val="00614E44"/>
    <w:rsid w:val="0062270A"/>
    <w:rsid w:val="00622830"/>
    <w:rsid w:val="00623DA0"/>
    <w:rsid w:val="00630AEF"/>
    <w:rsid w:val="006325F8"/>
    <w:rsid w:val="00633463"/>
    <w:rsid w:val="00634C9A"/>
    <w:rsid w:val="00643EFC"/>
    <w:rsid w:val="006440E4"/>
    <w:rsid w:val="00653936"/>
    <w:rsid w:val="0066343B"/>
    <w:rsid w:val="00664777"/>
    <w:rsid w:val="006748A4"/>
    <w:rsid w:val="00681A31"/>
    <w:rsid w:val="00683E73"/>
    <w:rsid w:val="006A3141"/>
    <w:rsid w:val="006A5E34"/>
    <w:rsid w:val="006B2422"/>
    <w:rsid w:val="006B2B9A"/>
    <w:rsid w:val="006B6B71"/>
    <w:rsid w:val="006C1937"/>
    <w:rsid w:val="006C61F8"/>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BCA"/>
    <w:rsid w:val="007D1682"/>
    <w:rsid w:val="007D312A"/>
    <w:rsid w:val="007D3F19"/>
    <w:rsid w:val="007D4CDA"/>
    <w:rsid w:val="007D7052"/>
    <w:rsid w:val="007E23B0"/>
    <w:rsid w:val="007E23E5"/>
    <w:rsid w:val="007F1991"/>
    <w:rsid w:val="007F2C2F"/>
    <w:rsid w:val="007F55FC"/>
    <w:rsid w:val="007F5665"/>
    <w:rsid w:val="00800112"/>
    <w:rsid w:val="00813348"/>
    <w:rsid w:val="00817EF4"/>
    <w:rsid w:val="008253BB"/>
    <w:rsid w:val="008326F5"/>
    <w:rsid w:val="0083706E"/>
    <w:rsid w:val="008408F6"/>
    <w:rsid w:val="008423A5"/>
    <w:rsid w:val="008442B8"/>
    <w:rsid w:val="00850625"/>
    <w:rsid w:val="00853718"/>
    <w:rsid w:val="00855221"/>
    <w:rsid w:val="00860645"/>
    <w:rsid w:val="00871F71"/>
    <w:rsid w:val="00872FD8"/>
    <w:rsid w:val="00885AF4"/>
    <w:rsid w:val="008939CD"/>
    <w:rsid w:val="00897DB1"/>
    <w:rsid w:val="008B768C"/>
    <w:rsid w:val="008C4DB1"/>
    <w:rsid w:val="008C4DCD"/>
    <w:rsid w:val="008C4EAF"/>
    <w:rsid w:val="008C5176"/>
    <w:rsid w:val="008C7FD0"/>
    <w:rsid w:val="008E1DE7"/>
    <w:rsid w:val="008E707C"/>
    <w:rsid w:val="008F2B9D"/>
    <w:rsid w:val="008F7444"/>
    <w:rsid w:val="00900B08"/>
    <w:rsid w:val="00902155"/>
    <w:rsid w:val="00902D82"/>
    <w:rsid w:val="00902FA3"/>
    <w:rsid w:val="009108A1"/>
    <w:rsid w:val="00911AFD"/>
    <w:rsid w:val="00923564"/>
    <w:rsid w:val="0092392E"/>
    <w:rsid w:val="0092762F"/>
    <w:rsid w:val="009315F9"/>
    <w:rsid w:val="00933499"/>
    <w:rsid w:val="00935C98"/>
    <w:rsid w:val="00946945"/>
    <w:rsid w:val="00951248"/>
    <w:rsid w:val="0095152F"/>
    <w:rsid w:val="00954C49"/>
    <w:rsid w:val="00955E37"/>
    <w:rsid w:val="0097099F"/>
    <w:rsid w:val="00971997"/>
    <w:rsid w:val="00971FFC"/>
    <w:rsid w:val="0097411F"/>
    <w:rsid w:val="0098660A"/>
    <w:rsid w:val="009931C3"/>
    <w:rsid w:val="00996C5D"/>
    <w:rsid w:val="009B18BD"/>
    <w:rsid w:val="009B2C43"/>
    <w:rsid w:val="009B432D"/>
    <w:rsid w:val="009B4EAE"/>
    <w:rsid w:val="009B7573"/>
    <w:rsid w:val="009C22F4"/>
    <w:rsid w:val="009C2A4B"/>
    <w:rsid w:val="009C2E98"/>
    <w:rsid w:val="009D3447"/>
    <w:rsid w:val="009D4711"/>
    <w:rsid w:val="009E3BAC"/>
    <w:rsid w:val="009E3EFA"/>
    <w:rsid w:val="009F1185"/>
    <w:rsid w:val="009F18CD"/>
    <w:rsid w:val="009F2A13"/>
    <w:rsid w:val="009F7527"/>
    <w:rsid w:val="00A04EB0"/>
    <w:rsid w:val="00A0512C"/>
    <w:rsid w:val="00A13CC1"/>
    <w:rsid w:val="00A16847"/>
    <w:rsid w:val="00A237D8"/>
    <w:rsid w:val="00A25D10"/>
    <w:rsid w:val="00A268C4"/>
    <w:rsid w:val="00A307CD"/>
    <w:rsid w:val="00A32BEF"/>
    <w:rsid w:val="00A331C8"/>
    <w:rsid w:val="00A40A00"/>
    <w:rsid w:val="00A4142F"/>
    <w:rsid w:val="00A422EB"/>
    <w:rsid w:val="00A45BB7"/>
    <w:rsid w:val="00A53456"/>
    <w:rsid w:val="00A56DF2"/>
    <w:rsid w:val="00A56E6E"/>
    <w:rsid w:val="00A67AB5"/>
    <w:rsid w:val="00A733B2"/>
    <w:rsid w:val="00A741C2"/>
    <w:rsid w:val="00A80290"/>
    <w:rsid w:val="00A91760"/>
    <w:rsid w:val="00A93B00"/>
    <w:rsid w:val="00A93C21"/>
    <w:rsid w:val="00AB398A"/>
    <w:rsid w:val="00AB3E3B"/>
    <w:rsid w:val="00AB64C9"/>
    <w:rsid w:val="00AC3C6A"/>
    <w:rsid w:val="00AD5620"/>
    <w:rsid w:val="00AD656B"/>
    <w:rsid w:val="00AD7897"/>
    <w:rsid w:val="00AD7C1B"/>
    <w:rsid w:val="00AE16BA"/>
    <w:rsid w:val="00AE1EBE"/>
    <w:rsid w:val="00AF465C"/>
    <w:rsid w:val="00B00060"/>
    <w:rsid w:val="00B03974"/>
    <w:rsid w:val="00B03C9D"/>
    <w:rsid w:val="00B060AE"/>
    <w:rsid w:val="00B10517"/>
    <w:rsid w:val="00B14E76"/>
    <w:rsid w:val="00B156A0"/>
    <w:rsid w:val="00B161B8"/>
    <w:rsid w:val="00B2048C"/>
    <w:rsid w:val="00B208F5"/>
    <w:rsid w:val="00B310B9"/>
    <w:rsid w:val="00B35F3F"/>
    <w:rsid w:val="00B36CBB"/>
    <w:rsid w:val="00B425E0"/>
    <w:rsid w:val="00B440AA"/>
    <w:rsid w:val="00B44B70"/>
    <w:rsid w:val="00B53C56"/>
    <w:rsid w:val="00B57DAF"/>
    <w:rsid w:val="00B77EA6"/>
    <w:rsid w:val="00B81598"/>
    <w:rsid w:val="00B841F1"/>
    <w:rsid w:val="00B944D6"/>
    <w:rsid w:val="00BA31EC"/>
    <w:rsid w:val="00BB4DF0"/>
    <w:rsid w:val="00BB6070"/>
    <w:rsid w:val="00BC289F"/>
    <w:rsid w:val="00BC2D50"/>
    <w:rsid w:val="00BC5361"/>
    <w:rsid w:val="00BC5460"/>
    <w:rsid w:val="00BC6B50"/>
    <w:rsid w:val="00BD0E25"/>
    <w:rsid w:val="00BF5BD6"/>
    <w:rsid w:val="00C03E31"/>
    <w:rsid w:val="00C11E2D"/>
    <w:rsid w:val="00C33E72"/>
    <w:rsid w:val="00C354B2"/>
    <w:rsid w:val="00C35554"/>
    <w:rsid w:val="00C3580C"/>
    <w:rsid w:val="00C42709"/>
    <w:rsid w:val="00C533CC"/>
    <w:rsid w:val="00C537A1"/>
    <w:rsid w:val="00C56FDF"/>
    <w:rsid w:val="00C5751C"/>
    <w:rsid w:val="00C61BFC"/>
    <w:rsid w:val="00C62B85"/>
    <w:rsid w:val="00C65438"/>
    <w:rsid w:val="00C87FD8"/>
    <w:rsid w:val="00C91381"/>
    <w:rsid w:val="00C91CBB"/>
    <w:rsid w:val="00C96305"/>
    <w:rsid w:val="00CB4E70"/>
    <w:rsid w:val="00CC09B6"/>
    <w:rsid w:val="00CC666F"/>
    <w:rsid w:val="00CD1E3F"/>
    <w:rsid w:val="00CE44F6"/>
    <w:rsid w:val="00CE49DA"/>
    <w:rsid w:val="00CE7B61"/>
    <w:rsid w:val="00CF146B"/>
    <w:rsid w:val="00D00095"/>
    <w:rsid w:val="00D114F0"/>
    <w:rsid w:val="00D20620"/>
    <w:rsid w:val="00D254F7"/>
    <w:rsid w:val="00D26091"/>
    <w:rsid w:val="00D2685C"/>
    <w:rsid w:val="00D32AA0"/>
    <w:rsid w:val="00D34E7C"/>
    <w:rsid w:val="00D35489"/>
    <w:rsid w:val="00D3698D"/>
    <w:rsid w:val="00D36AFE"/>
    <w:rsid w:val="00D51276"/>
    <w:rsid w:val="00D51CEC"/>
    <w:rsid w:val="00D7035F"/>
    <w:rsid w:val="00D7733D"/>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1A77"/>
    <w:rsid w:val="00E472B1"/>
    <w:rsid w:val="00E50624"/>
    <w:rsid w:val="00E568DF"/>
    <w:rsid w:val="00E64269"/>
    <w:rsid w:val="00E774CF"/>
    <w:rsid w:val="00E80EE6"/>
    <w:rsid w:val="00E82267"/>
    <w:rsid w:val="00E853CE"/>
    <w:rsid w:val="00E867B6"/>
    <w:rsid w:val="00EA010F"/>
    <w:rsid w:val="00ED1B63"/>
    <w:rsid w:val="00ED384D"/>
    <w:rsid w:val="00ED3C1F"/>
    <w:rsid w:val="00ED4085"/>
    <w:rsid w:val="00ED420E"/>
    <w:rsid w:val="00ED6FBE"/>
    <w:rsid w:val="00EE2F57"/>
    <w:rsid w:val="00EF369C"/>
    <w:rsid w:val="00EF4C34"/>
    <w:rsid w:val="00EF77C6"/>
    <w:rsid w:val="00F05438"/>
    <w:rsid w:val="00F1361C"/>
    <w:rsid w:val="00F156F0"/>
    <w:rsid w:val="00F160C7"/>
    <w:rsid w:val="00F168EC"/>
    <w:rsid w:val="00F2408F"/>
    <w:rsid w:val="00F240E9"/>
    <w:rsid w:val="00F36D8F"/>
    <w:rsid w:val="00F417B1"/>
    <w:rsid w:val="00F45853"/>
    <w:rsid w:val="00F602DF"/>
    <w:rsid w:val="00F66F22"/>
    <w:rsid w:val="00F754A1"/>
    <w:rsid w:val="00F81FD9"/>
    <w:rsid w:val="00F841AA"/>
    <w:rsid w:val="00F84A94"/>
    <w:rsid w:val="00F87E96"/>
    <w:rsid w:val="00FA23E8"/>
    <w:rsid w:val="00FD3CC1"/>
    <w:rsid w:val="00FD7965"/>
    <w:rsid w:val="00FE687E"/>
    <w:rsid w:val="00FF1E02"/>
    <w:rsid w:val="00FF30B4"/>
    <w:rsid w:val="05280B4A"/>
    <w:rsid w:val="054A0E46"/>
    <w:rsid w:val="077961C6"/>
    <w:rsid w:val="07A86AAB"/>
    <w:rsid w:val="09102B5A"/>
    <w:rsid w:val="0A2032A3"/>
    <w:rsid w:val="0AE53B72"/>
    <w:rsid w:val="0B8A37D8"/>
    <w:rsid w:val="0CD12600"/>
    <w:rsid w:val="10392996"/>
    <w:rsid w:val="10C055FF"/>
    <w:rsid w:val="118107EC"/>
    <w:rsid w:val="11DD6519"/>
    <w:rsid w:val="15C63FEF"/>
    <w:rsid w:val="16637837"/>
    <w:rsid w:val="16BB723D"/>
    <w:rsid w:val="18015F3F"/>
    <w:rsid w:val="1BC53330"/>
    <w:rsid w:val="1BE8440E"/>
    <w:rsid w:val="1D155CEE"/>
    <w:rsid w:val="1DAC3E21"/>
    <w:rsid w:val="20F57F95"/>
    <w:rsid w:val="240371BF"/>
    <w:rsid w:val="25C741E6"/>
    <w:rsid w:val="27842671"/>
    <w:rsid w:val="29FD04D3"/>
    <w:rsid w:val="2ABE7A3E"/>
    <w:rsid w:val="2C972AC7"/>
    <w:rsid w:val="2EFA178C"/>
    <w:rsid w:val="30B46D73"/>
    <w:rsid w:val="30BE279B"/>
    <w:rsid w:val="319F7F4E"/>
    <w:rsid w:val="3304517A"/>
    <w:rsid w:val="378B147A"/>
    <w:rsid w:val="38222DB8"/>
    <w:rsid w:val="38CF35E8"/>
    <w:rsid w:val="39AE70AB"/>
    <w:rsid w:val="3AAF547F"/>
    <w:rsid w:val="3C0C0783"/>
    <w:rsid w:val="3F795B0E"/>
    <w:rsid w:val="3F852C53"/>
    <w:rsid w:val="3F9F3A96"/>
    <w:rsid w:val="40350D30"/>
    <w:rsid w:val="41EE2D31"/>
    <w:rsid w:val="4329313C"/>
    <w:rsid w:val="43391709"/>
    <w:rsid w:val="45E06E35"/>
    <w:rsid w:val="47CD33E9"/>
    <w:rsid w:val="493A4AAE"/>
    <w:rsid w:val="493C27E9"/>
    <w:rsid w:val="496F39ED"/>
    <w:rsid w:val="49E27C8B"/>
    <w:rsid w:val="49FF41D3"/>
    <w:rsid w:val="4A185DC8"/>
    <w:rsid w:val="4BE068DB"/>
    <w:rsid w:val="4BF6002B"/>
    <w:rsid w:val="4ECE2238"/>
    <w:rsid w:val="50935039"/>
    <w:rsid w:val="50AC0C42"/>
    <w:rsid w:val="51DB4B86"/>
    <w:rsid w:val="528A2602"/>
    <w:rsid w:val="53BB4A3D"/>
    <w:rsid w:val="55333C3E"/>
    <w:rsid w:val="58ED38EB"/>
    <w:rsid w:val="5F27742B"/>
    <w:rsid w:val="60006CE4"/>
    <w:rsid w:val="601479AF"/>
    <w:rsid w:val="60416A33"/>
    <w:rsid w:val="64347415"/>
    <w:rsid w:val="64CA39A1"/>
    <w:rsid w:val="65BF03BD"/>
    <w:rsid w:val="65ED4F2A"/>
    <w:rsid w:val="677A29C1"/>
    <w:rsid w:val="67E2629A"/>
    <w:rsid w:val="68CF0AC5"/>
    <w:rsid w:val="6C4A05C8"/>
    <w:rsid w:val="6D521B17"/>
    <w:rsid w:val="707C1EC1"/>
    <w:rsid w:val="71C717F9"/>
    <w:rsid w:val="71D92806"/>
    <w:rsid w:val="71EC253A"/>
    <w:rsid w:val="72734D90"/>
    <w:rsid w:val="72DA6836"/>
    <w:rsid w:val="74F811F5"/>
    <w:rsid w:val="76FD0D45"/>
    <w:rsid w:val="79E7B28D"/>
    <w:rsid w:val="7C775BAB"/>
    <w:rsid w:val="7D747887"/>
    <w:rsid w:val="7F9F20EE"/>
    <w:rsid w:val="9E3A10E2"/>
    <w:rsid w:val="F2E1F9D4"/>
    <w:rsid w:val="F7880819"/>
    <w:rsid w:val="FEFC6F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8"/>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7"/>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654801880456683"/>
          <c:y val="0.0247933884297521"/>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2020年度</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收、支决算总计</c:v>
                </c:pt>
              </c:strCache>
            </c:strRef>
          </c:cat>
          <c:val>
            <c:numRef>
              <c:f>Sheet1!$B$2</c:f>
              <c:numCache>
                <c:formatCode>General</c:formatCode>
                <c:ptCount val="1"/>
                <c:pt idx="0">
                  <c:v>2278.79</c:v>
                </c:pt>
              </c:numCache>
            </c:numRef>
          </c:val>
        </c:ser>
        <c:ser>
          <c:idx val="1"/>
          <c:order val="1"/>
          <c:tx>
            <c:strRef>
              <c:f>Sheet1!$C$1</c:f>
              <c:strCache>
                <c:ptCount val="1"/>
                <c:pt idx="0">
                  <c:v>2021年度</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收、支决算总计</c:v>
                </c:pt>
              </c:strCache>
            </c:strRef>
          </c:cat>
          <c:val>
            <c:numRef>
              <c:f>Sheet1!$C$2</c:f>
              <c:numCache>
                <c:formatCode>General</c:formatCode>
                <c:ptCount val="1"/>
                <c:pt idx="0">
                  <c:v>2299.09</c:v>
                </c:pt>
              </c:numCache>
            </c:numRef>
          </c:val>
        </c:ser>
        <c:dLbls>
          <c:showLegendKey val="0"/>
          <c:showVal val="1"/>
          <c:showCatName val="0"/>
          <c:showSerName val="0"/>
          <c:showPercent val="0"/>
          <c:showBubbleSize val="0"/>
        </c:dLbls>
        <c:gapWidth val="219"/>
        <c:overlap val="-27"/>
        <c:axId val="205873536"/>
        <c:axId val="205875072"/>
      </c:barChart>
      <c:catAx>
        <c:axId val="205873536"/>
        <c:scaling>
          <c:orientation val="minMax"/>
        </c:scaling>
        <c:delete val="1"/>
        <c:axPos val="b"/>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5875072"/>
        <c:crosses val="autoZero"/>
        <c:auto val="1"/>
        <c:lblAlgn val="ctr"/>
        <c:lblOffset val="100"/>
        <c:noMultiLvlLbl val="0"/>
      </c:catAx>
      <c:valAx>
        <c:axId val="205875072"/>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收、支决算总</a:t>
                </a:r>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8735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altLang="zh-CN"/>
              <a:t>单位：万元</a:t>
            </a:r>
            <a:endParaRPr altLang="zh-CN"/>
          </a:p>
        </c:rich>
      </c:tx>
      <c:layout>
        <c:manualLayout>
          <c:xMode val="edge"/>
          <c:yMode val="edge"/>
          <c:x val="0.43359173126615"/>
          <c:y val="0.850548182342758"/>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1428.85</c:v>
                </c:pt>
                <c:pt idx="1">
                  <c:v>70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4341085271318"/>
          <c:y val="0.353721869590306"/>
          <c:w val="0.314728682170544"/>
          <c:h val="0.42469705712637"/>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altLang="zh-CN"/>
              <a:t>单位：万元</a:t>
            </a:r>
            <a:endParaRPr altLang="zh-CN"/>
          </a:p>
        </c:rich>
      </c:tx>
      <c:layout>
        <c:manualLayout>
          <c:xMode val="edge"/>
          <c:yMode val="edge"/>
          <c:x val="0.503607290279264"/>
          <c:y val="0.851830663615562"/>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820.53</c:v>
                </c:pt>
                <c:pt idx="1">
                  <c:v>701.83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4341085271318"/>
          <c:y val="0.353721869590306"/>
          <c:w val="0.314728682170544"/>
          <c:h val="0.42469705712637"/>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654801880456683"/>
          <c:y val="0.041322314049586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2020年度</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收、支决算总计</c:v>
                </c:pt>
              </c:strCache>
            </c:strRef>
          </c:cat>
          <c:val>
            <c:numRef>
              <c:f>Sheet1!$B$2</c:f>
              <c:numCache>
                <c:formatCode>General</c:formatCode>
                <c:ptCount val="1"/>
                <c:pt idx="0">
                  <c:v>2278.79</c:v>
                </c:pt>
              </c:numCache>
            </c:numRef>
          </c:val>
        </c:ser>
        <c:ser>
          <c:idx val="1"/>
          <c:order val="1"/>
          <c:tx>
            <c:strRef>
              <c:f>Sheet1!$C$1</c:f>
              <c:strCache>
                <c:ptCount val="1"/>
                <c:pt idx="0">
                  <c:v>2021年度</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收、支决算总计</c:v>
                </c:pt>
              </c:strCache>
            </c:strRef>
          </c:cat>
          <c:val>
            <c:numRef>
              <c:f>Sheet1!$C$2</c:f>
              <c:numCache>
                <c:formatCode>General</c:formatCode>
                <c:ptCount val="1"/>
                <c:pt idx="0">
                  <c:v>2299.09</c:v>
                </c:pt>
              </c:numCache>
            </c:numRef>
          </c:val>
        </c:ser>
        <c:dLbls>
          <c:showLegendKey val="0"/>
          <c:showVal val="1"/>
          <c:showCatName val="0"/>
          <c:showSerName val="0"/>
          <c:showPercent val="0"/>
          <c:showBubbleSize val="0"/>
        </c:dLbls>
        <c:gapWidth val="219"/>
        <c:overlap val="-27"/>
        <c:axId val="59811328"/>
        <c:axId val="59812864"/>
      </c:barChart>
      <c:catAx>
        <c:axId val="59811328"/>
        <c:scaling>
          <c:orientation val="minMax"/>
        </c:scaling>
        <c:delete val="1"/>
        <c:axPos val="b"/>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9812864"/>
        <c:crosses val="autoZero"/>
        <c:auto val="1"/>
        <c:lblAlgn val="ctr"/>
        <c:lblOffset val="100"/>
        <c:noMultiLvlLbl val="0"/>
      </c:catAx>
      <c:valAx>
        <c:axId val="5981286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财政拨款收、支总计</a:t>
                </a:r>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81132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654801880456683"/>
          <c:y val="0.041322314049586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2020年度</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收、支决算总计</c:v>
                </c:pt>
              </c:strCache>
            </c:strRef>
          </c:cat>
          <c:val>
            <c:numRef>
              <c:f>Sheet1!$B$2</c:f>
              <c:numCache>
                <c:formatCode>General</c:formatCode>
                <c:ptCount val="1"/>
                <c:pt idx="0">
                  <c:v>1410.58</c:v>
                </c:pt>
              </c:numCache>
            </c:numRef>
          </c:val>
        </c:ser>
        <c:ser>
          <c:idx val="1"/>
          <c:order val="1"/>
          <c:tx>
            <c:strRef>
              <c:f>Sheet1!$C$1</c:f>
              <c:strCache>
                <c:ptCount val="1"/>
                <c:pt idx="0">
                  <c:v>2021年度</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收、支决算总计</c:v>
                </c:pt>
              </c:strCache>
            </c:strRef>
          </c:cat>
          <c:val>
            <c:numRef>
              <c:f>Sheet1!$C$2</c:f>
              <c:numCache>
                <c:formatCode>General</c:formatCode>
                <c:ptCount val="1"/>
                <c:pt idx="0">
                  <c:v>1492.36</c:v>
                </c:pt>
              </c:numCache>
            </c:numRef>
          </c:val>
        </c:ser>
        <c:dLbls>
          <c:showLegendKey val="0"/>
          <c:showVal val="1"/>
          <c:showCatName val="0"/>
          <c:showSerName val="0"/>
          <c:showPercent val="0"/>
          <c:showBubbleSize val="0"/>
        </c:dLbls>
        <c:gapWidth val="219"/>
        <c:overlap val="-27"/>
        <c:axId val="59601664"/>
        <c:axId val="59603200"/>
      </c:barChart>
      <c:catAx>
        <c:axId val="59601664"/>
        <c:scaling>
          <c:orientation val="minMax"/>
        </c:scaling>
        <c:delete val="1"/>
        <c:axPos val="b"/>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9603200"/>
        <c:crosses val="autoZero"/>
        <c:auto val="1"/>
        <c:lblAlgn val="ctr"/>
        <c:lblOffset val="100"/>
        <c:noMultiLvlLbl val="0"/>
      </c:catAx>
      <c:valAx>
        <c:axId val="59603200"/>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一般公共预算财政拨款</a:t>
                </a:r>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601664"/>
        <c:crosses val="autoZero"/>
        <c:crossBetween val="between"/>
      </c:valAx>
      <c:spPr>
        <a:noFill/>
        <a:ln>
          <a:noFill/>
        </a:ln>
        <a:effectLst/>
      </c:spPr>
    </c:plotArea>
    <c:legend>
      <c:legendPos val="b"/>
      <c:layout>
        <c:manualLayout>
          <c:xMode val="edge"/>
          <c:yMode val="edge"/>
          <c:x val="0.376091336467428"/>
          <c:y val="0.8457300275482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altLang="zh-CN"/>
              <a:t>单位：万元</a:t>
            </a:r>
            <a:endParaRPr altLang="zh-CN"/>
          </a:p>
        </c:rich>
      </c:tx>
      <c:layout>
        <c:manualLayout>
          <c:xMode val="edge"/>
          <c:yMode val="edge"/>
          <c:x val="0.523611735711582"/>
          <c:y val="0.851830663615562"/>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1"/>
              <c:layout>
                <c:manualLayout>
                  <c:x val="-0.117820224296865"/>
                  <c:y val="0.051844254234580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21165514272241"/>
                  <c:y val="-0.000341674276339287"/>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Sheet1!$A$2:$A$4</c:f>
              <c:strCache>
                <c:ptCount val="3"/>
                <c:pt idx="0">
                  <c:v>社会保障和就业（类）支出</c:v>
                </c:pt>
                <c:pt idx="1">
                  <c:v>卫生健康支出</c:v>
                </c:pt>
                <c:pt idx="2">
                  <c:v>住房保障支出</c:v>
                </c:pt>
              </c:strCache>
            </c:strRef>
          </c:cat>
          <c:val>
            <c:numRef>
              <c:f>Sheet1!$B$2:$B$4</c:f>
              <c:numCache>
                <c:formatCode>General</c:formatCode>
                <c:ptCount val="3"/>
                <c:pt idx="0">
                  <c:v>1403.22</c:v>
                </c:pt>
                <c:pt idx="1">
                  <c:v>27.67</c:v>
                </c:pt>
                <c:pt idx="2">
                  <c:v>61.47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4341085271318"/>
          <c:y val="0.353721869590306"/>
          <c:w val="0.314728682170544"/>
          <c:h val="0.42469705712637"/>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altLang="zh-CN"/>
              <a:t>单位：万元</a:t>
            </a:r>
            <a:endParaRPr altLang="zh-CN"/>
          </a:p>
        </c:rich>
      </c:tx>
      <c:layout>
        <c:manualLayout>
          <c:xMode val="edge"/>
          <c:yMode val="edge"/>
          <c:x val="0.523611735711582"/>
          <c:y val="0.851830663615562"/>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layout>
                <c:manualLayout>
                  <c:x val="0.156701008843867"/>
                  <c:y val="-0.0133409610989887"/>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17820224296865"/>
                  <c:y val="0.051844254234580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750752418074855"/>
                  <c:y val="-0.038957234917071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Sheet1!$A$2:$A$4</c:f>
              <c:strCache>
                <c:ptCount val="3"/>
                <c:pt idx="0">
                  <c:v>因公出国（境）费支出决算</c:v>
                </c:pt>
                <c:pt idx="1">
                  <c:v>公务用车购置及运行维护费支出决算</c:v>
                </c:pt>
                <c:pt idx="2">
                  <c:v>公务接待费支出决算</c:v>
                </c:pt>
              </c:strCache>
            </c:strRef>
          </c:cat>
          <c:val>
            <c:numRef>
              <c:f>Sheet1!$B$2:$B$4</c:f>
              <c:numCache>
                <c:formatCode>General</c:formatCode>
                <c:ptCount val="3"/>
                <c:pt idx="0">
                  <c:v>0</c:v>
                </c:pt>
                <c:pt idx="1">
                  <c:v>30.82</c:v>
                </c:pt>
                <c:pt idx="2">
                  <c:v>3.04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63658409838905"/>
          <c:y val="0.146227709190672"/>
          <c:w val="0.415381950459033"/>
          <c:h val="0.632098765432099"/>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33</Pages>
  <Words>11333</Words>
  <Characters>12014</Characters>
  <Lines>88</Lines>
  <Paragraphs>24</Paragraphs>
  <TotalTime>8</TotalTime>
  <ScaleCrop>false</ScaleCrop>
  <LinksUpToDate>false</LinksUpToDate>
  <CharactersWithSpaces>12122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Administrator</cp:lastModifiedBy>
  <cp:lastPrinted>2022-08-06T10:23:00Z</cp:lastPrinted>
  <dcterms:modified xsi:type="dcterms:W3CDTF">2023-09-08T07:14:07Z</dcterms:modified>
  <dc:title>四川省***</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F492BFE8E1C84B21BE087A7E1933D123</vt:lpwstr>
  </property>
</Properties>
</file>