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77425"/>
      <w:bookmarkStart w:id="3" w:name="_Toc15396475"/>
      <w:bookmarkStart w:id="4" w:name="_Toc15396597"/>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96476"/>
      <w:bookmarkStart w:id="8" w:name="_Toc15377426"/>
      <w:bookmarkStart w:id="9" w:name="_Toc15378442"/>
      <w:bookmarkStart w:id="10" w:name="_Toc15396598"/>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光荣院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283" w:footer="57" w:gutter="0"/>
          <w:pgNumType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公开时间：20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w:t>
      </w:r>
    </w:p>
    <w:p>
      <w:pPr>
        <w:rPr>
          <w:rFonts w:hint="eastAsia" w:ascii="仿宋_GB2312" w:hAnsi="仿宋_GB2312" w:eastAsia="仿宋_GB2312" w:cs="仿宋_GB2312"/>
          <w:color w:val="auto"/>
          <w:sz w:val="32"/>
          <w:szCs w:val="32"/>
          <w:highlight w:val="none"/>
        </w:rPr>
      </w:pPr>
    </w:p>
    <w:p>
      <w:pPr>
        <w:pStyle w:val="12"/>
        <w:keepNext w:val="0"/>
        <w:keepLines w:val="0"/>
        <w:pageBreakBefore w:val="0"/>
        <w:numPr>
          <w:ilvl w:val="0"/>
          <w:numId w:val="1"/>
        </w:numPr>
        <w:kinsoku/>
        <w:wordWrap/>
        <w:overflowPunct/>
        <w:topLinePunct w:val="0"/>
        <w:autoSpaceDE/>
        <w:autoSpaceDN/>
        <w:bidi w:val="0"/>
        <w:adjustRightInd w:val="0"/>
        <w:snapToGrid w:val="0"/>
        <w:spacing w:before="0" w:line="240" w:lineRule="auto"/>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单位</w:t>
      </w:r>
      <w:r>
        <w:rPr>
          <w:rFonts w:hint="eastAsia" w:ascii="仿宋_GB2312" w:hAnsi="仿宋_GB2312" w:eastAsia="仿宋_GB2312" w:cs="仿宋_GB2312"/>
          <w:b/>
          <w:bCs/>
          <w:color w:val="auto"/>
          <w:sz w:val="32"/>
          <w:szCs w:val="32"/>
          <w:highlight w:val="none"/>
        </w:rPr>
        <w:t>概况</w:t>
      </w:r>
      <w:r>
        <w:rPr>
          <w:rFonts w:hint="eastAsia" w:ascii="黑体" w:eastAsia="黑体" w:cs="黑体"/>
          <w:sz w:val="32"/>
          <w:szCs w:val="32"/>
          <w:lang w:val="en-US" w:eastAsia="zh-CN"/>
        </w:rPr>
        <w:t>................................ .1</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黑体" w:eastAsia="黑体" w:cs="黑体"/>
          <w:sz w:val="32"/>
          <w:szCs w:val="32"/>
          <w:lang w:val="en-US" w:eastAsia="zh-CN"/>
        </w:rPr>
      </w:pPr>
      <w:r>
        <w:rPr>
          <w:rFonts w:hint="eastAsia" w:ascii="仿宋_GB2312" w:hAnsi="仿宋_GB2312" w:eastAsia="仿宋_GB2312" w:cs="仿宋_GB2312"/>
          <w:color w:val="auto"/>
          <w:sz w:val="32"/>
          <w:szCs w:val="32"/>
          <w:highlight w:val="none"/>
        </w:rPr>
        <w:t>一、职能</w:t>
      </w:r>
      <w:r>
        <w:rPr>
          <w:rFonts w:hint="eastAsia" w:ascii="仿宋_GB2312" w:hAnsi="仿宋_GB2312" w:eastAsia="仿宋_GB2312" w:cs="仿宋_GB2312"/>
          <w:color w:val="auto"/>
          <w:sz w:val="32"/>
          <w:szCs w:val="32"/>
          <w:highlight w:val="none"/>
          <w:lang w:eastAsia="zh-CN"/>
        </w:rPr>
        <w:t>简介</w:t>
      </w:r>
      <w:r>
        <w:rPr>
          <w:rFonts w:hint="eastAsia" w:ascii="黑体" w:eastAsia="黑体" w:cs="黑体"/>
          <w:sz w:val="32"/>
          <w:szCs w:val="32"/>
          <w:lang w:val="en-US" w:eastAsia="zh-CN"/>
        </w:rPr>
        <w:t>................................... .1</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lang w:val="en-US" w:eastAsia="zh-CN"/>
        </w:rPr>
        <w:t>2021年重点</w:t>
      </w:r>
      <w:r>
        <w:rPr>
          <w:rFonts w:hint="eastAsia" w:ascii="仿宋_GB2312" w:hAnsi="仿宋_GB2312" w:eastAsia="仿宋_GB2312" w:cs="仿宋_GB2312"/>
          <w:color w:val="auto"/>
          <w:sz w:val="32"/>
          <w:szCs w:val="32"/>
          <w:highlight w:val="none"/>
        </w:rPr>
        <w:t>工作</w:t>
      </w:r>
      <w:r>
        <w:rPr>
          <w:rFonts w:hint="eastAsia" w:ascii="仿宋_GB2312" w:hAnsi="仿宋_GB2312" w:eastAsia="仿宋_GB2312" w:cs="仿宋_GB2312"/>
          <w:color w:val="auto"/>
          <w:sz w:val="32"/>
          <w:szCs w:val="32"/>
          <w:highlight w:val="none"/>
          <w:lang w:eastAsia="zh-CN"/>
        </w:rPr>
        <w:t>完成情况</w:t>
      </w:r>
      <w:r>
        <w:rPr>
          <w:rFonts w:hint="eastAsia" w:ascii="黑体" w:eastAsia="黑体" w:cs="黑体"/>
          <w:sz w:val="32"/>
          <w:szCs w:val="32"/>
          <w:lang w:val="en-US" w:eastAsia="zh-CN"/>
        </w:rPr>
        <w:t>......................1</w:t>
      </w:r>
    </w:p>
    <w:p>
      <w:pPr>
        <w:pStyle w:val="12"/>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rPr>
        <w:t>第二部分</w:t>
      </w:r>
      <w:r>
        <w:rPr>
          <w:rFonts w:hint="eastAsia" w:ascii="仿宋_GB2312" w:hAnsi="仿宋_GB2312" w:eastAsia="仿宋_GB2312" w:cs="仿宋_GB2312"/>
          <w:b/>
          <w:bCs/>
          <w:color w:val="auto"/>
          <w:sz w:val="32"/>
          <w:szCs w:val="32"/>
          <w:highlight w:val="none"/>
          <w:lang w:val="en-US" w:eastAsia="zh-CN"/>
        </w:rPr>
        <w:t xml:space="preserve"> 2021年度</w:t>
      </w:r>
      <w:r>
        <w:rPr>
          <w:rFonts w:hint="eastAsia" w:ascii="仿宋_GB2312" w:hAnsi="仿宋_GB2312" w:eastAsia="仿宋_GB2312" w:cs="仿宋_GB2312"/>
          <w:b/>
          <w:bCs/>
          <w:color w:val="auto"/>
          <w:sz w:val="32"/>
          <w:szCs w:val="32"/>
          <w:highlight w:val="none"/>
          <w:lang w:eastAsia="zh-CN"/>
        </w:rPr>
        <w:t>单位</w:t>
      </w:r>
      <w:r>
        <w:rPr>
          <w:rFonts w:hint="eastAsia" w:ascii="仿宋_GB2312" w:hAnsi="仿宋_GB2312" w:eastAsia="仿宋_GB2312" w:cs="仿宋_GB2312"/>
          <w:b/>
          <w:bCs/>
          <w:color w:val="auto"/>
          <w:sz w:val="32"/>
          <w:szCs w:val="32"/>
          <w:highlight w:val="none"/>
        </w:rPr>
        <w:t>决算情况说明</w:t>
      </w:r>
      <w:r>
        <w:rPr>
          <w:rFonts w:hint="eastAsia" w:ascii="黑体" w:eastAsia="黑体" w:cs="黑体"/>
          <w:sz w:val="32"/>
          <w:szCs w:val="32"/>
          <w:lang w:val="en-US" w:eastAsia="zh-CN"/>
        </w:rPr>
        <w:t>.................4</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一、收入支出决算总体情况说明</w:t>
      </w:r>
      <w:r>
        <w:rPr>
          <w:rFonts w:hint="eastAsia" w:ascii="黑体" w:eastAsia="黑体" w:cs="黑体"/>
          <w:sz w:val="32"/>
          <w:szCs w:val="32"/>
          <w:lang w:val="en-US" w:eastAsia="zh-CN"/>
        </w:rPr>
        <w:t>....................4</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二、收入决算情况说明</w:t>
      </w:r>
      <w:r>
        <w:rPr>
          <w:rFonts w:hint="eastAsia" w:ascii="黑体" w:eastAsia="黑体" w:cs="黑体"/>
          <w:sz w:val="32"/>
          <w:szCs w:val="32"/>
          <w:lang w:val="en-US" w:eastAsia="zh-CN"/>
        </w:rPr>
        <w:t>............................4</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三、支出决算情况说明</w:t>
      </w:r>
      <w:r>
        <w:rPr>
          <w:rFonts w:hint="eastAsia" w:ascii="黑体" w:eastAsia="黑体" w:cs="黑体"/>
          <w:sz w:val="32"/>
          <w:szCs w:val="32"/>
          <w:lang w:val="en-US" w:eastAsia="zh-CN"/>
        </w:rPr>
        <w:t>............................5</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黑体" w:eastAsia="黑体" w:cs="黑体"/>
          <w:sz w:val="32"/>
          <w:szCs w:val="32"/>
          <w:lang w:val="en-US" w:eastAsia="zh-CN"/>
        </w:rPr>
        <w:t>............6</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黑体" w:eastAsia="黑体" w:cs="黑体"/>
          <w:sz w:val="32"/>
          <w:szCs w:val="32"/>
          <w:lang w:val="en-US" w:eastAsia="zh-CN"/>
        </w:rPr>
        <w:t>........6</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黑体" w:eastAsia="黑体" w:cs="黑体"/>
          <w:sz w:val="32"/>
          <w:szCs w:val="32"/>
          <w:lang w:val="en-US" w:eastAsia="zh-CN"/>
        </w:rPr>
        <w:t>....9</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三公”经费财政拨款支出决算情况说明</w:t>
      </w:r>
      <w:r>
        <w:rPr>
          <w:rFonts w:hint="eastAsia" w:ascii="黑体" w:eastAsia="黑体" w:cs="黑体"/>
          <w:sz w:val="32"/>
          <w:szCs w:val="32"/>
          <w:lang w:val="en-US" w:eastAsia="zh-CN"/>
        </w:rPr>
        <w:t>.........9</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八、政府性基金预算支出决算情况说明</w:t>
      </w:r>
      <w:r>
        <w:rPr>
          <w:rFonts w:hint="eastAsia" w:ascii="黑体" w:eastAsia="黑体" w:cs="黑体"/>
          <w:sz w:val="32"/>
          <w:szCs w:val="32"/>
          <w:lang w:val="en-US" w:eastAsia="zh-CN"/>
        </w:rPr>
        <w:t>.............11</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九、国有资本经营预算支出决算情况说明</w:t>
      </w:r>
      <w:r>
        <w:rPr>
          <w:rFonts w:hint="eastAsia" w:ascii="黑体" w:eastAsia="黑体" w:cs="黑体"/>
          <w:sz w:val="32"/>
          <w:szCs w:val="32"/>
          <w:lang w:val="en-US" w:eastAsia="zh-CN"/>
        </w:rPr>
        <w:t>...........11</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预算绩效管理情况</w:t>
      </w:r>
      <w:r>
        <w:rPr>
          <w:rFonts w:hint="eastAsia" w:ascii="黑体" w:eastAsia="黑体" w:cs="黑体"/>
          <w:sz w:val="32"/>
          <w:szCs w:val="32"/>
          <w:lang w:val="en-US" w:eastAsia="zh-CN"/>
        </w:rPr>
        <w:t>...........................11</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rPr>
        <w:t>其他重要事项的情况说明</w:t>
      </w:r>
      <w:r>
        <w:rPr>
          <w:rFonts w:hint="eastAsia" w:ascii="黑体" w:eastAsia="黑体" w:cs="黑体"/>
          <w:sz w:val="32"/>
          <w:szCs w:val="32"/>
          <w:lang w:val="en-US" w:eastAsia="zh-CN"/>
        </w:rPr>
        <w:t>...................11</w:t>
      </w:r>
    </w:p>
    <w:p>
      <w:pPr>
        <w:pStyle w:val="12"/>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rPr>
        <w:t>第三部分 名词解释</w:t>
      </w:r>
      <w:r>
        <w:rPr>
          <w:rFonts w:hint="eastAsia" w:ascii="黑体" w:eastAsia="黑体" w:cs="黑体"/>
          <w:sz w:val="32"/>
          <w:szCs w:val="32"/>
          <w:lang w:val="en-US" w:eastAsia="zh-CN"/>
        </w:rPr>
        <w:t>................................13</w:t>
      </w:r>
    </w:p>
    <w:p>
      <w:pPr>
        <w:pStyle w:val="12"/>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rPr>
        <w:t>第四部分 附</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件</w:t>
      </w:r>
      <w:r>
        <w:rPr>
          <w:rFonts w:hint="eastAsia" w:ascii="黑体" w:eastAsia="黑体" w:cs="黑体"/>
          <w:sz w:val="32"/>
          <w:szCs w:val="32"/>
          <w:lang w:val="en-US" w:eastAsia="zh-CN"/>
        </w:rPr>
        <w:t>...................................15</w:t>
      </w:r>
    </w:p>
    <w:p>
      <w:pPr>
        <w:pStyle w:val="12"/>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rPr>
        <w:t>第五部分 附</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表</w:t>
      </w:r>
      <w:r>
        <w:rPr>
          <w:rFonts w:hint="eastAsia" w:ascii="黑体" w:eastAsia="黑体" w:cs="黑体"/>
          <w:sz w:val="32"/>
          <w:szCs w:val="32"/>
          <w:lang w:val="en-US" w:eastAsia="zh-CN"/>
        </w:rPr>
        <w:t>...................................29</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1440" w:right="1800" w:bottom="1440" w:left="1800" w:header="283" w:footer="57" w:gutter="0"/>
          <w:pgNumType w:start="1"/>
          <w:cols w:space="425" w:num="1"/>
          <w:titlePg/>
          <w:docGrid w:type="lines" w:linePitch="312" w:charSpace="0"/>
        </w:sectPr>
      </w:pP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三、支出决算表</w:t>
      </w:r>
      <w:r>
        <w:rPr>
          <w:rFonts w:hint="eastAsia" w:ascii="黑体" w:eastAsia="黑体" w:cs="黑体"/>
          <w:sz w:val="32"/>
          <w:szCs w:val="32"/>
          <w:lang w:val="en-US" w:eastAsia="zh-CN"/>
        </w:rPr>
        <w:t>.</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五、财政拨款支出决算明细表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六、一般公共预算财政拨款支出决算表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七、一般公共预算财政拨款支出决算明细表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八、一般公共预算财政拨款基本支出决算表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九、一般公共预算财政拨款项目支出决算表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十、一般公共预算财政拨款“三公”经费支出决算表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十二、政府性基金预算财政拨款“三公”经费支出决算表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十三、国有资本经营预算</w:t>
      </w:r>
      <w:r>
        <w:rPr>
          <w:rFonts w:hint="eastAsia" w:ascii="仿宋_GB2312" w:hAnsi="仿宋_GB2312" w:eastAsia="仿宋_GB2312" w:cs="仿宋_GB2312"/>
          <w:color w:val="auto"/>
          <w:sz w:val="32"/>
          <w:szCs w:val="32"/>
          <w:highlight w:val="none"/>
          <w:lang w:eastAsia="zh-CN"/>
        </w:rPr>
        <w:t>财政拨款收入</w:t>
      </w:r>
      <w:r>
        <w:rPr>
          <w:rFonts w:hint="eastAsia" w:ascii="仿宋_GB2312" w:hAnsi="仿宋_GB2312"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十四、国有资本经营预算财政拨款支出决算表</w:t>
      </w:r>
    </w:p>
    <w:p>
      <w:pPr>
        <w:pStyle w:val="4"/>
        <w:jc w:val="center"/>
        <w:rPr>
          <w:rFonts w:hint="eastAsia" w:ascii="黑体" w:hAnsi="黑体" w:eastAsia="黑体"/>
          <w:b w:val="0"/>
          <w:color w:val="auto"/>
          <w:highlight w:val="none"/>
        </w:rPr>
        <w:sectPr>
          <w:footerReference r:id="rId8" w:type="first"/>
          <w:footerReference r:id="rId7" w:type="default"/>
          <w:pgSz w:w="11906" w:h="16838"/>
          <w:pgMar w:top="1440" w:right="1800" w:bottom="1440" w:left="1800" w:header="283" w:footer="57" w:gutter="0"/>
          <w:pgNumType w:start="1"/>
          <w:cols w:space="425" w:num="1"/>
          <w:docGrid w:type="lines" w:linePitch="312" w:charSpace="0"/>
        </w:sectPr>
      </w:pPr>
      <w:bookmarkStart w:id="12" w:name="_Toc15377196"/>
      <w:bookmarkStart w:id="13" w:name="_Toc15396599"/>
    </w:p>
    <w:p>
      <w:pPr>
        <w:pStyle w:val="4"/>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bookmarkEnd w:id="12"/>
      <w:bookmarkEnd w:id="13"/>
    </w:p>
    <w:p>
      <w:pPr>
        <w:pStyle w:val="5"/>
        <w:numPr>
          <w:ilvl w:val="0"/>
          <w:numId w:val="0"/>
        </w:numPr>
        <w:ind w:firstLine="642" w:firstLineChars="200"/>
        <w:rPr>
          <w:rFonts w:hint="eastAsia" w:ascii="仿宋" w:hAnsi="仿宋" w:eastAsia="仿宋" w:cs="Times New Roman"/>
          <w:b/>
          <w:bCs/>
          <w:color w:val="auto"/>
          <w:kern w:val="2"/>
          <w:sz w:val="32"/>
          <w:szCs w:val="32"/>
          <w:highlight w:val="none"/>
          <w:lang w:val="en-US" w:eastAsia="zh-CN" w:bidi="ar-SA"/>
        </w:rPr>
      </w:pPr>
      <w:bookmarkStart w:id="14" w:name="_Toc15396600"/>
      <w:bookmarkStart w:id="15" w:name="_Toc15377197"/>
      <w:r>
        <w:rPr>
          <w:rFonts w:hint="eastAsia" w:ascii="仿宋" w:hAnsi="仿宋" w:eastAsia="仿宋" w:cs="Times New Roman"/>
          <w:b/>
          <w:bCs/>
          <w:color w:val="auto"/>
          <w:kern w:val="2"/>
          <w:sz w:val="32"/>
          <w:szCs w:val="32"/>
          <w:highlight w:val="none"/>
          <w:lang w:val="en-US" w:eastAsia="zh-CN" w:bidi="ar-SA"/>
        </w:rPr>
        <w:t>一、职能简介</w:t>
      </w:r>
    </w:p>
    <w:p>
      <w:pPr>
        <w:pStyle w:val="5"/>
        <w:numPr>
          <w:ilvl w:val="0"/>
          <w:numId w:val="0"/>
        </w:numPr>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主要承担全市重点优抚对象短（中、长）期集中供养服务和红色文化等传承教育；承担全市残疾军人、在乡老复员军人、带病回乡退伍军人、因公牺牲军人遗属和农村老义务兵等优抚对象的疾病预防、诊断、治疗、康复和巡诊建档服务及在院治疗期间的生活保障；承担全市及周边市州重点优抚对象定期与不定期的休养和疗养服务。</w:t>
      </w:r>
    </w:p>
    <w:p>
      <w:pPr>
        <w:pStyle w:val="7"/>
        <w:pageBreakBefore w:val="0"/>
        <w:widowControl w:val="0"/>
        <w:kinsoku/>
        <w:wordWrap/>
        <w:overflowPunct/>
        <w:topLinePunct w:val="0"/>
        <w:autoSpaceDE/>
        <w:autoSpaceDN/>
        <w:bidi w:val="0"/>
        <w:adjustRightInd w:val="0"/>
        <w:snapToGrid w:val="0"/>
        <w:spacing w:before="93" w:line="500" w:lineRule="exact"/>
        <w:ind w:firstLine="642" w:firstLineChars="200"/>
        <w:textAlignment w:val="auto"/>
        <w:outlineLvl w:val="2"/>
        <w:rPr>
          <w:rFonts w:hint="eastAsia" w:ascii="仿宋_GB2312" w:hAnsi="仿宋_GB2312" w:eastAsia="仿宋_GB2312" w:cs="仿宋_GB2312"/>
          <w:sz w:val="32"/>
          <w:szCs w:val="32"/>
          <w:lang w:val="en-US" w:eastAsia="zh-CN"/>
        </w:rPr>
      </w:pPr>
      <w:r>
        <w:rPr>
          <w:rFonts w:hint="eastAsia" w:ascii="仿宋" w:hAnsi="仿宋" w:eastAsia="仿宋" w:cs="Times New Roman"/>
          <w:b/>
          <w:bCs/>
          <w:color w:val="auto"/>
          <w:kern w:val="2"/>
          <w:sz w:val="32"/>
          <w:szCs w:val="32"/>
          <w:highlight w:val="none"/>
          <w:lang w:val="en-US" w:eastAsia="zh-CN" w:bidi="ar-SA"/>
        </w:rPr>
        <w:t>二、2021年重点工作</w:t>
      </w:r>
      <w:bookmarkEnd w:id="14"/>
      <w:bookmarkEnd w:id="15"/>
      <w:r>
        <w:rPr>
          <w:rFonts w:hint="eastAsia" w:ascii="仿宋" w:hAnsi="仿宋" w:eastAsia="仿宋" w:cs="Times New Roman"/>
          <w:b/>
          <w:bCs/>
          <w:color w:val="auto"/>
          <w:kern w:val="2"/>
          <w:sz w:val="32"/>
          <w:szCs w:val="32"/>
          <w:highlight w:val="none"/>
          <w:lang w:val="en-US" w:eastAsia="zh-CN" w:bidi="ar-SA"/>
        </w:rPr>
        <w:t>完成情况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2021年，在市退役军人事务局党组的坚强领导下，市光荣院紧紧围绕“视孤老为父母，将爱心献功臣”服务理念，以法律政策落实和党史学习教育为抓手，发扬“三牛”精神，全面推进以供养服务为中心的各项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（一）党史学习教育有声有色。</w:t>
      </w:r>
      <w:r>
        <w:rPr>
          <w:rFonts w:hint="eastAsia" w:ascii="仿宋_GB2312" w:hAnsi="仿宋_GB2312" w:eastAsia="仿宋_GB2312" w:cs="仿宋_GB2312"/>
          <w:b w:val="0"/>
          <w:bCs w:val="0"/>
          <w:color w:val="auto"/>
          <w:kern w:val="2"/>
          <w:sz w:val="32"/>
          <w:szCs w:val="32"/>
          <w:highlight w:val="none"/>
          <w:lang w:val="en-US" w:eastAsia="zh-CN" w:bidi="ar-SA"/>
        </w:rPr>
        <w:t>购书籍、读原著、学原文、悟原理，并利用“学习强国”“川观新闻”学习平台深化学习理解。成立“老英雄党史宣讲团”，开展“讲党史、讲传统、讲信念”“进校园、进军营、进机关、进社区、进企业”活动28场次，受众近8000人次。到苍溪红军渡、绵阳两弹城、飞龙山红军纪念园等地参观学习，固化初心使命。把深化理论武装、做到“两个维护”作为首要任务，开好专题组织生活会，深化“老英雄讲党课、讲传统”活动，为供养对象办实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（二）供养服务工作推进逆势创新。</w:t>
      </w:r>
      <w:r>
        <w:rPr>
          <w:rFonts w:hint="eastAsia" w:ascii="仿宋_GB2312" w:hAnsi="仿宋_GB2312" w:eastAsia="仿宋_GB2312" w:cs="仿宋_GB2312"/>
          <w:b w:val="0"/>
          <w:bCs w:val="0"/>
          <w:color w:val="auto"/>
          <w:kern w:val="2"/>
          <w:sz w:val="32"/>
          <w:szCs w:val="32"/>
          <w:highlight w:val="none"/>
          <w:lang w:val="en-US" w:eastAsia="zh-CN" w:bidi="ar-SA"/>
        </w:rPr>
        <w:t>做好系列服务保障工作。坚持“服务至上，老人第一”，推进精细化管理、营养化供餐、光盘式就餐，深化“八有”食堂创建。完善并实施《供养服务工作制度》，在制度化、规范化中充实、丰富老人休养生活。年初，在经费极度紧张的情况下，主动向分管领导汇报、积极与县区联系、多次到市级部门和省厅争取。与县区完成供养协议的签订，市财政给予从未有过的补助，协调经费380余万元。学习先进典型，采取“一对二、一对三”方式，适时给予老人谈心聊天、精神抚慰；投入3万余元，为老人添置从内衣到外套的夏季全套衣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（三）是优抚巡诊活动开展常态深入。</w:t>
      </w:r>
      <w:r>
        <w:rPr>
          <w:rFonts w:hint="eastAsia" w:ascii="仿宋_GB2312" w:hAnsi="仿宋_GB2312" w:eastAsia="仿宋_GB2312" w:cs="仿宋_GB2312"/>
          <w:b w:val="0"/>
          <w:bCs w:val="0"/>
          <w:color w:val="auto"/>
          <w:kern w:val="2"/>
          <w:sz w:val="32"/>
          <w:szCs w:val="32"/>
          <w:highlight w:val="none"/>
          <w:lang w:val="en-US" w:eastAsia="zh-CN" w:bidi="ar-SA"/>
        </w:rPr>
        <w:t>抓好优抚巡诊医疗服务。严格落实年度计划，加强协调联系，开展优抚巡诊和医疗服务，惠及2000余人次，超过前两年巡诊人数的总和。成立巡诊医疗队、加强业务学习培训，给予军休干部个性化医疗服务和外出随行医疗保障。印制防疫健康知识读本，做好常态化疫情防控和疫苗注射等工作。全面完成年度巡诊任务，并以此作为“为老兵办实事”的实际举措，发挥好了优抚医院作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（四）有关项目工作推进向上向好。</w:t>
      </w:r>
      <w:r>
        <w:rPr>
          <w:rFonts w:hint="eastAsia" w:ascii="仿宋_GB2312" w:hAnsi="仿宋_GB2312" w:eastAsia="仿宋_GB2312" w:cs="仿宋_GB2312"/>
          <w:b w:val="0"/>
          <w:bCs w:val="0"/>
          <w:color w:val="auto"/>
          <w:kern w:val="2"/>
          <w:sz w:val="32"/>
          <w:szCs w:val="32"/>
          <w:highlight w:val="none"/>
          <w:lang w:val="en-US" w:eastAsia="zh-CN" w:bidi="ar-SA"/>
        </w:rPr>
        <w:t>着力医院提档升级，加力加速医疗用房的协调，得到市领导、机关支持。多次向省厅汇报争取项目和经费。督促施工方完善相关资料，院改造工程通过预验收。在局整改领导小组的指导督促下，8次召开专题会议、5次约谈租赁方商谈、致函7个相关部门征求意见，4次向上级报告情况，推进市荣军中心遗留问题合理、合规、合法处理，严格按照局整改领导小组和上级指示要求，合理、合规、合法地加快推进市荣军中心历史遗留问题的处理，力争年度有明显效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（五）内部管理日趋严格规范有序。</w:t>
      </w:r>
      <w:r>
        <w:rPr>
          <w:rFonts w:hint="eastAsia" w:ascii="仿宋_GB2312" w:hAnsi="仿宋_GB2312" w:eastAsia="仿宋_GB2312" w:cs="仿宋_GB2312"/>
          <w:b w:val="0"/>
          <w:bCs w:val="0"/>
          <w:color w:val="auto"/>
          <w:kern w:val="2"/>
          <w:sz w:val="32"/>
          <w:szCs w:val="32"/>
          <w:highlight w:val="none"/>
          <w:lang w:val="en-US" w:eastAsia="zh-CN" w:bidi="ar-SA"/>
        </w:rPr>
        <w:t xml:space="preserve"> 严格上下班和值班考勤，通过扫码系统识别到岗到位情况。坚持岗位轮换且一人多岗，在实践中锻炼提升。坚持精打细算、勤俭节约，调整伙食标准，补缴伙食费用，推进光盘行动，减少聘用人员，缩减物业经费，控制绿植数量、优化氛围打造。坚持借锤敲钟、按章办事，协调归垫资金。严格请示汇报、风险控管、安全监管。</w:t>
      </w:r>
    </w:p>
    <w:p>
      <w:pPr>
        <w:pStyle w:val="7"/>
        <w:pageBreakBefore w:val="0"/>
        <w:widowControl w:val="0"/>
        <w:kinsoku/>
        <w:wordWrap/>
        <w:overflowPunct/>
        <w:topLinePunct w:val="0"/>
        <w:autoSpaceDE/>
        <w:autoSpaceDN/>
        <w:bidi w:val="0"/>
        <w:adjustRightInd w:val="0"/>
        <w:snapToGrid w:val="0"/>
        <w:spacing w:before="93" w:line="500" w:lineRule="exact"/>
        <w:ind w:firstLine="674" w:firstLineChars="210"/>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（六）严格管控确保安全。</w:t>
      </w:r>
      <w:r>
        <w:rPr>
          <w:rFonts w:hint="eastAsia" w:ascii="仿宋_GB2312" w:hAnsi="仿宋_GB2312" w:eastAsia="仿宋_GB2312" w:cs="仿宋_GB2312"/>
          <w:b w:val="0"/>
          <w:bCs w:val="0"/>
          <w:color w:val="auto"/>
          <w:kern w:val="2"/>
          <w:sz w:val="32"/>
          <w:szCs w:val="32"/>
          <w:highlight w:val="none"/>
          <w:lang w:val="en-US" w:eastAsia="zh-CN" w:bidi="ar-SA"/>
        </w:rPr>
        <w:t>认真贯彻落实国家、省、市安全法规和有关要求，结合供养服务、疫情防控、项目建设、脱贫攻坚等实际，严抓责任落实，签订安全责任状态，分解目标任务，形成事事有人管、时时有人抓的全员管控网络。大抓教育引导，坚持随机教育和课堂教育相结合，常叮嘱常提醒，常要求常检查，跟进式开展安全教育。狠抓严格管理，突出食品安全、疫情防控、安全生产等重点部位，督促施工方严格遵守室外高空、带电作业等规定。常态坚持24小时值班、不间断巡查、周检查、食品留样等制度，严格执行登记、扫码等疫情防控制度，严格人员、车辆出行管理，加强季节性事故预防和隐患排查整治。全年安全无事故，项目建设安全顺利。</w:t>
      </w:r>
    </w:p>
    <w:p>
      <w:pPr>
        <w:pStyle w:val="7"/>
        <w:pageBreakBefore w:val="0"/>
        <w:widowControl w:val="0"/>
        <w:kinsoku/>
        <w:wordWrap/>
        <w:overflowPunct/>
        <w:topLinePunct w:val="0"/>
        <w:autoSpaceDE/>
        <w:autoSpaceDN/>
        <w:bidi w:val="0"/>
        <w:adjustRightInd w:val="0"/>
        <w:snapToGrid w:val="0"/>
        <w:spacing w:before="93" w:line="500" w:lineRule="exact"/>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p>
    <w:p>
      <w:pPr>
        <w:widowControl/>
        <w:jc w:val="left"/>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br w:type="page"/>
      </w:r>
    </w:p>
    <w:p>
      <w:pPr>
        <w:pStyle w:val="4"/>
        <w:ind w:right="440"/>
        <w:jc w:val="center"/>
        <w:rPr>
          <w:rStyle w:val="29"/>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9"/>
          <w:rFonts w:hint="eastAsia" w:ascii="黑体" w:hAnsi="黑体" w:eastAsia="黑体"/>
          <w:b w:val="0"/>
          <w:bCs/>
          <w:color w:val="auto"/>
          <w:highlight w:val="none"/>
          <w:lang w:eastAsia="zh-CN"/>
        </w:rPr>
        <w:t>单位</w:t>
      </w:r>
      <w:r>
        <w:rPr>
          <w:rStyle w:val="29"/>
          <w:rFonts w:hint="eastAsia" w:ascii="黑体" w:hAnsi="黑体" w:eastAsia="黑体"/>
          <w:b w:val="0"/>
          <w:bCs/>
          <w:color w:val="auto"/>
          <w:highlight w:val="none"/>
        </w:rPr>
        <w:t>决算情况说明</w:t>
      </w:r>
      <w:bookmarkEnd w:id="16"/>
      <w:bookmarkEnd w:id="17"/>
    </w:p>
    <w:p>
      <w:pPr>
        <w:rPr>
          <w:color w:val="auto"/>
          <w:highlight w:val="none"/>
        </w:rPr>
      </w:pPr>
    </w:p>
    <w:p>
      <w:pPr>
        <w:pStyle w:val="28"/>
        <w:numPr>
          <w:ilvl w:val="0"/>
          <w:numId w:val="2"/>
        </w:numPr>
        <w:spacing w:line="600" w:lineRule="exact"/>
        <w:ind w:firstLineChars="0"/>
        <w:outlineLvl w:val="1"/>
        <w:rPr>
          <w:rStyle w:val="30"/>
          <w:rFonts w:hint="eastAsia" w:ascii="宋体" w:hAnsi="宋体" w:eastAsia="宋体" w:cs="宋体"/>
          <w:b w:val="0"/>
          <w:color w:val="auto"/>
          <w:highlight w:val="none"/>
        </w:rPr>
      </w:pPr>
      <w:bookmarkStart w:id="18" w:name="_Toc15396603"/>
      <w:bookmarkStart w:id="19" w:name="_Toc15377205"/>
      <w:r>
        <w:rPr>
          <w:rFonts w:hint="eastAsia" w:ascii="宋体" w:hAnsi="宋体" w:eastAsia="宋体" w:cs="宋体"/>
          <w:b/>
          <w:bCs/>
          <w:color w:val="auto"/>
          <w:sz w:val="32"/>
          <w:szCs w:val="32"/>
          <w:highlight w:val="none"/>
        </w:rPr>
        <w:t>收</w:t>
      </w:r>
      <w:r>
        <w:rPr>
          <w:rStyle w:val="30"/>
          <w:rFonts w:hint="eastAsia" w:ascii="宋体" w:hAnsi="宋体" w:eastAsia="宋体" w:cs="宋体"/>
          <w:b/>
          <w:bCs/>
          <w:color w:val="auto"/>
          <w:highlight w:val="none"/>
        </w:rPr>
        <w:t>入支出决算总体情况说明</w:t>
      </w:r>
      <w:bookmarkEnd w:id="18"/>
      <w:bookmarkEnd w:id="19"/>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550.98</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796.52万元</w:t>
      </w:r>
      <w:r>
        <w:rPr>
          <w:rFonts w:hint="eastAsia" w:ascii="仿宋_GB2312" w:hAnsi="仿宋_GB2312" w:eastAsia="仿宋_GB2312" w:cs="仿宋_GB2312"/>
          <w:color w:val="auto"/>
          <w:sz w:val="32"/>
          <w:szCs w:val="32"/>
          <w:highlight w:val="none"/>
        </w:rPr>
        <w:t>相比，收、支总计各减少</w:t>
      </w:r>
      <w:r>
        <w:rPr>
          <w:rFonts w:hint="eastAsia" w:ascii="仿宋_GB2312" w:hAnsi="仿宋_GB2312" w:eastAsia="仿宋_GB2312" w:cs="仿宋_GB2312"/>
          <w:color w:val="auto"/>
          <w:sz w:val="32"/>
          <w:szCs w:val="32"/>
          <w:highlight w:val="none"/>
          <w:lang w:val="en-US" w:eastAsia="zh-CN"/>
        </w:rPr>
        <w:t>245.54</w:t>
      </w:r>
      <w:r>
        <w:rPr>
          <w:rStyle w:val="30"/>
          <w:rFonts w:hint="eastAsia" w:ascii="仿宋_GB2312" w:hAnsi="仿宋_GB2312" w:eastAsia="仿宋_GB2312" w:cs="仿宋_GB2312"/>
          <w:b w:val="0"/>
          <w:color w:val="auto"/>
          <w:highlight w:val="none"/>
          <w:lang w:val="en-US" w:eastAsia="zh-CN" w:bidi="ar-SA"/>
        </w:rPr>
        <w:t>万元</w:t>
      </w:r>
      <w:r>
        <w:rPr>
          <w:rFonts w:hint="eastAsia" w:ascii="仿宋_GB2312" w:hAnsi="仿宋_GB2312" w:eastAsia="仿宋_GB2312" w:cs="仿宋_GB2312"/>
          <w:color w:val="auto"/>
          <w:sz w:val="32"/>
          <w:szCs w:val="32"/>
          <w:highlight w:val="none"/>
        </w:rPr>
        <w:t>，下降</w:t>
      </w:r>
      <w:r>
        <w:rPr>
          <w:rFonts w:hint="eastAsia" w:ascii="仿宋_GB2312" w:hAnsi="仿宋_GB2312" w:eastAsia="仿宋_GB2312" w:cs="仿宋_GB2312"/>
          <w:color w:val="auto"/>
          <w:sz w:val="32"/>
          <w:szCs w:val="32"/>
          <w:highlight w:val="none"/>
          <w:lang w:val="en-US" w:eastAsia="zh-CN"/>
        </w:rPr>
        <w:t>30.83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财政拨款收入减少。</w:t>
      </w:r>
    </w:p>
    <w:p>
      <w:pPr>
        <w:spacing w:line="240" w:lineRule="auto"/>
        <w:ind w:firstLine="420" w:firstLineChars="200"/>
        <w:rPr>
          <w:rFonts w:hint="eastAsia" w:ascii="仿宋" w:hAnsi="仿宋" w:eastAsia="仿宋"/>
          <w:color w:val="auto"/>
          <w:sz w:val="32"/>
          <w:szCs w:val="32"/>
          <w:highlight w:val="none"/>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550.25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400.25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72.74</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150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27.26</w:t>
      </w:r>
      <w:r>
        <w:rPr>
          <w:rFonts w:hint="eastAsia" w:ascii="仿宋_GB2312" w:hAnsi="仿宋_GB2312" w:eastAsia="仿宋_GB2312" w:cs="仿宋_GB2312"/>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352925" cy="2962275"/>
            <wp:effectExtent l="0" t="0" r="9525" b="9525"/>
            <wp:docPr id="3" name="图片 3" descr="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true"/>
                    </pic:cNvPicPr>
                  </pic:nvPicPr>
                  <pic:blipFill>
                    <a:blip r:embed="rId12"/>
                    <a:stretch>
                      <a:fillRect/>
                    </a:stretch>
                  </pic:blipFill>
                  <pic:spPr>
                    <a:xfrm>
                      <a:off x="0" y="0"/>
                      <a:ext cx="4352925" cy="2962275"/>
                    </a:xfrm>
                    <a:prstGeom prst="rect">
                      <a:avLst/>
                    </a:prstGeom>
                  </pic:spPr>
                </pic:pic>
              </a:graphicData>
            </a:graphic>
          </wp:inline>
        </w:drawing>
      </w:r>
    </w:p>
    <w:p>
      <w:pPr>
        <w:spacing w:line="600" w:lineRule="exact"/>
        <w:ind w:firstLine="2240" w:firstLineChars="7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549.77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292.15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53.14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257.62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46.86</w:t>
      </w:r>
      <w:r>
        <w:rPr>
          <w:rFonts w:hint="eastAsia" w:ascii="仿宋_GB2312" w:hAnsi="仿宋_GB2312" w:eastAsia="仿宋_GB2312" w:cs="仿宋_GB2312"/>
          <w:color w:val="auto"/>
          <w:sz w:val="32"/>
          <w:szCs w:val="32"/>
          <w:highlight w:val="none"/>
        </w:rPr>
        <w:t>%。</w:t>
      </w:r>
    </w:p>
    <w:p>
      <w:pPr>
        <w:spacing w:line="240" w:lineRule="auto"/>
        <w:ind w:firstLine="640"/>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drawing>
          <wp:inline distT="0" distB="0" distL="114300" distR="114300">
            <wp:extent cx="4295775" cy="2914650"/>
            <wp:effectExtent l="0" t="0" r="9525" b="0"/>
            <wp:docPr id="4" name="图片 4" descr="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true"/>
                    </pic:cNvPicPr>
                  </pic:nvPicPr>
                  <pic:blipFill>
                    <a:blip r:embed="rId13"/>
                    <a:stretch>
                      <a:fillRect/>
                    </a:stretch>
                  </pic:blipFill>
                  <pic:spPr>
                    <a:xfrm>
                      <a:off x="0" y="0"/>
                      <a:ext cx="4295775" cy="2914650"/>
                    </a:xfrm>
                    <a:prstGeom prst="rect">
                      <a:avLst/>
                    </a:prstGeom>
                  </pic:spPr>
                </pic:pic>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30"/>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550.98</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796.52万元</w:t>
      </w:r>
      <w:r>
        <w:rPr>
          <w:rFonts w:hint="eastAsia" w:ascii="仿宋_GB2312" w:hAnsi="仿宋_GB2312" w:eastAsia="仿宋_GB2312" w:cs="仿宋_GB2312"/>
          <w:color w:val="auto"/>
          <w:sz w:val="32"/>
          <w:szCs w:val="32"/>
          <w:highlight w:val="none"/>
        </w:rPr>
        <w:t>相比，财政拨款收、支总计各</w:t>
      </w:r>
      <w:r>
        <w:rPr>
          <w:rFonts w:hint="eastAsia" w:ascii="仿宋_GB2312" w:hAnsi="仿宋_GB2312" w:eastAsia="仿宋_GB2312" w:cs="仿宋_GB2312"/>
          <w:color w:val="auto"/>
          <w:sz w:val="32"/>
          <w:szCs w:val="32"/>
          <w:highlight w:val="none"/>
          <w:lang w:val="en-US" w:eastAsia="zh-CN"/>
        </w:rPr>
        <w:t>245.54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30.83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财政拨款收入减少。</w:t>
      </w:r>
    </w:p>
    <w:p>
      <w:pPr>
        <w:spacing w:line="240" w:lineRule="auto"/>
        <w:jc w:val="center"/>
        <w:rPr>
          <w:rFonts w:hint="eastAsia" w:ascii="仿宋" w:hAnsi="仿宋" w:eastAsia="仿宋"/>
          <w:color w:val="auto"/>
          <w:sz w:val="32"/>
          <w:szCs w:val="32"/>
          <w:highlight w:val="none"/>
          <w:lang w:eastAsia="zh-CN"/>
        </w:rPr>
      </w:pPr>
      <w:r>
        <w:drawing>
          <wp:inline distT="0" distB="0" distL="114300" distR="114300">
            <wp:extent cx="4826000" cy="2743200"/>
            <wp:effectExtent l="4445" t="4445" r="825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30"/>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26"/>
      <w:bookmarkEnd w:id="27"/>
    </w:p>
    <w:p>
      <w:pPr>
        <w:spacing w:line="600" w:lineRule="exact"/>
        <w:ind w:firstLine="642"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399.88</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72.74</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796.52万元</w:t>
      </w:r>
      <w:r>
        <w:rPr>
          <w:rFonts w:hint="eastAsia" w:ascii="仿宋_GB2312" w:hAnsi="仿宋_GB2312" w:eastAsia="仿宋_GB2312" w:cs="仿宋_GB2312"/>
          <w:color w:val="auto"/>
          <w:sz w:val="32"/>
          <w:szCs w:val="32"/>
          <w:highlight w:val="none"/>
        </w:rPr>
        <w:t>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396.64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49.80</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优抚对象医疗补助减少。</w:t>
      </w:r>
    </w:p>
    <w:p>
      <w:pPr>
        <w:spacing w:line="240" w:lineRule="auto"/>
        <w:ind w:firstLine="420" w:firstLineChars="200"/>
        <w:jc w:val="center"/>
        <w:rPr>
          <w:rFonts w:hint="eastAsia" w:ascii="仿宋" w:hAnsi="仿宋" w:eastAsia="仿宋"/>
          <w:color w:val="auto"/>
          <w:sz w:val="32"/>
          <w:szCs w:val="32"/>
          <w:highlight w:val="none"/>
          <w:lang w:eastAsia="zh-CN"/>
        </w:rPr>
      </w:pPr>
      <w:r>
        <w:drawing>
          <wp:inline distT="0" distB="0" distL="114300" distR="114300">
            <wp:extent cx="4826000" cy="2743200"/>
            <wp:effectExtent l="4445" t="4445" r="825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2"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399.88</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val="0"/>
          <w:bCs/>
          <w:color w:val="auto"/>
          <w:sz w:val="32"/>
          <w:szCs w:val="32"/>
          <w:highlight w:val="none"/>
        </w:rPr>
        <w:t>社会保障和就业（类）支出</w:t>
      </w:r>
      <w:r>
        <w:rPr>
          <w:rFonts w:hint="eastAsia" w:ascii="仿宋_GB2312" w:hAnsi="仿宋_GB2312" w:eastAsia="仿宋_GB2312" w:cs="仿宋_GB2312"/>
          <w:b w:val="0"/>
          <w:bCs/>
          <w:color w:val="auto"/>
          <w:sz w:val="32"/>
          <w:szCs w:val="32"/>
          <w:highlight w:val="none"/>
          <w:lang w:val="en-US" w:eastAsia="zh-CN"/>
        </w:rPr>
        <w:t>255.82</w:t>
      </w:r>
      <w:r>
        <w:rPr>
          <w:rFonts w:hint="eastAsia" w:ascii="仿宋_GB2312" w:hAnsi="仿宋_GB2312" w:eastAsia="仿宋_GB2312" w:cs="仿宋_GB2312"/>
          <w:b w:val="0"/>
          <w:bCs/>
          <w:color w:val="auto"/>
          <w:sz w:val="32"/>
          <w:szCs w:val="32"/>
          <w:highlight w:val="none"/>
        </w:rPr>
        <w:t>万元，占</w:t>
      </w:r>
      <w:r>
        <w:rPr>
          <w:rFonts w:hint="eastAsia" w:ascii="仿宋_GB2312" w:hAnsi="仿宋_GB2312" w:eastAsia="仿宋_GB2312" w:cs="仿宋_GB2312"/>
          <w:b w:val="0"/>
          <w:bCs/>
          <w:color w:val="auto"/>
          <w:sz w:val="32"/>
          <w:szCs w:val="32"/>
          <w:highlight w:val="none"/>
          <w:lang w:val="en-US" w:eastAsia="zh-CN"/>
        </w:rPr>
        <w:t>63.97</w:t>
      </w:r>
      <w:r>
        <w:rPr>
          <w:rFonts w:hint="eastAsia" w:ascii="仿宋_GB2312" w:hAnsi="仿宋_GB2312" w:eastAsia="仿宋_GB2312" w:cs="仿宋_GB2312"/>
          <w:b w:val="0"/>
          <w:bCs/>
          <w:color w:val="auto"/>
          <w:sz w:val="32"/>
          <w:szCs w:val="32"/>
          <w:highlight w:val="none"/>
        </w:rPr>
        <w:t>%；卫生健康支出</w:t>
      </w:r>
      <w:r>
        <w:rPr>
          <w:rFonts w:hint="eastAsia" w:ascii="仿宋_GB2312" w:hAnsi="仿宋_GB2312" w:eastAsia="仿宋_GB2312" w:cs="仿宋_GB2312"/>
          <w:b w:val="0"/>
          <w:bCs/>
          <w:color w:val="auto"/>
          <w:sz w:val="32"/>
          <w:szCs w:val="32"/>
          <w:highlight w:val="none"/>
          <w:lang w:val="en-US" w:eastAsia="zh-CN"/>
        </w:rPr>
        <w:t>111.09</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27.78</w:t>
      </w: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32.97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8.25</w:t>
      </w:r>
      <w:r>
        <w:rPr>
          <w:rFonts w:hint="eastAsia" w:ascii="仿宋_GB2312" w:hAnsi="仿宋_GB2312" w:eastAsia="仿宋_GB2312" w:cs="仿宋_GB2312"/>
          <w:color w:val="auto"/>
          <w:sz w:val="32"/>
          <w:szCs w:val="32"/>
          <w:highlight w:val="none"/>
        </w:rPr>
        <w:t>%。</w:t>
      </w:r>
    </w:p>
    <w:p>
      <w:pPr>
        <w:spacing w:line="240" w:lineRule="auto"/>
        <w:ind w:firstLine="640"/>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371975" cy="2952750"/>
            <wp:effectExtent l="0" t="0" r="9525" b="0"/>
            <wp:docPr id="1" name="图片 1" descr="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5"/>
                    <pic:cNvPicPr>
                      <a:picLocks noChangeAspect="true"/>
                    </pic:cNvPicPr>
                  </pic:nvPicPr>
                  <pic:blipFill>
                    <a:blip r:embed="rId16"/>
                    <a:stretch>
                      <a:fillRect/>
                    </a:stretch>
                  </pic:blipFill>
                  <pic:spPr>
                    <a:xfrm>
                      <a:off x="0" y="0"/>
                      <a:ext cx="4371975" cy="2952750"/>
                    </a:xfrm>
                    <a:prstGeom prst="rect">
                      <a:avLst/>
                    </a:prstGeom>
                  </pic:spPr>
                </pic:pic>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rPr>
      </w:pPr>
      <w:bookmarkStart w:id="31" w:name="_Toc15377444"/>
      <w:bookmarkStart w:id="32" w:name="_Toc15378460"/>
      <w:bookmarkStart w:id="33" w:name="_Toc15377213"/>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399.88万元</w:t>
      </w:r>
      <w:r>
        <w:rPr>
          <w:rFonts w:hint="eastAsia"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rPr>
        <w:t>完成预算</w:t>
      </w:r>
      <w:r>
        <w:rPr>
          <w:rStyle w:val="18"/>
          <w:rFonts w:hint="eastAsia" w:ascii="仿宋_GB2312" w:hAnsi="仿宋_GB2312" w:eastAsia="仿宋_GB2312" w:cs="仿宋_GB2312"/>
          <w:b w:val="0"/>
          <w:bCs/>
          <w:color w:val="auto"/>
          <w:sz w:val="32"/>
          <w:szCs w:val="32"/>
          <w:highlight w:val="none"/>
          <w:lang w:val="en-US" w:eastAsia="zh-CN"/>
        </w:rPr>
        <w:t>400.25万元</w:t>
      </w:r>
      <w:r>
        <w:rPr>
          <w:rStyle w:val="18"/>
          <w:rFonts w:hint="eastAsia" w:ascii="仿宋_GB2312" w:hAnsi="仿宋_GB2312" w:eastAsia="仿宋_GB2312" w:cs="仿宋_GB2312"/>
          <w:b w:val="0"/>
          <w:bCs/>
          <w:color w:val="auto"/>
          <w:sz w:val="32"/>
          <w:szCs w:val="32"/>
          <w:highlight w:val="none"/>
          <w:lang w:eastAsia="zh-CN"/>
        </w:rPr>
        <w:t>的</w:t>
      </w:r>
      <w:r>
        <w:rPr>
          <w:rStyle w:val="18"/>
          <w:rFonts w:hint="eastAsia" w:ascii="仿宋_GB2312" w:hAnsi="仿宋_GB2312" w:eastAsia="仿宋_GB2312" w:cs="仿宋_GB2312"/>
          <w:b w:val="0"/>
          <w:bCs/>
          <w:color w:val="auto"/>
          <w:sz w:val="32"/>
          <w:szCs w:val="32"/>
          <w:highlight w:val="none"/>
          <w:lang w:val="en-US" w:eastAsia="zh-CN"/>
        </w:rPr>
        <w:t>99.91</w:t>
      </w:r>
      <w:r>
        <w:rPr>
          <w:rStyle w:val="18"/>
          <w:rFonts w:hint="eastAsia" w:ascii="仿宋_GB2312" w:hAnsi="仿宋_GB2312" w:eastAsia="仿宋_GB2312" w:cs="仿宋_GB2312"/>
          <w:b w:val="0"/>
          <w:bCs/>
          <w:color w:val="auto"/>
          <w:sz w:val="32"/>
          <w:szCs w:val="32"/>
          <w:highlight w:val="none"/>
        </w:rPr>
        <w:t>%。其中：</w:t>
      </w:r>
      <w:bookmarkEnd w:id="31"/>
      <w:bookmarkEnd w:id="32"/>
      <w:bookmarkEnd w:id="33"/>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1.社会保障和就业（类）行政事业单位养老支出（款）机关事业单位基本养老保险缴费支出（项）: 支出决算为20.42万元，完成预算100%,决算与预算持平。</w:t>
      </w:r>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2.社会保障和就业（类）抚恤（款）优抚事业单位支出（项）：支出决算为231.66万元，完成预算99.96%,主要原因是部分资金待支付。</w:t>
      </w:r>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3.社会保障和就业（类）抚恤（款）其他优抚支出（项）：支出决算为3.73万元，完成预算93.25%,主要原因是部分资金待支付。</w:t>
      </w:r>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4.卫生健康（类）行政事业单位医疗（款）事业单位医疗（项）：支出决算为11.09万元，完成预算100%,决算与预算持平。</w:t>
      </w:r>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5.卫生健康（类）优抚对象医疗（款）优抚对象医疗补助（项）：支出决算为100万元，完成预算100%,决算与预算持平。</w:t>
      </w:r>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6.</w:t>
      </w:r>
      <w:r>
        <w:rPr>
          <w:rFonts w:hint="eastAsia" w:ascii="仿宋_GB2312" w:hAnsi="仿宋_GB2312" w:eastAsia="仿宋_GB2312" w:cs="仿宋_GB2312"/>
          <w:b w:val="0"/>
          <w:bCs/>
          <w:color w:val="auto"/>
          <w:sz w:val="32"/>
          <w:szCs w:val="32"/>
          <w:highlight w:val="none"/>
        </w:rPr>
        <w:t>住房保障支出（类）住房改革支出（款）</w:t>
      </w:r>
      <w:r>
        <w:rPr>
          <w:rFonts w:hint="eastAsia" w:ascii="仿宋_GB2312" w:hAnsi="仿宋_GB2312" w:eastAsia="仿宋_GB2312" w:cs="仿宋_GB2312"/>
          <w:b w:val="0"/>
          <w:bCs/>
          <w:color w:val="auto"/>
          <w:sz w:val="32"/>
          <w:szCs w:val="32"/>
          <w:highlight w:val="none"/>
          <w:lang w:eastAsia="zh-CN"/>
        </w:rPr>
        <w:t>住房公积金</w:t>
      </w:r>
      <w:r>
        <w:rPr>
          <w:rFonts w:hint="eastAsia" w:ascii="仿宋_GB2312" w:hAnsi="仿宋_GB2312" w:eastAsia="仿宋_GB2312" w:cs="仿宋_GB2312"/>
          <w:b w:val="0"/>
          <w:bCs/>
          <w:color w:val="auto"/>
          <w:sz w:val="32"/>
          <w:szCs w:val="32"/>
          <w:highlight w:val="none"/>
        </w:rPr>
        <w:t>（项）</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支出决算为24.97万元，完成预算</w:t>
      </w:r>
      <w:r>
        <w:rPr>
          <w:rFonts w:hint="eastAsia" w:ascii="仿宋_GB2312" w:hAnsi="仿宋_GB2312" w:eastAsia="仿宋_GB2312" w:cs="仿宋_GB2312"/>
          <w:b w:val="0"/>
          <w:bCs/>
          <w:color w:val="auto"/>
          <w:sz w:val="32"/>
          <w:szCs w:val="32"/>
          <w:highlight w:val="none"/>
          <w:lang w:val="en-US" w:eastAsia="zh-CN"/>
        </w:rPr>
        <w:t>100</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,决算与预算持平</w:t>
      </w:r>
      <w:r>
        <w:rPr>
          <w:rFonts w:hint="eastAsia" w:ascii="仿宋_GB2312" w:hAnsi="仿宋_GB2312" w:eastAsia="仿宋_GB2312" w:cs="仿宋_GB2312"/>
          <w:b w:val="0"/>
          <w:bCs/>
          <w:color w:val="auto"/>
          <w:sz w:val="32"/>
          <w:szCs w:val="32"/>
          <w:highlight w:val="none"/>
          <w:lang w:eastAsia="zh-CN"/>
        </w:rPr>
        <w:t>。</w:t>
      </w:r>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7.</w:t>
      </w:r>
      <w:r>
        <w:rPr>
          <w:rFonts w:hint="eastAsia" w:ascii="仿宋_GB2312" w:hAnsi="仿宋_GB2312" w:eastAsia="仿宋_GB2312" w:cs="仿宋_GB2312"/>
          <w:b w:val="0"/>
          <w:bCs/>
          <w:color w:val="auto"/>
          <w:sz w:val="32"/>
          <w:szCs w:val="32"/>
          <w:highlight w:val="none"/>
        </w:rPr>
        <w:t>住房保障支出（类）住房改革支出（款）</w:t>
      </w:r>
      <w:r>
        <w:rPr>
          <w:rFonts w:hint="eastAsia" w:ascii="仿宋_GB2312" w:hAnsi="仿宋_GB2312" w:eastAsia="仿宋_GB2312" w:cs="仿宋_GB2312"/>
          <w:b w:val="0"/>
          <w:bCs/>
          <w:color w:val="auto"/>
          <w:sz w:val="32"/>
          <w:szCs w:val="32"/>
          <w:highlight w:val="none"/>
          <w:lang w:eastAsia="zh-CN"/>
        </w:rPr>
        <w:t>购房补贴</w:t>
      </w:r>
      <w:r>
        <w:rPr>
          <w:rFonts w:hint="eastAsia" w:ascii="仿宋_GB2312" w:hAnsi="仿宋_GB2312" w:eastAsia="仿宋_GB2312" w:cs="仿宋_GB2312"/>
          <w:b w:val="0"/>
          <w:bCs/>
          <w:color w:val="auto"/>
          <w:sz w:val="32"/>
          <w:szCs w:val="32"/>
          <w:highlight w:val="none"/>
        </w:rPr>
        <w:t>（项）</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支出决算为</w:t>
      </w:r>
      <w:r>
        <w:rPr>
          <w:rFonts w:hint="eastAsia" w:ascii="仿宋_GB2312" w:hAnsi="仿宋_GB2312" w:eastAsia="仿宋_GB2312" w:cs="仿宋_GB2312"/>
          <w:b w:val="0"/>
          <w:bCs/>
          <w:color w:val="auto"/>
          <w:sz w:val="32"/>
          <w:szCs w:val="32"/>
          <w:highlight w:val="none"/>
          <w:lang w:val="en-US" w:eastAsia="zh-CN"/>
        </w:rPr>
        <w:t>8</w:t>
      </w:r>
      <w:r>
        <w:rPr>
          <w:rFonts w:hint="eastAsia" w:ascii="仿宋_GB2312" w:hAnsi="仿宋_GB2312" w:eastAsia="仿宋_GB2312" w:cs="仿宋_GB2312"/>
          <w:b w:val="0"/>
          <w:bCs/>
          <w:color w:val="auto"/>
          <w:sz w:val="32"/>
          <w:szCs w:val="32"/>
          <w:highlight w:val="none"/>
        </w:rPr>
        <w:t>万元，完成预算</w:t>
      </w:r>
      <w:r>
        <w:rPr>
          <w:rFonts w:hint="eastAsia" w:ascii="仿宋_GB2312" w:hAnsi="仿宋_GB2312" w:eastAsia="仿宋_GB2312" w:cs="仿宋_GB2312"/>
          <w:b w:val="0"/>
          <w:bCs/>
          <w:color w:val="auto"/>
          <w:sz w:val="32"/>
          <w:szCs w:val="32"/>
          <w:highlight w:val="none"/>
          <w:lang w:val="en-US" w:eastAsia="zh-CN"/>
        </w:rPr>
        <w:t>100</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,决算与预算持平</w:t>
      </w:r>
      <w:r>
        <w:rPr>
          <w:rFonts w:hint="eastAsia" w:ascii="仿宋_GB2312" w:hAnsi="仿宋_GB2312" w:eastAsia="仿宋_GB2312" w:cs="仿宋_GB2312"/>
          <w:b w:val="0"/>
          <w:bCs/>
          <w:color w:val="auto"/>
          <w:sz w:val="32"/>
          <w:szCs w:val="32"/>
          <w:highlight w:val="none"/>
          <w:lang w:eastAsia="zh-CN"/>
        </w:rPr>
        <w:t>。</w:t>
      </w:r>
    </w:p>
    <w:p>
      <w:pPr>
        <w:tabs>
          <w:tab w:val="right" w:pos="8306"/>
        </w:tabs>
        <w:spacing w:line="600" w:lineRule="exact"/>
        <w:ind w:firstLine="640" w:firstLineChars="200"/>
        <w:outlineLvl w:val="1"/>
        <w:rPr>
          <w:rStyle w:val="30"/>
          <w:color w:val="auto"/>
          <w:highlight w:val="none"/>
        </w:rPr>
      </w:pPr>
      <w:bookmarkStart w:id="67" w:name="_GoBack"/>
      <w:bookmarkEnd w:id="67"/>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34"/>
      <w:bookmarkEnd w:id="35"/>
      <w:r>
        <w:rPr>
          <w:rStyle w:val="30"/>
          <w:rFonts w:ascii="黑体" w:hAnsi="黑体" w:eastAsia="黑体"/>
          <w:b w:val="0"/>
          <w:color w:val="auto"/>
          <w:highlight w:val="none"/>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292.15</w:t>
      </w:r>
      <w:r>
        <w:rPr>
          <w:rFonts w:hint="eastAsia" w:ascii="仿宋_GB2312" w:hAnsi="仿宋_GB2312" w:eastAsia="仿宋_GB2312" w:cs="仿宋_GB2312"/>
          <w:color w:val="auto"/>
          <w:sz w:val="32"/>
          <w:szCs w:val="32"/>
          <w:highlight w:val="none"/>
        </w:rPr>
        <w:t>万元，其中：</w:t>
      </w:r>
    </w:p>
    <w:p>
      <w:pPr>
        <w:spacing w:line="600" w:lineRule="exact"/>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268.55</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万元，主要包括：基本工资、津贴补贴、奖金、绩效工资、机关事业单位基本养老保险缴费、其他社会保障缴费、其他工资福利支出、生活补助、医疗费补助、住房公积金等。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23.6</w:t>
      </w:r>
      <w:r>
        <w:rPr>
          <w:rFonts w:hint="eastAsia" w:ascii="仿宋_GB2312" w:hAnsi="仿宋_GB2312" w:eastAsia="仿宋_GB2312" w:cs="仿宋_GB2312"/>
          <w:color w:val="auto"/>
          <w:sz w:val="32"/>
          <w:szCs w:val="32"/>
          <w:highlight w:val="none"/>
        </w:rPr>
        <w:t>万元，主要包括：办公费、邮电费、差旅费、维修（护）费、公务接待费、工会经费、公务用车运行维护费、其他商品和服务支出等。</w:t>
      </w:r>
    </w:p>
    <w:p>
      <w:pPr>
        <w:spacing w:line="600" w:lineRule="exact"/>
        <w:outlineLvl w:val="1"/>
        <w:rPr>
          <w:rFonts w:hint="eastAsia" w:ascii="黑体" w:eastAsia="黑体"/>
          <w:color w:val="auto"/>
          <w:sz w:val="32"/>
          <w:szCs w:val="32"/>
          <w:highlight w:val="none"/>
        </w:rPr>
      </w:pPr>
      <w:bookmarkStart w:id="36" w:name="_Toc15396609"/>
      <w:bookmarkStart w:id="37" w:name="_Toc15377215"/>
    </w:p>
    <w:p>
      <w:pPr>
        <w:spacing w:line="600" w:lineRule="exact"/>
        <w:ind w:firstLine="640" w:firstLineChars="200"/>
        <w:outlineLvl w:val="1"/>
        <w:rPr>
          <w:rStyle w:val="30"/>
          <w:rFonts w:ascii="黑体" w:hAnsi="黑体" w:eastAsia="黑体"/>
          <w:b w:val="0"/>
          <w:color w:val="auto"/>
          <w:highlight w:val="none"/>
        </w:rPr>
      </w:pPr>
      <w:r>
        <w:rPr>
          <w:rFonts w:hint="eastAsia" w:ascii="黑体" w:eastAsia="黑体"/>
          <w:color w:val="auto"/>
          <w:sz w:val="32"/>
          <w:szCs w:val="32"/>
          <w:highlight w:val="none"/>
        </w:rPr>
        <w:t>七、</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2.47</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5万元的49.4</w:t>
      </w:r>
      <w:r>
        <w:rPr>
          <w:rFonts w:hint="eastAsia" w:ascii="仿宋_GB2312" w:hAnsi="仿宋_GB2312" w:eastAsia="仿宋_GB2312" w:cs="仿宋_GB2312"/>
          <w:color w:val="auto"/>
          <w:sz w:val="32"/>
          <w:szCs w:val="32"/>
          <w:highlight w:val="none"/>
        </w:rPr>
        <w:t>%，决算数小于预算数的主要原因是落实厉行节约、过紧日子“十三条措施”有关要求，严格控制接待标准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通过加强公务用车日常管理，降低车辆消耗。</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年初未安排预算</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2.35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95.14</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4.86</w:t>
      </w:r>
      <w:r>
        <w:rPr>
          <w:rFonts w:hint="eastAsia" w:ascii="仿宋_GB2312" w:hAnsi="仿宋_GB2312" w:eastAsia="仿宋_GB2312" w:cs="仿宋_GB2312"/>
          <w:color w:val="auto"/>
          <w:sz w:val="32"/>
          <w:szCs w:val="32"/>
          <w:highlight w:val="none"/>
        </w:rPr>
        <w:t>%。具体情况如下：</w:t>
      </w:r>
    </w:p>
    <w:p>
      <w:pPr>
        <w:spacing w:line="240" w:lineRule="auto"/>
        <w:ind w:firstLine="640"/>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438650" cy="2733675"/>
            <wp:effectExtent l="0" t="0" r="0" b="9525"/>
            <wp:docPr id="7" name="图片 7" descr="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6"/>
                    <pic:cNvPicPr>
                      <a:picLocks noChangeAspect="true"/>
                    </pic:cNvPicPr>
                  </pic:nvPicPr>
                  <pic:blipFill>
                    <a:blip r:embed="rId17"/>
                    <a:stretch>
                      <a:fillRect/>
                    </a:stretch>
                  </pic:blipFill>
                  <pic:spPr>
                    <a:xfrm>
                      <a:off x="0" y="0"/>
                      <a:ext cx="4438650" cy="2733675"/>
                    </a:xfrm>
                    <a:prstGeom prst="rect">
                      <a:avLst/>
                    </a:prstGeom>
                  </pic:spPr>
                </pic:pic>
              </a:graphicData>
            </a:graphic>
          </wp:inline>
        </w:drawing>
      </w:r>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color w:val="auto"/>
          <w:sz w:val="32"/>
          <w:szCs w:val="32"/>
          <w:highlight w:val="none"/>
          <w:lang w:val="en-US" w:eastAsia="zh-CN"/>
        </w:rPr>
        <w:t>.因公出国（境）经费支出0万元，年初未安排预算。因公出国出境支出决算数较2020年无变化。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公务用车购置及运行维护费支出2.35万元,完成预算4万元的58.75%。公务用车购置及运行维护费支出决算比2020年的3.84万元减少1.49万元，下降38.8%。主要原因是转变作风、厉行节约,落实过紧日子“十三条措施”有关要求，加强公务用车日常管理，降低车辆消耗。</w:t>
      </w:r>
    </w:p>
    <w:p>
      <w:pPr>
        <w:spacing w:line="576"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其中：公务用车购置支出0万元。截至2021年12月底，广元市光荣院共有车辆2辆，其中：应急保障用车1辆、其他用车1辆。</w:t>
      </w:r>
    </w:p>
    <w:p>
      <w:pPr>
        <w:spacing w:line="576"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公务用车运行维护费支出2.35万元。主要用于供养服务工作开展等所需的公务用车燃料费、维修费、过路过桥费、保险费等支出。</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3.公务接待费支出0.12万元，完成预算1万元的12%。公务接待费支出决算比2020年0.41万元减少0.29万元，下降70.73%。主要原因是落实厉行节约、过紧日子“十三条措施”有关要求，严格控制接待标准等。其中：</w:t>
      </w:r>
    </w:p>
    <w:p>
      <w:pPr>
        <w:adjustRightInd w:val="0"/>
        <w:snapToGrid w:val="0"/>
        <w:spacing w:line="550" w:lineRule="exact"/>
        <w:ind w:firstLine="640" w:firstLineChars="200"/>
        <w:rPr>
          <w:rFonts w:ascii="仿宋_GB2312" w:eastAsia="仿宋_GB2312"/>
          <w:sz w:val="32"/>
          <w:szCs w:val="32"/>
        </w:rPr>
      </w:pPr>
      <w:bookmarkStart w:id="40" w:name="_Toc15377218"/>
      <w:bookmarkStart w:id="41" w:name="_Toc15396610"/>
      <w:r>
        <w:rPr>
          <w:rFonts w:hint="eastAsia" w:ascii="仿宋_GB2312" w:hAnsi="仿宋_GB2312" w:eastAsia="仿宋_GB2312" w:cs="仿宋_GB2312"/>
          <w:color w:val="auto"/>
          <w:sz w:val="32"/>
          <w:szCs w:val="32"/>
          <w:highlight w:val="none"/>
          <w:lang w:val="en-US" w:eastAsia="zh-CN"/>
        </w:rPr>
        <w:t>国内公务接待支出0.12万元，</w:t>
      </w:r>
      <w:r>
        <w:rPr>
          <w:rFonts w:hint="eastAsia" w:ascii="仿宋_GB2312" w:eastAsia="仿宋_GB2312" w:cs="仿宋_GB2312"/>
          <w:color w:val="000000"/>
          <w:sz w:val="30"/>
          <w:szCs w:val="30"/>
          <w:highlight w:val="none"/>
        </w:rPr>
        <w:t>主要用</w:t>
      </w:r>
      <w:r>
        <w:rPr>
          <w:rFonts w:hint="eastAsia" w:ascii="仿宋_GB2312" w:hAnsi="仿宋_GB2312" w:eastAsia="仿宋_GB2312" w:cs="仿宋_GB2312"/>
          <w:color w:val="auto"/>
          <w:sz w:val="32"/>
          <w:szCs w:val="32"/>
          <w:highlight w:val="none"/>
          <w:lang w:val="en-US" w:eastAsia="zh-CN"/>
        </w:rPr>
        <w:t>于执行公务、开展业务活动开支的餐费。国内公务接待2批次，12人次,共计支出0.12万元。具体内容包括</w:t>
      </w:r>
      <w:r>
        <w:rPr>
          <w:rFonts w:hint="eastAsia" w:ascii="仿宋_GB2312" w:eastAsia="仿宋_GB2312" w:cs="仿宋_GB2312"/>
          <w:color w:val="000000"/>
          <w:sz w:val="30"/>
          <w:szCs w:val="30"/>
          <w:highlight w:val="none"/>
        </w:rPr>
        <w:t>：</w:t>
      </w:r>
      <w:r>
        <w:rPr>
          <w:rFonts w:hint="eastAsia" w:ascii="仿宋_GB2312" w:eastAsia="仿宋_GB2312"/>
          <w:sz w:val="32"/>
          <w:szCs w:val="32"/>
        </w:rPr>
        <w:t>其他市州</w:t>
      </w:r>
      <w:r>
        <w:rPr>
          <w:rFonts w:hint="eastAsia" w:ascii="仿宋_GB2312" w:eastAsia="仿宋_GB2312"/>
          <w:sz w:val="32"/>
          <w:szCs w:val="32"/>
          <w:lang w:eastAsia="zh-CN"/>
        </w:rPr>
        <w:t>退役军人事务系统</w:t>
      </w:r>
      <w:r>
        <w:rPr>
          <w:rFonts w:hint="eastAsia" w:ascii="仿宋_GB2312" w:eastAsia="仿宋_GB2312"/>
          <w:sz w:val="32"/>
          <w:szCs w:val="32"/>
        </w:rPr>
        <w:t>来我</w:t>
      </w:r>
      <w:r>
        <w:rPr>
          <w:rFonts w:hint="eastAsia" w:ascii="仿宋_GB2312" w:eastAsia="仿宋_GB2312"/>
          <w:sz w:val="32"/>
          <w:szCs w:val="32"/>
          <w:lang w:eastAsia="zh-CN"/>
        </w:rPr>
        <w:t>院</w:t>
      </w:r>
      <w:r>
        <w:rPr>
          <w:rFonts w:hint="eastAsia" w:ascii="仿宋_GB2312" w:eastAsia="仿宋_GB2312"/>
          <w:sz w:val="32"/>
          <w:szCs w:val="32"/>
        </w:rPr>
        <w:t>交流学习。</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外事接待支出0万元。</w:t>
      </w:r>
    </w:p>
    <w:p>
      <w:pPr>
        <w:spacing w:line="600" w:lineRule="exact"/>
        <w:ind w:firstLine="642" w:firstLineChars="200"/>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八、政府性基金预算支出决算情况说明</w:t>
      </w:r>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2021年政府性基金预算财政拨款支出149.89万元。未在政府性基金预算拨款安排“三公经费”支出。</w:t>
      </w:r>
    </w:p>
    <w:p>
      <w:pPr>
        <w:spacing w:line="600" w:lineRule="exact"/>
        <w:ind w:firstLine="642" w:firstLineChars="200"/>
        <w:rPr>
          <w:rFonts w:hint="eastAsia" w:ascii="仿宋" w:hAnsi="仿宋" w:eastAsia="仿宋"/>
          <w:b/>
          <w:bCs/>
          <w:color w:val="auto"/>
          <w:sz w:val="32"/>
          <w:szCs w:val="32"/>
          <w:highlight w:val="none"/>
          <w:lang w:val="en-US" w:eastAsia="zh-CN"/>
        </w:rPr>
      </w:pPr>
      <w:bookmarkStart w:id="42" w:name="_Toc15377219"/>
      <w:bookmarkStart w:id="43" w:name="_Toc15396611"/>
      <w:r>
        <w:rPr>
          <w:rFonts w:hint="eastAsia" w:ascii="仿宋" w:hAnsi="仿宋" w:eastAsia="仿宋"/>
          <w:b/>
          <w:bCs/>
          <w:color w:val="auto"/>
          <w:sz w:val="32"/>
          <w:szCs w:val="32"/>
          <w:highlight w:val="none"/>
          <w:lang w:val="en-US" w:eastAsia="zh-CN"/>
        </w:rPr>
        <w:t>九、国有资本经营预算支出决算情况说明</w:t>
      </w:r>
      <w:bookmarkEnd w:id="42"/>
      <w:bookmarkEnd w:id="43"/>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2021年国有资本经营预算财政拨款支出0万元。</w:t>
      </w:r>
    </w:p>
    <w:p>
      <w:pPr>
        <w:spacing w:line="600" w:lineRule="exact"/>
        <w:ind w:firstLine="642" w:firstLineChars="200"/>
        <w:rPr>
          <w:rFonts w:hint="eastAsia" w:ascii="仿宋" w:hAnsi="仿宋" w:eastAsia="仿宋"/>
          <w:b/>
          <w:bCs/>
          <w:color w:val="auto"/>
          <w:sz w:val="32"/>
          <w:szCs w:val="32"/>
          <w:highlight w:val="none"/>
          <w:lang w:val="en-US" w:eastAsia="zh-CN"/>
        </w:rPr>
      </w:pPr>
      <w:bookmarkStart w:id="44" w:name="_Toc15377221"/>
      <w:bookmarkStart w:id="45" w:name="_Toc15396612"/>
      <w:r>
        <w:rPr>
          <w:rFonts w:hint="eastAsia" w:ascii="仿宋" w:hAnsi="仿宋" w:eastAsia="仿宋"/>
          <w:b/>
          <w:bCs/>
          <w:color w:val="auto"/>
          <w:sz w:val="32"/>
          <w:szCs w:val="32"/>
          <w:highlight w:val="none"/>
          <w:lang w:val="en-US" w:eastAsia="zh-CN"/>
        </w:rPr>
        <w:t>十、预算绩效管理情况</w:t>
      </w:r>
    </w:p>
    <w:p>
      <w:pPr>
        <w:spacing w:line="600" w:lineRule="exact"/>
        <w:ind w:firstLine="640"/>
        <w:jc w:val="left"/>
        <w:rPr>
          <w:rFonts w:hint="eastAsia" w:ascii="仿宋" w:hAnsi="仿宋" w:eastAsia="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根据预算绩效管理要求，本单位在2021年初预算编制阶段，按政策要求组织对供养老人经费项目开展了预算事前绩效评估，组织对“驻村帮扶工作经费”、“革命传统教育宣讲经费”、“医疗巡诊从运行维护费”、“供养楼电梯运行维护费”、“荣誉军人休养中心补助经费”5个项目编制了绩效目标，预算执行过程中，对5个项目开展了绩效监控，年终执行完毕后，对5个项目开展绩效目标完成情况自评,2021年部门预算项目绩效目标自评表见附件（第四部分）。         </w:t>
      </w:r>
      <w:r>
        <w:rPr>
          <w:rFonts w:hint="eastAsia" w:ascii="仿宋" w:hAnsi="仿宋" w:eastAsia="仿宋"/>
          <w:color w:val="auto"/>
          <w:sz w:val="32"/>
          <w:szCs w:val="32"/>
          <w:highlight w:val="none"/>
          <w:lang w:val="en-US" w:eastAsia="zh-CN"/>
        </w:rPr>
        <w:t xml:space="preserve">                                                          </w:t>
      </w:r>
    </w:p>
    <w:p>
      <w:pPr>
        <w:spacing w:line="600" w:lineRule="exact"/>
        <w:ind w:firstLine="642" w:firstLineChars="200"/>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十一、其他重要事项的情况说明</w:t>
      </w:r>
      <w:bookmarkEnd w:id="44"/>
      <w:bookmarkEnd w:id="45"/>
    </w:p>
    <w:p>
      <w:pPr>
        <w:spacing w:line="600" w:lineRule="exact"/>
        <w:ind w:firstLine="640"/>
        <w:rPr>
          <w:rFonts w:hint="eastAsia" w:ascii="仿宋" w:hAnsi="仿宋" w:eastAsia="仿宋"/>
          <w:b/>
          <w:bCs/>
          <w:color w:val="auto"/>
          <w:sz w:val="32"/>
          <w:szCs w:val="32"/>
          <w:highlight w:val="none"/>
          <w:lang w:val="en-US" w:eastAsia="zh-CN"/>
        </w:rPr>
      </w:pPr>
      <w:bookmarkStart w:id="46" w:name="_Toc15377222"/>
      <w:r>
        <w:rPr>
          <w:rFonts w:hint="eastAsia" w:ascii="仿宋" w:hAnsi="仿宋" w:eastAsia="仿宋"/>
          <w:b/>
          <w:bCs/>
          <w:color w:val="auto"/>
          <w:sz w:val="32"/>
          <w:szCs w:val="32"/>
          <w:highlight w:val="none"/>
          <w:lang w:val="en-US" w:eastAsia="zh-CN"/>
        </w:rPr>
        <w:t>（一）机关运行经费支出情况</w:t>
      </w:r>
      <w:bookmarkEnd w:id="46"/>
    </w:p>
    <w:p>
      <w:pPr>
        <w:spacing w:line="600" w:lineRule="exact"/>
        <w:ind w:firstLine="640"/>
        <w:rPr>
          <w:rFonts w:hint="eastAsia" w:ascii="仿宋_GB2312" w:hAnsi="仿宋_GB2312" w:eastAsia="仿宋_GB2312" w:cs="仿宋_GB2312"/>
          <w:color w:val="auto"/>
          <w:sz w:val="32"/>
          <w:szCs w:val="32"/>
          <w:highlight w:val="none"/>
          <w:lang w:val="en-US" w:eastAsia="zh-CN"/>
        </w:rPr>
      </w:pPr>
      <w:bookmarkStart w:id="47" w:name="_Toc15377223"/>
      <w:r>
        <w:rPr>
          <w:rFonts w:hint="eastAsia" w:ascii="仿宋_GB2312" w:hAnsi="仿宋_GB2312" w:eastAsia="仿宋_GB2312" w:cs="仿宋_GB2312"/>
          <w:color w:val="auto"/>
          <w:sz w:val="32"/>
          <w:szCs w:val="32"/>
          <w:highlight w:val="none"/>
          <w:lang w:val="en-US" w:eastAsia="zh-CN"/>
        </w:rPr>
        <w:t>本单位属事业单位，未发生机关运行经费支出。</w:t>
      </w:r>
    </w:p>
    <w:p>
      <w:pPr>
        <w:spacing w:line="600" w:lineRule="exact"/>
        <w:ind w:firstLine="640"/>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（二）政府采购支出情况</w:t>
      </w:r>
      <w:bookmarkEnd w:id="47"/>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本单位2021年未发生政府采购支出。</w:t>
      </w:r>
    </w:p>
    <w:p>
      <w:pPr>
        <w:spacing w:line="600" w:lineRule="exact"/>
        <w:ind w:firstLine="640"/>
        <w:rPr>
          <w:rFonts w:hint="eastAsia" w:ascii="仿宋" w:hAnsi="仿宋" w:eastAsia="仿宋"/>
          <w:b/>
          <w:bCs/>
          <w:color w:val="auto"/>
          <w:sz w:val="32"/>
          <w:szCs w:val="32"/>
          <w:highlight w:val="none"/>
          <w:lang w:val="en-US" w:eastAsia="zh-CN"/>
        </w:rPr>
      </w:pPr>
      <w:bookmarkStart w:id="48" w:name="_Toc15377224"/>
      <w:r>
        <w:rPr>
          <w:rFonts w:hint="eastAsia" w:ascii="仿宋" w:hAnsi="仿宋" w:eastAsia="仿宋"/>
          <w:b/>
          <w:bCs/>
          <w:color w:val="auto"/>
          <w:sz w:val="32"/>
          <w:szCs w:val="32"/>
          <w:highlight w:val="none"/>
          <w:lang w:val="en-US" w:eastAsia="zh-CN"/>
        </w:rPr>
        <w:t>（三）国有资产占有使用情况</w:t>
      </w:r>
      <w:bookmarkEnd w:id="48"/>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截至2021年12月31日，市光荣院共有车辆2辆，其中：应急保障用车1辆、其他用车1辆。其他用车主要用于优抚医院开展医疗巡诊工作。单价50万元以上通用设备1台（套）；单价100万元以上专用设备0台（套）。</w:t>
      </w:r>
    </w:p>
    <w:p>
      <w:pPr>
        <w:spacing w:line="576" w:lineRule="exact"/>
        <w:ind w:firstLine="640"/>
        <w:rPr>
          <w:rFonts w:hint="eastAsia" w:ascii="仿宋_GB2312" w:hAnsi="仿宋_GB2312" w:eastAsia="仿宋_GB2312" w:cs="仿宋_GB2312"/>
          <w:color w:val="auto"/>
          <w:sz w:val="32"/>
          <w:szCs w:val="32"/>
          <w:highlight w:val="none"/>
          <w:lang w:val="en-US" w:eastAsia="zh-CN"/>
        </w:rPr>
      </w:pPr>
    </w:p>
    <w:p>
      <w:pPr>
        <w:pStyle w:val="7"/>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Fonts w:ascii="宋体"/>
          <w:b/>
          <w:color w:val="000000"/>
          <w:sz w:val="44"/>
          <w:szCs w:val="44"/>
        </w:rPr>
      </w:pPr>
      <w:bookmarkStart w:id="49" w:name="_Toc15396613"/>
      <w:bookmarkStart w:id="50" w:name="_Toc15377225"/>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49"/>
      <w:bookmarkEnd w:id="50"/>
    </w:p>
    <w:p>
      <w:pPr>
        <w:pStyle w:val="27"/>
        <w:spacing w:line="560" w:lineRule="exact"/>
        <w:ind w:firstLine="640" w:firstLineChars="200"/>
        <w:rPr>
          <w:rFonts w:ascii="仿宋_GB2312" w:eastAsia="仿宋_GB2312"/>
          <w:sz w:val="32"/>
          <w:szCs w:val="32"/>
        </w:rPr>
      </w:pPr>
    </w:p>
    <w:p>
      <w:pPr>
        <w:pStyle w:val="27"/>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1.财政拨款收入：指单位从同级财政部门取得的财政预算资金。</w:t>
      </w:r>
    </w:p>
    <w:p>
      <w:pPr>
        <w:pStyle w:val="27"/>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2.年初结转和结余：指以前年度尚未完成、结转到本年按有关规定继续使用的资金。 </w:t>
      </w:r>
    </w:p>
    <w:p>
      <w:pPr>
        <w:pStyle w:val="27"/>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3、年末结转和结余：指单位按有关规定结转到下年或以后年度继续使用的资金。</w:t>
      </w:r>
    </w:p>
    <w:p>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4.社会保障和就业（类）行政事业单位养老支出（款）机关事业单位基本养老保险缴费支出（项），主要反映机关事业单位实施养老制度由单位缴纳的基本养老保险费支出。</w:t>
      </w:r>
    </w:p>
    <w:p>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5.社会保障和就业（类）抚恤（款）优抚事业单位支出（项），主要反映优抚事业单位基本支出和项目支出。</w:t>
      </w:r>
    </w:p>
    <w:p>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6.社会保障和就业（类）抚恤（款）其他优抚支出（项），主要反映除上述项目以外其他优抚方面的支出。</w:t>
      </w:r>
    </w:p>
    <w:p>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7.卫生健康（类）行政事业单位医疗（款）事业单位医疗（项），主要反映财政部门安排的事业单位基本医疗保险缴费支出。</w:t>
      </w:r>
    </w:p>
    <w:p>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w:t>
      </w:r>
      <w:r>
        <w:rPr>
          <w:rFonts w:hint="eastAsia" w:ascii="仿宋_GB2312" w:hAnsi="仿宋_GB2312" w:eastAsia="仿宋_GB2312" w:cs="仿宋_GB2312"/>
          <w:b w:val="0"/>
          <w:bCs/>
          <w:color w:val="auto"/>
          <w:sz w:val="32"/>
          <w:szCs w:val="32"/>
          <w:highlight w:val="none"/>
          <w:lang w:val="en-US" w:eastAsia="zh-CN"/>
        </w:rPr>
        <w:t>卫生健康（类）优抚对象医疗（款）优抚对象医疗补助（项）</w:t>
      </w:r>
      <w:r>
        <w:rPr>
          <w:rFonts w:hint="eastAsia" w:ascii="仿宋_GB2312" w:hAnsi="仿宋_GB2312" w:eastAsia="仿宋_GB2312" w:cs="仿宋_GB2312"/>
          <w:color w:val="auto"/>
          <w:kern w:val="2"/>
          <w:sz w:val="32"/>
          <w:szCs w:val="32"/>
          <w:highlight w:val="none"/>
          <w:lang w:val="en-US" w:eastAsia="zh-CN" w:bidi="ar-SA"/>
        </w:rPr>
        <w:t>，主要反映优抚对象医疗费支出。</w:t>
      </w:r>
    </w:p>
    <w:p>
      <w:pPr>
        <w:pStyle w:val="27"/>
        <w:spacing w:line="560" w:lineRule="exact"/>
        <w:ind w:firstLine="640" w:firstLineChars="200"/>
        <w:rPr>
          <w:rFonts w:hint="eastAsia" w:ascii="仿宋_GB2312" w:hAnsi="仿宋_GB2312" w:eastAsia="仿宋_GB2312" w:cs="仿宋_GB2312"/>
          <w:i w:val="0"/>
          <w:caps w:val="0"/>
          <w:smallCaps w:val="0"/>
          <w:color w:val="000000"/>
          <w:spacing w:val="0"/>
          <w:sz w:val="32"/>
          <w:szCs w:val="32"/>
          <w:shd w:val="clear" w:color="auto" w:fill="FFFFFF"/>
        </w:rPr>
      </w:pPr>
      <w:r>
        <w:rPr>
          <w:rFonts w:hint="eastAsia" w:ascii="仿宋_GB2312" w:hAnsi="仿宋_GB2312" w:eastAsia="仿宋_GB2312" w:cs="仿宋_GB2312"/>
          <w:color w:val="auto"/>
          <w:kern w:val="2"/>
          <w:sz w:val="32"/>
          <w:szCs w:val="32"/>
          <w:highlight w:val="none"/>
          <w:lang w:val="en-US" w:eastAsia="zh-CN" w:bidi="ar-SA"/>
        </w:rPr>
        <w:t>9.住房保障支出（类）住房改革支出（款）住房公积金（项），主要反映行政事业单位按人力资源和社会保障部、财政部规定的基本工资和津贴补贴以及规定比例为职工缴纳的住房公积金。 </w:t>
      </w:r>
      <w:r>
        <w:rPr>
          <w:rFonts w:hint="eastAsia" w:ascii="仿宋_GB2312" w:hAnsi="仿宋_GB2312" w:eastAsia="仿宋_GB2312" w:cs="仿宋_GB2312"/>
          <w:i w:val="0"/>
          <w:caps w:val="0"/>
          <w:smallCaps w:val="0"/>
          <w:color w:val="000000"/>
          <w:spacing w:val="0"/>
          <w:sz w:val="32"/>
          <w:szCs w:val="32"/>
          <w:shd w:val="clear" w:color="auto" w:fill="FFFFFF"/>
        </w:rPr>
        <w:t>  </w:t>
      </w:r>
    </w:p>
    <w:p>
      <w:pPr>
        <w:pStyle w:val="27"/>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10.住房保障支出（类）住房改革支出（款） 购房补贴（项），主要反映按房改政策规定，行政事业单位向符合条件职工（含离退休人员）、军队（含武警）向转役复员离退休人员发放的用于购买住房的补贴。</w:t>
      </w:r>
    </w:p>
    <w:p>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11.基本支出：指为保障机构正常运转、完成日常工作任务而发生的人员支出和公用支出。</w:t>
      </w:r>
    </w:p>
    <w:p>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12.项目支出：指在基本支出之外为完成特定事业发展目标所发生的支出。 </w:t>
      </w:r>
    </w:p>
    <w:p>
      <w:pPr>
        <w:pStyle w:val="27"/>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三公”经费：指本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hint="eastAsia" w:ascii="仿宋_GB2312" w:hAnsi="仿宋_GB2312" w:eastAsia="仿宋_GB2312" w:cs="仿宋_GB2312"/>
          <w:color w:val="auto"/>
          <w:sz w:val="32"/>
          <w:szCs w:val="32"/>
          <w:highlight w:val="none"/>
        </w:rPr>
      </w:pPr>
    </w:p>
    <w:p>
      <w:pPr>
        <w:spacing w:line="600" w:lineRule="exact"/>
        <w:jc w:val="center"/>
        <w:outlineLvl w:val="0"/>
        <w:rPr>
          <w:rStyle w:val="29"/>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52"/>
    </w:p>
    <w:p>
      <w:pPr>
        <w:pStyle w:val="7"/>
        <w:rPr>
          <w:rFonts w:hint="eastAsia" w:eastAsia="仿宋_GB2312"/>
          <w:color w:val="auto"/>
          <w:highlight w:val="none"/>
          <w:lang w:val="en-US" w:eastAsia="zh-CN"/>
        </w:rPr>
      </w:pPr>
      <w:r>
        <w:rPr>
          <w:rFonts w:hint="eastAsia" w:ascii="仿宋" w:hAnsi="仿宋" w:eastAsia="仿宋" w:cs="Times New Roman"/>
          <w:color w:val="auto"/>
          <w:kern w:val="2"/>
          <w:sz w:val="32"/>
          <w:szCs w:val="32"/>
          <w:highlight w:val="none"/>
          <w:lang w:val="zh-CN" w:eastAsia="zh-CN" w:bidi="ar-SA"/>
        </w:rPr>
        <w:t>附件</w:t>
      </w:r>
      <w:r>
        <w:rPr>
          <w:rFonts w:hint="eastAsia" w:ascii="仿宋" w:hAnsi="仿宋" w:eastAsia="仿宋" w:cs="Times New Roman"/>
          <w:color w:val="auto"/>
          <w:kern w:val="2"/>
          <w:sz w:val="32"/>
          <w:szCs w:val="32"/>
          <w:highlight w:val="none"/>
          <w:lang w:val="en-US" w:eastAsia="zh-CN" w:bidi="ar-SA"/>
        </w:rPr>
        <w:t>1</w:t>
      </w: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2021年供养楼电梯运行维护费</w:t>
      </w:r>
    </w:p>
    <w:p>
      <w:pPr>
        <w:adjustRightInd w:val="0"/>
        <w:snapToGrid w:val="0"/>
        <w:spacing w:line="600" w:lineRule="exact"/>
        <w:jc w:val="center"/>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spacing w:line="600" w:lineRule="exact"/>
        <w:ind w:firstLine="642" w:firstLineChars="200"/>
        <w:rPr>
          <w:rFonts w:hint="eastAsia" w:ascii="仿宋" w:hAnsi="仿宋" w:eastAsia="仿宋"/>
          <w:b/>
          <w:bCs/>
          <w:color w:val="auto"/>
          <w:sz w:val="32"/>
          <w:szCs w:val="32"/>
          <w:highlight w:val="none"/>
          <w:lang w:val="zh-CN" w:eastAsia="zh-CN"/>
        </w:rPr>
      </w:pPr>
      <w:r>
        <w:rPr>
          <w:rFonts w:hint="eastAsia" w:ascii="仿宋" w:hAnsi="仿宋" w:eastAsia="仿宋"/>
          <w:b/>
          <w:bCs/>
          <w:color w:val="auto"/>
          <w:sz w:val="32"/>
          <w:szCs w:val="32"/>
          <w:highlight w:val="none"/>
          <w:lang w:val="zh-CN" w:eastAsia="zh-CN"/>
        </w:rPr>
        <w:t>一、项目概况</w:t>
      </w:r>
    </w:p>
    <w:p>
      <w:pPr>
        <w:spacing w:line="600" w:lineRule="exact"/>
        <w:ind w:firstLine="640"/>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（一）项目基本情况。</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1．说明项目主管部门（单位）在该项目管理中的职能。</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主要承担全市重点优抚对象短（中、长）期集中供养服务和红色文化等传承教育。</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项目立项、资金申报的依据。</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项目申报主要依据中华人民共和国退役军人事务部颁布的《光荣院管理办法》，其中规定“光荣院应当为服务对象提供适合老年人、残疾人居住需求的生活设施”等相关服务要求。</w:t>
      </w:r>
    </w:p>
    <w:p>
      <w:pPr>
        <w:spacing w:line="600" w:lineRule="exact"/>
        <w:ind w:firstLine="640"/>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（二）项目绩效目标。</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1．项目主要内容。</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通过项目经费实施，确保供养楼电梯正常运行，落实好重点孤老优抚对象生活保障。</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项目应实现的具体绩效目标，包括目标的量化、细化情况以及项目实施进度计划等。</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为完成年度工作目标任务，按照预算审核、绩效监督、绩效评价、结果应用的方式和程序组织实施。</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分析评价申报内容是否与实际相符，申报目标是否合理可行。</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项目严格按照规定使用，完成了预期目标，申报内容与实际相符，申报目标合理可行。</w:t>
      </w:r>
    </w:p>
    <w:p>
      <w:pPr>
        <w:spacing w:line="600" w:lineRule="exact"/>
        <w:ind w:firstLine="640"/>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（三）项目自评步骤及方法。</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相关科室负责人、分管业务领导负责预算绩效管理考核工作的具体事务。按绩效事前评估、绩效目标管理、绩效运行监控、绩效评价管理、评价结果应用等各环节的管理流程，明确各环节的工作要求、时间节点、主体责任。</w:t>
      </w:r>
    </w:p>
    <w:p>
      <w:pPr>
        <w:spacing w:line="600" w:lineRule="exact"/>
        <w:ind w:firstLine="640"/>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二、项目资金申报及使用情况。</w:t>
      </w:r>
    </w:p>
    <w:p>
      <w:pPr>
        <w:spacing w:line="600" w:lineRule="exact"/>
        <w:ind w:firstLine="640"/>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（一）项目资金申报及批复情况。</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使用预算资金符合国家财经法规和财务管理制度规定以及市财政局资金管理办法的规定；资金的拨付有完整的审批过程和手续；预算调整履行了规定程序；符合部门预算批复的用途；资金使用无截留、挤占、挪用、虚列支出等情况。</w:t>
      </w:r>
    </w:p>
    <w:p>
      <w:pPr>
        <w:spacing w:line="600" w:lineRule="exact"/>
        <w:ind w:firstLine="640"/>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（二）资金计划、到位及使用情况。</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1．资金计划。</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本单位结合实际情况，认真规划和申报项目预算。</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资金到位。</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2021年度，项目资金已全部下达，按计划及时认真实施。</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资金使用。</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资金使用过程中，遵循先事项申请，再根据实际情况实施。对项目的事前、事中、事后进行监督，实现了项目管理与过程管理的有机结合。对相关档案资料进行收集、分类、整理、归档，档案资料完整、齐全、规范。</w:t>
      </w:r>
    </w:p>
    <w:p>
      <w:pPr>
        <w:spacing w:line="600" w:lineRule="exact"/>
        <w:ind w:firstLine="640"/>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（三）项目财务管理情况。</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该项目实际支出与预算批复相符，符合国家财经法律及财务管理制度。项目资金使用合规，无挤占、挪用及截留，严格遵守财务相关要求。</w:t>
      </w:r>
    </w:p>
    <w:p>
      <w:pPr>
        <w:spacing w:line="600" w:lineRule="exact"/>
        <w:ind w:firstLine="640"/>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三、项目实施及管理情况</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资金按照单位财务制度，实行专款专用，先立项，再报经费，并采取分期付款方式进行支付。资金拨付严格审批程序，使用规范，会计核算结果真实、准确。建立健全项目实施方案、财务管理制度和会计核算制度，此次绩效评价过程中未发现有截留、挤占或挪用项目资金的情况。项目认真贯彻资金管理办法和财务管理暂行办法，严格、规范执行国家有关的财务管理制度。</w:t>
      </w:r>
    </w:p>
    <w:p>
      <w:pPr>
        <w:spacing w:line="600" w:lineRule="exact"/>
        <w:ind w:firstLine="640"/>
        <w:rPr>
          <w:rFonts w:hint="eastAsia" w:ascii="仿宋" w:hAnsi="仿宋" w:eastAsia="仿宋"/>
          <w:b/>
          <w:bCs/>
          <w:color w:val="auto"/>
          <w:sz w:val="32"/>
          <w:szCs w:val="32"/>
          <w:highlight w:val="none"/>
          <w:lang w:val="zh-CN" w:eastAsia="zh-CN"/>
        </w:rPr>
      </w:pPr>
      <w:r>
        <w:rPr>
          <w:rFonts w:hint="eastAsia" w:ascii="仿宋" w:hAnsi="仿宋" w:eastAsia="仿宋"/>
          <w:b/>
          <w:bCs/>
          <w:color w:val="auto"/>
          <w:sz w:val="32"/>
          <w:szCs w:val="32"/>
          <w:highlight w:val="none"/>
          <w:lang w:val="en-US" w:eastAsia="zh-CN"/>
        </w:rPr>
        <w:t>四、项目绩效情况</w:t>
      </w:r>
      <w:r>
        <w:rPr>
          <w:rFonts w:hint="eastAsia" w:ascii="仿宋" w:hAnsi="仿宋" w:eastAsia="仿宋"/>
          <w:b/>
          <w:bCs/>
          <w:color w:val="auto"/>
          <w:sz w:val="32"/>
          <w:szCs w:val="32"/>
          <w:highlight w:val="none"/>
          <w:lang w:val="zh-CN" w:eastAsia="zh-CN"/>
        </w:rPr>
        <w:tab/>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（一）项目完成情况。</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cs="仿宋_GB2312"/>
          <w:color w:val="000000"/>
          <w:sz w:val="32"/>
          <w:szCs w:val="32"/>
          <w:lang w:val="en-US" w:eastAsia="zh-CN"/>
        </w:rPr>
        <w:t>2021年下达我院</w:t>
      </w:r>
      <w:r>
        <w:rPr>
          <w:rFonts w:hint="eastAsia" w:ascii="仿宋_GB2312" w:hAnsi="仿宋_GB2312" w:eastAsia="仿宋_GB2312" w:cs="仿宋_GB2312"/>
          <w:sz w:val="32"/>
          <w:szCs w:val="32"/>
          <w:lang w:val="en-US" w:eastAsia="zh-CN"/>
        </w:rPr>
        <w:t>供养楼电梯运行维护费2万元，</w:t>
      </w:r>
      <w:r>
        <w:rPr>
          <w:rFonts w:hint="eastAsia" w:ascii="仿宋_GB2312" w:eastAsia="仿宋_GB2312" w:cs="仿宋_GB2312"/>
          <w:color w:val="000000"/>
          <w:sz w:val="32"/>
          <w:szCs w:val="32"/>
          <w:lang w:eastAsia="zh-CN"/>
        </w:rPr>
        <w:t>执行率为</w:t>
      </w:r>
      <w:r>
        <w:rPr>
          <w:rFonts w:hint="eastAsia" w:ascii="仿宋_GB2312" w:eastAsia="仿宋_GB2312" w:cs="仿宋_GB2312"/>
          <w:color w:val="000000"/>
          <w:sz w:val="32"/>
          <w:szCs w:val="32"/>
          <w:lang w:val="en-US" w:eastAsia="zh-CN"/>
        </w:rPr>
        <w:t>100%。</w:t>
      </w:r>
      <w:r>
        <w:rPr>
          <w:rFonts w:hint="eastAsia" w:ascii="仿宋_GB2312" w:hAnsi="仿宋_GB2312" w:eastAsia="仿宋_GB2312" w:cs="仿宋_GB2312"/>
          <w:color w:val="auto"/>
          <w:sz w:val="32"/>
          <w:szCs w:val="32"/>
          <w:highlight w:val="none"/>
          <w:lang w:val="en-US" w:eastAsia="zh-CN"/>
        </w:rPr>
        <w:t>电梯运行符合国家标准，设备年检通过及正常使用。</w:t>
      </w:r>
      <w:r>
        <w:rPr>
          <w:rFonts w:hint="eastAsia" w:ascii="仿宋_GB2312" w:eastAsia="仿宋_GB2312" w:cs="仿宋_GB2312"/>
          <w:b w:val="0"/>
          <w:bCs w:val="0"/>
          <w:sz w:val="32"/>
          <w:szCs w:val="32"/>
          <w:highlight w:val="none"/>
          <w:lang w:val="en-US" w:eastAsia="zh-CN"/>
        </w:rPr>
        <w:t>确保了光荣院</w:t>
      </w:r>
      <w:r>
        <w:rPr>
          <w:rFonts w:hint="eastAsia" w:ascii="仿宋_GB2312" w:hAnsi="仿宋_GB2312" w:eastAsia="仿宋_GB2312" w:cs="仿宋_GB2312"/>
          <w:color w:val="auto"/>
          <w:sz w:val="32"/>
          <w:szCs w:val="32"/>
          <w:highlight w:val="none"/>
          <w:lang w:val="en-US" w:eastAsia="zh-CN"/>
        </w:rPr>
        <w:t>供养楼电梯正常运行</w:t>
      </w:r>
      <w:r>
        <w:rPr>
          <w:rFonts w:hint="eastAsia" w:ascii="仿宋_GB2312" w:eastAsia="仿宋_GB2312" w:cs="仿宋_GB2312"/>
          <w:b w:val="0"/>
          <w:bCs w:val="0"/>
          <w:sz w:val="32"/>
          <w:szCs w:val="32"/>
          <w:highlight w:val="none"/>
          <w:lang w:val="en-US" w:eastAsia="zh-CN"/>
        </w:rPr>
        <w:t>，为</w:t>
      </w:r>
      <w:r>
        <w:rPr>
          <w:rFonts w:hint="eastAsia" w:ascii="仿宋_GB2312" w:hAnsi="仿宋_GB2312" w:eastAsia="仿宋_GB2312" w:cs="仿宋_GB2312"/>
          <w:color w:val="auto"/>
          <w:sz w:val="32"/>
          <w:szCs w:val="32"/>
          <w:highlight w:val="none"/>
          <w:lang w:val="en-US" w:eastAsia="zh-CN"/>
        </w:rPr>
        <w:t>服务对象提供了适合老年人、残疾人居住需求的生活设施。</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（二）项目效益情况。</w:t>
      </w:r>
    </w:p>
    <w:p>
      <w:pPr>
        <w:spacing w:line="576"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社会效益</w:t>
      </w:r>
      <w:r>
        <w:rPr>
          <w:rFonts w:hint="eastAsia" w:ascii="仿宋_GB2312" w:hAnsi="仿宋_GB2312" w:eastAsia="仿宋_GB2312" w:cs="仿宋_GB2312"/>
          <w:color w:val="000000"/>
          <w:kern w:val="0"/>
          <w:sz w:val="32"/>
          <w:szCs w:val="32"/>
          <w:lang w:eastAsia="zh-CN"/>
        </w:rPr>
        <w:t>分析</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落实好供养对象生活保障。</w:t>
      </w:r>
    </w:p>
    <w:p>
      <w:pPr>
        <w:spacing w:line="576"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可持续效益分析：对双拥工作促进作用。</w:t>
      </w:r>
    </w:p>
    <w:p>
      <w:pPr>
        <w:spacing w:line="576" w:lineRule="exact"/>
        <w:ind w:firstLine="640" w:firstLineChars="200"/>
        <w:rPr>
          <w:rFonts w:hint="eastAsia" w:eastAsia="仿宋_GB231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eastAsia="仿宋_GB2312" w:cs="仿宋_GB2312"/>
          <w:color w:val="000000"/>
          <w:sz w:val="32"/>
          <w:szCs w:val="32"/>
        </w:rPr>
        <w:t>满意度指标完成情况分析</w:t>
      </w:r>
      <w:r>
        <w:rPr>
          <w:rFonts w:hint="eastAsia" w:asci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lang w:eastAsia="zh-CN"/>
        </w:rPr>
        <w:t>服务对象</w:t>
      </w:r>
      <w:r>
        <w:rPr>
          <w:rFonts w:hint="eastAsia" w:ascii="仿宋_GB2312" w:hAnsi="仿宋_GB2312" w:eastAsia="仿宋_GB2312" w:cs="仿宋_GB2312"/>
          <w:color w:val="000000"/>
          <w:kern w:val="0"/>
          <w:sz w:val="32"/>
          <w:szCs w:val="32"/>
        </w:rPr>
        <w:t>满意度</w:t>
      </w:r>
      <w:r>
        <w:rPr>
          <w:rFonts w:hint="eastAsia" w:ascii="仿宋_GB2312" w:hAnsi="仿宋_GB2312" w:eastAsia="仿宋_GB2312" w:cs="仿宋_GB2312"/>
          <w:color w:val="000000"/>
          <w:kern w:val="0"/>
          <w:sz w:val="32"/>
          <w:szCs w:val="32"/>
          <w:lang w:eastAsia="zh-CN"/>
        </w:rPr>
        <w:t>为</w:t>
      </w:r>
      <w:r>
        <w:rPr>
          <w:rFonts w:ascii="仿宋_GB2312" w:hAnsi="仿宋_GB2312" w:eastAsia="仿宋_GB2312" w:cs="仿宋_GB2312"/>
          <w:color w:val="000000"/>
          <w:kern w:val="0"/>
          <w:sz w:val="32"/>
          <w:szCs w:val="32"/>
        </w:rPr>
        <w:t>95%</w:t>
      </w:r>
      <w:r>
        <w:rPr>
          <w:rFonts w:hint="eastAsia" w:ascii="仿宋_GB2312" w:hAnsi="仿宋_GB2312" w:eastAsia="仿宋_GB2312" w:cs="仿宋_GB2312"/>
          <w:color w:val="000000"/>
          <w:kern w:val="0"/>
          <w:sz w:val="32"/>
          <w:szCs w:val="32"/>
          <w:lang w:eastAsia="zh-CN"/>
        </w:rPr>
        <w:t>。</w:t>
      </w:r>
    </w:p>
    <w:p>
      <w:pPr>
        <w:pStyle w:val="13"/>
        <w:spacing w:line="576" w:lineRule="exact"/>
        <w:ind w:left="252" w:leftChars="120" w:firstLine="320" w:firstLineChars="100"/>
        <w:rPr>
          <w:rFonts w:hint="eastAsia" w:ascii="仿宋_GB2312" w:hAnsi="仿宋_GB2312" w:eastAsia="仿宋_GB2312" w:cs="仿宋_GB2312"/>
          <w:color w:val="000000"/>
          <w:kern w:val="0"/>
          <w:sz w:val="32"/>
          <w:szCs w:val="32"/>
        </w:rPr>
      </w:pPr>
    </w:p>
    <w:p>
      <w:pPr>
        <w:spacing w:line="600" w:lineRule="exact"/>
        <w:ind w:firstLine="640"/>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五、评价结论及建议</w:t>
      </w:r>
    </w:p>
    <w:p>
      <w:pPr>
        <w:spacing w:line="600" w:lineRule="exact"/>
        <w:ind w:firstLine="64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项目完成了绩效目标，下一步将加强财务管理，严格财务审核，在资金支付时，严格按照预算规定的用途进行资金使用审核，杜绝超支现象发生；确保资金使用合法合规、安全高效。</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项目绩效目标进一步明确和量化。</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（三）相关建议。</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总结项目资金使用和管理经验，进一步加强和规范项目经费管理，充分发挥项目资金使用效益。</w:t>
      </w:r>
      <w:r>
        <w:rPr>
          <w:rFonts w:hint="eastAsia" w:ascii="仿宋_GB2312" w:hAnsi="仿宋_GB2312" w:eastAsia="仿宋_GB2312" w:cs="仿宋_GB2312"/>
          <w:color w:val="auto"/>
          <w:sz w:val="32"/>
          <w:szCs w:val="32"/>
          <w:highlight w:val="none"/>
          <w:lang w:val="zh-CN" w:eastAsia="zh-CN"/>
        </w:rPr>
        <w:tab/>
      </w:r>
    </w:p>
    <w:tbl>
      <w:tblPr>
        <w:tblStyle w:val="16"/>
        <w:tblpPr w:leftFromText="180" w:rightFromText="180" w:vertAnchor="text" w:horzAnchor="page" w:tblpX="812" w:tblpY="545"/>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2021年部门预算项目绩效目标自评</w:t>
            </w:r>
          </w:p>
          <w:p>
            <w:pPr>
              <w:spacing w:line="600" w:lineRule="exact"/>
              <w:jc w:val="center"/>
              <w:rPr>
                <w:rFonts w:hint="eastAsia"/>
              </w:rPr>
            </w:pPr>
            <w:r>
              <w:rPr>
                <w:rFonts w:hint="eastAsia" w:ascii="宋体" w:hAnsi="宋体" w:eastAsia="宋体" w:cs="宋体"/>
                <w:color w:val="000000"/>
                <w:kern w:val="0"/>
                <w:sz w:val="32"/>
                <w:szCs w:val="32"/>
                <w:lang w:val="en-US" w:eastAsia="zh-CN"/>
              </w:rPr>
              <w:t>（供养楼电梯运行维护费）</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643602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广元市光荣院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项目预算</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执行情况</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lang w:val="en-US" w:eastAsia="zh-CN"/>
              </w:rPr>
              <w:t>2万元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lang w:val="en-US" w:eastAsia="zh-CN"/>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p>
        </w:tc>
        <w:tc>
          <w:tcPr>
            <w:tcW w:w="12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完成情况</w:t>
            </w:r>
          </w:p>
        </w:tc>
        <w:tc>
          <w:tcPr>
            <w:tcW w:w="3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预期目标</w:t>
            </w:r>
          </w:p>
        </w:tc>
        <w:tc>
          <w:tcPr>
            <w:tcW w:w="36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94"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3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落实好重点孤老优抚对象生活保障。</w:t>
            </w:r>
          </w:p>
        </w:tc>
        <w:tc>
          <w:tcPr>
            <w:tcW w:w="36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val="en-US" w:eastAsia="zh-CN"/>
              </w:rPr>
              <w:t>圆满完成各项工作任务。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年度绩效指标完成情况</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预期指标值</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43"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数量指标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rPr>
              <w:t>经费</w:t>
            </w:r>
            <w:r>
              <w:rPr>
                <w:rFonts w:hint="eastAsia" w:ascii="仿宋" w:hAnsi="仿宋" w:eastAsia="仿宋" w:cs="仿宋"/>
                <w:i w:val="0"/>
                <w:color w:val="auto"/>
                <w:sz w:val="24"/>
                <w:szCs w:val="24"/>
                <w:u w:val="none"/>
                <w:lang w:val="en-US" w:eastAsia="zh-CN"/>
              </w:rPr>
              <w:t xml:space="preserve">   </w:t>
            </w:r>
            <w:r>
              <w:rPr>
                <w:rFonts w:hint="eastAsia" w:ascii="仿宋" w:hAnsi="仿宋" w:eastAsia="仿宋" w:cs="仿宋"/>
                <w:i w:val="0"/>
                <w:color w:val="auto"/>
                <w:sz w:val="24"/>
                <w:szCs w:val="24"/>
                <w:u w:val="none"/>
              </w:rPr>
              <w:t>使用率</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color w:val="000000"/>
                <w:sz w:val="24"/>
                <w:szCs w:val="24"/>
                <w:lang w:eastAsia="zh-CN"/>
              </w:rPr>
              <w:t>100%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0"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质量指标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资金</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保障率</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100%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0"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时效指标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完成时间</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val="en-US" w:eastAsia="zh-CN"/>
              </w:rPr>
              <w:t>2021年 完成</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val="en-US" w:eastAsia="zh-CN"/>
              </w:rPr>
              <w:t>2021年完成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成本指标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2万元</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100%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sz w:val="24"/>
                <w:szCs w:val="24"/>
              </w:rPr>
              <w:t>效益指标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社会效益  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落实好供养对象生活保障</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_GB2312" w:eastAsia="仿宋_GB2312" w:cs="仿宋_GB2312"/>
                <w:color w:val="auto"/>
                <w:w w:val="80"/>
                <w:kern w:val="13"/>
                <w:sz w:val="24"/>
                <w:szCs w:val="24"/>
                <w:u w:val="none"/>
                <w:lang w:bidi="ar-SA"/>
              </w:rPr>
              <w:t>有效</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_GB2312" w:eastAsia="仿宋_GB2312" w:cs="仿宋_GB2312"/>
                <w:color w:val="auto"/>
                <w:w w:val="80"/>
                <w:kern w:val="13"/>
                <w:sz w:val="24"/>
                <w:szCs w:val="24"/>
                <w:u w:val="none"/>
                <w:lang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95" w:hRule="atLeast"/>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bookmarkStart w:id="53" w:name="_Toc15396618"/>
          </w:p>
        </w:tc>
        <w:tc>
          <w:tcPr>
            <w:tcW w:w="1142" w:type="dxa"/>
            <w:vMerge w:val="continue"/>
            <w:tcBorders>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color w:val="auto"/>
                <w:w w:val="80"/>
                <w:kern w:val="13"/>
                <w:sz w:val="24"/>
                <w:szCs w:val="24"/>
                <w:u w:val="none"/>
                <w:lang w:val="en-US" w:eastAsia="zh-CN" w:bidi="ar-SA"/>
              </w:rPr>
            </w:pPr>
            <w:r>
              <w:rPr>
                <w:rFonts w:hint="eastAsia" w:ascii="仿宋" w:hAnsi="仿宋" w:eastAsia="仿宋" w:cs="仿宋"/>
                <w:color w:val="auto"/>
                <w:w w:val="80"/>
                <w:kern w:val="13"/>
                <w:sz w:val="24"/>
                <w:szCs w:val="24"/>
                <w:u w:val="none"/>
                <w:lang w:val="en-US" w:eastAsia="zh-CN"/>
              </w:rPr>
              <w:t>可持续影响指标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color w:val="auto"/>
                <w:w w:val="80"/>
                <w:kern w:val="13"/>
                <w:sz w:val="24"/>
                <w:szCs w:val="24"/>
                <w:u w:val="none"/>
                <w:lang w:val="en-US" w:eastAsia="zh-CN" w:bidi="ar-SA"/>
              </w:rPr>
            </w:pPr>
            <w:r>
              <w:rPr>
                <w:rFonts w:hint="eastAsia" w:ascii="仿宋" w:hAnsi="仿宋" w:eastAsia="仿宋" w:cs="仿宋"/>
                <w:color w:val="000000"/>
                <w:sz w:val="24"/>
                <w:szCs w:val="24"/>
                <w:lang w:eastAsia="zh-CN"/>
              </w:rPr>
              <w:t>对双拥工作的促进作用</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color w:val="auto"/>
                <w:w w:val="80"/>
                <w:kern w:val="13"/>
                <w:sz w:val="24"/>
                <w:szCs w:val="24"/>
                <w:u w:val="none"/>
                <w:lang w:val="en-US" w:eastAsia="zh-CN" w:bidi="ar-SA"/>
              </w:rPr>
            </w:pPr>
            <w:r>
              <w:rPr>
                <w:rFonts w:hint="eastAsia" w:ascii="仿宋" w:hAnsi="仿宋" w:eastAsia="仿宋" w:cs="仿宋"/>
                <w:color w:val="auto"/>
                <w:w w:val="80"/>
                <w:kern w:val="13"/>
                <w:sz w:val="24"/>
                <w:szCs w:val="24"/>
                <w:u w:val="none"/>
                <w:lang w:bidi="ar-SA"/>
              </w:rPr>
              <w:t>长期</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color w:val="auto"/>
                <w:w w:val="80"/>
                <w:kern w:val="13"/>
                <w:sz w:val="24"/>
                <w:szCs w:val="24"/>
                <w:u w:val="none"/>
                <w:lang w:val="en-US" w:eastAsia="zh-CN" w:bidi="ar-SA"/>
              </w:rPr>
            </w:pPr>
            <w:r>
              <w:rPr>
                <w:rFonts w:hint="eastAsia" w:ascii="仿宋" w:hAnsi="仿宋" w:eastAsia="仿宋" w:cs="仿宋"/>
                <w:color w:val="auto"/>
                <w:w w:val="80"/>
                <w:kern w:val="13"/>
                <w:sz w:val="24"/>
                <w:szCs w:val="24"/>
                <w:u w:val="none"/>
                <w:lang w:bidi="ar-SA"/>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满意</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度指标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优抚对象满意度</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color w:val="000000"/>
                <w:sz w:val="24"/>
                <w:szCs w:val="24"/>
                <w:lang w:val="en-US" w:eastAsia="zh-CN"/>
              </w:rPr>
            </w:pPr>
            <w:r>
              <w:rPr>
                <w:rFonts w:hint="eastAsia" w:ascii="仿宋" w:hAnsi="仿宋" w:eastAsia="仿宋" w:cs="仿宋"/>
                <w:color w:val="auto"/>
                <w:w w:val="80"/>
                <w:kern w:val="13"/>
                <w:sz w:val="24"/>
                <w:szCs w:val="24"/>
                <w:u w:val="none"/>
                <w:lang w:bidi="ar-SA"/>
              </w:rPr>
              <w:t>≧9</w:t>
            </w:r>
            <w:r>
              <w:rPr>
                <w:rFonts w:hint="eastAsia" w:ascii="仿宋" w:hAnsi="仿宋" w:eastAsia="仿宋" w:cs="仿宋"/>
                <w:color w:val="auto"/>
                <w:w w:val="80"/>
                <w:kern w:val="13"/>
                <w:sz w:val="24"/>
                <w:szCs w:val="24"/>
                <w:u w:val="none"/>
                <w:lang w:val="en-US" w:eastAsia="zh-CN" w:bidi="ar-SA"/>
              </w:rPr>
              <w:t>5</w:t>
            </w:r>
            <w:r>
              <w:rPr>
                <w:rFonts w:hint="eastAsia" w:ascii="仿宋" w:hAnsi="仿宋" w:eastAsia="仿宋" w:cs="仿宋"/>
                <w:color w:val="auto"/>
                <w:w w:val="80"/>
                <w:kern w:val="13"/>
                <w:sz w:val="24"/>
                <w:szCs w:val="24"/>
                <w:u w:val="none"/>
                <w:lang w:bidi="ar-SA"/>
              </w:rPr>
              <w:t>%</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color w:val="000000"/>
                <w:sz w:val="24"/>
                <w:szCs w:val="24"/>
                <w:lang w:val="en-US" w:eastAsia="zh-CN"/>
              </w:rPr>
            </w:pPr>
            <w:r>
              <w:rPr>
                <w:rFonts w:hint="eastAsia" w:ascii="仿宋" w:hAnsi="仿宋" w:eastAsia="仿宋" w:cs="仿宋"/>
                <w:color w:val="auto"/>
                <w:w w:val="80"/>
                <w:kern w:val="13"/>
                <w:sz w:val="24"/>
                <w:szCs w:val="24"/>
                <w:u w:val="none"/>
                <w:lang w:bidi="ar-SA"/>
              </w:rPr>
              <w:t>≧9</w:t>
            </w:r>
            <w:r>
              <w:rPr>
                <w:rFonts w:hint="eastAsia" w:ascii="仿宋" w:hAnsi="仿宋" w:eastAsia="仿宋" w:cs="仿宋"/>
                <w:color w:val="auto"/>
                <w:w w:val="80"/>
                <w:kern w:val="13"/>
                <w:sz w:val="24"/>
                <w:szCs w:val="24"/>
                <w:u w:val="none"/>
                <w:lang w:val="en-US" w:eastAsia="zh-CN" w:bidi="ar-SA"/>
              </w:rPr>
              <w:t>5</w:t>
            </w:r>
            <w:r>
              <w:rPr>
                <w:rFonts w:hint="eastAsia" w:ascii="仿宋" w:hAnsi="仿宋" w:eastAsia="仿宋" w:cs="仿宋"/>
                <w:color w:val="auto"/>
                <w:w w:val="80"/>
                <w:kern w:val="13"/>
                <w:sz w:val="24"/>
                <w:szCs w:val="24"/>
                <w:u w:val="none"/>
                <w:lang w:bidi="ar-SA"/>
              </w:rPr>
              <w:t>%</w:t>
            </w:r>
          </w:p>
        </w:tc>
      </w:tr>
    </w:tbl>
    <w:p>
      <w:pPr>
        <w:spacing w:line="600" w:lineRule="exact"/>
        <w:jc w:val="center"/>
        <w:rPr>
          <w:rFonts w:hint="eastAsia" w:ascii="方正小标宋简体" w:hAnsi="宋体" w:eastAsia="方正小标宋简体"/>
          <w:color w:val="000000"/>
          <w:kern w:val="0"/>
          <w:sz w:val="44"/>
          <w:szCs w:val="44"/>
          <w:lang w:val="zh-CN"/>
        </w:rPr>
      </w:pPr>
    </w:p>
    <w:p>
      <w:pPr>
        <w:pStyle w:val="7"/>
        <w:rPr>
          <w:rFonts w:hint="eastAsia" w:ascii="方正小标宋简体" w:hAnsi="宋体" w:eastAsia="方正小标宋简体"/>
          <w:color w:val="000000"/>
          <w:kern w:val="0"/>
          <w:sz w:val="44"/>
          <w:szCs w:val="44"/>
          <w:lang w:val="zh-CN"/>
        </w:rPr>
      </w:pPr>
      <w:r>
        <w:rPr>
          <w:rFonts w:hint="eastAsia" w:ascii="仿宋" w:hAnsi="仿宋" w:eastAsia="仿宋" w:cs="Times New Roman"/>
          <w:color w:val="auto"/>
          <w:kern w:val="2"/>
          <w:sz w:val="32"/>
          <w:szCs w:val="32"/>
          <w:highlight w:val="none"/>
          <w:lang w:val="zh-CN" w:eastAsia="zh-CN" w:bidi="ar-SA"/>
        </w:rPr>
        <w:t>附件</w:t>
      </w:r>
      <w:r>
        <w:rPr>
          <w:rFonts w:hint="eastAsia" w:ascii="仿宋" w:hAnsi="仿宋" w:eastAsia="仿宋" w:cs="Times New Roman"/>
          <w:color w:val="auto"/>
          <w:kern w:val="2"/>
          <w:sz w:val="32"/>
          <w:szCs w:val="32"/>
          <w:highlight w:val="none"/>
          <w:lang w:val="en-US" w:eastAsia="zh-CN" w:bidi="ar-SA"/>
        </w:rPr>
        <w:t>2</w:t>
      </w:r>
    </w:p>
    <w:p>
      <w:pPr>
        <w:spacing w:line="600" w:lineRule="exact"/>
        <w:jc w:val="center"/>
        <w:rPr>
          <w:rFonts w:hint="eastAsia"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olor w:val="000000"/>
          <w:kern w:val="0"/>
          <w:sz w:val="44"/>
          <w:szCs w:val="44"/>
          <w:lang w:val="zh-CN"/>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lang w:val="zh-CN"/>
        </w:rPr>
        <w:t>年</w:t>
      </w:r>
      <w:r>
        <w:rPr>
          <w:rFonts w:hint="eastAsia" w:ascii="方正小标宋简体" w:hAnsi="宋体" w:eastAsia="方正小标宋简体" w:cs="Times New Roman"/>
          <w:color w:val="000000"/>
          <w:kern w:val="0"/>
          <w:sz w:val="44"/>
          <w:szCs w:val="44"/>
          <w:lang w:val="en-US" w:eastAsia="zh-CN" w:bidi="ar-SA"/>
        </w:rPr>
        <w:t>荣誉军人休养中心补助经费</w:t>
      </w:r>
    </w:p>
    <w:p>
      <w:pPr>
        <w:adjustRightInd w:val="0"/>
        <w:snapToGrid w:val="0"/>
        <w:spacing w:line="600" w:lineRule="exact"/>
        <w:jc w:val="center"/>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b/>
          <w:bCs/>
          <w:color w:val="auto"/>
          <w:sz w:val="32"/>
          <w:szCs w:val="32"/>
          <w:highlight w:val="none"/>
          <w:lang w:val="zh-CN" w:eastAsia="zh-CN"/>
        </w:rPr>
      </w:pPr>
      <w:r>
        <w:rPr>
          <w:rFonts w:hint="eastAsia" w:ascii="仿宋" w:hAnsi="仿宋" w:eastAsia="仿宋"/>
          <w:b/>
          <w:bCs/>
          <w:color w:val="auto"/>
          <w:sz w:val="32"/>
          <w:szCs w:val="32"/>
          <w:highlight w:val="none"/>
          <w:lang w:val="zh-CN"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1．说明项目主管部门（单位）在该项目管理中的职能。</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广元市光荣院与广元市荣誉军人休养中心实行“两块牌子，一套人马”管理模式。主要承担全市及周边市州重点优抚对象定期与不定期的休养和疗养服务。</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项目立项、资金申报的依据。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项目申报主要依据广编发〔2009〕68号，关于成立广元市荣誉军人休养中心的通知。</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（二）项目绩效目标。</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1．项目主要内容。</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保障日常工作经费，确保各项工作顺利开展。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为完成年度工作目标任务，按照预算审核、绩效监督、绩效评价、结果应用的方式和程序组织实施。</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分析评价申报内容是否与实际相符，申报目标是否合理可行。</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项目严格按照规定使用，完成了预期目标，申报内容与实际相符，申报目标合理可行。</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相关科室负责人、分管业务领导负责预算绩效管理考核工作的具体事务。按绩效事前评估、绩效目标管理、绩效运行监控、绩效评价管理、评价结果应用等各环节的管理流程，明确各环节的工作要求、时间节点、主体责任。</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楷体_GB2312" w:hAnsi="楷体_GB2312" w:eastAsia="楷体_GB2312" w:cs="楷体_GB2312"/>
          <w:b/>
          <w:bCs/>
          <w:color w:val="auto"/>
          <w:sz w:val="32"/>
          <w:szCs w:val="32"/>
          <w:highlight w:val="none"/>
          <w:lang w:val="zh-CN" w:eastAsia="zh-CN"/>
        </w:rPr>
      </w:pPr>
      <w:r>
        <w:rPr>
          <w:rFonts w:hint="eastAsia" w:ascii="仿宋" w:hAnsi="仿宋" w:eastAsia="仿宋"/>
          <w:b/>
          <w:bCs/>
          <w:color w:val="auto"/>
          <w:sz w:val="32"/>
          <w:szCs w:val="32"/>
          <w:highlight w:val="none"/>
          <w:lang w:val="zh-CN" w:eastAsia="zh-CN"/>
        </w:rPr>
        <w:t>二、项目资金申报及使用情况</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使用预算资金符合国家财经法规和财务管理制度规定以及市财政局资金管理办法的规定；资金的拨付有完整的审批过程和手续；预算调整履行了规定程序；符合部门预算批复的用途；资金使用无截留、挤占、挪用、虚列支出等情况。</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eastAsia="zh-CN"/>
        </w:rPr>
        <w:t>资金计划。</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本单位结合实际情况，认真规划和申报项目预算。</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资金到位。</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2021年度，项目资金已全部下达，按计划及时认真实施。</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资金使用。</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资金使用过程中，遵循先事项申请，再根据实际情况实施。对项目的事前、事中、事后进行监督，实现了项目管理与过程管理的有机结合。对相关档案资料进行收集、分类、整理、归档，档案资料完整、齐全、规范。</w:t>
      </w:r>
    </w:p>
    <w:p>
      <w:pPr>
        <w:keepNext w:val="0"/>
        <w:keepLines w:val="0"/>
        <w:pageBreakBefore w:val="0"/>
        <w:widowControl w:val="0"/>
        <w:kinsoku/>
        <w:wordWrap/>
        <w:overflowPunct/>
        <w:topLinePunct w:val="0"/>
        <w:autoSpaceDE/>
        <w:autoSpaceDN/>
        <w:bidi w:val="0"/>
        <w:adjustRightInd w:val="0"/>
        <w:snapToGrid w:val="0"/>
        <w:spacing w:line="550" w:lineRule="exact"/>
        <w:ind w:firstLine="642" w:firstLineChars="200"/>
        <w:textAlignment w:val="auto"/>
        <w:rPr>
          <w:rFonts w:hint="eastAsia" w:ascii="楷体_GB2312" w:hAnsi="楷体_GB2312" w:eastAsia="楷体_GB2312" w:cs="楷体_GB2312"/>
          <w:b/>
          <w:color w:val="auto"/>
          <w:sz w:val="32"/>
          <w:szCs w:val="32"/>
          <w:highlight w:val="none"/>
          <w:lang w:val="zh-CN"/>
        </w:rPr>
      </w:pPr>
      <w:r>
        <w:rPr>
          <w:rFonts w:hint="eastAsia" w:ascii="楷体_GB2312" w:hAnsi="楷体_GB2312" w:eastAsia="楷体_GB2312" w:cs="楷体_GB2312"/>
          <w:b/>
          <w:bCs/>
          <w:color w:val="auto"/>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该项目实际支出与预算批复相符，符合国家财经法律及财务管理制度。项目资金使用合规，严格遵守财务相关要求。</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 w:hAnsi="仿宋" w:eastAsia="仿宋"/>
          <w:b/>
          <w:bCs/>
          <w:color w:val="auto"/>
          <w:sz w:val="32"/>
          <w:szCs w:val="32"/>
          <w:highlight w:val="none"/>
          <w:lang w:val="zh-CN" w:eastAsia="zh-CN"/>
        </w:rPr>
      </w:pPr>
      <w:r>
        <w:rPr>
          <w:rFonts w:hint="eastAsia" w:ascii="仿宋" w:hAnsi="仿宋" w:eastAsia="仿宋"/>
          <w:b/>
          <w:bCs/>
          <w:color w:val="auto"/>
          <w:sz w:val="32"/>
          <w:szCs w:val="32"/>
          <w:highlight w:val="none"/>
          <w:lang w:val="zh-CN" w:eastAsia="zh-CN"/>
        </w:rPr>
        <w:t>三、项目实施及管理情况</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资金按照单位财务制度，实行专款专用，先立项，再报经费，并采取分期付款方式进行支付。资金拨付严格审批程序，使用规范，会计核算结果真实、准确。建立健全项目实施方案、财务管理制度和会计核算制度，此次绩效评价过程中未发现有截留、挤占或挪用项目资金的情况。项目认真贯彻资金管理办法和财务管理暂行办法，严格、规范执行国家有关的财务管理制度。</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 w:hAnsi="仿宋" w:eastAsia="仿宋"/>
          <w:b/>
          <w:bCs/>
          <w:color w:val="auto"/>
          <w:sz w:val="32"/>
          <w:szCs w:val="32"/>
          <w:highlight w:val="none"/>
          <w:lang w:val="zh-CN" w:eastAsia="zh-CN"/>
        </w:rPr>
      </w:pPr>
      <w:r>
        <w:rPr>
          <w:rFonts w:hint="eastAsia" w:ascii="仿宋" w:hAnsi="仿宋" w:eastAsia="仿宋"/>
          <w:b/>
          <w:bCs/>
          <w:color w:val="auto"/>
          <w:sz w:val="32"/>
          <w:szCs w:val="32"/>
          <w:highlight w:val="none"/>
          <w:lang w:val="zh-CN" w:eastAsia="zh-CN"/>
        </w:rPr>
        <w:t>四、项目绩效情况</w:t>
      </w:r>
      <w:r>
        <w:rPr>
          <w:rFonts w:hint="eastAsia" w:ascii="仿宋" w:hAnsi="仿宋" w:eastAsia="仿宋"/>
          <w:b/>
          <w:bCs/>
          <w:color w:val="auto"/>
          <w:sz w:val="32"/>
          <w:szCs w:val="32"/>
          <w:highlight w:val="none"/>
          <w:lang w:val="zh-CN" w:eastAsia="zh-CN"/>
        </w:rPr>
        <w:tab/>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（一）项目完成情况。</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项目预算资金4万元，实际执行3万元，结余资金1万元，执行率为</w:t>
      </w:r>
      <w:r>
        <w:rPr>
          <w:rFonts w:hint="eastAsia" w:ascii="仿宋_GB2312" w:hAnsi="仿宋_GB2312" w:eastAsia="仿宋_GB2312" w:cs="仿宋_GB2312"/>
          <w:color w:val="auto"/>
          <w:sz w:val="32"/>
          <w:szCs w:val="32"/>
          <w:highlight w:val="none"/>
          <w:lang w:val="en-US" w:eastAsia="zh-CN"/>
        </w:rPr>
        <w:t>75%。</w:t>
      </w:r>
      <w:r>
        <w:rPr>
          <w:rFonts w:hint="eastAsia" w:ascii="仿宋_GB2312" w:hAnsi="仿宋_GB2312" w:eastAsia="仿宋_GB2312" w:cs="仿宋_GB2312"/>
          <w:color w:val="auto"/>
          <w:sz w:val="32"/>
          <w:szCs w:val="32"/>
          <w:highlight w:val="none"/>
          <w:lang w:val="zh-CN" w:eastAsia="zh-CN"/>
        </w:rPr>
        <w:t>主要原因为: 2021年我单位计划采购一台A3打复印一体机，预算1万元，2021年实施采购时，根据“信创工程”的相关要求，为了保障工作使用中的安全性，A3打复印一体机只能从相关目录中选择，而我单位预算远不足以购买目录中最低报价的A3打复印一体机，故未实施采购。</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textAlignment w:val="auto"/>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（二）项目效益情况。</w:t>
      </w:r>
    </w:p>
    <w:p>
      <w:pPr>
        <w:spacing w:line="576"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社会效益</w:t>
      </w:r>
      <w:r>
        <w:rPr>
          <w:rFonts w:hint="eastAsia" w:ascii="仿宋_GB2312" w:hAnsi="仿宋_GB2312" w:eastAsia="仿宋_GB2312" w:cs="仿宋_GB2312"/>
          <w:color w:val="000000"/>
          <w:kern w:val="0"/>
          <w:sz w:val="32"/>
          <w:szCs w:val="32"/>
          <w:lang w:eastAsia="zh-CN"/>
        </w:rPr>
        <w:t>分析</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做好日常工作</w:t>
      </w:r>
      <w:r>
        <w:rPr>
          <w:rFonts w:hint="eastAsia" w:ascii="仿宋_GB2312" w:hAnsi="仿宋_GB2312" w:eastAsia="仿宋_GB2312" w:cs="仿宋_GB2312"/>
          <w:color w:val="000000"/>
          <w:kern w:val="0"/>
          <w:sz w:val="32"/>
          <w:szCs w:val="32"/>
        </w:rPr>
        <w:t>，确保</w:t>
      </w:r>
      <w:r>
        <w:rPr>
          <w:rFonts w:hint="eastAsia" w:ascii="仿宋_GB2312" w:hAnsi="仿宋_GB2312" w:eastAsia="仿宋_GB2312" w:cs="仿宋_GB2312"/>
          <w:color w:val="000000"/>
          <w:kern w:val="0"/>
          <w:sz w:val="32"/>
          <w:szCs w:val="32"/>
          <w:lang w:eastAsia="zh-CN"/>
        </w:rPr>
        <w:t>为供养对象提供优质服务。</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eastAsia="仿宋_GB2312" w:cs="仿宋_GB2312"/>
          <w:color w:val="000000"/>
          <w:sz w:val="32"/>
          <w:szCs w:val="32"/>
          <w:lang w:val="en-US" w:eastAsia="zh-CN"/>
        </w:rPr>
        <w:t>可持续效益分析。</w:t>
      </w:r>
      <w:r>
        <w:rPr>
          <w:rFonts w:hint="eastAsia" w:ascii="仿宋_GB2312" w:eastAsia="仿宋_GB2312" w:cs="仿宋_GB2312"/>
          <w:color w:val="000000"/>
          <w:sz w:val="32"/>
          <w:szCs w:val="32"/>
        </w:rPr>
        <w:t>积极为优抚对象搞好服务保障，促进双拥工作开展。</w:t>
      </w:r>
    </w:p>
    <w:p>
      <w:pPr>
        <w:keepNext w:val="0"/>
        <w:keepLines w:val="0"/>
        <w:pageBreakBefore w:val="0"/>
        <w:widowControl w:val="0"/>
        <w:kinsoku/>
        <w:wordWrap/>
        <w:overflowPunct/>
        <w:topLinePunct w:val="0"/>
        <w:autoSpaceDE/>
        <w:autoSpaceDN/>
        <w:bidi w:val="0"/>
        <w:adjustRightInd/>
        <w:snapToGrid/>
        <w:spacing w:line="550" w:lineRule="exact"/>
        <w:ind w:left="638" w:leftChars="304" w:firstLine="0" w:firstLineChars="0"/>
        <w:textAlignment w:val="auto"/>
        <w:rPr>
          <w:rFonts w:hint="eastAsia" w:ascii="仿宋" w:hAnsi="仿宋" w:eastAsia="仿宋"/>
          <w:b/>
          <w:bCs/>
          <w:color w:val="auto"/>
          <w:sz w:val="32"/>
          <w:szCs w:val="32"/>
          <w:highlight w:val="none"/>
          <w:lang w:val="zh-CN"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eastAsia="仿宋_GB2312" w:cs="仿宋_GB2312"/>
          <w:color w:val="000000"/>
          <w:sz w:val="32"/>
          <w:szCs w:val="32"/>
        </w:rPr>
        <w:t>满意度指标完成情况分析</w:t>
      </w:r>
      <w:r>
        <w:rPr>
          <w:rFonts w:hint="eastAsia" w:asci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lang w:eastAsia="zh-CN"/>
        </w:rPr>
        <w:t>服务对象</w:t>
      </w:r>
      <w:r>
        <w:rPr>
          <w:rFonts w:hint="eastAsia" w:ascii="仿宋_GB2312" w:hAnsi="仿宋_GB2312" w:eastAsia="仿宋_GB2312" w:cs="仿宋_GB2312"/>
          <w:color w:val="000000"/>
          <w:kern w:val="0"/>
          <w:sz w:val="32"/>
          <w:szCs w:val="32"/>
        </w:rPr>
        <w:t>满意度</w:t>
      </w:r>
      <w:r>
        <w:rPr>
          <w:rFonts w:hint="eastAsia" w:ascii="仿宋_GB2312" w:hAnsi="仿宋_GB2312" w:eastAsia="仿宋_GB2312" w:cs="仿宋_GB2312"/>
          <w:color w:val="000000"/>
          <w:kern w:val="0"/>
          <w:sz w:val="32"/>
          <w:szCs w:val="32"/>
          <w:lang w:eastAsia="zh-CN"/>
        </w:rPr>
        <w:t>为</w:t>
      </w:r>
      <w:r>
        <w:rPr>
          <w:rFonts w:ascii="仿宋_GB2312" w:hAnsi="仿宋_GB2312" w:eastAsia="仿宋_GB2312" w:cs="仿宋_GB2312"/>
          <w:color w:val="000000"/>
          <w:kern w:val="0"/>
          <w:sz w:val="32"/>
          <w:szCs w:val="32"/>
        </w:rPr>
        <w:t>95%</w:t>
      </w:r>
      <w:r>
        <w:rPr>
          <w:rFonts w:hint="eastAsia" w:ascii="仿宋_GB2312" w:hAnsi="仿宋_GB2312" w:eastAsia="仿宋_GB2312" w:cs="仿宋_GB2312"/>
          <w:color w:val="000000"/>
          <w:kern w:val="0"/>
          <w:sz w:val="32"/>
          <w:szCs w:val="32"/>
          <w:lang w:eastAsia="zh-CN"/>
        </w:rPr>
        <w:t>。</w:t>
      </w:r>
      <w:r>
        <w:rPr>
          <w:rFonts w:hint="eastAsia" w:ascii="仿宋" w:hAnsi="仿宋" w:eastAsia="仿宋"/>
          <w:b/>
          <w:bCs/>
          <w:color w:val="auto"/>
          <w:sz w:val="32"/>
          <w:szCs w:val="32"/>
          <w:highlight w:val="none"/>
          <w:lang w:val="zh-CN" w:eastAsia="zh-CN"/>
        </w:rPr>
        <w:t>五、评价结论及建议</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（一）评价结论。</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项目因</w:t>
      </w:r>
      <w:r>
        <w:rPr>
          <w:rFonts w:hint="eastAsia" w:ascii="仿宋_GB2312" w:hAnsi="仿宋_GB2312" w:eastAsia="仿宋_GB2312" w:cs="仿宋_GB2312"/>
          <w:color w:val="auto"/>
          <w:sz w:val="32"/>
          <w:szCs w:val="32"/>
          <w:highlight w:val="none"/>
          <w:lang w:val="en-US" w:eastAsia="zh-CN"/>
        </w:rPr>
        <w:t>预算经费不足致</w:t>
      </w:r>
      <w:r>
        <w:rPr>
          <w:rFonts w:hint="eastAsia" w:ascii="仿宋_GB2312" w:hAnsi="仿宋_GB2312" w:eastAsia="仿宋_GB2312" w:cs="仿宋_GB2312"/>
          <w:color w:val="auto"/>
          <w:sz w:val="32"/>
          <w:szCs w:val="32"/>
          <w:highlight w:val="none"/>
          <w:lang w:val="zh-CN" w:eastAsia="zh-CN"/>
        </w:rPr>
        <w:t>绩效目标未能高效完成，我院将进一步加强政府采购预算管理，努力提升财务人员政策水平和业务能力。不断加强财务管理，严格财务审核，在资金支付时，严格按算规定的用途进行资金使用审核，杜绝超支现象发生；确保资金使用合法合规、安全高效。</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（二）存在的问题。</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项目绩效目标进一步明确和量化。</w:t>
      </w:r>
      <w:r>
        <w:rPr>
          <w:rFonts w:hint="eastAsia" w:ascii="仿宋_GB2312" w:hAnsi="仿宋_GB2312" w:eastAsia="仿宋_GB2312" w:cs="仿宋_GB2312"/>
          <w:color w:val="auto"/>
          <w:sz w:val="32"/>
          <w:szCs w:val="32"/>
          <w:highlight w:val="none"/>
          <w:lang w:val="zh-CN" w:eastAsia="zh-CN"/>
        </w:rPr>
        <w:tab/>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楷体_GB2312" w:hAnsi="楷体_GB2312" w:eastAsia="楷体_GB2312" w:cs="楷体_GB2312"/>
          <w:b/>
          <w:bCs/>
          <w:color w:val="auto"/>
          <w:sz w:val="32"/>
          <w:szCs w:val="32"/>
          <w:highlight w:val="none"/>
          <w:lang w:val="zh-CN" w:eastAsia="zh-CN"/>
        </w:rPr>
      </w:pPr>
      <w:r>
        <w:rPr>
          <w:rFonts w:hint="eastAsia" w:ascii="楷体_GB2312" w:hAnsi="楷体_GB2312" w:eastAsia="楷体_GB2312" w:cs="楷体_GB2312"/>
          <w:b/>
          <w:bCs/>
          <w:color w:val="auto"/>
          <w:sz w:val="32"/>
          <w:szCs w:val="32"/>
          <w:highlight w:val="none"/>
          <w:lang w:val="zh-CN" w:eastAsia="zh-CN"/>
        </w:rPr>
        <w:t>（三）相关建议。</w:t>
      </w:r>
    </w:p>
    <w:p>
      <w:pPr>
        <w:keepNext w:val="0"/>
        <w:keepLines w:val="0"/>
        <w:pageBreakBefore w:val="0"/>
        <w:widowControl w:val="0"/>
        <w:kinsoku/>
        <w:wordWrap/>
        <w:overflowPunct/>
        <w:topLinePunct w:val="0"/>
        <w:autoSpaceDE/>
        <w:autoSpaceDN/>
        <w:bidi w:val="0"/>
        <w:adjustRightInd/>
        <w:snapToGrid/>
        <w:spacing w:line="550" w:lineRule="exact"/>
        <w:ind w:firstLine="641"/>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总结项目资金使用和管理经验，进一步加强和规范项目经费管理，充分发挥项目资金使用效益。</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宋体" w:hAnsi="宋体" w:eastAsia="宋体" w:cs="宋体"/>
          <w:color w:val="auto"/>
          <w:sz w:val="44"/>
          <w:szCs w:val="44"/>
          <w:highlight w:val="none"/>
          <w:lang w:val="en-US" w:eastAsia="zh-CN"/>
        </w:rPr>
      </w:pPr>
      <w:r>
        <w:rPr>
          <w:rFonts w:hint="eastAsia" w:ascii="仿宋_GB2312" w:hAnsi="仿宋_GB2312" w:eastAsia="黑体" w:cs="仿宋_GB2312"/>
          <w:color w:val="auto"/>
          <w:sz w:val="32"/>
          <w:szCs w:val="32"/>
          <w:highlight w:val="none"/>
          <w:lang w:val="en-US" w:eastAsia="zh-CN"/>
        </w:rPr>
        <w:t>附件</w:t>
      </w:r>
    </w:p>
    <w:tbl>
      <w:tblPr>
        <w:tblStyle w:val="16"/>
        <w:tblpPr w:leftFromText="180" w:rightFromText="180" w:vertAnchor="text" w:horzAnchor="page" w:tblpX="1262" w:tblpY="224"/>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34"/>
        <w:gridCol w:w="1279"/>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9577" w:type="dxa"/>
            <w:gridSpan w:val="6"/>
            <w:tcBorders>
              <w:top w:val="nil"/>
              <w:left w:val="nil"/>
              <w:bottom w:val="nil"/>
              <w:right w:val="nil"/>
            </w:tcBorders>
            <w:shd w:val="clear" w:color="auto" w:fill="auto"/>
            <w:vAlign w:val="center"/>
          </w:tcPr>
          <w:p>
            <w:pPr>
              <w:spacing w:line="600" w:lineRule="exact"/>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2021年部门预算项目绩效目标自评</w:t>
            </w:r>
          </w:p>
          <w:p>
            <w:pPr>
              <w:spacing w:line="600" w:lineRule="exact"/>
              <w:jc w:val="center"/>
              <w:rPr>
                <w:rFonts w:hint="eastAsia" w:ascii="宋体" w:hAnsi="宋体" w:eastAsia="宋体" w:cs="宋体"/>
                <w:sz w:val="44"/>
                <w:szCs w:val="44"/>
              </w:rPr>
            </w:pPr>
            <w:r>
              <w:rPr>
                <w:rFonts w:hint="eastAsia" w:ascii="宋体" w:hAnsi="宋体" w:eastAsia="宋体" w:cs="宋体"/>
                <w:color w:val="000000"/>
                <w:kern w:val="0"/>
                <w:sz w:val="32"/>
                <w:szCs w:val="32"/>
                <w:lang w:val="en-US" w:eastAsia="zh-CN" w:bidi="ar-SA"/>
              </w:rPr>
              <w:t>（荣誉军人休养中心补助经费）</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44"/>
                <w:szCs w:val="4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主管部门及代码</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643602</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广元市光荣院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项目预算</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执行情况</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预算数：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4万</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lang w:val="en-US" w:eastAsia="zh-CN"/>
              </w:rPr>
              <w:t>4万</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lang w:val="en-US" w:eastAsia="zh-CN"/>
              </w:rPr>
              <w:t>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90"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完成情况</w:t>
            </w: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预期目标</w:t>
            </w:r>
          </w:p>
        </w:tc>
        <w:tc>
          <w:tcPr>
            <w:tcW w:w="3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715" w:hRule="atLeast"/>
        </w:trPr>
        <w:tc>
          <w:tcPr>
            <w:tcW w:w="197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3911"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仿宋" w:hAnsi="仿宋" w:eastAsia="仿宋" w:cs="仿宋"/>
                <w:i w:val="0"/>
                <w:color w:val="auto"/>
                <w:sz w:val="24"/>
                <w:szCs w:val="24"/>
                <w:u w:val="none"/>
                <w:lang w:eastAsia="zh-CN"/>
              </w:rPr>
            </w:pPr>
            <w:r>
              <w:rPr>
                <w:rFonts w:hint="eastAsia" w:ascii="仿宋" w:hAnsi="仿宋" w:eastAsia="仿宋" w:cs="仿宋"/>
                <w:color w:val="000000"/>
                <w:sz w:val="24"/>
                <w:szCs w:val="24"/>
              </w:rPr>
              <w:t>保障日常工作经费，确保各项工作顺利开展</w:t>
            </w:r>
            <w:r>
              <w:rPr>
                <w:rFonts w:hint="eastAsia" w:ascii="仿宋" w:hAnsi="仿宋" w:eastAsia="仿宋" w:cs="仿宋"/>
                <w:color w:val="000000"/>
                <w:sz w:val="24"/>
                <w:szCs w:val="24"/>
                <w:lang w:eastAsia="zh-CN"/>
              </w:rPr>
              <w:t>。</w:t>
            </w:r>
          </w:p>
        </w:tc>
        <w:tc>
          <w:tcPr>
            <w:tcW w:w="3689" w:type="dxa"/>
            <w:gridSpan w:val="2"/>
            <w:tcBorders>
              <w:top w:val="single" w:color="000000" w:sz="4" w:space="0"/>
              <w:left w:val="single" w:color="000000" w:sz="4" w:space="0"/>
              <w:bottom w:val="single" w:color="auto" w:sz="4" w:space="0"/>
              <w:right w:val="single" w:color="000000" w:sz="4" w:space="0"/>
            </w:tcBorders>
            <w:shd w:val="clear" w:color="auto" w:fill="auto"/>
            <w:vAlign w:val="top"/>
          </w:tcPr>
          <w:p>
            <w:pPr>
              <w:numPr>
                <w:ilvl w:val="0"/>
                <w:numId w:val="0"/>
              </w:numPr>
              <w:ind w:firstLine="480" w:firstLineChars="200"/>
              <w:jc w:val="left"/>
              <w:rPr>
                <w:rFonts w:hint="eastAsia" w:ascii="仿宋" w:hAnsi="仿宋" w:eastAsia="仿宋" w:cs="仿宋"/>
                <w:i w:val="0"/>
                <w:color w:val="auto"/>
                <w:sz w:val="24"/>
                <w:szCs w:val="24"/>
                <w:u w:val="none"/>
                <w:lang w:val="en-US"/>
              </w:rPr>
            </w:pPr>
            <w:r>
              <w:rPr>
                <w:rFonts w:hint="eastAsia" w:ascii="仿宋" w:hAnsi="仿宋" w:eastAsia="仿宋" w:cs="仿宋"/>
                <w:color w:val="000000"/>
                <w:sz w:val="24"/>
                <w:szCs w:val="24"/>
                <w:lang w:val="en-US" w:eastAsia="zh-CN"/>
              </w:rPr>
              <w:t>项目结余资金1万元为</w:t>
            </w:r>
            <w:r>
              <w:rPr>
                <w:rFonts w:hint="eastAsia" w:ascii="仿宋" w:hAnsi="仿宋" w:eastAsia="仿宋" w:cs="仿宋"/>
                <w:b w:val="0"/>
                <w:bCs/>
                <w:sz w:val="24"/>
                <w:szCs w:val="24"/>
                <w:lang w:val="en-US" w:eastAsia="zh-CN"/>
              </w:rPr>
              <w:t>预算采购A3复印件一台，主要原因为：按照政府采购项目规定，咨询了政府指定供应商，预算经费10000元。2021年实施采购时，市财政局和市委机要局规定必须采购国产复印机，采购清单报价A3复印机4万元左右，预算经费不足，该采购项目未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预期指标值</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经费</w:t>
            </w:r>
            <w:r>
              <w:rPr>
                <w:rFonts w:hint="eastAsia" w:ascii="仿宋_GB2312" w:hAnsi="仿宋_GB2312" w:eastAsia="仿宋_GB2312" w:cs="仿宋_GB2312"/>
                <w:i w:val="0"/>
                <w:color w:val="auto"/>
                <w:sz w:val="24"/>
                <w:szCs w:val="24"/>
                <w:u w:val="none"/>
                <w:lang w:val="en-US" w:eastAsia="zh-CN"/>
              </w:rPr>
              <w:t xml:space="preserve">   </w:t>
            </w:r>
            <w:r>
              <w:rPr>
                <w:rFonts w:hint="eastAsia" w:ascii="仿宋_GB2312" w:hAnsi="仿宋_GB2312" w:eastAsia="仿宋_GB2312" w:cs="仿宋_GB2312"/>
                <w:i w:val="0"/>
                <w:color w:val="auto"/>
                <w:sz w:val="24"/>
                <w:szCs w:val="24"/>
                <w:u w:val="none"/>
              </w:rPr>
              <w:t>使用率</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szCs w:val="24"/>
                <w:lang w:eastAsia="zh-CN"/>
              </w:rPr>
              <w:t>100%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szCs w:val="24"/>
                <w:lang w:val="en-US" w:eastAsia="zh-CN"/>
              </w:rPr>
              <w:t>75</w:t>
            </w:r>
            <w:r>
              <w:rPr>
                <w:rFonts w:hint="eastAsia" w:ascii="仿宋_GB2312" w:hAnsi="仿宋_GB2312" w:eastAsia="仿宋_GB2312" w:cs="仿宋_GB2312"/>
                <w:color w:val="00000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szCs w:val="24"/>
                <w:lang w:eastAsia="zh-CN"/>
              </w:rPr>
              <w:t>资金</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保障率</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szCs w:val="24"/>
                <w:lang w:eastAsia="zh-CN"/>
              </w:rPr>
              <w:t>100%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szCs w:val="24"/>
                <w:lang w:eastAsia="zh-CN"/>
              </w:rPr>
              <w:t>项目</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完成时间</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szCs w:val="24"/>
                <w:lang w:val="en-US" w:eastAsia="zh-CN"/>
              </w:rPr>
              <w:t>2021年 完成</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szCs w:val="24"/>
                <w:lang w:val="en-US" w:eastAsia="zh-CN"/>
              </w:rPr>
              <w:t>2021年完成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18"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3万</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szCs w:val="24"/>
                <w:lang w:eastAsia="zh-CN"/>
              </w:rPr>
              <w:t>100%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szCs w:val="24"/>
                <w:lang w:val="en-US" w:eastAsia="zh-CN"/>
              </w:rPr>
              <w:t>75</w:t>
            </w:r>
            <w:r>
              <w:rPr>
                <w:rFonts w:hint="eastAsia" w:ascii="仿宋_GB2312" w:hAnsi="仿宋_GB2312" w:eastAsia="仿宋_GB2312" w:cs="仿宋_GB2312"/>
                <w:color w:val="00000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r>
              <w:rPr>
                <w:rFonts w:hint="eastAsia" w:ascii="仿宋_GB2312" w:eastAsia="仿宋_GB2312" w:cs="仿宋_GB2312"/>
                <w:sz w:val="24"/>
                <w:szCs w:val="24"/>
              </w:rPr>
              <w:t>效益</w:t>
            </w:r>
            <w:r>
              <w:rPr>
                <w:rFonts w:hint="eastAsia" w:ascii="仿宋_GB2312" w:eastAsia="仿宋_GB2312" w:cs="仿宋_GB2312"/>
                <w:sz w:val="24"/>
                <w:szCs w:val="24"/>
                <w:lang w:val="en-US" w:eastAsia="zh-CN"/>
              </w:rPr>
              <w:t xml:space="preserve">  </w:t>
            </w:r>
            <w:r>
              <w:rPr>
                <w:rFonts w:hint="eastAsia" w:ascii="仿宋_GB2312" w:eastAsia="仿宋_GB2312" w:cs="仿宋_GB2312"/>
                <w:sz w:val="24"/>
                <w:szCs w:val="24"/>
              </w:rPr>
              <w:t>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eastAsia="仿宋_GB2312" w:cs="仿宋_GB2312"/>
                <w:color w:val="auto"/>
                <w:w w:val="80"/>
                <w:kern w:val="13"/>
                <w:sz w:val="24"/>
                <w:szCs w:val="24"/>
                <w:u w:val="none"/>
                <w:lang w:val="en-US" w:eastAsia="zh-CN"/>
              </w:rPr>
              <w:t>社会效益指标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eastAsia="仿宋_GB2312" w:cs="仿宋_GB2312"/>
                <w:color w:val="auto"/>
                <w:w w:val="80"/>
                <w:kern w:val="13"/>
                <w:sz w:val="24"/>
                <w:szCs w:val="24"/>
                <w:u w:val="none"/>
                <w:lang w:eastAsia="zh-CN" w:bidi="ar-SA"/>
              </w:rPr>
              <w:t>做好日常工作，确保为供养对象提供优质服务</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eastAsia="仿宋_GB2312" w:cs="仿宋_GB2312"/>
                <w:color w:val="auto"/>
                <w:w w:val="80"/>
                <w:kern w:val="13"/>
                <w:sz w:val="24"/>
                <w:szCs w:val="24"/>
                <w:u w:val="none"/>
                <w:lang w:bidi="ar-SA"/>
              </w:rPr>
              <w:t>有效</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eastAsia="仿宋_GB2312" w:cs="仿宋_GB2312"/>
                <w:color w:val="auto"/>
                <w:w w:val="80"/>
                <w:kern w:val="13"/>
                <w:sz w:val="24"/>
                <w:szCs w:val="24"/>
                <w:u w:val="none"/>
                <w:lang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55"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Times New Roman" w:eastAsia="仿宋_GB2312" w:cs="仿宋_GB2312"/>
                <w:color w:val="auto"/>
                <w:w w:val="80"/>
                <w:kern w:val="13"/>
                <w:sz w:val="24"/>
                <w:szCs w:val="24"/>
                <w:u w:val="none"/>
                <w:lang w:val="en-US" w:eastAsia="zh-CN" w:bidi="ar-SA"/>
              </w:rPr>
            </w:pPr>
            <w:r>
              <w:rPr>
                <w:rFonts w:hint="eastAsia" w:ascii="仿宋_GB2312" w:eastAsia="仿宋_GB2312" w:cs="仿宋_GB2312"/>
                <w:color w:val="auto"/>
                <w:w w:val="80"/>
                <w:kern w:val="13"/>
                <w:sz w:val="24"/>
                <w:szCs w:val="24"/>
                <w:u w:val="none"/>
                <w:lang w:val="en-US" w:eastAsia="zh-CN"/>
              </w:rPr>
              <w:t>可持续影响指标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Times New Roman" w:eastAsia="仿宋_GB2312" w:cs="仿宋_GB2312"/>
                <w:color w:val="auto"/>
                <w:w w:val="80"/>
                <w:kern w:val="13"/>
                <w:sz w:val="24"/>
                <w:szCs w:val="24"/>
                <w:u w:val="none"/>
                <w:lang w:val="en-US" w:eastAsia="zh-CN" w:bidi="ar-SA"/>
              </w:rPr>
            </w:pPr>
            <w:r>
              <w:rPr>
                <w:rFonts w:hint="eastAsia" w:ascii="仿宋_GB2312" w:hAnsi="仿宋_GB2312" w:eastAsia="仿宋_GB2312" w:cs="仿宋_GB2312"/>
                <w:color w:val="000000"/>
                <w:sz w:val="24"/>
                <w:szCs w:val="24"/>
                <w:lang w:eastAsia="zh-CN"/>
              </w:rPr>
              <w:t>对双拥工作的促进作用</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Times New Roman" w:eastAsia="仿宋_GB2312" w:cs="仿宋_GB2312"/>
                <w:color w:val="auto"/>
                <w:w w:val="80"/>
                <w:kern w:val="13"/>
                <w:sz w:val="24"/>
                <w:szCs w:val="24"/>
                <w:u w:val="none"/>
                <w:lang w:val="en-US" w:eastAsia="zh-CN" w:bidi="ar-SA"/>
              </w:rPr>
            </w:pPr>
            <w:r>
              <w:rPr>
                <w:rFonts w:hint="eastAsia" w:ascii="仿宋_GB2312" w:eastAsia="仿宋_GB2312" w:cs="仿宋_GB2312"/>
                <w:color w:val="auto"/>
                <w:w w:val="80"/>
                <w:kern w:val="13"/>
                <w:sz w:val="24"/>
                <w:szCs w:val="24"/>
                <w:u w:val="none"/>
                <w:lang w:bidi="ar-SA"/>
              </w:rPr>
              <w:t>长期</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Times New Roman" w:eastAsia="仿宋_GB2312" w:cs="仿宋_GB2312"/>
                <w:color w:val="auto"/>
                <w:w w:val="80"/>
                <w:kern w:val="13"/>
                <w:sz w:val="24"/>
                <w:szCs w:val="24"/>
                <w:u w:val="none"/>
                <w:lang w:val="en-US" w:eastAsia="zh-CN" w:bidi="ar-SA"/>
              </w:rPr>
            </w:pPr>
            <w:r>
              <w:rPr>
                <w:rFonts w:hint="eastAsia" w:ascii="仿宋_GB2312" w:eastAsia="仿宋_GB2312" w:cs="仿宋_GB2312"/>
                <w:color w:val="auto"/>
                <w:w w:val="80"/>
                <w:kern w:val="13"/>
                <w:sz w:val="24"/>
                <w:szCs w:val="24"/>
                <w:u w:val="none"/>
                <w:lang w:bidi="ar-SA"/>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55" w:hRule="atLeast"/>
        </w:trPr>
        <w:tc>
          <w:tcPr>
            <w:tcW w:w="19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满意</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度指标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color w:val="000000"/>
                <w:sz w:val="24"/>
                <w:szCs w:val="24"/>
                <w:lang w:eastAsia="zh-CN"/>
              </w:rPr>
              <w:t>优抚对象满意度</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eastAsia="仿宋_GB2312" w:cs="仿宋_GB2312"/>
                <w:color w:val="auto"/>
                <w:w w:val="80"/>
                <w:kern w:val="13"/>
                <w:sz w:val="24"/>
                <w:szCs w:val="24"/>
                <w:u w:val="none"/>
                <w:lang w:bidi="ar-SA"/>
              </w:rPr>
              <w:t>≧9</w:t>
            </w:r>
            <w:r>
              <w:rPr>
                <w:rFonts w:hint="eastAsia" w:ascii="仿宋_GB2312" w:eastAsia="仿宋_GB2312" w:cs="仿宋_GB2312"/>
                <w:color w:val="auto"/>
                <w:w w:val="80"/>
                <w:kern w:val="13"/>
                <w:sz w:val="24"/>
                <w:szCs w:val="24"/>
                <w:u w:val="none"/>
                <w:lang w:val="en-US" w:eastAsia="zh-CN" w:bidi="ar-SA"/>
              </w:rPr>
              <w:t>5</w:t>
            </w:r>
            <w:r>
              <w:rPr>
                <w:rFonts w:hint="eastAsia" w:ascii="仿宋_GB2312" w:eastAsia="仿宋_GB2312" w:cs="仿宋_GB2312"/>
                <w:color w:val="auto"/>
                <w:w w:val="80"/>
                <w:kern w:val="13"/>
                <w:sz w:val="24"/>
                <w:szCs w:val="24"/>
                <w:u w:val="none"/>
                <w:lang w:bidi="ar-SA"/>
              </w:rPr>
              <w:t>%</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eastAsia="仿宋_GB2312" w:cs="仿宋_GB2312"/>
                <w:color w:val="auto"/>
                <w:w w:val="80"/>
                <w:kern w:val="13"/>
                <w:sz w:val="24"/>
                <w:szCs w:val="24"/>
                <w:u w:val="none"/>
                <w:lang w:bidi="ar-SA"/>
              </w:rPr>
              <w:t>≧9</w:t>
            </w:r>
            <w:r>
              <w:rPr>
                <w:rFonts w:hint="eastAsia" w:ascii="仿宋_GB2312" w:eastAsia="仿宋_GB2312" w:cs="仿宋_GB2312"/>
                <w:color w:val="auto"/>
                <w:w w:val="80"/>
                <w:kern w:val="13"/>
                <w:sz w:val="24"/>
                <w:szCs w:val="24"/>
                <w:u w:val="none"/>
                <w:lang w:val="en-US" w:eastAsia="zh-CN" w:bidi="ar-SA"/>
              </w:rPr>
              <w:t>5</w:t>
            </w:r>
            <w:r>
              <w:rPr>
                <w:rFonts w:hint="eastAsia" w:ascii="仿宋_GB2312" w:eastAsia="仿宋_GB2312" w:cs="仿宋_GB2312"/>
                <w:color w:val="auto"/>
                <w:w w:val="80"/>
                <w:kern w:val="13"/>
                <w:sz w:val="24"/>
                <w:szCs w:val="24"/>
                <w:u w:val="none"/>
                <w:lang w:bidi="ar-SA"/>
              </w:rPr>
              <w:t>%</w:t>
            </w:r>
          </w:p>
        </w:tc>
      </w:tr>
    </w:tbl>
    <w:p>
      <w:pPr>
        <w:spacing w:line="600" w:lineRule="exact"/>
        <w:jc w:val="center"/>
        <w:rPr>
          <w:rFonts w:hint="eastAsia" w:ascii="方正小标宋简体" w:hAnsi="宋体" w:eastAsia="方正小标宋简体" w:cs="Times New Roman"/>
          <w:color w:val="000000"/>
          <w:kern w:val="0"/>
          <w:sz w:val="44"/>
          <w:szCs w:val="44"/>
          <w:lang w:val="en-US" w:eastAsia="zh-CN" w:bidi="ar-SA"/>
        </w:rPr>
      </w:pPr>
    </w:p>
    <w:p>
      <w:pPr>
        <w:pStyle w:val="7"/>
        <w:rPr>
          <w:rFonts w:hint="eastAsia" w:ascii="方正小标宋简体" w:hAnsi="宋体" w:eastAsia="方正小标宋简体" w:cs="Times New Roman"/>
          <w:color w:val="000000"/>
          <w:kern w:val="0"/>
          <w:sz w:val="44"/>
          <w:szCs w:val="44"/>
          <w:lang w:val="en-US" w:eastAsia="zh-CN" w:bidi="ar-SA"/>
        </w:rPr>
      </w:pPr>
      <w:r>
        <w:rPr>
          <w:rFonts w:hint="eastAsia" w:ascii="仿宋" w:hAnsi="仿宋" w:eastAsia="仿宋" w:cs="Times New Roman"/>
          <w:color w:val="auto"/>
          <w:kern w:val="2"/>
          <w:sz w:val="32"/>
          <w:szCs w:val="32"/>
          <w:highlight w:val="none"/>
          <w:lang w:val="zh-CN" w:eastAsia="zh-CN" w:bidi="ar-SA"/>
        </w:rPr>
        <w:t>附件</w:t>
      </w:r>
      <w:r>
        <w:rPr>
          <w:rFonts w:hint="eastAsia" w:ascii="仿宋" w:hAnsi="仿宋" w:eastAsia="仿宋" w:cs="Times New Roman"/>
          <w:color w:val="auto"/>
          <w:kern w:val="2"/>
          <w:sz w:val="32"/>
          <w:szCs w:val="32"/>
          <w:highlight w:val="none"/>
          <w:lang w:val="en-US" w:eastAsia="zh-CN" w:bidi="ar-SA"/>
        </w:rPr>
        <w:t>3</w:t>
      </w:r>
    </w:p>
    <w:p>
      <w:pPr>
        <w:spacing w:line="600" w:lineRule="exact"/>
        <w:jc w:val="center"/>
        <w:rPr>
          <w:rFonts w:hint="eastAsia"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s="Times New Roman"/>
          <w:color w:val="000000"/>
          <w:kern w:val="0"/>
          <w:sz w:val="44"/>
          <w:szCs w:val="44"/>
          <w:lang w:val="en-US" w:eastAsia="zh-CN" w:bidi="ar-SA"/>
        </w:rPr>
        <w:t>2021年革命传统教育宣讲经费</w:t>
      </w:r>
    </w:p>
    <w:p>
      <w:pPr>
        <w:adjustRightInd w:val="0"/>
        <w:snapToGrid w:val="0"/>
        <w:spacing w:line="600" w:lineRule="exact"/>
        <w:jc w:val="center"/>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numPr>
          <w:ilvl w:val="0"/>
          <w:numId w:val="0"/>
        </w:numPr>
        <w:adjustRightInd w:val="0"/>
        <w:snapToGrid w:val="0"/>
        <w:spacing w:line="600" w:lineRule="exact"/>
        <w:ind w:firstLine="640" w:firstLineChars="200"/>
        <w:rPr>
          <w:rFonts w:hint="eastAsia" w:ascii="黑体" w:hAnsi="宋体" w:eastAsia="黑体"/>
          <w:sz w:val="32"/>
          <w:szCs w:val="32"/>
          <w:lang w:val="zh-CN"/>
        </w:rPr>
      </w:pPr>
      <w:r>
        <w:rPr>
          <w:rFonts w:hint="eastAsia" w:ascii="黑体" w:hAnsi="宋体" w:eastAsia="黑体"/>
          <w:sz w:val="32"/>
          <w:szCs w:val="32"/>
          <w:lang w:val="zh-CN" w:eastAsia="zh-CN"/>
        </w:rPr>
        <w:t>一、</w:t>
      </w:r>
      <w:r>
        <w:rPr>
          <w:rFonts w:hint="eastAsia" w:ascii="黑体" w:hAnsi="宋体" w:eastAsia="黑体"/>
          <w:sz w:val="32"/>
          <w:szCs w:val="32"/>
          <w:lang w:val="zh-CN"/>
        </w:rPr>
        <w:t>项目概况</w:t>
      </w:r>
    </w:p>
    <w:p>
      <w:pPr>
        <w:adjustRightInd w:val="0"/>
        <w:snapToGrid w:val="0"/>
        <w:spacing w:line="60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（一）项目基本情况。</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pPr>
        <w:ind w:firstLine="640" w:firstLineChars="200"/>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主要承担全市重点优抚对象短（中、长）期集中供养服务和红色文化等传承教育。</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项目申报主要依据中华人民共和国退役军人事务部颁布的《光荣院管理办法》，第四章第二十四条“光荣院应当建立荣誉室或者陈列室，收集、编撰、陈列、展示有关烈士、因战因公牺牲军人和服务对象的光荣事迹，与驻地国家机关、人民团体、社会组织、企业事业单位、学校、部队、社区等开展精神文明共建活动，充分发挥其爱国主义教育和革命传统教育作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eastAsia="zh-CN"/>
        </w:rPr>
        <w:t>秉承“保存红色财富，开发红色资源，进行红色教育”的宗旨，让供养对象发挥余热，在安享晚年的同时，继续保持和发扬优秀革命传统，服务国防建设和社会稳定和谐。</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项目应实现的具体绩效目标，包括目标的量化、细化情况以及项目实施进度计划等。</w:t>
      </w:r>
    </w:p>
    <w:p>
      <w:pPr>
        <w:numPr>
          <w:ilvl w:val="0"/>
          <w:numId w:val="0"/>
        </w:numPr>
        <w:adjustRightInd w:val="0"/>
        <w:snapToGrid w:val="0"/>
        <w:spacing w:line="6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为完成年度工作目标任务，按照预算审核、绩效监督、绩效评价、结果应用的方式和程序组织实施。</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分析评价申报内容是否与实际相符，申报目标是否合理可行。</w:t>
      </w:r>
    </w:p>
    <w:p>
      <w:pPr>
        <w:numPr>
          <w:ilvl w:val="0"/>
          <w:numId w:val="0"/>
        </w:numPr>
        <w:adjustRightInd w:val="0"/>
        <w:snapToGrid w:val="0"/>
        <w:spacing w:line="6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项目严格按照规定使用，完成了预期目标，申报内容与实际相符，申报目标合理可行。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相关科室负责人、分管业务领导负责预算绩效管理考核工作的具体事务。按绩效事前评估、绩效目标管理、绩效运行监控、绩效评价管理、评价结果应用等各环节的管理流程，明确各环节的工作要求、时间节点、主体责任。</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使用预算资金符合国家财经法规和财务管理制度规定以及市财政局资金管理办法的规定；资金的拨付有完整的审批过程和手续；预算调整履行了规定程序；符合部门预算批复的用途；资金使用无截留、挤占、挪用、虚列支出等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1．资金计划。</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本单位结合实际情况，认真规划和申报项目预算。</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资金到位。</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2021年度，项目资金已全部下达，按计划及时认真实施。</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资金使用。</w:t>
      </w:r>
    </w:p>
    <w:p>
      <w:pPr>
        <w:numPr>
          <w:ilvl w:val="0"/>
          <w:numId w:val="0"/>
        </w:numPr>
        <w:adjustRightInd w:val="0"/>
        <w:snapToGrid w:val="0"/>
        <w:spacing w:line="60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项目资金使用过程中，遵循先事项申请，再根据实际情况实施。对项目的事前、事中、事后进行监督，实现了项目管理与过程管理的有机结合。对相关档案资料进行收集、分类、整理、归档，档案资料完整、齐全、规范。</w:t>
      </w:r>
    </w:p>
    <w:p>
      <w:pPr>
        <w:numPr>
          <w:ilvl w:val="0"/>
          <w:numId w:val="0"/>
        </w:numPr>
        <w:adjustRightInd w:val="0"/>
        <w:snapToGrid w:val="0"/>
        <w:spacing w:line="600" w:lineRule="exact"/>
        <w:ind w:left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该项目实际支出与预算批复相符，符合国家财经法律及财务管理制度。项目资金使用合规，无挤占、挪用及截留，严格遵守财务相关要求。</w:t>
      </w:r>
    </w:p>
    <w:p>
      <w:pPr>
        <w:adjustRightInd w:val="0"/>
        <w:snapToGrid w:val="0"/>
        <w:spacing w:line="600" w:lineRule="exact"/>
        <w:ind w:firstLine="720"/>
        <w:rPr>
          <w:rFonts w:hint="eastAsia" w:ascii="黑体" w:hAnsi="宋体" w:eastAsia="黑体"/>
          <w:sz w:val="32"/>
          <w:szCs w:val="32"/>
        </w:rPr>
      </w:pPr>
      <w:r>
        <w:rPr>
          <w:rFonts w:hint="eastAsia" w:ascii="黑体" w:hAnsi="宋体" w:eastAsia="黑体"/>
          <w:sz w:val="32"/>
          <w:szCs w:val="32"/>
        </w:rPr>
        <w:t>三、项目实施及管理情况</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项目资金按照单位财务制度，实行专款专用，先立项，再报经费，并采取分期付款方式进行支付。资金拨付严格审批程序，使用规范，会计核算结果真实、准确。建立健全项目实施方案、财务管理制度和会计核算制度，此次绩效评价过程中未发现有截留、挤占或挪用项目资金的情况。项目认真贯彻资金管理办法和财务管理暂行办法，严格、规范执行国家有关的财务管理制度。</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numPr>
          <w:ilvl w:val="0"/>
          <w:numId w:val="0"/>
        </w:numPr>
        <w:adjustRightInd w:val="0"/>
        <w:snapToGrid w:val="0"/>
        <w:spacing w:line="600" w:lineRule="exact"/>
        <w:ind w:leftChars="200" w:firstLine="320" w:firstLineChars="100"/>
        <w:rPr>
          <w:rFonts w:hint="eastAsia" w:ascii="宋体" w:hAnsi="宋体" w:eastAsia="宋体" w:cs="宋体"/>
          <w:color w:val="000000"/>
          <w:kern w:val="0"/>
          <w:sz w:val="32"/>
          <w:szCs w:val="32"/>
          <w:lang w:val="en-US" w:eastAsia="zh-CN" w:bidi="ar-SA"/>
        </w:rPr>
      </w:pPr>
      <w:r>
        <w:rPr>
          <w:rFonts w:hint="eastAsia" w:ascii="仿宋_GB2312" w:eastAsia="仿宋_GB2312" w:cs="仿宋_GB2312"/>
          <w:color w:val="000000"/>
          <w:sz w:val="32"/>
          <w:szCs w:val="32"/>
          <w:lang w:val="en-US" w:eastAsia="zh-CN"/>
        </w:rPr>
        <w:t>2021年下达我院</w:t>
      </w:r>
      <w:r>
        <w:rPr>
          <w:rFonts w:hint="eastAsia" w:ascii="仿宋_GB2312" w:hAnsi="Times New Roman" w:eastAsia="仿宋_GB2312" w:cs="仿宋_GB2312"/>
          <w:color w:val="000000"/>
          <w:sz w:val="32"/>
          <w:szCs w:val="32"/>
          <w:lang w:val="en-US" w:eastAsia="zh-CN"/>
        </w:rPr>
        <w:t>革命传统教育宣讲经费</w:t>
      </w:r>
      <w:r>
        <w:rPr>
          <w:rFonts w:hint="eastAsia" w:ascii="仿宋_GB2312" w:eastAsia="仿宋_GB2312" w:cs="仿宋_GB2312"/>
          <w:color w:val="000000"/>
          <w:sz w:val="32"/>
          <w:szCs w:val="32"/>
          <w:lang w:val="en-US" w:eastAsia="zh-CN"/>
        </w:rPr>
        <w:t>1万元</w:t>
      </w:r>
      <w:r>
        <w:rPr>
          <w:rFonts w:hint="eastAsia" w:ascii="仿宋_GB2312" w:eastAsia="仿宋_GB2312" w:cs="仿宋_GB2312"/>
          <w:color w:val="000000"/>
          <w:sz w:val="32"/>
          <w:szCs w:val="32"/>
          <w:lang w:eastAsia="zh-CN"/>
        </w:rPr>
        <w:t>，执行率为</w:t>
      </w:r>
      <w:r>
        <w:rPr>
          <w:rFonts w:hint="eastAsia" w:asci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秉承“保存红色财富，开发红色资源，进行红色教育”的宗旨，让供养对象发挥余热，在安享晚年的同时，继续保持和发扬优秀革命传统，服务国防建设和社会稳定和谐。</w:t>
      </w:r>
    </w:p>
    <w:p>
      <w:pPr>
        <w:numPr>
          <w:ilvl w:val="0"/>
          <w:numId w:val="0"/>
        </w:numPr>
        <w:adjustRightInd w:val="0"/>
        <w:snapToGrid w:val="0"/>
        <w:spacing w:line="600" w:lineRule="exact"/>
        <w:ind w:leftChars="200" w:firstLine="321" w:firstLineChars="1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pageBreakBefore w:val="0"/>
        <w:widowControl w:val="0"/>
        <w:kinsoku/>
        <w:wordWrap/>
        <w:overflowPunct/>
        <w:topLinePunct w:val="0"/>
        <w:autoSpaceDE/>
        <w:autoSpaceDN/>
        <w:bidi w:val="0"/>
        <w:spacing w:line="560" w:lineRule="exact"/>
        <w:ind w:left="0" w:firstLine="642" w:firstLineChars="200"/>
        <w:jc w:val="both"/>
        <w:textAlignment w:val="auto"/>
        <w:rPr>
          <w:rFonts w:hint="eastAsia" w:ascii="仿宋_GB2312" w:hAnsi="Times New Roman" w:eastAsia="仿宋_GB2312" w:cs="仿宋_GB2312"/>
          <w:color w:val="000000"/>
          <w:sz w:val="32"/>
          <w:szCs w:val="32"/>
          <w:lang w:val="en-US" w:eastAsia="zh-CN"/>
        </w:rPr>
      </w:pPr>
      <w:r>
        <w:rPr>
          <w:rFonts w:hint="eastAsia" w:ascii="楷体_GB2312" w:hAnsi="宋体" w:eastAsia="楷体_GB2312"/>
          <w:b/>
          <w:sz w:val="32"/>
          <w:szCs w:val="32"/>
          <w:lang w:val="en-US" w:eastAsia="zh-CN"/>
        </w:rPr>
        <w:t xml:space="preserve"> </w:t>
      </w:r>
      <w:r>
        <w:rPr>
          <w:rFonts w:hint="eastAsia" w:ascii="仿宋_GB2312" w:eastAsia="仿宋_GB2312" w:cs="仿宋_GB2312"/>
          <w:color w:val="000000"/>
          <w:sz w:val="32"/>
          <w:szCs w:val="32"/>
          <w:lang w:val="en-US" w:eastAsia="zh-CN"/>
        </w:rPr>
        <w:t>1.社会效益分析。</w:t>
      </w:r>
      <w:r>
        <w:rPr>
          <w:rFonts w:hint="eastAsia" w:ascii="仿宋_GB2312" w:hAnsi="Times New Roman" w:eastAsia="仿宋_GB2312" w:cs="仿宋_GB2312"/>
          <w:color w:val="000000"/>
          <w:sz w:val="32"/>
          <w:szCs w:val="32"/>
          <w:lang w:val="en-US" w:eastAsia="zh-CN"/>
        </w:rPr>
        <w:t>充分发挥光荣院红色爱国主义教育基地平台的作用，使受教育者继承和发扬老一辈优良作风和高尚品德。</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2.可持续效益分析。</w:t>
      </w:r>
      <w:r>
        <w:rPr>
          <w:rFonts w:hint="eastAsia" w:ascii="仿宋_GB2312" w:eastAsia="仿宋_GB2312" w:cs="仿宋_GB2312"/>
          <w:color w:val="000000"/>
          <w:sz w:val="32"/>
          <w:szCs w:val="32"/>
        </w:rPr>
        <w:t>积极</w:t>
      </w:r>
      <w:r>
        <w:rPr>
          <w:rFonts w:hint="eastAsia" w:ascii="仿宋_GB2312" w:eastAsia="仿宋_GB2312" w:cs="仿宋_GB2312"/>
          <w:color w:val="000000"/>
          <w:sz w:val="32"/>
          <w:szCs w:val="32"/>
          <w:lang w:eastAsia="zh-CN"/>
        </w:rPr>
        <w:t>做好革命传统教育宣讲工作</w:t>
      </w:r>
      <w:r>
        <w:rPr>
          <w:rFonts w:hint="eastAsia" w:ascii="仿宋_GB2312" w:eastAsia="仿宋_GB2312" w:cs="仿宋_GB2312"/>
          <w:color w:val="000000"/>
          <w:sz w:val="32"/>
          <w:szCs w:val="32"/>
        </w:rPr>
        <w:t>，促进双拥工作开展。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sz w:val="32"/>
          <w:szCs w:val="32"/>
          <w:lang w:val="en-US" w:eastAsia="zh-CN"/>
        </w:rPr>
      </w:pP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.满意度指标完成情况分析</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通过</w:t>
      </w:r>
      <w:r>
        <w:rPr>
          <w:rFonts w:hint="eastAsia" w:ascii="仿宋_GB2312" w:eastAsia="仿宋_GB2312" w:cs="仿宋_GB2312"/>
          <w:color w:val="000000"/>
          <w:sz w:val="32"/>
          <w:szCs w:val="32"/>
          <w:lang w:eastAsia="zh-CN"/>
        </w:rPr>
        <w:t>革命传统教育后</w:t>
      </w:r>
      <w:r>
        <w:rPr>
          <w:rFonts w:hint="eastAsia" w:ascii="仿宋_GB2312" w:eastAsia="仿宋_GB2312" w:cs="仿宋_GB2312"/>
          <w:color w:val="000000"/>
          <w:sz w:val="32"/>
          <w:szCs w:val="32"/>
        </w:rPr>
        <w:t>走访了解</w:t>
      </w:r>
      <w:r>
        <w:rPr>
          <w:rFonts w:hint="eastAsia" w:ascii="仿宋_GB2312" w:eastAsia="仿宋_GB2312" w:cs="仿宋_GB2312"/>
          <w:color w:val="000000"/>
          <w:sz w:val="32"/>
          <w:szCs w:val="32"/>
          <w:lang w:eastAsia="zh-CN"/>
        </w:rPr>
        <w:t>，受教育者</w:t>
      </w:r>
      <w:r>
        <w:rPr>
          <w:rFonts w:hint="eastAsia" w:ascii="仿宋_GB2312" w:eastAsia="仿宋_GB2312" w:cs="仿宋_GB2312"/>
          <w:color w:val="000000"/>
          <w:sz w:val="32"/>
          <w:szCs w:val="32"/>
        </w:rPr>
        <w:t>满意</w:t>
      </w:r>
      <w:r>
        <w:rPr>
          <w:rFonts w:hint="eastAsia" w:ascii="仿宋_GB2312" w:eastAsia="仿宋_GB2312" w:cs="仿宋_GB2312"/>
          <w:color w:val="000000"/>
          <w:sz w:val="32"/>
          <w:szCs w:val="32"/>
          <w:lang w:eastAsia="zh-CN"/>
        </w:rPr>
        <w:t>率为</w:t>
      </w:r>
      <w:r>
        <w:rPr>
          <w:rFonts w:hint="eastAsia" w:ascii="仿宋_GB2312" w:eastAsia="仿宋_GB2312" w:cs="仿宋_GB2312"/>
          <w:color w:val="000000"/>
          <w:sz w:val="32"/>
          <w:szCs w:val="32"/>
          <w:lang w:val="en-US" w:eastAsia="zh-CN"/>
        </w:rPr>
        <w:t>95%</w:t>
      </w:r>
      <w:r>
        <w:rPr>
          <w:rFonts w:hint="eastAsia" w:ascii="仿宋_GB2312" w:eastAsia="仿宋_GB2312" w:cs="仿宋_GB2312"/>
          <w:color w:val="000000"/>
          <w:sz w:val="32"/>
          <w:szCs w:val="32"/>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项目完成了绩效目标，下一步将加强财务管理，严格财务审核，在资金支付时，严格按照预算规定的用途进行资金使用审核；确保资金使用合法合规、安全高效。</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lang w:val="zh-CN"/>
        </w:rPr>
      </w:pPr>
      <w:r>
        <w:rPr>
          <w:rFonts w:hint="eastAsia" w:ascii="仿宋_GB2312" w:hAnsi="仿宋_GB2312" w:eastAsia="仿宋_GB2312" w:cs="仿宋_GB2312"/>
          <w:color w:val="000000"/>
          <w:sz w:val="32"/>
          <w:szCs w:val="32"/>
        </w:rPr>
        <w:t>项目绩效目标进一步明确和量化</w:t>
      </w:r>
      <w:r>
        <w:rPr>
          <w:rFonts w:hint="eastAsia" w:ascii="仿宋_GB2312" w:hAnsi="仿宋_GB2312" w:eastAsia="仿宋_GB2312" w:cs="仿宋_GB2312"/>
          <w:color w:val="000000"/>
          <w:sz w:val="32"/>
          <w:szCs w:val="32"/>
          <w:lang w:eastAsia="zh-CN"/>
        </w:rPr>
        <w:t>。</w:t>
      </w:r>
      <w:r>
        <w:rPr>
          <w:rFonts w:ascii="仿宋_GB2312" w:hAnsi="宋体" w:eastAsia="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olor w:val="auto"/>
          <w:sz w:val="32"/>
          <w:szCs w:val="32"/>
          <w:highlight w:val="none"/>
          <w:lang w:val="zh-CN" w:eastAsia="zh-CN"/>
        </w:rPr>
      </w:pPr>
      <w:r>
        <w:rPr>
          <w:rFonts w:hint="eastAsia" w:ascii="仿宋" w:hAnsi="仿宋" w:eastAsia="仿宋"/>
          <w:color w:val="auto"/>
          <w:sz w:val="32"/>
          <w:szCs w:val="32"/>
          <w:highlight w:val="none"/>
          <w:lang w:val="zh-CN" w:eastAsia="zh-CN"/>
        </w:rPr>
        <w:t>总结项目资金使用和管理经验，进一步加强和规范项目经费管理，充分发挥项目资金使用效益。</w:t>
      </w:r>
      <w:r>
        <w:rPr>
          <w:rFonts w:hint="eastAsia" w:ascii="仿宋" w:hAnsi="仿宋" w:eastAsia="仿宋"/>
          <w:color w:val="auto"/>
          <w:sz w:val="32"/>
          <w:szCs w:val="32"/>
          <w:highlight w:val="none"/>
          <w:lang w:val="zh-CN" w:eastAsia="zh-CN"/>
        </w:rPr>
        <w:tab/>
      </w:r>
    </w:p>
    <w:p>
      <w:pPr>
        <w:pStyle w:val="20"/>
        <w:rPr>
          <w:rFonts w:hint="eastAsia"/>
          <w:b/>
          <w:bCs/>
          <w:lang w:val="zh-CN" w:eastAsia="zh-CN"/>
        </w:rPr>
      </w:pPr>
    </w:p>
    <w:p>
      <w:pPr>
        <w:pStyle w:val="20"/>
        <w:ind w:left="0" w:leftChars="0" w:firstLine="0" w:firstLineChars="0"/>
        <w:rPr>
          <w:rFonts w:hint="eastAsia" w:ascii="宋体" w:hAnsi="宋体" w:eastAsia="宋体" w:cs="宋体"/>
          <w:b/>
          <w:bCs/>
          <w:sz w:val="32"/>
          <w:szCs w:val="32"/>
          <w:lang w:val="zh-CN" w:eastAsia="zh-CN"/>
        </w:rPr>
      </w:pPr>
      <w:r>
        <w:rPr>
          <w:rFonts w:hint="eastAsia"/>
          <w:b/>
          <w:bCs/>
          <w:lang w:val="zh-CN" w:eastAsia="zh-CN"/>
        </w:rPr>
        <w:t>附件</w:t>
      </w:r>
    </w:p>
    <w:tbl>
      <w:tblPr>
        <w:tblStyle w:val="16"/>
        <w:tblpPr w:leftFromText="180" w:rightFromText="180" w:vertAnchor="text" w:horzAnchor="page" w:tblpX="1229" w:tblpY="921"/>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2021年部门预算项目绩效目标自评</w:t>
            </w:r>
          </w:p>
          <w:p>
            <w:pPr>
              <w:spacing w:line="600" w:lineRule="exact"/>
              <w:jc w:val="center"/>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SA"/>
              </w:rPr>
              <w:t>（革命传统教育宣讲经费）</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643602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广元市光荣院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项目预算</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执行情况</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lang w:val="en-US" w:eastAsia="zh-CN"/>
              </w:rPr>
              <w:t>1万元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秉承“保存红色财富，开发红色资源，进行红色教育”的宗旨，让供养对象发挥余热，在安享晚年的同时，继续保持和发扬优秀革命传统，服务国防建设和社会稳定和谐。</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val="en-US" w:eastAsia="zh-CN"/>
              </w:rPr>
              <w:t>圆满完成各项工作任务。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年度绩效指标完成情况</w:t>
            </w:r>
          </w:p>
        </w:tc>
        <w:tc>
          <w:tcPr>
            <w:tcW w:w="114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rPr>
              <w:t>经费</w:t>
            </w:r>
            <w:r>
              <w:rPr>
                <w:rFonts w:hint="eastAsia" w:ascii="仿宋" w:hAnsi="仿宋" w:eastAsia="仿宋" w:cs="仿宋"/>
                <w:i w:val="0"/>
                <w:color w:val="auto"/>
                <w:sz w:val="24"/>
                <w:szCs w:val="24"/>
                <w:u w:val="none"/>
                <w:lang w:val="en-US" w:eastAsia="zh-CN"/>
              </w:rPr>
              <w:t xml:space="preserve">   </w:t>
            </w:r>
            <w:r>
              <w:rPr>
                <w:rFonts w:hint="eastAsia" w:ascii="仿宋" w:hAnsi="仿宋" w:eastAsia="仿宋" w:cs="仿宋"/>
                <w:i w:val="0"/>
                <w:color w:val="auto"/>
                <w:sz w:val="24"/>
                <w:szCs w:val="24"/>
                <w:u w:val="none"/>
              </w:rPr>
              <w:t>使用率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资金</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保障率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项目</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val="en-US" w:eastAsia="zh-CN"/>
              </w:rPr>
              <w:t>2021年 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val="en-US" w:eastAsia="zh-CN"/>
              </w:rPr>
              <w:t>2021年完成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sz w:val="24"/>
                <w:szCs w:val="24"/>
              </w:rPr>
              <w:t>效益</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color w:val="000000"/>
                <w:sz w:val="24"/>
                <w:szCs w:val="24"/>
                <w:lang w:eastAsia="zh-CN"/>
              </w:rPr>
              <w:t>充分发挥光荣院红色爱国主义教育基地平台的作用。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color w:val="auto"/>
                <w:w w:val="80"/>
                <w:kern w:val="13"/>
                <w:sz w:val="24"/>
                <w:szCs w:val="24"/>
                <w:u w:val="none"/>
                <w:lang w:bidi="ar-SA"/>
              </w:rPr>
              <w:t>有效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color w:val="auto"/>
                <w:w w:val="80"/>
                <w:kern w:val="13"/>
                <w:sz w:val="24"/>
                <w:szCs w:val="24"/>
                <w:u w:val="none"/>
                <w:lang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color w:val="auto"/>
                <w:w w:val="80"/>
                <w:kern w:val="13"/>
                <w:sz w:val="24"/>
                <w:szCs w:val="24"/>
                <w:u w:val="none"/>
                <w:lang w:val="en-US" w:eastAsia="zh-CN" w:bidi="ar-SA"/>
              </w:rPr>
            </w:pPr>
            <w:r>
              <w:rPr>
                <w:rFonts w:hint="eastAsia" w:ascii="仿宋" w:hAnsi="仿宋" w:eastAsia="仿宋" w:cs="仿宋"/>
                <w:color w:val="auto"/>
                <w:w w:val="80"/>
                <w:kern w:val="13"/>
                <w:sz w:val="24"/>
                <w:szCs w:val="24"/>
                <w:u w:val="none"/>
                <w:lang w:val="en-US" w:eastAsia="zh-CN"/>
              </w:rPr>
              <w:t>可持续影响指标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color w:val="auto"/>
                <w:w w:val="80"/>
                <w:kern w:val="13"/>
                <w:sz w:val="24"/>
                <w:szCs w:val="24"/>
                <w:u w:val="none"/>
                <w:lang w:val="en-US" w:eastAsia="zh-CN" w:bidi="ar-SA"/>
              </w:rPr>
            </w:pPr>
            <w:r>
              <w:rPr>
                <w:rFonts w:hint="eastAsia" w:ascii="仿宋" w:hAnsi="仿宋" w:eastAsia="仿宋" w:cs="仿宋"/>
                <w:color w:val="000000"/>
                <w:sz w:val="24"/>
                <w:szCs w:val="24"/>
                <w:lang w:eastAsia="zh-CN"/>
              </w:rPr>
              <w:t>对双拥工作的促进作用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color w:val="auto"/>
                <w:w w:val="80"/>
                <w:kern w:val="13"/>
                <w:sz w:val="24"/>
                <w:szCs w:val="24"/>
                <w:u w:val="none"/>
                <w:lang w:val="en-US" w:eastAsia="zh-CN" w:bidi="ar-SA"/>
              </w:rPr>
            </w:pPr>
            <w:r>
              <w:rPr>
                <w:rFonts w:hint="eastAsia" w:ascii="仿宋" w:hAnsi="仿宋" w:eastAsia="仿宋" w:cs="仿宋"/>
                <w:color w:val="auto"/>
                <w:w w:val="80"/>
                <w:kern w:val="13"/>
                <w:sz w:val="24"/>
                <w:szCs w:val="24"/>
                <w:u w:val="none"/>
                <w:lang w:bidi="ar-SA"/>
              </w:rPr>
              <w:t>长期</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color w:val="auto"/>
                <w:w w:val="80"/>
                <w:kern w:val="13"/>
                <w:sz w:val="24"/>
                <w:szCs w:val="24"/>
                <w:u w:val="none"/>
                <w:lang w:val="en-US" w:eastAsia="zh-CN" w:bidi="ar-SA"/>
              </w:rPr>
            </w:pPr>
            <w:r>
              <w:rPr>
                <w:rFonts w:hint="eastAsia" w:ascii="仿宋" w:hAnsi="仿宋" w:eastAsia="仿宋" w:cs="仿宋"/>
                <w:color w:val="auto"/>
                <w:w w:val="80"/>
                <w:kern w:val="13"/>
                <w:sz w:val="24"/>
                <w:szCs w:val="24"/>
                <w:u w:val="none"/>
                <w:lang w:bidi="ar-SA"/>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满意</w:t>
            </w:r>
            <w:r>
              <w:rPr>
                <w:rFonts w:hint="eastAsia" w:ascii="仿宋" w:hAnsi="仿宋" w:eastAsia="仿宋" w:cs="仿宋"/>
                <w:i w:val="0"/>
                <w:color w:val="auto"/>
                <w:kern w:val="0"/>
                <w:sz w:val="24"/>
                <w:szCs w:val="24"/>
                <w:u w:val="none"/>
                <w:lang w:val="en-US" w:eastAsia="zh-CN" w:bidi="ar"/>
              </w:rPr>
              <w:br w:type="textWrapping"/>
            </w:r>
            <w:r>
              <w:rPr>
                <w:rFonts w:hint="eastAsia" w:ascii="仿宋" w:hAnsi="仿宋" w:eastAsia="仿宋" w:cs="仿宋"/>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color w:val="000000"/>
                <w:sz w:val="24"/>
                <w:szCs w:val="24"/>
                <w:lang w:eastAsia="zh-CN"/>
              </w:rPr>
              <w:t>受教育者满意度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2"/>
                <w:sz w:val="24"/>
                <w:szCs w:val="24"/>
                <w:u w:val="none"/>
                <w:lang w:val="en-US" w:eastAsia="zh-CN" w:bidi="ar-SA"/>
              </w:rPr>
            </w:pPr>
            <w:r>
              <w:rPr>
                <w:rFonts w:hint="eastAsia" w:ascii="仿宋_GB2312" w:eastAsia="仿宋_GB2312" w:cs="仿宋_GB2312"/>
                <w:color w:val="auto"/>
                <w:w w:val="80"/>
                <w:kern w:val="13"/>
                <w:sz w:val="24"/>
                <w:szCs w:val="24"/>
                <w:u w:val="none"/>
                <w:lang w:bidi="ar-SA"/>
              </w:rPr>
              <w:t>≧9</w:t>
            </w:r>
            <w:r>
              <w:rPr>
                <w:rFonts w:hint="eastAsia" w:ascii="仿宋_GB2312" w:eastAsia="仿宋_GB2312" w:cs="仿宋_GB2312"/>
                <w:color w:val="auto"/>
                <w:w w:val="80"/>
                <w:kern w:val="13"/>
                <w:sz w:val="24"/>
                <w:szCs w:val="24"/>
                <w:u w:val="none"/>
                <w:lang w:val="en-US" w:eastAsia="zh-CN" w:bidi="ar-SA"/>
              </w:rPr>
              <w:t>5</w:t>
            </w:r>
            <w:r>
              <w:rPr>
                <w:rFonts w:hint="eastAsia" w:ascii="仿宋_GB2312" w:eastAsia="仿宋_GB2312" w:cs="仿宋_GB2312"/>
                <w:color w:val="auto"/>
                <w:w w:val="80"/>
                <w:kern w:val="13"/>
                <w:sz w:val="24"/>
                <w:szCs w:val="24"/>
                <w:u w:val="none"/>
                <w:lang w:bidi="ar-SA"/>
              </w:rPr>
              <w:t>%</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2"/>
                <w:sz w:val="24"/>
                <w:szCs w:val="24"/>
                <w:u w:val="none"/>
                <w:lang w:val="en-US" w:eastAsia="zh-CN" w:bidi="ar-SA"/>
              </w:rPr>
            </w:pPr>
            <w:r>
              <w:rPr>
                <w:rFonts w:hint="eastAsia" w:ascii="仿宋_GB2312" w:eastAsia="仿宋_GB2312" w:cs="仿宋_GB2312"/>
                <w:color w:val="auto"/>
                <w:w w:val="80"/>
                <w:kern w:val="13"/>
                <w:sz w:val="24"/>
                <w:szCs w:val="24"/>
                <w:u w:val="none"/>
                <w:lang w:bidi="ar-SA"/>
              </w:rPr>
              <w:t>≧9</w:t>
            </w:r>
            <w:r>
              <w:rPr>
                <w:rFonts w:hint="eastAsia" w:ascii="仿宋_GB2312" w:eastAsia="仿宋_GB2312" w:cs="仿宋_GB2312"/>
                <w:color w:val="auto"/>
                <w:w w:val="80"/>
                <w:kern w:val="13"/>
                <w:sz w:val="24"/>
                <w:szCs w:val="24"/>
                <w:u w:val="none"/>
                <w:lang w:val="en-US" w:eastAsia="zh-CN" w:bidi="ar-SA"/>
              </w:rPr>
              <w:t>5</w:t>
            </w:r>
            <w:r>
              <w:rPr>
                <w:rFonts w:hint="eastAsia" w:ascii="仿宋_GB2312" w:eastAsia="仿宋_GB2312" w:cs="仿宋_GB2312"/>
                <w:color w:val="auto"/>
                <w:w w:val="80"/>
                <w:kern w:val="13"/>
                <w:sz w:val="24"/>
                <w:szCs w:val="24"/>
                <w:u w:val="none"/>
                <w:lang w:bidi="ar-SA"/>
              </w:rPr>
              <w:t>%</w:t>
            </w:r>
          </w:p>
        </w:tc>
      </w:tr>
    </w:tbl>
    <w:p>
      <w:pPr>
        <w:pStyle w:val="20"/>
        <w:rPr>
          <w:rFonts w:hint="eastAsia"/>
          <w:lang w:val="zh-CN"/>
        </w:rPr>
      </w:pPr>
    </w:p>
    <w:p>
      <w:pPr>
        <w:pStyle w:val="7"/>
        <w:rPr>
          <w:lang w:val="zh-CN"/>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51"/>
      <w:bookmarkEnd w:id="53"/>
      <w:bookmarkStart w:id="54" w:name="_Toc15396619"/>
    </w:p>
    <w:p>
      <w:pPr>
        <w:pStyle w:val="5"/>
        <w:rPr>
          <w:rFonts w:ascii="仿宋" w:hAnsi="仿宋" w:eastAsia="仿宋"/>
          <w:color w:val="auto"/>
          <w:highlight w:val="none"/>
        </w:rPr>
      </w:pPr>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54"/>
    </w:p>
    <w:p>
      <w:pPr>
        <w:pStyle w:val="5"/>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55"/>
    </w:p>
    <w:p>
      <w:pPr>
        <w:pStyle w:val="5"/>
        <w:rPr>
          <w:rFonts w:ascii="仿宋" w:hAnsi="仿宋" w:eastAsia="仿宋"/>
          <w:color w:val="auto"/>
          <w:highlight w:val="none"/>
        </w:rPr>
      </w:pPr>
      <w:bookmarkStart w:id="56"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56"/>
    </w:p>
    <w:p>
      <w:pPr>
        <w:pStyle w:val="5"/>
        <w:rPr>
          <w:rFonts w:ascii="仿宋" w:hAnsi="仿宋" w:eastAsia="仿宋"/>
          <w:b w:val="0"/>
          <w:color w:val="auto"/>
          <w:highlight w:val="none"/>
        </w:rPr>
      </w:pPr>
      <w:bookmarkStart w:id="57"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57"/>
    </w:p>
    <w:p>
      <w:pPr>
        <w:pStyle w:val="5"/>
        <w:rPr>
          <w:rStyle w:val="30"/>
          <w:rFonts w:ascii="仿宋" w:hAnsi="仿宋" w:eastAsia="仿宋"/>
          <w:b w:val="0"/>
          <w:bCs w:val="0"/>
          <w:color w:val="auto"/>
          <w:highlight w:val="none"/>
        </w:rPr>
      </w:pPr>
      <w:bookmarkStart w:id="58"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58"/>
      <w:bookmarkStart w:id="59" w:name="_Toc15396624"/>
    </w:p>
    <w:p>
      <w:pPr>
        <w:pStyle w:val="5"/>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59"/>
    </w:p>
    <w:p>
      <w:pPr>
        <w:pStyle w:val="5"/>
        <w:rPr>
          <w:rFonts w:ascii="仿宋" w:hAnsi="仿宋" w:eastAsia="仿宋"/>
          <w:color w:val="auto"/>
          <w:highlight w:val="none"/>
        </w:rPr>
      </w:pPr>
      <w:bookmarkStart w:id="60"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60"/>
    </w:p>
    <w:p>
      <w:pPr>
        <w:pStyle w:val="5"/>
        <w:rPr>
          <w:rFonts w:ascii="仿宋" w:hAnsi="仿宋" w:eastAsia="仿宋"/>
          <w:color w:val="auto"/>
          <w:highlight w:val="none"/>
        </w:rPr>
      </w:pPr>
      <w:bookmarkStart w:id="61"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61"/>
    </w:p>
    <w:p>
      <w:pPr>
        <w:pStyle w:val="5"/>
        <w:rPr>
          <w:rFonts w:ascii="仿宋" w:hAnsi="仿宋" w:eastAsia="仿宋"/>
          <w:color w:val="auto"/>
          <w:highlight w:val="none"/>
        </w:rPr>
      </w:pPr>
      <w:bookmarkStart w:id="62"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62"/>
    </w:p>
    <w:p>
      <w:pPr>
        <w:pStyle w:val="5"/>
        <w:rPr>
          <w:rFonts w:ascii="仿宋" w:hAnsi="仿宋" w:eastAsia="仿宋"/>
          <w:color w:val="auto"/>
          <w:highlight w:val="none"/>
        </w:rPr>
      </w:pPr>
      <w:bookmarkStart w:id="63" w:name="_Toc15396628"/>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般公共预算财政拨款“三公”经费支出决算表</w:t>
      </w:r>
      <w:bookmarkEnd w:id="63"/>
    </w:p>
    <w:p>
      <w:pPr>
        <w:pStyle w:val="5"/>
        <w:rPr>
          <w:rFonts w:ascii="仿宋" w:hAnsi="仿宋" w:eastAsia="仿宋"/>
          <w:color w:val="auto"/>
          <w:highlight w:val="none"/>
        </w:rPr>
      </w:pPr>
      <w:bookmarkStart w:id="64" w:name="_Toc15396629"/>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64"/>
    </w:p>
    <w:p>
      <w:pPr>
        <w:pStyle w:val="5"/>
        <w:rPr>
          <w:rFonts w:ascii="仿宋" w:hAnsi="仿宋" w:eastAsia="仿宋"/>
          <w:color w:val="auto"/>
          <w:highlight w:val="none"/>
        </w:rPr>
      </w:pPr>
      <w:bookmarkStart w:id="65" w:name="_Toc15396630"/>
      <w:r>
        <w:rPr>
          <w:rStyle w:val="30"/>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府性基金预算财政拨款“三公”经费支出决算表</w:t>
      </w:r>
      <w:bookmarkEnd w:id="65"/>
    </w:p>
    <w:p>
      <w:pPr>
        <w:pStyle w:val="5"/>
        <w:rPr>
          <w:rStyle w:val="30"/>
          <w:rFonts w:hint="eastAsia" w:ascii="仿宋" w:hAnsi="仿宋" w:eastAsia="仿宋"/>
          <w:b w:val="0"/>
          <w:bCs w:val="0"/>
          <w:color w:val="auto"/>
          <w:highlight w:val="none"/>
        </w:rPr>
      </w:pPr>
      <w:bookmarkStart w:id="66" w:name="_Toc15396631"/>
      <w:r>
        <w:rPr>
          <w:rStyle w:val="30"/>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30"/>
          <w:rFonts w:hint="eastAsia" w:ascii="仿宋" w:hAnsi="仿宋" w:eastAsia="仿宋"/>
          <w:b w:val="0"/>
          <w:bCs w:val="0"/>
          <w:color w:val="auto"/>
          <w:highlight w:val="none"/>
          <w:lang w:eastAsia="zh-CN"/>
        </w:rPr>
        <w:t>十四、国有资本经营预算财政拨款支出决算表</w:t>
      </w:r>
    </w:p>
    <w:sectPr>
      <w:footerReference r:id="rId9" w:type="default"/>
      <w:pgSz w:w="11906" w:h="16838"/>
      <w:pgMar w:top="1440" w:right="1800" w:bottom="1440" w:left="1800" w:header="283" w:footer="5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491CEAA"/>
    <w:multiLevelType w:val="singleLevel"/>
    <w:tmpl w:val="7491CEAA"/>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yMDM1NThmMjFjZDZhODNlYjRlZmE0NWRjNWRiNW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6546D6"/>
    <w:rsid w:val="03A96E13"/>
    <w:rsid w:val="06A12453"/>
    <w:rsid w:val="06B61086"/>
    <w:rsid w:val="08A75D41"/>
    <w:rsid w:val="096F6A85"/>
    <w:rsid w:val="09D2749B"/>
    <w:rsid w:val="0A2032A3"/>
    <w:rsid w:val="0AD35846"/>
    <w:rsid w:val="0B40239D"/>
    <w:rsid w:val="0B8A37D8"/>
    <w:rsid w:val="0C367B35"/>
    <w:rsid w:val="0E9353D4"/>
    <w:rsid w:val="0EAA3D43"/>
    <w:rsid w:val="0F195941"/>
    <w:rsid w:val="10B51EE6"/>
    <w:rsid w:val="10C055FF"/>
    <w:rsid w:val="117A247D"/>
    <w:rsid w:val="118107EC"/>
    <w:rsid w:val="11DD6519"/>
    <w:rsid w:val="12414790"/>
    <w:rsid w:val="14EC0046"/>
    <w:rsid w:val="16BB723D"/>
    <w:rsid w:val="17A132F3"/>
    <w:rsid w:val="18015F3F"/>
    <w:rsid w:val="183451E8"/>
    <w:rsid w:val="1A380780"/>
    <w:rsid w:val="1A7D4828"/>
    <w:rsid w:val="1A914B7E"/>
    <w:rsid w:val="1AA809A1"/>
    <w:rsid w:val="1BDD7D45"/>
    <w:rsid w:val="1BE8440E"/>
    <w:rsid w:val="1CE87FB8"/>
    <w:rsid w:val="1D060CEA"/>
    <w:rsid w:val="1D155CEE"/>
    <w:rsid w:val="1DEB18BE"/>
    <w:rsid w:val="1E015E7F"/>
    <w:rsid w:val="1E091355"/>
    <w:rsid w:val="1E5B2234"/>
    <w:rsid w:val="1EDA05B2"/>
    <w:rsid w:val="20CA24A0"/>
    <w:rsid w:val="20F57F95"/>
    <w:rsid w:val="240371BF"/>
    <w:rsid w:val="252437BD"/>
    <w:rsid w:val="25925401"/>
    <w:rsid w:val="25C741E6"/>
    <w:rsid w:val="26D50C84"/>
    <w:rsid w:val="27842671"/>
    <w:rsid w:val="27DA7BB5"/>
    <w:rsid w:val="28DA0737"/>
    <w:rsid w:val="29FD04D3"/>
    <w:rsid w:val="2A383867"/>
    <w:rsid w:val="2ABE7A3E"/>
    <w:rsid w:val="2B855E73"/>
    <w:rsid w:val="2BD8372E"/>
    <w:rsid w:val="2BDF4E72"/>
    <w:rsid w:val="2BE26826"/>
    <w:rsid w:val="2BFF6164"/>
    <w:rsid w:val="2C5C3619"/>
    <w:rsid w:val="2CE23E3F"/>
    <w:rsid w:val="2E4915A0"/>
    <w:rsid w:val="2EFA178C"/>
    <w:rsid w:val="304E2BE5"/>
    <w:rsid w:val="308D57B8"/>
    <w:rsid w:val="30B46D73"/>
    <w:rsid w:val="31382744"/>
    <w:rsid w:val="317557EC"/>
    <w:rsid w:val="319F7F4E"/>
    <w:rsid w:val="31A921AD"/>
    <w:rsid w:val="31AC364F"/>
    <w:rsid w:val="31B42015"/>
    <w:rsid w:val="32345DFC"/>
    <w:rsid w:val="32452510"/>
    <w:rsid w:val="33A466D0"/>
    <w:rsid w:val="348F2E53"/>
    <w:rsid w:val="34C22C79"/>
    <w:rsid w:val="350C0DF1"/>
    <w:rsid w:val="35EE6A2F"/>
    <w:rsid w:val="360140C7"/>
    <w:rsid w:val="37F73F68"/>
    <w:rsid w:val="38170E94"/>
    <w:rsid w:val="38174ABC"/>
    <w:rsid w:val="387279CD"/>
    <w:rsid w:val="39AE70AB"/>
    <w:rsid w:val="3B3B59BC"/>
    <w:rsid w:val="3B7B1D01"/>
    <w:rsid w:val="3BCB129F"/>
    <w:rsid w:val="3BCE77EF"/>
    <w:rsid w:val="3C0C0783"/>
    <w:rsid w:val="3C8F7F13"/>
    <w:rsid w:val="3E333293"/>
    <w:rsid w:val="3EA3412C"/>
    <w:rsid w:val="3F6118CE"/>
    <w:rsid w:val="3F795B0E"/>
    <w:rsid w:val="3F9F3A96"/>
    <w:rsid w:val="3FA847A5"/>
    <w:rsid w:val="3FDE1554"/>
    <w:rsid w:val="40350D30"/>
    <w:rsid w:val="4244054F"/>
    <w:rsid w:val="4291159C"/>
    <w:rsid w:val="42B51AA1"/>
    <w:rsid w:val="42C22394"/>
    <w:rsid w:val="42F856E6"/>
    <w:rsid w:val="45B07052"/>
    <w:rsid w:val="45FA6D5A"/>
    <w:rsid w:val="46352E02"/>
    <w:rsid w:val="469E5DCE"/>
    <w:rsid w:val="48033558"/>
    <w:rsid w:val="48530805"/>
    <w:rsid w:val="48D13612"/>
    <w:rsid w:val="48E35BA9"/>
    <w:rsid w:val="493C27E9"/>
    <w:rsid w:val="493C5017"/>
    <w:rsid w:val="496F39ED"/>
    <w:rsid w:val="49E85677"/>
    <w:rsid w:val="49FF41D3"/>
    <w:rsid w:val="4A185DC8"/>
    <w:rsid w:val="4B043D0A"/>
    <w:rsid w:val="4B172420"/>
    <w:rsid w:val="4B865D17"/>
    <w:rsid w:val="4BE068DB"/>
    <w:rsid w:val="4BF6002B"/>
    <w:rsid w:val="4CE84AB9"/>
    <w:rsid w:val="4D743DFA"/>
    <w:rsid w:val="4D953A37"/>
    <w:rsid w:val="4D9969C0"/>
    <w:rsid w:val="4E1E72C0"/>
    <w:rsid w:val="4E6B6CEB"/>
    <w:rsid w:val="4ECE2238"/>
    <w:rsid w:val="4ED03CC4"/>
    <w:rsid w:val="4FA65763"/>
    <w:rsid w:val="50194648"/>
    <w:rsid w:val="505D2DE1"/>
    <w:rsid w:val="50963AE5"/>
    <w:rsid w:val="50B61757"/>
    <w:rsid w:val="51DB4B86"/>
    <w:rsid w:val="52EB2103"/>
    <w:rsid w:val="53347E72"/>
    <w:rsid w:val="5456424C"/>
    <w:rsid w:val="54D61524"/>
    <w:rsid w:val="55051016"/>
    <w:rsid w:val="55333C3E"/>
    <w:rsid w:val="557A39FF"/>
    <w:rsid w:val="563B1D30"/>
    <w:rsid w:val="56E77848"/>
    <w:rsid w:val="570E73AF"/>
    <w:rsid w:val="573E0694"/>
    <w:rsid w:val="594F4501"/>
    <w:rsid w:val="5B137A0E"/>
    <w:rsid w:val="5BE63DF1"/>
    <w:rsid w:val="5CA3732E"/>
    <w:rsid w:val="5DE74DAC"/>
    <w:rsid w:val="5E0848C7"/>
    <w:rsid w:val="5F863C59"/>
    <w:rsid w:val="5F9F6EC7"/>
    <w:rsid w:val="60C86C6C"/>
    <w:rsid w:val="613A2793"/>
    <w:rsid w:val="62160185"/>
    <w:rsid w:val="63D5646D"/>
    <w:rsid w:val="64CA39A1"/>
    <w:rsid w:val="64E9765C"/>
    <w:rsid w:val="65C31E2E"/>
    <w:rsid w:val="684F4452"/>
    <w:rsid w:val="68C31F72"/>
    <w:rsid w:val="692F7142"/>
    <w:rsid w:val="69E50E50"/>
    <w:rsid w:val="6B31179C"/>
    <w:rsid w:val="6B4D1837"/>
    <w:rsid w:val="6C4A05C8"/>
    <w:rsid w:val="6C6C5EDB"/>
    <w:rsid w:val="6D6D2FCE"/>
    <w:rsid w:val="6E3659DC"/>
    <w:rsid w:val="6E6A7114"/>
    <w:rsid w:val="6E8A6C40"/>
    <w:rsid w:val="6E947B10"/>
    <w:rsid w:val="6F7F11EF"/>
    <w:rsid w:val="702F7EED"/>
    <w:rsid w:val="705636CC"/>
    <w:rsid w:val="71862C03"/>
    <w:rsid w:val="71C718B0"/>
    <w:rsid w:val="72576034"/>
    <w:rsid w:val="72734D90"/>
    <w:rsid w:val="73860127"/>
    <w:rsid w:val="73F4696F"/>
    <w:rsid w:val="7414385B"/>
    <w:rsid w:val="748A1329"/>
    <w:rsid w:val="75E34C23"/>
    <w:rsid w:val="76A66C0E"/>
    <w:rsid w:val="76DC2943"/>
    <w:rsid w:val="779C1482"/>
    <w:rsid w:val="77CF4E63"/>
    <w:rsid w:val="797E73D2"/>
    <w:rsid w:val="798373BA"/>
    <w:rsid w:val="79E7B28D"/>
    <w:rsid w:val="7A3D0FF9"/>
    <w:rsid w:val="7A716AD9"/>
    <w:rsid w:val="7AAC34BB"/>
    <w:rsid w:val="7B450F0D"/>
    <w:rsid w:val="7C622F53"/>
    <w:rsid w:val="7C732E8F"/>
    <w:rsid w:val="7C775BAB"/>
    <w:rsid w:val="7CD10C75"/>
    <w:rsid w:val="7D0C4E2D"/>
    <w:rsid w:val="7D511680"/>
    <w:rsid w:val="7D6A1873"/>
    <w:rsid w:val="7F645E05"/>
    <w:rsid w:val="7F9F200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cs="Times New Roman"/>
    </w:rPr>
  </w:style>
  <w:style w:type="paragraph" w:styleId="3">
    <w:name w:val="Body Text Indent"/>
    <w:basedOn w:val="1"/>
    <w:qFormat/>
    <w:uiPriority w:val="0"/>
    <w:pPr>
      <w:spacing w:after="120"/>
      <w:ind w:left="420" w:leftChars="200"/>
    </w:pPr>
    <w:rPr>
      <w:rFonts w:cs="Calibri"/>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semiHidden/>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spacing w:beforeAutospacing="1" w:afterAutospacing="1"/>
      <w:jc w:val="left"/>
    </w:pPr>
    <w:rPr>
      <w:rFonts w:cs="Times New Roman"/>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常用样式（方正仿宋简）"/>
    <w:basedOn w:val="1"/>
    <w:qFormat/>
    <w:uiPriority w:val="0"/>
    <w:pPr>
      <w:spacing w:line="560" w:lineRule="exact"/>
      <w:ind w:firstLine="640" w:firstLineChars="200"/>
    </w:pPr>
    <w:rPr>
      <w:rFonts w:eastAsia="方正仿宋简体"/>
      <w:sz w:val="32"/>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20(2).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20(2).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649473684210526"/>
          <c:y val="0.176388888888889"/>
          <c:w val="0.900184210526316"/>
          <c:h val="0.606342592592593"/>
        </c:manualLayout>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796.52万元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550.98万元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(2).xls]Sheet1'!$A$1:$B$1</c:f>
              <c:strCache>
                <c:ptCount val="2"/>
                <c:pt idx="0">
                  <c:v>2020年</c:v>
                </c:pt>
                <c:pt idx="1">
                  <c:v>2021年</c:v>
                </c:pt>
              </c:strCache>
            </c:strRef>
          </c:cat>
          <c:val>
            <c:numRef>
              <c:f>'[新建 XLS 工作表 (2).xls]Sheet1'!$A$2:$B$2</c:f>
              <c:numCache>
                <c:formatCode>General</c:formatCode>
                <c:ptCount val="2"/>
                <c:pt idx="0">
                  <c:v>796.52</c:v>
                </c:pt>
                <c:pt idx="1">
                  <c:v>550.98</c:v>
                </c:pt>
              </c:numCache>
            </c:numRef>
          </c:val>
        </c:ser>
        <c:dLbls>
          <c:showLegendKey val="false"/>
          <c:showVal val="true"/>
          <c:showCatName val="false"/>
          <c:showSerName val="false"/>
          <c:showPercent val="false"/>
          <c:showBubbleSize val="false"/>
        </c:dLbls>
        <c:gapWidth val="246"/>
        <c:overlap val="-28"/>
        <c:axId val="91540793"/>
        <c:axId val="804659702"/>
      </c:barChart>
      <c:catAx>
        <c:axId val="9154079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4659702"/>
        <c:crosses val="autoZero"/>
        <c:auto val="true"/>
        <c:lblAlgn val="ctr"/>
        <c:lblOffset val="100"/>
        <c:noMultiLvlLbl val="false"/>
      </c:catAx>
      <c:valAx>
        <c:axId val="804659702"/>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54079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649473684210526"/>
          <c:y val="0.176388888888889"/>
          <c:w val="0.900184210526316"/>
          <c:h val="0.606342592592593"/>
        </c:manualLayout>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796.52万元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550.98万元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 (2).xls]Sheet1'!$A$1:$B$1</c:f>
              <c:strCache>
                <c:ptCount val="2"/>
                <c:pt idx="0">
                  <c:v>2020年</c:v>
                </c:pt>
                <c:pt idx="1">
                  <c:v>2021年</c:v>
                </c:pt>
              </c:strCache>
            </c:strRef>
          </c:cat>
          <c:val>
            <c:numRef>
              <c:f>'[新建 XLS 工作表 (2).xls]Sheet1'!$A$2:$B$2</c:f>
              <c:numCache>
                <c:formatCode>General</c:formatCode>
                <c:ptCount val="2"/>
                <c:pt idx="0">
                  <c:v>796.52</c:v>
                </c:pt>
                <c:pt idx="1">
                  <c:v>550.98</c:v>
                </c:pt>
              </c:numCache>
            </c:numRef>
          </c:val>
        </c:ser>
        <c:dLbls>
          <c:showLegendKey val="false"/>
          <c:showVal val="true"/>
          <c:showCatName val="false"/>
          <c:showSerName val="false"/>
          <c:showPercent val="false"/>
          <c:showBubbleSize val="false"/>
        </c:dLbls>
        <c:gapWidth val="246"/>
        <c:overlap val="-28"/>
        <c:axId val="91540793"/>
        <c:axId val="804659702"/>
      </c:barChart>
      <c:catAx>
        <c:axId val="9154079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4659702"/>
        <c:crosses val="autoZero"/>
        <c:auto val="true"/>
        <c:lblAlgn val="ctr"/>
        <c:lblOffset val="100"/>
        <c:noMultiLvlLbl val="false"/>
      </c:catAx>
      <c:valAx>
        <c:axId val="804659702"/>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54079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796.52万元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399.88万元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工作表.xls]Sheet1'!$A$1:$B$1</c:f>
              <c:strCache>
                <c:ptCount val="2"/>
                <c:pt idx="0">
                  <c:v>2020年</c:v>
                </c:pt>
                <c:pt idx="1">
                  <c:v>2021年</c:v>
                </c:pt>
              </c:strCache>
            </c:strRef>
          </c:cat>
          <c:val>
            <c:numRef>
              <c:f>'[新建 XLS 工作表.xls]Sheet1'!$A$2:$B$2</c:f>
              <c:numCache>
                <c:formatCode>General</c:formatCode>
                <c:ptCount val="2"/>
                <c:pt idx="0">
                  <c:v>796.52</c:v>
                </c:pt>
                <c:pt idx="1">
                  <c:v>399.88</c:v>
                </c:pt>
              </c:numCache>
            </c:numRef>
          </c:val>
        </c:ser>
        <c:dLbls>
          <c:showLegendKey val="false"/>
          <c:showVal val="true"/>
          <c:showCatName val="false"/>
          <c:showSerName val="false"/>
          <c:showPercent val="false"/>
          <c:showBubbleSize val="false"/>
        </c:dLbls>
        <c:gapWidth val="246"/>
        <c:overlap val="-28"/>
        <c:axId val="69211273"/>
        <c:axId val="408070707"/>
      </c:barChart>
      <c:catAx>
        <c:axId val="6921127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08070707"/>
        <c:crosses val="autoZero"/>
        <c:auto val="true"/>
        <c:lblAlgn val="ctr"/>
        <c:lblOffset val="100"/>
        <c:noMultiLvlLbl val="false"/>
      </c:catAx>
      <c:valAx>
        <c:axId val="408070707"/>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921127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11209</Words>
  <Characters>12230</Characters>
  <Lines>61</Lines>
  <Paragraphs>17</Paragraphs>
  <TotalTime>2</TotalTime>
  <ScaleCrop>false</ScaleCrop>
  <LinksUpToDate>false</LinksUpToDate>
  <CharactersWithSpaces>12376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2023-06-25T10:33:00Z</cp:lastPrinted>
  <dcterms:modified xsi:type="dcterms:W3CDTF">2023-09-14T11:37:35Z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54A6E2ABB2A345D2BFE21B9DA56C88F8_13</vt:lpwstr>
  </property>
</Properties>
</file>