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outlineLvl w:val="0"/>
        <w:rPr>
          <w:rFonts w:ascii="方正小标宋简体" w:hAnsi="宋体" w:eastAsia="方正小标宋简体"/>
          <w:sz w:val="72"/>
          <w:szCs w:val="72"/>
        </w:rPr>
      </w:pPr>
      <w:bookmarkStart w:id="0" w:name="_Toc15377425"/>
      <w:bookmarkStart w:id="1" w:name="_Toc15396597"/>
      <w:bookmarkStart w:id="2" w:name="_Toc15377193"/>
      <w:bookmarkStart w:id="3" w:name="_Toc15378441"/>
      <w:bookmarkStart w:id="4" w:name="_Toc15396475"/>
      <w:bookmarkStart w:id="5" w:name="_Toc15306267"/>
    </w:p>
    <w:p>
      <w:pPr>
        <w:spacing w:line="576" w:lineRule="exact"/>
        <w:outlineLvl w:val="0"/>
        <w:rPr>
          <w:rFonts w:ascii="方正小标宋简体" w:hAnsi="宋体" w:eastAsia="方正小标宋简体"/>
          <w:sz w:val="72"/>
          <w:szCs w:val="72"/>
        </w:rPr>
      </w:pPr>
    </w:p>
    <w:p>
      <w:pPr>
        <w:spacing w:line="576" w:lineRule="exact"/>
        <w:outlineLvl w:val="0"/>
        <w:rPr>
          <w:rFonts w:ascii="方正小标宋简体" w:hAnsi="宋体" w:eastAsia="方正小标宋简体"/>
          <w:sz w:val="72"/>
          <w:szCs w:val="72"/>
        </w:rPr>
      </w:pPr>
    </w:p>
    <w:p>
      <w:pPr>
        <w:spacing w:line="576" w:lineRule="exact"/>
        <w:outlineLvl w:val="0"/>
        <w:rPr>
          <w:rFonts w:ascii="方正小标宋简体" w:hAnsi="宋体" w:eastAsia="方正小标宋简体"/>
          <w:sz w:val="72"/>
          <w:szCs w:val="72"/>
        </w:rPr>
      </w:pPr>
    </w:p>
    <w:p>
      <w:pPr>
        <w:adjustRightInd w:val="0"/>
        <w:snapToGrid w:val="0"/>
        <w:spacing w:line="1400" w:lineRule="exact"/>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2021年度</w:t>
      </w:r>
      <w:bookmarkEnd w:id="0"/>
      <w:bookmarkEnd w:id="1"/>
      <w:bookmarkEnd w:id="2"/>
      <w:bookmarkEnd w:id="3"/>
      <w:bookmarkEnd w:id="4"/>
    </w:p>
    <w:p>
      <w:pPr>
        <w:adjustRightInd w:val="0"/>
        <w:snapToGrid w:val="0"/>
        <w:spacing w:line="1200" w:lineRule="exact"/>
        <w:jc w:val="center"/>
        <w:outlineLvl w:val="0"/>
        <w:rPr>
          <w:rFonts w:ascii="方正小标宋简体" w:hAnsi="方正小标宋简体" w:eastAsia="方正小标宋简体" w:cs="方正小标宋简体"/>
          <w:sz w:val="72"/>
          <w:szCs w:val="72"/>
        </w:rPr>
      </w:pPr>
      <w:bookmarkStart w:id="6" w:name="_Toc15396598"/>
      <w:bookmarkStart w:id="7" w:name="_Toc15377194"/>
      <w:bookmarkStart w:id="8" w:name="_Toc15377426"/>
      <w:bookmarkStart w:id="9" w:name="_Toc15378442"/>
      <w:bookmarkStart w:id="10" w:name="_Toc15396476"/>
      <w:r>
        <w:rPr>
          <w:rFonts w:hint="eastAsia" w:ascii="方正小标宋简体" w:hAnsi="方正小标宋简体" w:eastAsia="方正小标宋简体" w:cs="方正小标宋简体"/>
          <w:sz w:val="72"/>
          <w:szCs w:val="72"/>
        </w:rPr>
        <w:t>广元</w:t>
      </w:r>
      <w:bookmarkEnd w:id="5"/>
      <w:bookmarkStart w:id="11" w:name="_Toc15306268"/>
      <w:r>
        <w:rPr>
          <w:rFonts w:hint="eastAsia" w:ascii="方正小标宋简体" w:hAnsi="方正小标宋简体" w:eastAsia="方正小标宋简体" w:cs="方正小标宋简体"/>
          <w:sz w:val="72"/>
          <w:szCs w:val="72"/>
        </w:rPr>
        <w:t>经济技术开发区</w:t>
      </w:r>
    </w:p>
    <w:p>
      <w:pPr>
        <w:adjustRightInd w:val="0"/>
        <w:snapToGrid w:val="0"/>
        <w:spacing w:line="1200" w:lineRule="exact"/>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石龙办事处</w:t>
      </w:r>
      <w:r>
        <w:rPr>
          <w:rFonts w:hint="eastAsia" w:ascii="方正小标宋简体" w:hAnsi="方正小标宋简体" w:eastAsia="方正小标宋简体" w:cs="方正小标宋简体"/>
          <w:sz w:val="72"/>
          <w:szCs w:val="72"/>
          <w:lang w:val="en-US" w:eastAsia="zh-CN"/>
        </w:rPr>
        <w:t>单位</w:t>
      </w:r>
      <w:r>
        <w:rPr>
          <w:rFonts w:hint="eastAsia" w:ascii="方正小标宋简体" w:hAnsi="方正小标宋简体" w:eastAsia="方正小标宋简体" w:cs="方正小标宋简体"/>
          <w:sz w:val="72"/>
          <w:szCs w:val="72"/>
        </w:rPr>
        <w:t>决算</w:t>
      </w:r>
      <w:bookmarkEnd w:id="6"/>
      <w:bookmarkEnd w:id="7"/>
      <w:bookmarkEnd w:id="8"/>
      <w:bookmarkEnd w:id="9"/>
      <w:bookmarkEnd w:id="10"/>
      <w:bookmarkEnd w:id="11"/>
    </w:p>
    <w:p>
      <w:pPr>
        <w:pStyle w:val="2"/>
        <w:spacing w:before="93"/>
        <w:rPr>
          <w:rFonts w:eastAsia="方正小标宋简体"/>
        </w:rPr>
      </w:pPr>
      <w:r>
        <w:rPr>
          <w:rFonts w:hint="eastAsia" w:ascii="方正小标宋简体" w:hAnsi="方正小标宋简体" w:eastAsia="方正小标宋简体" w:cs="方正小标宋简体"/>
          <w:sz w:val="72"/>
          <w:szCs w:val="72"/>
        </w:rPr>
        <w:t xml:space="preserve">        编制说明</w:t>
      </w:r>
    </w:p>
    <w:p>
      <w:pPr>
        <w:widowControl/>
        <w:spacing w:line="1400" w:lineRule="exact"/>
        <w:jc w:val="center"/>
        <w:rPr>
          <w:rFonts w:ascii="黑体" w:hAnsi="黑体" w:eastAsia="黑体" w:cstheme="minorBidi"/>
          <w:sz w:val="28"/>
          <w:szCs w:val="28"/>
        </w:rPr>
      </w:pPr>
      <w:r>
        <w:rPr>
          <w:rFonts w:ascii="方正小标宋简体" w:hAnsi="宋体" w:eastAsia="方正小标宋简体"/>
          <w:sz w:val="36"/>
          <w:szCs w:val="36"/>
        </w:rPr>
        <w:br w:type="page"/>
      </w:r>
      <w:r>
        <w:rPr>
          <w:rFonts w:hint="eastAsia" w:ascii="黑体" w:hAnsi="黑体" w:eastAsia="黑体"/>
          <w:sz w:val="48"/>
          <w:szCs w:val="48"/>
        </w:rPr>
        <w:t>目录</w:t>
      </w:r>
    </w:p>
    <w:p>
      <w:pPr>
        <w:pStyle w:val="12"/>
        <w:spacing w:line="576" w:lineRule="exact"/>
      </w:pPr>
      <w:r>
        <w:rPr>
          <w:rFonts w:hint="eastAsia"/>
        </w:rPr>
        <w:t>公开时间：2022年9月27日</w:t>
      </w:r>
    </w:p>
    <w:p>
      <w:pPr>
        <w:pStyle w:val="12"/>
        <w:spacing w:line="576" w:lineRule="exact"/>
        <w:jc w:val="both"/>
        <w:rPr>
          <w:rFonts w:cstheme="minorBidi"/>
          <w:u w:color="FFFFFF" w:themeColor="background1"/>
        </w:rPr>
      </w:pPr>
      <w:r>
        <w:fldChar w:fldCharType="begin"/>
      </w:r>
      <w:r>
        <w:instrText xml:space="preserve"> HYPERLINK \l "_Toc15396599" </w:instrText>
      </w:r>
      <w:r>
        <w:fldChar w:fldCharType="separate"/>
      </w:r>
      <w:r>
        <w:rPr>
          <w:rFonts w:hint="eastAsia"/>
        </w:rPr>
        <w:t>第一部分部门概况</w:t>
      </w:r>
      <w:r>
        <w:rPr>
          <w:u w:color="FFFFFF" w:themeColor="background1"/>
        </w:rPr>
        <w:tab/>
      </w:r>
      <w:r>
        <w:rPr>
          <w:rFonts w:hint="eastAsia"/>
          <w:u w:color="FFFFFF" w:themeColor="background1"/>
        </w:rPr>
        <w:t>4</w:t>
      </w:r>
      <w:r>
        <w:rPr>
          <w:rFonts w:hint="eastAsia"/>
          <w:u w:color="FFFFFF" w:themeColor="background1"/>
        </w:rPr>
        <w:fldChar w:fldCharType="end"/>
      </w:r>
    </w:p>
    <w:p>
      <w:pPr>
        <w:pStyle w:val="13"/>
        <w:spacing w:line="576" w:lineRule="exact"/>
        <w:rPr>
          <w:rFonts w:ascii="仿宋" w:hAnsi="仿宋" w:eastAsia="仿宋" w:cstheme="minorBidi"/>
          <w:sz w:val="28"/>
          <w:szCs w:val="28"/>
          <w:u w:color="FFFFFF" w:themeColor="background1"/>
        </w:rPr>
      </w:pPr>
      <w:r>
        <w:fldChar w:fldCharType="begin"/>
      </w:r>
      <w:r>
        <w:instrText xml:space="preserve"> HYPERLINK \l "_Toc15396600" </w:instrText>
      </w:r>
      <w:r>
        <w:fldChar w:fldCharType="separate"/>
      </w:r>
      <w:r>
        <w:rPr>
          <w:rFonts w:hint="eastAsia" w:ascii="仿宋" w:hAnsi="仿宋" w:eastAsia="仿宋"/>
          <w:sz w:val="28"/>
          <w:szCs w:val="28"/>
        </w:rPr>
        <w:t>一、基本职能及主要工作</w:t>
      </w:r>
      <w:r>
        <w:rPr>
          <w:rFonts w:ascii="仿宋" w:hAnsi="仿宋" w:eastAsia="仿宋"/>
          <w:sz w:val="28"/>
          <w:szCs w:val="28"/>
          <w:u w:color="FFFFFF" w:themeColor="background1"/>
        </w:rPr>
        <w:tab/>
      </w:r>
      <w:r>
        <w:rPr>
          <w:rFonts w:hint="eastAsia" w:ascii="仿宋" w:hAnsi="仿宋" w:eastAsia="仿宋"/>
          <w:sz w:val="28"/>
          <w:szCs w:val="28"/>
          <w:u w:color="FFFFFF" w:themeColor="background1"/>
        </w:rPr>
        <w:t>4</w:t>
      </w:r>
      <w:r>
        <w:rPr>
          <w:rFonts w:hint="eastAsia" w:ascii="仿宋" w:hAnsi="仿宋" w:eastAsia="仿宋"/>
          <w:sz w:val="28"/>
          <w:szCs w:val="28"/>
          <w:u w:color="FFFFFF" w:themeColor="background1"/>
        </w:rPr>
        <w:fldChar w:fldCharType="end"/>
      </w:r>
    </w:p>
    <w:p>
      <w:pPr>
        <w:pStyle w:val="12"/>
        <w:spacing w:line="576" w:lineRule="exact"/>
        <w:jc w:val="both"/>
        <w:rPr>
          <w:u w:color="FFFFFF" w:themeColor="background1"/>
        </w:rPr>
      </w:pPr>
      <w:r>
        <w:fldChar w:fldCharType="begin"/>
      </w:r>
      <w:r>
        <w:instrText xml:space="preserve"> HYPERLINK \l "_Toc15396602" </w:instrText>
      </w:r>
      <w:r>
        <w:fldChar w:fldCharType="separate"/>
      </w:r>
      <w:r>
        <w:rPr>
          <w:rFonts w:hint="eastAsia"/>
        </w:rPr>
        <w:t>第二部分 202</w:t>
      </w:r>
      <w:r>
        <w:rPr>
          <w:rFonts w:hint="eastAsia"/>
          <w:lang w:val="en-US" w:eastAsia="zh-CN"/>
        </w:rPr>
        <w:t>1</w:t>
      </w:r>
      <w:r>
        <w:rPr>
          <w:rFonts w:hint="eastAsia"/>
        </w:rPr>
        <w:t>年度部门决算情况说明</w:t>
      </w:r>
      <w:r>
        <w:rPr>
          <w:u w:color="FFFFFF" w:themeColor="background1"/>
        </w:rPr>
        <w:tab/>
      </w:r>
      <w:r>
        <w:rPr>
          <w:rFonts w:hint="eastAsia"/>
          <w:u w:color="FFFFFF" w:themeColor="background1"/>
        </w:rPr>
        <w:t>8</w:t>
      </w:r>
      <w:r>
        <w:rPr>
          <w:rFonts w:hint="eastAsia"/>
          <w:u w:color="FFFFFF" w:themeColor="background1"/>
        </w:rPr>
        <w:fldChar w:fldCharType="end"/>
      </w:r>
    </w:p>
    <w:p>
      <w:pPr>
        <w:pStyle w:val="13"/>
        <w:spacing w:line="576" w:lineRule="exact"/>
        <w:rPr>
          <w:rFonts w:ascii="仿宋" w:hAnsi="仿宋" w:eastAsia="仿宋" w:cstheme="minorBidi"/>
          <w:sz w:val="28"/>
          <w:szCs w:val="28"/>
          <w:u w:color="FFFFFF" w:themeColor="background1"/>
        </w:rPr>
      </w:pPr>
      <w:r>
        <w:fldChar w:fldCharType="begin"/>
      </w:r>
      <w:r>
        <w:instrText xml:space="preserve"> HYPERLINK \l "_Toc15396603" </w:instrText>
      </w:r>
      <w:r>
        <w:fldChar w:fldCharType="separate"/>
      </w:r>
      <w:r>
        <w:rPr>
          <w:rFonts w:hint="eastAsia" w:ascii="仿宋" w:hAnsi="仿宋" w:eastAsia="仿宋"/>
          <w:sz w:val="28"/>
          <w:szCs w:val="28"/>
        </w:rPr>
        <w:t>一、收入支出决算总体情况说明</w:t>
      </w:r>
      <w:r>
        <w:rPr>
          <w:rFonts w:ascii="仿宋" w:hAnsi="仿宋" w:eastAsia="仿宋"/>
          <w:sz w:val="28"/>
          <w:szCs w:val="28"/>
          <w:u w:color="FFFFFF" w:themeColor="background1"/>
        </w:rPr>
        <w:tab/>
      </w:r>
      <w:r>
        <w:rPr>
          <w:rFonts w:hint="eastAsia" w:ascii="仿宋" w:hAnsi="仿宋" w:eastAsia="仿宋"/>
          <w:sz w:val="28"/>
          <w:szCs w:val="28"/>
          <w:u w:color="FFFFFF" w:themeColor="background1"/>
        </w:rPr>
        <w:t>8</w:t>
      </w:r>
      <w:r>
        <w:rPr>
          <w:rFonts w:hint="eastAsia" w:ascii="仿宋" w:hAnsi="仿宋" w:eastAsia="仿宋"/>
          <w:sz w:val="28"/>
          <w:szCs w:val="28"/>
          <w:u w:color="FFFFFF" w:themeColor="background1"/>
        </w:rPr>
        <w:fldChar w:fldCharType="end"/>
      </w:r>
    </w:p>
    <w:p>
      <w:pPr>
        <w:pStyle w:val="13"/>
        <w:spacing w:line="576" w:lineRule="exact"/>
        <w:rPr>
          <w:rFonts w:ascii="仿宋" w:hAnsi="仿宋" w:eastAsia="仿宋" w:cstheme="minorBidi"/>
          <w:sz w:val="28"/>
          <w:szCs w:val="28"/>
          <w:u w:color="FFFFFF" w:themeColor="background1"/>
        </w:rPr>
      </w:pPr>
      <w:r>
        <w:fldChar w:fldCharType="begin"/>
      </w:r>
      <w:r>
        <w:instrText xml:space="preserve"> HYPERLINK \l "_Toc15396604" </w:instrText>
      </w:r>
      <w:r>
        <w:fldChar w:fldCharType="separate"/>
      </w:r>
      <w:r>
        <w:rPr>
          <w:rFonts w:hint="eastAsia" w:ascii="仿宋" w:hAnsi="仿宋" w:eastAsia="仿宋"/>
          <w:sz w:val="28"/>
          <w:szCs w:val="28"/>
        </w:rPr>
        <w:t>二、收入决算情况说明</w:t>
      </w:r>
      <w:r>
        <w:rPr>
          <w:rFonts w:ascii="仿宋" w:hAnsi="仿宋" w:eastAsia="仿宋"/>
          <w:sz w:val="28"/>
          <w:szCs w:val="28"/>
          <w:u w:color="FFFFFF" w:themeColor="background1"/>
        </w:rPr>
        <w:tab/>
      </w:r>
      <w:r>
        <w:rPr>
          <w:rFonts w:hint="eastAsia" w:ascii="仿宋" w:hAnsi="仿宋" w:eastAsia="仿宋"/>
          <w:sz w:val="28"/>
          <w:szCs w:val="28"/>
          <w:u w:color="FFFFFF" w:themeColor="background1"/>
        </w:rPr>
        <w:t>9</w:t>
      </w:r>
      <w:r>
        <w:rPr>
          <w:rFonts w:hint="eastAsia" w:ascii="仿宋" w:hAnsi="仿宋" w:eastAsia="仿宋"/>
          <w:sz w:val="28"/>
          <w:szCs w:val="28"/>
          <w:u w:color="FFFFFF" w:themeColor="background1"/>
        </w:rPr>
        <w:fldChar w:fldCharType="end"/>
      </w:r>
    </w:p>
    <w:p>
      <w:pPr>
        <w:pStyle w:val="13"/>
        <w:spacing w:line="576" w:lineRule="exact"/>
        <w:rPr>
          <w:rFonts w:ascii="仿宋" w:hAnsi="仿宋" w:eastAsia="仿宋" w:cstheme="minorBidi"/>
          <w:sz w:val="28"/>
          <w:szCs w:val="28"/>
          <w:u w:color="FFFFFF" w:themeColor="background1"/>
        </w:rPr>
      </w:pPr>
      <w:r>
        <w:fldChar w:fldCharType="begin"/>
      </w:r>
      <w:r>
        <w:instrText xml:space="preserve"> HYPERLINK \l "_Toc15396605" </w:instrText>
      </w:r>
      <w:r>
        <w:fldChar w:fldCharType="separate"/>
      </w:r>
      <w:r>
        <w:rPr>
          <w:rFonts w:hint="eastAsia" w:ascii="仿宋" w:hAnsi="仿宋" w:eastAsia="仿宋"/>
          <w:sz w:val="28"/>
          <w:szCs w:val="28"/>
        </w:rPr>
        <w:t>三、支出决算情况说明</w:t>
      </w:r>
      <w:r>
        <w:rPr>
          <w:rFonts w:ascii="仿宋" w:hAnsi="仿宋" w:eastAsia="仿宋"/>
          <w:sz w:val="28"/>
          <w:szCs w:val="28"/>
          <w:u w:color="FFFFFF" w:themeColor="background1"/>
        </w:rPr>
        <w:tab/>
      </w:r>
      <w:r>
        <w:rPr>
          <w:rFonts w:hint="eastAsia" w:ascii="仿宋" w:hAnsi="仿宋" w:eastAsia="仿宋"/>
          <w:sz w:val="28"/>
          <w:szCs w:val="28"/>
          <w:u w:color="FFFFFF" w:themeColor="background1"/>
        </w:rPr>
        <w:t>9</w:t>
      </w:r>
      <w:r>
        <w:rPr>
          <w:rFonts w:hint="eastAsia" w:ascii="仿宋" w:hAnsi="仿宋" w:eastAsia="仿宋"/>
          <w:sz w:val="28"/>
          <w:szCs w:val="28"/>
          <w:u w:color="FFFFFF" w:themeColor="background1"/>
        </w:rPr>
        <w:fldChar w:fldCharType="end"/>
      </w:r>
    </w:p>
    <w:p>
      <w:pPr>
        <w:pStyle w:val="13"/>
        <w:spacing w:line="576" w:lineRule="exact"/>
        <w:rPr>
          <w:rFonts w:ascii="仿宋" w:hAnsi="仿宋" w:eastAsia="仿宋" w:cstheme="minorBidi"/>
          <w:sz w:val="28"/>
          <w:szCs w:val="28"/>
          <w:u w:color="FFFFFF" w:themeColor="background1"/>
        </w:rPr>
      </w:pPr>
      <w:r>
        <w:fldChar w:fldCharType="begin"/>
      </w:r>
      <w:r>
        <w:instrText xml:space="preserve"> HYPERLINK \l "_Toc15396606" </w:instrText>
      </w:r>
      <w:r>
        <w:fldChar w:fldCharType="separate"/>
      </w:r>
      <w:r>
        <w:rPr>
          <w:rFonts w:hint="eastAsia" w:ascii="仿宋" w:hAnsi="仿宋" w:eastAsia="仿宋"/>
          <w:sz w:val="28"/>
          <w:szCs w:val="28"/>
        </w:rPr>
        <w:t>四、财政拨款收入支出决算总体情况说明</w:t>
      </w:r>
      <w:r>
        <w:rPr>
          <w:rFonts w:ascii="仿宋" w:hAnsi="仿宋" w:eastAsia="仿宋"/>
          <w:sz w:val="28"/>
          <w:szCs w:val="28"/>
          <w:u w:color="FFFFFF" w:themeColor="background1"/>
        </w:rPr>
        <w:tab/>
      </w:r>
      <w:r>
        <w:rPr>
          <w:rFonts w:hint="eastAsia" w:ascii="仿宋" w:hAnsi="仿宋" w:eastAsia="仿宋"/>
          <w:sz w:val="28"/>
          <w:szCs w:val="28"/>
          <w:u w:color="FFFFFF" w:themeColor="background1"/>
        </w:rPr>
        <w:t>1</w:t>
      </w:r>
      <w:r>
        <w:rPr>
          <w:rFonts w:hint="eastAsia" w:ascii="仿宋" w:hAnsi="仿宋" w:eastAsia="仿宋"/>
          <w:sz w:val="28"/>
          <w:szCs w:val="28"/>
          <w:u w:color="FFFFFF" w:themeColor="background1"/>
        </w:rPr>
        <w:fldChar w:fldCharType="end"/>
      </w:r>
      <w:r>
        <w:rPr>
          <w:rFonts w:hint="eastAsia" w:ascii="仿宋" w:hAnsi="仿宋" w:eastAsia="仿宋"/>
          <w:sz w:val="28"/>
          <w:szCs w:val="28"/>
          <w:u w:color="FFFFFF" w:themeColor="background1"/>
        </w:rPr>
        <w:t>0</w:t>
      </w:r>
    </w:p>
    <w:p>
      <w:pPr>
        <w:pStyle w:val="13"/>
        <w:spacing w:line="576" w:lineRule="exact"/>
        <w:rPr>
          <w:rFonts w:ascii="仿宋" w:hAnsi="仿宋" w:eastAsia="仿宋" w:cstheme="minorBidi"/>
          <w:sz w:val="28"/>
          <w:szCs w:val="28"/>
          <w:u w:color="FFFFFF" w:themeColor="background1"/>
        </w:rPr>
      </w:pPr>
      <w:r>
        <w:fldChar w:fldCharType="begin"/>
      </w:r>
      <w:r>
        <w:instrText xml:space="preserve"> HYPERLINK \l "_Toc15396607" </w:instrText>
      </w:r>
      <w:r>
        <w:fldChar w:fldCharType="separate"/>
      </w:r>
      <w:r>
        <w:rPr>
          <w:rFonts w:hint="eastAsia" w:ascii="仿宋" w:hAnsi="仿宋" w:eastAsia="仿宋"/>
          <w:sz w:val="28"/>
          <w:szCs w:val="28"/>
        </w:rPr>
        <w:t>五、一般公共预算财政拨款支出决算情况说明</w:t>
      </w:r>
      <w:r>
        <w:rPr>
          <w:rFonts w:ascii="仿宋" w:hAnsi="仿宋" w:eastAsia="仿宋"/>
          <w:sz w:val="28"/>
          <w:szCs w:val="28"/>
          <w:u w:color="FFFFFF" w:themeColor="background1"/>
        </w:rPr>
        <w:tab/>
      </w:r>
      <w:r>
        <w:rPr>
          <w:rFonts w:hint="eastAsia" w:ascii="仿宋" w:hAnsi="仿宋" w:eastAsia="仿宋"/>
          <w:sz w:val="28"/>
          <w:szCs w:val="28"/>
          <w:u w:color="FFFFFF" w:themeColor="background1"/>
        </w:rPr>
        <w:t>1</w:t>
      </w:r>
      <w:r>
        <w:rPr>
          <w:rFonts w:hint="eastAsia" w:ascii="仿宋" w:hAnsi="仿宋" w:eastAsia="仿宋"/>
          <w:sz w:val="28"/>
          <w:szCs w:val="28"/>
          <w:u w:color="FFFFFF" w:themeColor="background1"/>
        </w:rPr>
        <w:fldChar w:fldCharType="end"/>
      </w:r>
      <w:r>
        <w:rPr>
          <w:rFonts w:hint="eastAsia" w:ascii="仿宋" w:hAnsi="仿宋" w:eastAsia="仿宋"/>
          <w:sz w:val="28"/>
          <w:szCs w:val="28"/>
          <w:u w:color="FFFFFF" w:themeColor="background1"/>
        </w:rPr>
        <w:t>0</w:t>
      </w:r>
    </w:p>
    <w:p>
      <w:pPr>
        <w:pStyle w:val="13"/>
        <w:spacing w:line="576" w:lineRule="exact"/>
        <w:rPr>
          <w:rFonts w:hint="eastAsia" w:ascii="仿宋" w:hAnsi="仿宋" w:eastAsia="仿宋" w:cstheme="minorBidi"/>
          <w:sz w:val="28"/>
          <w:szCs w:val="28"/>
          <w:u w:color="FFFFFF" w:themeColor="background1"/>
          <w:lang w:eastAsia="zh-CN"/>
        </w:rPr>
      </w:pPr>
      <w:r>
        <w:fldChar w:fldCharType="begin"/>
      </w:r>
      <w:r>
        <w:instrText xml:space="preserve"> HYPERLINK \l "_Toc15396608" </w:instrText>
      </w:r>
      <w:r>
        <w:fldChar w:fldCharType="separate"/>
      </w:r>
      <w:r>
        <w:rPr>
          <w:rFonts w:hint="eastAsia" w:ascii="仿宋" w:hAnsi="仿宋" w:eastAsia="仿宋"/>
          <w:sz w:val="28"/>
          <w:szCs w:val="28"/>
        </w:rPr>
        <w:t>六、一般公共预算财政拨款基本支出决算情况说明</w:t>
      </w:r>
      <w:r>
        <w:rPr>
          <w:rFonts w:ascii="仿宋" w:hAnsi="仿宋" w:eastAsia="仿宋"/>
          <w:sz w:val="28"/>
          <w:szCs w:val="28"/>
          <w:u w:color="FFFFFF" w:themeColor="background1"/>
        </w:rPr>
        <w:tab/>
      </w:r>
      <w:r>
        <w:rPr>
          <w:rFonts w:hint="eastAsia" w:ascii="仿宋" w:hAnsi="仿宋" w:eastAsia="仿宋"/>
          <w:sz w:val="28"/>
          <w:szCs w:val="28"/>
          <w:u w:color="FFFFFF" w:themeColor="background1"/>
        </w:rPr>
        <w:t>1</w:t>
      </w:r>
      <w:r>
        <w:rPr>
          <w:rFonts w:hint="eastAsia" w:ascii="仿宋" w:hAnsi="仿宋" w:eastAsia="仿宋"/>
          <w:sz w:val="28"/>
          <w:szCs w:val="28"/>
          <w:u w:color="FFFFFF" w:themeColor="background1"/>
        </w:rPr>
        <w:fldChar w:fldCharType="end"/>
      </w:r>
      <w:r>
        <w:rPr>
          <w:rFonts w:hint="eastAsia" w:ascii="仿宋" w:hAnsi="仿宋" w:eastAsia="仿宋"/>
          <w:sz w:val="28"/>
          <w:szCs w:val="28"/>
          <w:u w:color="FFFFFF" w:themeColor="background1"/>
          <w:lang w:val="en-US" w:eastAsia="zh-CN"/>
        </w:rPr>
        <w:t>4</w:t>
      </w:r>
    </w:p>
    <w:p>
      <w:pPr>
        <w:pStyle w:val="13"/>
        <w:spacing w:line="576" w:lineRule="exact"/>
        <w:rPr>
          <w:rFonts w:hint="eastAsia" w:ascii="仿宋" w:hAnsi="仿宋" w:eastAsia="仿宋" w:cstheme="minorBidi"/>
          <w:sz w:val="28"/>
          <w:szCs w:val="28"/>
          <w:u w:color="FFFFFF" w:themeColor="background1"/>
          <w:lang w:eastAsia="zh-CN"/>
        </w:rPr>
      </w:pPr>
      <w:r>
        <w:fldChar w:fldCharType="begin"/>
      </w:r>
      <w:r>
        <w:instrText xml:space="preserve"> HYPERLINK \l "_Toc15396609" </w:instrText>
      </w:r>
      <w:r>
        <w:fldChar w:fldCharType="separate"/>
      </w:r>
      <w:r>
        <w:rPr>
          <w:rFonts w:hint="eastAsia" w:ascii="仿宋" w:hAnsi="仿宋" w:eastAsia="仿宋"/>
          <w:sz w:val="28"/>
          <w:szCs w:val="28"/>
        </w:rPr>
        <w:t>七、“三公”经费财政拨款支出决算情况说明</w:t>
      </w:r>
      <w:r>
        <w:rPr>
          <w:rFonts w:ascii="仿宋" w:hAnsi="仿宋" w:eastAsia="仿宋"/>
          <w:sz w:val="28"/>
          <w:szCs w:val="28"/>
          <w:u w:color="FFFFFF" w:themeColor="background1"/>
        </w:rPr>
        <w:tab/>
      </w:r>
      <w:r>
        <w:rPr>
          <w:rFonts w:hint="eastAsia" w:ascii="仿宋" w:hAnsi="仿宋" w:eastAsia="仿宋"/>
          <w:sz w:val="28"/>
          <w:szCs w:val="28"/>
          <w:u w:color="FFFFFF" w:themeColor="background1"/>
        </w:rPr>
        <w:t>1</w:t>
      </w:r>
      <w:r>
        <w:rPr>
          <w:rFonts w:hint="eastAsia" w:ascii="仿宋" w:hAnsi="仿宋" w:eastAsia="仿宋"/>
          <w:sz w:val="28"/>
          <w:szCs w:val="28"/>
          <w:u w:color="FFFFFF" w:themeColor="background1"/>
        </w:rPr>
        <w:fldChar w:fldCharType="end"/>
      </w:r>
      <w:r>
        <w:rPr>
          <w:rFonts w:hint="eastAsia" w:ascii="仿宋" w:hAnsi="仿宋" w:eastAsia="仿宋"/>
          <w:sz w:val="28"/>
          <w:szCs w:val="28"/>
          <w:u w:color="FFFFFF" w:themeColor="background1"/>
          <w:lang w:val="en-US" w:eastAsia="zh-CN"/>
        </w:rPr>
        <w:t>5</w:t>
      </w:r>
    </w:p>
    <w:p>
      <w:pPr>
        <w:pStyle w:val="13"/>
        <w:spacing w:line="576" w:lineRule="exact"/>
        <w:rPr>
          <w:rFonts w:hint="eastAsia" w:ascii="仿宋" w:hAnsi="仿宋" w:eastAsia="仿宋" w:cstheme="minorBidi"/>
          <w:sz w:val="28"/>
          <w:szCs w:val="28"/>
          <w:u w:color="FFFFFF" w:themeColor="background1"/>
          <w:lang w:eastAsia="zh-CN"/>
        </w:rPr>
      </w:pPr>
      <w:r>
        <w:fldChar w:fldCharType="begin"/>
      </w:r>
      <w:r>
        <w:instrText xml:space="preserve"> HYPERLINK \l "_Toc15396610" </w:instrText>
      </w:r>
      <w:r>
        <w:fldChar w:fldCharType="separate"/>
      </w:r>
      <w:r>
        <w:rPr>
          <w:rFonts w:hint="eastAsia" w:ascii="仿宋" w:hAnsi="仿宋" w:eastAsia="仿宋"/>
          <w:sz w:val="28"/>
          <w:szCs w:val="28"/>
        </w:rPr>
        <w:t>八、政府性基金预算支出决算情况说明</w:t>
      </w:r>
      <w:r>
        <w:rPr>
          <w:rFonts w:ascii="仿宋" w:hAnsi="仿宋" w:eastAsia="仿宋"/>
          <w:sz w:val="28"/>
          <w:szCs w:val="28"/>
          <w:u w:color="FFFFFF" w:themeColor="background1"/>
        </w:rPr>
        <w:tab/>
      </w:r>
      <w:r>
        <w:rPr>
          <w:rFonts w:hint="eastAsia" w:ascii="仿宋" w:hAnsi="仿宋" w:eastAsia="仿宋"/>
          <w:sz w:val="28"/>
          <w:szCs w:val="28"/>
          <w:u w:color="FFFFFF" w:themeColor="background1"/>
        </w:rPr>
        <w:t>1</w:t>
      </w:r>
      <w:r>
        <w:rPr>
          <w:rFonts w:hint="eastAsia" w:ascii="仿宋" w:hAnsi="仿宋" w:eastAsia="仿宋"/>
          <w:sz w:val="28"/>
          <w:szCs w:val="28"/>
          <w:u w:color="FFFFFF" w:themeColor="background1"/>
        </w:rPr>
        <w:fldChar w:fldCharType="end"/>
      </w:r>
      <w:r>
        <w:rPr>
          <w:rFonts w:hint="eastAsia" w:ascii="仿宋" w:hAnsi="仿宋" w:eastAsia="仿宋"/>
          <w:sz w:val="28"/>
          <w:szCs w:val="28"/>
          <w:u w:color="FFFFFF" w:themeColor="background1"/>
          <w:lang w:val="en-US" w:eastAsia="zh-CN"/>
        </w:rPr>
        <w:t>6</w:t>
      </w:r>
    </w:p>
    <w:p>
      <w:pPr>
        <w:pStyle w:val="13"/>
        <w:spacing w:line="576" w:lineRule="exact"/>
        <w:rPr>
          <w:rFonts w:hint="eastAsia" w:ascii="仿宋" w:hAnsi="仿宋" w:eastAsia="仿宋" w:cstheme="minorBidi"/>
          <w:sz w:val="28"/>
          <w:szCs w:val="28"/>
          <w:u w:color="FFFFFF" w:themeColor="background1"/>
          <w:lang w:eastAsia="zh-CN"/>
        </w:rPr>
      </w:pPr>
      <w:r>
        <w:fldChar w:fldCharType="begin"/>
      </w:r>
      <w:r>
        <w:instrText xml:space="preserve"> HYPERLINK \l "_Toc15396611" </w:instrText>
      </w:r>
      <w:r>
        <w:fldChar w:fldCharType="separate"/>
      </w:r>
      <w:r>
        <w:rPr>
          <w:rFonts w:hint="eastAsia" w:ascii="仿宋" w:hAnsi="仿宋" w:eastAsia="仿宋"/>
          <w:sz w:val="28"/>
          <w:szCs w:val="28"/>
        </w:rPr>
        <w:t>九、 国有资本经营预算支出决算情况说明</w:t>
      </w:r>
      <w:r>
        <w:rPr>
          <w:rFonts w:ascii="仿宋" w:hAnsi="仿宋" w:eastAsia="仿宋"/>
          <w:sz w:val="28"/>
          <w:szCs w:val="28"/>
          <w:u w:color="FFFFFF" w:themeColor="background1"/>
        </w:rPr>
        <w:tab/>
      </w:r>
      <w:r>
        <w:rPr>
          <w:rFonts w:hint="eastAsia" w:ascii="仿宋" w:hAnsi="仿宋" w:eastAsia="仿宋"/>
          <w:sz w:val="28"/>
          <w:szCs w:val="28"/>
          <w:u w:color="FFFFFF" w:themeColor="background1"/>
        </w:rPr>
        <w:t>1</w:t>
      </w:r>
      <w:r>
        <w:rPr>
          <w:rFonts w:hint="eastAsia" w:ascii="仿宋" w:hAnsi="仿宋" w:eastAsia="仿宋"/>
          <w:sz w:val="28"/>
          <w:szCs w:val="28"/>
          <w:u w:color="FFFFFF" w:themeColor="background1"/>
        </w:rPr>
        <w:fldChar w:fldCharType="end"/>
      </w:r>
      <w:r>
        <w:rPr>
          <w:rFonts w:hint="eastAsia" w:ascii="仿宋" w:hAnsi="仿宋" w:eastAsia="仿宋"/>
          <w:sz w:val="28"/>
          <w:szCs w:val="28"/>
          <w:u w:color="FFFFFF" w:themeColor="background1"/>
          <w:lang w:val="en-US" w:eastAsia="zh-CN"/>
        </w:rPr>
        <w:t>6</w:t>
      </w:r>
    </w:p>
    <w:p>
      <w:pPr>
        <w:pStyle w:val="13"/>
        <w:spacing w:line="576" w:lineRule="exact"/>
        <w:rPr>
          <w:rFonts w:hint="eastAsia" w:ascii="仿宋" w:hAnsi="仿宋" w:eastAsia="仿宋"/>
          <w:sz w:val="28"/>
          <w:szCs w:val="28"/>
          <w:u w:color="FFFFFF" w:themeColor="background1"/>
          <w:lang w:eastAsia="zh-CN"/>
        </w:rPr>
      </w:pPr>
      <w:r>
        <w:fldChar w:fldCharType="begin"/>
      </w:r>
      <w:r>
        <w:instrText xml:space="preserve"> HYPERLINK \l "_Toc15396612" </w:instrText>
      </w:r>
      <w:r>
        <w:fldChar w:fldCharType="separate"/>
      </w:r>
      <w:r>
        <w:rPr>
          <w:rFonts w:hint="eastAsia" w:ascii="仿宋" w:hAnsi="仿宋" w:eastAsia="仿宋"/>
          <w:sz w:val="28"/>
          <w:szCs w:val="28"/>
        </w:rPr>
        <w:t>十、其他重要事项的情况说明</w:t>
      </w:r>
      <w:r>
        <w:rPr>
          <w:rFonts w:ascii="仿宋" w:hAnsi="仿宋" w:eastAsia="仿宋"/>
          <w:sz w:val="28"/>
          <w:szCs w:val="28"/>
          <w:u w:color="FFFFFF" w:themeColor="background1"/>
        </w:rPr>
        <w:tab/>
      </w:r>
      <w:r>
        <w:rPr>
          <w:rFonts w:hint="eastAsia" w:ascii="仿宋" w:hAnsi="仿宋" w:eastAsia="仿宋"/>
          <w:sz w:val="28"/>
          <w:szCs w:val="28"/>
          <w:u w:color="FFFFFF" w:themeColor="background1"/>
        </w:rPr>
        <w:t>1</w:t>
      </w:r>
      <w:r>
        <w:rPr>
          <w:rFonts w:hint="eastAsia" w:ascii="仿宋" w:hAnsi="仿宋" w:eastAsia="仿宋"/>
          <w:sz w:val="28"/>
          <w:szCs w:val="28"/>
          <w:u w:color="FFFFFF" w:themeColor="background1"/>
        </w:rPr>
        <w:fldChar w:fldCharType="end"/>
      </w:r>
      <w:r>
        <w:rPr>
          <w:rFonts w:hint="eastAsia" w:ascii="仿宋" w:hAnsi="仿宋" w:eastAsia="仿宋"/>
          <w:sz w:val="28"/>
          <w:szCs w:val="28"/>
          <w:u w:color="FFFFFF" w:themeColor="background1"/>
          <w:lang w:val="en-US" w:eastAsia="zh-CN"/>
        </w:rPr>
        <w:t>6</w:t>
      </w:r>
    </w:p>
    <w:p>
      <w:pPr>
        <w:pStyle w:val="13"/>
        <w:spacing w:line="576" w:lineRule="exact"/>
        <w:rPr>
          <w:rFonts w:hint="default" w:eastAsia="仿宋"/>
          <w:lang w:val="en-US" w:eastAsia="zh-CN"/>
        </w:rPr>
      </w:pPr>
      <w:r>
        <w:fldChar w:fldCharType="begin"/>
      </w:r>
      <w:r>
        <w:instrText xml:space="preserve"> HYPERLINK \l "_Toc15396612" </w:instrText>
      </w:r>
      <w:r>
        <w:fldChar w:fldCharType="separate"/>
      </w:r>
      <w:r>
        <w:rPr>
          <w:rFonts w:hint="eastAsia" w:ascii="仿宋" w:hAnsi="仿宋" w:eastAsia="仿宋"/>
          <w:sz w:val="28"/>
          <w:szCs w:val="28"/>
        </w:rPr>
        <w:t>十</w:t>
      </w:r>
      <w:r>
        <w:rPr>
          <w:rFonts w:hint="eastAsia" w:ascii="仿宋" w:hAnsi="仿宋" w:eastAsia="仿宋"/>
          <w:sz w:val="28"/>
          <w:szCs w:val="28"/>
          <w:lang w:val="en-US" w:eastAsia="zh-CN"/>
        </w:rPr>
        <w:t>一</w:t>
      </w:r>
      <w:r>
        <w:rPr>
          <w:rFonts w:hint="eastAsia" w:ascii="仿宋" w:hAnsi="仿宋" w:eastAsia="仿宋"/>
          <w:sz w:val="28"/>
          <w:szCs w:val="28"/>
        </w:rPr>
        <w:t>、</w:t>
      </w:r>
      <w:r>
        <w:rPr>
          <w:rFonts w:hint="eastAsia" w:ascii="仿宋" w:hAnsi="仿宋" w:eastAsia="仿宋"/>
          <w:sz w:val="28"/>
          <w:szCs w:val="28"/>
          <w:lang w:val="en-US" w:eastAsia="zh-CN"/>
        </w:rPr>
        <w:t>预算绩效管理情况</w:t>
      </w:r>
      <w:r>
        <w:rPr>
          <w:rFonts w:ascii="仿宋" w:hAnsi="仿宋" w:eastAsia="仿宋"/>
          <w:sz w:val="28"/>
          <w:szCs w:val="28"/>
          <w:u w:color="FFFFFF" w:themeColor="background1"/>
        </w:rPr>
        <w:tab/>
      </w:r>
      <w:r>
        <w:rPr>
          <w:rFonts w:hint="eastAsia" w:ascii="仿宋" w:hAnsi="仿宋" w:eastAsia="仿宋"/>
          <w:sz w:val="28"/>
          <w:szCs w:val="28"/>
          <w:u w:color="FFFFFF" w:themeColor="background1"/>
        </w:rPr>
        <w:t>1</w:t>
      </w:r>
      <w:r>
        <w:rPr>
          <w:rFonts w:hint="eastAsia" w:ascii="仿宋" w:hAnsi="仿宋" w:eastAsia="仿宋"/>
          <w:sz w:val="28"/>
          <w:szCs w:val="28"/>
          <w:u w:color="FFFFFF" w:themeColor="background1"/>
        </w:rPr>
        <w:fldChar w:fldCharType="end"/>
      </w:r>
      <w:r>
        <w:rPr>
          <w:rFonts w:hint="eastAsia" w:ascii="仿宋" w:hAnsi="仿宋" w:eastAsia="仿宋"/>
          <w:sz w:val="28"/>
          <w:szCs w:val="28"/>
          <w:u w:color="FFFFFF" w:themeColor="background1"/>
          <w:lang w:val="en-US" w:eastAsia="zh-CN"/>
        </w:rPr>
        <w:t>7</w:t>
      </w:r>
    </w:p>
    <w:p>
      <w:pPr>
        <w:pStyle w:val="12"/>
        <w:spacing w:line="576" w:lineRule="exact"/>
        <w:jc w:val="both"/>
        <w:rPr>
          <w:rFonts w:hint="eastAsia" w:eastAsia="仿宋" w:cstheme="minorBidi"/>
          <w:u w:color="FFFFFF" w:themeColor="background1"/>
          <w:lang w:eastAsia="zh-CN"/>
        </w:rPr>
      </w:pPr>
      <w:r>
        <w:fldChar w:fldCharType="begin"/>
      </w:r>
      <w:r>
        <w:instrText xml:space="preserve"> HYPERLINK \l "_Toc15396613" </w:instrText>
      </w:r>
      <w:r>
        <w:fldChar w:fldCharType="separate"/>
      </w:r>
      <w:r>
        <w:rPr>
          <w:rFonts w:hint="eastAsia"/>
        </w:rPr>
        <w:t>第三部分 名词解释</w:t>
      </w:r>
      <w:r>
        <w:rPr>
          <w:u w:color="FFFFFF" w:themeColor="background1"/>
        </w:rPr>
        <w:tab/>
      </w:r>
      <w:r>
        <w:rPr>
          <w:rFonts w:hint="eastAsia"/>
          <w:u w:color="FFFFFF" w:themeColor="background1"/>
        </w:rPr>
        <w:t>1</w:t>
      </w:r>
      <w:r>
        <w:rPr>
          <w:rFonts w:hint="eastAsia"/>
          <w:u w:color="FFFFFF" w:themeColor="background1"/>
        </w:rPr>
        <w:fldChar w:fldCharType="end"/>
      </w:r>
      <w:r>
        <w:rPr>
          <w:rFonts w:hint="eastAsia"/>
          <w:u w:color="FFFFFF" w:themeColor="background1"/>
          <w:lang w:val="en-US" w:eastAsia="zh-CN"/>
        </w:rPr>
        <w:t>7</w:t>
      </w:r>
    </w:p>
    <w:p>
      <w:pPr>
        <w:pStyle w:val="12"/>
        <w:spacing w:line="576" w:lineRule="exact"/>
        <w:jc w:val="both"/>
        <w:rPr>
          <w:rFonts w:hint="eastAsia" w:eastAsia="仿宋"/>
          <w:u w:color="FFFFFF" w:themeColor="background1"/>
          <w:lang w:eastAsia="zh-CN"/>
        </w:rPr>
      </w:pPr>
      <w:r>
        <w:fldChar w:fldCharType="begin"/>
      </w:r>
      <w:r>
        <w:instrText xml:space="preserve"> HYPERLINK \l "_Toc15396618" </w:instrText>
      </w:r>
      <w:r>
        <w:fldChar w:fldCharType="separate"/>
      </w:r>
      <w:r>
        <w:rPr>
          <w:rFonts w:hint="eastAsia"/>
        </w:rPr>
        <w:t>第四部分附</w:t>
      </w:r>
      <w:r>
        <w:rPr>
          <w:rFonts w:hint="eastAsia"/>
          <w:lang w:val="en-US" w:eastAsia="zh-CN"/>
        </w:rPr>
        <w:t>件</w:t>
      </w:r>
      <w:r>
        <w:rPr>
          <w:u w:color="FFFFFF" w:themeColor="background1"/>
        </w:rPr>
        <w:tab/>
      </w:r>
      <w:r>
        <w:rPr>
          <w:rFonts w:hint="eastAsia"/>
          <w:u w:color="FFFFFF" w:themeColor="background1"/>
        </w:rPr>
        <w:t>2</w:t>
      </w:r>
      <w:r>
        <w:rPr>
          <w:rFonts w:hint="eastAsia"/>
          <w:u w:color="FFFFFF" w:themeColor="background1"/>
        </w:rPr>
        <w:fldChar w:fldCharType="end"/>
      </w:r>
      <w:r>
        <w:rPr>
          <w:rFonts w:hint="eastAsia"/>
          <w:u w:color="FFFFFF" w:themeColor="background1"/>
          <w:lang w:val="en-US" w:eastAsia="zh-CN"/>
        </w:rPr>
        <w:t>3</w:t>
      </w:r>
    </w:p>
    <w:p>
      <w:pPr>
        <w:pStyle w:val="12"/>
        <w:spacing w:line="576" w:lineRule="exact"/>
        <w:jc w:val="both"/>
        <w:rPr>
          <w:rFonts w:hint="eastAsia" w:eastAsia="仿宋"/>
          <w:u w:color="FFFFFF" w:themeColor="background1"/>
          <w:lang w:eastAsia="zh-CN"/>
        </w:rPr>
      </w:pPr>
      <w:r>
        <w:fldChar w:fldCharType="begin"/>
      </w:r>
      <w:r>
        <w:instrText xml:space="preserve"> HYPERLINK \l "_Toc15396618" </w:instrText>
      </w:r>
      <w:r>
        <w:fldChar w:fldCharType="separate"/>
      </w:r>
      <w:r>
        <w:rPr>
          <w:rFonts w:hint="eastAsia"/>
          <w:lang w:val="en-US" w:eastAsia="zh-CN"/>
        </w:rPr>
        <w:t xml:space="preserve">    </w:t>
      </w:r>
      <w:r>
        <w:rPr>
          <w:rFonts w:hint="eastAsia"/>
        </w:rPr>
        <w:t>附</w:t>
      </w:r>
      <w:r>
        <w:rPr>
          <w:rFonts w:hint="eastAsia"/>
          <w:lang w:val="en-US" w:eastAsia="zh-CN"/>
        </w:rPr>
        <w:t>件1（项目绩效自评表及报告）</w:t>
      </w:r>
      <w:r>
        <w:rPr>
          <w:u w:color="FFFFFF" w:themeColor="background1"/>
        </w:rPr>
        <w:tab/>
      </w:r>
      <w:r>
        <w:rPr>
          <w:rFonts w:hint="eastAsia"/>
          <w:u w:color="FFFFFF" w:themeColor="background1"/>
        </w:rPr>
        <w:t>2</w:t>
      </w:r>
      <w:r>
        <w:rPr>
          <w:rFonts w:hint="eastAsia"/>
          <w:u w:color="FFFFFF" w:themeColor="background1"/>
        </w:rPr>
        <w:fldChar w:fldCharType="end"/>
      </w:r>
      <w:r>
        <w:rPr>
          <w:rFonts w:hint="eastAsia"/>
          <w:u w:color="FFFFFF" w:themeColor="background1"/>
          <w:lang w:val="en-US" w:eastAsia="zh-CN"/>
        </w:rPr>
        <w:t>4</w:t>
      </w:r>
    </w:p>
    <w:p>
      <w:pPr>
        <w:pStyle w:val="12"/>
        <w:spacing w:line="576" w:lineRule="exact"/>
        <w:ind w:firstLine="560" w:firstLineChars="200"/>
        <w:jc w:val="both"/>
        <w:rPr>
          <w:rFonts w:hint="eastAsia" w:eastAsia="仿宋"/>
          <w:u w:color="FFFFFF" w:themeColor="background1"/>
          <w:lang w:eastAsia="zh-CN"/>
        </w:rPr>
      </w:pPr>
      <w:r>
        <w:fldChar w:fldCharType="begin"/>
      </w:r>
      <w:r>
        <w:instrText xml:space="preserve"> HYPERLINK \l "_Toc15396618" </w:instrText>
      </w:r>
      <w:r>
        <w:fldChar w:fldCharType="separate"/>
      </w:r>
      <w:r>
        <w:rPr>
          <w:rFonts w:hint="eastAsia"/>
          <w:lang w:val="en-US" w:eastAsia="zh-CN"/>
        </w:rPr>
        <w:t>附件2（项目绩效自评表及报告）</w:t>
      </w:r>
      <w:r>
        <w:rPr>
          <w:u w:color="FFFFFF" w:themeColor="background1"/>
        </w:rPr>
        <w:tab/>
      </w:r>
      <w:r>
        <w:rPr>
          <w:rFonts w:hint="eastAsia"/>
          <w:u w:color="FFFFFF" w:themeColor="background1"/>
        </w:rPr>
        <w:t>2</w:t>
      </w:r>
      <w:r>
        <w:rPr>
          <w:rFonts w:hint="eastAsia"/>
          <w:u w:color="FFFFFF" w:themeColor="background1"/>
        </w:rPr>
        <w:fldChar w:fldCharType="end"/>
      </w:r>
      <w:r>
        <w:rPr>
          <w:rFonts w:hint="eastAsia"/>
          <w:u w:color="FFFFFF" w:themeColor="background1"/>
          <w:lang w:val="en-US" w:eastAsia="zh-CN"/>
        </w:rPr>
        <w:t>7</w:t>
      </w:r>
    </w:p>
    <w:p>
      <w:pPr>
        <w:rPr>
          <w:rFonts w:hint="eastAsia"/>
        </w:rPr>
      </w:pPr>
    </w:p>
    <w:p>
      <w:pPr>
        <w:pStyle w:val="12"/>
        <w:spacing w:line="576" w:lineRule="exact"/>
        <w:jc w:val="both"/>
        <w:rPr>
          <w:rFonts w:hint="eastAsia" w:eastAsia="仿宋"/>
          <w:lang w:val="en-US" w:eastAsia="zh-CN"/>
        </w:rPr>
      </w:pPr>
      <w:r>
        <w:fldChar w:fldCharType="begin"/>
      </w:r>
      <w:r>
        <w:instrText xml:space="preserve"> HYPERLINK \l "_Toc15396618" </w:instrText>
      </w:r>
      <w:r>
        <w:fldChar w:fldCharType="separate"/>
      </w:r>
      <w:r>
        <w:rPr>
          <w:rFonts w:hint="eastAsia"/>
        </w:rPr>
        <w:t>第</w:t>
      </w:r>
      <w:r>
        <w:rPr>
          <w:rFonts w:hint="eastAsia"/>
          <w:lang w:val="en-US" w:eastAsia="zh-CN"/>
        </w:rPr>
        <w:t>五</w:t>
      </w:r>
      <w:r>
        <w:rPr>
          <w:rFonts w:hint="eastAsia"/>
        </w:rPr>
        <w:t>部分附</w:t>
      </w:r>
      <w:r>
        <w:rPr>
          <w:rFonts w:hint="eastAsia"/>
          <w:lang w:val="en-US" w:eastAsia="zh-CN"/>
        </w:rPr>
        <w:t>表</w:t>
      </w:r>
      <w:r>
        <w:rPr>
          <w:u w:color="FFFFFF" w:themeColor="background1"/>
        </w:rPr>
        <w:tab/>
      </w:r>
      <w:r>
        <w:rPr>
          <w:rFonts w:hint="eastAsia"/>
          <w:u w:color="FFFFFF" w:themeColor="background1"/>
          <w:lang w:val="en-US" w:eastAsia="zh-CN"/>
        </w:rPr>
        <w:t>3</w:t>
      </w:r>
      <w:r>
        <w:rPr>
          <w:rFonts w:hint="eastAsia"/>
          <w:u w:color="FFFFFF" w:themeColor="background1"/>
        </w:rPr>
        <w:fldChar w:fldCharType="end"/>
      </w:r>
      <w:r>
        <w:rPr>
          <w:rFonts w:hint="eastAsia"/>
          <w:u w:color="FFFFFF" w:themeColor="background1"/>
          <w:lang w:val="en-US" w:eastAsia="zh-CN"/>
        </w:rPr>
        <w:t>1</w:t>
      </w:r>
    </w:p>
    <w:p>
      <w:pPr>
        <w:pStyle w:val="13"/>
        <w:spacing w:line="576" w:lineRule="exact"/>
        <w:rPr>
          <w:rFonts w:hint="eastAsia" w:ascii="仿宋" w:hAnsi="仿宋" w:eastAsia="仿宋" w:cstheme="minorBidi"/>
          <w:sz w:val="28"/>
          <w:szCs w:val="28"/>
          <w:lang w:eastAsia="zh-CN"/>
        </w:rPr>
      </w:pPr>
      <w:r>
        <w:rPr>
          <w:rFonts w:hint="eastAsia" w:ascii="仿宋" w:hAnsi="仿宋" w:eastAsia="仿宋"/>
          <w:sz w:val="28"/>
          <w:szCs w:val="28"/>
        </w:rPr>
        <w:t>（一）、</w:t>
      </w:r>
      <w:r>
        <w:fldChar w:fldCharType="begin"/>
      </w:r>
      <w:r>
        <w:instrText xml:space="preserve"> HYPERLINK \l "_Toc15396619" </w:instrText>
      </w:r>
      <w:r>
        <w:fldChar w:fldCharType="separate"/>
      </w:r>
      <w:r>
        <w:rPr>
          <w:rFonts w:hint="eastAsia" w:ascii="仿宋" w:hAnsi="仿宋" w:eastAsia="仿宋"/>
          <w:sz w:val="28"/>
          <w:szCs w:val="28"/>
        </w:rPr>
        <w:t>收入支出决算总表</w:t>
      </w:r>
      <w:r>
        <w:rPr>
          <w:rFonts w:ascii="仿宋" w:hAnsi="仿宋" w:eastAsia="仿宋"/>
          <w:sz w:val="28"/>
          <w:szCs w:val="28"/>
        </w:rPr>
        <w:tab/>
      </w:r>
      <w:r>
        <w:rPr>
          <w:rFonts w:hint="eastAsia" w:ascii="仿宋" w:hAnsi="仿宋" w:eastAsia="仿宋"/>
          <w:sz w:val="28"/>
          <w:szCs w:val="28"/>
          <w:lang w:val="en-US" w:eastAsia="zh-CN"/>
        </w:rPr>
        <w:t>3</w:t>
      </w:r>
      <w:r>
        <w:rPr>
          <w:rFonts w:hint="eastAsia" w:ascii="仿宋" w:hAnsi="仿宋" w:eastAsia="仿宋"/>
          <w:sz w:val="28"/>
          <w:szCs w:val="28"/>
        </w:rPr>
        <w:fldChar w:fldCharType="end"/>
      </w:r>
      <w:r>
        <w:rPr>
          <w:rFonts w:hint="eastAsia" w:ascii="仿宋" w:hAnsi="仿宋" w:eastAsia="仿宋"/>
          <w:sz w:val="28"/>
          <w:szCs w:val="28"/>
          <w:lang w:val="en-US" w:eastAsia="zh-CN"/>
        </w:rPr>
        <w:t>1</w:t>
      </w:r>
    </w:p>
    <w:p>
      <w:pPr>
        <w:pStyle w:val="13"/>
        <w:spacing w:line="576" w:lineRule="exact"/>
        <w:rPr>
          <w:rFonts w:hint="eastAsia" w:ascii="仿宋" w:hAnsi="仿宋" w:eastAsia="仿宋" w:cstheme="minorBidi"/>
          <w:sz w:val="28"/>
          <w:szCs w:val="28"/>
          <w:lang w:eastAsia="zh-CN"/>
        </w:rPr>
      </w:pPr>
      <w:r>
        <w:rPr>
          <w:rFonts w:hint="eastAsia" w:ascii="仿宋" w:hAnsi="仿宋" w:eastAsia="仿宋"/>
          <w:sz w:val="28"/>
          <w:szCs w:val="28"/>
        </w:rPr>
        <w:t>（二）、</w:t>
      </w:r>
      <w:r>
        <w:fldChar w:fldCharType="begin"/>
      </w:r>
      <w:r>
        <w:instrText xml:space="preserve"> HYPERLINK \l "_Toc15396620" </w:instrText>
      </w:r>
      <w:r>
        <w:fldChar w:fldCharType="separate"/>
      </w:r>
      <w:r>
        <w:rPr>
          <w:rFonts w:hint="eastAsia" w:ascii="仿宋" w:hAnsi="仿宋" w:eastAsia="仿宋"/>
          <w:sz w:val="28"/>
          <w:szCs w:val="28"/>
        </w:rPr>
        <w:t>收入总表</w:t>
      </w:r>
      <w:r>
        <w:rPr>
          <w:rFonts w:ascii="仿宋" w:hAnsi="仿宋" w:eastAsia="仿宋"/>
          <w:sz w:val="28"/>
          <w:szCs w:val="28"/>
        </w:rPr>
        <w:tab/>
      </w:r>
      <w:r>
        <w:rPr>
          <w:rFonts w:hint="eastAsia" w:ascii="仿宋" w:hAnsi="仿宋" w:eastAsia="仿宋"/>
          <w:sz w:val="28"/>
          <w:szCs w:val="28"/>
          <w:lang w:val="en-US" w:eastAsia="zh-CN"/>
        </w:rPr>
        <w:t>3</w:t>
      </w:r>
      <w:r>
        <w:rPr>
          <w:rFonts w:hint="eastAsia" w:ascii="仿宋" w:hAnsi="仿宋" w:eastAsia="仿宋"/>
          <w:sz w:val="28"/>
          <w:szCs w:val="28"/>
        </w:rPr>
        <w:fldChar w:fldCharType="end"/>
      </w:r>
      <w:r>
        <w:rPr>
          <w:rFonts w:hint="eastAsia" w:ascii="仿宋" w:hAnsi="仿宋" w:eastAsia="仿宋"/>
          <w:sz w:val="28"/>
          <w:szCs w:val="28"/>
          <w:lang w:val="en-US" w:eastAsia="zh-CN"/>
        </w:rPr>
        <w:t>1</w:t>
      </w:r>
    </w:p>
    <w:p>
      <w:pPr>
        <w:pStyle w:val="13"/>
        <w:spacing w:line="576" w:lineRule="exact"/>
        <w:rPr>
          <w:rFonts w:hint="eastAsia" w:ascii="仿宋" w:hAnsi="仿宋" w:eastAsia="仿宋" w:cstheme="minorBidi"/>
          <w:sz w:val="28"/>
          <w:szCs w:val="28"/>
          <w:lang w:eastAsia="zh-CN"/>
        </w:rPr>
      </w:pPr>
      <w:r>
        <w:rPr>
          <w:rFonts w:hint="eastAsia" w:ascii="仿宋" w:hAnsi="仿宋" w:eastAsia="仿宋"/>
          <w:sz w:val="28"/>
          <w:szCs w:val="28"/>
        </w:rPr>
        <w:t>（三）、</w:t>
      </w:r>
      <w:r>
        <w:fldChar w:fldCharType="begin"/>
      </w:r>
      <w:r>
        <w:instrText xml:space="preserve"> HYPERLINK \l "_Toc15396621" </w:instrText>
      </w:r>
      <w:r>
        <w:fldChar w:fldCharType="separate"/>
      </w:r>
      <w:r>
        <w:rPr>
          <w:rFonts w:hint="eastAsia" w:ascii="仿宋" w:hAnsi="仿宋" w:eastAsia="仿宋"/>
          <w:sz w:val="28"/>
          <w:szCs w:val="28"/>
        </w:rPr>
        <w:t>支出总表</w:t>
      </w:r>
      <w:r>
        <w:rPr>
          <w:rFonts w:ascii="仿宋" w:hAnsi="仿宋" w:eastAsia="仿宋"/>
          <w:sz w:val="28"/>
          <w:szCs w:val="28"/>
        </w:rPr>
        <w:tab/>
      </w:r>
      <w:r>
        <w:rPr>
          <w:rFonts w:hint="eastAsia" w:ascii="仿宋" w:hAnsi="仿宋" w:eastAsia="仿宋"/>
          <w:sz w:val="28"/>
          <w:szCs w:val="28"/>
          <w:lang w:val="en-US" w:eastAsia="zh-CN"/>
        </w:rPr>
        <w:t>3</w:t>
      </w:r>
      <w:r>
        <w:rPr>
          <w:rFonts w:hint="eastAsia" w:ascii="仿宋" w:hAnsi="仿宋" w:eastAsia="仿宋"/>
          <w:sz w:val="28"/>
          <w:szCs w:val="28"/>
        </w:rPr>
        <w:fldChar w:fldCharType="end"/>
      </w:r>
      <w:r>
        <w:rPr>
          <w:rFonts w:hint="eastAsia" w:ascii="仿宋" w:hAnsi="仿宋" w:eastAsia="仿宋"/>
          <w:sz w:val="28"/>
          <w:szCs w:val="28"/>
          <w:lang w:val="en-US" w:eastAsia="zh-CN"/>
        </w:rPr>
        <w:t>1</w:t>
      </w:r>
    </w:p>
    <w:p>
      <w:pPr>
        <w:pStyle w:val="13"/>
        <w:spacing w:line="576" w:lineRule="exact"/>
        <w:rPr>
          <w:rFonts w:hint="eastAsia" w:ascii="仿宋" w:hAnsi="仿宋" w:eastAsia="仿宋" w:cstheme="minorBidi"/>
          <w:sz w:val="28"/>
          <w:szCs w:val="28"/>
          <w:lang w:eastAsia="zh-CN"/>
        </w:rPr>
      </w:pPr>
      <w:r>
        <w:rPr>
          <w:rFonts w:hint="eastAsia" w:ascii="仿宋" w:hAnsi="仿宋" w:eastAsia="仿宋"/>
          <w:sz w:val="28"/>
          <w:szCs w:val="28"/>
        </w:rPr>
        <w:t>（四）、</w:t>
      </w:r>
      <w:r>
        <w:fldChar w:fldCharType="begin"/>
      </w:r>
      <w:r>
        <w:instrText xml:space="preserve"> HYPERLINK \l "_Toc15396622" </w:instrText>
      </w:r>
      <w:r>
        <w:fldChar w:fldCharType="separate"/>
      </w:r>
      <w:r>
        <w:rPr>
          <w:rFonts w:hint="eastAsia" w:ascii="仿宋" w:hAnsi="仿宋" w:eastAsia="仿宋"/>
          <w:sz w:val="28"/>
          <w:szCs w:val="28"/>
        </w:rPr>
        <w:t>财政拨款收入支出决算总表</w:t>
      </w:r>
      <w:r>
        <w:rPr>
          <w:rFonts w:ascii="仿宋" w:hAnsi="仿宋" w:eastAsia="仿宋"/>
          <w:sz w:val="28"/>
          <w:szCs w:val="28"/>
        </w:rPr>
        <w:tab/>
      </w:r>
      <w:r>
        <w:rPr>
          <w:rFonts w:hint="eastAsia" w:ascii="仿宋" w:hAnsi="仿宋" w:eastAsia="仿宋"/>
          <w:sz w:val="28"/>
          <w:szCs w:val="28"/>
          <w:lang w:val="en-US" w:eastAsia="zh-CN"/>
        </w:rPr>
        <w:t>3</w:t>
      </w:r>
      <w:r>
        <w:rPr>
          <w:rFonts w:hint="eastAsia" w:ascii="仿宋" w:hAnsi="仿宋" w:eastAsia="仿宋"/>
          <w:sz w:val="28"/>
          <w:szCs w:val="28"/>
        </w:rPr>
        <w:fldChar w:fldCharType="end"/>
      </w:r>
      <w:r>
        <w:rPr>
          <w:rFonts w:hint="eastAsia" w:ascii="仿宋" w:hAnsi="仿宋" w:eastAsia="仿宋"/>
          <w:sz w:val="28"/>
          <w:szCs w:val="28"/>
          <w:lang w:val="en-US" w:eastAsia="zh-CN"/>
        </w:rPr>
        <w:t>1</w:t>
      </w:r>
    </w:p>
    <w:p>
      <w:pPr>
        <w:pStyle w:val="13"/>
        <w:spacing w:line="576" w:lineRule="exact"/>
        <w:rPr>
          <w:rFonts w:hint="eastAsia" w:ascii="仿宋" w:hAnsi="仿宋" w:eastAsia="仿宋"/>
          <w:sz w:val="28"/>
          <w:szCs w:val="28"/>
          <w:lang w:eastAsia="zh-CN"/>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hint="eastAsia" w:ascii="仿宋" w:hAnsi="仿宋" w:eastAsia="仿宋"/>
          <w:sz w:val="28"/>
          <w:szCs w:val="28"/>
          <w:lang w:val="en-US" w:eastAsia="zh-CN"/>
        </w:rPr>
        <w:t>3</w:t>
      </w:r>
      <w:r>
        <w:rPr>
          <w:rFonts w:hint="eastAsia" w:ascii="仿宋" w:hAnsi="仿宋" w:eastAsia="仿宋"/>
          <w:sz w:val="28"/>
          <w:szCs w:val="28"/>
        </w:rPr>
        <w:fldChar w:fldCharType="end"/>
      </w:r>
      <w:r>
        <w:rPr>
          <w:rFonts w:hint="eastAsia" w:ascii="仿宋" w:hAnsi="仿宋" w:eastAsia="仿宋"/>
          <w:sz w:val="28"/>
          <w:szCs w:val="28"/>
          <w:lang w:val="en-US" w:eastAsia="zh-CN"/>
        </w:rPr>
        <w:t>1</w:t>
      </w:r>
    </w:p>
    <w:p>
      <w:pPr>
        <w:pStyle w:val="13"/>
        <w:spacing w:line="576" w:lineRule="exact"/>
        <w:rPr>
          <w:rFonts w:hint="eastAsia" w:ascii="仿宋" w:hAnsi="仿宋" w:eastAsia="仿宋" w:cstheme="minorBidi"/>
          <w:sz w:val="28"/>
          <w:szCs w:val="28"/>
          <w:lang w:eastAsia="zh-CN"/>
        </w:rPr>
      </w:pPr>
      <w:r>
        <w:rPr>
          <w:rFonts w:hint="eastAsia" w:ascii="仿宋" w:hAnsi="仿宋" w:eastAsia="仿宋"/>
          <w:sz w:val="28"/>
          <w:szCs w:val="28"/>
        </w:rPr>
        <w:t>（六）、</w:t>
      </w:r>
      <w:r>
        <w:fldChar w:fldCharType="begin"/>
      </w:r>
      <w:r>
        <w:instrText xml:space="preserve"> HYPERLINK \l "_Toc15396624" </w:instrText>
      </w:r>
      <w:r>
        <w:fldChar w:fldCharType="separate"/>
      </w:r>
      <w:r>
        <w:rPr>
          <w:rFonts w:hint="eastAsia" w:ascii="仿宋" w:hAnsi="仿宋" w:eastAsia="仿宋"/>
          <w:sz w:val="28"/>
          <w:szCs w:val="28"/>
        </w:rPr>
        <w:t>一般公共预算财政拨款支出决算表</w:t>
      </w:r>
      <w:r>
        <w:rPr>
          <w:rFonts w:ascii="仿宋" w:hAnsi="仿宋" w:eastAsia="仿宋"/>
          <w:sz w:val="28"/>
          <w:szCs w:val="28"/>
        </w:rPr>
        <w:tab/>
      </w:r>
      <w:r>
        <w:rPr>
          <w:rFonts w:hint="eastAsia" w:ascii="仿宋" w:hAnsi="仿宋" w:eastAsia="仿宋"/>
          <w:sz w:val="28"/>
          <w:szCs w:val="28"/>
          <w:lang w:val="en-US" w:eastAsia="zh-CN"/>
        </w:rPr>
        <w:t>3</w:t>
      </w:r>
      <w:r>
        <w:rPr>
          <w:rFonts w:hint="eastAsia" w:ascii="仿宋" w:hAnsi="仿宋" w:eastAsia="仿宋"/>
          <w:sz w:val="28"/>
          <w:szCs w:val="28"/>
        </w:rPr>
        <w:fldChar w:fldCharType="end"/>
      </w:r>
      <w:r>
        <w:rPr>
          <w:rFonts w:hint="eastAsia" w:ascii="仿宋" w:hAnsi="仿宋" w:eastAsia="仿宋"/>
          <w:sz w:val="28"/>
          <w:szCs w:val="28"/>
          <w:lang w:val="en-US" w:eastAsia="zh-CN"/>
        </w:rPr>
        <w:t>1</w:t>
      </w:r>
    </w:p>
    <w:p>
      <w:pPr>
        <w:pStyle w:val="13"/>
        <w:spacing w:line="576" w:lineRule="exact"/>
        <w:rPr>
          <w:rFonts w:hint="eastAsia" w:ascii="仿宋" w:hAnsi="仿宋" w:eastAsia="仿宋" w:cstheme="minorBidi"/>
          <w:sz w:val="28"/>
          <w:szCs w:val="28"/>
          <w:lang w:eastAsia="zh-CN"/>
        </w:rPr>
      </w:pPr>
      <w:r>
        <w:rPr>
          <w:rFonts w:hint="eastAsia" w:ascii="仿宋" w:hAnsi="仿宋" w:eastAsia="仿宋"/>
          <w:sz w:val="28"/>
          <w:szCs w:val="28"/>
        </w:rPr>
        <w:t>（七）、</w:t>
      </w:r>
      <w:r>
        <w:fldChar w:fldCharType="begin"/>
      </w:r>
      <w:r>
        <w:instrText xml:space="preserve"> HYPERLINK \l "_Toc15396625" </w:instrText>
      </w:r>
      <w:r>
        <w:fldChar w:fldCharType="separate"/>
      </w:r>
      <w:r>
        <w:rPr>
          <w:rFonts w:hint="eastAsia" w:ascii="仿宋" w:hAnsi="仿宋" w:eastAsia="仿宋"/>
          <w:sz w:val="28"/>
          <w:szCs w:val="28"/>
        </w:rPr>
        <w:t>一般公共预算财政拨款支出决算明细表</w:t>
      </w:r>
      <w:r>
        <w:rPr>
          <w:rFonts w:ascii="仿宋" w:hAnsi="仿宋" w:eastAsia="仿宋"/>
          <w:sz w:val="28"/>
          <w:szCs w:val="28"/>
        </w:rPr>
        <w:tab/>
      </w:r>
      <w:r>
        <w:rPr>
          <w:rFonts w:hint="eastAsia" w:ascii="仿宋" w:hAnsi="仿宋" w:eastAsia="仿宋"/>
          <w:sz w:val="28"/>
          <w:szCs w:val="28"/>
          <w:lang w:val="en-US" w:eastAsia="zh-CN"/>
        </w:rPr>
        <w:t>3</w:t>
      </w:r>
      <w:r>
        <w:rPr>
          <w:rFonts w:hint="eastAsia" w:ascii="仿宋" w:hAnsi="仿宋" w:eastAsia="仿宋"/>
          <w:sz w:val="28"/>
          <w:szCs w:val="28"/>
        </w:rPr>
        <w:fldChar w:fldCharType="end"/>
      </w:r>
      <w:r>
        <w:rPr>
          <w:rFonts w:hint="eastAsia" w:ascii="仿宋" w:hAnsi="仿宋" w:eastAsia="仿宋"/>
          <w:sz w:val="28"/>
          <w:szCs w:val="28"/>
          <w:lang w:val="en-US" w:eastAsia="zh-CN"/>
        </w:rPr>
        <w:t>1</w:t>
      </w:r>
    </w:p>
    <w:p>
      <w:pPr>
        <w:pStyle w:val="13"/>
        <w:spacing w:line="576" w:lineRule="exact"/>
        <w:rPr>
          <w:rFonts w:hint="eastAsia" w:ascii="仿宋" w:hAnsi="仿宋" w:eastAsia="仿宋" w:cstheme="minorBidi"/>
          <w:sz w:val="28"/>
          <w:szCs w:val="28"/>
          <w:lang w:eastAsia="zh-CN"/>
        </w:rPr>
      </w:pPr>
      <w:r>
        <w:rPr>
          <w:rFonts w:hint="eastAsia" w:ascii="仿宋" w:hAnsi="仿宋" w:eastAsia="仿宋"/>
          <w:sz w:val="28"/>
          <w:szCs w:val="28"/>
        </w:rPr>
        <w:t>（八）、</w:t>
      </w:r>
      <w:r>
        <w:fldChar w:fldCharType="begin"/>
      </w:r>
      <w:r>
        <w:instrText xml:space="preserve"> HYPERLINK \l "_Toc15396626" </w:instrText>
      </w:r>
      <w:r>
        <w:fldChar w:fldCharType="separate"/>
      </w:r>
      <w:r>
        <w:rPr>
          <w:rFonts w:hint="eastAsia" w:ascii="仿宋" w:hAnsi="仿宋" w:eastAsia="仿宋"/>
          <w:sz w:val="28"/>
          <w:szCs w:val="28"/>
        </w:rPr>
        <w:t>一般公共预算财政拨款基本支出决算表</w:t>
      </w:r>
      <w:r>
        <w:rPr>
          <w:rFonts w:ascii="仿宋" w:hAnsi="仿宋" w:eastAsia="仿宋"/>
          <w:sz w:val="28"/>
          <w:szCs w:val="28"/>
        </w:rPr>
        <w:tab/>
      </w:r>
      <w:r>
        <w:rPr>
          <w:rFonts w:hint="eastAsia" w:ascii="仿宋" w:hAnsi="仿宋" w:eastAsia="仿宋"/>
          <w:sz w:val="28"/>
          <w:szCs w:val="28"/>
          <w:lang w:val="en-US" w:eastAsia="zh-CN"/>
        </w:rPr>
        <w:t>3</w:t>
      </w:r>
      <w:r>
        <w:rPr>
          <w:rFonts w:hint="eastAsia" w:ascii="仿宋" w:hAnsi="仿宋" w:eastAsia="仿宋"/>
          <w:sz w:val="28"/>
          <w:szCs w:val="28"/>
        </w:rPr>
        <w:fldChar w:fldCharType="end"/>
      </w:r>
      <w:r>
        <w:rPr>
          <w:rFonts w:hint="eastAsia" w:ascii="仿宋" w:hAnsi="仿宋" w:eastAsia="仿宋"/>
          <w:sz w:val="28"/>
          <w:szCs w:val="28"/>
          <w:lang w:val="en-US" w:eastAsia="zh-CN"/>
        </w:rPr>
        <w:t>1</w:t>
      </w:r>
    </w:p>
    <w:p>
      <w:pPr>
        <w:pStyle w:val="13"/>
        <w:spacing w:line="576" w:lineRule="exact"/>
        <w:rPr>
          <w:rFonts w:hint="eastAsia" w:ascii="仿宋" w:hAnsi="仿宋" w:eastAsia="仿宋" w:cstheme="minorBidi"/>
          <w:sz w:val="28"/>
          <w:szCs w:val="28"/>
          <w:lang w:val="en-US" w:eastAsia="zh-CN"/>
        </w:rPr>
      </w:pPr>
      <w:r>
        <w:rPr>
          <w:rFonts w:hint="eastAsia" w:ascii="仿宋" w:hAnsi="仿宋" w:eastAsia="仿宋"/>
          <w:sz w:val="28"/>
          <w:szCs w:val="28"/>
        </w:rPr>
        <w:t>（九）、</w:t>
      </w:r>
      <w:r>
        <w:fldChar w:fldCharType="begin"/>
      </w:r>
      <w:r>
        <w:instrText xml:space="preserve"> HYPERLINK \l "_Toc15396627" </w:instrText>
      </w:r>
      <w:r>
        <w:fldChar w:fldCharType="separate"/>
      </w:r>
      <w:r>
        <w:rPr>
          <w:rFonts w:hint="eastAsia" w:ascii="仿宋" w:hAnsi="仿宋" w:eastAsia="仿宋"/>
          <w:sz w:val="28"/>
          <w:szCs w:val="28"/>
        </w:rPr>
        <w:t>一般公共预算财政拨款项目支出决算表</w:t>
      </w:r>
      <w:r>
        <w:rPr>
          <w:rFonts w:ascii="仿宋" w:hAnsi="仿宋" w:eastAsia="仿宋"/>
          <w:sz w:val="28"/>
          <w:szCs w:val="28"/>
        </w:rPr>
        <w:tab/>
      </w:r>
      <w:r>
        <w:rPr>
          <w:rFonts w:hint="eastAsia" w:ascii="仿宋" w:hAnsi="仿宋" w:eastAsia="仿宋"/>
          <w:sz w:val="28"/>
          <w:szCs w:val="28"/>
          <w:lang w:val="en-US" w:eastAsia="zh-CN"/>
        </w:rPr>
        <w:t>3</w:t>
      </w:r>
      <w:r>
        <w:rPr>
          <w:rFonts w:hint="eastAsia" w:ascii="仿宋" w:hAnsi="仿宋" w:eastAsia="仿宋"/>
          <w:sz w:val="28"/>
          <w:szCs w:val="28"/>
        </w:rPr>
        <w:fldChar w:fldCharType="end"/>
      </w:r>
      <w:r>
        <w:rPr>
          <w:rFonts w:hint="eastAsia" w:ascii="仿宋" w:hAnsi="仿宋" w:eastAsia="仿宋"/>
          <w:sz w:val="28"/>
          <w:szCs w:val="28"/>
          <w:lang w:val="en-US" w:eastAsia="zh-CN"/>
        </w:rPr>
        <w:t>1</w:t>
      </w:r>
    </w:p>
    <w:p>
      <w:pPr>
        <w:pStyle w:val="13"/>
        <w:spacing w:line="576" w:lineRule="exact"/>
        <w:rPr>
          <w:rFonts w:hint="eastAsia" w:eastAsia="仿宋" w:asciiTheme="minorEastAsia" w:hAnsiTheme="minorEastAsia" w:cstheme="minorEastAsia"/>
          <w:sz w:val="24"/>
          <w:lang w:val="en-US" w:eastAsia="zh-CN"/>
        </w:rPr>
      </w:pPr>
      <w:r>
        <w:rPr>
          <w:rFonts w:hint="eastAsia" w:ascii="仿宋" w:hAnsi="仿宋" w:eastAsia="仿宋"/>
          <w:sz w:val="28"/>
          <w:szCs w:val="28"/>
        </w:rPr>
        <w:t>（十）、</w:t>
      </w:r>
      <w:r>
        <w:fldChar w:fldCharType="begin"/>
      </w:r>
      <w:r>
        <w:instrText xml:space="preserve"> HYPERLINK \l "_Toc15396628" </w:instrText>
      </w:r>
      <w:r>
        <w:fldChar w:fldCharType="separate"/>
      </w:r>
      <w:r>
        <w:rPr>
          <w:rFonts w:hint="eastAsia" w:ascii="仿宋" w:hAnsi="仿宋" w:eastAsia="仿宋"/>
          <w:sz w:val="28"/>
          <w:szCs w:val="28"/>
        </w:rPr>
        <w:t>一般公共预算财政拨款“三公”经费支出决算表</w:t>
      </w:r>
      <w:r>
        <w:rPr>
          <w:rFonts w:ascii="仿宋" w:hAnsi="仿宋" w:eastAsia="仿宋"/>
          <w:sz w:val="28"/>
          <w:szCs w:val="28"/>
        </w:rPr>
        <w:tab/>
      </w:r>
      <w:r>
        <w:rPr>
          <w:rFonts w:hint="eastAsia" w:ascii="仿宋" w:hAnsi="仿宋" w:eastAsia="仿宋"/>
          <w:sz w:val="28"/>
          <w:szCs w:val="28"/>
          <w:lang w:val="en-US" w:eastAsia="zh-CN"/>
        </w:rPr>
        <w:t>3</w:t>
      </w:r>
      <w:r>
        <w:rPr>
          <w:rFonts w:hint="eastAsia" w:ascii="仿宋" w:hAnsi="仿宋" w:eastAsia="仿宋"/>
          <w:sz w:val="28"/>
          <w:szCs w:val="28"/>
        </w:rPr>
        <w:fldChar w:fldCharType="end"/>
      </w:r>
      <w:r>
        <w:rPr>
          <w:rFonts w:hint="eastAsia" w:ascii="仿宋" w:hAnsi="仿宋" w:eastAsia="仿宋"/>
          <w:sz w:val="28"/>
          <w:szCs w:val="28"/>
          <w:lang w:val="en-US" w:eastAsia="zh-CN"/>
        </w:rPr>
        <w:t>1</w:t>
      </w:r>
    </w:p>
    <w:p>
      <w:pPr>
        <w:pStyle w:val="13"/>
        <w:spacing w:line="576" w:lineRule="exact"/>
        <w:rPr>
          <w:rFonts w:hint="default" w:ascii="仿宋" w:hAnsi="仿宋" w:eastAsia="仿宋"/>
          <w:sz w:val="28"/>
          <w:szCs w:val="28"/>
          <w:lang w:val="en-US" w:eastAsia="zh-CN"/>
        </w:rPr>
      </w:pPr>
      <w:r>
        <w:rPr>
          <w:rFonts w:hint="eastAsia" w:ascii="仿宋" w:hAnsi="仿宋" w:eastAsia="仿宋"/>
          <w:sz w:val="28"/>
          <w:szCs w:val="28"/>
        </w:rPr>
        <w:t>(十一)、政府性基金预算财政拨款收入支出决算表</w:t>
      </w:r>
      <w:r>
        <w:rPr>
          <w:rFonts w:ascii="仿宋" w:hAnsi="仿宋" w:eastAsia="仿宋"/>
          <w:sz w:val="28"/>
          <w:szCs w:val="28"/>
        </w:rPr>
        <w:tab/>
      </w:r>
      <w:r>
        <w:rPr>
          <w:rFonts w:hint="eastAsia" w:ascii="仿宋" w:hAnsi="仿宋" w:eastAsia="仿宋"/>
          <w:sz w:val="28"/>
          <w:szCs w:val="28"/>
          <w:lang w:val="en-US" w:eastAsia="zh-CN"/>
        </w:rPr>
        <w:t>31</w:t>
      </w:r>
    </w:p>
    <w:p>
      <w:pPr>
        <w:pStyle w:val="13"/>
        <w:spacing w:line="576" w:lineRule="exact"/>
        <w:rPr>
          <w:rFonts w:hint="default" w:eastAsia="仿宋" w:asciiTheme="minorEastAsia" w:hAnsiTheme="minorEastAsia" w:cstheme="minorEastAsia"/>
          <w:sz w:val="24"/>
          <w:lang w:val="en-US" w:eastAsia="zh-CN"/>
        </w:rPr>
      </w:pPr>
      <w:r>
        <w:rPr>
          <w:rFonts w:hint="eastAsia" w:ascii="仿宋" w:hAnsi="仿宋" w:eastAsia="仿宋"/>
          <w:sz w:val="28"/>
          <w:szCs w:val="28"/>
        </w:rPr>
        <w:t>(十二)、政府性基金预算财政拨款“三公”经费支出决算</w:t>
      </w:r>
      <w:r>
        <w:rPr>
          <w:rFonts w:hint="eastAsia" w:asciiTheme="minorEastAsia" w:hAnsiTheme="minorEastAsia" w:eastAsiaTheme="minorEastAsia" w:cstheme="minorEastAsia"/>
          <w:sz w:val="24"/>
        </w:rPr>
        <w:t>表</w:t>
      </w:r>
      <w:r>
        <w:rPr>
          <w:rFonts w:ascii="仿宋" w:hAnsi="仿宋" w:eastAsia="仿宋"/>
          <w:sz w:val="28"/>
          <w:szCs w:val="28"/>
        </w:rPr>
        <w:tab/>
      </w:r>
      <w:r>
        <w:rPr>
          <w:rFonts w:hint="eastAsia" w:ascii="仿宋" w:hAnsi="仿宋" w:eastAsia="仿宋"/>
          <w:sz w:val="28"/>
          <w:szCs w:val="28"/>
          <w:lang w:val="en-US" w:eastAsia="zh-CN"/>
        </w:rPr>
        <w:t>31</w:t>
      </w:r>
    </w:p>
    <w:p>
      <w:pPr>
        <w:pStyle w:val="13"/>
        <w:spacing w:line="576" w:lineRule="exact"/>
        <w:rPr>
          <w:rFonts w:hint="default" w:ascii="仿宋" w:hAnsi="仿宋" w:eastAsia="仿宋"/>
          <w:sz w:val="28"/>
          <w:szCs w:val="28"/>
          <w:lang w:val="en-US" w:eastAsia="zh-CN"/>
        </w:rPr>
      </w:pPr>
      <w:r>
        <w:rPr>
          <w:rFonts w:hint="eastAsia" w:ascii="仿宋" w:hAnsi="仿宋" w:eastAsia="仿宋"/>
          <w:sz w:val="28"/>
          <w:szCs w:val="28"/>
        </w:rPr>
        <w:t>(十三)、国有资本经营预算财政拨款收入支出决算表</w:t>
      </w:r>
      <w:r>
        <w:rPr>
          <w:rFonts w:ascii="仿宋" w:hAnsi="仿宋" w:eastAsia="仿宋"/>
          <w:sz w:val="28"/>
          <w:szCs w:val="28"/>
        </w:rPr>
        <w:tab/>
      </w:r>
      <w:r>
        <w:rPr>
          <w:rFonts w:hint="eastAsia" w:ascii="仿宋" w:hAnsi="仿宋" w:eastAsia="仿宋"/>
          <w:sz w:val="28"/>
          <w:szCs w:val="28"/>
          <w:lang w:val="en-US" w:eastAsia="zh-CN"/>
        </w:rPr>
        <w:t>31</w:t>
      </w:r>
    </w:p>
    <w:p>
      <w:pPr>
        <w:pStyle w:val="13"/>
        <w:spacing w:line="576" w:lineRule="exact"/>
        <w:rPr>
          <w:rFonts w:hint="default" w:ascii="仿宋" w:hAnsi="仿宋" w:eastAsia="仿宋"/>
          <w:sz w:val="28"/>
          <w:szCs w:val="28"/>
          <w:lang w:val="en-US" w:eastAsia="zh-CN"/>
        </w:rPr>
      </w:pPr>
      <w:r>
        <w:rPr>
          <w:rFonts w:hint="eastAsia" w:ascii="仿宋" w:hAnsi="仿宋" w:eastAsia="仿宋"/>
          <w:sz w:val="28"/>
          <w:szCs w:val="28"/>
        </w:rPr>
        <w:t>(十四)、国有资本经营预算财政拨款支出决算表</w:t>
      </w:r>
      <w:r>
        <w:rPr>
          <w:rFonts w:ascii="仿宋" w:hAnsi="仿宋" w:eastAsia="仿宋"/>
          <w:sz w:val="28"/>
          <w:szCs w:val="28"/>
        </w:rPr>
        <w:tab/>
      </w:r>
      <w:r>
        <w:rPr>
          <w:rFonts w:hint="eastAsia" w:ascii="仿宋" w:hAnsi="仿宋" w:eastAsia="仿宋"/>
          <w:sz w:val="28"/>
          <w:szCs w:val="28"/>
          <w:lang w:val="en-US" w:eastAsia="zh-CN"/>
        </w:rPr>
        <w:t>31</w:t>
      </w:r>
    </w:p>
    <w:p>
      <w:pPr>
        <w:widowControl/>
        <w:spacing w:line="576" w:lineRule="exac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numPr>
          <w:ilvl w:val="0"/>
          <w:numId w:val="1"/>
        </w:numPr>
        <w:spacing w:line="576" w:lineRule="exact"/>
        <w:jc w:val="center"/>
      </w:pPr>
      <w:r>
        <w:rPr>
          <w:rStyle w:val="27"/>
          <w:rFonts w:hint="eastAsia" w:ascii="方正小标宋简体" w:hAnsi="方正小标宋简体" w:eastAsia="方正小标宋简体" w:cs="方正小标宋简体"/>
          <w:b w:val="0"/>
          <w:bCs w:val="0"/>
        </w:rPr>
        <w:t>部门概况</w:t>
      </w:r>
      <w:bookmarkEnd w:id="12"/>
      <w:bookmarkEnd w:id="13"/>
    </w:p>
    <w:p>
      <w:pPr>
        <w:pStyle w:val="2"/>
        <w:spacing w:before="93"/>
      </w:pPr>
    </w:p>
    <w:p>
      <w:pPr>
        <w:spacing w:line="576" w:lineRule="exact"/>
        <w:ind w:firstLine="640" w:firstLineChars="200"/>
        <w:rPr>
          <w:rStyle w:val="28"/>
          <w:rFonts w:ascii="仿宋" w:hAnsi="仿宋" w:eastAsia="仿宋"/>
          <w:b w:val="0"/>
          <w:bCs w:val="0"/>
        </w:rPr>
      </w:pPr>
      <w:bookmarkStart w:id="14" w:name="_Toc15377197"/>
      <w:bookmarkStart w:id="15" w:name="_Toc15396600"/>
      <w:r>
        <w:rPr>
          <w:rFonts w:hint="eastAsia" w:ascii="黑体" w:hAnsi="黑体" w:eastAsia="黑体"/>
          <w:sz w:val="32"/>
          <w:szCs w:val="32"/>
          <w:lang w:val="en-US" w:eastAsia="zh-CN"/>
        </w:rPr>
        <w:t>一、</w:t>
      </w:r>
      <w:r>
        <w:rPr>
          <w:rFonts w:hint="eastAsia" w:ascii="黑体" w:hAnsi="黑体" w:eastAsia="黑体"/>
          <w:sz w:val="32"/>
          <w:szCs w:val="32"/>
        </w:rPr>
        <w:t>基</w:t>
      </w:r>
      <w:r>
        <w:rPr>
          <w:rStyle w:val="28"/>
          <w:rFonts w:hint="eastAsia" w:ascii="黑体" w:hAnsi="黑体" w:eastAsia="黑体"/>
          <w:b w:val="0"/>
          <w:bCs w:val="0"/>
        </w:rPr>
        <w:t>本职能及主要工作</w:t>
      </w:r>
      <w:bookmarkEnd w:id="14"/>
      <w:bookmarkEnd w:id="15"/>
    </w:p>
    <w:p>
      <w:pPr>
        <w:pStyle w:val="2"/>
        <w:adjustRightInd w:val="0"/>
        <w:snapToGrid w:val="0"/>
        <w:spacing w:before="93" w:line="576" w:lineRule="exact"/>
        <w:ind w:firstLine="672" w:firstLineChars="210"/>
        <w:rPr>
          <w:rFonts w:ascii="仿宋" w:hAnsi="仿宋" w:eastAsia="仿宋"/>
          <w:bCs/>
          <w:sz w:val="32"/>
          <w:szCs w:val="32"/>
        </w:rPr>
      </w:pPr>
      <w:bookmarkStart w:id="16" w:name="_Toc15377198"/>
      <w:bookmarkStart w:id="17" w:name="_Toc15378445"/>
      <w:r>
        <w:rPr>
          <w:rFonts w:hint="eastAsia" w:ascii="仿宋" w:hAnsi="仿宋" w:eastAsia="仿宋"/>
          <w:bCs/>
          <w:sz w:val="32"/>
          <w:szCs w:val="32"/>
        </w:rPr>
        <w:t>（一）主要职能。</w:t>
      </w:r>
      <w:bookmarkEnd w:id="16"/>
      <w:bookmarkEnd w:id="17"/>
    </w:p>
    <w:p>
      <w:pPr>
        <w:pStyle w:val="2"/>
        <w:adjustRightInd w:val="0"/>
        <w:snapToGrid w:val="0"/>
        <w:spacing w:beforeLines="0" w:line="576" w:lineRule="exact"/>
        <w:ind w:firstLine="672" w:firstLineChars="210"/>
        <w:rPr>
          <w:rFonts w:ascii="仿宋" w:hAnsi="仿宋" w:eastAsia="仿宋"/>
          <w:bCs/>
          <w:sz w:val="32"/>
          <w:szCs w:val="32"/>
        </w:rPr>
      </w:pPr>
      <w:r>
        <w:rPr>
          <w:rFonts w:hint="eastAsia" w:hAnsi="楷体_GB2312" w:cs="楷体_GB2312"/>
          <w:color w:val="000000"/>
          <w:sz w:val="32"/>
          <w:szCs w:val="32"/>
        </w:rPr>
        <w:t>主要职责为：负责辖区内党建、基层党组织建设、宣传、精准扶贫、农林畜牧、安全生产、信访维稳、项目建设、房屋征收与补偿、计划生育、民政、劳动就业、社会保障、环境保护等工作。</w:t>
      </w:r>
    </w:p>
    <w:p>
      <w:pPr>
        <w:pStyle w:val="2"/>
        <w:adjustRightInd w:val="0"/>
        <w:snapToGrid w:val="0"/>
        <w:spacing w:before="93" w:line="576" w:lineRule="exact"/>
        <w:ind w:firstLine="672" w:firstLineChars="210"/>
        <w:rPr>
          <w:rFonts w:ascii="仿宋" w:hAnsi="仿宋" w:eastAsia="仿宋"/>
          <w:bCs/>
          <w:sz w:val="32"/>
          <w:szCs w:val="32"/>
        </w:rPr>
      </w:pPr>
      <w:bookmarkStart w:id="18" w:name="_Toc15378446"/>
      <w:bookmarkStart w:id="19" w:name="_Toc15377199"/>
      <w:r>
        <w:rPr>
          <w:rFonts w:hint="eastAsia" w:ascii="仿宋" w:hAnsi="仿宋" w:eastAsia="仿宋"/>
          <w:bCs/>
          <w:sz w:val="32"/>
          <w:szCs w:val="32"/>
        </w:rPr>
        <w:t>（二）</w:t>
      </w:r>
      <w:r>
        <w:rPr>
          <w:rFonts w:ascii="仿宋" w:hAnsi="仿宋" w:eastAsia="仿宋"/>
          <w:bCs/>
          <w:sz w:val="32"/>
          <w:szCs w:val="32"/>
        </w:rPr>
        <w:t>20</w:t>
      </w:r>
      <w:r>
        <w:rPr>
          <w:rFonts w:hint="eastAsia" w:ascii="仿宋" w:hAnsi="仿宋" w:eastAsia="仿宋"/>
          <w:bCs/>
          <w:sz w:val="32"/>
          <w:szCs w:val="32"/>
        </w:rPr>
        <w:t>21年重点工作完成情况。</w:t>
      </w:r>
      <w:bookmarkEnd w:id="18"/>
      <w:bookmarkEnd w:id="19"/>
    </w:p>
    <w:p>
      <w:pPr>
        <w:spacing w:line="576" w:lineRule="exact"/>
        <w:ind w:firstLine="640" w:firstLineChars="20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2021年，在区党工委、管委会的坚强领导下，石龙街道坚持以习近平新时代中国特色社会主义思想为指导，深入学习贯彻党的十九大及十九届二中、三中、四中、五中、六中全会精神，以庆祝中国共产党成立100周年为契机，以为“十四五”开好局、起好步添动力，增强“四个意识”，坚定“四个自信”，做到“两个维护”紧紧围绕。各项工作和目标任务，主动作为、开拓创新、求真务实，以“硬作风”完成了“硬任务”。获广元市委、市政府“2020年度项目投资先进集体”、全区“抗击新冠肺炎疫情先进集体”称号。</w:t>
      </w:r>
    </w:p>
    <w:p>
      <w:pPr>
        <w:spacing w:line="576" w:lineRule="exact"/>
        <w:ind w:firstLine="640" w:firstLineChars="200"/>
        <w:rPr>
          <w:rFonts w:ascii="黑体" w:hAnsi="黑体" w:eastAsia="黑体" w:cs="黑体"/>
          <w:bCs/>
          <w:color w:val="000000"/>
          <w:sz w:val="32"/>
          <w:szCs w:val="32"/>
        </w:rPr>
      </w:pPr>
      <w:r>
        <w:rPr>
          <w:rFonts w:hint="eastAsia" w:ascii="黑体" w:hAnsi="黑体" w:eastAsia="黑体" w:cs="黑体"/>
          <w:bCs/>
          <w:color w:val="000000"/>
          <w:sz w:val="32"/>
          <w:szCs w:val="32"/>
          <w:shd w:val="clear" w:color="auto" w:fill="FFFFFF"/>
        </w:rPr>
        <w:t>一、2021年工作回顾</w:t>
      </w:r>
    </w:p>
    <w:p>
      <w:pPr>
        <w:spacing w:line="576" w:lineRule="exact"/>
        <w:ind w:firstLine="640" w:firstLineChars="200"/>
        <w:rPr>
          <w:rFonts w:ascii="仿宋_GB2312" w:hAnsi="仿宋_GB2312" w:eastAsia="仿宋_GB2312" w:cs="仿宋_GB2312"/>
          <w:color w:val="000000"/>
          <w:kern w:val="0"/>
          <w:sz w:val="32"/>
          <w:szCs w:val="32"/>
          <w:shd w:val="clear" w:color="auto" w:fill="FFFFFF"/>
        </w:rPr>
      </w:pPr>
      <w:r>
        <w:rPr>
          <w:rFonts w:hint="eastAsia" w:ascii="楷体" w:hAnsi="楷体" w:eastAsia="楷体" w:cs="楷体"/>
          <w:bCs/>
          <w:color w:val="000000"/>
          <w:kern w:val="0"/>
          <w:sz w:val="32"/>
          <w:szCs w:val="32"/>
          <w:shd w:val="clear" w:color="auto" w:fill="FFFFFF"/>
        </w:rPr>
        <w:t>一是党史教育抓实</w:t>
      </w:r>
      <w:r>
        <w:rPr>
          <w:rFonts w:hint="eastAsia" w:ascii="仿宋_GB2312" w:hAnsi="仿宋_GB2312" w:eastAsia="仿宋_GB2312" w:cs="仿宋_GB2312"/>
          <w:bCs/>
          <w:color w:val="000000"/>
          <w:kern w:val="0"/>
          <w:sz w:val="32"/>
          <w:szCs w:val="32"/>
          <w:shd w:val="clear" w:color="auto" w:fill="FFFFFF"/>
        </w:rPr>
        <w:t>。</w:t>
      </w:r>
      <w:r>
        <w:rPr>
          <w:rFonts w:hint="eastAsia" w:ascii="仿宋_GB2312" w:hAnsi="仿宋_GB2312" w:eastAsia="仿宋_GB2312" w:cs="仿宋_GB2312"/>
          <w:color w:val="000000"/>
          <w:kern w:val="0"/>
          <w:sz w:val="32"/>
          <w:szCs w:val="32"/>
          <w:shd w:val="clear" w:color="auto" w:fill="FFFFFF"/>
        </w:rPr>
        <w:t>发放习近平《论中国共产党历史》《毛泽东、邓小平、江泽民、胡锦涛关于中国共产党历史论述摘编》《中国共产党简史》等书60多套，开展专题学习20次，集中讨论16次。撰写学习心得体会56篇，撰写调研报告5篇，讲党课15次，创新开展了党史学习教育“十个一”活动，组织1300多名党员和居民观看了《跨过鸭绿江》《长津湖》《杀出重围》等红色影片。制定了“我为群众办实事”清单和方案，大力推进供水管网建设、危桥修复、道路硬化、地质灾害整治等民生实事173件，已完成148件，占全部民生实事的86%。</w:t>
      </w:r>
      <w:r>
        <w:rPr>
          <w:rFonts w:hint="eastAsia" w:ascii="仿宋_GB2312" w:hAnsi="仿宋_GB2312" w:eastAsia="仿宋_GB2312" w:cs="仿宋_GB2312"/>
          <w:color w:val="000000"/>
          <w:sz w:val="32"/>
          <w:szCs w:val="32"/>
          <w:shd w:val="clear" w:color="auto" w:fill="FFFFFF"/>
        </w:rPr>
        <w:t>86岁老党员、军转干部魏代厚向河南灾区捐款1万元。</w:t>
      </w:r>
    </w:p>
    <w:p>
      <w:pPr>
        <w:spacing w:line="576" w:lineRule="exact"/>
        <w:ind w:firstLine="640" w:firstLineChars="200"/>
        <w:rPr>
          <w:rFonts w:ascii="仿宋_GB2312" w:hAnsi="仿宋_GB2312" w:eastAsia="仿宋_GB2312" w:cs="仿宋_GB2312"/>
          <w:color w:val="000000"/>
          <w:kern w:val="0"/>
          <w:sz w:val="32"/>
          <w:szCs w:val="32"/>
          <w:shd w:val="clear" w:color="auto" w:fill="FFFFFF"/>
        </w:rPr>
      </w:pPr>
      <w:r>
        <w:rPr>
          <w:rFonts w:hint="eastAsia" w:ascii="楷体" w:hAnsi="楷体" w:eastAsia="楷体" w:cs="楷体"/>
          <w:bCs/>
          <w:color w:val="000000"/>
          <w:kern w:val="0"/>
          <w:sz w:val="32"/>
          <w:szCs w:val="32"/>
          <w:shd w:val="clear" w:color="auto" w:fill="FFFFFF"/>
        </w:rPr>
        <w:t>二是项目投资抓好。</w:t>
      </w:r>
      <w:r>
        <w:rPr>
          <w:rFonts w:hint="eastAsia" w:ascii="仿宋_GB2312" w:hAnsi="仿宋_GB2312" w:eastAsia="仿宋_GB2312" w:cs="仿宋_GB2312"/>
          <w:color w:val="000000"/>
          <w:kern w:val="0"/>
          <w:sz w:val="32"/>
          <w:szCs w:val="32"/>
          <w:shd w:val="clear" w:color="auto" w:fill="FFFFFF"/>
        </w:rPr>
        <w:t>高效推进坪雾限价商品房项目、白龙江左岸防洪堤工程、坪雾路网工程、白龙湖小分子水二期、石龙污水支管网建设等项目建设。我市首家村级化妆品企业广元玉风化妆品有限公司玫瑰水润精华乳、玫瑰洁面慕斯、玫瑰甜橙复方精油、玫瑰补水面膜、大马士革玫瑰纯露等6款系列化妆品投产，年产值达30万元以上。摆宴坝嘉陵江大桥目前已完成工程总量的80%。截止9月底，全办完成固投15.7538亿元，占全年固投任务的81.37%，居全区4个镇办第一位。王鹏获全市“2020年度项目投资先进个人”称号。</w:t>
      </w:r>
    </w:p>
    <w:p>
      <w:pPr>
        <w:spacing w:line="576" w:lineRule="exact"/>
        <w:ind w:firstLine="640" w:firstLineChars="200"/>
        <w:rPr>
          <w:rFonts w:ascii="仿宋_GB2312" w:hAnsi="仿宋_GB2312" w:eastAsia="仿宋_GB2312" w:cs="仿宋_GB2312"/>
          <w:bCs/>
          <w:color w:val="000000"/>
          <w:kern w:val="0"/>
          <w:sz w:val="32"/>
          <w:szCs w:val="32"/>
          <w:shd w:val="clear" w:color="auto" w:fill="FFFFFF"/>
        </w:rPr>
      </w:pPr>
      <w:r>
        <w:rPr>
          <w:rFonts w:hint="eastAsia" w:ascii="楷体" w:hAnsi="楷体" w:eastAsia="楷体" w:cs="楷体"/>
          <w:bCs/>
          <w:color w:val="000000"/>
          <w:kern w:val="0"/>
          <w:sz w:val="32"/>
          <w:szCs w:val="32"/>
          <w:shd w:val="clear" w:color="auto" w:fill="FFFFFF"/>
        </w:rPr>
        <w:t>三是纪律作风抓严</w:t>
      </w:r>
      <w:r>
        <w:rPr>
          <w:rFonts w:hint="eastAsia" w:ascii="仿宋_GB2312" w:hAnsi="仿宋_GB2312" w:eastAsia="仿宋_GB2312" w:cs="仿宋_GB2312"/>
          <w:bCs/>
          <w:color w:val="000000"/>
          <w:kern w:val="0"/>
          <w:sz w:val="32"/>
          <w:szCs w:val="32"/>
          <w:shd w:val="clear" w:color="auto" w:fill="FFFFFF"/>
        </w:rPr>
        <w:t>。</w:t>
      </w:r>
      <w:r>
        <w:rPr>
          <w:rFonts w:hint="eastAsia" w:ascii="仿宋_GB2312" w:hAnsi="仿宋_GB2312" w:eastAsia="仿宋_GB2312" w:cs="仿宋_GB2312"/>
          <w:color w:val="000000"/>
          <w:kern w:val="0"/>
          <w:sz w:val="32"/>
          <w:szCs w:val="32"/>
          <w:shd w:val="clear" w:color="auto" w:fill="FFFFFF"/>
        </w:rPr>
        <w:t>坚持把巡察整改作为第一“政治考题”，召开了</w:t>
      </w:r>
      <w:r>
        <w:rPr>
          <w:rFonts w:hint="eastAsia" w:ascii="仿宋_GB2312" w:hAnsi="仿宋_GB2312" w:eastAsia="仿宋_GB2312" w:cs="仿宋_GB2312"/>
          <w:bCs/>
          <w:color w:val="000000"/>
          <w:kern w:val="0"/>
          <w:sz w:val="32"/>
          <w:szCs w:val="32"/>
          <w:shd w:val="clear" w:color="auto" w:fill="FFFFFF"/>
        </w:rPr>
        <w:t>专题民主生活会，对省市委巡视组反馈的8个问题进行了整改</w:t>
      </w:r>
      <w:r>
        <w:rPr>
          <w:rFonts w:hint="eastAsia" w:ascii="仿宋_GB2312" w:hAnsi="仿宋_GB2312" w:eastAsia="仿宋_GB2312" w:cs="仿宋_GB2312"/>
          <w:color w:val="000000"/>
          <w:kern w:val="0"/>
          <w:sz w:val="32"/>
          <w:szCs w:val="32"/>
          <w:shd w:val="clear" w:color="auto" w:fill="FFFFFF"/>
        </w:rPr>
        <w:t>，切实做到问题不见底不放过、解决不彻底不松手、整改不到位不罢休，并在区微信公众号亮单晒诺，切实把整改转化为改进作风的实际行动。重点查找粗枝大叶、“小马虎”、标准不高、浮于表面、办事拖沓、效率低下、形式主义、官僚主义以及小进即满、不思进取等问题。排查问题245条，立行立改193条，剩余52条力争年底整改完成。督导检查纪律作风33次，发出督查通报2期。选派了5名营商环境监督员深入企业为营商环境“挑刺”，梳理并帮助解决了停水停电等6个问题。</w:t>
      </w:r>
    </w:p>
    <w:p>
      <w:pPr>
        <w:spacing w:line="576" w:lineRule="exact"/>
        <w:ind w:firstLine="640" w:firstLineChars="200"/>
        <w:rPr>
          <w:rFonts w:ascii="仿宋_GB2312" w:hAnsi="仿宋_GB2312" w:eastAsia="仿宋_GB2312" w:cs="仿宋_GB2312"/>
          <w:color w:val="000000"/>
          <w:kern w:val="0"/>
          <w:sz w:val="32"/>
          <w:szCs w:val="32"/>
          <w:shd w:val="clear" w:color="auto" w:fill="FFFFFF"/>
        </w:rPr>
      </w:pPr>
      <w:r>
        <w:rPr>
          <w:rFonts w:hint="eastAsia" w:ascii="楷体" w:hAnsi="楷体" w:eastAsia="楷体" w:cs="楷体"/>
          <w:bCs/>
          <w:color w:val="000000"/>
          <w:kern w:val="0"/>
          <w:sz w:val="32"/>
          <w:szCs w:val="32"/>
          <w:shd w:val="clear" w:color="auto" w:fill="FFFFFF"/>
        </w:rPr>
        <w:t>四是民生改善抓紧。</w:t>
      </w:r>
      <w:r>
        <w:rPr>
          <w:rFonts w:hint="eastAsia" w:ascii="仿宋_GB2312" w:hAnsi="仿宋_GB2312" w:eastAsia="仿宋_GB2312" w:cs="仿宋_GB2312"/>
          <w:color w:val="000000"/>
          <w:kern w:val="0"/>
          <w:sz w:val="32"/>
          <w:szCs w:val="32"/>
          <w:shd w:val="clear" w:color="auto" w:fill="FFFFFF"/>
        </w:rPr>
        <w:t>聚焦群众的痛点、堵点、难点，接待来访群众4000余人次，办结便民服务事项4000余件。成功处理劳动投诉案件6起，涉及金额22余万元。启动肖家村、坪雾社区自来水管网建设、摆宴村700米主村道修复。白龙社区1000多米污水管网新建等民生项目，受益群众4250余人。在白龙社区开办了邮政快递驿站，解决了1730余名群众“取货难”问题。协调兑付了摆宴村长达8年的土地产值款309.34万元，辖区年内251名60岁以上老人得到转非安置，每人每月可领到1500元退休金。出动党员志愿者32批1000多人次，开展全方位城乡环境综合整治。常态化开展疫情防控，接种笫一针7117人，笫二针7117人，加强针51人。</w:t>
      </w:r>
    </w:p>
    <w:p>
      <w:pPr>
        <w:spacing w:line="576" w:lineRule="exact"/>
        <w:ind w:firstLine="640" w:firstLineChars="200"/>
        <w:rPr>
          <w:rFonts w:ascii="仿宋_GB2312" w:hAnsi="仿宋_GB2312" w:eastAsia="仿宋_GB2312" w:cs="仿宋_GB2312"/>
          <w:color w:val="000000"/>
          <w:kern w:val="0"/>
          <w:sz w:val="32"/>
          <w:szCs w:val="32"/>
          <w:shd w:val="clear" w:color="auto" w:fill="FFFFFF"/>
        </w:rPr>
      </w:pPr>
      <w:r>
        <w:rPr>
          <w:rFonts w:hint="eastAsia" w:ascii="楷体" w:hAnsi="楷体" w:eastAsia="楷体" w:cs="楷体"/>
          <w:bCs/>
          <w:color w:val="000000"/>
          <w:kern w:val="0"/>
          <w:sz w:val="32"/>
          <w:szCs w:val="32"/>
          <w:shd w:val="clear" w:color="auto" w:fill="FFFFFF"/>
        </w:rPr>
        <w:t>五是安全维稳抓牢。</w:t>
      </w:r>
      <w:r>
        <w:rPr>
          <w:rFonts w:hint="eastAsia" w:ascii="仿宋_GB2312" w:hAnsi="仿宋_GB2312" w:eastAsia="仿宋_GB2312" w:cs="仿宋_GB2312"/>
          <w:color w:val="000000"/>
          <w:kern w:val="0"/>
          <w:sz w:val="32"/>
          <w:szCs w:val="32"/>
          <w:shd w:val="clear" w:color="auto" w:fill="FFFFFF"/>
        </w:rPr>
        <w:t>制定了《石龙街道安全生产事故责任追究制度》，制发了辖区防汛抗旱、防火、消防工作实施方案和应急抢险工作预案，与7个村（社区）和辖区各企事单位签订了安全目标责任书。开展企业安全检查30余次，安全知识宣传15次，对5个存在突出问题的企业进行了动态管控。农村10桌以上家宴备案率达100%。受理省市区转办件8件，接待信访群众30余人次，慰问困难退役军人、80岁以上退役军人53名。处理12345政务热线电话投诉件50件。大力开展“治重化积”专项治理，云杉纸业法人代表曹某、白龙社区宫某英、李某秀等人息访息诉。全年无到省进京越级上访。劳特巴赫获“全市先进基层调解组织”称号，指导王庭虎获“全市优秀基层调解员”称号，并代表优秀基层调解员在市上作经验交流发言。</w:t>
      </w:r>
    </w:p>
    <w:p>
      <w:pPr>
        <w:spacing w:line="576"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楷体" w:hAnsi="楷体" w:eastAsia="楷体" w:cs="楷体"/>
          <w:bCs/>
          <w:color w:val="000000"/>
          <w:kern w:val="0"/>
          <w:sz w:val="32"/>
          <w:szCs w:val="32"/>
          <w:shd w:val="clear" w:color="auto" w:fill="FFFFFF"/>
        </w:rPr>
        <w:t>六是党建工作抓准。</w:t>
      </w:r>
      <w:r>
        <w:rPr>
          <w:rFonts w:hint="eastAsia" w:ascii="仿宋_GB2312" w:hAnsi="仿宋_GB2312" w:eastAsia="仿宋_GB2312" w:cs="仿宋_GB2312"/>
          <w:color w:val="000000"/>
          <w:kern w:val="0"/>
          <w:sz w:val="32"/>
          <w:szCs w:val="32"/>
          <w:shd w:val="clear" w:color="auto" w:fill="FFFFFF"/>
        </w:rPr>
        <w:t>开展了建党100周年系列庆祝活动，发展党员12名，表彰先进基层党组织3个，表彰优秀党员、优秀党务工作者25名。98名老党员获“光荣在党50年”纪念章。始终把加强意识形态工作作为重要政治责任，筑牢思想防线、舆论主线、宣传底线。《用红船精神照亮共产党人的前行之路》《争做新时代出彩党办人》分别参加全市庆祝建党100周年征文和全市党办系统征文。组织党员开展志愿活动25次，参加各级培训200多人次。坪雾社区与盘龙机场开展了结对共建，石门社区关爱老人亮点突出，白龙社区投资23万元完成了阵地亲民化改造及配套设施，双龙、肖家举办了重阳节文艺汇演。在《龙门阵》《晚霞报》《广元日报》发表稿件9篇。《广元要情》上稿1条，市政府官网上稿2条，区《每周要情》上稿13条。《学习强国》发稿2篇，被市委宣传部授予《学习强国》学习平台供稿先进集体。</w:t>
      </w:r>
    </w:p>
    <w:p>
      <w:pPr>
        <w:pStyle w:val="2"/>
        <w:rPr>
          <w:rFonts w:hint="eastAsia" w:ascii="仿宋_GB2312" w:hAnsi="仿宋_GB2312" w:eastAsia="仿宋_GB2312" w:cs="仿宋_GB2312"/>
          <w:color w:val="000000"/>
          <w:kern w:val="0"/>
          <w:sz w:val="32"/>
          <w:szCs w:val="32"/>
          <w:shd w:val="clear" w:color="auto" w:fill="FFFFFF"/>
        </w:rPr>
      </w:pPr>
    </w:p>
    <w:p>
      <w:pPr>
        <w:pStyle w:val="3"/>
        <w:rPr>
          <w:rFonts w:hint="eastAsia" w:ascii="仿宋_GB2312" w:hAnsi="仿宋_GB2312" w:eastAsia="仿宋_GB2312" w:cs="仿宋_GB2312"/>
          <w:color w:val="000000"/>
          <w:kern w:val="0"/>
          <w:sz w:val="32"/>
          <w:szCs w:val="32"/>
          <w:shd w:val="clear" w:color="auto" w:fill="FFFFFF"/>
        </w:rPr>
      </w:pPr>
    </w:p>
    <w:p>
      <w:pPr>
        <w:pStyle w:val="3"/>
        <w:rPr>
          <w:rFonts w:hint="eastAsia" w:ascii="仿宋_GB2312" w:hAnsi="仿宋_GB2312" w:eastAsia="仿宋_GB2312" w:cs="仿宋_GB2312"/>
          <w:color w:val="000000"/>
          <w:kern w:val="0"/>
          <w:sz w:val="32"/>
          <w:szCs w:val="32"/>
          <w:shd w:val="clear" w:color="auto" w:fill="FFFFFF"/>
        </w:rPr>
      </w:pPr>
    </w:p>
    <w:p>
      <w:pPr>
        <w:pStyle w:val="3"/>
        <w:rPr>
          <w:rFonts w:hint="eastAsia" w:ascii="仿宋_GB2312" w:hAnsi="仿宋_GB2312" w:eastAsia="仿宋_GB2312" w:cs="仿宋_GB2312"/>
          <w:color w:val="000000"/>
          <w:kern w:val="0"/>
          <w:sz w:val="32"/>
          <w:szCs w:val="32"/>
          <w:shd w:val="clear" w:color="auto" w:fill="FFFFFF"/>
        </w:rPr>
      </w:pPr>
    </w:p>
    <w:p>
      <w:pPr>
        <w:keepNext/>
        <w:keepLines/>
        <w:numPr>
          <w:ilvl w:val="0"/>
          <w:numId w:val="1"/>
        </w:numPr>
        <w:spacing w:line="576" w:lineRule="exact"/>
        <w:ind w:right="442"/>
        <w:jc w:val="center"/>
        <w:rPr>
          <w:rStyle w:val="27"/>
          <w:rFonts w:ascii="方正小标宋简体" w:hAnsi="方正小标宋简体" w:eastAsia="方正小标宋简体" w:cs="方正小标宋简体"/>
          <w:b w:val="0"/>
        </w:rPr>
      </w:pPr>
      <w:bookmarkStart w:id="20" w:name="_Toc15396602"/>
      <w:bookmarkStart w:id="21" w:name="_Toc15377204"/>
      <w:r>
        <w:rPr>
          <w:rFonts w:hint="eastAsia" w:ascii="方正小标宋简体" w:hAnsi="方正小标宋简体" w:eastAsia="方正小标宋简体" w:cs="方正小标宋简体"/>
          <w:bCs/>
          <w:sz w:val="44"/>
          <w:szCs w:val="44"/>
        </w:rPr>
        <w:t>2021年度</w:t>
      </w:r>
      <w:r>
        <w:rPr>
          <w:rStyle w:val="27"/>
          <w:rFonts w:hint="eastAsia" w:ascii="方正小标宋简体" w:hAnsi="方正小标宋简体" w:eastAsia="方正小标宋简体" w:cs="方正小标宋简体"/>
          <w:b w:val="0"/>
        </w:rPr>
        <w:t>部门决算情况说明</w:t>
      </w:r>
      <w:bookmarkEnd w:id="20"/>
      <w:bookmarkEnd w:id="21"/>
    </w:p>
    <w:p>
      <w:pPr>
        <w:pStyle w:val="2"/>
        <w:spacing w:before="93"/>
      </w:pPr>
    </w:p>
    <w:p>
      <w:pPr>
        <w:pStyle w:val="26"/>
        <w:numPr>
          <w:ilvl w:val="0"/>
          <w:numId w:val="2"/>
        </w:numPr>
        <w:spacing w:line="576" w:lineRule="exact"/>
        <w:ind w:firstLineChars="0"/>
        <w:outlineLvl w:val="1"/>
        <w:rPr>
          <w:rStyle w:val="28"/>
          <w:rFonts w:ascii="黑体" w:hAnsi="黑体" w:eastAsia="黑体"/>
          <w:b w:val="0"/>
        </w:rPr>
      </w:pPr>
      <w:bookmarkStart w:id="22" w:name="_Toc15396603"/>
      <w:bookmarkStart w:id="23" w:name="_Toc15377205"/>
      <w:r>
        <w:rPr>
          <w:rFonts w:hint="eastAsia" w:ascii="黑体" w:hAnsi="黑体" w:eastAsia="黑体"/>
          <w:sz w:val="32"/>
          <w:szCs w:val="32"/>
        </w:rPr>
        <w:t>收</w:t>
      </w:r>
      <w:r>
        <w:rPr>
          <w:rStyle w:val="28"/>
          <w:rFonts w:hint="eastAsia" w:ascii="黑体" w:hAnsi="黑体" w:eastAsia="黑体"/>
          <w:b w:val="0"/>
        </w:rPr>
        <w:t>入支出决算总体情况说明</w:t>
      </w:r>
      <w:bookmarkEnd w:id="22"/>
      <w:bookmarkEnd w:id="23"/>
    </w:p>
    <w:p>
      <w:pPr>
        <w:spacing w:line="576" w:lineRule="exact"/>
        <w:ind w:firstLine="640"/>
        <w:rPr>
          <w:rFonts w:hint="eastAsia" w:ascii="仿宋" w:hAnsi="仿宋" w:eastAsia="仿宋"/>
          <w:sz w:val="32"/>
          <w:szCs w:val="32"/>
          <w:lang w:eastAsia="zh-CN"/>
        </w:rPr>
      </w:pPr>
      <w:r>
        <w:rPr>
          <w:rFonts w:hint="eastAsia" w:ascii="仿宋" w:hAnsi="仿宋" w:eastAsia="仿宋"/>
          <w:sz w:val="32"/>
          <w:szCs w:val="32"/>
        </w:rPr>
        <w:t>2021年度收</w:t>
      </w:r>
      <w:r>
        <w:rPr>
          <w:rFonts w:hint="eastAsia" w:ascii="仿宋" w:hAnsi="仿宋" w:eastAsia="仿宋"/>
          <w:sz w:val="32"/>
          <w:szCs w:val="32"/>
          <w:lang w:eastAsia="zh-CN"/>
        </w:rPr>
        <w:t>入</w:t>
      </w:r>
      <w:r>
        <w:rPr>
          <w:rFonts w:hint="eastAsia" w:ascii="仿宋" w:hAnsi="仿宋" w:eastAsia="仿宋"/>
          <w:sz w:val="32"/>
          <w:szCs w:val="32"/>
        </w:rPr>
        <w:t>总计908.05万元，年初财政调整结余5万元。</w:t>
      </w:r>
      <w:r>
        <w:rPr>
          <w:rFonts w:hint="eastAsia" w:ascii="仿宋" w:hAnsi="仿宋" w:eastAsia="仿宋"/>
          <w:sz w:val="32"/>
          <w:szCs w:val="32"/>
          <w:lang w:val="en-US" w:eastAsia="zh-CN"/>
        </w:rPr>
        <w:t>2021年支出913.05万元。</w:t>
      </w:r>
      <w:r>
        <w:rPr>
          <w:rFonts w:hint="eastAsia" w:ascii="仿宋" w:hAnsi="仿宋" w:eastAsia="仿宋"/>
          <w:sz w:val="32"/>
          <w:szCs w:val="32"/>
        </w:rPr>
        <w:t>与2020年相比，收</w:t>
      </w:r>
      <w:r>
        <w:rPr>
          <w:rFonts w:hint="eastAsia" w:ascii="仿宋" w:hAnsi="仿宋" w:eastAsia="仿宋"/>
          <w:sz w:val="32"/>
          <w:szCs w:val="32"/>
          <w:lang w:val="en-US" w:eastAsia="zh-CN"/>
        </w:rPr>
        <w:t>支</w:t>
      </w:r>
      <w:r>
        <w:rPr>
          <w:rFonts w:hint="eastAsia" w:ascii="仿宋" w:hAnsi="仿宋" w:eastAsia="仿宋"/>
          <w:sz w:val="32"/>
          <w:szCs w:val="32"/>
        </w:rPr>
        <w:t>总计各增加5</w:t>
      </w:r>
      <w:r>
        <w:rPr>
          <w:rFonts w:hint="eastAsia" w:ascii="仿宋" w:hAnsi="仿宋" w:eastAsia="仿宋"/>
          <w:sz w:val="32"/>
          <w:szCs w:val="32"/>
          <w:lang w:val="en-US" w:eastAsia="zh-CN"/>
        </w:rPr>
        <w:t>6</w:t>
      </w:r>
      <w:r>
        <w:rPr>
          <w:rFonts w:hint="eastAsia" w:ascii="仿宋" w:hAnsi="仿宋" w:eastAsia="仿宋"/>
          <w:sz w:val="32"/>
          <w:szCs w:val="32"/>
        </w:rPr>
        <w:t>.66万元，增长6.</w:t>
      </w:r>
      <w:r>
        <w:rPr>
          <w:rFonts w:hint="eastAsia" w:ascii="仿宋" w:hAnsi="仿宋" w:eastAsia="仿宋"/>
          <w:sz w:val="32"/>
          <w:szCs w:val="32"/>
          <w:lang w:val="en-US" w:eastAsia="zh-CN"/>
        </w:rPr>
        <w:t>61</w:t>
      </w:r>
      <w:r>
        <w:rPr>
          <w:rFonts w:ascii="仿宋" w:hAnsi="仿宋" w:eastAsia="仿宋"/>
          <w:sz w:val="32"/>
          <w:szCs w:val="32"/>
        </w:rPr>
        <w:t>%</w:t>
      </w:r>
      <w:r>
        <w:rPr>
          <w:rFonts w:hint="eastAsia" w:ascii="仿宋" w:hAnsi="仿宋" w:eastAsia="仿宋"/>
          <w:sz w:val="32"/>
          <w:szCs w:val="32"/>
        </w:rPr>
        <w:t>。主要变动原因是村社区工资调整，农林水</w:t>
      </w:r>
      <w:r>
        <w:rPr>
          <w:rFonts w:hint="eastAsia" w:ascii="仿宋" w:hAnsi="仿宋" w:eastAsia="仿宋"/>
          <w:sz w:val="32"/>
          <w:szCs w:val="32"/>
          <w:lang w:val="en-US" w:eastAsia="zh-CN"/>
        </w:rPr>
        <w:t>收</w:t>
      </w:r>
      <w:r>
        <w:rPr>
          <w:rFonts w:hint="eastAsia" w:ascii="仿宋" w:hAnsi="仿宋" w:eastAsia="仿宋"/>
          <w:sz w:val="32"/>
          <w:szCs w:val="32"/>
        </w:rPr>
        <w:t>支增加14.17万元，石龙工业园区指挥部人员增加，石龙街道机关办公楼搬迁，村社换届委托第三方公司审计，一般公共服务收</w:t>
      </w:r>
      <w:r>
        <w:rPr>
          <w:rFonts w:hint="eastAsia" w:ascii="仿宋" w:hAnsi="仿宋" w:eastAsia="仿宋"/>
          <w:sz w:val="32"/>
          <w:szCs w:val="32"/>
          <w:lang w:val="en-US" w:eastAsia="zh-CN"/>
        </w:rPr>
        <w:t>支</w:t>
      </w:r>
      <w:r>
        <w:rPr>
          <w:rFonts w:hint="eastAsia" w:ascii="仿宋" w:hAnsi="仿宋" w:eastAsia="仿宋"/>
          <w:sz w:val="32"/>
          <w:szCs w:val="32"/>
        </w:rPr>
        <w:t>增加120.56万元。对农村交通运输经费较少20万元，城乡社区事务收</w:t>
      </w:r>
      <w:r>
        <w:rPr>
          <w:rFonts w:hint="eastAsia" w:ascii="仿宋" w:hAnsi="仿宋" w:eastAsia="仿宋"/>
          <w:sz w:val="32"/>
          <w:szCs w:val="32"/>
          <w:lang w:val="en-US" w:eastAsia="zh-CN"/>
        </w:rPr>
        <w:t>支</w:t>
      </w:r>
      <w:r>
        <w:rPr>
          <w:rFonts w:hint="eastAsia" w:ascii="仿宋" w:hAnsi="仿宋" w:eastAsia="仿宋"/>
          <w:sz w:val="32"/>
          <w:szCs w:val="32"/>
        </w:rPr>
        <w:t>减少7.7万元，灾害防治及应急管理</w:t>
      </w:r>
      <w:r>
        <w:rPr>
          <w:rFonts w:hint="eastAsia" w:ascii="仿宋" w:hAnsi="仿宋" w:eastAsia="仿宋"/>
          <w:sz w:val="32"/>
          <w:szCs w:val="32"/>
          <w:lang w:val="en-US" w:eastAsia="zh-CN"/>
        </w:rPr>
        <w:t>收</w:t>
      </w:r>
      <w:r>
        <w:rPr>
          <w:rFonts w:hint="eastAsia" w:ascii="仿宋" w:hAnsi="仿宋" w:eastAsia="仿宋"/>
          <w:sz w:val="32"/>
          <w:szCs w:val="32"/>
        </w:rPr>
        <w:t xml:space="preserve">支减少18.49万元，其他经费减少34.88万元。 </w:t>
      </w:r>
      <w:r>
        <w:rPr>
          <w:rFonts w:ascii="仿宋" w:hAnsi="仿宋" w:eastAsia="仿宋"/>
          <w:sz w:val="32"/>
          <w:szCs w:val="32"/>
        </w:rPr>
        <w:t>20</w:t>
      </w:r>
      <w:r>
        <w:rPr>
          <w:rFonts w:hint="eastAsia" w:ascii="仿宋" w:hAnsi="仿宋" w:eastAsia="仿宋"/>
          <w:sz w:val="32"/>
          <w:szCs w:val="32"/>
        </w:rPr>
        <w:t>21年本年</w:t>
      </w:r>
      <w:r>
        <w:rPr>
          <w:rFonts w:hint="eastAsia" w:ascii="仿宋" w:hAnsi="仿宋" w:eastAsia="仿宋"/>
          <w:sz w:val="32"/>
          <w:szCs w:val="32"/>
          <w:lang w:val="en-US" w:eastAsia="zh-CN"/>
        </w:rPr>
        <w:t>收</w:t>
      </w:r>
      <w:r>
        <w:rPr>
          <w:rFonts w:hint="eastAsia" w:ascii="仿宋" w:hAnsi="仿宋" w:eastAsia="仿宋"/>
          <w:sz w:val="32"/>
          <w:szCs w:val="32"/>
        </w:rPr>
        <w:t>支合计913.05万元</w:t>
      </w:r>
      <w:r>
        <w:rPr>
          <w:rFonts w:hint="eastAsia" w:ascii="仿宋" w:hAnsi="仿宋" w:eastAsia="仿宋"/>
          <w:sz w:val="32"/>
          <w:szCs w:val="32"/>
          <w:lang w:eastAsia="zh-CN"/>
        </w:rPr>
        <w:t>。</w:t>
      </w:r>
      <w:r>
        <w:rPr>
          <w:rFonts w:hint="eastAsia" w:ascii="仿宋" w:hAnsi="仿宋" w:eastAsia="仿宋"/>
          <w:sz w:val="32"/>
          <w:szCs w:val="32"/>
        </w:rPr>
        <w:t>与2020年相比，收、支总计各增加56.66万元，增长6.61</w:t>
      </w:r>
      <w:r>
        <w:rPr>
          <w:rFonts w:ascii="仿宋" w:hAnsi="仿宋" w:eastAsia="仿宋"/>
          <w:sz w:val="32"/>
          <w:szCs w:val="32"/>
        </w:rPr>
        <w:t>%</w:t>
      </w:r>
      <w:r>
        <w:rPr>
          <w:rFonts w:hint="eastAsia" w:ascii="仿宋" w:hAnsi="仿宋" w:eastAsia="仿宋"/>
          <w:sz w:val="32"/>
          <w:szCs w:val="32"/>
        </w:rPr>
        <w:t>。</w:t>
      </w:r>
    </w:p>
    <w:p>
      <w:pPr>
        <w:bidi w:val="0"/>
        <w:jc w:val="left"/>
        <w:rPr>
          <w:rFonts w:hint="eastAsia"/>
          <w:lang w:val="en-US" w:eastAsia="zh-CN"/>
        </w:rPr>
      </w:pPr>
    </w:p>
    <w:p>
      <w:pPr>
        <w:pStyle w:val="2"/>
        <w:spacing w:before="93" w:line="576" w:lineRule="exact"/>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drawing>
          <wp:anchor distT="0" distB="0" distL="114300" distR="114300" simplePos="0" relativeHeight="251661312" behindDoc="0" locked="0" layoutInCell="1" allowOverlap="1">
            <wp:simplePos x="0" y="0"/>
            <wp:positionH relativeFrom="column">
              <wp:posOffset>730250</wp:posOffset>
            </wp:positionH>
            <wp:positionV relativeFrom="paragraph">
              <wp:posOffset>89535</wp:posOffset>
            </wp:positionV>
            <wp:extent cx="4040505" cy="3112135"/>
            <wp:effectExtent l="4445" t="5080" r="8890" b="698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黑体" w:hAnsi="黑体" w:eastAsia="黑体" w:cs="黑体"/>
          <w:color w:val="000000" w:themeColor="text1"/>
          <w:sz w:val="32"/>
          <w:szCs w:val="32"/>
        </w:rPr>
        <w:t xml:space="preserve">        （图1：收、支决算总计变动情况图）</w:t>
      </w:r>
    </w:p>
    <w:p>
      <w:pPr>
        <w:pStyle w:val="2"/>
        <w:spacing w:before="93" w:line="576" w:lineRule="exact"/>
      </w:pPr>
    </w:p>
    <w:p>
      <w:pPr>
        <w:pStyle w:val="26"/>
        <w:numPr>
          <w:ilvl w:val="0"/>
          <w:numId w:val="2"/>
        </w:numPr>
        <w:spacing w:line="576" w:lineRule="exact"/>
        <w:ind w:firstLineChars="0"/>
        <w:outlineLvl w:val="1"/>
        <w:rPr>
          <w:rStyle w:val="28"/>
          <w:rFonts w:ascii="黑体" w:hAnsi="黑体" w:eastAsia="黑体"/>
          <w:b w:val="0"/>
        </w:rPr>
      </w:pPr>
      <w:bookmarkStart w:id="24" w:name="_Toc15377206"/>
      <w:bookmarkStart w:id="25" w:name="_Toc15396604"/>
      <w:r>
        <w:rPr>
          <w:rFonts w:hint="eastAsia" w:ascii="黑体" w:hAnsi="黑体" w:eastAsia="黑体"/>
          <w:sz w:val="32"/>
          <w:szCs w:val="32"/>
        </w:rPr>
        <w:t>收</w:t>
      </w:r>
      <w:r>
        <w:rPr>
          <w:rStyle w:val="28"/>
          <w:rFonts w:hint="eastAsia" w:ascii="黑体" w:hAnsi="黑体" w:eastAsia="黑体"/>
          <w:b w:val="0"/>
        </w:rPr>
        <w:t>入决算情况说明</w:t>
      </w:r>
      <w:bookmarkEnd w:id="24"/>
      <w:bookmarkEnd w:id="25"/>
    </w:p>
    <w:p>
      <w:pPr>
        <w:spacing w:line="576" w:lineRule="exact"/>
        <w:ind w:firstLine="640" w:firstLineChars="200"/>
        <w:outlineLvl w:val="1"/>
        <w:rPr>
          <w:rFonts w:hint="eastAsia" w:ascii="仿宋" w:hAnsi="仿宋" w:eastAsia="仿宋"/>
          <w:sz w:val="32"/>
          <w:szCs w:val="32"/>
          <w:lang w:eastAsia="zh-CN"/>
        </w:rPr>
      </w:pPr>
      <w:r>
        <w:rPr>
          <w:rFonts w:ascii="仿宋" w:hAnsi="仿宋" w:eastAsia="仿宋"/>
          <w:sz w:val="32"/>
          <w:szCs w:val="32"/>
        </w:rPr>
        <w:t>20</w:t>
      </w:r>
      <w:r>
        <w:rPr>
          <w:rFonts w:hint="eastAsia" w:ascii="仿宋" w:hAnsi="仿宋" w:eastAsia="仿宋"/>
          <w:sz w:val="32"/>
          <w:szCs w:val="32"/>
        </w:rPr>
        <w:t>21年本年收入合计908.05万元，其中：一般公共预算财政拨款收入908.05万元，占100</w:t>
      </w:r>
      <w:r>
        <w:rPr>
          <w:rFonts w:ascii="仿宋" w:hAnsi="仿宋" w:eastAsia="仿宋"/>
          <w:sz w:val="32"/>
          <w:szCs w:val="32"/>
        </w:rPr>
        <w:t>%</w:t>
      </w:r>
      <w:r>
        <w:rPr>
          <w:rFonts w:hint="eastAsia" w:ascii="仿宋" w:hAnsi="仿宋" w:eastAsia="仿宋"/>
          <w:sz w:val="32"/>
          <w:szCs w:val="32"/>
          <w:lang w:eastAsia="zh-CN"/>
        </w:rPr>
        <w:t>。</w:t>
      </w:r>
    </w:p>
    <w:p>
      <w:pPr>
        <w:pStyle w:val="3"/>
      </w:pPr>
      <w:r>
        <w:rPr>
          <w:rFonts w:hint="eastAsia" w:ascii="仿宋" w:hAnsi="仿宋" w:eastAsia="仿宋"/>
          <w:color w:val="000000" w:themeColor="text1"/>
          <w:sz w:val="32"/>
          <w:szCs w:val="32"/>
        </w:rPr>
        <w:drawing>
          <wp:anchor distT="0" distB="0" distL="114300" distR="114300" simplePos="0" relativeHeight="251659264" behindDoc="0" locked="0" layoutInCell="1" allowOverlap="1">
            <wp:simplePos x="0" y="0"/>
            <wp:positionH relativeFrom="column">
              <wp:posOffset>319405</wp:posOffset>
            </wp:positionH>
            <wp:positionV relativeFrom="page">
              <wp:posOffset>2621915</wp:posOffset>
            </wp:positionV>
            <wp:extent cx="4707890" cy="2449830"/>
            <wp:effectExtent l="4445" t="4445" r="12065" b="952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2"/>
        <w:spacing w:before="93" w:line="576" w:lineRule="exact"/>
        <w:ind w:firstLine="2240" w:firstLineChars="700"/>
        <w:rPr>
          <w:rStyle w:val="28"/>
          <w:rFonts w:ascii="黑体" w:hAnsi="黑体" w:eastAsia="黑体"/>
          <w:b w:val="0"/>
        </w:rPr>
      </w:pPr>
      <w:bookmarkStart w:id="26" w:name="_Toc15377207"/>
      <w:bookmarkStart w:id="27" w:name="_Toc15396605"/>
      <w:r>
        <w:rPr>
          <w:rFonts w:hint="eastAsia" w:ascii="黑体" w:hAnsi="黑体" w:eastAsia="黑体" w:cs="黑体"/>
          <w:color w:val="000000" w:themeColor="text1"/>
          <w:sz w:val="32"/>
          <w:szCs w:val="32"/>
        </w:rPr>
        <w:t>（图2：收入决算结构图）</w:t>
      </w:r>
    </w:p>
    <w:p>
      <w:pPr>
        <w:pStyle w:val="26"/>
        <w:numPr>
          <w:ilvl w:val="0"/>
          <w:numId w:val="2"/>
        </w:numPr>
        <w:spacing w:line="576" w:lineRule="exact"/>
        <w:ind w:firstLineChars="0"/>
        <w:outlineLvl w:val="1"/>
        <w:rPr>
          <w:rStyle w:val="28"/>
          <w:rFonts w:ascii="黑体" w:hAnsi="黑体" w:eastAsia="黑体"/>
          <w:b w:val="0"/>
        </w:rPr>
      </w:pPr>
      <w:r>
        <w:rPr>
          <w:rFonts w:hint="eastAsia" w:ascii="黑体" w:hAnsi="黑体" w:eastAsia="黑体"/>
          <w:sz w:val="32"/>
          <w:szCs w:val="32"/>
        </w:rPr>
        <w:t>支</w:t>
      </w:r>
      <w:r>
        <w:rPr>
          <w:rStyle w:val="28"/>
          <w:rFonts w:hint="eastAsia" w:ascii="黑体" w:hAnsi="黑体" w:eastAsia="黑体"/>
          <w:b w:val="0"/>
        </w:rPr>
        <w:t>出决算情况说明</w:t>
      </w:r>
      <w:bookmarkEnd w:id="26"/>
      <w:bookmarkEnd w:id="27"/>
    </w:p>
    <w:p>
      <w:pPr>
        <w:spacing w:line="576" w:lineRule="exact"/>
        <w:ind w:firstLine="640" w:firstLineChars="200"/>
        <w:outlineLvl w:val="1"/>
        <w:rPr>
          <w:rFonts w:hint="eastAsia" w:ascii="仿宋" w:hAnsi="仿宋" w:eastAsia="仿宋"/>
          <w:sz w:val="32"/>
          <w:szCs w:val="32"/>
          <w:lang w:eastAsia="zh-CN"/>
        </w:rPr>
      </w:pPr>
      <w:r>
        <w:rPr>
          <w:rFonts w:hint="eastAsia" w:ascii="黑体" w:hAnsi="黑体" w:eastAsia="黑体" w:cs="黑体"/>
          <w:color w:val="000000" w:themeColor="text1"/>
          <w:sz w:val="32"/>
          <w:szCs w:val="32"/>
        </w:rPr>
        <w:drawing>
          <wp:anchor distT="0" distB="0" distL="114300" distR="114300" simplePos="0" relativeHeight="251662336" behindDoc="0" locked="0" layoutInCell="1" allowOverlap="1">
            <wp:simplePos x="0" y="0"/>
            <wp:positionH relativeFrom="column">
              <wp:posOffset>559435</wp:posOffset>
            </wp:positionH>
            <wp:positionV relativeFrom="paragraph">
              <wp:posOffset>866775</wp:posOffset>
            </wp:positionV>
            <wp:extent cx="4401185" cy="2453640"/>
            <wp:effectExtent l="4445" t="4445" r="13970" b="1841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ascii="仿宋" w:hAnsi="仿宋" w:eastAsia="仿宋"/>
          <w:sz w:val="32"/>
          <w:szCs w:val="32"/>
        </w:rPr>
        <w:t>20</w:t>
      </w:r>
      <w:r>
        <w:rPr>
          <w:rFonts w:hint="eastAsia" w:ascii="仿宋" w:hAnsi="仿宋" w:eastAsia="仿宋"/>
          <w:sz w:val="32"/>
          <w:szCs w:val="32"/>
        </w:rPr>
        <w:t>21年本年支出合计913.05万元，其中：基本支出682.88万元，占74.79</w:t>
      </w:r>
      <w:r>
        <w:rPr>
          <w:rFonts w:ascii="仿宋" w:hAnsi="仿宋" w:eastAsia="仿宋"/>
          <w:sz w:val="32"/>
          <w:szCs w:val="32"/>
        </w:rPr>
        <w:t>%</w:t>
      </w:r>
      <w:r>
        <w:rPr>
          <w:rFonts w:hint="eastAsia" w:ascii="仿宋" w:hAnsi="仿宋" w:eastAsia="仿宋"/>
          <w:sz w:val="32"/>
          <w:szCs w:val="32"/>
        </w:rPr>
        <w:t>；项目支出230.17万元，占25.21</w:t>
      </w:r>
      <w:r>
        <w:rPr>
          <w:rFonts w:ascii="仿宋" w:hAnsi="仿宋" w:eastAsia="仿宋"/>
          <w:sz w:val="32"/>
          <w:szCs w:val="32"/>
        </w:rPr>
        <w:t>%</w:t>
      </w:r>
      <w:r>
        <w:rPr>
          <w:rFonts w:hint="eastAsia" w:ascii="仿宋" w:hAnsi="仿宋" w:eastAsia="仿宋"/>
          <w:sz w:val="32"/>
          <w:szCs w:val="32"/>
          <w:lang w:eastAsia="zh-CN"/>
        </w:rPr>
        <w:t>。</w:t>
      </w:r>
    </w:p>
    <w:p>
      <w:pPr>
        <w:spacing w:line="576" w:lineRule="exact"/>
        <w:jc w:val="center"/>
        <w:rPr>
          <w:rFonts w:ascii="仿宋" w:hAnsi="仿宋" w:eastAsia="仿宋"/>
          <w:sz w:val="32"/>
          <w:szCs w:val="32"/>
        </w:rPr>
      </w:pPr>
      <w:r>
        <w:rPr>
          <w:rFonts w:hint="eastAsia" w:ascii="黑体" w:hAnsi="黑体" w:eastAsia="黑体" w:cs="黑体"/>
          <w:color w:val="000000" w:themeColor="text1"/>
          <w:sz w:val="32"/>
          <w:szCs w:val="32"/>
        </w:rPr>
        <w:t>（图3：支出决算结构图）</w:t>
      </w:r>
    </w:p>
    <w:p>
      <w:pPr>
        <w:spacing w:line="576" w:lineRule="exact"/>
        <w:ind w:firstLine="640" w:firstLineChars="200"/>
        <w:outlineLvl w:val="1"/>
        <w:rPr>
          <w:rStyle w:val="28"/>
          <w:rFonts w:ascii="黑体" w:hAnsi="黑体" w:eastAsia="黑体"/>
          <w:b w:val="0"/>
        </w:rPr>
      </w:pPr>
      <w:bookmarkStart w:id="28" w:name="_Toc15396606"/>
      <w:bookmarkStart w:id="29" w:name="_Toc15377208"/>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28"/>
      <w:bookmarkEnd w:id="29"/>
    </w:p>
    <w:p>
      <w:pPr>
        <w:spacing w:line="576" w:lineRule="exact"/>
        <w:ind w:firstLine="640"/>
        <w:rPr>
          <w:rFonts w:hint="eastAsia" w:ascii="仿宋" w:hAnsi="仿宋" w:eastAsia="仿宋"/>
          <w:b/>
          <w:bCs/>
          <w:sz w:val="32"/>
          <w:szCs w:val="32"/>
        </w:rPr>
      </w:pPr>
      <w:r>
        <w:rPr>
          <w:rFonts w:hint="eastAsia" w:ascii="黑体" w:hAnsi="黑体" w:eastAsia="黑体" w:cs="黑体"/>
          <w:b/>
          <w:bCs/>
          <w:color w:val="000000" w:themeColor="text1"/>
          <w:sz w:val="32"/>
          <w:szCs w:val="32"/>
        </w:rPr>
        <w:drawing>
          <wp:anchor distT="0" distB="0" distL="114300" distR="114300" simplePos="0" relativeHeight="251663360" behindDoc="0" locked="0" layoutInCell="1" allowOverlap="1">
            <wp:simplePos x="0" y="0"/>
            <wp:positionH relativeFrom="column">
              <wp:posOffset>51435</wp:posOffset>
            </wp:positionH>
            <wp:positionV relativeFrom="paragraph">
              <wp:posOffset>953135</wp:posOffset>
            </wp:positionV>
            <wp:extent cx="5100955" cy="2828290"/>
            <wp:effectExtent l="4445" t="4445" r="12700" b="12065"/>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sz w:val="32"/>
          <w:szCs w:val="32"/>
        </w:rPr>
        <w:t>2021年度收、支总计913.05万元。与2020年相比，收、支总计各增加56.66万元，增长6.61</w:t>
      </w:r>
      <w:r>
        <w:rPr>
          <w:rFonts w:ascii="仿宋" w:hAnsi="仿宋" w:eastAsia="仿宋"/>
          <w:sz w:val="32"/>
          <w:szCs w:val="32"/>
        </w:rPr>
        <w:t>%</w:t>
      </w:r>
      <w:r>
        <w:rPr>
          <w:rFonts w:hint="eastAsia" w:ascii="仿宋" w:hAnsi="仿宋" w:eastAsia="仿宋"/>
          <w:sz w:val="32"/>
          <w:szCs w:val="32"/>
        </w:rPr>
        <w:t>。</w:t>
      </w:r>
    </w:p>
    <w:p>
      <w:pPr>
        <w:pStyle w:val="3"/>
        <w:spacing w:line="576" w:lineRule="exact"/>
        <w:jc w:val="center"/>
        <w:rPr>
          <w:rFonts w:ascii="仿宋" w:hAnsi="仿宋" w:eastAsia="仿宋"/>
          <w:b/>
          <w:bCs/>
          <w:sz w:val="32"/>
          <w:szCs w:val="32"/>
        </w:rPr>
      </w:pPr>
      <w:r>
        <w:rPr>
          <w:rFonts w:hint="eastAsia" w:ascii="仿宋" w:hAnsi="仿宋" w:eastAsia="仿宋"/>
          <w:b/>
          <w:bCs/>
          <w:sz w:val="32"/>
          <w:szCs w:val="32"/>
        </w:rPr>
        <w:t>（图4：财政拨款收、支决算总计变动情况）</w:t>
      </w:r>
    </w:p>
    <w:p>
      <w:pPr>
        <w:spacing w:line="576" w:lineRule="exact"/>
        <w:ind w:firstLine="640" w:firstLineChars="200"/>
        <w:outlineLvl w:val="1"/>
        <w:rPr>
          <w:rStyle w:val="28"/>
          <w:rFonts w:ascii="黑体" w:hAnsi="黑体" w:eastAsia="黑体"/>
          <w:b w:val="0"/>
        </w:rPr>
      </w:pPr>
      <w:bookmarkStart w:id="30" w:name="_Toc15396607"/>
      <w:bookmarkStart w:id="31" w:name="_Toc15377209"/>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30"/>
      <w:bookmarkEnd w:id="31"/>
    </w:p>
    <w:p>
      <w:pPr>
        <w:spacing w:line="576" w:lineRule="exact"/>
        <w:ind w:firstLine="642" w:firstLineChars="200"/>
        <w:outlineLvl w:val="2"/>
        <w:rPr>
          <w:rFonts w:ascii="仿宋" w:hAnsi="仿宋" w:eastAsia="仿宋"/>
          <w:b/>
          <w:sz w:val="32"/>
          <w:szCs w:val="32"/>
        </w:rPr>
      </w:pPr>
      <w:bookmarkStart w:id="32" w:name="_Toc15377210"/>
      <w:r>
        <w:rPr>
          <w:rFonts w:hint="eastAsia" w:ascii="仿宋" w:hAnsi="仿宋" w:eastAsia="仿宋"/>
          <w:b/>
          <w:sz w:val="32"/>
          <w:szCs w:val="32"/>
        </w:rPr>
        <w:t>（一）一般公共预算财政拨款支出决算总体情况</w:t>
      </w:r>
      <w:bookmarkEnd w:id="32"/>
    </w:p>
    <w:p>
      <w:pPr>
        <w:spacing w:line="576"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21年一般公共预算财政拨款支出总计913.05万元。与2020年相比，支总计增加56.66万元，增长6.61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w:t>
      </w:r>
      <w:r>
        <w:rPr>
          <w:rFonts w:hint="eastAsia" w:ascii="仿宋" w:hAnsi="仿宋" w:eastAsia="仿宋"/>
          <w:sz w:val="32"/>
          <w:szCs w:val="32"/>
        </w:rPr>
        <w:t>主要变动原因是村社区工资调整，收支增加14.17万元，石龙工业园区指挥部成立项目经费，收支增加20万元，石龙街道机关办公楼搬迁经费，收支增加30万元，开展村社换届审计业务费，收支增加14万元，对农村交通运输经费较少20万元，其他经费1.5万元。）</w:t>
      </w:r>
    </w:p>
    <w:p>
      <w:pPr>
        <w:pStyle w:val="3"/>
        <w:spacing w:line="576" w:lineRule="exact"/>
        <w:jc w:val="both"/>
        <w:rPr>
          <w:rFonts w:hint="eastAsia" w:ascii="仿宋" w:hAnsi="仿宋" w:eastAsia="仿宋"/>
          <w:b/>
          <w:bCs/>
          <w:sz w:val="32"/>
          <w:szCs w:val="32"/>
        </w:rPr>
      </w:pPr>
      <w:bookmarkStart w:id="33" w:name="_Toc15377211"/>
      <w:r>
        <w:rPr>
          <w:rFonts w:hint="eastAsia" w:ascii="仿宋" w:hAnsi="仿宋" w:eastAsia="仿宋"/>
          <w:color w:val="000000" w:themeColor="text1"/>
          <w:sz w:val="32"/>
          <w:szCs w:val="32"/>
        </w:rPr>
        <w:drawing>
          <wp:anchor distT="0" distB="0" distL="114300" distR="114300" simplePos="0" relativeHeight="251660288" behindDoc="0" locked="0" layoutInCell="1" allowOverlap="1">
            <wp:simplePos x="0" y="0"/>
            <wp:positionH relativeFrom="column">
              <wp:posOffset>170180</wp:posOffset>
            </wp:positionH>
            <wp:positionV relativeFrom="page">
              <wp:posOffset>1205230</wp:posOffset>
            </wp:positionV>
            <wp:extent cx="4848860" cy="3571240"/>
            <wp:effectExtent l="4445" t="4445" r="10795" b="5715"/>
            <wp:wrapTopAndBottom/>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3"/>
        <w:spacing w:line="576" w:lineRule="exact"/>
        <w:jc w:val="center"/>
        <w:rPr>
          <w:rFonts w:ascii="仿宋" w:hAnsi="仿宋" w:eastAsia="仿宋"/>
          <w:b/>
          <w:bCs/>
          <w:sz w:val="32"/>
          <w:szCs w:val="32"/>
        </w:rPr>
      </w:pPr>
      <w:r>
        <w:rPr>
          <w:rFonts w:hint="eastAsia" w:ascii="仿宋" w:hAnsi="仿宋" w:eastAsia="仿宋"/>
          <w:b/>
          <w:bCs/>
          <w:sz w:val="32"/>
          <w:szCs w:val="32"/>
        </w:rPr>
        <w:t>（图5：一般公共预算财政拨款支出决算变动情况）</w:t>
      </w:r>
    </w:p>
    <w:p>
      <w:pPr>
        <w:spacing w:line="576" w:lineRule="exact"/>
        <w:ind w:firstLine="321" w:firstLineChars="100"/>
        <w:outlineLvl w:val="2"/>
        <w:rPr>
          <w:rFonts w:ascii="仿宋" w:hAnsi="仿宋" w:eastAsia="仿宋"/>
          <w:b/>
          <w:sz w:val="32"/>
          <w:szCs w:val="32"/>
        </w:rPr>
      </w:pPr>
      <w:r>
        <w:rPr>
          <w:rFonts w:hint="eastAsia" w:ascii="仿宋" w:hAnsi="仿宋" w:eastAsia="仿宋"/>
          <w:b/>
          <w:sz w:val="32"/>
          <w:szCs w:val="32"/>
        </w:rPr>
        <w:t>（二）一般公共预算财政拨款支出决算结构情况</w:t>
      </w:r>
      <w:bookmarkEnd w:id="33"/>
    </w:p>
    <w:p>
      <w:pPr>
        <w:spacing w:line="576" w:lineRule="exact"/>
        <w:ind w:firstLine="640"/>
        <w:rPr>
          <w:rFonts w:ascii="黑体" w:hAnsi="黑体" w:eastAsia="黑体" w:cs="黑体"/>
          <w:color w:val="000000" w:themeColor="text1"/>
          <w:sz w:val="32"/>
          <w:szCs w:val="32"/>
        </w:rPr>
      </w:pPr>
      <w:r>
        <w:rPr>
          <w:rFonts w:ascii="仿宋" w:hAnsi="仿宋" w:eastAsia="仿宋"/>
          <w:sz w:val="32"/>
          <w:szCs w:val="32"/>
        </w:rPr>
        <w:t>20</w:t>
      </w:r>
      <w:r>
        <w:rPr>
          <w:rFonts w:hint="eastAsia" w:ascii="仿宋" w:hAnsi="仿宋" w:eastAsia="仿宋"/>
          <w:sz w:val="32"/>
          <w:szCs w:val="32"/>
        </w:rPr>
        <w:t>21年一般公共预算财政拨款支出913.05万元，主要用于以下方面</w:t>
      </w:r>
      <w:r>
        <w:rPr>
          <w:rFonts w:hint="eastAsia" w:ascii="仿宋_GB2312" w:hAnsi="仿宋_GB2312" w:eastAsia="仿宋_GB2312" w:cs="仿宋_GB2312"/>
          <w:color w:val="000000"/>
          <w:sz w:val="32"/>
          <w:szCs w:val="32"/>
        </w:rPr>
        <w:t>:一般公共服务（类）支</w:t>
      </w:r>
      <w:r>
        <w:rPr>
          <w:rFonts w:hint="eastAsia" w:ascii="仿宋" w:hAnsi="仿宋" w:eastAsia="仿宋"/>
          <w:sz w:val="32"/>
          <w:szCs w:val="32"/>
        </w:rPr>
        <w:t>出453.58万元，占49.67</w:t>
      </w:r>
      <w:r>
        <w:rPr>
          <w:rFonts w:ascii="仿宋" w:hAnsi="仿宋" w:eastAsia="仿宋"/>
          <w:sz w:val="32"/>
          <w:szCs w:val="32"/>
        </w:rPr>
        <w:t>%</w:t>
      </w:r>
      <w:r>
        <w:rPr>
          <w:rFonts w:hint="eastAsia" w:ascii="仿宋" w:hAnsi="仿宋" w:eastAsia="仿宋"/>
          <w:sz w:val="32"/>
          <w:szCs w:val="32"/>
        </w:rPr>
        <w:t>；</w:t>
      </w:r>
      <w:r>
        <w:rPr>
          <w:rFonts w:hint="eastAsia" w:ascii="仿宋_GB2312" w:hAnsi="仿宋_GB2312" w:eastAsia="仿宋_GB2312" w:cs="仿宋_GB2312"/>
          <w:color w:val="000000"/>
          <w:sz w:val="32"/>
          <w:szCs w:val="32"/>
        </w:rPr>
        <w:t>公共安全支出7万元，占0.77%；社会保障和就业支出27.88万元，占3.05%；卫生健康支出10.99万元，占1.20%；城区社区支出9万元，占0.99%；农林水支出358.05万元，占39.21%；交通运输1万元，占0.11%；住房保障支出26.69万元，占2.92%；灾害防治及应急管理支出18.87万元，占2.07%。</w:t>
      </w:r>
    </w:p>
    <w:p>
      <w:pPr>
        <w:spacing w:line="576" w:lineRule="exact"/>
        <w:jc w:val="center"/>
        <w:rPr>
          <w:rFonts w:ascii="仿宋" w:hAnsi="仿宋" w:eastAsia="仿宋"/>
          <w:b/>
          <w:sz w:val="32"/>
          <w:szCs w:val="32"/>
        </w:rPr>
      </w:pPr>
      <w:r>
        <w:rPr>
          <w:rFonts w:hint="eastAsia" w:ascii="仿宋" w:hAnsi="仿宋" w:eastAsia="仿宋"/>
          <w:color w:val="000000" w:themeColor="text1"/>
          <w:sz w:val="32"/>
          <w:szCs w:val="32"/>
        </w:rPr>
        <w:drawing>
          <wp:anchor distT="0" distB="0" distL="114300" distR="114300" simplePos="0" relativeHeight="251664384" behindDoc="0" locked="0" layoutInCell="1" allowOverlap="1">
            <wp:simplePos x="0" y="0"/>
            <wp:positionH relativeFrom="column">
              <wp:posOffset>33020</wp:posOffset>
            </wp:positionH>
            <wp:positionV relativeFrom="paragraph">
              <wp:posOffset>194945</wp:posOffset>
            </wp:positionV>
            <wp:extent cx="5134610" cy="2649220"/>
            <wp:effectExtent l="4445" t="4445" r="23495" b="13335"/>
            <wp:wrapTopAndBottom/>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bookmarkStart w:id="34" w:name="_Toc15377212"/>
      <w:r>
        <w:rPr>
          <w:rFonts w:hint="eastAsia" w:ascii="仿宋" w:hAnsi="仿宋" w:eastAsia="仿宋"/>
          <w:b/>
          <w:sz w:val="32"/>
          <w:szCs w:val="32"/>
        </w:rPr>
        <w:t>(图六</w:t>
      </w:r>
      <w:r>
        <w:rPr>
          <w:rFonts w:hint="eastAsia" w:ascii="黑体" w:hAnsi="黑体" w:eastAsia="黑体" w:cs="黑体"/>
          <w:color w:val="000000" w:themeColor="text1"/>
          <w:sz w:val="32"/>
          <w:szCs w:val="32"/>
        </w:rPr>
        <w:t>一般公共预算财政拨款支出决算结构</w:t>
      </w:r>
      <w:r>
        <w:rPr>
          <w:rFonts w:hint="eastAsia" w:ascii="仿宋" w:hAnsi="仿宋" w:eastAsia="仿宋"/>
          <w:b/>
          <w:sz w:val="32"/>
          <w:szCs w:val="32"/>
        </w:rPr>
        <w:t>)</w:t>
      </w:r>
    </w:p>
    <w:p>
      <w:pPr>
        <w:spacing w:line="576" w:lineRule="exact"/>
        <w:ind w:firstLine="642" w:firstLineChars="200"/>
        <w:outlineLvl w:val="2"/>
        <w:rPr>
          <w:rFonts w:ascii="仿宋" w:hAnsi="仿宋" w:eastAsia="仿宋"/>
          <w:b/>
          <w:sz w:val="32"/>
          <w:szCs w:val="32"/>
        </w:rPr>
      </w:pPr>
      <w:r>
        <w:rPr>
          <w:rFonts w:hint="eastAsia" w:ascii="仿宋" w:hAnsi="仿宋" w:eastAsia="仿宋"/>
          <w:b/>
          <w:sz w:val="32"/>
          <w:szCs w:val="32"/>
        </w:rPr>
        <w:t>（三）一般公共预算财政拨款支出决算具体情况</w:t>
      </w:r>
      <w:bookmarkEnd w:id="34"/>
    </w:p>
    <w:p>
      <w:pPr>
        <w:widowControl/>
        <w:spacing w:line="576" w:lineRule="exact"/>
        <w:ind w:firstLine="640" w:firstLineChars="200"/>
        <w:rPr>
          <w:rFonts w:ascii="楷体_GB2312" w:hAnsi="楷体_GB2312" w:eastAsia="楷体_GB2312" w:cs="楷体_GB2312"/>
          <w:color w:val="000000"/>
          <w:sz w:val="32"/>
          <w:szCs w:val="32"/>
        </w:rPr>
      </w:pPr>
      <w:bookmarkStart w:id="35" w:name="_Toc15377213"/>
      <w:bookmarkStart w:id="36" w:name="_Toc15378460"/>
      <w:bookmarkStart w:id="37" w:name="_Toc15377444"/>
      <w:r>
        <w:rPr>
          <w:rFonts w:hint="eastAsia" w:ascii="楷体_GB2312" w:hAnsi="楷体_GB2312" w:eastAsia="楷体_GB2312" w:cs="楷体_GB2312"/>
          <w:color w:val="000000"/>
          <w:sz w:val="32"/>
          <w:szCs w:val="32"/>
        </w:rPr>
        <w:t>2021年一般公共预算支出决算数为913.05万元，完成预算100%。其中：</w:t>
      </w:r>
      <w:bookmarkEnd w:id="35"/>
      <w:bookmarkEnd w:id="36"/>
      <w:bookmarkEnd w:id="37"/>
    </w:p>
    <w:p>
      <w:pPr>
        <w:widowControl/>
        <w:numPr>
          <w:ilvl w:val="0"/>
          <w:numId w:val="0"/>
        </w:numPr>
        <w:spacing w:line="576" w:lineRule="exact"/>
        <w:ind w:firstLine="640" w:firstLineChars="200"/>
        <w:rPr>
          <w:rStyle w:val="17"/>
          <w:rFonts w:hint="eastAsia" w:ascii="仿宋_GB2312" w:eastAsia="仿宋_GB2312"/>
          <w:b w:val="0"/>
          <w:color w:val="000000"/>
          <w:sz w:val="32"/>
          <w:szCs w:val="32"/>
          <w:lang w:eastAsia="zh-CN"/>
        </w:rPr>
      </w:pP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lang w:val="en-US" w:eastAsia="zh-CN"/>
        </w:rPr>
        <w:t>一</w:t>
      </w: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rPr>
        <w:t>一般公共服务支出（类）201，支出决算为453.58万元，完成预算</w:t>
      </w:r>
      <w:r>
        <w:rPr>
          <w:rStyle w:val="17"/>
          <w:rFonts w:hint="eastAsia" w:ascii="仿宋_GB2312" w:eastAsia="仿宋_GB2312"/>
          <w:b w:val="0"/>
          <w:color w:val="000000"/>
          <w:sz w:val="32"/>
          <w:szCs w:val="32"/>
        </w:rPr>
        <w:t>100%</w:t>
      </w:r>
      <w:r>
        <w:rPr>
          <w:rStyle w:val="17"/>
          <w:rFonts w:hint="eastAsia" w:ascii="仿宋_GB2312" w:eastAsia="仿宋_GB2312"/>
          <w:b w:val="0"/>
          <w:color w:val="000000"/>
          <w:sz w:val="32"/>
          <w:szCs w:val="32"/>
          <w:lang w:eastAsia="zh-CN"/>
        </w:rPr>
        <w:t>。</w:t>
      </w:r>
    </w:p>
    <w:p>
      <w:pPr>
        <w:widowControl/>
        <w:numPr>
          <w:ilvl w:val="0"/>
          <w:numId w:val="3"/>
        </w:numPr>
        <w:spacing w:line="576" w:lineRule="exact"/>
        <w:ind w:left="-220" w:leftChars="0" w:firstLine="640" w:firstLineChars="0"/>
        <w:rPr>
          <w:rStyle w:val="17"/>
          <w:rFonts w:ascii="仿宋_GB2312" w:eastAsia="仿宋_GB2312"/>
          <w:b w:val="0"/>
          <w:color w:val="000000"/>
          <w:sz w:val="32"/>
          <w:szCs w:val="32"/>
        </w:rPr>
      </w:pPr>
      <w:r>
        <w:rPr>
          <w:rFonts w:hint="eastAsia" w:ascii="仿宋_GB2312" w:hAnsi="仿宋_GB2312" w:eastAsia="仿宋_GB2312" w:cs="仿宋_GB2312"/>
          <w:kern w:val="0"/>
          <w:sz w:val="32"/>
          <w:szCs w:val="32"/>
        </w:rPr>
        <w:t>一般公共服务支出（类）201政府办公厅（室）及相关机构事务（款）03行政运行（项）01</w:t>
      </w:r>
      <w:r>
        <w:rPr>
          <w:rFonts w:hint="eastAsia" w:ascii="仿宋_GB2312" w:hAnsi="仿宋_GB2312" w:eastAsia="仿宋_GB2312" w:cs="仿宋_GB2312"/>
          <w:kern w:val="0"/>
          <w:sz w:val="32"/>
          <w:szCs w:val="32"/>
          <w:lang w:eastAsia="zh-CN"/>
        </w:rPr>
        <w:t>：</w:t>
      </w:r>
      <w:r>
        <w:rPr>
          <w:rStyle w:val="17"/>
          <w:rFonts w:hint="eastAsia" w:ascii="仿宋_GB2312" w:eastAsia="仿宋_GB2312"/>
          <w:b w:val="0"/>
          <w:color w:val="000000"/>
          <w:sz w:val="32"/>
          <w:szCs w:val="32"/>
        </w:rPr>
        <w:t>支出决算为192.28万元</w:t>
      </w:r>
      <w:r>
        <w:rPr>
          <w:rStyle w:val="17"/>
          <w:rFonts w:hint="eastAsia" w:ascii="仿宋_GB2312" w:eastAsia="仿宋_GB2312"/>
          <w:b w:val="0"/>
          <w:color w:val="000000"/>
          <w:sz w:val="32"/>
          <w:szCs w:val="32"/>
          <w:lang w:eastAsia="zh-CN"/>
        </w:rPr>
        <w:t>，</w:t>
      </w:r>
      <w:r>
        <w:rPr>
          <w:rFonts w:hint="eastAsia" w:ascii="楷体_GB2312" w:hAnsi="楷体_GB2312" w:eastAsia="楷体_GB2312" w:cs="楷体_GB2312"/>
          <w:color w:val="000000"/>
          <w:sz w:val="32"/>
          <w:szCs w:val="32"/>
        </w:rPr>
        <w:t>完成预算</w:t>
      </w:r>
      <w:r>
        <w:rPr>
          <w:rStyle w:val="17"/>
          <w:rFonts w:hint="eastAsia" w:ascii="仿宋_GB2312" w:eastAsia="仿宋_GB2312"/>
          <w:b w:val="0"/>
          <w:color w:val="000000"/>
          <w:sz w:val="32"/>
          <w:szCs w:val="32"/>
        </w:rPr>
        <w:t>100%</w:t>
      </w:r>
      <w:r>
        <w:rPr>
          <w:rStyle w:val="17"/>
          <w:rFonts w:hint="eastAsia" w:ascii="仿宋_GB2312" w:eastAsia="仿宋_GB2312"/>
          <w:b w:val="0"/>
          <w:color w:val="000000"/>
          <w:sz w:val="32"/>
          <w:szCs w:val="32"/>
          <w:lang w:eastAsia="zh-CN"/>
        </w:rPr>
        <w:t>。</w:t>
      </w:r>
    </w:p>
    <w:p>
      <w:pPr>
        <w:widowControl/>
        <w:numPr>
          <w:ilvl w:val="0"/>
          <w:numId w:val="3"/>
        </w:numPr>
        <w:spacing w:line="576" w:lineRule="exact"/>
        <w:ind w:left="-220" w:leftChars="0" w:firstLine="640" w:firstLineChars="0"/>
        <w:rPr>
          <w:rStyle w:val="17"/>
          <w:rFonts w:ascii="仿宋_GB2312" w:eastAsia="仿宋_GB2312"/>
          <w:b w:val="0"/>
          <w:color w:val="000000"/>
          <w:sz w:val="32"/>
          <w:szCs w:val="32"/>
        </w:rPr>
      </w:pPr>
      <w:r>
        <w:rPr>
          <w:rFonts w:hint="eastAsia" w:ascii="仿宋_GB2312" w:hAnsi="仿宋_GB2312" w:eastAsia="仿宋_GB2312" w:cs="仿宋_GB2312"/>
          <w:kern w:val="0"/>
          <w:sz w:val="32"/>
          <w:szCs w:val="32"/>
        </w:rPr>
        <w:t>一般公共服务支出（类）201政府办公厅（室）及相关机构事务（款）03一般行政管理事务（项）02</w:t>
      </w:r>
      <w:r>
        <w:rPr>
          <w:rStyle w:val="17"/>
          <w:rFonts w:hint="eastAsia" w:ascii="仿宋_GB2312" w:eastAsia="仿宋_GB2312"/>
          <w:b w:val="0"/>
          <w:color w:val="000000"/>
          <w:sz w:val="32"/>
          <w:szCs w:val="32"/>
        </w:rPr>
        <w:t>:支出决算为61.65万元</w:t>
      </w:r>
      <w:r>
        <w:rPr>
          <w:rStyle w:val="17"/>
          <w:rFonts w:hint="eastAsia" w:ascii="仿宋_GB2312" w:eastAsia="仿宋_GB2312"/>
          <w:b w:val="0"/>
          <w:color w:val="000000"/>
          <w:sz w:val="32"/>
          <w:szCs w:val="32"/>
          <w:lang w:eastAsia="zh-CN"/>
        </w:rPr>
        <w:t>，</w:t>
      </w:r>
      <w:r>
        <w:rPr>
          <w:rFonts w:hint="eastAsia" w:ascii="楷体_GB2312" w:hAnsi="楷体_GB2312" w:eastAsia="楷体_GB2312" w:cs="楷体_GB2312"/>
          <w:color w:val="000000"/>
          <w:sz w:val="32"/>
          <w:szCs w:val="32"/>
        </w:rPr>
        <w:t>完成预算</w:t>
      </w:r>
      <w:r>
        <w:rPr>
          <w:rStyle w:val="17"/>
          <w:rFonts w:hint="eastAsia" w:ascii="仿宋_GB2312" w:eastAsia="仿宋_GB2312"/>
          <w:b w:val="0"/>
          <w:color w:val="000000"/>
          <w:sz w:val="32"/>
          <w:szCs w:val="32"/>
        </w:rPr>
        <w:t>100%</w:t>
      </w:r>
      <w:r>
        <w:rPr>
          <w:rStyle w:val="17"/>
          <w:rFonts w:hint="eastAsia" w:ascii="仿宋_GB2312" w:eastAsia="仿宋_GB2312"/>
          <w:b w:val="0"/>
          <w:color w:val="000000"/>
          <w:sz w:val="32"/>
          <w:szCs w:val="32"/>
          <w:lang w:eastAsia="zh-CN"/>
        </w:rPr>
        <w:t>。</w:t>
      </w:r>
    </w:p>
    <w:p>
      <w:pPr>
        <w:widowControl/>
        <w:numPr>
          <w:ilvl w:val="0"/>
          <w:numId w:val="3"/>
        </w:numPr>
        <w:spacing w:line="576" w:lineRule="exact"/>
        <w:ind w:left="-220" w:leftChars="0" w:firstLine="640" w:firstLineChars="0"/>
        <w:rPr>
          <w:rStyle w:val="17"/>
          <w:rFonts w:ascii="仿宋_GB2312" w:eastAsia="仿宋_GB2312"/>
          <w:b w:val="0"/>
          <w:color w:val="000000"/>
          <w:sz w:val="32"/>
          <w:szCs w:val="32"/>
        </w:rPr>
      </w:pPr>
      <w:r>
        <w:rPr>
          <w:rFonts w:hint="eastAsia" w:ascii="仿宋_GB2312" w:hAnsi="仿宋_GB2312" w:eastAsia="仿宋_GB2312" w:cs="仿宋_GB2312"/>
          <w:kern w:val="0"/>
          <w:sz w:val="32"/>
          <w:szCs w:val="32"/>
        </w:rPr>
        <w:t>一般公共服务支出（类）201政府办公厅（室）及相关机构事务（款）</w:t>
      </w:r>
      <w:r>
        <w:rPr>
          <w:rFonts w:hint="eastAsia" w:ascii="仿宋_GB2312" w:hAnsi="仿宋_GB2312" w:eastAsia="仿宋_GB2312" w:cs="仿宋_GB2312"/>
          <w:kern w:val="0"/>
          <w:sz w:val="32"/>
          <w:szCs w:val="32"/>
          <w:lang w:val="en-US" w:eastAsia="zh-CN"/>
        </w:rPr>
        <w:t>03</w:t>
      </w:r>
      <w:r>
        <w:rPr>
          <w:rFonts w:hint="eastAsia" w:ascii="仿宋_GB2312" w:hAnsi="仿宋_GB2312" w:eastAsia="仿宋_GB2312" w:cs="仿宋_GB2312"/>
          <w:kern w:val="0"/>
          <w:sz w:val="32"/>
          <w:szCs w:val="32"/>
        </w:rPr>
        <w:t>机关服务（项）03</w:t>
      </w:r>
      <w:r>
        <w:rPr>
          <w:rStyle w:val="17"/>
          <w:rFonts w:hint="eastAsia" w:ascii="仿宋_GB2312" w:eastAsia="仿宋_GB2312"/>
          <w:b w:val="0"/>
          <w:color w:val="000000"/>
          <w:sz w:val="32"/>
          <w:szCs w:val="32"/>
        </w:rPr>
        <w:t>:支出决算为9.36万元</w:t>
      </w:r>
      <w:r>
        <w:rPr>
          <w:rStyle w:val="17"/>
          <w:rFonts w:hint="eastAsia" w:ascii="仿宋_GB2312" w:eastAsia="仿宋_GB2312"/>
          <w:b w:val="0"/>
          <w:color w:val="000000"/>
          <w:sz w:val="32"/>
          <w:szCs w:val="32"/>
          <w:lang w:eastAsia="zh-CN"/>
        </w:rPr>
        <w:t>，</w:t>
      </w:r>
      <w:r>
        <w:rPr>
          <w:rFonts w:hint="eastAsia" w:ascii="楷体_GB2312" w:hAnsi="楷体_GB2312" w:eastAsia="楷体_GB2312" w:cs="楷体_GB2312"/>
          <w:color w:val="000000"/>
          <w:sz w:val="32"/>
          <w:szCs w:val="32"/>
        </w:rPr>
        <w:t>完成预算</w:t>
      </w:r>
      <w:r>
        <w:rPr>
          <w:rStyle w:val="17"/>
          <w:rFonts w:hint="eastAsia" w:ascii="仿宋_GB2312" w:eastAsia="仿宋_GB2312"/>
          <w:b w:val="0"/>
          <w:color w:val="000000"/>
          <w:sz w:val="32"/>
          <w:szCs w:val="32"/>
        </w:rPr>
        <w:t>100%</w:t>
      </w:r>
      <w:r>
        <w:rPr>
          <w:rStyle w:val="17"/>
          <w:rFonts w:hint="eastAsia" w:ascii="仿宋_GB2312" w:eastAsia="仿宋_GB2312"/>
          <w:b w:val="0"/>
          <w:color w:val="000000"/>
          <w:sz w:val="32"/>
          <w:szCs w:val="32"/>
          <w:lang w:eastAsia="zh-CN"/>
        </w:rPr>
        <w:t>。</w:t>
      </w:r>
    </w:p>
    <w:p>
      <w:pPr>
        <w:widowControl/>
        <w:numPr>
          <w:ilvl w:val="0"/>
          <w:numId w:val="3"/>
        </w:numPr>
        <w:spacing w:line="576" w:lineRule="exact"/>
        <w:ind w:left="-220" w:leftChars="0" w:firstLine="640" w:firstLineChars="0"/>
        <w:rPr>
          <w:rStyle w:val="17"/>
          <w:rFonts w:ascii="仿宋_GB2312" w:eastAsia="仿宋_GB2312"/>
          <w:b w:val="0"/>
          <w:color w:val="000000"/>
          <w:sz w:val="32"/>
          <w:szCs w:val="32"/>
        </w:rPr>
      </w:pPr>
      <w:r>
        <w:rPr>
          <w:rFonts w:hint="eastAsia" w:ascii="仿宋_GB2312" w:hAnsi="仿宋_GB2312" w:eastAsia="仿宋_GB2312" w:cs="仿宋_GB2312"/>
          <w:kern w:val="0"/>
          <w:sz w:val="32"/>
          <w:szCs w:val="32"/>
        </w:rPr>
        <w:t>一般公共服务支出（类）201政府办公厅（室）及相关机构事务（款）</w:t>
      </w:r>
      <w:r>
        <w:rPr>
          <w:rFonts w:hint="eastAsia" w:ascii="仿宋_GB2312" w:hAnsi="仿宋_GB2312" w:eastAsia="仿宋_GB2312" w:cs="仿宋_GB2312"/>
          <w:kern w:val="0"/>
          <w:sz w:val="32"/>
          <w:szCs w:val="32"/>
          <w:lang w:val="en-US" w:eastAsia="zh-CN"/>
        </w:rPr>
        <w:t>03</w:t>
      </w:r>
      <w:r>
        <w:rPr>
          <w:rFonts w:hint="eastAsia" w:ascii="仿宋_GB2312" w:hAnsi="仿宋_GB2312" w:eastAsia="仿宋_GB2312" w:cs="仿宋_GB2312"/>
          <w:kern w:val="0"/>
          <w:sz w:val="32"/>
          <w:szCs w:val="32"/>
        </w:rPr>
        <w:t>其他政府办公厅（室）及相关机构事务支出（项）99</w:t>
      </w:r>
      <w:r>
        <w:rPr>
          <w:rStyle w:val="17"/>
          <w:rFonts w:hint="eastAsia" w:ascii="仿宋_GB2312" w:eastAsia="仿宋_GB2312"/>
          <w:b w:val="0"/>
          <w:color w:val="000000"/>
          <w:sz w:val="32"/>
          <w:szCs w:val="32"/>
        </w:rPr>
        <w:t>:支出决算为30万元</w:t>
      </w:r>
      <w:r>
        <w:rPr>
          <w:rStyle w:val="17"/>
          <w:rFonts w:hint="eastAsia" w:ascii="仿宋_GB2312" w:eastAsia="仿宋_GB2312"/>
          <w:b w:val="0"/>
          <w:color w:val="000000"/>
          <w:sz w:val="32"/>
          <w:szCs w:val="32"/>
          <w:lang w:eastAsia="zh-CN"/>
        </w:rPr>
        <w:t>，</w:t>
      </w:r>
      <w:r>
        <w:rPr>
          <w:rFonts w:hint="eastAsia" w:ascii="楷体_GB2312" w:hAnsi="楷体_GB2312" w:eastAsia="楷体_GB2312" w:cs="楷体_GB2312"/>
          <w:color w:val="000000"/>
          <w:sz w:val="32"/>
          <w:szCs w:val="32"/>
        </w:rPr>
        <w:t>完成预算</w:t>
      </w:r>
      <w:r>
        <w:rPr>
          <w:rStyle w:val="17"/>
          <w:rFonts w:hint="eastAsia" w:ascii="仿宋_GB2312" w:eastAsia="仿宋_GB2312"/>
          <w:b w:val="0"/>
          <w:color w:val="000000"/>
          <w:sz w:val="32"/>
          <w:szCs w:val="32"/>
        </w:rPr>
        <w:t>100%</w:t>
      </w:r>
      <w:r>
        <w:rPr>
          <w:rStyle w:val="17"/>
          <w:rFonts w:hint="eastAsia" w:ascii="仿宋_GB2312" w:eastAsia="仿宋_GB2312"/>
          <w:b w:val="0"/>
          <w:color w:val="000000"/>
          <w:sz w:val="32"/>
          <w:szCs w:val="32"/>
          <w:lang w:eastAsia="zh-CN"/>
        </w:rPr>
        <w:t>。</w:t>
      </w:r>
    </w:p>
    <w:p>
      <w:pPr>
        <w:widowControl/>
        <w:numPr>
          <w:ilvl w:val="0"/>
          <w:numId w:val="3"/>
        </w:numPr>
        <w:spacing w:line="576" w:lineRule="exact"/>
        <w:ind w:left="-220" w:leftChars="0" w:firstLine="640" w:firstLineChars="0"/>
        <w:rPr>
          <w:rStyle w:val="17"/>
          <w:rFonts w:ascii="仿宋_GB2312" w:eastAsia="仿宋_GB2312"/>
          <w:b w:val="0"/>
          <w:color w:val="000000"/>
          <w:sz w:val="32"/>
          <w:szCs w:val="32"/>
        </w:rPr>
      </w:pPr>
      <w:r>
        <w:rPr>
          <w:rFonts w:hint="eastAsia" w:ascii="仿宋_GB2312" w:hAnsi="仿宋_GB2312" w:eastAsia="仿宋_GB2312" w:cs="仿宋_GB2312"/>
          <w:kern w:val="0"/>
          <w:sz w:val="32"/>
          <w:szCs w:val="32"/>
        </w:rPr>
        <w:t>一般公共服务支出（类）201发展与改革事务（款）04</w:t>
      </w:r>
      <w:r>
        <w:rPr>
          <w:rFonts w:hint="eastAsia" w:ascii="仿宋_GB2312" w:eastAsia="仿宋_GB2312"/>
          <w:color w:val="000000"/>
          <w:sz w:val="32"/>
          <w:szCs w:val="32"/>
        </w:rPr>
        <w:t>日常经济运行调节（项）05</w:t>
      </w:r>
      <w:r>
        <w:rPr>
          <w:rStyle w:val="17"/>
          <w:rFonts w:hint="eastAsia" w:ascii="仿宋_GB2312" w:eastAsia="仿宋_GB2312"/>
          <w:b w:val="0"/>
          <w:color w:val="000000"/>
          <w:sz w:val="32"/>
          <w:szCs w:val="32"/>
        </w:rPr>
        <w:t>：支出决算为31万元</w:t>
      </w:r>
      <w:r>
        <w:rPr>
          <w:rStyle w:val="17"/>
          <w:rFonts w:hint="eastAsia" w:ascii="仿宋_GB2312" w:eastAsia="仿宋_GB2312"/>
          <w:b w:val="0"/>
          <w:color w:val="000000"/>
          <w:sz w:val="32"/>
          <w:szCs w:val="32"/>
          <w:lang w:eastAsia="zh-CN"/>
        </w:rPr>
        <w:t>，</w:t>
      </w:r>
      <w:r>
        <w:rPr>
          <w:rFonts w:hint="eastAsia" w:ascii="楷体_GB2312" w:hAnsi="楷体_GB2312" w:eastAsia="楷体_GB2312" w:cs="楷体_GB2312"/>
          <w:color w:val="000000"/>
          <w:sz w:val="32"/>
          <w:szCs w:val="32"/>
        </w:rPr>
        <w:t>完成预算</w:t>
      </w:r>
      <w:r>
        <w:rPr>
          <w:rStyle w:val="17"/>
          <w:rFonts w:hint="eastAsia" w:ascii="仿宋_GB2312" w:eastAsia="仿宋_GB2312"/>
          <w:b w:val="0"/>
          <w:color w:val="000000"/>
          <w:sz w:val="32"/>
          <w:szCs w:val="32"/>
        </w:rPr>
        <w:t>100%</w:t>
      </w:r>
      <w:r>
        <w:rPr>
          <w:rStyle w:val="17"/>
          <w:rFonts w:hint="eastAsia" w:ascii="仿宋_GB2312" w:eastAsia="仿宋_GB2312"/>
          <w:b w:val="0"/>
          <w:color w:val="000000"/>
          <w:sz w:val="32"/>
          <w:szCs w:val="32"/>
          <w:lang w:eastAsia="zh-CN"/>
        </w:rPr>
        <w:t>。</w:t>
      </w:r>
    </w:p>
    <w:p>
      <w:pPr>
        <w:widowControl/>
        <w:numPr>
          <w:ilvl w:val="0"/>
          <w:numId w:val="3"/>
        </w:numPr>
        <w:spacing w:line="576" w:lineRule="exact"/>
        <w:ind w:left="-220" w:leftChars="0" w:firstLine="640" w:firstLineChars="0"/>
        <w:rPr>
          <w:rStyle w:val="17"/>
          <w:rFonts w:ascii="仿宋_GB2312" w:eastAsia="仿宋_GB2312"/>
          <w:b w:val="0"/>
          <w:color w:val="000000"/>
          <w:sz w:val="32"/>
          <w:szCs w:val="32"/>
        </w:rPr>
      </w:pPr>
      <w:r>
        <w:rPr>
          <w:rFonts w:hint="eastAsia" w:ascii="仿宋_GB2312" w:hAnsi="仿宋_GB2312" w:eastAsia="仿宋_GB2312" w:cs="仿宋_GB2312"/>
          <w:kern w:val="0"/>
          <w:sz w:val="32"/>
          <w:szCs w:val="32"/>
        </w:rPr>
        <w:t>一般公共服务支出（类）201审计事务（款）08</w:t>
      </w:r>
      <w:r>
        <w:rPr>
          <w:rFonts w:hint="eastAsia" w:ascii="仿宋_GB2312" w:eastAsia="仿宋_GB2312"/>
          <w:color w:val="000000"/>
          <w:sz w:val="32"/>
          <w:szCs w:val="32"/>
        </w:rPr>
        <w:t>审计业务（项）04</w:t>
      </w:r>
      <w:r>
        <w:rPr>
          <w:rStyle w:val="17"/>
          <w:rFonts w:hint="eastAsia" w:ascii="仿宋_GB2312" w:eastAsia="仿宋_GB2312"/>
          <w:b w:val="0"/>
          <w:color w:val="000000"/>
          <w:sz w:val="32"/>
          <w:szCs w:val="32"/>
        </w:rPr>
        <w:t>：支出决算为14万元</w:t>
      </w:r>
      <w:r>
        <w:rPr>
          <w:rStyle w:val="17"/>
          <w:rFonts w:hint="eastAsia" w:ascii="仿宋_GB2312" w:eastAsia="仿宋_GB2312"/>
          <w:b w:val="0"/>
          <w:color w:val="000000"/>
          <w:sz w:val="32"/>
          <w:szCs w:val="32"/>
          <w:lang w:eastAsia="zh-CN"/>
        </w:rPr>
        <w:t>，</w:t>
      </w:r>
      <w:r>
        <w:rPr>
          <w:rFonts w:hint="eastAsia" w:ascii="楷体_GB2312" w:hAnsi="楷体_GB2312" w:eastAsia="楷体_GB2312" w:cs="楷体_GB2312"/>
          <w:color w:val="000000"/>
          <w:sz w:val="32"/>
          <w:szCs w:val="32"/>
        </w:rPr>
        <w:t>完成预算</w:t>
      </w:r>
      <w:r>
        <w:rPr>
          <w:rStyle w:val="17"/>
          <w:rFonts w:hint="eastAsia" w:ascii="仿宋_GB2312" w:eastAsia="仿宋_GB2312"/>
          <w:b w:val="0"/>
          <w:color w:val="000000"/>
          <w:sz w:val="32"/>
          <w:szCs w:val="32"/>
        </w:rPr>
        <w:t>100%</w:t>
      </w:r>
      <w:r>
        <w:rPr>
          <w:rStyle w:val="17"/>
          <w:rFonts w:hint="eastAsia" w:ascii="仿宋_GB2312" w:eastAsia="仿宋_GB2312"/>
          <w:b w:val="0"/>
          <w:color w:val="000000"/>
          <w:sz w:val="32"/>
          <w:szCs w:val="32"/>
          <w:lang w:eastAsia="zh-CN"/>
        </w:rPr>
        <w:t>。</w:t>
      </w:r>
    </w:p>
    <w:p>
      <w:pPr>
        <w:widowControl/>
        <w:numPr>
          <w:ilvl w:val="0"/>
          <w:numId w:val="3"/>
        </w:numPr>
        <w:spacing w:line="576" w:lineRule="exact"/>
        <w:ind w:left="-220" w:leftChars="0" w:firstLine="640" w:firstLineChars="0"/>
        <w:rPr>
          <w:rStyle w:val="17"/>
          <w:rFonts w:ascii="仿宋_GB2312" w:eastAsia="仿宋_GB2312"/>
          <w:b w:val="0"/>
          <w:color w:val="000000"/>
          <w:sz w:val="32"/>
          <w:szCs w:val="32"/>
        </w:rPr>
      </w:pPr>
      <w:r>
        <w:rPr>
          <w:rFonts w:hint="eastAsia" w:ascii="仿宋_GB2312" w:hAnsi="仿宋_GB2312" w:eastAsia="仿宋_GB2312" w:cs="仿宋_GB2312"/>
          <w:kern w:val="0"/>
          <w:sz w:val="32"/>
          <w:szCs w:val="32"/>
        </w:rPr>
        <w:t>一般公共服务支出（类）201纪检监察事务（款）08</w:t>
      </w:r>
      <w:r>
        <w:rPr>
          <w:rFonts w:hint="eastAsia" w:ascii="仿宋_GB2312" w:eastAsia="仿宋_GB2312"/>
          <w:color w:val="000000"/>
          <w:sz w:val="32"/>
          <w:szCs w:val="32"/>
        </w:rPr>
        <w:t>一般行政管理事务（项）04</w:t>
      </w:r>
      <w:r>
        <w:rPr>
          <w:rStyle w:val="17"/>
          <w:rFonts w:hint="eastAsia" w:ascii="仿宋_GB2312" w:eastAsia="仿宋_GB2312"/>
          <w:b w:val="0"/>
          <w:color w:val="000000"/>
          <w:sz w:val="32"/>
          <w:szCs w:val="32"/>
        </w:rPr>
        <w:t>：支出决算为2万元</w:t>
      </w:r>
      <w:r>
        <w:rPr>
          <w:rStyle w:val="17"/>
          <w:rFonts w:hint="eastAsia" w:ascii="仿宋_GB2312" w:eastAsia="仿宋_GB2312"/>
          <w:b w:val="0"/>
          <w:color w:val="000000"/>
          <w:sz w:val="32"/>
          <w:szCs w:val="32"/>
          <w:lang w:eastAsia="zh-CN"/>
        </w:rPr>
        <w:t>，</w:t>
      </w:r>
      <w:r>
        <w:rPr>
          <w:rFonts w:hint="eastAsia" w:ascii="楷体_GB2312" w:hAnsi="楷体_GB2312" w:eastAsia="楷体_GB2312" w:cs="楷体_GB2312"/>
          <w:color w:val="000000"/>
          <w:sz w:val="32"/>
          <w:szCs w:val="32"/>
        </w:rPr>
        <w:t>完成预算</w:t>
      </w:r>
      <w:r>
        <w:rPr>
          <w:rStyle w:val="17"/>
          <w:rFonts w:hint="eastAsia" w:ascii="仿宋_GB2312" w:eastAsia="仿宋_GB2312"/>
          <w:b w:val="0"/>
          <w:color w:val="000000"/>
          <w:sz w:val="32"/>
          <w:szCs w:val="32"/>
        </w:rPr>
        <w:t>100%</w:t>
      </w:r>
      <w:r>
        <w:rPr>
          <w:rStyle w:val="17"/>
          <w:rFonts w:hint="eastAsia" w:ascii="仿宋_GB2312" w:eastAsia="仿宋_GB2312"/>
          <w:b w:val="0"/>
          <w:color w:val="000000"/>
          <w:sz w:val="32"/>
          <w:szCs w:val="32"/>
          <w:lang w:eastAsia="zh-CN"/>
        </w:rPr>
        <w:t>。</w:t>
      </w:r>
    </w:p>
    <w:p>
      <w:pPr>
        <w:widowControl/>
        <w:numPr>
          <w:ilvl w:val="0"/>
          <w:numId w:val="3"/>
        </w:numPr>
        <w:spacing w:line="576" w:lineRule="exact"/>
        <w:ind w:left="-220" w:leftChars="0" w:firstLine="640" w:firstLineChars="0"/>
        <w:rPr>
          <w:rStyle w:val="17"/>
          <w:rFonts w:ascii="仿宋_GB2312" w:eastAsia="仿宋_GB2312"/>
          <w:b w:val="0"/>
          <w:color w:val="000000"/>
          <w:sz w:val="32"/>
          <w:szCs w:val="32"/>
        </w:rPr>
      </w:pPr>
      <w:r>
        <w:rPr>
          <w:rFonts w:hint="eastAsia" w:ascii="仿宋_GB2312" w:hAnsi="仿宋_GB2312" w:eastAsia="仿宋_GB2312" w:cs="仿宋_GB2312"/>
          <w:kern w:val="0"/>
          <w:sz w:val="32"/>
          <w:szCs w:val="32"/>
        </w:rPr>
        <w:t>一般公共服务支出（类）201群众团体事务（款）29</w:t>
      </w:r>
      <w:r>
        <w:rPr>
          <w:rFonts w:hint="eastAsia" w:ascii="仿宋_GB2312" w:eastAsia="仿宋_GB2312"/>
          <w:color w:val="000000"/>
          <w:sz w:val="32"/>
          <w:szCs w:val="32"/>
        </w:rPr>
        <w:t xml:space="preserve">  其他群众团体事务支出（项）99</w:t>
      </w:r>
      <w:r>
        <w:rPr>
          <w:rStyle w:val="17"/>
          <w:rFonts w:hint="eastAsia" w:ascii="仿宋_GB2312" w:eastAsia="仿宋_GB2312"/>
          <w:b w:val="0"/>
          <w:color w:val="000000"/>
          <w:sz w:val="32"/>
          <w:szCs w:val="32"/>
        </w:rPr>
        <w:t>：支出决算为1万元</w:t>
      </w:r>
      <w:r>
        <w:rPr>
          <w:rStyle w:val="17"/>
          <w:rFonts w:hint="eastAsia" w:ascii="仿宋_GB2312" w:eastAsia="仿宋_GB2312"/>
          <w:b w:val="0"/>
          <w:color w:val="000000"/>
          <w:sz w:val="32"/>
          <w:szCs w:val="32"/>
          <w:lang w:eastAsia="zh-CN"/>
        </w:rPr>
        <w:t>，</w:t>
      </w:r>
      <w:r>
        <w:rPr>
          <w:rFonts w:hint="eastAsia" w:ascii="楷体_GB2312" w:hAnsi="楷体_GB2312" w:eastAsia="楷体_GB2312" w:cs="楷体_GB2312"/>
          <w:color w:val="000000"/>
          <w:sz w:val="32"/>
          <w:szCs w:val="32"/>
        </w:rPr>
        <w:t>完成预算</w:t>
      </w:r>
      <w:r>
        <w:rPr>
          <w:rStyle w:val="17"/>
          <w:rFonts w:hint="eastAsia" w:ascii="仿宋_GB2312" w:eastAsia="仿宋_GB2312"/>
          <w:b w:val="0"/>
          <w:color w:val="000000"/>
          <w:sz w:val="32"/>
          <w:szCs w:val="32"/>
        </w:rPr>
        <w:t>100%</w:t>
      </w:r>
      <w:r>
        <w:rPr>
          <w:rStyle w:val="17"/>
          <w:rFonts w:hint="eastAsia" w:ascii="仿宋_GB2312" w:eastAsia="仿宋_GB2312"/>
          <w:b w:val="0"/>
          <w:color w:val="000000"/>
          <w:sz w:val="32"/>
          <w:szCs w:val="32"/>
          <w:lang w:eastAsia="zh-CN"/>
        </w:rPr>
        <w:t>。</w:t>
      </w:r>
    </w:p>
    <w:p>
      <w:pPr>
        <w:widowControl/>
        <w:numPr>
          <w:ilvl w:val="0"/>
          <w:numId w:val="3"/>
        </w:numPr>
        <w:spacing w:line="576" w:lineRule="exact"/>
        <w:ind w:left="-220" w:leftChars="0" w:firstLine="640" w:firstLineChars="0"/>
        <w:rPr>
          <w:rStyle w:val="17"/>
          <w:rFonts w:ascii="仿宋_GB2312" w:eastAsia="仿宋_GB2312"/>
          <w:b w:val="0"/>
          <w:color w:val="000000"/>
          <w:sz w:val="32"/>
          <w:szCs w:val="32"/>
        </w:rPr>
      </w:pPr>
      <w:r>
        <w:rPr>
          <w:rFonts w:hint="eastAsia" w:ascii="仿宋_GB2312" w:hAnsi="仿宋_GB2312" w:eastAsia="仿宋_GB2312" w:cs="仿宋_GB2312"/>
          <w:kern w:val="0"/>
          <w:sz w:val="32"/>
          <w:szCs w:val="32"/>
        </w:rPr>
        <w:t>一般公共服务支出（类）201</w:t>
      </w:r>
      <w:r>
        <w:rPr>
          <w:rFonts w:hint="eastAsia" w:ascii="仿宋_GB2312" w:eastAsia="仿宋_GB2312"/>
          <w:color w:val="000000"/>
          <w:sz w:val="32"/>
          <w:szCs w:val="32"/>
        </w:rPr>
        <w:t>组织事务（款）32一般行政管理（项）02</w:t>
      </w:r>
      <w:r>
        <w:rPr>
          <w:rStyle w:val="17"/>
          <w:rFonts w:hint="eastAsia" w:ascii="仿宋_GB2312" w:eastAsia="仿宋_GB2312"/>
          <w:b w:val="0"/>
          <w:color w:val="000000"/>
          <w:sz w:val="32"/>
          <w:szCs w:val="32"/>
        </w:rPr>
        <w:t>：</w:t>
      </w:r>
      <w:r>
        <w:rPr>
          <w:rStyle w:val="17"/>
          <w:rFonts w:hint="eastAsia" w:ascii="仿宋_GB2312" w:eastAsia="仿宋_GB2312"/>
          <w:b w:val="0"/>
          <w:color w:val="000000"/>
          <w:sz w:val="32"/>
          <w:szCs w:val="32"/>
          <w:lang w:val="en-US" w:eastAsia="zh-CN"/>
        </w:rPr>
        <w:t>支出7.75万元</w:t>
      </w:r>
      <w:r>
        <w:rPr>
          <w:rStyle w:val="17"/>
          <w:rFonts w:hint="eastAsia" w:ascii="仿宋_GB2312" w:eastAsia="仿宋_GB2312"/>
          <w:b w:val="0"/>
          <w:color w:val="000000"/>
          <w:sz w:val="32"/>
          <w:szCs w:val="32"/>
          <w:lang w:eastAsia="zh-CN"/>
        </w:rPr>
        <w:t>，</w:t>
      </w:r>
      <w:r>
        <w:rPr>
          <w:rFonts w:hint="eastAsia" w:ascii="楷体_GB2312" w:hAnsi="楷体_GB2312" w:eastAsia="楷体_GB2312" w:cs="楷体_GB2312"/>
          <w:color w:val="000000"/>
          <w:sz w:val="32"/>
          <w:szCs w:val="32"/>
        </w:rPr>
        <w:t>完成预算</w:t>
      </w:r>
      <w:r>
        <w:rPr>
          <w:rStyle w:val="17"/>
          <w:rFonts w:hint="eastAsia" w:ascii="仿宋_GB2312" w:eastAsia="仿宋_GB2312"/>
          <w:b w:val="0"/>
          <w:color w:val="000000"/>
          <w:sz w:val="32"/>
          <w:szCs w:val="32"/>
        </w:rPr>
        <w:t>100%</w:t>
      </w:r>
      <w:r>
        <w:rPr>
          <w:rStyle w:val="17"/>
          <w:rFonts w:hint="eastAsia" w:ascii="仿宋_GB2312" w:eastAsia="仿宋_GB2312"/>
          <w:b w:val="0"/>
          <w:color w:val="000000"/>
          <w:sz w:val="32"/>
          <w:szCs w:val="32"/>
          <w:lang w:eastAsia="zh-CN"/>
        </w:rPr>
        <w:t>。</w:t>
      </w:r>
    </w:p>
    <w:p>
      <w:pPr>
        <w:widowControl/>
        <w:numPr>
          <w:ilvl w:val="0"/>
          <w:numId w:val="3"/>
        </w:numPr>
        <w:spacing w:line="576" w:lineRule="exact"/>
        <w:ind w:left="-220" w:leftChars="0" w:firstLine="640" w:firstLineChars="0"/>
        <w:rPr>
          <w:rStyle w:val="17"/>
          <w:rFonts w:ascii="仿宋_GB2312" w:eastAsia="仿宋_GB2312"/>
          <w:b w:val="0"/>
          <w:color w:val="000000"/>
          <w:sz w:val="32"/>
          <w:szCs w:val="32"/>
        </w:rPr>
      </w:pPr>
      <w:r>
        <w:rPr>
          <w:rFonts w:hint="eastAsia" w:ascii="仿宋_GB2312" w:hAnsi="仿宋_GB2312" w:eastAsia="仿宋_GB2312" w:cs="仿宋_GB2312"/>
          <w:kern w:val="0"/>
          <w:sz w:val="32"/>
          <w:szCs w:val="32"/>
        </w:rPr>
        <w:t>一般公共服务支出（类）201</w:t>
      </w:r>
      <w:r>
        <w:rPr>
          <w:rFonts w:hint="eastAsia" w:ascii="仿宋_GB2312" w:eastAsia="仿宋_GB2312"/>
          <w:color w:val="000000"/>
          <w:sz w:val="32"/>
          <w:szCs w:val="32"/>
        </w:rPr>
        <w:t>市场监督管理事务（款）38</w:t>
      </w:r>
      <w:r>
        <w:rPr>
          <w:rFonts w:hint="eastAsia" w:ascii="仿宋_GB2312" w:eastAsia="仿宋_GB2312"/>
          <w:color w:val="000000"/>
          <w:sz w:val="32"/>
          <w:szCs w:val="32"/>
          <w:lang w:eastAsia="zh-CN"/>
        </w:rPr>
        <w:t>，</w:t>
      </w:r>
      <w:r>
        <w:rPr>
          <w:rFonts w:hint="eastAsia" w:ascii="仿宋_GB2312" w:eastAsia="仿宋_GB2312"/>
          <w:color w:val="000000"/>
          <w:sz w:val="32"/>
          <w:szCs w:val="32"/>
        </w:rPr>
        <w:t>其他市场监督管理事务（项）99</w:t>
      </w:r>
      <w:r>
        <w:rPr>
          <w:rStyle w:val="17"/>
          <w:rFonts w:hint="eastAsia" w:ascii="仿宋_GB2312" w:eastAsia="仿宋_GB2312"/>
          <w:b w:val="0"/>
          <w:color w:val="000000"/>
          <w:sz w:val="32"/>
          <w:szCs w:val="32"/>
          <w:lang w:val="en-US" w:eastAsia="zh-CN"/>
        </w:rPr>
        <w:t>支出2万元</w:t>
      </w:r>
      <w:r>
        <w:rPr>
          <w:rStyle w:val="17"/>
          <w:rFonts w:hint="eastAsia" w:ascii="仿宋_GB2312" w:eastAsia="仿宋_GB2312"/>
          <w:b w:val="0"/>
          <w:color w:val="000000"/>
          <w:sz w:val="32"/>
          <w:szCs w:val="32"/>
          <w:lang w:eastAsia="zh-CN"/>
        </w:rPr>
        <w:t>，</w:t>
      </w:r>
      <w:r>
        <w:rPr>
          <w:rFonts w:hint="eastAsia" w:ascii="楷体_GB2312" w:hAnsi="楷体_GB2312" w:eastAsia="楷体_GB2312" w:cs="楷体_GB2312"/>
          <w:color w:val="000000"/>
          <w:sz w:val="32"/>
          <w:szCs w:val="32"/>
        </w:rPr>
        <w:t>完成预算</w:t>
      </w:r>
      <w:r>
        <w:rPr>
          <w:rStyle w:val="17"/>
          <w:rFonts w:hint="eastAsia" w:ascii="仿宋_GB2312" w:eastAsia="仿宋_GB2312"/>
          <w:b w:val="0"/>
          <w:color w:val="000000"/>
          <w:sz w:val="32"/>
          <w:szCs w:val="32"/>
        </w:rPr>
        <w:t>100%</w:t>
      </w:r>
      <w:r>
        <w:rPr>
          <w:rStyle w:val="17"/>
          <w:rFonts w:hint="eastAsia" w:ascii="仿宋_GB2312" w:eastAsia="仿宋_GB2312"/>
          <w:b w:val="0"/>
          <w:color w:val="000000"/>
          <w:sz w:val="32"/>
          <w:szCs w:val="32"/>
          <w:lang w:eastAsia="zh-CN"/>
        </w:rPr>
        <w:t>。</w:t>
      </w:r>
    </w:p>
    <w:p>
      <w:pPr>
        <w:widowControl/>
        <w:numPr>
          <w:ilvl w:val="0"/>
          <w:numId w:val="3"/>
        </w:numPr>
        <w:spacing w:line="576" w:lineRule="exact"/>
        <w:ind w:left="-220" w:leftChars="0" w:firstLine="640" w:firstLineChars="0"/>
        <w:rPr>
          <w:rStyle w:val="17"/>
          <w:rFonts w:ascii="仿宋_GB2312" w:eastAsia="仿宋_GB2312"/>
          <w:b w:val="0"/>
          <w:color w:val="000000"/>
          <w:sz w:val="32"/>
          <w:szCs w:val="32"/>
        </w:rPr>
      </w:pPr>
      <w:r>
        <w:rPr>
          <w:rFonts w:hint="eastAsia" w:ascii="仿宋_GB2312" w:hAnsi="仿宋_GB2312" w:eastAsia="仿宋_GB2312" w:cs="仿宋_GB2312"/>
          <w:kern w:val="0"/>
          <w:sz w:val="32"/>
          <w:szCs w:val="32"/>
        </w:rPr>
        <w:t>一般公共服务支出（类）201</w:t>
      </w:r>
      <w:r>
        <w:rPr>
          <w:rFonts w:hint="eastAsia" w:ascii="仿宋_GB2312" w:eastAsia="仿宋_GB2312"/>
          <w:color w:val="000000"/>
          <w:sz w:val="32"/>
          <w:szCs w:val="32"/>
        </w:rPr>
        <w:t>其他一般公共服务支出（款）99其他一般公共服务支出（项）99</w:t>
      </w:r>
      <w:r>
        <w:rPr>
          <w:rStyle w:val="17"/>
          <w:rFonts w:hint="eastAsia" w:ascii="仿宋_GB2312" w:eastAsia="仿宋_GB2312"/>
          <w:b w:val="0"/>
          <w:color w:val="000000"/>
          <w:sz w:val="32"/>
          <w:szCs w:val="32"/>
        </w:rPr>
        <w:t>：支出决算为102.54万元</w:t>
      </w:r>
      <w:r>
        <w:rPr>
          <w:rStyle w:val="17"/>
          <w:rFonts w:hint="eastAsia" w:ascii="仿宋_GB2312" w:eastAsia="仿宋_GB2312"/>
          <w:b w:val="0"/>
          <w:color w:val="000000"/>
          <w:sz w:val="32"/>
          <w:szCs w:val="32"/>
          <w:lang w:eastAsia="zh-CN"/>
        </w:rPr>
        <w:t>，</w:t>
      </w:r>
      <w:r>
        <w:rPr>
          <w:rFonts w:hint="eastAsia" w:ascii="楷体_GB2312" w:hAnsi="楷体_GB2312" w:eastAsia="楷体_GB2312" w:cs="楷体_GB2312"/>
          <w:color w:val="000000"/>
          <w:sz w:val="32"/>
          <w:szCs w:val="32"/>
        </w:rPr>
        <w:t>完成预算</w:t>
      </w:r>
      <w:r>
        <w:rPr>
          <w:rStyle w:val="17"/>
          <w:rFonts w:hint="eastAsia" w:ascii="仿宋_GB2312" w:eastAsia="仿宋_GB2312"/>
          <w:b w:val="0"/>
          <w:color w:val="000000"/>
          <w:sz w:val="32"/>
          <w:szCs w:val="32"/>
        </w:rPr>
        <w:t>100%</w:t>
      </w:r>
      <w:r>
        <w:rPr>
          <w:rStyle w:val="17"/>
          <w:rFonts w:hint="eastAsia" w:ascii="仿宋_GB2312" w:eastAsia="仿宋_GB2312"/>
          <w:b w:val="0"/>
          <w:color w:val="000000"/>
          <w:sz w:val="32"/>
          <w:szCs w:val="32"/>
          <w:lang w:eastAsia="zh-CN"/>
        </w:rPr>
        <w:t>。</w:t>
      </w:r>
    </w:p>
    <w:p>
      <w:pPr>
        <w:numPr>
          <w:ilvl w:val="0"/>
          <w:numId w:val="4"/>
        </w:numPr>
        <w:spacing w:line="576" w:lineRule="exact"/>
        <w:ind w:left="-110" w:leftChars="0" w:firstLine="320" w:firstLineChars="0"/>
        <w:rPr>
          <w:rStyle w:val="17"/>
          <w:rFonts w:hint="eastAsia" w:ascii="仿宋_GB2312" w:eastAsia="仿宋_GB2312"/>
          <w:b w:val="0"/>
          <w:color w:val="000000"/>
          <w:sz w:val="32"/>
          <w:szCs w:val="32"/>
          <w:lang w:eastAsia="zh-CN"/>
        </w:rPr>
      </w:pPr>
      <w:r>
        <w:rPr>
          <w:rFonts w:hint="eastAsia" w:ascii="楷体_GB2312" w:hAnsi="楷体_GB2312" w:eastAsia="楷体_GB2312" w:cs="楷体_GB2312"/>
          <w:color w:val="000000"/>
          <w:sz w:val="32"/>
          <w:szCs w:val="32"/>
        </w:rPr>
        <w:t>公共安全支出（类）204，支出决算为7万元，完成预算</w:t>
      </w:r>
      <w:r>
        <w:rPr>
          <w:rStyle w:val="17"/>
          <w:rFonts w:hint="eastAsia" w:ascii="仿宋_GB2312" w:eastAsia="仿宋_GB2312"/>
          <w:b w:val="0"/>
          <w:color w:val="000000"/>
          <w:sz w:val="32"/>
          <w:szCs w:val="32"/>
        </w:rPr>
        <w:t>100%</w:t>
      </w:r>
      <w:r>
        <w:rPr>
          <w:rStyle w:val="17"/>
          <w:rFonts w:hint="eastAsia" w:ascii="仿宋_GB2312" w:eastAsia="仿宋_GB2312"/>
          <w:b w:val="0"/>
          <w:color w:val="000000"/>
          <w:sz w:val="32"/>
          <w:szCs w:val="32"/>
          <w:lang w:eastAsia="zh-CN"/>
        </w:rPr>
        <w:t>。</w:t>
      </w:r>
    </w:p>
    <w:p>
      <w:pPr>
        <w:widowControl/>
        <w:numPr>
          <w:ilvl w:val="0"/>
          <w:numId w:val="0"/>
        </w:numPr>
        <w:spacing w:line="576" w:lineRule="exact"/>
        <w:rPr>
          <w:rStyle w:val="17"/>
          <w:rFonts w:hint="eastAsia" w:ascii="仿宋_GB2312" w:eastAsia="仿宋_GB2312"/>
          <w:b w:val="0"/>
          <w:color w:val="000000"/>
          <w:sz w:val="32"/>
          <w:szCs w:val="32"/>
          <w:lang w:eastAsia="zh-CN"/>
        </w:rPr>
      </w:pPr>
      <w:r>
        <w:rPr>
          <w:rFonts w:hint="eastAsia" w:ascii="楷体_GB2312" w:hAnsi="楷体_GB2312" w:eastAsia="楷体_GB2312" w:cs="楷体_GB2312"/>
          <w:color w:val="000000"/>
          <w:sz w:val="32"/>
          <w:szCs w:val="32"/>
          <w:lang w:val="en-US" w:eastAsia="zh-CN"/>
        </w:rPr>
        <w:t>1.</w:t>
      </w:r>
      <w:r>
        <w:rPr>
          <w:rFonts w:hint="eastAsia" w:ascii="楷体_GB2312" w:hAnsi="楷体_GB2312" w:eastAsia="楷体_GB2312" w:cs="楷体_GB2312"/>
          <w:color w:val="000000"/>
          <w:sz w:val="32"/>
          <w:szCs w:val="32"/>
        </w:rPr>
        <w:t>公共安全支出（类）204</w:t>
      </w:r>
      <w:r>
        <w:rPr>
          <w:rFonts w:hint="eastAsia" w:ascii="仿宋_GB2312" w:eastAsia="仿宋_GB2312"/>
          <w:color w:val="000000"/>
          <w:sz w:val="32"/>
          <w:szCs w:val="32"/>
        </w:rPr>
        <w:t>国家安全（款）03其他国家安全支出（项）99</w:t>
      </w:r>
      <w:r>
        <w:rPr>
          <w:rStyle w:val="17"/>
          <w:rFonts w:hint="eastAsia" w:ascii="仿宋_GB2312" w:eastAsia="仿宋_GB2312"/>
          <w:b w:val="0"/>
          <w:color w:val="000000"/>
          <w:sz w:val="32"/>
          <w:szCs w:val="32"/>
        </w:rPr>
        <w:t>：支出决算为5万元</w:t>
      </w:r>
      <w:r>
        <w:rPr>
          <w:rStyle w:val="17"/>
          <w:rFonts w:hint="eastAsia" w:ascii="仿宋_GB2312" w:eastAsia="仿宋_GB2312"/>
          <w:b w:val="0"/>
          <w:color w:val="000000"/>
          <w:sz w:val="32"/>
          <w:szCs w:val="32"/>
          <w:lang w:eastAsia="zh-CN"/>
        </w:rPr>
        <w:t>，</w:t>
      </w:r>
      <w:r>
        <w:rPr>
          <w:rFonts w:hint="eastAsia" w:ascii="楷体_GB2312" w:hAnsi="楷体_GB2312" w:eastAsia="楷体_GB2312" w:cs="楷体_GB2312"/>
          <w:color w:val="000000"/>
          <w:sz w:val="32"/>
          <w:szCs w:val="32"/>
        </w:rPr>
        <w:t>完成预算</w:t>
      </w:r>
      <w:r>
        <w:rPr>
          <w:rStyle w:val="17"/>
          <w:rFonts w:hint="eastAsia" w:ascii="仿宋_GB2312" w:eastAsia="仿宋_GB2312"/>
          <w:b w:val="0"/>
          <w:color w:val="000000"/>
          <w:sz w:val="32"/>
          <w:szCs w:val="32"/>
        </w:rPr>
        <w:t>100%</w:t>
      </w:r>
      <w:r>
        <w:rPr>
          <w:rStyle w:val="17"/>
          <w:rFonts w:hint="eastAsia" w:ascii="仿宋_GB2312" w:eastAsia="仿宋_GB2312"/>
          <w:b w:val="0"/>
          <w:color w:val="000000"/>
          <w:sz w:val="32"/>
          <w:szCs w:val="32"/>
          <w:lang w:eastAsia="zh-CN"/>
        </w:rPr>
        <w:t>。</w:t>
      </w:r>
    </w:p>
    <w:p>
      <w:pPr>
        <w:pStyle w:val="2"/>
        <w:numPr>
          <w:ilvl w:val="0"/>
          <w:numId w:val="0"/>
        </w:numPr>
      </w:pPr>
      <w:r>
        <w:rPr>
          <w:rFonts w:hint="eastAsia"/>
          <w:lang w:val="en-US" w:eastAsia="zh-CN"/>
        </w:rPr>
        <w:t>2.</w:t>
      </w:r>
      <w:r>
        <w:rPr>
          <w:rFonts w:hint="eastAsia" w:ascii="楷体_GB2312" w:hAnsi="楷体_GB2312" w:eastAsia="楷体_GB2312" w:cs="楷体_GB2312"/>
          <w:color w:val="000000"/>
          <w:sz w:val="32"/>
          <w:szCs w:val="32"/>
        </w:rPr>
        <w:t>公共安全支出（类）</w:t>
      </w:r>
      <w:r>
        <w:rPr>
          <w:rFonts w:hint="eastAsia" w:ascii="楷体_GB2312" w:hAnsi="楷体_GB2312" w:eastAsia="楷体_GB2312" w:cs="楷体_GB2312"/>
          <w:color w:val="000000"/>
          <w:sz w:val="32"/>
          <w:szCs w:val="32"/>
          <w:lang w:val="en-US" w:eastAsia="zh-CN"/>
        </w:rPr>
        <w:t>204</w:t>
      </w:r>
      <w:r>
        <w:rPr>
          <w:rFonts w:hint="eastAsia" w:ascii="仿宋_GB2312" w:eastAsia="仿宋_GB2312"/>
          <w:color w:val="000000"/>
          <w:sz w:val="32"/>
          <w:szCs w:val="32"/>
        </w:rPr>
        <w:t>司法（款）06普法宣传（项）05</w:t>
      </w:r>
      <w:r>
        <w:rPr>
          <w:rStyle w:val="17"/>
          <w:rFonts w:hint="eastAsia" w:ascii="仿宋_GB2312" w:eastAsia="仿宋_GB2312"/>
          <w:b w:val="0"/>
          <w:color w:val="000000"/>
          <w:sz w:val="32"/>
          <w:szCs w:val="32"/>
        </w:rPr>
        <w:t>：支出决算为2万元</w:t>
      </w:r>
      <w:r>
        <w:rPr>
          <w:rStyle w:val="17"/>
          <w:rFonts w:hint="eastAsia" w:ascii="仿宋_GB2312" w:eastAsia="仿宋_GB2312"/>
          <w:b w:val="0"/>
          <w:color w:val="000000"/>
          <w:sz w:val="32"/>
          <w:szCs w:val="32"/>
          <w:lang w:eastAsia="zh-CN"/>
        </w:rPr>
        <w:t>，</w:t>
      </w:r>
      <w:r>
        <w:rPr>
          <w:rFonts w:hint="eastAsia" w:ascii="楷体_GB2312" w:hAnsi="楷体_GB2312" w:eastAsia="楷体_GB2312" w:cs="楷体_GB2312"/>
          <w:color w:val="000000"/>
          <w:sz w:val="32"/>
          <w:szCs w:val="32"/>
        </w:rPr>
        <w:t>完成预算</w:t>
      </w:r>
      <w:r>
        <w:rPr>
          <w:rStyle w:val="17"/>
          <w:rFonts w:hint="eastAsia" w:ascii="仿宋_GB2312" w:eastAsia="仿宋_GB2312"/>
          <w:b w:val="0"/>
          <w:color w:val="000000"/>
          <w:sz w:val="32"/>
          <w:szCs w:val="32"/>
        </w:rPr>
        <w:t>100%</w:t>
      </w:r>
      <w:r>
        <w:rPr>
          <w:rStyle w:val="17"/>
          <w:rFonts w:hint="eastAsia" w:ascii="仿宋_GB2312" w:eastAsia="仿宋_GB2312"/>
          <w:b w:val="0"/>
          <w:color w:val="000000"/>
          <w:sz w:val="32"/>
          <w:szCs w:val="32"/>
          <w:lang w:eastAsia="zh-CN"/>
        </w:rPr>
        <w:t>。</w:t>
      </w:r>
    </w:p>
    <w:p>
      <w:pPr>
        <w:spacing w:line="576" w:lineRule="exact"/>
        <w:ind w:firstLine="320" w:firstLineChars="100"/>
        <w:rPr>
          <w:rStyle w:val="17"/>
          <w:rFonts w:hint="eastAsia" w:ascii="仿宋_GB2312" w:eastAsia="仿宋_GB2312"/>
          <w:b w:val="0"/>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社会保障和就业支出（类）208，支出决算为27.88万元，完成预算</w:t>
      </w:r>
      <w:r>
        <w:rPr>
          <w:rStyle w:val="17"/>
          <w:rFonts w:hint="eastAsia" w:ascii="仿宋_GB2312" w:eastAsia="仿宋_GB2312"/>
          <w:b w:val="0"/>
          <w:sz w:val="32"/>
          <w:szCs w:val="32"/>
        </w:rPr>
        <w:t>100%</w:t>
      </w:r>
      <w:r>
        <w:rPr>
          <w:rStyle w:val="17"/>
          <w:rFonts w:hint="eastAsia" w:ascii="仿宋_GB2312" w:eastAsia="仿宋_GB2312"/>
          <w:b w:val="0"/>
          <w:sz w:val="32"/>
          <w:szCs w:val="32"/>
          <w:lang w:eastAsia="zh-CN"/>
        </w:rPr>
        <w:t>。</w:t>
      </w:r>
    </w:p>
    <w:p>
      <w:pPr>
        <w:spacing w:line="576" w:lineRule="exact"/>
        <w:ind w:firstLine="320" w:firstLineChars="100"/>
        <w:rPr>
          <w:rStyle w:val="17"/>
          <w:rFonts w:hint="eastAsia" w:ascii="仿宋_GB2312" w:eastAsia="仿宋_GB2312"/>
          <w:b w:val="0"/>
          <w:color w:val="000000"/>
          <w:sz w:val="32"/>
          <w:szCs w:val="32"/>
          <w:lang w:eastAsia="zh-CN"/>
        </w:rPr>
      </w:pPr>
      <w:r>
        <w:rPr>
          <w:rFonts w:hint="eastAsia" w:ascii="仿宋_GB2312" w:eastAsia="仿宋_GB2312"/>
          <w:color w:val="000000"/>
          <w:sz w:val="32"/>
          <w:szCs w:val="32"/>
          <w:lang w:val="en-US" w:eastAsia="zh-CN"/>
        </w:rPr>
        <w:t>1.</w:t>
      </w:r>
      <w:r>
        <w:rPr>
          <w:rFonts w:hint="eastAsia" w:ascii="楷体_GB2312" w:hAnsi="楷体_GB2312" w:eastAsia="楷体_GB2312" w:cs="楷体_GB2312"/>
          <w:sz w:val="32"/>
          <w:szCs w:val="32"/>
        </w:rPr>
        <w:t>社会保障和就业支出（类）208</w:t>
      </w:r>
      <w:r>
        <w:rPr>
          <w:rFonts w:hint="eastAsia" w:ascii="仿宋_GB2312" w:eastAsia="仿宋_GB2312"/>
          <w:color w:val="000000"/>
          <w:sz w:val="32"/>
          <w:szCs w:val="32"/>
        </w:rPr>
        <w:t>行政事业单位养老支出（款）05机关事业单位基本养老保险缴费支出（项）05</w:t>
      </w:r>
      <w:r>
        <w:rPr>
          <w:rStyle w:val="17"/>
          <w:rFonts w:hint="eastAsia" w:ascii="仿宋_GB2312" w:eastAsia="仿宋_GB2312"/>
          <w:b w:val="0"/>
          <w:color w:val="000000"/>
          <w:sz w:val="32"/>
          <w:szCs w:val="32"/>
        </w:rPr>
        <w:t>：支出决算为21.97万元</w:t>
      </w:r>
      <w:r>
        <w:rPr>
          <w:rStyle w:val="17"/>
          <w:rFonts w:hint="eastAsia" w:ascii="仿宋_GB2312" w:eastAsia="仿宋_GB2312"/>
          <w:b w:val="0"/>
          <w:color w:val="000000"/>
          <w:sz w:val="32"/>
          <w:szCs w:val="32"/>
          <w:lang w:eastAsia="zh-CN"/>
        </w:rPr>
        <w:t>，</w:t>
      </w:r>
      <w:r>
        <w:rPr>
          <w:rFonts w:hint="eastAsia" w:ascii="楷体_GB2312" w:hAnsi="楷体_GB2312" w:eastAsia="楷体_GB2312" w:cs="楷体_GB2312"/>
          <w:color w:val="000000"/>
          <w:sz w:val="32"/>
          <w:szCs w:val="32"/>
        </w:rPr>
        <w:t>完成预算</w:t>
      </w:r>
      <w:r>
        <w:rPr>
          <w:rStyle w:val="17"/>
          <w:rFonts w:hint="eastAsia" w:ascii="仿宋_GB2312" w:eastAsia="仿宋_GB2312"/>
          <w:b w:val="0"/>
          <w:color w:val="000000"/>
          <w:sz w:val="32"/>
          <w:szCs w:val="32"/>
        </w:rPr>
        <w:t>100%</w:t>
      </w:r>
      <w:r>
        <w:rPr>
          <w:rStyle w:val="17"/>
          <w:rFonts w:hint="eastAsia" w:ascii="仿宋_GB2312" w:eastAsia="仿宋_GB2312"/>
          <w:b w:val="0"/>
          <w:color w:val="000000"/>
          <w:sz w:val="32"/>
          <w:szCs w:val="32"/>
          <w:lang w:eastAsia="zh-CN"/>
        </w:rPr>
        <w:t>。</w:t>
      </w:r>
    </w:p>
    <w:p>
      <w:pPr>
        <w:spacing w:line="576" w:lineRule="exact"/>
        <w:ind w:firstLine="320" w:firstLineChars="100"/>
        <w:rPr>
          <w:rStyle w:val="17"/>
          <w:rFonts w:hint="eastAsia" w:ascii="仿宋_GB2312" w:eastAsia="仿宋_GB2312"/>
          <w:b w:val="0"/>
          <w:color w:val="000000"/>
          <w:sz w:val="32"/>
          <w:szCs w:val="32"/>
          <w:lang w:eastAsia="zh-CN"/>
        </w:rPr>
      </w:pPr>
      <w:r>
        <w:rPr>
          <w:rFonts w:hint="eastAsia" w:ascii="仿宋_GB2312" w:eastAsia="仿宋_GB2312"/>
          <w:color w:val="000000"/>
          <w:sz w:val="32"/>
          <w:szCs w:val="32"/>
          <w:lang w:val="en-US" w:eastAsia="zh-CN"/>
        </w:rPr>
        <w:t>2.</w:t>
      </w:r>
      <w:r>
        <w:rPr>
          <w:rFonts w:hint="eastAsia" w:ascii="楷体_GB2312" w:hAnsi="楷体_GB2312" w:eastAsia="楷体_GB2312" w:cs="楷体_GB2312"/>
          <w:sz w:val="32"/>
          <w:szCs w:val="32"/>
        </w:rPr>
        <w:t>社会保障和就业支出（类）208</w:t>
      </w:r>
      <w:r>
        <w:rPr>
          <w:rFonts w:hint="eastAsia" w:ascii="仿宋_GB2312" w:eastAsia="仿宋_GB2312"/>
          <w:color w:val="000000"/>
          <w:sz w:val="32"/>
          <w:szCs w:val="32"/>
        </w:rPr>
        <w:t>行政事业单位养老支出（款）05机关事业单位职业年金缴费支出（项）06</w:t>
      </w:r>
      <w:r>
        <w:rPr>
          <w:rStyle w:val="17"/>
          <w:rFonts w:hint="eastAsia" w:ascii="仿宋_GB2312" w:eastAsia="仿宋_GB2312"/>
          <w:b w:val="0"/>
          <w:color w:val="000000"/>
          <w:sz w:val="32"/>
          <w:szCs w:val="32"/>
        </w:rPr>
        <w:t>：支出决算为5.91万元</w:t>
      </w:r>
      <w:r>
        <w:rPr>
          <w:rStyle w:val="17"/>
          <w:rFonts w:hint="eastAsia" w:ascii="仿宋_GB2312" w:eastAsia="仿宋_GB2312"/>
          <w:b w:val="0"/>
          <w:color w:val="000000"/>
          <w:sz w:val="32"/>
          <w:szCs w:val="32"/>
          <w:lang w:eastAsia="zh-CN"/>
        </w:rPr>
        <w:t>，</w:t>
      </w:r>
      <w:r>
        <w:rPr>
          <w:rFonts w:hint="eastAsia" w:ascii="楷体_GB2312" w:hAnsi="楷体_GB2312" w:eastAsia="楷体_GB2312" w:cs="楷体_GB2312"/>
          <w:color w:val="000000"/>
          <w:sz w:val="32"/>
          <w:szCs w:val="32"/>
        </w:rPr>
        <w:t>完成预算</w:t>
      </w:r>
      <w:r>
        <w:rPr>
          <w:rStyle w:val="17"/>
          <w:rFonts w:hint="eastAsia" w:ascii="仿宋_GB2312" w:eastAsia="仿宋_GB2312"/>
          <w:b w:val="0"/>
          <w:color w:val="000000"/>
          <w:sz w:val="32"/>
          <w:szCs w:val="32"/>
        </w:rPr>
        <w:t>100%</w:t>
      </w:r>
      <w:r>
        <w:rPr>
          <w:rStyle w:val="17"/>
          <w:rFonts w:hint="eastAsia" w:ascii="仿宋_GB2312" w:eastAsia="仿宋_GB2312"/>
          <w:b w:val="0"/>
          <w:color w:val="000000"/>
          <w:sz w:val="32"/>
          <w:szCs w:val="32"/>
          <w:lang w:eastAsia="zh-CN"/>
        </w:rPr>
        <w:t>。</w:t>
      </w:r>
    </w:p>
    <w:p>
      <w:pPr>
        <w:spacing w:line="576" w:lineRule="exact"/>
        <w:ind w:firstLine="320" w:firstLineChars="100"/>
        <w:rPr>
          <w:rStyle w:val="17"/>
          <w:rFonts w:hint="eastAsia" w:ascii="仿宋_GB2312" w:eastAsia="仿宋_GB2312"/>
          <w:b w:val="0"/>
          <w:color w:val="000000"/>
          <w:sz w:val="32"/>
          <w:szCs w:val="32"/>
          <w:lang w:eastAsia="zh-CN"/>
        </w:rPr>
      </w:pP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lang w:val="en-US" w:eastAsia="zh-CN"/>
        </w:rPr>
        <w:t>四</w:t>
      </w: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rPr>
        <w:t>卫生健康支出（类）210，支出决算为10.99万元，完成预算</w:t>
      </w:r>
      <w:r>
        <w:rPr>
          <w:rStyle w:val="17"/>
          <w:rFonts w:hint="eastAsia" w:ascii="仿宋_GB2312" w:eastAsia="仿宋_GB2312"/>
          <w:b w:val="0"/>
          <w:color w:val="000000"/>
          <w:sz w:val="32"/>
          <w:szCs w:val="32"/>
        </w:rPr>
        <w:t>100%</w:t>
      </w:r>
      <w:r>
        <w:rPr>
          <w:rStyle w:val="17"/>
          <w:rFonts w:hint="eastAsia" w:ascii="仿宋_GB2312" w:eastAsia="仿宋_GB2312"/>
          <w:b w:val="0"/>
          <w:color w:val="000000"/>
          <w:sz w:val="32"/>
          <w:szCs w:val="32"/>
          <w:lang w:eastAsia="zh-CN"/>
        </w:rPr>
        <w:t>。</w:t>
      </w:r>
    </w:p>
    <w:p>
      <w:pPr>
        <w:spacing w:line="576" w:lineRule="exact"/>
        <w:ind w:firstLine="320" w:firstLineChars="100"/>
        <w:rPr>
          <w:rStyle w:val="17"/>
          <w:rFonts w:ascii="仿宋_GB2312" w:eastAsia="仿宋_GB2312"/>
          <w:b w:val="0"/>
          <w:color w:val="000000"/>
          <w:sz w:val="32"/>
          <w:szCs w:val="32"/>
        </w:rPr>
      </w:pPr>
      <w:r>
        <w:rPr>
          <w:rFonts w:hint="eastAsia" w:ascii="仿宋_GB2312" w:eastAsia="仿宋_GB2312"/>
          <w:color w:val="000000"/>
          <w:sz w:val="32"/>
          <w:szCs w:val="32"/>
          <w:lang w:val="en-US" w:eastAsia="zh-CN"/>
        </w:rPr>
        <w:t>1.</w:t>
      </w:r>
      <w:r>
        <w:rPr>
          <w:rFonts w:hint="eastAsia" w:ascii="楷体_GB2312" w:hAnsi="楷体_GB2312" w:eastAsia="楷体_GB2312" w:cs="楷体_GB2312"/>
          <w:color w:val="000000"/>
          <w:sz w:val="32"/>
          <w:szCs w:val="32"/>
        </w:rPr>
        <w:t>卫生健康支出（类）210</w:t>
      </w:r>
      <w:r>
        <w:rPr>
          <w:rFonts w:hint="eastAsia" w:ascii="仿宋_GB2312" w:eastAsia="仿宋_GB2312"/>
          <w:color w:val="000000"/>
          <w:sz w:val="32"/>
          <w:szCs w:val="32"/>
        </w:rPr>
        <w:t>行政事业单位医疗（类）11行政单位医疗（项）01</w:t>
      </w:r>
      <w:r>
        <w:rPr>
          <w:rStyle w:val="17"/>
          <w:rFonts w:hint="eastAsia" w:ascii="仿宋_GB2312" w:eastAsia="仿宋_GB2312"/>
          <w:b w:val="0"/>
          <w:color w:val="000000"/>
          <w:sz w:val="32"/>
          <w:szCs w:val="32"/>
        </w:rPr>
        <w:t>：支出决算为10.99万元</w:t>
      </w:r>
      <w:r>
        <w:rPr>
          <w:rStyle w:val="17"/>
          <w:rFonts w:hint="eastAsia" w:ascii="仿宋_GB2312" w:eastAsia="仿宋_GB2312"/>
          <w:b w:val="0"/>
          <w:color w:val="000000"/>
          <w:sz w:val="32"/>
          <w:szCs w:val="32"/>
          <w:lang w:eastAsia="zh-CN"/>
        </w:rPr>
        <w:t>，</w:t>
      </w:r>
      <w:r>
        <w:rPr>
          <w:rFonts w:hint="eastAsia" w:ascii="楷体_GB2312" w:hAnsi="楷体_GB2312" w:eastAsia="楷体_GB2312" w:cs="楷体_GB2312"/>
          <w:color w:val="000000"/>
          <w:sz w:val="32"/>
          <w:szCs w:val="32"/>
        </w:rPr>
        <w:t>完成预算</w:t>
      </w:r>
      <w:r>
        <w:rPr>
          <w:rStyle w:val="17"/>
          <w:rFonts w:hint="eastAsia" w:ascii="仿宋_GB2312" w:eastAsia="仿宋_GB2312"/>
          <w:b w:val="0"/>
          <w:color w:val="000000"/>
          <w:sz w:val="32"/>
          <w:szCs w:val="32"/>
        </w:rPr>
        <w:t>100%</w:t>
      </w:r>
      <w:r>
        <w:rPr>
          <w:rStyle w:val="17"/>
          <w:rFonts w:hint="eastAsia" w:ascii="仿宋_GB2312" w:eastAsia="仿宋_GB2312"/>
          <w:b w:val="0"/>
          <w:color w:val="000000"/>
          <w:sz w:val="32"/>
          <w:szCs w:val="32"/>
          <w:lang w:eastAsia="zh-CN"/>
        </w:rPr>
        <w:t>。</w:t>
      </w:r>
      <w:r>
        <w:rPr>
          <w:rStyle w:val="17"/>
          <w:rFonts w:hint="eastAsia" w:ascii="仿宋_GB2312" w:eastAsia="仿宋_GB2312"/>
          <w:b w:val="0"/>
          <w:color w:val="000000"/>
          <w:sz w:val="32"/>
          <w:szCs w:val="32"/>
        </w:rPr>
        <w:t>。</w:t>
      </w:r>
    </w:p>
    <w:p>
      <w:pPr>
        <w:spacing w:line="576" w:lineRule="exact"/>
        <w:ind w:firstLine="320" w:firstLineChars="100"/>
        <w:rPr>
          <w:rStyle w:val="17"/>
          <w:rFonts w:hint="eastAsia" w:ascii="仿宋_GB2312" w:eastAsia="仿宋_GB2312"/>
          <w:b w:val="0"/>
          <w:color w:val="000000"/>
          <w:sz w:val="32"/>
          <w:szCs w:val="32"/>
          <w:lang w:eastAsia="zh-CN"/>
        </w:rPr>
      </w:pP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lang w:val="en-US" w:eastAsia="zh-CN"/>
        </w:rPr>
        <w:t>五</w:t>
      </w: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rPr>
        <w:t>城乡社区支出（类）212，支出决算为9万元，完成预算</w:t>
      </w:r>
      <w:r>
        <w:rPr>
          <w:rStyle w:val="17"/>
          <w:rFonts w:hint="eastAsia" w:ascii="仿宋_GB2312" w:eastAsia="仿宋_GB2312"/>
          <w:b w:val="0"/>
          <w:color w:val="000000"/>
          <w:sz w:val="32"/>
          <w:szCs w:val="32"/>
        </w:rPr>
        <w:t>100%</w:t>
      </w:r>
      <w:r>
        <w:rPr>
          <w:rStyle w:val="17"/>
          <w:rFonts w:hint="eastAsia" w:ascii="仿宋_GB2312" w:eastAsia="仿宋_GB2312"/>
          <w:b w:val="0"/>
          <w:color w:val="000000"/>
          <w:sz w:val="32"/>
          <w:szCs w:val="32"/>
          <w:lang w:eastAsia="zh-CN"/>
        </w:rPr>
        <w:t>。</w:t>
      </w:r>
    </w:p>
    <w:p>
      <w:pPr>
        <w:spacing w:line="576" w:lineRule="exact"/>
        <w:ind w:firstLine="320" w:firstLineChars="100"/>
        <w:rPr>
          <w:rStyle w:val="17"/>
          <w:rFonts w:hint="eastAsia" w:ascii="仿宋_GB2312" w:eastAsia="仿宋_GB2312"/>
          <w:b w:val="0"/>
          <w:color w:val="000000"/>
          <w:sz w:val="32"/>
          <w:szCs w:val="32"/>
          <w:lang w:eastAsia="zh-CN"/>
        </w:rPr>
      </w:pPr>
      <w:r>
        <w:rPr>
          <w:rStyle w:val="17"/>
          <w:rFonts w:hint="eastAsia" w:ascii="仿宋_GB2312" w:eastAsia="仿宋_GB2312"/>
          <w:b w:val="0"/>
          <w:color w:val="000000"/>
          <w:sz w:val="32"/>
          <w:szCs w:val="32"/>
          <w:lang w:val="en-US" w:eastAsia="zh-CN"/>
        </w:rPr>
        <w:t>1.</w:t>
      </w:r>
      <w:r>
        <w:rPr>
          <w:rFonts w:hint="eastAsia" w:ascii="楷体_GB2312" w:hAnsi="楷体_GB2312" w:eastAsia="楷体_GB2312" w:cs="楷体_GB2312"/>
          <w:color w:val="000000"/>
          <w:sz w:val="32"/>
          <w:szCs w:val="32"/>
        </w:rPr>
        <w:t>城乡社区支出（类）212</w:t>
      </w:r>
      <w:r>
        <w:rPr>
          <w:rFonts w:hint="eastAsia" w:ascii="仿宋_GB2312" w:eastAsia="仿宋_GB2312"/>
          <w:color w:val="000000"/>
          <w:sz w:val="32"/>
          <w:szCs w:val="32"/>
        </w:rPr>
        <w:t>城乡社区管理事务（款）01城管执法（项）04</w:t>
      </w:r>
      <w:r>
        <w:rPr>
          <w:rStyle w:val="17"/>
          <w:rFonts w:hint="eastAsia" w:ascii="仿宋_GB2312" w:eastAsia="仿宋_GB2312"/>
          <w:b w:val="0"/>
          <w:color w:val="000000"/>
          <w:sz w:val="32"/>
          <w:szCs w:val="32"/>
        </w:rPr>
        <w:t>：支出决算为1万元</w:t>
      </w:r>
      <w:r>
        <w:rPr>
          <w:rStyle w:val="17"/>
          <w:rFonts w:hint="eastAsia" w:ascii="仿宋_GB2312" w:eastAsia="仿宋_GB2312"/>
          <w:b w:val="0"/>
          <w:color w:val="000000"/>
          <w:sz w:val="32"/>
          <w:szCs w:val="32"/>
          <w:lang w:eastAsia="zh-CN"/>
        </w:rPr>
        <w:t>，</w:t>
      </w:r>
      <w:r>
        <w:rPr>
          <w:rFonts w:hint="eastAsia" w:ascii="楷体_GB2312" w:hAnsi="楷体_GB2312" w:eastAsia="楷体_GB2312" w:cs="楷体_GB2312"/>
          <w:color w:val="000000"/>
          <w:sz w:val="32"/>
          <w:szCs w:val="32"/>
        </w:rPr>
        <w:t>完成预算</w:t>
      </w:r>
      <w:r>
        <w:rPr>
          <w:rStyle w:val="17"/>
          <w:rFonts w:hint="eastAsia" w:ascii="仿宋_GB2312" w:eastAsia="仿宋_GB2312"/>
          <w:b w:val="0"/>
          <w:color w:val="000000"/>
          <w:sz w:val="32"/>
          <w:szCs w:val="32"/>
        </w:rPr>
        <w:t>100%</w:t>
      </w:r>
      <w:r>
        <w:rPr>
          <w:rStyle w:val="17"/>
          <w:rFonts w:hint="eastAsia" w:ascii="仿宋_GB2312" w:eastAsia="仿宋_GB2312"/>
          <w:b w:val="0"/>
          <w:color w:val="000000"/>
          <w:sz w:val="32"/>
          <w:szCs w:val="32"/>
          <w:lang w:eastAsia="zh-CN"/>
        </w:rPr>
        <w:t>。</w:t>
      </w:r>
    </w:p>
    <w:p>
      <w:pPr>
        <w:spacing w:line="576" w:lineRule="exact"/>
        <w:ind w:firstLine="320" w:firstLineChars="100"/>
        <w:rPr>
          <w:rStyle w:val="17"/>
          <w:rFonts w:hint="eastAsia" w:ascii="仿宋_GB2312" w:eastAsia="仿宋_GB2312"/>
          <w:b w:val="0"/>
          <w:color w:val="000000"/>
          <w:sz w:val="32"/>
          <w:szCs w:val="32"/>
          <w:lang w:eastAsia="zh-CN"/>
        </w:rPr>
      </w:pPr>
      <w:r>
        <w:rPr>
          <w:rStyle w:val="17"/>
          <w:rFonts w:hint="eastAsia" w:ascii="仿宋_GB2312" w:eastAsia="仿宋_GB2312"/>
          <w:b w:val="0"/>
          <w:color w:val="000000"/>
          <w:sz w:val="32"/>
          <w:szCs w:val="32"/>
          <w:lang w:val="en-US" w:eastAsia="zh-CN"/>
        </w:rPr>
        <w:t>2.</w:t>
      </w:r>
      <w:r>
        <w:rPr>
          <w:rFonts w:hint="eastAsia" w:ascii="楷体_GB2312" w:hAnsi="楷体_GB2312" w:eastAsia="楷体_GB2312" w:cs="楷体_GB2312"/>
          <w:color w:val="000000"/>
          <w:sz w:val="32"/>
          <w:szCs w:val="32"/>
        </w:rPr>
        <w:t>城乡社区支出（类）212</w:t>
      </w:r>
      <w:r>
        <w:rPr>
          <w:rStyle w:val="17"/>
          <w:rFonts w:hint="eastAsia" w:ascii="仿宋_GB2312" w:eastAsia="仿宋_GB2312"/>
          <w:b w:val="0"/>
          <w:color w:val="000000"/>
          <w:sz w:val="32"/>
          <w:szCs w:val="32"/>
        </w:rPr>
        <w:t>城乡社区公共设施（款）03其他城乡社区公共设施支出（项）99：支出决算为5万元</w:t>
      </w:r>
      <w:r>
        <w:rPr>
          <w:rStyle w:val="17"/>
          <w:rFonts w:hint="eastAsia" w:ascii="仿宋_GB2312" w:eastAsia="仿宋_GB2312"/>
          <w:b w:val="0"/>
          <w:color w:val="000000"/>
          <w:sz w:val="32"/>
          <w:szCs w:val="32"/>
          <w:lang w:eastAsia="zh-CN"/>
        </w:rPr>
        <w:t>，</w:t>
      </w:r>
      <w:r>
        <w:rPr>
          <w:rFonts w:hint="eastAsia" w:ascii="楷体_GB2312" w:hAnsi="楷体_GB2312" w:eastAsia="楷体_GB2312" w:cs="楷体_GB2312"/>
          <w:color w:val="000000"/>
          <w:sz w:val="32"/>
          <w:szCs w:val="32"/>
        </w:rPr>
        <w:t>完成预算</w:t>
      </w:r>
      <w:r>
        <w:rPr>
          <w:rStyle w:val="17"/>
          <w:rFonts w:hint="eastAsia" w:ascii="仿宋_GB2312" w:eastAsia="仿宋_GB2312"/>
          <w:b w:val="0"/>
          <w:color w:val="000000"/>
          <w:sz w:val="32"/>
          <w:szCs w:val="32"/>
        </w:rPr>
        <w:t>100%</w:t>
      </w:r>
      <w:r>
        <w:rPr>
          <w:rStyle w:val="17"/>
          <w:rFonts w:hint="eastAsia" w:ascii="仿宋_GB2312" w:eastAsia="仿宋_GB2312"/>
          <w:b w:val="0"/>
          <w:color w:val="000000"/>
          <w:sz w:val="32"/>
          <w:szCs w:val="32"/>
          <w:lang w:eastAsia="zh-CN"/>
        </w:rPr>
        <w:t>。</w:t>
      </w:r>
    </w:p>
    <w:p>
      <w:pPr>
        <w:spacing w:line="576" w:lineRule="exact"/>
        <w:ind w:firstLine="320" w:firstLineChars="100"/>
        <w:rPr>
          <w:rStyle w:val="17"/>
          <w:rFonts w:ascii="仿宋_GB2312" w:eastAsia="仿宋_GB2312"/>
          <w:b w:val="0"/>
          <w:color w:val="000000"/>
          <w:sz w:val="32"/>
          <w:szCs w:val="32"/>
        </w:rPr>
      </w:pPr>
      <w:r>
        <w:rPr>
          <w:rStyle w:val="17"/>
          <w:rFonts w:hint="eastAsia" w:ascii="仿宋_GB2312" w:eastAsia="仿宋_GB2312"/>
          <w:b w:val="0"/>
          <w:color w:val="000000"/>
          <w:sz w:val="32"/>
          <w:szCs w:val="32"/>
          <w:lang w:val="en-US" w:eastAsia="zh-CN"/>
        </w:rPr>
        <w:t>3.</w:t>
      </w:r>
      <w:r>
        <w:rPr>
          <w:rFonts w:hint="eastAsia" w:ascii="楷体_GB2312" w:hAnsi="楷体_GB2312" w:eastAsia="楷体_GB2312" w:cs="楷体_GB2312"/>
          <w:color w:val="000000"/>
          <w:sz w:val="32"/>
          <w:szCs w:val="32"/>
        </w:rPr>
        <w:t>城乡社区支出（类）212</w:t>
      </w:r>
      <w:r>
        <w:rPr>
          <w:rFonts w:hint="eastAsia" w:ascii="仿宋_GB2312" w:eastAsia="仿宋_GB2312"/>
          <w:color w:val="000000"/>
          <w:sz w:val="32"/>
          <w:szCs w:val="32"/>
        </w:rPr>
        <w:t>城乡社区环境卫生（款）05城乡社区环境卫生（项）01</w:t>
      </w:r>
      <w:r>
        <w:rPr>
          <w:rStyle w:val="17"/>
          <w:rFonts w:hint="eastAsia" w:ascii="仿宋_GB2312" w:eastAsia="仿宋_GB2312"/>
          <w:b w:val="0"/>
          <w:color w:val="000000"/>
          <w:sz w:val="32"/>
          <w:szCs w:val="32"/>
        </w:rPr>
        <w:t>：支出决算为3万元</w:t>
      </w:r>
      <w:r>
        <w:rPr>
          <w:rStyle w:val="17"/>
          <w:rFonts w:hint="eastAsia" w:ascii="仿宋_GB2312" w:eastAsia="仿宋_GB2312"/>
          <w:b w:val="0"/>
          <w:color w:val="000000"/>
          <w:sz w:val="32"/>
          <w:szCs w:val="32"/>
          <w:lang w:eastAsia="zh-CN"/>
        </w:rPr>
        <w:t>，</w:t>
      </w:r>
      <w:r>
        <w:rPr>
          <w:rFonts w:hint="eastAsia" w:ascii="楷体_GB2312" w:hAnsi="楷体_GB2312" w:eastAsia="楷体_GB2312" w:cs="楷体_GB2312"/>
          <w:color w:val="000000"/>
          <w:sz w:val="32"/>
          <w:szCs w:val="32"/>
        </w:rPr>
        <w:t>完成预算</w:t>
      </w:r>
      <w:r>
        <w:rPr>
          <w:rStyle w:val="17"/>
          <w:rFonts w:hint="eastAsia" w:ascii="仿宋_GB2312" w:eastAsia="仿宋_GB2312"/>
          <w:b w:val="0"/>
          <w:color w:val="000000"/>
          <w:sz w:val="32"/>
          <w:szCs w:val="32"/>
        </w:rPr>
        <w:t>100%</w:t>
      </w:r>
      <w:r>
        <w:rPr>
          <w:rStyle w:val="17"/>
          <w:rFonts w:hint="eastAsia" w:ascii="仿宋_GB2312" w:eastAsia="仿宋_GB2312"/>
          <w:b w:val="0"/>
          <w:color w:val="000000"/>
          <w:sz w:val="32"/>
          <w:szCs w:val="32"/>
          <w:lang w:eastAsia="zh-CN"/>
        </w:rPr>
        <w:t>。</w:t>
      </w:r>
    </w:p>
    <w:p>
      <w:pPr>
        <w:spacing w:line="576" w:lineRule="exact"/>
        <w:ind w:firstLine="320" w:firstLineChars="100"/>
        <w:rPr>
          <w:rStyle w:val="17"/>
          <w:rFonts w:hint="eastAsia" w:ascii="仿宋_GB2312" w:eastAsia="仿宋_GB2312"/>
          <w:b w:val="0"/>
          <w:color w:val="auto"/>
          <w:sz w:val="32"/>
          <w:szCs w:val="32"/>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六</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农林水支出（类）213，支出决算为358.05万元，完成预算</w:t>
      </w:r>
      <w:r>
        <w:rPr>
          <w:rStyle w:val="17"/>
          <w:rFonts w:hint="eastAsia" w:ascii="仿宋_GB2312" w:eastAsia="仿宋_GB2312"/>
          <w:b w:val="0"/>
          <w:color w:val="auto"/>
          <w:sz w:val="32"/>
          <w:szCs w:val="32"/>
        </w:rPr>
        <w:t>100%</w:t>
      </w:r>
      <w:r>
        <w:rPr>
          <w:rStyle w:val="17"/>
          <w:rFonts w:hint="eastAsia" w:ascii="仿宋_GB2312" w:eastAsia="仿宋_GB2312"/>
          <w:b w:val="0"/>
          <w:color w:val="auto"/>
          <w:sz w:val="32"/>
          <w:szCs w:val="32"/>
          <w:lang w:eastAsia="zh-CN"/>
        </w:rPr>
        <w:t>。</w:t>
      </w:r>
    </w:p>
    <w:p>
      <w:pPr>
        <w:spacing w:line="576" w:lineRule="exact"/>
        <w:ind w:firstLine="320" w:firstLineChars="100"/>
        <w:rPr>
          <w:rStyle w:val="17"/>
          <w:rFonts w:hint="eastAsia" w:ascii="仿宋_GB2312" w:eastAsia="仿宋_GB2312"/>
          <w:b w:val="0"/>
          <w:color w:val="000000"/>
          <w:sz w:val="32"/>
          <w:szCs w:val="32"/>
          <w:lang w:eastAsia="zh-CN"/>
        </w:rPr>
      </w:pPr>
      <w:r>
        <w:rPr>
          <w:rStyle w:val="17"/>
          <w:rFonts w:hint="eastAsia" w:ascii="仿宋_GB2312" w:eastAsia="仿宋_GB2312"/>
          <w:b w:val="0"/>
          <w:color w:val="000000"/>
          <w:sz w:val="32"/>
          <w:szCs w:val="32"/>
          <w:lang w:val="en-US" w:eastAsia="zh-CN"/>
        </w:rPr>
        <w:t>1.</w:t>
      </w:r>
      <w:r>
        <w:rPr>
          <w:rFonts w:hint="eastAsia" w:ascii="楷体_GB2312" w:hAnsi="楷体_GB2312" w:eastAsia="楷体_GB2312" w:cs="楷体_GB2312"/>
          <w:color w:val="000000"/>
          <w:sz w:val="32"/>
          <w:szCs w:val="32"/>
        </w:rPr>
        <w:t>农林水支出（类）213</w:t>
      </w:r>
      <w:r>
        <w:rPr>
          <w:rFonts w:hint="eastAsia" w:ascii="仿宋_GB2312" w:eastAsia="仿宋_GB2312"/>
          <w:color w:val="000000"/>
          <w:sz w:val="32"/>
          <w:szCs w:val="32"/>
        </w:rPr>
        <w:t>农业（款）01</w:t>
      </w:r>
      <w:r>
        <w:rPr>
          <w:rFonts w:hint="eastAsia" w:ascii="仿宋_GB2312" w:eastAsia="仿宋_GB2312"/>
          <w:color w:val="000000"/>
          <w:sz w:val="32"/>
          <w:szCs w:val="32"/>
          <w:lang w:val="en-US" w:eastAsia="zh-CN"/>
        </w:rPr>
        <w:t>其中</w:t>
      </w:r>
      <w:r>
        <w:rPr>
          <w:rFonts w:hint="eastAsia" w:ascii="仿宋_GB2312" w:eastAsia="仿宋_GB2312"/>
          <w:color w:val="000000"/>
          <w:sz w:val="32"/>
          <w:szCs w:val="32"/>
        </w:rPr>
        <w:t>病虫害控制（项）08</w:t>
      </w:r>
      <w:r>
        <w:rPr>
          <w:rStyle w:val="17"/>
          <w:rFonts w:hint="eastAsia" w:ascii="仿宋_GB2312" w:eastAsia="仿宋_GB2312"/>
          <w:b w:val="0"/>
          <w:color w:val="000000"/>
          <w:sz w:val="32"/>
          <w:szCs w:val="32"/>
        </w:rPr>
        <w:t>：支出决算为1万元</w:t>
      </w:r>
      <w:r>
        <w:rPr>
          <w:rFonts w:hint="eastAsia" w:ascii="仿宋_GB2312" w:eastAsia="仿宋_GB2312"/>
          <w:color w:val="000000"/>
          <w:sz w:val="32"/>
          <w:szCs w:val="32"/>
          <w:lang w:val="en-US" w:eastAsia="zh-CN"/>
        </w:rPr>
        <w:t>，</w:t>
      </w:r>
      <w:r>
        <w:rPr>
          <w:rFonts w:hint="eastAsia" w:ascii="楷体_GB2312" w:hAnsi="楷体_GB2312" w:eastAsia="楷体_GB2312" w:cs="楷体_GB2312"/>
          <w:color w:val="000000"/>
          <w:sz w:val="32"/>
          <w:szCs w:val="32"/>
        </w:rPr>
        <w:t>完成预算</w:t>
      </w:r>
      <w:r>
        <w:rPr>
          <w:rStyle w:val="17"/>
          <w:rFonts w:hint="eastAsia" w:ascii="仿宋_GB2312" w:eastAsia="仿宋_GB2312"/>
          <w:b w:val="0"/>
          <w:color w:val="000000"/>
          <w:sz w:val="32"/>
          <w:szCs w:val="32"/>
        </w:rPr>
        <w:t>100%</w:t>
      </w:r>
      <w:r>
        <w:rPr>
          <w:rStyle w:val="17"/>
          <w:rFonts w:hint="eastAsia" w:ascii="仿宋_GB2312" w:eastAsia="仿宋_GB2312"/>
          <w:b w:val="0"/>
          <w:color w:val="000000"/>
          <w:sz w:val="32"/>
          <w:szCs w:val="32"/>
          <w:lang w:eastAsia="zh-CN"/>
        </w:rPr>
        <w:t>。</w:t>
      </w:r>
    </w:p>
    <w:p>
      <w:pPr>
        <w:spacing w:line="576" w:lineRule="exact"/>
        <w:ind w:firstLine="320" w:firstLineChars="100"/>
        <w:rPr>
          <w:rStyle w:val="17"/>
          <w:rFonts w:hint="eastAsia" w:ascii="仿宋_GB2312" w:eastAsia="仿宋_GB2312"/>
          <w:b w:val="0"/>
          <w:color w:val="000000"/>
          <w:sz w:val="32"/>
          <w:szCs w:val="32"/>
          <w:lang w:eastAsia="zh-CN"/>
        </w:rPr>
      </w:pPr>
      <w:r>
        <w:rPr>
          <w:rStyle w:val="17"/>
          <w:rFonts w:hint="eastAsia" w:ascii="仿宋_GB2312" w:eastAsia="仿宋_GB2312"/>
          <w:b w:val="0"/>
          <w:color w:val="000000"/>
          <w:sz w:val="32"/>
          <w:szCs w:val="32"/>
          <w:lang w:val="en-US" w:eastAsia="zh-CN"/>
        </w:rPr>
        <w:t>2.</w:t>
      </w:r>
      <w:r>
        <w:rPr>
          <w:rFonts w:hint="eastAsia" w:ascii="楷体_GB2312" w:hAnsi="楷体_GB2312" w:eastAsia="楷体_GB2312" w:cs="楷体_GB2312"/>
          <w:color w:val="000000"/>
          <w:sz w:val="32"/>
          <w:szCs w:val="32"/>
        </w:rPr>
        <w:t>农林水支出（类）213</w:t>
      </w:r>
      <w:r>
        <w:rPr>
          <w:rFonts w:hint="eastAsia" w:ascii="仿宋_GB2312" w:eastAsia="仿宋_GB2312"/>
          <w:color w:val="000000"/>
          <w:sz w:val="32"/>
          <w:szCs w:val="32"/>
        </w:rPr>
        <w:t>对高校毕业生到基层任职补助（项）52</w:t>
      </w:r>
      <w:r>
        <w:rPr>
          <w:rStyle w:val="17"/>
          <w:rFonts w:hint="eastAsia" w:ascii="仿宋_GB2312" w:eastAsia="仿宋_GB2312"/>
          <w:b w:val="0"/>
          <w:color w:val="000000"/>
          <w:sz w:val="32"/>
          <w:szCs w:val="32"/>
        </w:rPr>
        <w:t>：支出决算为2.8万元</w:t>
      </w:r>
      <w:r>
        <w:rPr>
          <w:rFonts w:hint="eastAsia" w:ascii="仿宋_GB2312" w:eastAsia="仿宋_GB2312"/>
          <w:color w:val="000000"/>
          <w:sz w:val="32"/>
          <w:szCs w:val="32"/>
          <w:lang w:val="en-US" w:eastAsia="zh-CN"/>
        </w:rPr>
        <w:t>，</w:t>
      </w:r>
      <w:r>
        <w:rPr>
          <w:rFonts w:hint="eastAsia" w:ascii="楷体_GB2312" w:hAnsi="楷体_GB2312" w:eastAsia="楷体_GB2312" w:cs="楷体_GB2312"/>
          <w:color w:val="000000"/>
          <w:sz w:val="32"/>
          <w:szCs w:val="32"/>
        </w:rPr>
        <w:t>完成预算</w:t>
      </w:r>
      <w:r>
        <w:rPr>
          <w:rStyle w:val="17"/>
          <w:rFonts w:hint="eastAsia" w:ascii="仿宋_GB2312" w:eastAsia="仿宋_GB2312"/>
          <w:b w:val="0"/>
          <w:color w:val="000000"/>
          <w:sz w:val="32"/>
          <w:szCs w:val="32"/>
        </w:rPr>
        <w:t>100%</w:t>
      </w:r>
      <w:r>
        <w:rPr>
          <w:rStyle w:val="17"/>
          <w:rFonts w:hint="eastAsia" w:ascii="仿宋_GB2312" w:eastAsia="仿宋_GB2312"/>
          <w:b w:val="0"/>
          <w:color w:val="000000"/>
          <w:sz w:val="32"/>
          <w:szCs w:val="32"/>
          <w:lang w:eastAsia="zh-CN"/>
        </w:rPr>
        <w:t>。</w:t>
      </w:r>
    </w:p>
    <w:p>
      <w:pPr>
        <w:spacing w:line="576" w:lineRule="exact"/>
        <w:ind w:firstLine="320" w:firstLineChars="100"/>
        <w:rPr>
          <w:rStyle w:val="17"/>
          <w:rFonts w:hint="eastAsia" w:ascii="仿宋_GB2312" w:eastAsia="仿宋_GB2312"/>
          <w:b w:val="0"/>
          <w:color w:val="000000"/>
          <w:sz w:val="32"/>
          <w:szCs w:val="32"/>
          <w:lang w:eastAsia="zh-CN"/>
        </w:rPr>
      </w:pPr>
      <w:r>
        <w:rPr>
          <w:rStyle w:val="17"/>
          <w:rFonts w:hint="eastAsia" w:ascii="仿宋_GB2312" w:eastAsia="仿宋_GB2312"/>
          <w:b w:val="0"/>
          <w:color w:val="000000"/>
          <w:sz w:val="32"/>
          <w:szCs w:val="32"/>
          <w:lang w:val="en-US" w:eastAsia="zh-CN"/>
        </w:rPr>
        <w:t>3.</w:t>
      </w:r>
      <w:r>
        <w:rPr>
          <w:rFonts w:hint="eastAsia" w:ascii="楷体_GB2312" w:hAnsi="楷体_GB2312" w:eastAsia="楷体_GB2312" w:cs="楷体_GB2312"/>
          <w:color w:val="000000"/>
          <w:sz w:val="32"/>
          <w:szCs w:val="32"/>
        </w:rPr>
        <w:t>农林水支出（类）213</w:t>
      </w:r>
      <w:r>
        <w:rPr>
          <w:rFonts w:hint="eastAsia" w:ascii="仿宋_GB2312" w:eastAsia="仿宋_GB2312"/>
          <w:color w:val="000000"/>
          <w:sz w:val="32"/>
          <w:szCs w:val="32"/>
        </w:rPr>
        <w:t>水利（款）03防汛（项）14</w:t>
      </w:r>
      <w:r>
        <w:rPr>
          <w:rStyle w:val="17"/>
          <w:rFonts w:hint="eastAsia" w:ascii="仿宋_GB2312" w:eastAsia="仿宋_GB2312"/>
          <w:b w:val="0"/>
          <w:color w:val="000000"/>
          <w:sz w:val="32"/>
          <w:szCs w:val="32"/>
        </w:rPr>
        <w:t>：支出决算为1万元</w:t>
      </w:r>
      <w:r>
        <w:rPr>
          <w:rFonts w:hint="eastAsia" w:ascii="仿宋_GB2312" w:eastAsia="仿宋_GB2312"/>
          <w:color w:val="000000"/>
          <w:sz w:val="32"/>
          <w:szCs w:val="32"/>
          <w:lang w:val="en-US" w:eastAsia="zh-CN"/>
        </w:rPr>
        <w:t>，</w:t>
      </w:r>
      <w:r>
        <w:rPr>
          <w:rFonts w:hint="eastAsia" w:ascii="楷体_GB2312" w:hAnsi="楷体_GB2312" w:eastAsia="楷体_GB2312" w:cs="楷体_GB2312"/>
          <w:color w:val="000000"/>
          <w:sz w:val="32"/>
          <w:szCs w:val="32"/>
        </w:rPr>
        <w:t>完成预算</w:t>
      </w:r>
      <w:r>
        <w:rPr>
          <w:rStyle w:val="17"/>
          <w:rFonts w:hint="eastAsia" w:ascii="仿宋_GB2312" w:eastAsia="仿宋_GB2312"/>
          <w:b w:val="0"/>
          <w:color w:val="000000"/>
          <w:sz w:val="32"/>
          <w:szCs w:val="32"/>
        </w:rPr>
        <w:t>100%</w:t>
      </w:r>
      <w:r>
        <w:rPr>
          <w:rStyle w:val="17"/>
          <w:rFonts w:hint="eastAsia" w:ascii="仿宋_GB2312" w:eastAsia="仿宋_GB2312"/>
          <w:b w:val="0"/>
          <w:color w:val="000000"/>
          <w:sz w:val="32"/>
          <w:szCs w:val="32"/>
          <w:lang w:eastAsia="zh-CN"/>
        </w:rPr>
        <w:t>。</w:t>
      </w:r>
    </w:p>
    <w:p>
      <w:pPr>
        <w:spacing w:line="576" w:lineRule="exact"/>
        <w:ind w:firstLine="320" w:firstLineChars="100"/>
        <w:rPr>
          <w:rStyle w:val="17"/>
          <w:rFonts w:hint="eastAsia" w:ascii="仿宋_GB2312" w:eastAsia="仿宋_GB2312"/>
          <w:b w:val="0"/>
          <w:color w:val="000000"/>
          <w:sz w:val="32"/>
          <w:szCs w:val="32"/>
          <w:lang w:eastAsia="zh-CN"/>
        </w:rPr>
      </w:pPr>
      <w:r>
        <w:rPr>
          <w:rStyle w:val="17"/>
          <w:rFonts w:hint="eastAsia" w:ascii="仿宋_GB2312" w:eastAsia="仿宋_GB2312"/>
          <w:b w:val="0"/>
          <w:color w:val="000000"/>
          <w:sz w:val="32"/>
          <w:szCs w:val="32"/>
          <w:lang w:val="en-US" w:eastAsia="zh-CN"/>
        </w:rPr>
        <w:t>6.</w:t>
      </w:r>
      <w:r>
        <w:rPr>
          <w:rFonts w:hint="eastAsia" w:ascii="仿宋_GB2312" w:eastAsia="仿宋_GB2312"/>
          <w:color w:val="000000"/>
          <w:sz w:val="32"/>
          <w:szCs w:val="32"/>
        </w:rPr>
        <w:t xml:space="preserve"> </w:t>
      </w:r>
      <w:r>
        <w:rPr>
          <w:rFonts w:hint="eastAsia" w:ascii="楷体_GB2312" w:hAnsi="楷体_GB2312" w:eastAsia="楷体_GB2312" w:cs="楷体_GB2312"/>
          <w:color w:val="000000"/>
          <w:sz w:val="32"/>
          <w:szCs w:val="32"/>
        </w:rPr>
        <w:t>农林水支出（类）</w:t>
      </w:r>
      <w:r>
        <w:rPr>
          <w:rFonts w:hint="eastAsia" w:ascii="楷体_GB2312" w:hAnsi="楷体_GB2312" w:eastAsia="楷体_GB2312" w:cs="楷体_GB2312"/>
          <w:color w:val="000000"/>
          <w:sz w:val="32"/>
          <w:szCs w:val="32"/>
          <w:lang w:val="en-US" w:eastAsia="zh-CN"/>
        </w:rPr>
        <w:t>213</w:t>
      </w:r>
      <w:r>
        <w:rPr>
          <w:rFonts w:hint="eastAsia" w:ascii="仿宋_GB2312" w:eastAsia="仿宋_GB2312"/>
          <w:color w:val="000000"/>
          <w:sz w:val="32"/>
          <w:szCs w:val="32"/>
        </w:rPr>
        <w:t>水利（款）03农村水利（项）16</w:t>
      </w:r>
      <w:r>
        <w:rPr>
          <w:rStyle w:val="17"/>
          <w:rFonts w:hint="eastAsia" w:ascii="仿宋_GB2312" w:eastAsia="仿宋_GB2312"/>
          <w:b w:val="0"/>
          <w:color w:val="000000"/>
          <w:sz w:val="32"/>
          <w:szCs w:val="32"/>
        </w:rPr>
        <w:t>：支出决算为10万元</w:t>
      </w:r>
      <w:r>
        <w:rPr>
          <w:rFonts w:hint="eastAsia" w:ascii="仿宋_GB2312" w:eastAsia="仿宋_GB2312"/>
          <w:color w:val="000000"/>
          <w:sz w:val="32"/>
          <w:szCs w:val="32"/>
          <w:lang w:val="en-US" w:eastAsia="zh-CN"/>
        </w:rPr>
        <w:t>，</w:t>
      </w:r>
      <w:r>
        <w:rPr>
          <w:rFonts w:hint="eastAsia" w:ascii="楷体_GB2312" w:hAnsi="楷体_GB2312" w:eastAsia="楷体_GB2312" w:cs="楷体_GB2312"/>
          <w:color w:val="000000"/>
          <w:sz w:val="32"/>
          <w:szCs w:val="32"/>
        </w:rPr>
        <w:t>完成预算</w:t>
      </w:r>
      <w:r>
        <w:rPr>
          <w:rStyle w:val="17"/>
          <w:rFonts w:hint="eastAsia" w:ascii="仿宋_GB2312" w:eastAsia="仿宋_GB2312"/>
          <w:b w:val="0"/>
          <w:color w:val="000000"/>
          <w:sz w:val="32"/>
          <w:szCs w:val="32"/>
        </w:rPr>
        <w:t>100%</w:t>
      </w:r>
      <w:r>
        <w:rPr>
          <w:rStyle w:val="17"/>
          <w:rFonts w:hint="eastAsia" w:ascii="仿宋_GB2312" w:eastAsia="仿宋_GB2312"/>
          <w:b w:val="0"/>
          <w:color w:val="000000"/>
          <w:sz w:val="32"/>
          <w:szCs w:val="32"/>
          <w:lang w:eastAsia="zh-CN"/>
        </w:rPr>
        <w:t>。</w:t>
      </w:r>
    </w:p>
    <w:p>
      <w:pPr>
        <w:spacing w:line="576" w:lineRule="exact"/>
        <w:ind w:firstLine="320" w:firstLineChars="100"/>
        <w:rPr>
          <w:rStyle w:val="17"/>
          <w:rFonts w:hint="eastAsia" w:ascii="仿宋_GB2312" w:eastAsia="仿宋_GB2312"/>
          <w:b w:val="0"/>
          <w:color w:val="000000"/>
          <w:sz w:val="32"/>
          <w:szCs w:val="32"/>
          <w:lang w:eastAsia="zh-CN"/>
        </w:rPr>
      </w:pPr>
      <w:r>
        <w:rPr>
          <w:rStyle w:val="17"/>
          <w:rFonts w:hint="eastAsia" w:ascii="仿宋_GB2312" w:eastAsia="仿宋_GB2312"/>
          <w:b w:val="0"/>
          <w:color w:val="000000"/>
          <w:sz w:val="32"/>
          <w:szCs w:val="32"/>
          <w:lang w:val="en-US" w:eastAsia="zh-CN"/>
        </w:rPr>
        <w:t>7.</w:t>
      </w:r>
      <w:r>
        <w:rPr>
          <w:rFonts w:hint="eastAsia" w:ascii="楷体_GB2312" w:hAnsi="楷体_GB2312" w:eastAsia="楷体_GB2312" w:cs="楷体_GB2312"/>
          <w:color w:val="000000"/>
          <w:sz w:val="32"/>
          <w:szCs w:val="32"/>
        </w:rPr>
        <w:t>农林水支出（类）</w:t>
      </w:r>
      <w:r>
        <w:rPr>
          <w:rFonts w:hint="eastAsia" w:ascii="楷体_GB2312" w:hAnsi="楷体_GB2312" w:eastAsia="楷体_GB2312" w:cs="楷体_GB2312"/>
          <w:color w:val="000000"/>
          <w:sz w:val="32"/>
          <w:szCs w:val="32"/>
          <w:lang w:val="en-US" w:eastAsia="zh-CN"/>
        </w:rPr>
        <w:t>213</w:t>
      </w:r>
      <w:r>
        <w:rPr>
          <w:rFonts w:hint="eastAsia" w:ascii="仿宋_GB2312" w:eastAsia="仿宋_GB2312"/>
          <w:color w:val="000000"/>
          <w:sz w:val="32"/>
          <w:szCs w:val="32"/>
        </w:rPr>
        <w:t>农村综合改革（款）07对村民委员会和村党支部的补助（项）05</w:t>
      </w:r>
      <w:r>
        <w:rPr>
          <w:rFonts w:hint="eastAsia" w:ascii="仿宋_GB2312" w:eastAsia="仿宋_GB2312"/>
          <w:color w:val="000000"/>
          <w:sz w:val="32"/>
          <w:szCs w:val="32"/>
          <w:lang w:val="en-US" w:eastAsia="zh-CN"/>
        </w:rPr>
        <w:t>，</w:t>
      </w:r>
      <w:r>
        <w:rPr>
          <w:rStyle w:val="17"/>
          <w:rFonts w:hint="eastAsia" w:ascii="仿宋_GB2312" w:eastAsia="仿宋_GB2312"/>
          <w:b w:val="0"/>
          <w:color w:val="000000"/>
          <w:sz w:val="32"/>
          <w:szCs w:val="32"/>
        </w:rPr>
        <w:t>支出决算为313.14万元</w:t>
      </w:r>
      <w:r>
        <w:rPr>
          <w:rStyle w:val="17"/>
          <w:rFonts w:hint="eastAsia" w:ascii="仿宋_GB2312" w:eastAsia="仿宋_GB2312"/>
          <w:b w:val="0"/>
          <w:color w:val="000000"/>
          <w:sz w:val="32"/>
          <w:szCs w:val="32"/>
          <w:lang w:eastAsia="zh-CN"/>
        </w:rPr>
        <w:t>，</w:t>
      </w:r>
      <w:r>
        <w:rPr>
          <w:rFonts w:hint="eastAsia" w:ascii="楷体_GB2312" w:hAnsi="楷体_GB2312" w:eastAsia="楷体_GB2312" w:cs="楷体_GB2312"/>
          <w:color w:val="000000"/>
          <w:sz w:val="32"/>
          <w:szCs w:val="32"/>
        </w:rPr>
        <w:t>完成预算</w:t>
      </w:r>
      <w:r>
        <w:rPr>
          <w:rStyle w:val="17"/>
          <w:rFonts w:hint="eastAsia" w:ascii="仿宋_GB2312" w:eastAsia="仿宋_GB2312"/>
          <w:b w:val="0"/>
          <w:color w:val="000000"/>
          <w:sz w:val="32"/>
          <w:szCs w:val="32"/>
        </w:rPr>
        <w:t>100%</w:t>
      </w:r>
      <w:r>
        <w:rPr>
          <w:rStyle w:val="17"/>
          <w:rFonts w:hint="eastAsia" w:ascii="仿宋_GB2312" w:eastAsia="仿宋_GB2312"/>
          <w:b w:val="0"/>
          <w:color w:val="000000"/>
          <w:sz w:val="32"/>
          <w:szCs w:val="32"/>
          <w:lang w:eastAsia="zh-CN"/>
        </w:rPr>
        <w:t>。</w:t>
      </w:r>
    </w:p>
    <w:p>
      <w:pPr>
        <w:spacing w:line="576" w:lineRule="exact"/>
        <w:ind w:firstLine="320" w:firstLineChars="100"/>
        <w:rPr>
          <w:rStyle w:val="17"/>
          <w:rFonts w:hint="eastAsia" w:ascii="仿宋_GB2312" w:eastAsia="仿宋_GB2312"/>
          <w:b w:val="0"/>
          <w:color w:val="000000"/>
          <w:sz w:val="32"/>
          <w:szCs w:val="32"/>
          <w:lang w:eastAsia="zh-CN"/>
        </w:rPr>
      </w:pPr>
      <w:r>
        <w:rPr>
          <w:rFonts w:hint="eastAsia" w:ascii="仿宋_GB2312" w:eastAsia="仿宋_GB2312"/>
          <w:color w:val="000000"/>
          <w:sz w:val="32"/>
          <w:szCs w:val="32"/>
          <w:lang w:val="en-US" w:eastAsia="zh-CN"/>
        </w:rPr>
        <w:t>8.</w:t>
      </w:r>
      <w:r>
        <w:rPr>
          <w:rFonts w:hint="eastAsia" w:ascii="楷体_GB2312" w:hAnsi="楷体_GB2312" w:eastAsia="楷体_GB2312" w:cs="楷体_GB2312"/>
          <w:color w:val="000000"/>
          <w:sz w:val="32"/>
          <w:szCs w:val="32"/>
        </w:rPr>
        <w:t>农林水支出（类）</w:t>
      </w:r>
      <w:r>
        <w:rPr>
          <w:rFonts w:hint="eastAsia" w:ascii="楷体_GB2312" w:hAnsi="楷体_GB2312" w:eastAsia="楷体_GB2312" w:cs="楷体_GB2312"/>
          <w:color w:val="000000"/>
          <w:sz w:val="32"/>
          <w:szCs w:val="32"/>
          <w:lang w:val="en-US" w:eastAsia="zh-CN"/>
        </w:rPr>
        <w:t>213</w:t>
      </w:r>
      <w:r>
        <w:rPr>
          <w:rFonts w:hint="eastAsia" w:ascii="仿宋_GB2312" w:eastAsia="仿宋_GB2312"/>
          <w:color w:val="000000"/>
          <w:sz w:val="32"/>
          <w:szCs w:val="32"/>
        </w:rPr>
        <w:t>农村综合改革（款）07对村集体经济组织的补助（项）06</w:t>
      </w:r>
      <w:r>
        <w:rPr>
          <w:rStyle w:val="17"/>
          <w:rFonts w:hint="eastAsia" w:ascii="仿宋_GB2312" w:eastAsia="仿宋_GB2312"/>
          <w:b w:val="0"/>
          <w:color w:val="000000"/>
          <w:sz w:val="32"/>
          <w:szCs w:val="32"/>
        </w:rPr>
        <w:t>：支出决算为15.11万元，</w:t>
      </w:r>
      <w:r>
        <w:rPr>
          <w:rStyle w:val="17"/>
          <w:rFonts w:hint="eastAsia" w:ascii="仿宋_GB2312" w:eastAsia="仿宋_GB2312"/>
          <w:b w:val="0"/>
          <w:color w:val="000000"/>
          <w:sz w:val="32"/>
          <w:szCs w:val="32"/>
          <w:lang w:eastAsia="zh-CN"/>
        </w:rPr>
        <w:t>；</w:t>
      </w:r>
    </w:p>
    <w:p>
      <w:pPr>
        <w:spacing w:line="576" w:lineRule="exact"/>
        <w:ind w:firstLine="320" w:firstLineChars="100"/>
      </w:pPr>
      <w:r>
        <w:rPr>
          <w:rFonts w:hint="eastAsia" w:ascii="仿宋_GB2312" w:eastAsia="仿宋_GB2312"/>
          <w:color w:val="000000"/>
          <w:sz w:val="32"/>
          <w:szCs w:val="32"/>
          <w:lang w:val="en-US" w:eastAsia="zh-CN"/>
        </w:rPr>
        <w:t>9.</w:t>
      </w:r>
      <w:r>
        <w:rPr>
          <w:rFonts w:hint="eastAsia" w:ascii="楷体_GB2312" w:hAnsi="楷体_GB2312" w:eastAsia="楷体_GB2312" w:cs="楷体_GB2312"/>
          <w:color w:val="000000"/>
          <w:sz w:val="32"/>
          <w:szCs w:val="32"/>
        </w:rPr>
        <w:t>农林水支出（类）</w:t>
      </w:r>
      <w:r>
        <w:rPr>
          <w:rFonts w:hint="eastAsia" w:ascii="楷体_GB2312" w:hAnsi="楷体_GB2312" w:eastAsia="楷体_GB2312" w:cs="楷体_GB2312"/>
          <w:color w:val="000000"/>
          <w:sz w:val="32"/>
          <w:szCs w:val="32"/>
          <w:lang w:val="en-US" w:eastAsia="zh-CN"/>
        </w:rPr>
        <w:t>213</w:t>
      </w:r>
      <w:r>
        <w:rPr>
          <w:rFonts w:hint="eastAsia" w:ascii="仿宋_GB2312" w:eastAsia="仿宋_GB2312"/>
          <w:color w:val="000000"/>
          <w:sz w:val="32"/>
          <w:szCs w:val="32"/>
        </w:rPr>
        <w:t>农村综合改革（款）07农村综合改革示范试点补助（项）07</w:t>
      </w:r>
      <w:r>
        <w:rPr>
          <w:rStyle w:val="17"/>
          <w:rFonts w:hint="eastAsia" w:ascii="仿宋_GB2312" w:eastAsia="仿宋_GB2312"/>
          <w:b w:val="0"/>
          <w:color w:val="000000"/>
          <w:sz w:val="32"/>
          <w:szCs w:val="32"/>
        </w:rPr>
        <w:t>：支出决算为15万元。</w:t>
      </w:r>
    </w:p>
    <w:p>
      <w:pPr>
        <w:spacing w:line="576" w:lineRule="exact"/>
        <w:ind w:firstLine="320" w:firstLineChars="100"/>
        <w:rPr>
          <w:rStyle w:val="17"/>
          <w:rFonts w:hint="eastAsia" w:ascii="仿宋_GB2312" w:eastAsia="仿宋_GB2312"/>
          <w:b w:val="0"/>
          <w:color w:val="000000"/>
          <w:sz w:val="32"/>
          <w:szCs w:val="32"/>
          <w:lang w:eastAsia="zh-CN"/>
        </w:rPr>
      </w:pP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lang w:val="en-US" w:eastAsia="zh-CN"/>
        </w:rPr>
        <w:t>七</w:t>
      </w: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rPr>
        <w:t>.交通运输支出（类）214，支出决算为1万元，完成预算</w:t>
      </w:r>
      <w:r>
        <w:rPr>
          <w:rStyle w:val="17"/>
          <w:rFonts w:hint="eastAsia" w:ascii="仿宋_GB2312" w:eastAsia="仿宋_GB2312"/>
          <w:b w:val="0"/>
          <w:color w:val="000000"/>
          <w:sz w:val="32"/>
          <w:szCs w:val="32"/>
        </w:rPr>
        <w:t>100%</w:t>
      </w:r>
      <w:r>
        <w:rPr>
          <w:rStyle w:val="17"/>
          <w:rFonts w:hint="eastAsia" w:ascii="仿宋_GB2312" w:eastAsia="仿宋_GB2312"/>
          <w:b w:val="0"/>
          <w:color w:val="000000"/>
          <w:sz w:val="32"/>
          <w:szCs w:val="32"/>
          <w:lang w:eastAsia="zh-CN"/>
        </w:rPr>
        <w:t>。</w:t>
      </w:r>
    </w:p>
    <w:p>
      <w:pPr>
        <w:spacing w:line="576" w:lineRule="exact"/>
        <w:ind w:firstLine="320" w:firstLineChars="100"/>
        <w:rPr>
          <w:rStyle w:val="17"/>
          <w:rFonts w:hint="eastAsia" w:ascii="仿宋_GB2312" w:eastAsia="仿宋_GB2312"/>
          <w:b w:val="0"/>
          <w:color w:val="000000"/>
          <w:sz w:val="32"/>
          <w:szCs w:val="32"/>
          <w:lang w:eastAsia="zh-CN"/>
        </w:rPr>
      </w:pPr>
      <w:r>
        <w:rPr>
          <w:rFonts w:hint="eastAsia" w:ascii="楷体_GB2312" w:hAnsi="楷体_GB2312" w:eastAsia="楷体_GB2312" w:cs="楷体_GB2312"/>
          <w:color w:val="000000"/>
          <w:sz w:val="32"/>
          <w:szCs w:val="32"/>
          <w:lang w:val="en-US" w:eastAsia="zh-CN"/>
        </w:rPr>
        <w:t>1.</w:t>
      </w:r>
      <w:r>
        <w:rPr>
          <w:rFonts w:hint="eastAsia" w:ascii="楷体_GB2312" w:hAnsi="楷体_GB2312" w:eastAsia="楷体_GB2312" w:cs="楷体_GB2312"/>
          <w:color w:val="000000"/>
          <w:sz w:val="32"/>
          <w:szCs w:val="32"/>
        </w:rPr>
        <w:t>交通运输支出（类）214</w:t>
      </w:r>
      <w:r>
        <w:rPr>
          <w:rFonts w:hint="eastAsia" w:ascii="仿宋_GB2312" w:eastAsia="仿宋_GB2312"/>
          <w:color w:val="000000"/>
          <w:sz w:val="32"/>
          <w:szCs w:val="32"/>
        </w:rPr>
        <w:t>公路水路运输（款）01公路和运输安全（项）10</w:t>
      </w:r>
      <w:r>
        <w:rPr>
          <w:rStyle w:val="17"/>
          <w:rFonts w:hint="eastAsia" w:ascii="仿宋_GB2312" w:eastAsia="仿宋_GB2312"/>
          <w:b w:val="0"/>
          <w:color w:val="000000"/>
          <w:sz w:val="32"/>
          <w:szCs w:val="32"/>
        </w:rPr>
        <w:t>：支出决算为1万元</w:t>
      </w:r>
      <w:r>
        <w:rPr>
          <w:rStyle w:val="17"/>
          <w:rFonts w:hint="eastAsia" w:ascii="仿宋_GB2312" w:eastAsia="仿宋_GB2312"/>
          <w:b w:val="0"/>
          <w:color w:val="000000"/>
          <w:sz w:val="32"/>
          <w:szCs w:val="32"/>
          <w:lang w:eastAsia="zh-CN"/>
        </w:rPr>
        <w:t>，</w:t>
      </w:r>
      <w:r>
        <w:rPr>
          <w:rFonts w:hint="eastAsia" w:ascii="楷体_GB2312" w:hAnsi="楷体_GB2312" w:eastAsia="楷体_GB2312" w:cs="楷体_GB2312"/>
          <w:color w:val="000000"/>
          <w:sz w:val="32"/>
          <w:szCs w:val="32"/>
        </w:rPr>
        <w:t>完成预算</w:t>
      </w:r>
      <w:r>
        <w:rPr>
          <w:rStyle w:val="17"/>
          <w:rFonts w:hint="eastAsia" w:ascii="仿宋_GB2312" w:eastAsia="仿宋_GB2312"/>
          <w:b w:val="0"/>
          <w:color w:val="000000"/>
          <w:sz w:val="32"/>
          <w:szCs w:val="32"/>
        </w:rPr>
        <w:t>100%</w:t>
      </w:r>
      <w:r>
        <w:rPr>
          <w:rStyle w:val="17"/>
          <w:rFonts w:hint="eastAsia" w:ascii="仿宋_GB2312" w:eastAsia="仿宋_GB2312"/>
          <w:b w:val="0"/>
          <w:color w:val="000000"/>
          <w:sz w:val="32"/>
          <w:szCs w:val="32"/>
          <w:lang w:eastAsia="zh-CN"/>
        </w:rPr>
        <w:t>。</w:t>
      </w:r>
    </w:p>
    <w:p>
      <w:pPr>
        <w:spacing w:line="576" w:lineRule="exact"/>
        <w:ind w:firstLine="320" w:firstLineChars="100"/>
        <w:rPr>
          <w:rStyle w:val="17"/>
          <w:rFonts w:hint="eastAsia" w:ascii="仿宋_GB2312" w:eastAsia="仿宋_GB2312"/>
          <w:b w:val="0"/>
          <w:color w:val="000000"/>
          <w:sz w:val="32"/>
          <w:szCs w:val="32"/>
        </w:rPr>
      </w:pP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lang w:val="en-US" w:eastAsia="zh-CN"/>
        </w:rPr>
        <w:t>八</w:t>
      </w: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rPr>
        <w:t>住房保障支出（类）221，支出决算为26.69万元，完成预算</w:t>
      </w:r>
      <w:r>
        <w:rPr>
          <w:rStyle w:val="17"/>
          <w:rFonts w:hint="eastAsia" w:ascii="仿宋_GB2312" w:eastAsia="仿宋_GB2312"/>
          <w:b w:val="0"/>
          <w:color w:val="000000"/>
          <w:sz w:val="32"/>
          <w:szCs w:val="32"/>
        </w:rPr>
        <w:t>100%，</w:t>
      </w:r>
    </w:p>
    <w:p>
      <w:pPr>
        <w:spacing w:line="576" w:lineRule="exact"/>
        <w:ind w:firstLine="320" w:firstLineChars="100"/>
        <w:rPr>
          <w:rStyle w:val="17"/>
          <w:rFonts w:hint="eastAsia" w:ascii="仿宋_GB2312" w:eastAsia="仿宋_GB2312"/>
          <w:b w:val="0"/>
          <w:color w:val="000000"/>
          <w:sz w:val="32"/>
          <w:szCs w:val="32"/>
        </w:rPr>
      </w:pPr>
      <w:r>
        <w:rPr>
          <w:rStyle w:val="17"/>
          <w:rFonts w:hint="eastAsia" w:ascii="仿宋_GB2312" w:eastAsia="仿宋_GB2312"/>
          <w:b w:val="0"/>
          <w:color w:val="000000"/>
          <w:sz w:val="32"/>
          <w:szCs w:val="32"/>
          <w:lang w:val="en-US" w:eastAsia="zh-CN"/>
        </w:rPr>
        <w:t>1.</w:t>
      </w:r>
      <w:r>
        <w:rPr>
          <w:rFonts w:hint="eastAsia" w:ascii="楷体_GB2312" w:hAnsi="楷体_GB2312" w:eastAsia="楷体_GB2312" w:cs="楷体_GB2312"/>
          <w:color w:val="000000"/>
          <w:sz w:val="32"/>
          <w:szCs w:val="32"/>
        </w:rPr>
        <w:t>住房保障支出（类）221</w:t>
      </w:r>
      <w:r>
        <w:rPr>
          <w:rFonts w:hint="eastAsia" w:ascii="仿宋_GB2312" w:eastAsia="仿宋_GB2312"/>
          <w:color w:val="000000"/>
          <w:sz w:val="32"/>
          <w:szCs w:val="32"/>
        </w:rPr>
        <w:t>住房改革支出（款）02住房公积金（项）01</w:t>
      </w:r>
      <w:r>
        <w:rPr>
          <w:rStyle w:val="17"/>
          <w:rFonts w:hint="eastAsia" w:ascii="仿宋_GB2312" w:eastAsia="仿宋_GB2312"/>
          <w:b w:val="0"/>
          <w:color w:val="000000"/>
          <w:sz w:val="32"/>
          <w:szCs w:val="32"/>
        </w:rPr>
        <w:t>：支出决算为26.69万元</w:t>
      </w:r>
      <w:r>
        <w:rPr>
          <w:rFonts w:hint="eastAsia" w:ascii="楷体_GB2312" w:hAnsi="楷体_GB2312" w:eastAsia="楷体_GB2312" w:cs="楷体_GB2312"/>
          <w:color w:val="000000"/>
          <w:sz w:val="32"/>
          <w:szCs w:val="32"/>
        </w:rPr>
        <w:t>，完成预算</w:t>
      </w:r>
      <w:r>
        <w:rPr>
          <w:rStyle w:val="17"/>
          <w:rFonts w:hint="eastAsia" w:ascii="仿宋_GB2312" w:eastAsia="仿宋_GB2312"/>
          <w:b w:val="0"/>
          <w:color w:val="000000"/>
          <w:sz w:val="32"/>
          <w:szCs w:val="32"/>
        </w:rPr>
        <w:t>100%，</w:t>
      </w:r>
    </w:p>
    <w:p>
      <w:pPr>
        <w:spacing w:line="576" w:lineRule="exact"/>
        <w:ind w:firstLine="320" w:firstLineChars="100"/>
        <w:rPr>
          <w:rStyle w:val="17"/>
          <w:rFonts w:hint="eastAsia" w:ascii="仿宋_GB2312" w:eastAsia="仿宋_GB2312"/>
          <w:b w:val="0"/>
          <w:color w:val="000000"/>
          <w:sz w:val="32"/>
          <w:szCs w:val="32"/>
          <w:lang w:eastAsia="zh-CN"/>
        </w:rPr>
      </w:pP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lang w:val="en-US" w:eastAsia="zh-CN"/>
        </w:rPr>
        <w:t>九</w:t>
      </w: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lang w:val="en-US" w:eastAsia="zh-CN"/>
        </w:rPr>
        <w:t>灾害</w:t>
      </w:r>
      <w:r>
        <w:rPr>
          <w:rFonts w:hint="eastAsia" w:ascii="楷体_GB2312" w:hAnsi="楷体_GB2312" w:eastAsia="楷体_GB2312" w:cs="楷体_GB2312"/>
          <w:color w:val="000000"/>
          <w:sz w:val="32"/>
          <w:szCs w:val="32"/>
        </w:rPr>
        <w:t>防治及应急管理支出（类）224，支出决算为18.87万元，完成预算</w:t>
      </w:r>
      <w:r>
        <w:rPr>
          <w:rStyle w:val="17"/>
          <w:rFonts w:hint="eastAsia" w:ascii="仿宋_GB2312" w:eastAsia="仿宋_GB2312"/>
          <w:b w:val="0"/>
          <w:color w:val="000000"/>
          <w:sz w:val="32"/>
          <w:szCs w:val="32"/>
        </w:rPr>
        <w:t>100%</w:t>
      </w:r>
      <w:r>
        <w:rPr>
          <w:rStyle w:val="17"/>
          <w:rFonts w:hint="eastAsia" w:ascii="仿宋_GB2312" w:eastAsia="仿宋_GB2312"/>
          <w:b w:val="0"/>
          <w:color w:val="000000"/>
          <w:sz w:val="32"/>
          <w:szCs w:val="32"/>
          <w:lang w:eastAsia="zh-CN"/>
        </w:rPr>
        <w:t>。</w:t>
      </w:r>
    </w:p>
    <w:p>
      <w:pPr>
        <w:spacing w:line="576" w:lineRule="exact"/>
        <w:ind w:firstLine="320" w:firstLineChars="100"/>
        <w:rPr>
          <w:rStyle w:val="17"/>
          <w:rFonts w:hint="eastAsia" w:ascii="仿宋_GB2312" w:eastAsia="仿宋_GB2312"/>
          <w:b w:val="0"/>
          <w:color w:val="000000"/>
          <w:sz w:val="32"/>
          <w:szCs w:val="32"/>
          <w:lang w:eastAsia="zh-CN"/>
        </w:rPr>
      </w:pPr>
      <w:r>
        <w:rPr>
          <w:rFonts w:hint="eastAsia" w:ascii="仿宋_GB2312" w:eastAsia="仿宋_GB2312"/>
          <w:color w:val="000000"/>
          <w:sz w:val="32"/>
          <w:szCs w:val="32"/>
          <w:lang w:val="en-US" w:eastAsia="zh-CN"/>
        </w:rPr>
        <w:t>1.</w:t>
      </w:r>
      <w:r>
        <w:rPr>
          <w:rFonts w:hint="eastAsia" w:ascii="楷体_GB2312" w:hAnsi="楷体_GB2312" w:eastAsia="楷体_GB2312" w:cs="楷体_GB2312"/>
          <w:color w:val="000000"/>
          <w:sz w:val="32"/>
          <w:szCs w:val="32"/>
          <w:lang w:val="en-US" w:eastAsia="zh-CN"/>
        </w:rPr>
        <w:t>灾害</w:t>
      </w:r>
      <w:r>
        <w:rPr>
          <w:rFonts w:hint="eastAsia" w:ascii="楷体_GB2312" w:hAnsi="楷体_GB2312" w:eastAsia="楷体_GB2312" w:cs="楷体_GB2312"/>
          <w:color w:val="000000"/>
          <w:sz w:val="32"/>
          <w:szCs w:val="32"/>
        </w:rPr>
        <w:t>防治及应急管理支出（类）224</w:t>
      </w:r>
      <w:r>
        <w:rPr>
          <w:rFonts w:hint="eastAsia" w:ascii="仿宋_GB2312" w:eastAsia="仿宋_GB2312"/>
          <w:color w:val="000000"/>
          <w:sz w:val="32"/>
          <w:szCs w:val="32"/>
        </w:rPr>
        <w:t>应急管理事务（款）01安全监管（项）06</w:t>
      </w:r>
      <w:r>
        <w:rPr>
          <w:rStyle w:val="17"/>
          <w:rFonts w:hint="eastAsia" w:ascii="仿宋_GB2312" w:eastAsia="仿宋_GB2312"/>
          <w:b w:val="0"/>
          <w:color w:val="000000"/>
          <w:sz w:val="32"/>
          <w:szCs w:val="32"/>
        </w:rPr>
        <w:t>：支出决算为2万元</w:t>
      </w:r>
      <w:r>
        <w:rPr>
          <w:rStyle w:val="17"/>
          <w:rFonts w:hint="eastAsia" w:ascii="仿宋_GB2312" w:eastAsia="仿宋_GB2312"/>
          <w:b w:val="0"/>
          <w:color w:val="000000"/>
          <w:sz w:val="32"/>
          <w:szCs w:val="32"/>
          <w:lang w:eastAsia="zh-CN"/>
        </w:rPr>
        <w:t>，</w:t>
      </w:r>
      <w:r>
        <w:rPr>
          <w:rFonts w:hint="eastAsia" w:ascii="楷体_GB2312" w:hAnsi="楷体_GB2312" w:eastAsia="楷体_GB2312" w:cs="楷体_GB2312"/>
          <w:color w:val="000000"/>
          <w:sz w:val="32"/>
          <w:szCs w:val="32"/>
        </w:rPr>
        <w:t>完成预算</w:t>
      </w:r>
      <w:r>
        <w:rPr>
          <w:rStyle w:val="17"/>
          <w:rFonts w:hint="eastAsia" w:ascii="仿宋_GB2312" w:eastAsia="仿宋_GB2312"/>
          <w:b w:val="0"/>
          <w:color w:val="000000"/>
          <w:sz w:val="32"/>
          <w:szCs w:val="32"/>
        </w:rPr>
        <w:t>100%</w:t>
      </w:r>
      <w:r>
        <w:rPr>
          <w:rStyle w:val="17"/>
          <w:rFonts w:hint="eastAsia" w:ascii="仿宋_GB2312" w:eastAsia="仿宋_GB2312"/>
          <w:b w:val="0"/>
          <w:color w:val="000000"/>
          <w:sz w:val="32"/>
          <w:szCs w:val="32"/>
          <w:lang w:eastAsia="zh-CN"/>
        </w:rPr>
        <w:t>。</w:t>
      </w:r>
    </w:p>
    <w:p>
      <w:pPr>
        <w:spacing w:line="576" w:lineRule="exact"/>
        <w:ind w:firstLine="320" w:firstLineChars="100"/>
        <w:rPr>
          <w:rStyle w:val="17"/>
          <w:rFonts w:hint="eastAsia" w:ascii="仿宋_GB2312" w:eastAsia="仿宋_GB2312"/>
          <w:b w:val="0"/>
          <w:color w:val="000000"/>
          <w:sz w:val="32"/>
          <w:szCs w:val="32"/>
          <w:lang w:eastAsia="zh-CN"/>
        </w:rPr>
      </w:pPr>
      <w:r>
        <w:rPr>
          <w:rStyle w:val="17"/>
          <w:rFonts w:hint="eastAsia" w:ascii="仿宋_GB2312" w:eastAsia="仿宋_GB2312"/>
          <w:b w:val="0"/>
          <w:color w:val="000000"/>
          <w:sz w:val="32"/>
          <w:szCs w:val="32"/>
          <w:lang w:val="en-US" w:eastAsia="zh-CN"/>
        </w:rPr>
        <w:t>2.</w:t>
      </w:r>
      <w:r>
        <w:rPr>
          <w:rFonts w:hint="eastAsia" w:ascii="楷体_GB2312" w:hAnsi="楷体_GB2312" w:eastAsia="楷体_GB2312" w:cs="楷体_GB2312"/>
          <w:color w:val="000000"/>
          <w:sz w:val="32"/>
          <w:szCs w:val="32"/>
          <w:lang w:val="en-US" w:eastAsia="zh-CN"/>
        </w:rPr>
        <w:t>灾害</w:t>
      </w:r>
      <w:r>
        <w:rPr>
          <w:rFonts w:hint="eastAsia" w:ascii="楷体_GB2312" w:hAnsi="楷体_GB2312" w:eastAsia="楷体_GB2312" w:cs="楷体_GB2312"/>
          <w:color w:val="000000"/>
          <w:sz w:val="32"/>
          <w:szCs w:val="32"/>
        </w:rPr>
        <w:t>防治及应急管理支出（类）224</w:t>
      </w:r>
      <w:r>
        <w:rPr>
          <w:rFonts w:hint="eastAsia" w:ascii="仿宋_GB2312" w:eastAsia="仿宋_GB2312"/>
          <w:color w:val="000000"/>
          <w:sz w:val="32"/>
          <w:szCs w:val="32"/>
        </w:rPr>
        <w:t>应急管理事务（款）01应急救援（项）08</w:t>
      </w:r>
      <w:r>
        <w:rPr>
          <w:rStyle w:val="17"/>
          <w:rFonts w:hint="eastAsia" w:ascii="仿宋_GB2312" w:eastAsia="仿宋_GB2312"/>
          <w:b w:val="0"/>
          <w:color w:val="000000"/>
          <w:sz w:val="32"/>
          <w:szCs w:val="32"/>
        </w:rPr>
        <w:t>：支出决算为10.15万元</w:t>
      </w:r>
      <w:r>
        <w:rPr>
          <w:rStyle w:val="17"/>
          <w:rFonts w:hint="eastAsia" w:ascii="仿宋_GB2312" w:eastAsia="仿宋_GB2312"/>
          <w:b w:val="0"/>
          <w:color w:val="000000"/>
          <w:sz w:val="32"/>
          <w:szCs w:val="32"/>
          <w:lang w:eastAsia="zh-CN"/>
        </w:rPr>
        <w:t>，</w:t>
      </w:r>
      <w:r>
        <w:rPr>
          <w:rFonts w:hint="eastAsia" w:ascii="楷体_GB2312" w:hAnsi="楷体_GB2312" w:eastAsia="楷体_GB2312" w:cs="楷体_GB2312"/>
          <w:color w:val="000000"/>
          <w:sz w:val="32"/>
          <w:szCs w:val="32"/>
        </w:rPr>
        <w:t>完成预算</w:t>
      </w:r>
      <w:r>
        <w:rPr>
          <w:rStyle w:val="17"/>
          <w:rFonts w:hint="eastAsia" w:ascii="仿宋_GB2312" w:eastAsia="仿宋_GB2312"/>
          <w:b w:val="0"/>
          <w:color w:val="000000"/>
          <w:sz w:val="32"/>
          <w:szCs w:val="32"/>
        </w:rPr>
        <w:t>100%</w:t>
      </w:r>
      <w:r>
        <w:rPr>
          <w:rStyle w:val="17"/>
          <w:rFonts w:hint="eastAsia" w:ascii="仿宋_GB2312" w:eastAsia="仿宋_GB2312"/>
          <w:b w:val="0"/>
          <w:color w:val="000000"/>
          <w:sz w:val="32"/>
          <w:szCs w:val="32"/>
          <w:lang w:eastAsia="zh-CN"/>
        </w:rPr>
        <w:t>。</w:t>
      </w:r>
    </w:p>
    <w:p>
      <w:pPr>
        <w:spacing w:line="576" w:lineRule="exact"/>
        <w:ind w:firstLine="320" w:firstLineChars="100"/>
        <w:rPr>
          <w:rStyle w:val="17"/>
          <w:rFonts w:hint="eastAsia" w:ascii="仿宋_GB2312" w:eastAsia="仿宋_GB2312"/>
          <w:b w:val="0"/>
          <w:color w:val="000000"/>
          <w:sz w:val="32"/>
          <w:szCs w:val="32"/>
          <w:lang w:eastAsia="zh-CN"/>
        </w:rPr>
      </w:pPr>
      <w:r>
        <w:rPr>
          <w:rStyle w:val="17"/>
          <w:rFonts w:hint="eastAsia" w:ascii="仿宋_GB2312" w:eastAsia="仿宋_GB2312"/>
          <w:b w:val="0"/>
          <w:color w:val="000000"/>
          <w:sz w:val="32"/>
          <w:szCs w:val="32"/>
          <w:lang w:val="en-US" w:eastAsia="zh-CN"/>
        </w:rPr>
        <w:t>3.</w:t>
      </w:r>
      <w:r>
        <w:rPr>
          <w:rFonts w:hint="eastAsia" w:ascii="楷体_GB2312" w:hAnsi="楷体_GB2312" w:eastAsia="楷体_GB2312" w:cs="楷体_GB2312"/>
          <w:color w:val="000000"/>
          <w:sz w:val="32"/>
          <w:szCs w:val="32"/>
          <w:lang w:val="en-US" w:eastAsia="zh-CN"/>
        </w:rPr>
        <w:t>灾害</w:t>
      </w:r>
      <w:r>
        <w:rPr>
          <w:rFonts w:hint="eastAsia" w:ascii="楷体_GB2312" w:hAnsi="楷体_GB2312" w:eastAsia="楷体_GB2312" w:cs="楷体_GB2312"/>
          <w:color w:val="000000"/>
          <w:sz w:val="32"/>
          <w:szCs w:val="32"/>
        </w:rPr>
        <w:t>防治及应急管理支出（类）224</w:t>
      </w:r>
      <w:r>
        <w:rPr>
          <w:rFonts w:hint="eastAsia" w:ascii="仿宋_GB2312" w:eastAsia="仿宋_GB2312"/>
          <w:color w:val="000000"/>
          <w:sz w:val="32"/>
          <w:szCs w:val="32"/>
        </w:rPr>
        <w:t>森林消防事务（款）03森林消防应急救援（项）04</w:t>
      </w:r>
      <w:r>
        <w:rPr>
          <w:rStyle w:val="17"/>
          <w:rFonts w:hint="eastAsia" w:ascii="仿宋_GB2312" w:eastAsia="仿宋_GB2312"/>
          <w:b w:val="0"/>
          <w:color w:val="000000"/>
          <w:sz w:val="32"/>
          <w:szCs w:val="32"/>
        </w:rPr>
        <w:t>：支出决算为</w:t>
      </w:r>
      <w:r>
        <w:rPr>
          <w:rStyle w:val="17"/>
          <w:rFonts w:hint="eastAsia" w:ascii="仿宋_GB2312" w:eastAsia="仿宋_GB2312"/>
          <w:b w:val="0"/>
          <w:color w:val="000000"/>
          <w:sz w:val="32"/>
          <w:szCs w:val="32"/>
          <w:lang w:val="en-US" w:eastAsia="zh-CN"/>
        </w:rPr>
        <w:t>4</w:t>
      </w:r>
      <w:r>
        <w:rPr>
          <w:rStyle w:val="17"/>
          <w:rFonts w:hint="eastAsia" w:ascii="仿宋_GB2312" w:eastAsia="仿宋_GB2312"/>
          <w:b w:val="0"/>
          <w:color w:val="000000"/>
          <w:sz w:val="32"/>
          <w:szCs w:val="32"/>
        </w:rPr>
        <w:t>万元</w:t>
      </w:r>
      <w:r>
        <w:rPr>
          <w:rStyle w:val="17"/>
          <w:rFonts w:hint="eastAsia" w:ascii="仿宋_GB2312" w:eastAsia="仿宋_GB2312"/>
          <w:b w:val="0"/>
          <w:color w:val="000000"/>
          <w:sz w:val="32"/>
          <w:szCs w:val="32"/>
          <w:lang w:eastAsia="zh-CN"/>
        </w:rPr>
        <w:t>，</w:t>
      </w:r>
      <w:r>
        <w:rPr>
          <w:rFonts w:hint="eastAsia" w:ascii="楷体_GB2312" w:hAnsi="楷体_GB2312" w:eastAsia="楷体_GB2312" w:cs="楷体_GB2312"/>
          <w:color w:val="000000"/>
          <w:sz w:val="32"/>
          <w:szCs w:val="32"/>
        </w:rPr>
        <w:t>完成预算</w:t>
      </w:r>
      <w:r>
        <w:rPr>
          <w:rStyle w:val="17"/>
          <w:rFonts w:hint="eastAsia" w:ascii="仿宋_GB2312" w:eastAsia="仿宋_GB2312"/>
          <w:b w:val="0"/>
          <w:color w:val="000000"/>
          <w:sz w:val="32"/>
          <w:szCs w:val="32"/>
        </w:rPr>
        <w:t>100%</w:t>
      </w:r>
      <w:r>
        <w:rPr>
          <w:rStyle w:val="17"/>
          <w:rFonts w:hint="eastAsia" w:ascii="仿宋_GB2312" w:eastAsia="仿宋_GB2312"/>
          <w:b w:val="0"/>
          <w:color w:val="000000"/>
          <w:sz w:val="32"/>
          <w:szCs w:val="32"/>
          <w:lang w:eastAsia="zh-CN"/>
        </w:rPr>
        <w:t>。</w:t>
      </w:r>
    </w:p>
    <w:p>
      <w:pPr>
        <w:spacing w:line="576" w:lineRule="exact"/>
        <w:ind w:firstLine="320" w:firstLineChars="100"/>
        <w:rPr>
          <w:rStyle w:val="17"/>
          <w:rFonts w:hint="eastAsia" w:ascii="仿宋_GB2312" w:eastAsia="仿宋_GB2312"/>
          <w:b w:val="0"/>
          <w:color w:val="000000"/>
          <w:sz w:val="32"/>
          <w:szCs w:val="32"/>
          <w:lang w:eastAsia="zh-CN"/>
        </w:rPr>
      </w:pPr>
      <w:r>
        <w:rPr>
          <w:rFonts w:hint="eastAsia" w:ascii="仿宋_GB2312" w:eastAsia="仿宋_GB2312"/>
          <w:color w:val="000000"/>
          <w:sz w:val="32"/>
          <w:szCs w:val="32"/>
          <w:lang w:val="en-US" w:eastAsia="zh-CN"/>
        </w:rPr>
        <w:t>4.</w:t>
      </w:r>
      <w:r>
        <w:rPr>
          <w:rFonts w:hint="eastAsia" w:ascii="楷体_GB2312" w:hAnsi="楷体_GB2312" w:eastAsia="楷体_GB2312" w:cs="楷体_GB2312"/>
          <w:color w:val="000000"/>
          <w:sz w:val="32"/>
          <w:szCs w:val="32"/>
          <w:lang w:val="en-US" w:eastAsia="zh-CN"/>
        </w:rPr>
        <w:t>灾害</w:t>
      </w:r>
      <w:r>
        <w:rPr>
          <w:rFonts w:hint="eastAsia" w:ascii="楷体_GB2312" w:hAnsi="楷体_GB2312" w:eastAsia="楷体_GB2312" w:cs="楷体_GB2312"/>
          <w:color w:val="000000"/>
          <w:sz w:val="32"/>
          <w:szCs w:val="32"/>
        </w:rPr>
        <w:t>防治及应急管理支出（类）224</w:t>
      </w:r>
      <w:r>
        <w:rPr>
          <w:rFonts w:hint="eastAsia" w:ascii="仿宋_GB2312" w:eastAsia="仿宋_GB2312"/>
          <w:color w:val="000000"/>
          <w:sz w:val="32"/>
          <w:szCs w:val="32"/>
        </w:rPr>
        <w:t>森林消防事务（款）03其他森林消防事务支出（项）99</w:t>
      </w:r>
      <w:r>
        <w:rPr>
          <w:rStyle w:val="17"/>
          <w:rFonts w:hint="eastAsia" w:ascii="仿宋_GB2312" w:eastAsia="仿宋_GB2312"/>
          <w:b w:val="0"/>
          <w:color w:val="000000"/>
          <w:sz w:val="32"/>
          <w:szCs w:val="32"/>
        </w:rPr>
        <w:t>：支出决算为2万元</w:t>
      </w:r>
      <w:r>
        <w:rPr>
          <w:rStyle w:val="17"/>
          <w:rFonts w:hint="eastAsia" w:ascii="仿宋_GB2312" w:eastAsia="仿宋_GB2312"/>
          <w:b w:val="0"/>
          <w:color w:val="000000"/>
          <w:sz w:val="32"/>
          <w:szCs w:val="32"/>
          <w:lang w:eastAsia="zh-CN"/>
        </w:rPr>
        <w:t>，，</w:t>
      </w:r>
      <w:r>
        <w:rPr>
          <w:rFonts w:hint="eastAsia" w:ascii="楷体_GB2312" w:hAnsi="楷体_GB2312" w:eastAsia="楷体_GB2312" w:cs="楷体_GB2312"/>
          <w:color w:val="000000"/>
          <w:sz w:val="32"/>
          <w:szCs w:val="32"/>
        </w:rPr>
        <w:t>完成预算</w:t>
      </w:r>
      <w:r>
        <w:rPr>
          <w:rStyle w:val="17"/>
          <w:rFonts w:hint="eastAsia" w:ascii="仿宋_GB2312" w:eastAsia="仿宋_GB2312"/>
          <w:b w:val="0"/>
          <w:color w:val="000000"/>
          <w:sz w:val="32"/>
          <w:szCs w:val="32"/>
        </w:rPr>
        <w:t>100%</w:t>
      </w:r>
      <w:r>
        <w:rPr>
          <w:rStyle w:val="17"/>
          <w:rFonts w:hint="eastAsia" w:ascii="仿宋_GB2312" w:eastAsia="仿宋_GB2312"/>
          <w:b w:val="0"/>
          <w:color w:val="000000"/>
          <w:sz w:val="32"/>
          <w:szCs w:val="32"/>
          <w:lang w:eastAsia="zh-CN"/>
        </w:rPr>
        <w:t>。</w:t>
      </w:r>
    </w:p>
    <w:p>
      <w:pPr>
        <w:spacing w:line="576" w:lineRule="exact"/>
        <w:ind w:firstLine="320" w:firstLineChars="100"/>
        <w:rPr>
          <w:rStyle w:val="17"/>
          <w:rFonts w:ascii="仿宋_GB2312" w:eastAsia="仿宋_GB2312"/>
          <w:b w:val="0"/>
          <w:color w:val="000000"/>
          <w:sz w:val="32"/>
          <w:szCs w:val="32"/>
        </w:rPr>
      </w:pPr>
      <w:r>
        <w:rPr>
          <w:rFonts w:hint="eastAsia" w:ascii="仿宋_GB2312" w:eastAsia="仿宋_GB2312"/>
          <w:color w:val="000000"/>
          <w:sz w:val="32"/>
          <w:szCs w:val="32"/>
          <w:lang w:val="en-US" w:eastAsia="zh-CN"/>
        </w:rPr>
        <w:t>5.</w:t>
      </w:r>
      <w:r>
        <w:rPr>
          <w:rFonts w:hint="eastAsia" w:ascii="楷体_GB2312" w:hAnsi="楷体_GB2312" w:eastAsia="楷体_GB2312" w:cs="楷体_GB2312"/>
          <w:color w:val="000000"/>
          <w:sz w:val="32"/>
          <w:szCs w:val="32"/>
          <w:lang w:val="en-US" w:eastAsia="zh-CN"/>
        </w:rPr>
        <w:t>灾害</w:t>
      </w:r>
      <w:r>
        <w:rPr>
          <w:rFonts w:hint="eastAsia" w:ascii="楷体_GB2312" w:hAnsi="楷体_GB2312" w:eastAsia="楷体_GB2312" w:cs="楷体_GB2312"/>
          <w:color w:val="000000"/>
          <w:sz w:val="32"/>
          <w:szCs w:val="32"/>
        </w:rPr>
        <w:t>防治及应急管理支出（类）224</w:t>
      </w:r>
      <w:r>
        <w:rPr>
          <w:rFonts w:hint="eastAsia" w:ascii="仿宋_GB2312" w:eastAsia="仿宋_GB2312"/>
          <w:color w:val="000000"/>
          <w:sz w:val="32"/>
          <w:szCs w:val="32"/>
        </w:rPr>
        <w:t>其他灾害防治及应急管理支出（款）99其他灾害防治及应急管理支出（项）99</w:t>
      </w:r>
      <w:r>
        <w:rPr>
          <w:rStyle w:val="17"/>
          <w:rFonts w:hint="eastAsia" w:ascii="仿宋_GB2312" w:eastAsia="仿宋_GB2312"/>
          <w:b w:val="0"/>
          <w:color w:val="000000"/>
          <w:sz w:val="32"/>
          <w:szCs w:val="32"/>
        </w:rPr>
        <w:t>：支出决算为</w:t>
      </w:r>
      <w:r>
        <w:rPr>
          <w:rStyle w:val="17"/>
          <w:rFonts w:hint="eastAsia" w:ascii="仿宋_GB2312" w:eastAsia="仿宋_GB2312"/>
          <w:b w:val="0"/>
          <w:color w:val="000000"/>
          <w:sz w:val="32"/>
          <w:szCs w:val="32"/>
          <w:lang w:val="en-US" w:eastAsia="zh-CN"/>
        </w:rPr>
        <w:t>0.72</w:t>
      </w:r>
      <w:r>
        <w:rPr>
          <w:rStyle w:val="17"/>
          <w:rFonts w:hint="eastAsia" w:ascii="仿宋_GB2312" w:eastAsia="仿宋_GB2312"/>
          <w:b w:val="0"/>
          <w:color w:val="000000"/>
          <w:sz w:val="32"/>
          <w:szCs w:val="32"/>
        </w:rPr>
        <w:t>万元。</w:t>
      </w:r>
    </w:p>
    <w:p>
      <w:pPr>
        <w:tabs>
          <w:tab w:val="right" w:pos="8306"/>
        </w:tabs>
        <w:spacing w:line="576" w:lineRule="exact"/>
        <w:ind w:firstLine="640"/>
        <w:outlineLvl w:val="1"/>
        <w:rPr>
          <w:rStyle w:val="28"/>
        </w:rPr>
      </w:pPr>
      <w:bookmarkStart w:id="38" w:name="_Toc15396608"/>
      <w:bookmarkStart w:id="39"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38"/>
      <w:bookmarkEnd w:id="39"/>
      <w:r>
        <w:rPr>
          <w:rStyle w:val="28"/>
          <w:rFonts w:ascii="黑体" w:hAnsi="黑体" w:eastAsia="黑体"/>
          <w:b w:val="0"/>
        </w:rPr>
        <w:tab/>
      </w:r>
    </w:p>
    <w:p>
      <w:pPr>
        <w:spacing w:line="576"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21年一般公共预算财政拨款基本支出682.8</w:t>
      </w:r>
      <w:r>
        <w:rPr>
          <w:rFonts w:hint="eastAsia" w:ascii="仿宋" w:hAnsi="仿宋" w:eastAsia="仿宋"/>
          <w:sz w:val="32"/>
          <w:szCs w:val="32"/>
          <w:lang w:val="en-US" w:eastAsia="zh-CN"/>
        </w:rPr>
        <w:t>8</w:t>
      </w:r>
      <w:r>
        <w:rPr>
          <w:rFonts w:hint="eastAsia" w:ascii="仿宋" w:hAnsi="仿宋" w:eastAsia="仿宋"/>
          <w:sz w:val="32"/>
          <w:szCs w:val="32"/>
        </w:rPr>
        <w:t>万元，其中：</w:t>
      </w:r>
    </w:p>
    <w:p>
      <w:pPr>
        <w:spacing w:line="576" w:lineRule="exact"/>
        <w:ind w:firstLine="645"/>
        <w:rPr>
          <w:rFonts w:ascii="仿宋" w:hAnsi="仿宋" w:eastAsia="仿宋"/>
          <w:sz w:val="32"/>
          <w:szCs w:val="32"/>
        </w:rPr>
      </w:pPr>
      <w:r>
        <w:rPr>
          <w:rFonts w:hint="eastAsia" w:ascii="仿宋" w:hAnsi="仿宋" w:eastAsia="仿宋"/>
          <w:sz w:val="32"/>
          <w:szCs w:val="32"/>
        </w:rPr>
        <w:t>人员经费422.36万元，主要包括：基本工资、津贴补贴、奖金、机关事业单位基本养老保险缴费、职业年金缴费、</w:t>
      </w:r>
      <w:r>
        <w:rPr>
          <w:rFonts w:hint="eastAsia" w:ascii="仿宋" w:hAnsi="仿宋" w:eastAsia="仿宋"/>
          <w:sz w:val="32"/>
          <w:szCs w:val="32"/>
          <w:lang w:eastAsia="zh-CN"/>
        </w:rPr>
        <w:t>职工基本医疗保险缴费、</w:t>
      </w:r>
      <w:r>
        <w:rPr>
          <w:rFonts w:hint="eastAsia" w:ascii="仿宋" w:hAnsi="仿宋" w:eastAsia="仿宋"/>
          <w:sz w:val="32"/>
          <w:szCs w:val="32"/>
        </w:rPr>
        <w:t>其他社会保障缴费、其他工资福利支出、生活补助、奖励金、住房公积金、其他个人和家庭的补助支出等。</w:t>
      </w:r>
    </w:p>
    <w:p>
      <w:pPr>
        <w:spacing w:line="576" w:lineRule="exact"/>
        <w:ind w:firstLine="645"/>
        <w:rPr>
          <w:rFonts w:ascii="仿宋" w:hAnsi="仿宋" w:eastAsia="仿宋"/>
          <w:b/>
          <w:sz w:val="32"/>
          <w:szCs w:val="32"/>
        </w:rPr>
      </w:pPr>
      <w:r>
        <w:rPr>
          <w:rFonts w:hint="eastAsia" w:ascii="仿宋" w:hAnsi="仿宋" w:eastAsia="仿宋"/>
          <w:sz w:val="32"/>
          <w:szCs w:val="32"/>
        </w:rPr>
        <w:t>公用经费260.52万元，主要包括：办公费、印刷费、水费、电费、邮电费、差旅</w:t>
      </w:r>
      <w:bookmarkStart w:id="70" w:name="_GoBack"/>
      <w:bookmarkEnd w:id="70"/>
      <w:r>
        <w:rPr>
          <w:rFonts w:hint="eastAsia" w:ascii="仿宋" w:hAnsi="仿宋" w:eastAsia="仿宋"/>
          <w:sz w:val="32"/>
          <w:szCs w:val="32"/>
        </w:rPr>
        <w:t>费、维修（护）费、租赁费、培训费、公务接待费、劳务费、工会经费、福利费、其他交通费、其他商品和服务支出、办公设备购置。</w:t>
      </w:r>
    </w:p>
    <w:p>
      <w:pPr>
        <w:spacing w:line="576" w:lineRule="exact"/>
        <w:ind w:firstLine="640"/>
        <w:outlineLvl w:val="1"/>
        <w:rPr>
          <w:rStyle w:val="28"/>
          <w:rFonts w:ascii="黑体" w:hAnsi="黑体" w:eastAsia="黑体"/>
          <w:b w:val="0"/>
        </w:rPr>
      </w:pPr>
      <w:bookmarkStart w:id="40" w:name="_Toc15377215"/>
      <w:bookmarkStart w:id="41" w:name="_Toc15396609"/>
      <w:r>
        <w:rPr>
          <w:rFonts w:hint="eastAsia" w:ascii="黑体" w:eastAsia="黑体"/>
          <w:sz w:val="32"/>
          <w:szCs w:val="32"/>
        </w:rPr>
        <w:t>七、</w:t>
      </w:r>
      <w:r>
        <w:rPr>
          <w:rStyle w:val="28"/>
          <w:rFonts w:hint="eastAsia" w:ascii="黑体" w:hAnsi="黑体" w:eastAsia="黑体"/>
        </w:rPr>
        <w:t>“</w:t>
      </w:r>
      <w:r>
        <w:rPr>
          <w:rStyle w:val="28"/>
          <w:rFonts w:hint="eastAsia" w:ascii="黑体" w:hAnsi="黑体" w:eastAsia="黑体"/>
          <w:b w:val="0"/>
        </w:rPr>
        <w:t>三公”经费财政拨款支出决算情况说明</w:t>
      </w:r>
      <w:bookmarkEnd w:id="40"/>
      <w:bookmarkEnd w:id="41"/>
    </w:p>
    <w:p>
      <w:pPr>
        <w:spacing w:line="576" w:lineRule="exact"/>
        <w:ind w:firstLine="640"/>
        <w:outlineLvl w:val="2"/>
        <w:rPr>
          <w:rFonts w:ascii="仿宋" w:hAnsi="仿宋" w:eastAsia="仿宋"/>
          <w:b/>
          <w:sz w:val="32"/>
          <w:szCs w:val="32"/>
        </w:rPr>
      </w:pPr>
      <w:bookmarkStart w:id="42" w:name="_Toc15377216"/>
      <w:r>
        <w:rPr>
          <w:rFonts w:hint="eastAsia" w:ascii="仿宋" w:hAnsi="仿宋" w:eastAsia="仿宋"/>
          <w:b/>
          <w:sz w:val="32"/>
          <w:szCs w:val="32"/>
        </w:rPr>
        <w:t>（一）“三公”经费财政拨款支出决算总体情况说明</w:t>
      </w:r>
      <w:bookmarkEnd w:id="42"/>
    </w:p>
    <w:p>
      <w:pPr>
        <w:spacing w:line="576" w:lineRule="exact"/>
        <w:ind w:firstLine="640"/>
        <w:rPr>
          <w:rFonts w:hint="default" w:ascii="仿宋" w:hAnsi="仿宋" w:eastAsia="仿宋"/>
          <w:b/>
          <w:sz w:val="32"/>
          <w:szCs w:val="32"/>
          <w:lang w:val="en-US" w:eastAsia="zh-CN"/>
        </w:rPr>
      </w:pPr>
      <w:r>
        <w:rPr>
          <w:rFonts w:ascii="仿宋" w:hAnsi="仿宋" w:eastAsia="仿宋"/>
          <w:sz w:val="32"/>
          <w:szCs w:val="32"/>
        </w:rPr>
        <w:t>20</w:t>
      </w:r>
      <w:r>
        <w:rPr>
          <w:rFonts w:hint="eastAsia" w:ascii="仿宋" w:hAnsi="仿宋" w:eastAsia="仿宋"/>
          <w:sz w:val="32"/>
          <w:szCs w:val="32"/>
        </w:rPr>
        <w:t>21年“三公”经费财政拨款支出决算为1.94万元，完成预算64.67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sz w:val="32"/>
          <w:szCs w:val="32"/>
          <w:lang w:val="en-US" w:eastAsia="zh-CN"/>
        </w:rPr>
        <w:t>原因为厉行节约经费支出减少。</w:t>
      </w:r>
    </w:p>
    <w:p>
      <w:pPr>
        <w:spacing w:line="576" w:lineRule="exact"/>
        <w:ind w:firstLine="640"/>
        <w:outlineLvl w:val="2"/>
        <w:rPr>
          <w:rFonts w:ascii="仿宋" w:hAnsi="仿宋" w:eastAsia="仿宋"/>
          <w:b/>
          <w:sz w:val="32"/>
          <w:szCs w:val="32"/>
        </w:rPr>
      </w:pPr>
      <w:bookmarkStart w:id="43" w:name="_Toc15377217"/>
      <w:r>
        <w:rPr>
          <w:rFonts w:hint="eastAsia" w:ascii="仿宋" w:hAnsi="仿宋" w:eastAsia="仿宋"/>
          <w:b/>
          <w:sz w:val="32"/>
          <w:szCs w:val="32"/>
        </w:rPr>
        <w:t>（二）“三公”经费财政拨款支出决算具体情况说明</w:t>
      </w:r>
      <w:bookmarkEnd w:id="43"/>
    </w:p>
    <w:p>
      <w:pPr>
        <w:spacing w:line="576"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；公务接待费支出决算1.94万元，占100</w:t>
      </w:r>
      <w:r>
        <w:rPr>
          <w:rFonts w:ascii="仿宋" w:hAnsi="仿宋" w:eastAsia="仿宋"/>
          <w:sz w:val="32"/>
          <w:szCs w:val="32"/>
        </w:rPr>
        <w:t>%</w:t>
      </w:r>
      <w:r>
        <w:rPr>
          <w:rFonts w:hint="eastAsia" w:ascii="仿宋" w:hAnsi="仿宋" w:eastAsia="仿宋"/>
          <w:sz w:val="32"/>
          <w:szCs w:val="32"/>
        </w:rPr>
        <w:t>。具体情况如下：</w:t>
      </w:r>
    </w:p>
    <w:p>
      <w:pPr>
        <w:numPr>
          <w:ilvl w:val="0"/>
          <w:numId w:val="5"/>
        </w:numPr>
        <w:spacing w:line="576" w:lineRule="exact"/>
        <w:ind w:firstLine="680"/>
        <w:rPr>
          <w:rFonts w:hint="eastAsia" w:ascii="仿宋_GB2312" w:eastAsia="仿宋_GB2312"/>
          <w:sz w:val="32"/>
          <w:szCs w:val="32"/>
        </w:rPr>
      </w:pP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7"/>
          <w:rFonts w:hint="eastAsia" w:ascii="仿宋" w:hAnsi="仿宋" w:eastAsia="仿宋"/>
          <w:b w:val="0"/>
          <w:bCs/>
          <w:sz w:val="32"/>
          <w:szCs w:val="32"/>
        </w:rPr>
        <w:t>。</w:t>
      </w:r>
      <w:r>
        <w:rPr>
          <w:rFonts w:hint="eastAsia" w:ascii="仿宋_GB2312" w:eastAsia="仿宋_GB2312"/>
          <w:sz w:val="32"/>
          <w:szCs w:val="32"/>
          <w:lang w:eastAsia="zh-CN"/>
        </w:rPr>
        <w:t>年初未安排预算</w:t>
      </w:r>
      <w:r>
        <w:rPr>
          <w:rFonts w:hint="eastAsia" w:ascii="仿宋_GB2312" w:eastAsia="仿宋_GB2312"/>
          <w:sz w:val="32"/>
          <w:szCs w:val="32"/>
        </w:rPr>
        <w:t>。因公出国（境）</w:t>
      </w:r>
      <w:r>
        <w:rPr>
          <w:rFonts w:hint="eastAsia" w:ascii="仿宋_GB2312" w:eastAsia="仿宋_GB2312"/>
          <w:sz w:val="32"/>
          <w:szCs w:val="32"/>
          <w:lang w:eastAsia="zh-CN"/>
        </w:rPr>
        <w:t>经费</w:t>
      </w:r>
      <w:r>
        <w:rPr>
          <w:rFonts w:hint="eastAsia" w:ascii="仿宋_GB2312" w:eastAsia="仿宋_GB2312"/>
          <w:sz w:val="32"/>
          <w:szCs w:val="32"/>
        </w:rPr>
        <w:t>支出</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20年</w:t>
      </w:r>
      <w:r>
        <w:rPr>
          <w:rFonts w:hint="eastAsia" w:ascii="仿宋_GB2312" w:eastAsia="仿宋_GB2312"/>
          <w:sz w:val="32"/>
          <w:szCs w:val="32"/>
          <w:lang w:eastAsia="zh-CN"/>
        </w:rPr>
        <w:t>无变化</w:t>
      </w:r>
      <w:r>
        <w:rPr>
          <w:rFonts w:hint="eastAsia" w:ascii="仿宋_GB2312" w:eastAsia="仿宋_GB2312"/>
          <w:sz w:val="32"/>
          <w:szCs w:val="32"/>
        </w:rPr>
        <w:t>。</w:t>
      </w:r>
    </w:p>
    <w:p>
      <w:pPr>
        <w:numPr>
          <w:ilvl w:val="0"/>
          <w:numId w:val="0"/>
        </w:numPr>
        <w:spacing w:line="576" w:lineRule="exact"/>
        <w:ind w:firstLine="642" w:firstLineChars="200"/>
        <w:rPr>
          <w:rFonts w:hint="default" w:ascii="仿宋_GB2312" w:eastAsia="仿宋_GB2312"/>
          <w:sz w:val="32"/>
          <w:szCs w:val="32"/>
          <w:lang w:val="en-US" w:eastAsia="zh-CN"/>
        </w:rPr>
      </w:pPr>
      <w:r>
        <w:rPr>
          <w:rFonts w:hint="eastAsia" w:ascii="仿宋_GB2312" w:eastAsia="仿宋_GB2312"/>
          <w:b/>
          <w:sz w:val="32"/>
          <w:szCs w:val="32"/>
        </w:rPr>
        <w:t>2.公务用车购置及运行维护费支出</w:t>
      </w:r>
      <w:r>
        <w:rPr>
          <w:rFonts w:hint="eastAsia" w:ascii="仿宋_GB2312" w:eastAsia="仿宋_GB2312"/>
          <w:sz w:val="32"/>
          <w:szCs w:val="32"/>
        </w:rPr>
        <w:t>0万元</w:t>
      </w:r>
      <w:r>
        <w:rPr>
          <w:rStyle w:val="17"/>
          <w:rFonts w:hint="eastAsia" w:ascii="仿宋" w:hAnsi="仿宋" w:eastAsia="仿宋"/>
          <w:b w:val="0"/>
          <w:bCs/>
          <w:sz w:val="32"/>
          <w:szCs w:val="32"/>
        </w:rPr>
        <w:t>。</w:t>
      </w:r>
      <w:r>
        <w:rPr>
          <w:rStyle w:val="17"/>
          <w:rFonts w:hint="eastAsia" w:ascii="仿宋" w:hAnsi="仿宋" w:eastAsia="仿宋"/>
          <w:b w:val="0"/>
          <w:bCs/>
          <w:sz w:val="32"/>
          <w:szCs w:val="32"/>
          <w:lang w:eastAsia="zh-CN"/>
        </w:rPr>
        <w:t>年初未安排预算，</w:t>
      </w:r>
      <w:r>
        <w:rPr>
          <w:rFonts w:hint="eastAsia" w:ascii="仿宋_GB2312" w:eastAsia="仿宋_GB2312"/>
          <w:sz w:val="32"/>
          <w:szCs w:val="32"/>
        </w:rPr>
        <w:t>公务用车购置及运行维护费支出</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20年</w:t>
      </w:r>
      <w:r>
        <w:rPr>
          <w:rFonts w:hint="eastAsia" w:ascii="仿宋_GB2312" w:eastAsia="仿宋_GB2312"/>
          <w:sz w:val="32"/>
          <w:szCs w:val="32"/>
          <w:lang w:eastAsia="zh-CN"/>
        </w:rPr>
        <w:t>无变化</w:t>
      </w:r>
      <w:r>
        <w:rPr>
          <w:rFonts w:hint="eastAsia" w:ascii="仿宋_GB2312" w:eastAsia="仿宋_GB2312"/>
          <w:sz w:val="32"/>
          <w:szCs w:val="32"/>
        </w:rPr>
        <w:t>。</w:t>
      </w:r>
      <w:r>
        <w:rPr>
          <w:rFonts w:hint="eastAsia" w:ascii="仿宋_GB2312" w:eastAsia="仿宋_GB2312"/>
          <w:sz w:val="32"/>
          <w:szCs w:val="32"/>
          <w:lang w:val="en-US" w:eastAsia="zh-CN"/>
        </w:rPr>
        <w:t>截止2021年12月31日，公务车购置0辆。</w:t>
      </w:r>
    </w:p>
    <w:p>
      <w:pPr>
        <w:spacing w:line="576"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1.94万元，</w:t>
      </w:r>
      <w:r>
        <w:rPr>
          <w:rStyle w:val="17"/>
          <w:rFonts w:hint="eastAsia" w:ascii="仿宋" w:hAnsi="仿宋" w:eastAsia="仿宋"/>
          <w:b w:val="0"/>
          <w:bCs/>
          <w:sz w:val="32"/>
          <w:szCs w:val="32"/>
        </w:rPr>
        <w:t>完成预算64.67</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20年增加1.65万元，增长</w:t>
      </w:r>
      <w:r>
        <w:rPr>
          <w:rFonts w:hint="eastAsia" w:ascii="仿宋_GB2312" w:eastAsia="仿宋_GB2312"/>
          <w:sz w:val="32"/>
          <w:szCs w:val="32"/>
          <w:lang w:val="en-US" w:eastAsia="zh-CN"/>
        </w:rPr>
        <w:t>568.97</w:t>
      </w:r>
      <w:r>
        <w:rPr>
          <w:rFonts w:ascii="仿宋_GB2312" w:eastAsia="仿宋_GB2312"/>
          <w:sz w:val="32"/>
          <w:szCs w:val="32"/>
        </w:rPr>
        <w:t>%</w:t>
      </w:r>
      <w:r>
        <w:rPr>
          <w:rFonts w:hint="eastAsia" w:ascii="仿宋_GB2312" w:eastAsia="仿宋_GB2312"/>
          <w:sz w:val="32"/>
          <w:szCs w:val="32"/>
        </w:rPr>
        <w:t>。主要原因是1.石龙上一年接待费基数较低0.29万元。2.是石龙工业园区指挥部成立，承担招商任务。</w:t>
      </w:r>
    </w:p>
    <w:p>
      <w:pPr>
        <w:spacing w:line="576"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1.94</w:t>
      </w:r>
      <w:r>
        <w:rPr>
          <w:rFonts w:hint="eastAsia" w:ascii="仿宋_GB2312" w:eastAsia="仿宋_GB2312"/>
          <w:sz w:val="32"/>
          <w:szCs w:val="32"/>
        </w:rPr>
        <w:t>万元，主要用于接待引进企业来考察接待餐费。国内公务接待10批次，150人次。</w:t>
      </w:r>
    </w:p>
    <w:p>
      <w:pPr>
        <w:spacing w:line="576" w:lineRule="exact"/>
        <w:outlineLvl w:val="1"/>
        <w:rPr>
          <w:rStyle w:val="28"/>
          <w:rFonts w:ascii="黑体" w:hAnsi="黑体" w:eastAsia="黑体"/>
        </w:rPr>
      </w:pPr>
      <w:bookmarkStart w:id="44" w:name="_Toc15377218"/>
      <w:bookmarkStart w:id="45" w:name="_Toc15396610"/>
      <w:r>
        <w:rPr>
          <w:rFonts w:hint="eastAsia" w:ascii="黑体" w:eastAsia="黑体"/>
          <w:sz w:val="32"/>
          <w:szCs w:val="32"/>
        </w:rPr>
        <w:t>八、</w:t>
      </w:r>
      <w:r>
        <w:rPr>
          <w:rStyle w:val="28"/>
          <w:rFonts w:hint="eastAsia" w:ascii="黑体" w:hAnsi="黑体" w:eastAsia="黑体"/>
          <w:b w:val="0"/>
        </w:rPr>
        <w:t>政府性基金预算支出决算情况说明</w:t>
      </w:r>
      <w:bookmarkEnd w:id="44"/>
      <w:bookmarkEnd w:id="45"/>
    </w:p>
    <w:p>
      <w:pPr>
        <w:spacing w:line="576" w:lineRule="exact"/>
        <w:ind w:firstLine="640"/>
      </w:pPr>
      <w:r>
        <w:rPr>
          <w:rFonts w:ascii="仿宋_GB2312" w:eastAsia="仿宋_GB2312"/>
          <w:sz w:val="32"/>
          <w:szCs w:val="32"/>
        </w:rPr>
        <w:t>20</w:t>
      </w:r>
      <w:r>
        <w:rPr>
          <w:rFonts w:hint="eastAsia" w:ascii="仿宋_GB2312" w:eastAsia="仿宋_GB2312"/>
          <w:sz w:val="32"/>
          <w:szCs w:val="32"/>
        </w:rPr>
        <w:t>21年政府性基金预算财政拨款支出0万元。</w:t>
      </w:r>
    </w:p>
    <w:p>
      <w:pPr>
        <w:numPr>
          <w:ilvl w:val="0"/>
          <w:numId w:val="6"/>
        </w:numPr>
        <w:spacing w:line="576" w:lineRule="exact"/>
        <w:ind w:firstLine="640"/>
        <w:outlineLvl w:val="1"/>
        <w:rPr>
          <w:rStyle w:val="28"/>
          <w:rFonts w:ascii="黑体" w:hAnsi="黑体" w:eastAsia="黑体"/>
          <w:b w:val="0"/>
        </w:rPr>
      </w:pPr>
      <w:bookmarkStart w:id="46" w:name="_Toc15396611"/>
      <w:bookmarkStart w:id="47" w:name="_Toc15377219"/>
      <w:r>
        <w:rPr>
          <w:rStyle w:val="28"/>
          <w:rFonts w:hint="eastAsia" w:ascii="黑体" w:hAnsi="黑体" w:eastAsia="黑体"/>
          <w:b w:val="0"/>
        </w:rPr>
        <w:t>国有资本经营预算支出决算情况说明</w:t>
      </w:r>
      <w:bookmarkEnd w:id="46"/>
      <w:bookmarkEnd w:id="47"/>
    </w:p>
    <w:p>
      <w:pPr>
        <w:spacing w:line="576" w:lineRule="exact"/>
        <w:ind w:firstLine="640"/>
      </w:pPr>
      <w:r>
        <w:rPr>
          <w:rFonts w:ascii="仿宋_GB2312" w:eastAsia="仿宋_GB2312"/>
          <w:sz w:val="32"/>
          <w:szCs w:val="32"/>
        </w:rPr>
        <w:t>20</w:t>
      </w:r>
      <w:r>
        <w:rPr>
          <w:rFonts w:hint="eastAsia" w:ascii="仿宋_GB2312" w:eastAsia="仿宋_GB2312"/>
          <w:sz w:val="32"/>
          <w:szCs w:val="32"/>
        </w:rPr>
        <w:t>21年国有资本经营预算财政拨款支出0万元。</w:t>
      </w:r>
      <w:bookmarkStart w:id="48" w:name="_Toc15396612"/>
      <w:bookmarkStart w:id="49" w:name="_Toc15377221"/>
    </w:p>
    <w:p>
      <w:pPr>
        <w:numPr>
          <w:ilvl w:val="0"/>
          <w:numId w:val="6"/>
        </w:numPr>
        <w:spacing w:line="576" w:lineRule="exact"/>
        <w:ind w:firstLine="640"/>
        <w:outlineLvl w:val="1"/>
        <w:rPr>
          <w:rStyle w:val="28"/>
          <w:rFonts w:ascii="黑体" w:hAnsi="黑体" w:eastAsia="黑体"/>
          <w:b w:val="0"/>
        </w:rPr>
      </w:pPr>
      <w:r>
        <w:rPr>
          <w:rStyle w:val="28"/>
          <w:rFonts w:hint="eastAsia" w:ascii="黑体" w:hAnsi="黑体" w:eastAsia="黑体"/>
          <w:b w:val="0"/>
        </w:rPr>
        <w:t>其他重要事项的情况说明</w:t>
      </w:r>
      <w:bookmarkEnd w:id="48"/>
      <w:bookmarkEnd w:id="49"/>
    </w:p>
    <w:p>
      <w:pPr>
        <w:spacing w:line="576" w:lineRule="exact"/>
        <w:ind w:firstLine="642" w:firstLineChars="200"/>
        <w:outlineLvl w:val="2"/>
        <w:rPr>
          <w:rFonts w:ascii="仿宋" w:hAnsi="仿宋" w:eastAsia="仿宋"/>
          <w:sz w:val="32"/>
          <w:szCs w:val="32"/>
        </w:rPr>
      </w:pPr>
      <w:bookmarkStart w:id="50" w:name="_Toc15377222"/>
      <w:r>
        <w:rPr>
          <w:rFonts w:hint="eastAsia" w:ascii="仿宋" w:hAnsi="仿宋" w:eastAsia="仿宋"/>
          <w:b/>
          <w:sz w:val="32"/>
          <w:szCs w:val="32"/>
        </w:rPr>
        <w:t>（一）机关运行经费支出情况</w:t>
      </w:r>
      <w:bookmarkEnd w:id="50"/>
    </w:p>
    <w:p>
      <w:pPr>
        <w:spacing w:line="576"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21年，石龙街道机关运行经费支出260.51万元，比</w:t>
      </w:r>
      <w:r>
        <w:rPr>
          <w:rFonts w:ascii="仿宋_GB2312" w:eastAsia="仿宋_GB2312"/>
          <w:sz w:val="32"/>
          <w:szCs w:val="32"/>
        </w:rPr>
        <w:t>20</w:t>
      </w:r>
      <w:r>
        <w:rPr>
          <w:rFonts w:hint="eastAsia" w:ascii="仿宋_GB2312" w:eastAsia="仿宋_GB2312"/>
          <w:sz w:val="32"/>
          <w:szCs w:val="32"/>
        </w:rPr>
        <w:t>20年增加91.32万元。主要原因是将财力补助由2020年项目经费调整到运行经费。</w:t>
      </w:r>
    </w:p>
    <w:p>
      <w:pPr>
        <w:autoSpaceDE w:val="0"/>
        <w:autoSpaceDN w:val="0"/>
        <w:adjustRightInd w:val="0"/>
        <w:spacing w:line="576" w:lineRule="exact"/>
        <w:ind w:firstLine="642" w:firstLineChars="200"/>
        <w:outlineLvl w:val="2"/>
        <w:rPr>
          <w:rFonts w:ascii="仿宋" w:hAnsi="仿宋" w:eastAsia="仿宋"/>
          <w:b/>
          <w:sz w:val="32"/>
          <w:szCs w:val="32"/>
        </w:rPr>
      </w:pPr>
      <w:bookmarkStart w:id="51" w:name="_Toc15377223"/>
      <w:r>
        <w:rPr>
          <w:rFonts w:hint="eastAsia" w:ascii="仿宋" w:hAnsi="仿宋" w:eastAsia="仿宋"/>
          <w:b/>
          <w:sz w:val="32"/>
          <w:szCs w:val="32"/>
        </w:rPr>
        <w:t>（二）政府采购支出情况</w:t>
      </w:r>
      <w:bookmarkEnd w:id="51"/>
    </w:p>
    <w:p>
      <w:pPr>
        <w:spacing w:line="576" w:lineRule="exact"/>
        <w:ind w:firstLine="640" w:firstLineChars="200"/>
        <w:rPr>
          <w:rFonts w:hint="default"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21年，石龙街道政府采购支出总额1.29万元，其中：政府采购货物支出1.29万元，占政府采购支出总额的100</w:t>
      </w:r>
      <w:r>
        <w:rPr>
          <w:rFonts w:ascii="仿宋_GB2312" w:eastAsia="仿宋_GB2312"/>
          <w:sz w:val="32"/>
          <w:szCs w:val="32"/>
        </w:rPr>
        <w:t>%</w:t>
      </w:r>
      <w:r>
        <w:rPr>
          <w:rFonts w:hint="eastAsia" w:ascii="仿宋_GB2312" w:eastAsia="仿宋_GB2312"/>
          <w:sz w:val="32"/>
          <w:szCs w:val="32"/>
        </w:rPr>
        <w:t>。</w:t>
      </w:r>
      <w:r>
        <w:rPr>
          <w:rFonts w:hint="eastAsia" w:ascii="仿宋_GB2312" w:eastAsia="仿宋_GB2312"/>
          <w:sz w:val="32"/>
          <w:szCs w:val="32"/>
          <w:lang w:val="en-US" w:eastAsia="zh-CN"/>
        </w:rPr>
        <w:t>中小企业采购数为0，小微企业采购为0。</w:t>
      </w:r>
    </w:p>
    <w:p>
      <w:pPr>
        <w:autoSpaceDE w:val="0"/>
        <w:autoSpaceDN w:val="0"/>
        <w:adjustRightInd w:val="0"/>
        <w:spacing w:line="576" w:lineRule="exact"/>
        <w:ind w:firstLine="642" w:firstLineChars="200"/>
        <w:outlineLvl w:val="2"/>
        <w:rPr>
          <w:rFonts w:ascii="仿宋" w:hAnsi="仿宋" w:eastAsia="仿宋"/>
          <w:b/>
          <w:sz w:val="32"/>
          <w:szCs w:val="32"/>
        </w:rPr>
      </w:pPr>
      <w:bookmarkStart w:id="52" w:name="_Toc15377224"/>
      <w:r>
        <w:rPr>
          <w:rFonts w:hint="eastAsia" w:ascii="仿宋" w:hAnsi="仿宋" w:eastAsia="仿宋"/>
          <w:b/>
          <w:sz w:val="32"/>
          <w:szCs w:val="32"/>
        </w:rPr>
        <w:t>（三）国有资产占有使用情况</w:t>
      </w:r>
      <w:bookmarkEnd w:id="52"/>
    </w:p>
    <w:p>
      <w:pPr>
        <w:autoSpaceDE w:val="0"/>
        <w:autoSpaceDN w:val="0"/>
        <w:adjustRightInd w:val="0"/>
        <w:spacing w:line="600" w:lineRule="exact"/>
        <w:ind w:firstLine="640" w:firstLineChars="200"/>
        <w:jc w:val="left"/>
        <w:rPr>
          <w:rFonts w:hint="eastAsia" w:ascii="仿宋" w:hAnsi="仿宋" w:eastAsia="仿宋" w:cs="Times New Roman"/>
          <w:color w:val="000000"/>
          <w:kern w:val="2"/>
          <w:sz w:val="32"/>
          <w:szCs w:val="32"/>
          <w:lang w:val="en-US" w:eastAsia="zh-CN" w:bidi="ar"/>
        </w:rPr>
      </w:pPr>
      <w:bookmarkStart w:id="53" w:name="_Toc15396613"/>
      <w:bookmarkStart w:id="54" w:name="_Toc15377225"/>
      <w:r>
        <w:rPr>
          <w:rFonts w:hint="eastAsia" w:ascii="仿宋" w:hAnsi="仿宋" w:eastAsia="仿宋" w:cs="Times New Roman"/>
          <w:color w:val="000000"/>
          <w:kern w:val="2"/>
          <w:sz w:val="32"/>
          <w:szCs w:val="32"/>
          <w:lang w:val="en-US" w:eastAsia="zh-CN" w:bidi="ar"/>
        </w:rPr>
        <w:t>截至2021年12月31日，</w:t>
      </w:r>
      <w:r>
        <w:rPr>
          <w:rFonts w:hint="eastAsia" w:ascii="仿宋" w:hAnsi="仿宋" w:eastAsia="仿宋"/>
          <w:color w:val="000000"/>
          <w:sz w:val="32"/>
          <w:szCs w:val="32"/>
        </w:rPr>
        <w:t>石龙街道共有车辆0辆。</w:t>
      </w:r>
      <w:r>
        <w:rPr>
          <w:rFonts w:hint="eastAsia" w:ascii="仿宋" w:hAnsi="仿宋" w:eastAsia="仿宋" w:cs="Times New Roman"/>
          <w:color w:val="000000"/>
          <w:kern w:val="2"/>
          <w:sz w:val="32"/>
          <w:szCs w:val="32"/>
          <w:lang w:val="en-US" w:eastAsia="zh-CN" w:bidi="ar"/>
        </w:rPr>
        <w:t>单价50万元以上通用设备0台（套），单价100万元以上专用设备0台（套）。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20" w:firstLineChars="100"/>
        <w:jc w:val="both"/>
        <w:textAlignment w:val="auto"/>
        <w:rPr>
          <w:rStyle w:val="28"/>
          <w:rFonts w:hint="eastAsia" w:ascii="黑体" w:hAnsi="黑体" w:eastAsia="黑体" w:cs="黑体"/>
          <w:b w:val="0"/>
          <w:bCs w:val="0"/>
          <w:color w:val="000000" w:themeColor="text1"/>
          <w:highlight w:val="none"/>
          <w:lang w:eastAsia="zh-CN"/>
        </w:rPr>
      </w:pPr>
      <w:r>
        <w:rPr>
          <w:rFonts w:hint="eastAsia" w:ascii="黑体" w:hAnsi="黑体" w:eastAsia="黑体" w:cs="黑体"/>
          <w:color w:val="000000"/>
          <w:kern w:val="2"/>
          <w:sz w:val="32"/>
          <w:szCs w:val="32"/>
          <w:lang w:val="en-US" w:eastAsia="zh-CN" w:bidi="ar"/>
        </w:rPr>
        <w:t>十一、</w:t>
      </w:r>
      <w:r>
        <w:rPr>
          <w:rStyle w:val="28"/>
          <w:rFonts w:hint="eastAsia" w:ascii="黑体" w:hAnsi="黑体" w:eastAsia="黑体" w:cs="黑体"/>
          <w:b w:val="0"/>
          <w:bCs w:val="0"/>
          <w:color w:val="000000" w:themeColor="text1"/>
          <w:highlight w:val="none"/>
          <w:lang w:eastAsia="zh-CN"/>
        </w:rPr>
        <w:t>预算绩效管理情况</w:t>
      </w:r>
    </w:p>
    <w:p>
      <w:pPr>
        <w:numPr>
          <w:ilvl w:val="0"/>
          <w:numId w:val="0"/>
        </w:numPr>
        <w:spacing w:line="600" w:lineRule="exact"/>
        <w:ind w:firstLine="640" w:firstLineChars="200"/>
        <w:outlineLvl w:val="1"/>
        <w:rPr>
          <w:rFonts w:hint="eastAsia"/>
          <w:color w:val="000000" w:themeColor="text1"/>
          <w:highlight w:val="none"/>
          <w:lang w:eastAsia="zh-CN"/>
        </w:rPr>
      </w:pPr>
      <w:r>
        <w:rPr>
          <w:rFonts w:hint="eastAsia" w:ascii="仿宋_GB2312" w:hAnsi="仿宋_GB2312" w:eastAsia="仿宋_GB2312" w:cs="仿宋_GB2312"/>
          <w:color w:val="000000" w:themeColor="text1"/>
          <w:sz w:val="32"/>
          <w:szCs w:val="32"/>
          <w:highlight w:val="none"/>
        </w:rPr>
        <w:t>根据预算绩效管理要求，本部门在</w:t>
      </w:r>
      <w:r>
        <w:rPr>
          <w:rFonts w:hint="eastAsia" w:ascii="仿宋_GB2312" w:hAnsi="仿宋_GB2312" w:eastAsia="仿宋_GB2312" w:cs="仿宋_GB2312"/>
          <w:color w:val="000000" w:themeColor="text1"/>
          <w:sz w:val="32"/>
          <w:szCs w:val="32"/>
          <w:highlight w:val="none"/>
          <w:lang w:val="en-US" w:eastAsia="zh-CN"/>
        </w:rPr>
        <w:t>2021年度</w:t>
      </w:r>
      <w:r>
        <w:rPr>
          <w:rFonts w:hint="eastAsia" w:ascii="仿宋_GB2312" w:hAnsi="仿宋_GB2312" w:eastAsia="仿宋_GB2312" w:cs="仿宋_GB2312"/>
          <w:color w:val="000000" w:themeColor="text1"/>
          <w:sz w:val="32"/>
          <w:szCs w:val="32"/>
          <w:highlight w:val="none"/>
        </w:rPr>
        <w:t>预算编制阶段，</w:t>
      </w:r>
      <w:r>
        <w:rPr>
          <w:rFonts w:hint="eastAsia" w:ascii="仿宋_GB2312" w:hAnsi="仿宋_GB2312" w:eastAsia="仿宋_GB2312" w:cs="仿宋_GB2312"/>
          <w:color w:val="000000" w:themeColor="text1"/>
          <w:sz w:val="32"/>
          <w:szCs w:val="32"/>
          <w:highlight w:val="none"/>
          <w:lang w:val="en-US" w:eastAsia="zh-CN"/>
        </w:rPr>
        <w:t>村（社）换届审计、</w:t>
      </w:r>
      <w:r>
        <w:rPr>
          <w:rFonts w:hint="eastAsia" w:ascii="仿宋_GB2312" w:hAnsi="仿宋_GB2312" w:eastAsia="仿宋_GB2312" w:cs="仿宋_GB2312"/>
          <w:color w:val="000000" w:themeColor="text1"/>
          <w:sz w:val="32"/>
          <w:szCs w:val="32"/>
          <w:highlight w:val="none"/>
          <w:lang w:eastAsia="zh-CN"/>
        </w:rPr>
        <w:t>林业草原防灾减灾、公共安全与应急抢险物资保障</w:t>
      </w:r>
      <w:r>
        <w:rPr>
          <w:rFonts w:hint="eastAsia" w:ascii="仿宋_GB2312" w:hAnsi="仿宋_GB2312" w:eastAsia="仿宋_GB2312" w:cs="仿宋_GB2312"/>
          <w:color w:val="000000" w:themeColor="text1"/>
          <w:sz w:val="32"/>
          <w:szCs w:val="32"/>
          <w:highlight w:val="none"/>
        </w:rPr>
        <w:t>项目</w:t>
      </w:r>
      <w:r>
        <w:rPr>
          <w:rFonts w:hint="eastAsia" w:ascii="仿宋_GB2312" w:hAnsi="仿宋_GB2312" w:eastAsia="仿宋_GB2312" w:cs="仿宋_GB2312"/>
          <w:color w:val="000000" w:themeColor="text1"/>
          <w:sz w:val="32"/>
          <w:szCs w:val="32"/>
          <w:highlight w:val="none"/>
          <w:lang w:eastAsia="zh-CN"/>
        </w:rPr>
        <w:t>等</w:t>
      </w:r>
      <w:r>
        <w:rPr>
          <w:rFonts w:hint="eastAsia" w:ascii="仿宋_GB2312" w:hAnsi="仿宋_GB2312" w:eastAsia="仿宋_GB2312" w:cs="仿宋_GB2312"/>
          <w:color w:val="000000" w:themeColor="text1"/>
          <w:sz w:val="32"/>
          <w:szCs w:val="32"/>
          <w:highlight w:val="none"/>
          <w:lang w:val="en-US" w:eastAsia="zh-CN"/>
        </w:rPr>
        <w:t>项目</w:t>
      </w:r>
      <w:r>
        <w:rPr>
          <w:rFonts w:hint="eastAsia" w:ascii="仿宋_GB2312" w:hAnsi="仿宋_GB2312" w:eastAsia="仿宋_GB2312" w:cs="仿宋_GB2312"/>
          <w:color w:val="000000" w:themeColor="text1"/>
          <w:sz w:val="32"/>
          <w:szCs w:val="32"/>
          <w:highlight w:val="none"/>
        </w:rPr>
        <w:t>开展了预算事前绩效评估，对</w:t>
      </w:r>
      <w:r>
        <w:rPr>
          <w:rFonts w:hint="eastAsia" w:ascii="仿宋_GB2312" w:hAnsi="仿宋_GB2312" w:eastAsia="仿宋_GB2312" w:cs="仿宋_GB2312"/>
          <w:color w:val="000000" w:themeColor="text1"/>
          <w:sz w:val="32"/>
          <w:szCs w:val="32"/>
          <w:highlight w:val="none"/>
          <w:lang w:val="en-US" w:eastAsia="zh-CN"/>
        </w:rPr>
        <w:t>19</w:t>
      </w:r>
      <w:r>
        <w:rPr>
          <w:rFonts w:hint="eastAsia" w:ascii="仿宋_GB2312" w:hAnsi="仿宋_GB2312" w:eastAsia="仿宋_GB2312" w:cs="仿宋_GB2312"/>
          <w:color w:val="000000" w:themeColor="text1"/>
          <w:sz w:val="32"/>
          <w:szCs w:val="32"/>
          <w:highlight w:val="none"/>
        </w:rPr>
        <w:t>个项目编制了绩效目标，预算执行过程中，选取</w:t>
      </w:r>
      <w:r>
        <w:rPr>
          <w:rFonts w:hint="eastAsia" w:ascii="仿宋_GB2312" w:hAnsi="仿宋_GB2312" w:eastAsia="仿宋_GB2312" w:cs="仿宋_GB2312"/>
          <w:color w:val="000000" w:themeColor="text1"/>
          <w:sz w:val="32"/>
          <w:szCs w:val="32"/>
          <w:highlight w:val="none"/>
          <w:lang w:val="en-US" w:eastAsia="zh-CN"/>
        </w:rPr>
        <w:t>19</w:t>
      </w:r>
      <w:r>
        <w:rPr>
          <w:rFonts w:hint="eastAsia" w:ascii="仿宋_GB2312" w:hAnsi="仿宋_GB2312" w:eastAsia="仿宋_GB2312" w:cs="仿宋_GB2312"/>
          <w:color w:val="000000" w:themeColor="text1"/>
          <w:sz w:val="32"/>
          <w:szCs w:val="32"/>
          <w:highlight w:val="none"/>
        </w:rPr>
        <w:t>个项目开展绩效监控，年终执行完毕后，对</w:t>
      </w:r>
      <w:r>
        <w:rPr>
          <w:rFonts w:hint="eastAsia" w:ascii="仿宋_GB2312" w:hAnsi="仿宋_GB2312" w:eastAsia="仿宋_GB2312" w:cs="仿宋_GB2312"/>
          <w:color w:val="000000" w:themeColor="text1"/>
          <w:sz w:val="32"/>
          <w:szCs w:val="32"/>
          <w:highlight w:val="none"/>
          <w:lang w:val="en-US" w:eastAsia="zh-CN"/>
        </w:rPr>
        <w:t>2</w:t>
      </w:r>
      <w:r>
        <w:rPr>
          <w:rFonts w:hint="eastAsia" w:ascii="仿宋_GB2312" w:hAnsi="仿宋_GB2312" w:eastAsia="仿宋_GB2312" w:cs="仿宋_GB2312"/>
          <w:color w:val="000000" w:themeColor="text1"/>
          <w:sz w:val="32"/>
          <w:szCs w:val="32"/>
          <w:highlight w:val="none"/>
        </w:rPr>
        <w:t>个项目开展了绩效自评</w:t>
      </w:r>
      <w:r>
        <w:rPr>
          <w:rFonts w:hint="eastAsia" w:ascii="仿宋_GB2312" w:hAnsi="仿宋_GB2312" w:eastAsia="仿宋_GB2312" w:cs="仿宋_GB2312"/>
          <w:color w:val="000000" w:themeColor="text1"/>
          <w:sz w:val="32"/>
          <w:szCs w:val="32"/>
          <w:highlight w:val="none"/>
          <w:lang w:eastAsia="zh-CN"/>
        </w:rPr>
        <w:t>。</w:t>
      </w:r>
      <w:r>
        <w:rPr>
          <w:rFonts w:hint="eastAsia" w:ascii="仿宋_GB2312" w:hAnsi="仿宋_GB2312" w:eastAsia="仿宋_GB2312" w:cs="仿宋_GB2312"/>
          <w:color w:val="000000" w:themeColor="text1"/>
          <w:sz w:val="32"/>
          <w:szCs w:val="32"/>
          <w:highlight w:val="none"/>
        </w:rPr>
        <w:t>见附件（</w:t>
      </w:r>
      <w:r>
        <w:rPr>
          <w:rFonts w:hint="eastAsia" w:ascii="仿宋_GB2312" w:hAnsi="仿宋_GB2312" w:eastAsia="仿宋_GB2312" w:cs="仿宋_GB2312"/>
          <w:color w:val="000000" w:themeColor="text1"/>
          <w:sz w:val="32"/>
          <w:szCs w:val="32"/>
          <w:highlight w:val="none"/>
          <w:lang w:eastAsia="zh-CN"/>
        </w:rPr>
        <w:t>第四部分</w:t>
      </w:r>
      <w:r>
        <w:rPr>
          <w:rFonts w:hint="eastAsia" w:ascii="仿宋_GB2312" w:hAnsi="仿宋_GB2312" w:eastAsia="仿宋_GB2312" w:cs="仿宋_GB2312"/>
          <w:color w:val="000000" w:themeColor="text1"/>
          <w:sz w:val="32"/>
          <w:szCs w:val="32"/>
          <w:highlight w:val="none"/>
        </w:rPr>
        <w:t>）。</w:t>
      </w:r>
    </w:p>
    <w:p>
      <w:pPr>
        <w:pStyle w:val="2"/>
        <w:rPr>
          <w:rFonts w:hint="default"/>
          <w:lang w:val="en-US"/>
        </w:rPr>
      </w:pPr>
      <w:r>
        <w:rPr>
          <w:rFonts w:hint="eastAsia" w:ascii="仿宋" w:hAnsi="仿宋" w:eastAsia="仿宋" w:cs="Times New Roman"/>
          <w:color w:val="000000"/>
          <w:kern w:val="2"/>
          <w:sz w:val="32"/>
          <w:szCs w:val="32"/>
          <w:lang w:val="en-US" w:eastAsia="zh-CN" w:bidi="ar"/>
        </w:rPr>
        <w:t xml:space="preserve"> </w:t>
      </w:r>
    </w:p>
    <w:p>
      <w:pPr>
        <w:widowControl/>
        <w:spacing w:line="576" w:lineRule="exact"/>
        <w:jc w:val="center"/>
        <w:rPr>
          <w:rFonts w:ascii="方正小标宋简体" w:hAnsi="方正小标宋简体" w:eastAsia="方正小标宋简体" w:cs="方正小标宋简体"/>
          <w:bCs/>
          <w:sz w:val="44"/>
          <w:szCs w:val="44"/>
        </w:rPr>
      </w:pPr>
    </w:p>
    <w:p>
      <w:pPr>
        <w:widowControl/>
        <w:spacing w:line="576" w:lineRule="exact"/>
        <w:jc w:val="center"/>
      </w:pPr>
      <w:r>
        <w:rPr>
          <w:rFonts w:hint="eastAsia" w:ascii="方正小标宋简体" w:hAnsi="方正小标宋简体" w:eastAsia="方正小标宋简体" w:cs="方正小标宋简体"/>
          <w:bCs/>
          <w:sz w:val="44"/>
          <w:szCs w:val="44"/>
        </w:rPr>
        <w:t>第三部分名词解释</w:t>
      </w:r>
      <w:bookmarkEnd w:id="53"/>
      <w:bookmarkEnd w:id="54"/>
    </w:p>
    <w:p>
      <w:pPr>
        <w:keepNext/>
        <w:keepLines/>
        <w:spacing w:line="576" w:lineRule="exact"/>
        <w:ind w:right="442" w:firstLine="640" w:firstLineChars="200"/>
        <w:rPr>
          <w:rFonts w:ascii="仿宋_GB2312" w:eastAsia="仿宋_GB2312"/>
          <w:sz w:val="32"/>
          <w:szCs w:val="32"/>
        </w:rPr>
      </w:pPr>
      <w:r>
        <w:rPr>
          <w:rFonts w:hint="eastAsia" w:ascii="仿宋_GB2312" w:eastAsia="仿宋_GB2312"/>
          <w:sz w:val="32"/>
          <w:szCs w:val="32"/>
        </w:rPr>
        <w:t>1.财政拨款收入：指单位从同级财政部门取得的财政预算资金。</w:t>
      </w:r>
    </w:p>
    <w:p>
      <w:pPr>
        <w:pStyle w:val="25"/>
        <w:spacing w:line="576" w:lineRule="exact"/>
        <w:ind w:firstLine="640" w:firstLineChars="200"/>
        <w:jc w:val="both"/>
        <w:rPr>
          <w:rFonts w:ascii="仿宋_GB2312" w:eastAsia="仿宋_GB2312"/>
          <w:sz w:val="32"/>
          <w:szCs w:val="32"/>
        </w:rPr>
      </w:pPr>
      <w:r>
        <w:rPr>
          <w:rFonts w:hint="eastAsia" w:ascii="仿宋_GB2312" w:eastAsia="仿宋_GB2312"/>
          <w:sz w:val="32"/>
          <w:szCs w:val="32"/>
        </w:rPr>
        <w:t xml:space="preserve">2.年初结转和结余：指以前年度尚未完成、结转到本年按有关规定继续使用的资金。 </w:t>
      </w:r>
    </w:p>
    <w:p>
      <w:pPr>
        <w:pStyle w:val="25"/>
        <w:spacing w:line="576" w:lineRule="exact"/>
        <w:ind w:firstLine="640" w:firstLineChars="200"/>
        <w:jc w:val="both"/>
      </w:pP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hAnsi="仿宋_GB2312" w:eastAsia="仿宋_GB2312" w:cs="仿宋_GB2312"/>
          <w:sz w:val="32"/>
          <w:szCs w:val="32"/>
        </w:rPr>
        <w:t>一般公共服务支出（类）201政府办公厅（室）及相关机构事务（款）03行政运行（项）01：指反映行政单位（包括实行公务员管理的事业单位）的基本支出。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rPr>
        <w:t>一般公共服务支出（类）201政府办公厅（室）及相关机构事务（款）03</w:t>
      </w:r>
      <w:r>
        <w:rPr>
          <w:rFonts w:hint="eastAsia" w:ascii="仿宋_GB2312" w:eastAsia="仿宋_GB2312"/>
          <w:color w:val="000000"/>
          <w:sz w:val="32"/>
          <w:szCs w:val="32"/>
        </w:rPr>
        <w:t>一般行政管理事务（项）02：指反映行政单位（包括实行公务员管理的事业单位）未单独设置项级科目的其他项目支出。</w:t>
      </w:r>
    </w:p>
    <w:p>
      <w:pPr>
        <w:pStyle w:val="14"/>
        <w:spacing w:line="576" w:lineRule="exact"/>
        <w:ind w:left="0" w:leftChars="0" w:firstLine="640"/>
        <w:rPr>
          <w:rFonts w:ascii="仿宋_GB2312" w:eastAsia="仿宋_GB2312"/>
          <w:color w:val="000000"/>
          <w:sz w:val="32"/>
          <w:szCs w:val="32"/>
        </w:rPr>
      </w:pP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rPr>
        <w:t>一般公共服务支出（类）201政府办公厅（室）及相关机构事务（款）03机关服务</w:t>
      </w:r>
      <w:r>
        <w:rPr>
          <w:rFonts w:hint="eastAsia" w:ascii="仿宋_GB2312" w:eastAsia="仿宋_GB2312"/>
          <w:color w:val="000000"/>
          <w:sz w:val="32"/>
          <w:szCs w:val="32"/>
        </w:rPr>
        <w:t>（项）03：指反映行政单位（包括实行公务员管理的事业单位）提供事业后勤服务的各类后勤服务中心、医务室等附属事业单位支出。其他事业单位支出，凡单独设置了项级科目的，在单独设置的项级科目中反映。未单独设项级科目的，在“其他”项级科目中反映。</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rPr>
        <w:t>一般公共服务支出（类）201政府办公厅（室）及相关机构事务（款）03其他政府办公厅（室）及相关机构事务支出</w:t>
      </w:r>
      <w:r>
        <w:rPr>
          <w:rFonts w:hint="eastAsia" w:ascii="仿宋_GB2312" w:eastAsia="仿宋_GB2312"/>
          <w:color w:val="000000"/>
          <w:sz w:val="32"/>
          <w:szCs w:val="32"/>
        </w:rPr>
        <w:t>（项）99：反映除上述项目以外的其他政府</w:t>
      </w:r>
      <w:r>
        <w:rPr>
          <w:rFonts w:hint="eastAsia" w:ascii="仿宋_GB2312" w:hAnsi="仿宋_GB2312" w:eastAsia="仿宋_GB2312" w:cs="仿宋_GB2312"/>
          <w:kern w:val="0"/>
          <w:sz w:val="32"/>
          <w:szCs w:val="32"/>
        </w:rPr>
        <w:t>公厅（室）及相关机构事务支出。</w:t>
      </w:r>
    </w:p>
    <w:p>
      <w:pPr>
        <w:spacing w:line="576" w:lineRule="exact"/>
        <w:ind w:firstLine="640" w:firstLineChars="200"/>
        <w:rPr>
          <w:rFonts w:ascii="仿宋_GB2312" w:eastAsia="仿宋_GB2312"/>
          <w:sz w:val="32"/>
          <w:szCs w:val="32"/>
        </w:rPr>
      </w:pP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rPr>
        <w:t>一般公共服务支出（类）201 发展与改革事务（款）04日常经济运行调节</w:t>
      </w:r>
      <w:r>
        <w:rPr>
          <w:rFonts w:hint="eastAsia" w:ascii="仿宋_GB2312" w:eastAsia="仿宋_GB2312"/>
          <w:color w:val="000000"/>
          <w:sz w:val="32"/>
          <w:szCs w:val="32"/>
        </w:rPr>
        <w:t>（项）05</w:t>
      </w:r>
      <w:r>
        <w:rPr>
          <w:rFonts w:hint="eastAsia" w:ascii="仿宋_GB2312" w:eastAsia="仿宋_GB2312"/>
          <w:sz w:val="32"/>
          <w:szCs w:val="32"/>
        </w:rPr>
        <w:t>：反映日常经济运行调节方面的支出。</w:t>
      </w:r>
    </w:p>
    <w:p>
      <w:pPr>
        <w:spacing w:line="576" w:lineRule="exact"/>
        <w:ind w:firstLine="640" w:firstLineChars="200"/>
        <w:rPr>
          <w:rStyle w:val="17"/>
          <w:rFonts w:ascii="仿宋_GB2312" w:eastAsia="仿宋_GB2312"/>
          <w:b w:val="0"/>
          <w:color w:val="000000"/>
          <w:sz w:val="32"/>
          <w:szCs w:val="32"/>
        </w:rPr>
      </w:pPr>
      <w:r>
        <w:rPr>
          <w:rFonts w:hint="eastAsia" w:ascii="仿宋_GB2312" w:eastAsia="仿宋_GB2312"/>
          <w:sz w:val="32"/>
          <w:szCs w:val="32"/>
          <w:lang w:val="en-US" w:eastAsia="zh-CN"/>
        </w:rPr>
        <w:t>8</w:t>
      </w:r>
      <w:r>
        <w:rPr>
          <w:rFonts w:hint="eastAsia" w:ascii="仿宋_GB2312" w:eastAsia="仿宋_GB2312"/>
          <w:sz w:val="32"/>
          <w:szCs w:val="32"/>
        </w:rPr>
        <w:t xml:space="preserve">. </w:t>
      </w:r>
      <w:r>
        <w:rPr>
          <w:rFonts w:hint="eastAsia" w:ascii="仿宋_GB2312" w:hAnsi="仿宋_GB2312" w:eastAsia="仿宋_GB2312" w:cs="仿宋_GB2312"/>
          <w:kern w:val="0"/>
          <w:sz w:val="32"/>
          <w:szCs w:val="32"/>
        </w:rPr>
        <w:t>一般公共服务支出（类）201纪检监察事务（款）11一般行政管理事务（项）02</w:t>
      </w:r>
      <w:r>
        <w:rPr>
          <w:rStyle w:val="17"/>
          <w:rFonts w:hint="eastAsia" w:ascii="仿宋_GB2312" w:eastAsia="仿宋_GB2312"/>
          <w:b w:val="0"/>
          <w:color w:val="000000"/>
          <w:sz w:val="32"/>
          <w:szCs w:val="32"/>
        </w:rPr>
        <w:t xml:space="preserve">：反映行政单位（包括实行公务员管理的事业单位）未单独设置项目科目的其他项目支出。 </w:t>
      </w:r>
    </w:p>
    <w:p>
      <w:pPr>
        <w:spacing w:line="576" w:lineRule="exact"/>
        <w:ind w:firstLine="640" w:firstLineChars="200"/>
        <w:rPr>
          <w:rFonts w:ascii="仿宋_GB2312" w:eastAsia="仿宋_GB2312"/>
          <w:sz w:val="32"/>
          <w:szCs w:val="32"/>
        </w:rPr>
      </w:pP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rPr>
        <w:t>一般公共服务（类）201</w:t>
      </w:r>
      <w:r>
        <w:rPr>
          <w:rFonts w:hint="eastAsia" w:ascii="仿宋_GB2312" w:eastAsia="仿宋_GB2312"/>
          <w:color w:val="000000"/>
          <w:sz w:val="32"/>
          <w:szCs w:val="32"/>
        </w:rPr>
        <w:t>群众团体事务（款）29一其他群众团体事务支出（项）99：</w:t>
      </w:r>
      <w:r>
        <w:rPr>
          <w:rFonts w:hint="eastAsia" w:ascii="仿宋_GB2312" w:eastAsia="仿宋_GB2312"/>
          <w:sz w:val="32"/>
          <w:szCs w:val="32"/>
        </w:rPr>
        <w:t>反映除上诉项目以外其他用于群众团体事务方面的支出。</w:t>
      </w:r>
    </w:p>
    <w:p>
      <w:pPr>
        <w:spacing w:line="576" w:lineRule="exact"/>
        <w:ind w:firstLine="640" w:firstLineChars="200"/>
        <w:rPr>
          <w:rFonts w:ascii="仿宋_GB2312" w:eastAsia="仿宋_GB2312"/>
          <w:sz w:val="32"/>
          <w:szCs w:val="32"/>
        </w:rPr>
      </w:pP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w:t>
      </w:r>
      <w:r>
        <w:rPr>
          <w:rFonts w:hint="eastAsia" w:ascii="仿宋_GB2312" w:hAnsi="仿宋_GB2312" w:eastAsia="仿宋_GB2312" w:cs="仿宋_GB2312"/>
          <w:kern w:val="0"/>
          <w:sz w:val="32"/>
          <w:szCs w:val="32"/>
        </w:rPr>
        <w:t>一般公共服务支出（类）201组织事务（款）32</w:t>
      </w:r>
      <w:r>
        <w:rPr>
          <w:rFonts w:hint="eastAsia" w:ascii="仿宋_GB2312" w:eastAsia="仿宋_GB2312"/>
          <w:color w:val="000000"/>
          <w:sz w:val="32"/>
          <w:szCs w:val="32"/>
        </w:rPr>
        <w:t>其 一般行政管理事务（项）02</w:t>
      </w:r>
      <w:r>
        <w:rPr>
          <w:rFonts w:hint="eastAsia" w:ascii="仿宋_GB2312" w:eastAsia="仿宋_GB2312"/>
          <w:sz w:val="32"/>
          <w:szCs w:val="32"/>
        </w:rPr>
        <w:t>：指反映行政单位（包括实行公务员管理的事业单位）未单独设置顶级科目的去他项目支出。</w:t>
      </w:r>
    </w:p>
    <w:p>
      <w:pPr>
        <w:spacing w:line="576" w:lineRule="exact"/>
        <w:ind w:firstLine="640" w:firstLineChars="200"/>
        <w:rPr>
          <w:rFonts w:ascii="仿宋_GB2312" w:eastAsia="仿宋_GB2312"/>
          <w:sz w:val="32"/>
          <w:szCs w:val="32"/>
        </w:rPr>
      </w:pP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w:t>
      </w:r>
      <w:r>
        <w:rPr>
          <w:rFonts w:hint="eastAsia" w:ascii="仿宋_GB2312" w:hAnsi="仿宋_GB2312" w:eastAsia="仿宋_GB2312" w:cs="仿宋_GB2312"/>
          <w:kern w:val="0"/>
          <w:sz w:val="32"/>
          <w:szCs w:val="32"/>
        </w:rPr>
        <w:t>一般公共服务（类）201组织事务（款）32</w:t>
      </w:r>
      <w:r>
        <w:rPr>
          <w:rFonts w:hint="eastAsia" w:ascii="仿宋_GB2312" w:eastAsia="仿宋_GB2312"/>
          <w:color w:val="000000"/>
          <w:sz w:val="32"/>
          <w:szCs w:val="32"/>
        </w:rPr>
        <w:t xml:space="preserve"> 其他组织事务支出（项）99：</w:t>
      </w:r>
      <w:r>
        <w:rPr>
          <w:rFonts w:hint="eastAsia" w:ascii="仿宋_GB2312" w:eastAsia="仿宋_GB2312"/>
          <w:sz w:val="32"/>
          <w:szCs w:val="32"/>
        </w:rPr>
        <w:t>反映除上诉项目以外其他用于中国共产党 组织部门的事务支出。</w:t>
      </w:r>
    </w:p>
    <w:p>
      <w:pPr>
        <w:spacing w:line="576" w:lineRule="exact"/>
        <w:ind w:firstLine="640" w:firstLineChars="200"/>
        <w:rPr>
          <w:rFonts w:ascii="仿宋_GB2312" w:eastAsia="仿宋_GB2312"/>
          <w:sz w:val="32"/>
          <w:szCs w:val="32"/>
        </w:rPr>
      </w:pPr>
      <w:r>
        <w:rPr>
          <w:rFonts w:hint="eastAsia" w:ascii="仿宋_GB2312" w:eastAsia="仿宋_GB2312"/>
          <w:sz w:val="32"/>
          <w:szCs w:val="32"/>
          <w:lang w:val="en-US" w:eastAsia="zh-CN"/>
        </w:rPr>
        <w:t>12</w:t>
      </w:r>
      <w:r>
        <w:rPr>
          <w:rFonts w:hint="eastAsia" w:ascii="仿宋_GB2312" w:eastAsia="仿宋_GB2312"/>
          <w:sz w:val="32"/>
          <w:szCs w:val="32"/>
        </w:rPr>
        <w:t>.</w:t>
      </w:r>
      <w:r>
        <w:rPr>
          <w:rFonts w:hint="eastAsia" w:ascii="仿宋_GB2312" w:hAnsi="仿宋_GB2312" w:eastAsia="仿宋_GB2312" w:cs="仿宋_GB2312"/>
          <w:kern w:val="0"/>
          <w:sz w:val="32"/>
          <w:szCs w:val="32"/>
        </w:rPr>
        <w:t>一般公共服务（类）201市场监督管理事务（款）38</w:t>
      </w:r>
      <w:r>
        <w:rPr>
          <w:rFonts w:hint="eastAsia" w:ascii="仿宋_GB2312" w:eastAsia="仿宋_GB2312"/>
          <w:color w:val="000000"/>
          <w:sz w:val="32"/>
          <w:szCs w:val="32"/>
        </w:rPr>
        <w:t>市场监督管理专项（项）04：</w:t>
      </w:r>
      <w:r>
        <w:rPr>
          <w:rFonts w:hint="eastAsia" w:ascii="仿宋_GB2312" w:eastAsia="仿宋_GB2312"/>
          <w:sz w:val="32"/>
          <w:szCs w:val="32"/>
        </w:rPr>
        <w:t>反映从事市场监督管理专项业务方面的支出，单设科目的业务除外。</w:t>
      </w:r>
    </w:p>
    <w:p>
      <w:pPr>
        <w:spacing w:line="576" w:lineRule="exact"/>
        <w:ind w:firstLine="640" w:firstLineChars="200"/>
        <w:rPr>
          <w:rFonts w:ascii="仿宋_GB2312" w:eastAsia="仿宋_GB2312"/>
          <w:sz w:val="32"/>
          <w:szCs w:val="32"/>
        </w:rPr>
      </w:pPr>
      <w:r>
        <w:rPr>
          <w:rFonts w:hint="eastAsia" w:ascii="仿宋_GB2312" w:hAnsi="仿宋_GB2312" w:eastAsia="仿宋_GB2312" w:cs="仿宋_GB2312"/>
          <w:kern w:val="0"/>
          <w:sz w:val="32"/>
          <w:szCs w:val="32"/>
          <w:lang w:val="en-US" w:eastAsia="zh-CN"/>
        </w:rPr>
        <w:t>13</w:t>
      </w:r>
      <w:r>
        <w:rPr>
          <w:rFonts w:hint="eastAsia" w:ascii="仿宋_GB2312" w:hAnsi="仿宋_GB2312" w:eastAsia="仿宋_GB2312" w:cs="仿宋_GB2312"/>
          <w:kern w:val="0"/>
          <w:sz w:val="32"/>
          <w:szCs w:val="32"/>
        </w:rPr>
        <w:t>.一般公共服务（类）201市场监督管理事务（款）38</w:t>
      </w:r>
      <w:r>
        <w:rPr>
          <w:rFonts w:hint="eastAsia" w:ascii="仿宋_GB2312" w:eastAsia="仿宋_GB2312"/>
          <w:color w:val="000000"/>
          <w:sz w:val="32"/>
          <w:szCs w:val="32"/>
        </w:rPr>
        <w:t>其他市场监督管理事务（项）99：</w:t>
      </w:r>
      <w:r>
        <w:rPr>
          <w:rFonts w:hint="eastAsia" w:ascii="仿宋_GB2312" w:eastAsia="仿宋_GB2312"/>
          <w:sz w:val="32"/>
          <w:szCs w:val="32"/>
        </w:rPr>
        <w:t>反映用于除上述项目以外其他市场监督管理事务方面的支出。</w:t>
      </w:r>
    </w:p>
    <w:p>
      <w:pPr>
        <w:spacing w:line="576" w:lineRule="exact"/>
        <w:ind w:firstLine="640" w:firstLineChars="200"/>
        <w:rPr>
          <w:rFonts w:ascii="仿宋_GB2312" w:eastAsia="仿宋_GB2312"/>
          <w:sz w:val="32"/>
          <w:szCs w:val="32"/>
        </w:rPr>
      </w:pPr>
      <w:r>
        <w:rPr>
          <w:rFonts w:hint="eastAsia" w:ascii="仿宋_GB2312" w:eastAsia="仿宋_GB2312"/>
          <w:sz w:val="32"/>
          <w:szCs w:val="32"/>
          <w:lang w:val="en-US" w:eastAsia="zh-CN"/>
        </w:rPr>
        <w:t>14</w:t>
      </w:r>
      <w:r>
        <w:rPr>
          <w:rFonts w:hint="eastAsia" w:ascii="仿宋_GB2312" w:eastAsia="仿宋_GB2312"/>
          <w:sz w:val="32"/>
          <w:szCs w:val="32"/>
        </w:rPr>
        <w:t>.</w:t>
      </w:r>
      <w:r>
        <w:rPr>
          <w:rFonts w:hint="eastAsia" w:ascii="仿宋_GB2312" w:hAnsi="仿宋_GB2312" w:eastAsia="仿宋_GB2312" w:cs="仿宋_GB2312"/>
          <w:kern w:val="0"/>
          <w:sz w:val="32"/>
          <w:szCs w:val="32"/>
        </w:rPr>
        <w:t>一般公共服务（类）201</w:t>
      </w:r>
      <w:r>
        <w:rPr>
          <w:rFonts w:hint="eastAsia" w:ascii="仿宋_GB2312" w:eastAsia="仿宋_GB2312"/>
          <w:color w:val="000000"/>
          <w:sz w:val="32"/>
          <w:szCs w:val="32"/>
        </w:rPr>
        <w:t>其他一般公共服务支出（款）99其他一般公共服务支出（项）99：反映除上述项目为包括的一般公共服务支出。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15</w:t>
      </w:r>
      <w:r>
        <w:rPr>
          <w:rFonts w:hint="eastAsia" w:ascii="仿宋_GB2312" w:eastAsia="仿宋_GB2312"/>
          <w:color w:val="000000"/>
          <w:sz w:val="32"/>
          <w:szCs w:val="32"/>
        </w:rPr>
        <w:t>.公共安全支出（类）204国家安全（款）03其他国家安全支出（项）99：指反映用于安全方面的支出。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16</w:t>
      </w:r>
      <w:r>
        <w:rPr>
          <w:rFonts w:hint="eastAsia" w:ascii="仿宋_GB2312" w:eastAsia="仿宋_GB2312"/>
          <w:color w:val="000000"/>
          <w:sz w:val="32"/>
          <w:szCs w:val="32"/>
        </w:rPr>
        <w:t>.社会保障和就业支出（类）208行政事业单位</w:t>
      </w:r>
      <w:r>
        <w:rPr>
          <w:rFonts w:hint="eastAsia" w:ascii="仿宋_GB2312" w:eastAsia="仿宋_GB2312"/>
          <w:color w:val="000000"/>
          <w:sz w:val="32"/>
          <w:szCs w:val="32"/>
          <w:lang w:val="en-US" w:eastAsia="zh-CN"/>
        </w:rPr>
        <w:t>养老支出</w:t>
      </w:r>
      <w:r>
        <w:rPr>
          <w:rFonts w:hint="eastAsia" w:ascii="仿宋_GB2312" w:eastAsia="仿宋_GB2312"/>
          <w:color w:val="000000"/>
          <w:sz w:val="32"/>
          <w:szCs w:val="32"/>
        </w:rPr>
        <w:t>（款）05机关事业单位基本养老保险缴费支出（项）05：指反映机关事业单位实施养老保险制度由单位缴纳的基本养老保险费支出。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17</w:t>
      </w:r>
      <w:r>
        <w:rPr>
          <w:rFonts w:hint="eastAsia" w:ascii="仿宋_GB2312" w:eastAsia="仿宋_GB2312"/>
          <w:color w:val="000000"/>
          <w:sz w:val="32"/>
          <w:szCs w:val="32"/>
        </w:rPr>
        <w:t>.社会保障和就业支出（类）208行政事业单位</w:t>
      </w:r>
      <w:r>
        <w:rPr>
          <w:rFonts w:hint="eastAsia" w:ascii="仿宋_GB2312" w:eastAsia="仿宋_GB2312"/>
          <w:color w:val="000000"/>
          <w:sz w:val="32"/>
          <w:szCs w:val="32"/>
          <w:lang w:val="en-US" w:eastAsia="zh-CN"/>
        </w:rPr>
        <w:t>养老支出</w:t>
      </w:r>
      <w:r>
        <w:rPr>
          <w:rFonts w:hint="eastAsia" w:ascii="仿宋_GB2312" w:eastAsia="仿宋_GB2312"/>
          <w:color w:val="000000"/>
          <w:sz w:val="32"/>
          <w:szCs w:val="32"/>
        </w:rPr>
        <w:t>（款）05机关事业单位职业年金缴费支出（项）06：指反映机关事业单位实施养老保险制度由单位实际缴纳的职业年金支出。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18</w:t>
      </w:r>
      <w:r>
        <w:rPr>
          <w:rFonts w:hint="eastAsia" w:ascii="仿宋_GB2312" w:eastAsia="仿宋_GB2312"/>
          <w:color w:val="000000"/>
          <w:sz w:val="32"/>
          <w:szCs w:val="32"/>
        </w:rPr>
        <w:t>.卫生健康支出（类）210公共卫生（款）04突发公共卫生事件应急处理（项）10：</w:t>
      </w:r>
      <w:r>
        <w:rPr>
          <w:rFonts w:hint="eastAsia" w:ascii="仿宋_GB2312" w:eastAsia="仿宋_GB2312"/>
          <w:sz w:val="32"/>
          <w:szCs w:val="32"/>
        </w:rPr>
        <w:t>反映用于突发公共卫生事件应急处理的支出</w:t>
      </w:r>
      <w:r>
        <w:rPr>
          <w:rFonts w:hint="eastAsia" w:ascii="仿宋_GB2312" w:eastAsia="仿宋_GB2312"/>
          <w:color w:val="000000"/>
          <w:sz w:val="32"/>
          <w:szCs w:val="32"/>
        </w:rPr>
        <w:t>。</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19</w:t>
      </w:r>
      <w:r>
        <w:rPr>
          <w:rFonts w:hint="eastAsia" w:ascii="仿宋_GB2312" w:eastAsia="仿宋_GB2312"/>
          <w:color w:val="000000"/>
          <w:sz w:val="32"/>
          <w:szCs w:val="32"/>
        </w:rPr>
        <w:t>.卫生健康支出（类）210行政事业单位医疗（款）11行政事业单位医疗（项）01：</w:t>
      </w:r>
      <w:r>
        <w:rPr>
          <w:rFonts w:hint="eastAsia" w:ascii="仿宋_GB2312" w:eastAsia="仿宋_GB2312"/>
          <w:sz w:val="32"/>
          <w:szCs w:val="32"/>
        </w:rPr>
        <w:t>指反映</w:t>
      </w:r>
      <w:r>
        <w:rPr>
          <w:rFonts w:hint="eastAsia" w:ascii="仿宋_GB2312" w:eastAsia="仿宋_GB2312"/>
          <w:color w:val="000000"/>
          <w:sz w:val="32"/>
          <w:szCs w:val="32"/>
        </w:rPr>
        <w:t>财政部门集中安排的行政单位（包括实行公务员管理事业单位，下同）基本医疗保险缴费经费，未参加医疗保险的行政单位的公费医疗经费，按国家规定享受离休人员、红军老战士待遇的医疗经费。</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.城乡社区支出（类）212城乡社区管理事务（款）01城管执法（项）01：放映城市综合管理执法、加强城市市容和环境卫生管理等方面支出。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.城乡社区支出（类）212城乡社区环境卫生（款）05城乡社区环境卫生（项）01：反映城乡社区道路清扫、垃圾清运与处理、公厕建设与维护、园林绿化等方面的支出。</w:t>
      </w:r>
    </w:p>
    <w:p>
      <w:pPr>
        <w:spacing w:line="576" w:lineRule="exact"/>
        <w:ind w:firstLine="640" w:firstLineChars="200"/>
        <w:rPr>
          <w:rFonts w:ascii="仿宋_GB2312" w:eastAsia="仿宋_GB2312"/>
          <w:sz w:val="32"/>
          <w:szCs w:val="32"/>
        </w:rPr>
      </w:pP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.城乡社区支出（类）212其他城乡社区支出（款）99  其他城乡社区支出（项）01：</w:t>
      </w:r>
      <w:r>
        <w:rPr>
          <w:rFonts w:hint="eastAsia" w:ascii="仿宋_GB2312" w:eastAsia="仿宋_GB2312"/>
          <w:sz w:val="32"/>
          <w:szCs w:val="32"/>
        </w:rPr>
        <w:t>反映除上述以外其他用于城乡社区方面的支出。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农林水支出（类）213农业（款）01病虫害控制（项）08：反映用于病虫鼠害及疫情监测、预报、预防、控制、检疫、防疫所需的仪器、设施、药物、疫苗、种苗，疫畜防治、扑杀补偿及劳务补助、菌（毒）种保藏及动植物及其产品检疫、检测等方面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24</w:t>
      </w:r>
      <w:r>
        <w:rPr>
          <w:rFonts w:hint="eastAsia" w:ascii="仿宋_GB2312" w:eastAsia="仿宋_GB2312"/>
          <w:color w:val="000000"/>
          <w:sz w:val="32"/>
          <w:szCs w:val="32"/>
        </w:rPr>
        <w:t>.农林水支出（类）213农业（款）01</w:t>
      </w:r>
      <w:r>
        <w:rPr>
          <w:rFonts w:hint="eastAsia" w:ascii="仿宋_GB2312" w:eastAsia="仿宋_GB2312"/>
          <w:color w:val="000000"/>
          <w:sz w:val="32"/>
          <w:szCs w:val="32"/>
          <w:lang w:val="en-US" w:eastAsia="zh-CN"/>
        </w:rPr>
        <w:t>对高校毕业生到基层任职补助52</w:t>
      </w:r>
      <w:r>
        <w:rPr>
          <w:rFonts w:hint="eastAsia" w:ascii="仿宋_GB2312" w:eastAsia="仿宋_GB2312"/>
          <w:color w:val="000000"/>
          <w:sz w:val="32"/>
          <w:szCs w:val="32"/>
        </w:rPr>
        <w:t>：反映</w:t>
      </w:r>
      <w:r>
        <w:rPr>
          <w:rFonts w:hint="eastAsia" w:ascii="仿宋_GB2312" w:eastAsia="仿宋_GB2312"/>
          <w:color w:val="000000"/>
          <w:sz w:val="32"/>
          <w:szCs w:val="32"/>
          <w:lang w:val="en-US" w:eastAsia="zh-CN"/>
        </w:rPr>
        <w:t>按规定对高校毕业生到基层任职的补助支出</w:t>
      </w:r>
      <w:r>
        <w:rPr>
          <w:rFonts w:hint="eastAsia" w:ascii="仿宋_GB2312" w:eastAsia="仿宋_GB2312"/>
          <w:color w:val="000000"/>
          <w:sz w:val="32"/>
          <w:szCs w:val="32"/>
        </w:rPr>
        <w:t>。</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25</w:t>
      </w:r>
      <w:r>
        <w:rPr>
          <w:rFonts w:hint="eastAsia" w:ascii="仿宋_GB2312" w:eastAsia="仿宋_GB2312"/>
          <w:color w:val="000000"/>
          <w:sz w:val="32"/>
          <w:szCs w:val="32"/>
        </w:rPr>
        <w:t>.农林水支出（类）213水利（款）03 水利工程运行及维护（项）16：反映对农田水利和打井、集雨设施、节水灌溉等水利设施补助，小型水库除险补助以及排灌站、小水电补助等。</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26</w:t>
      </w:r>
      <w:r>
        <w:rPr>
          <w:rFonts w:hint="eastAsia" w:ascii="仿宋_GB2312" w:eastAsia="仿宋_GB2312"/>
          <w:color w:val="000000"/>
          <w:sz w:val="32"/>
          <w:szCs w:val="32"/>
        </w:rPr>
        <w:t>.农林水支出（类）213水利（款）03防汛（项）14：反映防汛业务支出。有关事项包括防汛物资购置管护，防汛通信设施设备、网络系统、车船设备运行维护，防汛值班、水情报汛、防汛指挥系统运行维护、水毁修复以及防汛组织（如防汛预案编制、检查、演习、宣传、会议等），汛期调用民工及劳动保护，水利设施灾后重建，退田还湖，蓄滞洪区补偿、水情、雨情、决策支持，防汛视频会商，应急度汛，山洪灾害防治等。</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27</w:t>
      </w:r>
      <w:r>
        <w:rPr>
          <w:rFonts w:hint="eastAsia" w:ascii="仿宋_GB2312" w:eastAsia="仿宋_GB2312"/>
          <w:color w:val="000000"/>
          <w:sz w:val="32"/>
          <w:szCs w:val="32"/>
        </w:rPr>
        <w:t>.农林水支出（类）213农村综合改革（款）07对村民委员会和村党支部的补助（项）05：反映各级财政对村民委员会和村党支部的补助支出，以及支持建立县级基本财力保障机制安排的村级组织运转奖补资金。</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28</w:t>
      </w:r>
      <w:r>
        <w:rPr>
          <w:rFonts w:hint="eastAsia" w:ascii="仿宋_GB2312" w:eastAsia="仿宋_GB2312"/>
          <w:color w:val="000000"/>
          <w:sz w:val="32"/>
          <w:szCs w:val="32"/>
        </w:rPr>
        <w:t>.农林水支出（类）213农村综合改革（款）07对村集体经济组织补助（项）06：反映农村税费改革后对村集体组织的补助支出。</w:t>
      </w:r>
    </w:p>
    <w:p>
      <w:pPr>
        <w:spacing w:line="576"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29.交通运输支出（类）214公路水路运输（款）01公路养护（项）06：指反映公路养护支出。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30</w:t>
      </w:r>
      <w:r>
        <w:rPr>
          <w:rFonts w:hint="eastAsia" w:ascii="仿宋_GB2312" w:eastAsia="仿宋_GB2312"/>
          <w:color w:val="000000"/>
          <w:sz w:val="32"/>
          <w:szCs w:val="32"/>
        </w:rPr>
        <w:t>.交通运输支出（类）214公路水路运输（款）01公路和运输安全（项）10：指反映公路和运输安全支出。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31</w:t>
      </w:r>
      <w:r>
        <w:rPr>
          <w:rFonts w:hint="eastAsia" w:ascii="仿宋_GB2312" w:eastAsia="仿宋_GB2312"/>
          <w:color w:val="000000"/>
          <w:sz w:val="32"/>
          <w:szCs w:val="32"/>
        </w:rPr>
        <w:t>.交通运输支出（类）214公路水路运输（款）01其他公路水路运输支出（项）99：指反映上述项目以外其他用于公路水路运输方面的支出。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32</w:t>
      </w:r>
      <w:r>
        <w:rPr>
          <w:rFonts w:hint="eastAsia" w:ascii="仿宋_GB2312" w:eastAsia="仿宋_GB2312"/>
          <w:color w:val="000000"/>
          <w:sz w:val="32"/>
          <w:szCs w:val="32"/>
        </w:rPr>
        <w:t>.住房保障支出（类）221住房改革支出（款）02住房公积金（项）01：指反映行政事业单位按人力资源和社会保障部、财政部规定的基本工资和津贴补贴以及规定比例为职工缴纳的住房公积金。</w:t>
      </w:r>
    </w:p>
    <w:p>
      <w:pPr>
        <w:spacing w:line="576" w:lineRule="exact"/>
        <w:ind w:firstLine="640" w:firstLineChars="200"/>
        <w:rPr>
          <w:rFonts w:ascii="仿宋_GB2312" w:eastAsia="仿宋_GB2312"/>
          <w:sz w:val="32"/>
          <w:szCs w:val="32"/>
        </w:rPr>
      </w:pPr>
      <w:r>
        <w:rPr>
          <w:rFonts w:hint="eastAsia" w:ascii="仿宋_GB2312" w:eastAsia="仿宋_GB2312"/>
          <w:sz w:val="32"/>
          <w:szCs w:val="32"/>
          <w:lang w:val="en-US" w:eastAsia="zh-CN"/>
        </w:rPr>
        <w:t>33</w:t>
      </w:r>
      <w:r>
        <w:rPr>
          <w:rFonts w:hint="eastAsia" w:ascii="仿宋_GB2312" w:eastAsia="仿宋_GB2312"/>
          <w:sz w:val="32"/>
          <w:szCs w:val="32"/>
        </w:rPr>
        <w:t>.</w:t>
      </w:r>
      <w:r>
        <w:rPr>
          <w:rFonts w:hint="eastAsia" w:ascii="仿宋" w:hAnsi="仿宋" w:eastAsia="仿宋" w:cs="仿宋"/>
          <w:color w:val="000000"/>
          <w:sz w:val="32"/>
          <w:szCs w:val="32"/>
          <w:lang w:val="en-US" w:eastAsia="zh-CN"/>
        </w:rPr>
        <w:t>灾害</w:t>
      </w:r>
      <w:r>
        <w:rPr>
          <w:rFonts w:hint="eastAsia" w:ascii="仿宋" w:hAnsi="仿宋" w:eastAsia="仿宋" w:cs="仿宋"/>
          <w:color w:val="000000"/>
          <w:sz w:val="32"/>
          <w:szCs w:val="32"/>
        </w:rPr>
        <w:t>防治及应急管理支出（类）224</w:t>
      </w:r>
      <w:r>
        <w:rPr>
          <w:rFonts w:hint="eastAsia" w:ascii="仿宋_GB2312" w:eastAsia="仿宋_GB2312"/>
          <w:color w:val="000000"/>
          <w:sz w:val="32"/>
          <w:szCs w:val="32"/>
        </w:rPr>
        <w:t>应急管理事务（款）01一般行政管理事务（项）02：反映行政单位（包括实行公务员管理的事业单位）未单独设置项级科目的其他项目的支出。</w:t>
      </w:r>
    </w:p>
    <w:p>
      <w:pPr>
        <w:spacing w:line="576" w:lineRule="exact"/>
        <w:ind w:firstLine="640" w:firstLineChars="200"/>
        <w:rPr>
          <w:rFonts w:ascii="仿宋_GB2312" w:eastAsia="仿宋_GB2312"/>
          <w:color w:val="000000"/>
          <w:sz w:val="32"/>
          <w:szCs w:val="32"/>
        </w:rPr>
      </w:pPr>
      <w:r>
        <w:rPr>
          <w:rFonts w:hint="eastAsia" w:ascii="仿宋" w:hAnsi="仿宋" w:eastAsia="仿宋" w:cs="仿宋"/>
          <w:color w:val="000000"/>
          <w:sz w:val="32"/>
          <w:szCs w:val="32"/>
          <w:lang w:val="en-US" w:eastAsia="zh-CN"/>
        </w:rPr>
        <w:t>34</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灾害</w:t>
      </w:r>
      <w:r>
        <w:rPr>
          <w:rFonts w:hint="eastAsia" w:ascii="仿宋" w:hAnsi="仿宋" w:eastAsia="仿宋" w:cs="仿宋"/>
          <w:color w:val="000000"/>
          <w:sz w:val="32"/>
          <w:szCs w:val="32"/>
        </w:rPr>
        <w:t>防治及应急管理支出（类）224</w:t>
      </w:r>
      <w:r>
        <w:rPr>
          <w:rFonts w:hint="eastAsia" w:ascii="仿宋_GB2312" w:eastAsia="仿宋_GB2312"/>
          <w:color w:val="000000"/>
          <w:sz w:val="32"/>
          <w:szCs w:val="32"/>
        </w:rPr>
        <w:t>应急管理事务（款）01安全监管（项）06：反映安全生产监管方面的支出。</w:t>
      </w:r>
    </w:p>
    <w:p>
      <w:pPr>
        <w:spacing w:line="576" w:lineRule="exact"/>
        <w:ind w:firstLine="640" w:firstLineChars="200"/>
        <w:rPr>
          <w:rFonts w:ascii="仿宋_GB2312" w:eastAsia="仿宋_GB2312"/>
          <w:color w:val="000000"/>
          <w:sz w:val="32"/>
          <w:szCs w:val="32"/>
        </w:rPr>
      </w:pPr>
      <w:r>
        <w:rPr>
          <w:rFonts w:hint="eastAsia" w:ascii="仿宋" w:hAnsi="仿宋" w:eastAsia="仿宋" w:cs="仿宋"/>
          <w:color w:val="000000"/>
          <w:sz w:val="32"/>
          <w:szCs w:val="32"/>
          <w:lang w:val="en-US" w:eastAsia="zh-CN"/>
        </w:rPr>
        <w:t>35</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灾害</w:t>
      </w:r>
      <w:r>
        <w:rPr>
          <w:rFonts w:hint="eastAsia" w:ascii="仿宋" w:hAnsi="仿宋" w:eastAsia="仿宋" w:cs="仿宋"/>
          <w:color w:val="000000"/>
          <w:sz w:val="32"/>
          <w:szCs w:val="32"/>
        </w:rPr>
        <w:t>防治及应急管理支出（类）224</w:t>
      </w:r>
      <w:r>
        <w:rPr>
          <w:rFonts w:hint="eastAsia" w:ascii="仿宋_GB2312" w:eastAsia="仿宋_GB2312"/>
          <w:color w:val="000000"/>
          <w:sz w:val="32"/>
          <w:szCs w:val="32"/>
        </w:rPr>
        <w:t>应急管理事务（款）01其他应急管理支出（项）99：反映除上述项目外的其他应急管理方面的支出。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36</w:t>
      </w:r>
      <w:r>
        <w:rPr>
          <w:rFonts w:hint="eastAsia" w:ascii="仿宋_GB2312" w:eastAsia="仿宋_GB2312"/>
          <w:color w:val="000000"/>
          <w:sz w:val="32"/>
          <w:szCs w:val="32"/>
        </w:rPr>
        <w:t>.</w:t>
      </w:r>
      <w:r>
        <w:rPr>
          <w:rFonts w:hint="eastAsia" w:ascii="仿宋" w:hAnsi="仿宋" w:eastAsia="仿宋" w:cs="仿宋"/>
          <w:color w:val="000000"/>
          <w:sz w:val="32"/>
          <w:szCs w:val="32"/>
          <w:lang w:val="en-US" w:eastAsia="zh-CN"/>
        </w:rPr>
        <w:t>灾害</w:t>
      </w:r>
      <w:r>
        <w:rPr>
          <w:rFonts w:hint="eastAsia" w:ascii="仿宋" w:hAnsi="仿宋" w:eastAsia="仿宋" w:cs="仿宋"/>
          <w:color w:val="000000"/>
          <w:sz w:val="32"/>
          <w:szCs w:val="32"/>
        </w:rPr>
        <w:t>防治及应急管理支出（类）224森林消防事务</w:t>
      </w:r>
      <w:r>
        <w:rPr>
          <w:rFonts w:hint="eastAsia" w:ascii="仿宋_GB2312" w:eastAsia="仿宋_GB2312"/>
          <w:color w:val="000000"/>
          <w:sz w:val="32"/>
          <w:szCs w:val="32"/>
        </w:rPr>
        <w:t>（款）03其他森林消防事务支出（项）99：反映除上述项目外其他用于森林消防方面的支出。</w:t>
      </w:r>
    </w:p>
    <w:p>
      <w:pPr>
        <w:spacing w:line="576" w:lineRule="exact"/>
        <w:ind w:firstLine="640" w:firstLineChars="200"/>
        <w:rPr>
          <w:rFonts w:ascii="仿宋" w:hAnsi="仿宋" w:eastAsia="仿宋" w:cs="仿宋"/>
          <w:color w:val="000000"/>
          <w:sz w:val="32"/>
          <w:szCs w:val="32"/>
        </w:rPr>
      </w:pPr>
      <w:r>
        <w:rPr>
          <w:rFonts w:hint="eastAsia" w:ascii="仿宋_GB2312" w:eastAsia="仿宋_GB2312"/>
          <w:color w:val="000000"/>
          <w:sz w:val="32"/>
          <w:szCs w:val="32"/>
          <w:lang w:val="en-US" w:eastAsia="zh-CN"/>
        </w:rPr>
        <w:t>37</w:t>
      </w:r>
      <w:r>
        <w:rPr>
          <w:rFonts w:hint="eastAsia" w:ascii="仿宋_GB2312" w:eastAsia="仿宋_GB2312"/>
          <w:color w:val="000000"/>
          <w:sz w:val="32"/>
          <w:szCs w:val="32"/>
        </w:rPr>
        <w:t>.</w:t>
      </w:r>
      <w:r>
        <w:rPr>
          <w:rFonts w:hint="eastAsia" w:ascii="仿宋" w:hAnsi="仿宋" w:eastAsia="仿宋" w:cs="仿宋"/>
          <w:color w:val="000000"/>
          <w:sz w:val="32"/>
          <w:szCs w:val="32"/>
          <w:lang w:val="en-US" w:eastAsia="zh-CN"/>
        </w:rPr>
        <w:t>灾害</w:t>
      </w:r>
      <w:r>
        <w:rPr>
          <w:rFonts w:hint="eastAsia" w:ascii="仿宋" w:hAnsi="仿宋" w:eastAsia="仿宋" w:cs="仿宋"/>
          <w:color w:val="000000"/>
          <w:sz w:val="32"/>
          <w:szCs w:val="32"/>
        </w:rPr>
        <w:t>防治及应急管理支出（类）224自然灾害救灾及恢复重建支出（款）07中央自然灾害生活补助（项）01：反映中央预算对遭受特大自然灾害地区的地方政府在安排受灾群众吃、穿、住和抢救、转移、安置、治病等经费发生困难时给予的专项补助，以及为抗御特大自然灾害而设立的中央级救灾物质储备资金。</w:t>
      </w:r>
    </w:p>
    <w:p>
      <w:pPr>
        <w:spacing w:line="576"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lang w:val="en-US" w:eastAsia="zh-CN"/>
        </w:rPr>
        <w:t>38</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灾害</w:t>
      </w:r>
      <w:r>
        <w:rPr>
          <w:rFonts w:hint="eastAsia" w:ascii="仿宋" w:hAnsi="仿宋" w:eastAsia="仿宋" w:cs="仿宋"/>
          <w:color w:val="000000"/>
          <w:sz w:val="32"/>
          <w:szCs w:val="32"/>
        </w:rPr>
        <w:t>防治及应急管理支出（类）224自然灾害救灾及恢复重建支出（款）07自然灾害救灾补助（项）03：反映洪水、地质灾害、台风等自然灾害救灾补助，扑救森林草原火灾补助。</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39</w:t>
      </w:r>
      <w:r>
        <w:rPr>
          <w:rFonts w:hint="eastAsia" w:ascii="仿宋_GB2312" w:eastAsia="仿宋_GB2312"/>
          <w:color w:val="000000"/>
          <w:sz w:val="32"/>
          <w:szCs w:val="32"/>
        </w:rPr>
        <w:t>.基本支出：指为保障机构正常运转、完成日常工作任务而发生的人员支出和公用支出。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40</w:t>
      </w:r>
      <w:r>
        <w:rPr>
          <w:rFonts w:hint="eastAsia" w:ascii="仿宋_GB2312" w:eastAsia="仿宋_GB2312"/>
          <w:color w:val="000000"/>
          <w:sz w:val="32"/>
          <w:szCs w:val="32"/>
        </w:rPr>
        <w:t xml:space="preserve">.项目支出：指在基本支出之外为完成特定行政任务和事业发展目标所发生的支出。 </w:t>
      </w:r>
    </w:p>
    <w:p>
      <w:pPr>
        <w:pStyle w:val="25"/>
        <w:spacing w:line="576" w:lineRule="exact"/>
        <w:ind w:firstLine="640" w:firstLineChars="200"/>
        <w:jc w:val="both"/>
        <w:rPr>
          <w:rFonts w:ascii="仿宋_GB2312" w:eastAsia="仿宋_GB2312"/>
          <w:sz w:val="32"/>
          <w:szCs w:val="32"/>
        </w:rPr>
      </w:pPr>
      <w:r>
        <w:rPr>
          <w:rFonts w:hint="eastAsia" w:ascii="仿宋_GB2312" w:eastAsia="仿宋_GB2312"/>
          <w:sz w:val="32"/>
          <w:szCs w:val="32"/>
          <w:lang w:val="en-US" w:eastAsia="zh-CN"/>
        </w:rPr>
        <w:t>41</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lang w:val="en-US" w:eastAsia="zh-CN"/>
        </w:rPr>
        <w:t>42</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5"/>
        <w:spacing w:line="576" w:lineRule="exact"/>
        <w:jc w:val="both"/>
        <w:rPr>
          <w:rFonts w:hint="eastAsia" w:ascii="仿宋_GB2312" w:eastAsia="仿宋_GB2312"/>
          <w:sz w:val="32"/>
          <w:szCs w:val="32"/>
        </w:rPr>
      </w:pPr>
    </w:p>
    <w:p>
      <w:pPr>
        <w:pStyle w:val="25"/>
        <w:spacing w:line="576" w:lineRule="exact"/>
        <w:ind w:firstLine="640" w:firstLineChars="200"/>
        <w:jc w:val="both"/>
        <w:rPr>
          <w:rFonts w:hint="eastAsia" w:ascii="仿宋_GB2312" w:eastAsia="仿宋_GB2312"/>
          <w:sz w:val="32"/>
          <w:szCs w:val="32"/>
        </w:rPr>
      </w:pPr>
    </w:p>
    <w:p>
      <w:pPr>
        <w:widowControl/>
        <w:spacing w:line="576" w:lineRule="exact"/>
        <w:jc w:val="center"/>
        <w:rPr>
          <w:rStyle w:val="27"/>
          <w:rFonts w:hint="eastAsia" w:ascii="黑体" w:hAnsi="黑体" w:eastAsia="黑体"/>
          <w:b w:val="0"/>
          <w:lang w:val="en-US" w:eastAsia="zh-CN"/>
        </w:rPr>
      </w:pPr>
      <w:bookmarkStart w:id="55" w:name="_Toc15377226"/>
      <w:bookmarkStart w:id="56" w:name="_Toc15396618"/>
      <w:r>
        <w:rPr>
          <w:rStyle w:val="27"/>
          <w:rFonts w:hint="eastAsia" w:ascii="黑体" w:hAnsi="黑体" w:eastAsia="黑体"/>
          <w:b w:val="0"/>
        </w:rPr>
        <w:t>第</w:t>
      </w:r>
      <w:r>
        <w:rPr>
          <w:rStyle w:val="27"/>
          <w:rFonts w:hint="eastAsia" w:ascii="黑体" w:hAnsi="黑体" w:eastAsia="黑体"/>
          <w:b w:val="0"/>
          <w:lang w:val="en-US" w:eastAsia="zh-CN"/>
        </w:rPr>
        <w:t>四</w:t>
      </w:r>
      <w:r>
        <w:rPr>
          <w:rStyle w:val="27"/>
          <w:rFonts w:hint="eastAsia" w:ascii="黑体" w:hAnsi="黑体" w:eastAsia="黑体"/>
          <w:b w:val="0"/>
        </w:rPr>
        <w:t>部分</w:t>
      </w:r>
      <w:r>
        <w:rPr>
          <w:rStyle w:val="27"/>
          <w:rFonts w:hint="eastAsia" w:ascii="黑体" w:hAnsi="黑体" w:eastAsia="黑体"/>
          <w:b w:val="0"/>
          <w:lang w:val="en-US" w:eastAsia="zh-CN"/>
        </w:rPr>
        <w:t xml:space="preserve">  </w:t>
      </w:r>
      <w:r>
        <w:rPr>
          <w:rStyle w:val="27"/>
          <w:rFonts w:hint="eastAsia" w:ascii="黑体" w:hAnsi="黑体" w:eastAsia="黑体"/>
          <w:b w:val="0"/>
        </w:rPr>
        <w:t>附</w:t>
      </w:r>
      <w:r>
        <w:rPr>
          <w:rStyle w:val="27"/>
          <w:rFonts w:hint="eastAsia" w:ascii="黑体" w:hAnsi="黑体" w:eastAsia="黑体"/>
          <w:b w:val="0"/>
          <w:lang w:val="en-US" w:eastAsia="zh-CN"/>
        </w:rPr>
        <w:t>件</w:t>
      </w:r>
    </w:p>
    <w:p>
      <w:pPr>
        <w:pStyle w:val="2"/>
        <w:rPr>
          <w:rFonts w:hint="eastAsia"/>
          <w:lang w:eastAsia="zh-CN"/>
        </w:rPr>
      </w:pPr>
    </w:p>
    <w:p>
      <w:pPr>
        <w:pStyle w:val="3"/>
        <w:spacing w:line="576" w:lineRule="exact"/>
        <w:rPr>
          <w:sz w:val="32"/>
          <w:szCs w:val="32"/>
        </w:rPr>
      </w:pPr>
      <w:r>
        <w:rPr>
          <w:rStyle w:val="27"/>
          <w:rFonts w:hint="eastAsia" w:ascii="黑体" w:hAnsi="黑体" w:eastAsia="黑体" w:cs="黑体"/>
          <w:b w:val="0"/>
          <w:bCs w:val="0"/>
          <w:color w:val="000000" w:themeColor="text1"/>
          <w:sz w:val="32"/>
          <w:szCs w:val="32"/>
          <w:highlight w:val="none"/>
        </w:rPr>
        <w:t>附件1</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color w:val="000000" w:themeColor="text1"/>
          <w:sz w:val="44"/>
          <w:szCs w:val="44"/>
          <w:highlight w:val="none"/>
          <w:lang w:val="en-US" w:eastAsia="zh-CN"/>
        </w:rPr>
      </w:pPr>
      <w:r>
        <w:rPr>
          <w:rFonts w:hint="eastAsia" w:ascii="方正小标宋简体" w:hAnsi="方正小标宋简体" w:eastAsia="方正小标宋简体" w:cs="方正小标宋简体"/>
          <w:color w:val="000000" w:themeColor="text1"/>
          <w:sz w:val="44"/>
          <w:szCs w:val="44"/>
          <w:highlight w:val="none"/>
          <w:lang w:eastAsia="zh-CN"/>
        </w:rPr>
        <w:t>广元经济技术开发区</w:t>
      </w:r>
      <w:r>
        <w:rPr>
          <w:rFonts w:hint="eastAsia" w:ascii="方正小标宋简体" w:hAnsi="方正小标宋简体" w:eastAsia="方正小标宋简体" w:cs="方正小标宋简体"/>
          <w:color w:val="000000" w:themeColor="text1"/>
          <w:sz w:val="44"/>
          <w:szCs w:val="44"/>
          <w:highlight w:val="none"/>
          <w:lang w:val="en-US" w:eastAsia="zh-CN"/>
        </w:rPr>
        <w:t>石龙办事处</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000000" w:themeColor="text1"/>
          <w:sz w:val="44"/>
          <w:szCs w:val="44"/>
          <w:highlight w:val="none"/>
          <w:lang w:eastAsia="zh-CN"/>
        </w:rPr>
      </w:pPr>
      <w:r>
        <w:rPr>
          <w:rFonts w:hint="eastAsia" w:ascii="方正小标宋简体" w:hAnsi="方正小标宋简体" w:eastAsia="方正小标宋简体" w:cs="方正小标宋简体"/>
          <w:color w:val="000000" w:themeColor="text1"/>
          <w:sz w:val="44"/>
          <w:szCs w:val="44"/>
          <w:highlight w:val="none"/>
        </w:rPr>
        <w:t>关于</w:t>
      </w:r>
      <w:r>
        <w:rPr>
          <w:rFonts w:hint="eastAsia" w:ascii="方正小标宋简体" w:hAnsi="方正小标宋简体" w:eastAsia="方正小标宋简体" w:cs="方正小标宋简体"/>
          <w:color w:val="000000" w:themeColor="text1"/>
          <w:sz w:val="44"/>
          <w:szCs w:val="44"/>
          <w:highlight w:val="none"/>
          <w:lang w:val="en-US" w:eastAsia="zh-CN"/>
        </w:rPr>
        <w:t>维稳、信访、扫黑、防邪、禁毒资金</w:t>
      </w:r>
      <w:r>
        <w:rPr>
          <w:rFonts w:hint="eastAsia" w:ascii="方正小标宋简体" w:hAnsi="方正小标宋简体" w:eastAsia="方正小标宋简体" w:cs="方正小标宋简体"/>
          <w:color w:val="000000" w:themeColor="text1"/>
          <w:sz w:val="44"/>
          <w:szCs w:val="44"/>
          <w:highlight w:val="none"/>
          <w:lang w:eastAsia="zh-CN"/>
        </w:rPr>
        <w:t>项目</w:t>
      </w:r>
      <w:r>
        <w:rPr>
          <w:rFonts w:hint="eastAsia" w:ascii="方正小标宋简体" w:hAnsi="方正小标宋简体" w:eastAsia="方正小标宋简体" w:cs="方正小标宋简体"/>
          <w:color w:val="000000" w:themeColor="text1"/>
          <w:sz w:val="44"/>
          <w:szCs w:val="44"/>
          <w:highlight w:val="none"/>
        </w:rPr>
        <w:t>支出绩效</w:t>
      </w:r>
      <w:r>
        <w:rPr>
          <w:rFonts w:hint="eastAsia" w:ascii="方正小标宋简体" w:hAnsi="方正小标宋简体" w:eastAsia="方正小标宋简体" w:cs="方正小标宋简体"/>
          <w:color w:val="000000" w:themeColor="text1"/>
          <w:sz w:val="44"/>
          <w:szCs w:val="44"/>
          <w:highlight w:val="none"/>
          <w:lang w:eastAsia="zh-CN"/>
        </w:rPr>
        <w:t>自</w:t>
      </w:r>
      <w:r>
        <w:rPr>
          <w:rFonts w:hint="eastAsia" w:ascii="方正小标宋简体" w:hAnsi="方正小标宋简体" w:eastAsia="方正小标宋简体" w:cs="方正小标宋简体"/>
          <w:color w:val="000000" w:themeColor="text1"/>
          <w:sz w:val="44"/>
          <w:szCs w:val="44"/>
          <w:highlight w:val="none"/>
        </w:rPr>
        <w:t>评</w:t>
      </w:r>
      <w:r>
        <w:rPr>
          <w:rFonts w:hint="eastAsia" w:ascii="方正小标宋简体" w:hAnsi="方正小标宋简体" w:eastAsia="方正小标宋简体" w:cs="方正小标宋简体"/>
          <w:color w:val="000000" w:themeColor="text1"/>
          <w:sz w:val="44"/>
          <w:szCs w:val="44"/>
          <w:highlight w:val="none"/>
          <w:lang w:eastAsia="zh-CN"/>
        </w:rPr>
        <w:t>报告</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rPr>
      </w:pPr>
      <w:r>
        <w:rPr>
          <w:rFonts w:hint="eastAsia" w:ascii="仿宋_GB2312" w:hAnsi="仿宋_GB2312" w:eastAsia="仿宋_GB2312" w:cs="仿宋_GB2312"/>
          <w:color w:val="000000" w:themeColor="text1"/>
          <w:sz w:val="32"/>
          <w:szCs w:val="32"/>
          <w:highlight w:val="none"/>
          <w:lang w:eastAsia="zh-CN"/>
        </w:rPr>
        <w:t>根据财政局关于财政支出绩效评价工作的相关要求，</w:t>
      </w:r>
      <w:r>
        <w:rPr>
          <w:rFonts w:hint="eastAsia" w:ascii="仿宋_GB2312" w:hAnsi="仿宋_GB2312" w:eastAsia="仿宋_GB2312" w:cs="仿宋_GB2312"/>
          <w:color w:val="000000" w:themeColor="text1"/>
          <w:sz w:val="32"/>
          <w:szCs w:val="32"/>
          <w:highlight w:val="none"/>
          <w:lang w:val="en-US" w:eastAsia="zh-CN"/>
        </w:rPr>
        <w:t>现将我街道维稳、信访、防邪、禁毒、扫黑除恶项目支出绩效自评报告如下。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highlight w:val="none"/>
          <w:lang w:val="zh-CN" w:eastAsia="zh-CN"/>
        </w:rPr>
      </w:pPr>
      <w:r>
        <w:rPr>
          <w:rFonts w:hint="eastAsia" w:ascii="黑体" w:hAnsi="黑体" w:eastAsia="黑体" w:cs="黑体"/>
          <w:color w:val="000000" w:themeColor="text1"/>
          <w:sz w:val="32"/>
          <w:szCs w:val="32"/>
          <w:highlight w:val="none"/>
          <w:lang w:val="en-US" w:eastAsia="zh-CN"/>
        </w:rPr>
        <w:t>一、</w:t>
      </w:r>
      <w:r>
        <w:rPr>
          <w:rFonts w:hint="eastAsia" w:ascii="黑体" w:hAnsi="黑体" w:eastAsia="黑体" w:cs="黑体"/>
          <w:color w:val="000000" w:themeColor="text1"/>
          <w:sz w:val="32"/>
          <w:szCs w:val="32"/>
          <w:highlight w:val="none"/>
          <w:lang w:val="zh-CN" w:eastAsia="zh-CN"/>
        </w:rPr>
        <w:t>项目概况</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zh-CN" w:eastAsia="zh-CN"/>
        </w:rPr>
      </w:pPr>
      <w:r>
        <w:rPr>
          <w:rFonts w:hint="eastAsia" w:ascii="楷体_GB2312" w:hAnsi="楷体_GB2312" w:eastAsia="楷体_GB2312" w:cs="楷体_GB2312"/>
          <w:b/>
          <w:bCs/>
          <w:color w:val="000000" w:themeColor="text1"/>
          <w:sz w:val="32"/>
          <w:szCs w:val="32"/>
          <w:highlight w:val="none"/>
          <w:lang w:val="zh-CN" w:eastAsia="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rPr>
      </w:pPr>
      <w:r>
        <w:rPr>
          <w:rFonts w:hint="eastAsia" w:ascii="仿宋_GB2312" w:hAnsi="仿宋_GB2312" w:eastAsia="仿宋_GB2312" w:cs="仿宋_GB2312"/>
          <w:color w:val="000000" w:themeColor="text1"/>
          <w:sz w:val="32"/>
          <w:szCs w:val="32"/>
          <w:highlight w:val="none"/>
        </w:rPr>
        <w:t>按照</w:t>
      </w:r>
      <w:r>
        <w:rPr>
          <w:rFonts w:hint="eastAsia" w:ascii="仿宋_GB2312" w:hAnsi="仿宋_GB2312" w:eastAsia="仿宋_GB2312" w:cs="仿宋_GB2312"/>
          <w:color w:val="000000" w:themeColor="text1"/>
          <w:sz w:val="32"/>
          <w:szCs w:val="32"/>
          <w:highlight w:val="none"/>
          <w:lang w:val="en-US" w:eastAsia="zh-CN"/>
        </w:rPr>
        <w:t>广开财预〔2021〕6号预算通知执行</w:t>
      </w:r>
      <w:r>
        <w:rPr>
          <w:rFonts w:hint="eastAsia" w:ascii="仿宋_GB2312" w:hAnsi="仿宋_GB2312" w:eastAsia="仿宋_GB2312" w:cs="仿宋_GB2312"/>
          <w:color w:val="000000" w:themeColor="text1"/>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zh-CN" w:eastAsia="zh-CN"/>
        </w:rPr>
      </w:pPr>
      <w:r>
        <w:rPr>
          <w:rFonts w:hint="eastAsia" w:ascii="楷体_GB2312" w:hAnsi="楷体_GB2312" w:eastAsia="楷体_GB2312" w:cs="楷体_GB2312"/>
          <w:b/>
          <w:bCs/>
          <w:color w:val="000000" w:themeColor="text1"/>
          <w:sz w:val="32"/>
          <w:szCs w:val="32"/>
          <w:highlight w:val="none"/>
          <w:lang w:val="zh-CN" w:eastAsia="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lang w:val="en-US" w:eastAsia="zh-CN"/>
        </w:rPr>
        <w:t>1、</w:t>
      </w:r>
      <w:r>
        <w:rPr>
          <w:rFonts w:hint="eastAsia" w:ascii="仿宋_GB2312" w:hAnsi="仿宋_GB2312" w:eastAsia="仿宋_GB2312" w:cs="仿宋_GB2312"/>
          <w:color w:val="000000" w:themeColor="text1"/>
          <w:sz w:val="32"/>
          <w:szCs w:val="32"/>
          <w:highlight w:val="none"/>
        </w:rPr>
        <w:t>保障石龙办事处信访、维稳、防邪、禁毒、扫黑除恶宣传等日常工作正常运行。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rPr>
      </w:pPr>
      <w:r>
        <w:rPr>
          <w:rFonts w:hint="eastAsia" w:ascii="仿宋_GB2312" w:hAnsi="仿宋_GB2312" w:eastAsia="仿宋_GB2312" w:cs="仿宋_GB2312"/>
          <w:color w:val="000000" w:themeColor="text1"/>
          <w:sz w:val="32"/>
          <w:szCs w:val="32"/>
          <w:highlight w:val="none"/>
          <w:lang w:val="en-US" w:eastAsia="zh-CN"/>
        </w:rPr>
        <w:t>2、通过深入开展扫黑除恶工作，切实增强广大群众的安全感和满意度。</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zh-CN" w:eastAsia="zh-CN"/>
        </w:rPr>
      </w:pPr>
      <w:r>
        <w:rPr>
          <w:rFonts w:hint="eastAsia" w:ascii="楷体_GB2312" w:hAnsi="楷体_GB2312" w:eastAsia="楷体_GB2312" w:cs="楷体_GB2312"/>
          <w:b/>
          <w:bCs/>
          <w:color w:val="000000" w:themeColor="text1"/>
          <w:sz w:val="32"/>
          <w:szCs w:val="32"/>
          <w:highlight w:val="none"/>
          <w:lang w:val="zh-CN" w:eastAsia="zh-CN"/>
        </w:rPr>
        <w:t>（三）项目资金申报相符性。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rPr>
      </w:pPr>
      <w:r>
        <w:rPr>
          <w:rFonts w:hint="eastAsia" w:ascii="仿宋_GB2312" w:hAnsi="仿宋_GB2312" w:eastAsia="仿宋_GB2312" w:cs="仿宋_GB2312"/>
          <w:color w:val="000000" w:themeColor="text1"/>
          <w:sz w:val="32"/>
          <w:szCs w:val="32"/>
          <w:highlight w:val="none"/>
          <w:lang w:val="zh-CN" w:eastAsia="zh-CN"/>
        </w:rPr>
        <w:t>项目申报内容均为</w:t>
      </w:r>
      <w:r>
        <w:rPr>
          <w:rFonts w:hint="eastAsia" w:ascii="仿宋_GB2312" w:hAnsi="仿宋_GB2312" w:eastAsia="仿宋_GB2312" w:cs="仿宋_GB2312"/>
          <w:color w:val="000000" w:themeColor="text1"/>
          <w:sz w:val="32"/>
          <w:szCs w:val="32"/>
          <w:highlight w:val="none"/>
        </w:rPr>
        <w:t>信访、维稳、防邪、禁毒、扫黑</w:t>
      </w:r>
      <w:r>
        <w:rPr>
          <w:rFonts w:hint="eastAsia" w:ascii="仿宋_GB2312" w:hAnsi="仿宋_GB2312" w:eastAsia="仿宋_GB2312" w:cs="仿宋_GB2312"/>
          <w:color w:val="000000" w:themeColor="text1"/>
          <w:sz w:val="32"/>
          <w:szCs w:val="32"/>
          <w:highlight w:val="none"/>
          <w:lang w:val="en-US" w:eastAsia="zh-CN"/>
        </w:rPr>
        <w:t>工作</w:t>
      </w:r>
      <w:r>
        <w:rPr>
          <w:rFonts w:hint="eastAsia" w:ascii="仿宋_GB2312" w:hAnsi="仿宋_GB2312" w:eastAsia="仿宋_GB2312" w:cs="仿宋_GB2312"/>
          <w:color w:val="000000" w:themeColor="text1"/>
          <w:sz w:val="32"/>
          <w:szCs w:val="32"/>
          <w:highlight w:val="none"/>
          <w:lang w:val="zh-CN" w:eastAsia="zh-CN"/>
        </w:rPr>
        <w:t>相关内容，与具体实施内容相符、申报目标合理可行。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highlight w:val="none"/>
          <w:lang w:eastAsia="zh-CN"/>
        </w:rPr>
      </w:pPr>
      <w:r>
        <w:rPr>
          <w:rFonts w:hint="eastAsia" w:ascii="黑体" w:hAnsi="黑体" w:eastAsia="黑体" w:cs="黑体"/>
          <w:color w:val="000000" w:themeColor="text1"/>
          <w:sz w:val="32"/>
          <w:szCs w:val="32"/>
          <w:highlight w:val="none"/>
          <w:lang w:val="en-US" w:eastAsia="zh-CN"/>
        </w:rPr>
        <w:t xml:space="preserve"> </w:t>
      </w:r>
      <w:r>
        <w:rPr>
          <w:rFonts w:hint="eastAsia" w:ascii="黑体" w:hAnsi="黑体" w:eastAsia="黑体" w:cs="黑体"/>
          <w:color w:val="000000" w:themeColor="text1"/>
          <w:sz w:val="32"/>
          <w:szCs w:val="32"/>
          <w:highlight w:val="none"/>
          <w:lang w:eastAsia="zh-CN"/>
        </w:rPr>
        <w:t>二、项目实施及管理情况</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en-US" w:eastAsia="zh-CN"/>
        </w:rPr>
      </w:pPr>
      <w:r>
        <w:rPr>
          <w:rFonts w:hint="eastAsia" w:ascii="楷体_GB2312" w:hAnsi="楷体_GB2312" w:eastAsia="楷体_GB2312" w:cs="楷体_GB2312"/>
          <w:b/>
          <w:bCs/>
          <w:color w:val="000000" w:themeColor="text1"/>
          <w:sz w:val="32"/>
          <w:szCs w:val="32"/>
          <w:highlight w:val="none"/>
          <w:lang w:val="en-US" w:eastAsia="zh-CN"/>
        </w:rPr>
        <w:t>（一）项目资金到位情况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rPr>
      </w:pPr>
      <w:r>
        <w:rPr>
          <w:rFonts w:hint="eastAsia" w:ascii="仿宋_GB2312" w:hAnsi="仿宋_GB2312" w:eastAsia="仿宋_GB2312" w:cs="仿宋_GB2312"/>
          <w:color w:val="000000" w:themeColor="text1"/>
          <w:sz w:val="32"/>
          <w:szCs w:val="32"/>
          <w:highlight w:val="none"/>
          <w:lang w:eastAsia="zh-CN"/>
        </w:rPr>
        <w:t>资金到位</w:t>
      </w:r>
      <w:r>
        <w:rPr>
          <w:rFonts w:hint="eastAsia" w:ascii="仿宋_GB2312" w:hAnsi="仿宋_GB2312" w:eastAsia="仿宋_GB2312" w:cs="仿宋_GB2312"/>
          <w:color w:val="000000" w:themeColor="text1"/>
          <w:sz w:val="32"/>
          <w:szCs w:val="32"/>
          <w:highlight w:val="none"/>
          <w:lang w:val="en-US" w:eastAsia="zh-CN"/>
        </w:rPr>
        <w:t>5万元。</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en-US" w:eastAsia="zh-CN"/>
        </w:rPr>
      </w:pPr>
      <w:r>
        <w:rPr>
          <w:rFonts w:hint="eastAsia" w:ascii="楷体_GB2312" w:hAnsi="楷体_GB2312" w:eastAsia="楷体_GB2312" w:cs="楷体_GB2312"/>
          <w:b/>
          <w:bCs/>
          <w:color w:val="000000" w:themeColor="text1"/>
          <w:sz w:val="32"/>
          <w:szCs w:val="32"/>
          <w:highlight w:val="none"/>
          <w:lang w:val="en-US" w:eastAsia="zh-CN"/>
        </w:rPr>
        <w:t>（二）资金使用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000000" w:themeColor="text1"/>
          <w:sz w:val="32"/>
          <w:szCs w:val="32"/>
          <w:highlight w:val="none"/>
          <w:lang w:val="en-US" w:eastAsia="zh-CN"/>
        </w:rPr>
      </w:pPr>
      <w:r>
        <w:rPr>
          <w:rFonts w:hint="eastAsia" w:ascii="仿宋_GB2312" w:hAnsi="仿宋_GB2312" w:eastAsia="仿宋_GB2312" w:cs="仿宋_GB2312"/>
          <w:color w:val="000000" w:themeColor="text1"/>
          <w:sz w:val="32"/>
          <w:szCs w:val="32"/>
          <w:highlight w:val="none"/>
          <w:lang w:val="en-US" w:eastAsia="zh-CN"/>
        </w:rPr>
        <w:t>合计使用5万元，其中宣传单制作、信访条例制作宣传费用发生1万元，其他工作开展4万元。</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zh-CN" w:eastAsia="zh-CN"/>
        </w:rPr>
      </w:pPr>
      <w:r>
        <w:rPr>
          <w:rFonts w:hint="eastAsia" w:ascii="楷体_GB2312" w:hAnsi="楷体_GB2312" w:eastAsia="楷体_GB2312" w:cs="楷体_GB2312"/>
          <w:b/>
          <w:bCs/>
          <w:color w:val="000000" w:themeColor="text1"/>
          <w:sz w:val="32"/>
          <w:szCs w:val="32"/>
          <w:highlight w:val="none"/>
          <w:lang w:val="zh-CN" w:eastAsia="zh-CN"/>
        </w:rPr>
        <w:t>（三）项目财务管理情况。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zh-CN" w:eastAsia="zh-CN"/>
        </w:rPr>
      </w:pPr>
      <w:r>
        <w:rPr>
          <w:rFonts w:hint="eastAsia" w:ascii="仿宋_GB2312" w:hAnsi="仿宋_GB2312" w:eastAsia="仿宋_GB2312" w:cs="仿宋_GB2312"/>
          <w:color w:val="000000" w:themeColor="text1"/>
          <w:sz w:val="32"/>
          <w:szCs w:val="32"/>
          <w:highlight w:val="none"/>
          <w:lang w:val="zh-CN" w:eastAsia="zh-CN"/>
        </w:rPr>
        <w:t>我单位严格执行单位财务管理制度，报账履行逐级审批手续，附有实施方案、合同、发票、实物照片、现场照片、等。手续齐全，真实有效。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 w:val="0"/>
          <w:bCs w:val="0"/>
          <w:color w:val="000000" w:themeColor="text1"/>
          <w:sz w:val="32"/>
          <w:szCs w:val="32"/>
          <w:highlight w:val="none"/>
          <w:lang w:val="zh-CN" w:eastAsia="zh-CN"/>
        </w:rPr>
      </w:pPr>
      <w:r>
        <w:rPr>
          <w:rFonts w:hint="eastAsia" w:ascii="楷体_GB2312" w:hAnsi="楷体_GB2312" w:eastAsia="楷体_GB2312" w:cs="楷体_GB2312"/>
          <w:b w:val="0"/>
          <w:bCs w:val="0"/>
          <w:color w:val="000000" w:themeColor="text1"/>
          <w:sz w:val="32"/>
          <w:szCs w:val="32"/>
          <w:highlight w:val="none"/>
          <w:lang w:val="zh-CN" w:eastAsia="zh-CN"/>
        </w:rPr>
        <w:t>（四）项目组织实施情况。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rPr>
      </w:pPr>
      <w:r>
        <w:rPr>
          <w:rFonts w:hint="eastAsia" w:ascii="仿宋_GB2312" w:hAnsi="仿宋_GB2312" w:eastAsia="仿宋_GB2312" w:cs="仿宋_GB2312"/>
          <w:color w:val="000000" w:themeColor="text1"/>
          <w:sz w:val="32"/>
          <w:szCs w:val="32"/>
          <w:highlight w:val="none"/>
          <w:lang w:val="en-US" w:eastAsia="zh-CN"/>
        </w:rPr>
        <w:t>宣传由经办部门按照经批准的实施方案实施，</w:t>
      </w:r>
      <w:r>
        <w:rPr>
          <w:rFonts w:hint="eastAsia" w:ascii="仿宋_GB2312" w:hAnsi="仿宋_GB2312" w:eastAsia="仿宋_GB2312" w:cs="仿宋_GB2312"/>
          <w:color w:val="000000" w:themeColor="text1"/>
          <w:sz w:val="32"/>
          <w:szCs w:val="32"/>
          <w:highlight w:val="none"/>
        </w:rPr>
        <w:t>主要是制作</w:t>
      </w:r>
      <w:r>
        <w:rPr>
          <w:rFonts w:hint="eastAsia" w:ascii="仿宋_GB2312" w:hAnsi="仿宋_GB2312" w:eastAsia="仿宋_GB2312" w:cs="仿宋_GB2312"/>
          <w:color w:val="000000" w:themeColor="text1"/>
          <w:sz w:val="32"/>
          <w:szCs w:val="32"/>
          <w:highlight w:val="none"/>
          <w:lang w:val="en-US" w:eastAsia="zh-CN"/>
        </w:rPr>
        <w:t>信访条例</w:t>
      </w:r>
      <w:r>
        <w:rPr>
          <w:rFonts w:hint="eastAsia" w:ascii="仿宋_GB2312" w:hAnsi="仿宋_GB2312" w:eastAsia="仿宋_GB2312" w:cs="仿宋_GB2312"/>
          <w:color w:val="000000" w:themeColor="text1"/>
          <w:sz w:val="32"/>
          <w:szCs w:val="32"/>
          <w:highlight w:val="none"/>
        </w:rPr>
        <w:t>手册、宣传栏等</w:t>
      </w:r>
      <w:r>
        <w:rPr>
          <w:rFonts w:hint="eastAsia" w:ascii="仿宋_GB2312" w:hAnsi="仿宋_GB2312" w:eastAsia="仿宋_GB2312" w:cs="仿宋_GB2312"/>
          <w:color w:val="000000" w:themeColor="text1"/>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highlight w:val="none"/>
          <w:lang w:val="en-US" w:eastAsia="zh-CN"/>
        </w:rPr>
      </w:pPr>
      <w:r>
        <w:rPr>
          <w:rFonts w:hint="eastAsia" w:ascii="黑体" w:hAnsi="黑体" w:eastAsia="黑体" w:cs="黑体"/>
          <w:color w:val="000000" w:themeColor="text1"/>
          <w:sz w:val="32"/>
          <w:szCs w:val="32"/>
          <w:highlight w:val="none"/>
          <w:lang w:val="en-US" w:eastAsia="zh-CN"/>
        </w:rPr>
        <w:t>三、项目完成情况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rPr>
      </w:pPr>
      <w:r>
        <w:rPr>
          <w:rFonts w:hint="eastAsia" w:ascii="仿宋_GB2312" w:hAnsi="仿宋_GB2312" w:eastAsia="仿宋_GB2312" w:cs="仿宋_GB2312"/>
          <w:color w:val="000000" w:themeColor="text1"/>
          <w:sz w:val="32"/>
          <w:szCs w:val="32"/>
          <w:highlight w:val="none"/>
          <w:lang w:eastAsia="zh-CN"/>
        </w:rPr>
        <w:t>完成了宣传资料的制作、</w:t>
      </w:r>
      <w:r>
        <w:rPr>
          <w:rFonts w:hint="eastAsia" w:ascii="仿宋_GB2312" w:hAnsi="仿宋_GB2312" w:eastAsia="仿宋_GB2312" w:cs="仿宋_GB2312"/>
          <w:color w:val="000000" w:themeColor="text1"/>
          <w:sz w:val="32"/>
          <w:szCs w:val="32"/>
          <w:highlight w:val="none"/>
          <w:lang w:val="en-US" w:eastAsia="zh-CN"/>
        </w:rPr>
        <w:t>宣传50册。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highlight w:val="none"/>
          <w:lang w:val="en-US" w:eastAsia="zh-CN"/>
        </w:rPr>
      </w:pPr>
      <w:r>
        <w:rPr>
          <w:rFonts w:hint="eastAsia" w:ascii="黑体" w:hAnsi="黑体" w:eastAsia="黑体" w:cs="黑体"/>
          <w:color w:val="000000" w:themeColor="text1"/>
          <w:sz w:val="32"/>
          <w:szCs w:val="32"/>
          <w:highlight w:val="none"/>
          <w:lang w:val="en-US" w:eastAsia="zh-CN"/>
        </w:rPr>
        <w:t>四、项目效益情况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石龙街道辖区</w:t>
      </w:r>
      <w:r>
        <w:rPr>
          <w:rFonts w:hint="eastAsia" w:ascii="仿宋_GB2312" w:hAnsi="仿宋_GB2312" w:eastAsia="仿宋_GB2312" w:cs="仿宋_GB2312"/>
          <w:color w:val="000000" w:themeColor="text1"/>
          <w:sz w:val="32"/>
          <w:szCs w:val="32"/>
          <w:highlight w:val="none"/>
          <w:lang w:val="en-US" w:eastAsia="zh-CN"/>
        </w:rPr>
        <w:t>治安</w:t>
      </w:r>
      <w:r>
        <w:rPr>
          <w:rFonts w:hint="eastAsia" w:ascii="仿宋_GB2312" w:hAnsi="仿宋_GB2312" w:eastAsia="仿宋_GB2312" w:cs="仿宋_GB2312"/>
          <w:color w:val="000000" w:themeColor="text1"/>
          <w:sz w:val="32"/>
          <w:szCs w:val="32"/>
          <w:highlight w:val="none"/>
        </w:rPr>
        <w:t>环境不断改善，</w:t>
      </w:r>
      <w:r>
        <w:rPr>
          <w:rFonts w:hint="eastAsia" w:ascii="仿宋_GB2312" w:hAnsi="仿宋_GB2312" w:eastAsia="仿宋_GB2312" w:cs="仿宋_GB2312"/>
          <w:color w:val="000000" w:themeColor="text1"/>
          <w:sz w:val="32"/>
          <w:szCs w:val="32"/>
          <w:highlight w:val="none"/>
          <w:lang w:val="en-US" w:eastAsia="zh-CN"/>
        </w:rPr>
        <w:t>群众幸福度上升，群众违法犯罪</w:t>
      </w:r>
      <w:r>
        <w:rPr>
          <w:rFonts w:hint="eastAsia" w:ascii="仿宋_GB2312" w:hAnsi="仿宋_GB2312" w:eastAsia="仿宋_GB2312" w:cs="仿宋_GB2312"/>
          <w:color w:val="000000" w:themeColor="text1"/>
          <w:sz w:val="32"/>
          <w:szCs w:val="32"/>
          <w:highlight w:val="none"/>
        </w:rPr>
        <w:t>指数不断下降，努力营造了石龙辖区安居乐业的良好</w:t>
      </w:r>
      <w:r>
        <w:rPr>
          <w:rFonts w:hint="eastAsia" w:ascii="仿宋_GB2312" w:hAnsi="仿宋_GB2312" w:eastAsia="仿宋_GB2312" w:cs="仿宋_GB2312"/>
          <w:color w:val="000000" w:themeColor="text1"/>
          <w:sz w:val="32"/>
          <w:szCs w:val="32"/>
          <w:highlight w:val="none"/>
          <w:lang w:val="en-US" w:eastAsia="zh-CN"/>
        </w:rPr>
        <w:t>社会</w:t>
      </w:r>
      <w:r>
        <w:rPr>
          <w:rFonts w:hint="eastAsia" w:ascii="仿宋_GB2312" w:hAnsi="仿宋_GB2312" w:eastAsia="仿宋_GB2312" w:cs="仿宋_GB2312"/>
          <w:color w:val="000000" w:themeColor="text1"/>
          <w:sz w:val="32"/>
          <w:szCs w:val="32"/>
          <w:highlight w:val="none"/>
        </w:rPr>
        <w:t>环境。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highlight w:val="none"/>
          <w:lang w:val="en-US" w:eastAsia="zh-CN"/>
        </w:rPr>
      </w:pPr>
      <w:r>
        <w:rPr>
          <w:rFonts w:hint="eastAsia" w:ascii="黑体" w:hAnsi="黑体" w:eastAsia="黑体" w:cs="黑体"/>
          <w:color w:val="000000" w:themeColor="text1"/>
          <w:sz w:val="32"/>
          <w:szCs w:val="32"/>
          <w:highlight w:val="none"/>
          <w:lang w:val="en-US" w:eastAsia="zh-CN"/>
        </w:rPr>
        <w:t>五、结论及建议</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zh-CN" w:eastAsia="zh-CN"/>
        </w:rPr>
      </w:pPr>
      <w:r>
        <w:rPr>
          <w:rFonts w:hint="eastAsia" w:ascii="楷体_GB2312" w:hAnsi="楷体_GB2312" w:eastAsia="楷体_GB2312" w:cs="楷体_GB2312"/>
          <w:b/>
          <w:bCs/>
          <w:color w:val="000000" w:themeColor="text1"/>
          <w:sz w:val="32"/>
          <w:szCs w:val="32"/>
          <w:highlight w:val="none"/>
          <w:lang w:val="zh-CN" w:eastAsia="zh-CN"/>
        </w:rPr>
        <w:t>（一）评价结论。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zh-CN" w:eastAsia="zh-CN"/>
        </w:rPr>
      </w:pPr>
      <w:r>
        <w:rPr>
          <w:rFonts w:hint="eastAsia" w:ascii="仿宋_GB2312" w:hAnsi="仿宋_GB2312" w:eastAsia="仿宋_GB2312" w:cs="仿宋_GB2312"/>
          <w:color w:val="000000" w:themeColor="text1"/>
          <w:sz w:val="32"/>
          <w:szCs w:val="32"/>
          <w:highlight w:val="none"/>
          <w:lang w:val="zh-CN" w:eastAsia="zh-CN"/>
        </w:rPr>
        <w:t>项目完成了预期计划，实现了预期目标。</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en-US" w:eastAsia="zh-CN"/>
        </w:rPr>
      </w:pPr>
      <w:r>
        <w:rPr>
          <w:rFonts w:hint="eastAsia" w:ascii="楷体_GB2312" w:hAnsi="楷体_GB2312" w:eastAsia="楷体_GB2312" w:cs="楷体_GB2312"/>
          <w:b/>
          <w:bCs/>
          <w:color w:val="000000" w:themeColor="text1"/>
          <w:sz w:val="32"/>
          <w:szCs w:val="32"/>
          <w:highlight w:val="none"/>
          <w:lang w:val="zh-CN" w:eastAsia="zh-CN"/>
        </w:rPr>
        <w:t>（二）存在的问题</w:t>
      </w:r>
      <w:r>
        <w:rPr>
          <w:rFonts w:hint="eastAsia" w:ascii="楷体_GB2312" w:hAnsi="楷体_GB2312" w:eastAsia="楷体_GB2312" w:cs="楷体_GB2312"/>
          <w:b/>
          <w:bCs/>
          <w:color w:val="000000" w:themeColor="text1"/>
          <w:sz w:val="32"/>
          <w:szCs w:val="32"/>
          <w:highlight w:val="none"/>
          <w:lang w:val="en-US" w:eastAsia="zh-CN"/>
        </w:rPr>
        <w:t>。无</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zh-CN" w:eastAsia="zh-CN"/>
        </w:rPr>
      </w:pPr>
      <w:r>
        <w:rPr>
          <w:rFonts w:hint="eastAsia" w:ascii="楷体_GB2312" w:hAnsi="楷体_GB2312" w:eastAsia="楷体_GB2312" w:cs="楷体_GB2312"/>
          <w:b/>
          <w:bCs/>
          <w:color w:val="000000" w:themeColor="text1"/>
          <w:sz w:val="32"/>
          <w:szCs w:val="32"/>
          <w:highlight w:val="none"/>
          <w:lang w:val="zh-CN" w:eastAsia="zh-CN"/>
        </w:rPr>
        <w:t>（三）建议。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rPr>
      </w:pPr>
      <w:r>
        <w:rPr>
          <w:rFonts w:hint="eastAsia" w:ascii="仿宋_GB2312" w:hAnsi="仿宋_GB2312" w:eastAsia="仿宋_GB2312" w:cs="仿宋_GB2312"/>
          <w:color w:val="000000" w:themeColor="text1"/>
          <w:sz w:val="32"/>
          <w:szCs w:val="32"/>
          <w:highlight w:val="none"/>
        </w:rPr>
        <w:t>做好</w:t>
      </w:r>
      <w:r>
        <w:rPr>
          <w:rFonts w:hint="eastAsia" w:ascii="仿宋_GB2312" w:hAnsi="仿宋_GB2312" w:eastAsia="仿宋_GB2312" w:cs="仿宋_GB2312"/>
          <w:color w:val="000000" w:themeColor="text1"/>
          <w:sz w:val="32"/>
          <w:szCs w:val="32"/>
          <w:highlight w:val="none"/>
          <w:lang w:val="en-US" w:eastAsia="zh-CN"/>
        </w:rPr>
        <w:t>信访条例等</w:t>
      </w:r>
      <w:r>
        <w:rPr>
          <w:rFonts w:hint="eastAsia" w:ascii="仿宋_GB2312" w:hAnsi="仿宋_GB2312" w:eastAsia="仿宋_GB2312" w:cs="仿宋_GB2312"/>
          <w:color w:val="000000" w:themeColor="text1"/>
          <w:sz w:val="32"/>
          <w:szCs w:val="32"/>
          <w:highlight w:val="none"/>
        </w:rPr>
        <w:t>宣传教育</w:t>
      </w:r>
      <w:r>
        <w:rPr>
          <w:rFonts w:hint="eastAsia" w:ascii="仿宋_GB2312" w:hAnsi="仿宋_GB2312" w:eastAsia="仿宋_GB2312" w:cs="仿宋_GB2312"/>
          <w:color w:val="000000" w:themeColor="text1"/>
          <w:sz w:val="32"/>
          <w:szCs w:val="32"/>
          <w:highlight w:val="none"/>
          <w:lang w:eastAsia="zh-CN"/>
        </w:rPr>
        <w:t>，</w:t>
      </w:r>
      <w:r>
        <w:rPr>
          <w:rFonts w:hint="eastAsia" w:ascii="仿宋_GB2312" w:hAnsi="仿宋_GB2312" w:eastAsia="仿宋_GB2312" w:cs="仿宋_GB2312"/>
          <w:color w:val="000000" w:themeColor="text1"/>
          <w:sz w:val="32"/>
          <w:szCs w:val="32"/>
          <w:highlight w:val="none"/>
          <w:lang w:val="en-US" w:eastAsia="zh-CN"/>
        </w:rPr>
        <w:t>提高群众法治意识，对一些干部在行使公务权利有异议，引导群众采取正当合法信访。</w:t>
      </w:r>
      <w:r>
        <w:rPr>
          <w:rFonts w:hint="eastAsia" w:ascii="仿宋_GB2312" w:hAnsi="仿宋_GB2312" w:eastAsia="仿宋_GB2312" w:cs="仿宋_GB2312"/>
          <w:color w:val="000000" w:themeColor="text1"/>
          <w:sz w:val="32"/>
          <w:szCs w:val="32"/>
          <w:highlight w:val="non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2560" w:firstLineChars="800"/>
        <w:jc w:val="both"/>
        <w:textAlignment w:val="auto"/>
        <w:rPr>
          <w:rFonts w:hint="eastAsia" w:ascii="仿宋_GB2312" w:hAnsi="仿宋_GB2312" w:eastAsia="仿宋_GB2312" w:cs="仿宋_GB2312"/>
          <w:color w:val="000000" w:themeColor="text1"/>
          <w:sz w:val="32"/>
          <w:szCs w:val="32"/>
          <w:highlight w:val="none"/>
          <w:lang w:val="en-US" w:eastAsia="zh-CN"/>
        </w:rPr>
      </w:pPr>
      <w:r>
        <w:rPr>
          <w:rFonts w:hint="eastAsia" w:ascii="仿宋_GB2312" w:hAnsi="仿宋_GB2312" w:eastAsia="仿宋_GB2312" w:cs="仿宋_GB2312"/>
          <w:color w:val="000000" w:themeColor="text1"/>
          <w:sz w:val="32"/>
          <w:szCs w:val="32"/>
          <w:highlight w:val="none"/>
          <w:lang w:val="en-US" w:eastAsia="zh-CN"/>
        </w:rPr>
        <w:t xml:space="preserve"> 广元经济技术开发区石龙街道办事处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4480" w:firstLineChars="1400"/>
        <w:jc w:val="both"/>
        <w:textAlignment w:val="auto"/>
        <w:rPr>
          <w:rFonts w:hint="eastAsia" w:ascii="仿宋_GB2312" w:hAnsi="仿宋_GB2312" w:eastAsia="仿宋_GB2312" w:cs="仿宋_GB2312"/>
          <w:color w:val="000000" w:themeColor="text1"/>
          <w:sz w:val="32"/>
          <w:szCs w:val="32"/>
          <w:highlight w:val="none"/>
          <w:lang w:val="en-US" w:eastAsia="zh-CN"/>
        </w:rPr>
      </w:pPr>
      <w:r>
        <w:rPr>
          <w:rFonts w:hint="eastAsia" w:ascii="仿宋_GB2312" w:hAnsi="仿宋_GB2312" w:eastAsia="仿宋_GB2312" w:cs="仿宋_GB2312"/>
          <w:color w:val="000000" w:themeColor="text1"/>
          <w:sz w:val="32"/>
          <w:szCs w:val="32"/>
          <w:highlight w:val="none"/>
          <w:lang w:val="en-US" w:eastAsia="zh-CN"/>
        </w:rPr>
        <w:t>2022年4月20日</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i w:val="0"/>
          <w:iCs w:val="0"/>
          <w:color w:val="000000" w:themeColor="text1"/>
          <w:kern w:val="0"/>
          <w:sz w:val="44"/>
          <w:szCs w:val="44"/>
          <w:highlight w:val="none"/>
          <w:u w:val="none"/>
          <w:lang w:val="en-US" w:eastAsia="zh-CN" w:bidi="ar"/>
        </w:rPr>
      </w:pPr>
      <w:r>
        <w:rPr>
          <w:rFonts w:hint="eastAsia" w:ascii="方正小标宋简体" w:hAnsi="方正小标宋简体" w:eastAsia="方正小标宋简体" w:cs="方正小标宋简体"/>
          <w:b w:val="0"/>
          <w:bCs w:val="0"/>
          <w:i w:val="0"/>
          <w:iCs w:val="0"/>
          <w:color w:val="000000" w:themeColor="text1"/>
          <w:kern w:val="0"/>
          <w:sz w:val="44"/>
          <w:szCs w:val="44"/>
          <w:highlight w:val="none"/>
          <w:u w:val="none"/>
          <w:lang w:val="en-US" w:eastAsia="zh-CN" w:bidi="ar"/>
        </w:rPr>
        <w:t>项目支出绩效目标自评表</w:t>
      </w:r>
    </w:p>
    <w:tbl>
      <w:tblPr>
        <w:tblStyle w:val="15"/>
        <w:tblW w:w="878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036"/>
        <w:gridCol w:w="1238"/>
        <w:gridCol w:w="888"/>
        <w:gridCol w:w="1352"/>
        <w:gridCol w:w="2035"/>
        <w:gridCol w:w="223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227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项目名称</w:t>
            </w:r>
          </w:p>
        </w:tc>
        <w:tc>
          <w:tcPr>
            <w:tcW w:w="224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信访、维稳、扫黑、防邪、禁毒项目资金</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项目属性</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 xml:space="preserve">□新增项目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□延续项目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274" w:type="dxa"/>
            <w:gridSpan w:val="2"/>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预算单位</w:t>
            </w:r>
          </w:p>
        </w:tc>
        <w:tc>
          <w:tcPr>
            <w:tcW w:w="2240" w:type="dxa"/>
            <w:gridSpan w:val="2"/>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广元经济技术开发区石龙街道办事处</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项目口径</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□经常性</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□阶段性</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□一次性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274" w:type="dxa"/>
            <w:gridSpan w:val="2"/>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2240" w:type="dxa"/>
            <w:gridSpan w:val="2"/>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项目起止时间</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2021年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预算</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执行</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情况</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（元）</w:t>
            </w:r>
          </w:p>
        </w:tc>
        <w:tc>
          <w:tcPr>
            <w:tcW w:w="2126"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预算金额（万元）</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5</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实际执行（万元）</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2126"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其中：一般公共预算（万元）</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5</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其中：一般公共预算（万元）</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2126"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政府性基金预算</w:t>
            </w:r>
          </w:p>
        </w:tc>
        <w:tc>
          <w:tcPr>
            <w:tcW w:w="135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政府性基金预算</w:t>
            </w:r>
          </w:p>
        </w:tc>
        <w:tc>
          <w:tcPr>
            <w:tcW w:w="223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2126"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国有资本经营预算</w:t>
            </w:r>
          </w:p>
        </w:tc>
        <w:tc>
          <w:tcPr>
            <w:tcW w:w="135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国有资本经营预算</w:t>
            </w:r>
          </w:p>
        </w:tc>
        <w:tc>
          <w:tcPr>
            <w:tcW w:w="223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2126"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社会保险基金预算</w:t>
            </w:r>
          </w:p>
        </w:tc>
        <w:tc>
          <w:tcPr>
            <w:tcW w:w="135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社会保险基金预算</w:t>
            </w:r>
          </w:p>
        </w:tc>
        <w:tc>
          <w:tcPr>
            <w:tcW w:w="223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103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年度</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目标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情况</w:t>
            </w:r>
          </w:p>
        </w:tc>
        <w:tc>
          <w:tcPr>
            <w:tcW w:w="3478"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预期目标</w:t>
            </w:r>
          </w:p>
        </w:tc>
        <w:tc>
          <w:tcPr>
            <w:tcW w:w="4273"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实际完成目标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3478"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宋体" w:hAnsi="宋体" w:eastAsia="宋体" w:cs="宋体"/>
                <w:i w:val="0"/>
                <w:iCs w:val="0"/>
                <w:color w:val="000000" w:themeColor="text1"/>
                <w:sz w:val="24"/>
                <w:szCs w:val="24"/>
                <w:highlight w:val="none"/>
                <w:u w:val="none"/>
                <w:lang w:val="en-US"/>
              </w:rPr>
            </w:pPr>
            <w:r>
              <w:rPr>
                <w:rFonts w:hint="eastAsia" w:ascii="宋体" w:hAnsi="宋体" w:eastAsia="宋体" w:cs="宋体"/>
                <w:i w:val="0"/>
                <w:iCs w:val="0"/>
                <w:color w:val="000000" w:themeColor="text1"/>
                <w:kern w:val="0"/>
                <w:sz w:val="24"/>
                <w:szCs w:val="24"/>
                <w:highlight w:val="none"/>
                <w:u w:val="none"/>
                <w:lang w:val="en-US" w:eastAsia="zh-CN" w:bidi="ar"/>
              </w:rPr>
              <w:t>预防群体事件，确保社会稳定</w:t>
            </w:r>
          </w:p>
        </w:tc>
        <w:tc>
          <w:tcPr>
            <w:tcW w:w="4273"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宋体" w:hAnsi="宋体" w:eastAsia="宋体" w:cs="宋体"/>
                <w:i w:val="0"/>
                <w:iCs w:val="0"/>
                <w:color w:val="000000" w:themeColor="text1"/>
                <w:sz w:val="24"/>
                <w:szCs w:val="24"/>
                <w:highlight w:val="none"/>
                <w:u w:val="none"/>
                <w:lang w:val="en-US" w:eastAsia="zh-CN"/>
              </w:rPr>
            </w:pPr>
            <w:r>
              <w:rPr>
                <w:rFonts w:hint="eastAsia" w:ascii="宋体" w:hAnsi="宋体" w:cs="宋体"/>
                <w:i w:val="0"/>
                <w:iCs w:val="0"/>
                <w:color w:val="000000" w:themeColor="text1"/>
                <w:sz w:val="24"/>
                <w:szCs w:val="24"/>
                <w:highlight w:val="none"/>
                <w:u w:val="none"/>
                <w:lang w:val="en-US" w:eastAsia="zh-CN"/>
              </w:rPr>
              <w:t>全年无群访事件发生，辖区社会环境安全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年度</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绩效</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指标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情况</w:t>
            </w:r>
          </w:p>
        </w:tc>
        <w:tc>
          <w:tcPr>
            <w:tcW w:w="1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一级指标</w:t>
            </w:r>
          </w:p>
        </w:tc>
        <w:tc>
          <w:tcPr>
            <w:tcW w:w="8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三级指标</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预期指标值（包含数字及文字描述）</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实际完成指标值 （包含数字及文字描述）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1238" w:type="dxa"/>
            <w:vMerge w:val="restart"/>
            <w:tcBorders>
              <w:tl2br w:val="nil"/>
              <w:tr2bl w:val="nil"/>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项目完成指标</w:t>
            </w:r>
          </w:p>
        </w:tc>
        <w:tc>
          <w:tcPr>
            <w:tcW w:w="88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数量</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rPr>
            </w:pPr>
            <w:r>
              <w:rPr>
                <w:rFonts w:hint="eastAsia" w:ascii="宋体" w:hAnsi="宋体" w:eastAsia="宋体" w:cs="宋体"/>
                <w:i w:val="0"/>
                <w:iCs w:val="0"/>
                <w:color w:val="000000" w:themeColor="text1"/>
                <w:kern w:val="0"/>
                <w:sz w:val="24"/>
                <w:szCs w:val="24"/>
                <w:highlight w:val="none"/>
                <w:u w:val="none"/>
                <w:lang w:val="en-US" w:eastAsia="zh-CN" w:bidi="ar"/>
              </w:rPr>
              <w:t>指标1：值班人次</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w:t>
            </w:r>
            <w:r>
              <w:rPr>
                <w:rFonts w:hint="eastAsia" w:ascii="宋体" w:hAnsi="宋体" w:cs="宋体"/>
                <w:i w:val="0"/>
                <w:iCs w:val="0"/>
                <w:color w:val="000000" w:themeColor="text1"/>
                <w:kern w:val="0"/>
                <w:sz w:val="24"/>
                <w:szCs w:val="24"/>
                <w:highlight w:val="none"/>
                <w:u w:val="none"/>
                <w:lang w:val="en-US" w:eastAsia="zh-CN" w:bidi="ar"/>
              </w:rPr>
              <w:t>5</w:t>
            </w:r>
            <w:r>
              <w:rPr>
                <w:rFonts w:hint="eastAsia" w:ascii="宋体" w:hAnsi="宋体" w:eastAsia="宋体" w:cs="宋体"/>
                <w:i w:val="0"/>
                <w:iCs w:val="0"/>
                <w:color w:val="000000" w:themeColor="text1"/>
                <w:kern w:val="0"/>
                <w:sz w:val="24"/>
                <w:szCs w:val="24"/>
                <w:highlight w:val="none"/>
                <w:u w:val="none"/>
                <w:lang w:val="en-US" w:eastAsia="zh-CN" w:bidi="ar"/>
              </w:rPr>
              <w:t>0次</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rPr>
            </w:pPr>
            <w:r>
              <w:rPr>
                <w:rFonts w:hint="eastAsia" w:ascii="宋体" w:hAnsi="宋体" w:cs="宋体"/>
                <w:i w:val="0"/>
                <w:iCs w:val="0"/>
                <w:color w:val="000000" w:themeColor="text1"/>
                <w:kern w:val="0"/>
                <w:sz w:val="24"/>
                <w:szCs w:val="24"/>
                <w:highlight w:val="none"/>
                <w:u w:val="none"/>
                <w:lang w:val="en-US" w:eastAsia="zh-CN" w:bidi="ar"/>
              </w:rPr>
              <w:t>全年安全维稳值班等50人次以上</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888"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指标2：宣传册印刷</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eastAsia="zh-CN"/>
              </w:rPr>
            </w:pPr>
            <w:r>
              <w:rPr>
                <w:rFonts w:hint="eastAsia" w:ascii="宋体" w:hAnsi="宋体" w:eastAsia="宋体" w:cs="宋体"/>
                <w:i w:val="0"/>
                <w:iCs w:val="0"/>
                <w:color w:val="000000" w:themeColor="text1"/>
                <w:sz w:val="24"/>
                <w:szCs w:val="24"/>
                <w:highlight w:val="none"/>
                <w:u w:val="none"/>
              </w:rPr>
              <w:t>≥</w:t>
            </w:r>
            <w:r>
              <w:rPr>
                <w:rFonts w:hint="eastAsia" w:ascii="宋体" w:hAnsi="宋体" w:cs="宋体"/>
                <w:i w:val="0"/>
                <w:iCs w:val="0"/>
                <w:color w:val="000000" w:themeColor="text1"/>
                <w:sz w:val="24"/>
                <w:szCs w:val="24"/>
                <w:highlight w:val="none"/>
                <w:u w:val="none"/>
                <w:lang w:val="en-US" w:eastAsia="zh-CN"/>
              </w:rPr>
              <w:t>50册</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rPr>
            </w:pPr>
            <w:r>
              <w:rPr>
                <w:rFonts w:hint="eastAsia" w:ascii="宋体" w:hAnsi="宋体" w:cs="宋体"/>
                <w:i w:val="0"/>
                <w:iCs w:val="0"/>
                <w:color w:val="000000" w:themeColor="text1"/>
                <w:kern w:val="0"/>
                <w:sz w:val="24"/>
                <w:szCs w:val="24"/>
                <w:highlight w:val="none"/>
                <w:u w:val="none"/>
                <w:lang w:val="en-US" w:eastAsia="zh-CN" w:bidi="ar"/>
              </w:rPr>
              <w:t>50册</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8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质量指标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指标1：有效预防和制止违法犯罪</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较上年度街面违法犯罪案件下降</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rPr>
            </w:pPr>
            <w:r>
              <w:rPr>
                <w:rFonts w:hint="eastAsia" w:ascii="宋体" w:hAnsi="宋体" w:eastAsia="宋体" w:cs="宋体"/>
                <w:i w:val="0"/>
                <w:iCs w:val="0"/>
                <w:color w:val="000000" w:themeColor="text1"/>
                <w:kern w:val="0"/>
                <w:sz w:val="24"/>
                <w:szCs w:val="24"/>
                <w:highlight w:val="none"/>
                <w:u w:val="none"/>
                <w:lang w:val="en-US" w:eastAsia="zh-CN" w:bidi="ar"/>
              </w:rPr>
              <w:t>较上年度街面违法犯罪案件下降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8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时效指标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指标1：完成时效</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2021年</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2021年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8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成本</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指标1：宣传业务费</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cs="宋体"/>
                <w:i w:val="0"/>
                <w:iCs w:val="0"/>
                <w:color w:val="000000" w:themeColor="text1"/>
                <w:kern w:val="0"/>
                <w:sz w:val="24"/>
                <w:szCs w:val="24"/>
                <w:highlight w:val="none"/>
                <w:u w:val="none"/>
                <w:lang w:val="en-US" w:eastAsia="zh-CN" w:bidi="ar"/>
              </w:rPr>
              <w:t>5</w:t>
            </w:r>
            <w:r>
              <w:rPr>
                <w:rFonts w:hint="eastAsia" w:ascii="宋体" w:hAnsi="宋体" w:eastAsia="宋体" w:cs="宋体"/>
                <w:i w:val="0"/>
                <w:iCs w:val="0"/>
                <w:color w:val="000000" w:themeColor="text1"/>
                <w:kern w:val="0"/>
                <w:sz w:val="24"/>
                <w:szCs w:val="24"/>
                <w:highlight w:val="none"/>
                <w:u w:val="none"/>
                <w:lang w:val="en-US" w:eastAsia="zh-CN" w:bidi="ar"/>
              </w:rPr>
              <w:t>万元</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cs="宋体"/>
                <w:i w:val="0"/>
                <w:iCs w:val="0"/>
                <w:color w:val="000000" w:themeColor="text1"/>
                <w:kern w:val="0"/>
                <w:sz w:val="24"/>
                <w:szCs w:val="24"/>
                <w:highlight w:val="none"/>
                <w:u w:val="none"/>
                <w:lang w:val="en-US" w:eastAsia="zh-CN" w:bidi="ar"/>
              </w:rPr>
              <w:t>5</w:t>
            </w:r>
            <w:r>
              <w:rPr>
                <w:rFonts w:hint="eastAsia" w:ascii="宋体" w:hAnsi="宋体" w:eastAsia="宋体" w:cs="宋体"/>
                <w:i w:val="0"/>
                <w:iCs w:val="0"/>
                <w:color w:val="000000" w:themeColor="text1"/>
                <w:kern w:val="0"/>
                <w:sz w:val="24"/>
                <w:szCs w:val="24"/>
                <w:highlight w:val="none"/>
                <w:u w:val="none"/>
                <w:lang w:val="en-US" w:eastAsia="zh-CN" w:bidi="ar"/>
              </w:rPr>
              <w:t>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1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1238" w:type="dxa"/>
            <w:vMerge w:val="restart"/>
            <w:tcBorders>
              <w:tl2br w:val="nil"/>
              <w:tr2bl w:val="nil"/>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项目效果指标</w:t>
            </w:r>
          </w:p>
        </w:tc>
        <w:tc>
          <w:tcPr>
            <w:tcW w:w="88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指标1：维护稳定</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rPr>
            </w:pPr>
            <w:r>
              <w:rPr>
                <w:rFonts w:hint="eastAsia" w:ascii="宋体" w:hAnsi="宋体" w:eastAsia="宋体" w:cs="宋体"/>
                <w:i w:val="0"/>
                <w:iCs w:val="0"/>
                <w:color w:val="000000" w:themeColor="text1"/>
                <w:kern w:val="0"/>
                <w:sz w:val="24"/>
                <w:szCs w:val="24"/>
                <w:highlight w:val="none"/>
                <w:u w:val="none"/>
                <w:lang w:val="en-US" w:eastAsia="zh-CN" w:bidi="ar"/>
              </w:rPr>
              <w:t>预防群体事件，确保社会稳定</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rPr>
            </w:pPr>
            <w:r>
              <w:rPr>
                <w:rFonts w:hint="eastAsia" w:ascii="宋体" w:hAnsi="宋体" w:eastAsia="宋体" w:cs="宋体"/>
                <w:i w:val="0"/>
                <w:iCs w:val="0"/>
                <w:color w:val="000000" w:themeColor="text1"/>
                <w:kern w:val="0"/>
                <w:sz w:val="24"/>
                <w:szCs w:val="24"/>
                <w:highlight w:val="none"/>
                <w:u w:val="none"/>
                <w:lang w:val="en-US" w:eastAsia="zh-CN" w:bidi="ar"/>
              </w:rPr>
              <w:t>预防群体事件，确保社会稳定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888"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指标2：社会环境</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rPr>
            </w:pPr>
            <w:r>
              <w:rPr>
                <w:rFonts w:hint="eastAsia" w:ascii="宋体" w:hAnsi="宋体" w:eastAsia="宋体" w:cs="宋体"/>
                <w:i w:val="0"/>
                <w:iCs w:val="0"/>
                <w:color w:val="000000" w:themeColor="text1"/>
                <w:kern w:val="0"/>
                <w:sz w:val="24"/>
                <w:szCs w:val="24"/>
                <w:highlight w:val="none"/>
                <w:u w:val="none"/>
                <w:lang w:val="en-US" w:eastAsia="zh-CN" w:bidi="ar"/>
              </w:rPr>
              <w:t>保障辖区社会环境安全</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rPr>
            </w:pPr>
            <w:r>
              <w:rPr>
                <w:rFonts w:hint="eastAsia" w:ascii="宋体" w:hAnsi="宋体" w:eastAsia="宋体" w:cs="宋体"/>
                <w:i w:val="0"/>
                <w:iCs w:val="0"/>
                <w:color w:val="000000" w:themeColor="text1"/>
                <w:kern w:val="0"/>
                <w:sz w:val="24"/>
                <w:szCs w:val="24"/>
                <w:highlight w:val="none"/>
                <w:u w:val="none"/>
                <w:lang w:val="en-US" w:eastAsia="zh-CN" w:bidi="ar"/>
              </w:rPr>
              <w:t>保障辖区社会环境安全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8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可持续影响</w:t>
            </w:r>
          </w:p>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sz w:val="24"/>
                <w:szCs w:val="24"/>
                <w:highlight w:val="none"/>
                <w:u w:val="none"/>
              </w:rPr>
              <w:t>指标1：防邪、禁毒、扫黑除恶宣传</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rPr>
            </w:pPr>
            <w:r>
              <w:rPr>
                <w:rFonts w:hint="eastAsia" w:ascii="宋体" w:hAnsi="宋体" w:eastAsia="宋体" w:cs="宋体"/>
                <w:i w:val="0"/>
                <w:iCs w:val="0"/>
                <w:color w:val="000000" w:themeColor="text1"/>
                <w:kern w:val="0"/>
                <w:sz w:val="24"/>
                <w:szCs w:val="24"/>
                <w:highlight w:val="none"/>
                <w:u w:val="none"/>
                <w:lang w:val="en-US" w:eastAsia="zh-CN" w:bidi="ar"/>
              </w:rPr>
              <w:t>有效预防和制止违法犯罪，促进社会和谐稳定</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有效预防和制止违法犯罪，促进社会和谐稳定</w:t>
            </w:r>
          </w:p>
        </w:tc>
      </w:tr>
    </w:tbl>
    <w:p>
      <w:pPr>
        <w:pStyle w:val="3"/>
        <w:spacing w:line="576" w:lineRule="exact"/>
        <w:rPr>
          <w:rFonts w:hint="eastAsia" w:eastAsia="黑体"/>
          <w:lang w:val="en-US" w:eastAsia="zh-CN"/>
        </w:rPr>
      </w:pPr>
      <w:r>
        <w:rPr>
          <w:rStyle w:val="27"/>
          <w:rFonts w:hint="eastAsia" w:ascii="黑体" w:hAnsi="黑体" w:eastAsia="黑体" w:cs="黑体"/>
          <w:b w:val="0"/>
          <w:bCs w:val="0"/>
          <w:color w:val="000000" w:themeColor="text1"/>
          <w:sz w:val="32"/>
          <w:szCs w:val="32"/>
          <w:highlight w:val="none"/>
        </w:rPr>
        <w:t>附件</w:t>
      </w:r>
      <w:r>
        <w:rPr>
          <w:rStyle w:val="27"/>
          <w:rFonts w:hint="eastAsia" w:ascii="黑体" w:hAnsi="黑体" w:eastAsia="黑体" w:cs="黑体"/>
          <w:b w:val="0"/>
          <w:bCs w:val="0"/>
          <w:color w:val="000000" w:themeColor="text1"/>
          <w:sz w:val="32"/>
          <w:szCs w:val="32"/>
          <w:highlight w:val="none"/>
          <w:lang w:val="en-US" w:eastAsia="zh-CN"/>
        </w:rPr>
        <w:t>2</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000000" w:themeColor="text1"/>
          <w:sz w:val="44"/>
          <w:szCs w:val="44"/>
          <w:highlight w:val="none"/>
          <w:lang w:eastAsia="zh-CN"/>
        </w:rPr>
      </w:pPr>
      <w:r>
        <w:rPr>
          <w:rFonts w:hint="eastAsia" w:ascii="方正小标宋简体" w:hAnsi="方正小标宋简体" w:eastAsia="方正小标宋简体" w:cs="方正小标宋简体"/>
          <w:color w:val="000000" w:themeColor="text1"/>
          <w:sz w:val="44"/>
          <w:szCs w:val="44"/>
          <w:highlight w:val="none"/>
          <w:lang w:eastAsia="zh-CN"/>
        </w:rPr>
        <w:t>广元经济技术开发区</w:t>
      </w:r>
      <w:r>
        <w:rPr>
          <w:rFonts w:hint="eastAsia" w:ascii="方正小标宋简体" w:hAnsi="方正小标宋简体" w:eastAsia="方正小标宋简体" w:cs="方正小标宋简体"/>
          <w:color w:val="000000" w:themeColor="text1"/>
          <w:sz w:val="44"/>
          <w:szCs w:val="44"/>
          <w:highlight w:val="none"/>
          <w:lang w:val="en-US" w:eastAsia="zh-CN"/>
        </w:rPr>
        <w:t>石龙街道办</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000000" w:themeColor="text1"/>
          <w:sz w:val="44"/>
          <w:szCs w:val="44"/>
          <w:highlight w:val="none"/>
        </w:rPr>
      </w:pPr>
      <w:r>
        <w:rPr>
          <w:rFonts w:hint="eastAsia" w:ascii="方正小标宋简体" w:hAnsi="方正小标宋简体" w:eastAsia="方正小标宋简体" w:cs="方正小标宋简体"/>
          <w:color w:val="000000" w:themeColor="text1"/>
          <w:sz w:val="44"/>
          <w:szCs w:val="44"/>
          <w:highlight w:val="none"/>
        </w:rPr>
        <w:t>关于</w:t>
      </w:r>
      <w:r>
        <w:rPr>
          <w:rFonts w:hint="eastAsia" w:ascii="方正小标宋简体" w:hAnsi="方正小标宋简体" w:eastAsia="方正小标宋简体" w:cs="方正小标宋简体"/>
          <w:color w:val="000000" w:themeColor="text1"/>
          <w:sz w:val="44"/>
          <w:szCs w:val="44"/>
          <w:highlight w:val="none"/>
          <w:lang w:val="en-US" w:eastAsia="zh-CN"/>
        </w:rPr>
        <w:t>安全生产资金</w:t>
      </w:r>
      <w:r>
        <w:rPr>
          <w:rFonts w:hint="eastAsia" w:ascii="方正小标宋简体" w:hAnsi="方正小标宋简体" w:eastAsia="方正小标宋简体" w:cs="方正小标宋简体"/>
          <w:color w:val="000000" w:themeColor="text1"/>
          <w:sz w:val="44"/>
          <w:szCs w:val="44"/>
          <w:highlight w:val="none"/>
          <w:lang w:eastAsia="zh-CN"/>
        </w:rPr>
        <w:t>项目</w:t>
      </w:r>
      <w:r>
        <w:rPr>
          <w:rFonts w:hint="eastAsia" w:ascii="方正小标宋简体" w:hAnsi="方正小标宋简体" w:eastAsia="方正小标宋简体" w:cs="方正小标宋简体"/>
          <w:color w:val="000000" w:themeColor="text1"/>
          <w:sz w:val="44"/>
          <w:szCs w:val="44"/>
          <w:highlight w:val="none"/>
        </w:rPr>
        <w:t>支出绩效</w:t>
      </w:r>
      <w:r>
        <w:rPr>
          <w:rFonts w:hint="eastAsia" w:ascii="方正小标宋简体" w:hAnsi="方正小标宋简体" w:eastAsia="方正小标宋简体" w:cs="方正小标宋简体"/>
          <w:color w:val="000000" w:themeColor="text1"/>
          <w:sz w:val="44"/>
          <w:szCs w:val="44"/>
          <w:highlight w:val="none"/>
          <w:lang w:eastAsia="zh-CN"/>
        </w:rPr>
        <w:t>自</w:t>
      </w:r>
      <w:r>
        <w:rPr>
          <w:rFonts w:hint="eastAsia" w:ascii="方正小标宋简体" w:hAnsi="方正小标宋简体" w:eastAsia="方正小标宋简体" w:cs="方正小标宋简体"/>
          <w:color w:val="000000" w:themeColor="text1"/>
          <w:sz w:val="44"/>
          <w:szCs w:val="44"/>
          <w:highlight w:val="none"/>
        </w:rPr>
        <w:t>评</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000000" w:themeColor="text1"/>
          <w:sz w:val="44"/>
          <w:szCs w:val="44"/>
          <w:highlight w:val="none"/>
          <w:lang w:eastAsia="zh-CN"/>
        </w:rPr>
      </w:pPr>
      <w:r>
        <w:rPr>
          <w:rFonts w:hint="eastAsia" w:ascii="方正小标宋简体" w:hAnsi="方正小标宋简体" w:eastAsia="方正小标宋简体" w:cs="方正小标宋简体"/>
          <w:color w:val="000000" w:themeColor="text1"/>
          <w:sz w:val="44"/>
          <w:szCs w:val="44"/>
          <w:highlight w:val="none"/>
          <w:lang w:eastAsia="zh-CN"/>
        </w:rPr>
        <w:t>报</w:t>
      </w:r>
      <w:r>
        <w:rPr>
          <w:rFonts w:hint="eastAsia" w:ascii="方正小标宋简体" w:hAnsi="方正小标宋简体" w:eastAsia="方正小标宋简体" w:cs="方正小标宋简体"/>
          <w:color w:val="000000" w:themeColor="text1"/>
          <w:sz w:val="44"/>
          <w:szCs w:val="44"/>
          <w:highlight w:val="none"/>
          <w:lang w:val="en-US" w:eastAsia="zh-CN"/>
        </w:rPr>
        <w:t xml:space="preserve">       </w:t>
      </w:r>
      <w:r>
        <w:rPr>
          <w:rFonts w:hint="eastAsia" w:ascii="方正小标宋简体" w:hAnsi="方正小标宋简体" w:eastAsia="方正小标宋简体" w:cs="方正小标宋简体"/>
          <w:color w:val="000000" w:themeColor="text1"/>
          <w:sz w:val="44"/>
          <w:szCs w:val="44"/>
          <w:highlight w:val="none"/>
          <w:lang w:eastAsia="zh-CN"/>
        </w:rPr>
        <w:t>告</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rPr>
      </w:pPr>
      <w:r>
        <w:rPr>
          <w:rFonts w:hint="eastAsia" w:ascii="仿宋_GB2312" w:hAnsi="仿宋_GB2312" w:eastAsia="仿宋_GB2312" w:cs="仿宋_GB2312"/>
          <w:color w:val="000000" w:themeColor="text1"/>
          <w:sz w:val="32"/>
          <w:szCs w:val="32"/>
          <w:highlight w:val="none"/>
          <w:lang w:eastAsia="zh-CN"/>
        </w:rPr>
        <w:t>根据财政局关于财政支出绩效评价工作的相关要求，</w:t>
      </w:r>
      <w:r>
        <w:rPr>
          <w:rFonts w:hint="eastAsia" w:ascii="仿宋_GB2312" w:hAnsi="仿宋_GB2312" w:eastAsia="仿宋_GB2312" w:cs="仿宋_GB2312"/>
          <w:color w:val="000000" w:themeColor="text1"/>
          <w:sz w:val="32"/>
          <w:szCs w:val="32"/>
          <w:highlight w:val="none"/>
          <w:lang w:val="en-US" w:eastAsia="zh-CN"/>
        </w:rPr>
        <w:t>现将我街道安全生产项目支出绩效自评报告如下。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highlight w:val="none"/>
          <w:lang w:val="zh-CN" w:eastAsia="zh-CN"/>
        </w:rPr>
      </w:pPr>
      <w:r>
        <w:rPr>
          <w:rFonts w:hint="eastAsia" w:ascii="黑体" w:hAnsi="黑体" w:eastAsia="黑体" w:cs="黑体"/>
          <w:color w:val="000000" w:themeColor="text1"/>
          <w:sz w:val="32"/>
          <w:szCs w:val="32"/>
          <w:highlight w:val="none"/>
          <w:lang w:val="en-US" w:eastAsia="zh-CN"/>
        </w:rPr>
        <w:t>一、</w:t>
      </w:r>
      <w:r>
        <w:rPr>
          <w:rFonts w:hint="eastAsia" w:ascii="黑体" w:hAnsi="黑体" w:eastAsia="黑体" w:cs="黑体"/>
          <w:color w:val="000000" w:themeColor="text1"/>
          <w:sz w:val="32"/>
          <w:szCs w:val="32"/>
          <w:highlight w:val="none"/>
          <w:lang w:val="zh-CN" w:eastAsia="zh-CN"/>
        </w:rPr>
        <w:t>项目概况</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zh-CN" w:eastAsia="zh-CN"/>
        </w:rPr>
      </w:pPr>
      <w:r>
        <w:rPr>
          <w:rFonts w:hint="eastAsia" w:ascii="楷体_GB2312" w:hAnsi="楷体_GB2312" w:eastAsia="楷体_GB2312" w:cs="楷体_GB2312"/>
          <w:b/>
          <w:bCs/>
          <w:color w:val="000000" w:themeColor="text1"/>
          <w:sz w:val="32"/>
          <w:szCs w:val="32"/>
          <w:highlight w:val="none"/>
          <w:lang w:val="zh-CN" w:eastAsia="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rPr>
      </w:pPr>
      <w:r>
        <w:rPr>
          <w:rFonts w:hint="eastAsia" w:ascii="仿宋_GB2312" w:hAnsi="仿宋_GB2312" w:eastAsia="仿宋_GB2312" w:cs="仿宋_GB2312"/>
          <w:color w:val="000000" w:themeColor="text1"/>
          <w:sz w:val="32"/>
          <w:szCs w:val="32"/>
          <w:highlight w:val="none"/>
        </w:rPr>
        <w:t>按照按照</w:t>
      </w:r>
      <w:r>
        <w:rPr>
          <w:rFonts w:hint="eastAsia" w:ascii="仿宋_GB2312" w:hAnsi="仿宋_GB2312" w:eastAsia="仿宋_GB2312" w:cs="仿宋_GB2312"/>
          <w:color w:val="000000" w:themeColor="text1"/>
          <w:sz w:val="32"/>
          <w:szCs w:val="32"/>
          <w:highlight w:val="none"/>
          <w:lang w:val="en-US" w:eastAsia="zh-CN"/>
        </w:rPr>
        <w:t>广开财预〔2021〕6号预算通知执行</w:t>
      </w:r>
      <w:r>
        <w:rPr>
          <w:rFonts w:hint="eastAsia" w:ascii="仿宋_GB2312" w:hAnsi="仿宋_GB2312" w:eastAsia="仿宋_GB2312" w:cs="仿宋_GB2312"/>
          <w:color w:val="000000" w:themeColor="text1"/>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zh-CN" w:eastAsia="zh-CN"/>
        </w:rPr>
      </w:pPr>
      <w:r>
        <w:rPr>
          <w:rFonts w:hint="eastAsia" w:ascii="楷体_GB2312" w:hAnsi="楷体_GB2312" w:eastAsia="楷体_GB2312" w:cs="楷体_GB2312"/>
          <w:b/>
          <w:bCs/>
          <w:color w:val="000000" w:themeColor="text1"/>
          <w:sz w:val="32"/>
          <w:szCs w:val="32"/>
          <w:highlight w:val="none"/>
          <w:lang w:val="zh-CN" w:eastAsia="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lang w:val="en-US" w:eastAsia="zh-CN"/>
        </w:rPr>
        <w:t>1、</w:t>
      </w:r>
      <w:r>
        <w:rPr>
          <w:rFonts w:hint="eastAsia" w:ascii="仿宋_GB2312" w:hAnsi="仿宋_GB2312" w:eastAsia="仿宋_GB2312" w:cs="仿宋_GB2312"/>
          <w:color w:val="000000" w:themeColor="text1"/>
          <w:sz w:val="32"/>
          <w:szCs w:val="32"/>
          <w:highlight w:val="none"/>
        </w:rPr>
        <w:t>主要是</w:t>
      </w:r>
      <w:r>
        <w:rPr>
          <w:rFonts w:hint="eastAsia" w:ascii="仿宋_GB2312" w:hAnsi="仿宋_GB2312" w:eastAsia="仿宋_GB2312" w:cs="仿宋_GB2312"/>
          <w:color w:val="000000" w:themeColor="text1"/>
          <w:sz w:val="32"/>
          <w:szCs w:val="32"/>
          <w:highlight w:val="none"/>
          <w:lang w:val="en-US" w:eastAsia="zh-CN"/>
        </w:rPr>
        <w:t>对辖区</w:t>
      </w:r>
      <w:r>
        <w:rPr>
          <w:rFonts w:hint="eastAsia" w:ascii="仿宋_GB2312" w:hAnsi="仿宋_GB2312" w:eastAsia="仿宋_GB2312" w:cs="仿宋_GB2312"/>
          <w:color w:val="000000" w:themeColor="text1"/>
          <w:sz w:val="32"/>
          <w:szCs w:val="32"/>
          <w:highlight w:val="none"/>
        </w:rPr>
        <w:t>安全</w:t>
      </w:r>
      <w:r>
        <w:rPr>
          <w:rFonts w:hint="eastAsia" w:ascii="仿宋_GB2312" w:hAnsi="仿宋_GB2312" w:eastAsia="仿宋_GB2312" w:cs="仿宋_GB2312"/>
          <w:color w:val="000000" w:themeColor="text1"/>
          <w:sz w:val="32"/>
          <w:szCs w:val="32"/>
          <w:highlight w:val="none"/>
          <w:lang w:val="en-US" w:eastAsia="zh-CN"/>
        </w:rPr>
        <w:t>生产监管</w:t>
      </w:r>
      <w:r>
        <w:rPr>
          <w:rFonts w:hint="eastAsia" w:ascii="仿宋_GB2312" w:hAnsi="仿宋_GB2312" w:eastAsia="仿宋_GB2312" w:cs="仿宋_GB2312"/>
          <w:color w:val="000000" w:themeColor="text1"/>
          <w:sz w:val="32"/>
          <w:szCs w:val="32"/>
          <w:highlight w:val="none"/>
        </w:rPr>
        <w:t>、安全</w:t>
      </w:r>
      <w:r>
        <w:rPr>
          <w:rFonts w:hint="eastAsia" w:ascii="仿宋_GB2312" w:hAnsi="仿宋_GB2312" w:eastAsia="仿宋_GB2312" w:cs="仿宋_GB2312"/>
          <w:color w:val="000000" w:themeColor="text1"/>
          <w:sz w:val="32"/>
          <w:szCs w:val="32"/>
          <w:highlight w:val="none"/>
          <w:lang w:val="en-US" w:eastAsia="zh-CN"/>
        </w:rPr>
        <w:t>生产宣传</w:t>
      </w:r>
      <w:r>
        <w:rPr>
          <w:rFonts w:hint="eastAsia" w:ascii="仿宋_GB2312" w:hAnsi="仿宋_GB2312" w:eastAsia="仿宋_GB2312" w:cs="仿宋_GB2312"/>
          <w:color w:val="000000" w:themeColor="text1"/>
          <w:sz w:val="32"/>
          <w:szCs w:val="32"/>
          <w:highlight w:val="none"/>
        </w:rPr>
        <w:t>等。提高</w:t>
      </w:r>
      <w:r>
        <w:rPr>
          <w:rFonts w:hint="eastAsia" w:ascii="仿宋_GB2312" w:hAnsi="仿宋_GB2312" w:eastAsia="仿宋_GB2312" w:cs="仿宋_GB2312"/>
          <w:color w:val="000000" w:themeColor="text1"/>
          <w:sz w:val="32"/>
          <w:szCs w:val="32"/>
          <w:highlight w:val="none"/>
          <w:lang w:val="en-US" w:eastAsia="zh-CN"/>
        </w:rPr>
        <w:t>企业、</w:t>
      </w:r>
      <w:r>
        <w:rPr>
          <w:rFonts w:hint="eastAsia" w:ascii="仿宋_GB2312" w:hAnsi="仿宋_GB2312" w:eastAsia="仿宋_GB2312" w:cs="仿宋_GB2312"/>
          <w:color w:val="000000" w:themeColor="text1"/>
          <w:sz w:val="32"/>
          <w:szCs w:val="32"/>
          <w:highlight w:val="none"/>
        </w:rPr>
        <w:t>居民（村民）安全防范意识，经常开展宣传教育与培训活动，营造安全文化氛围。宣传教育与培训活动应针对不同层次人群的安全意识与能力要求制定相应的方案，以提高</w:t>
      </w:r>
      <w:r>
        <w:rPr>
          <w:rFonts w:hint="eastAsia" w:ascii="仿宋_GB2312" w:hAnsi="仿宋_GB2312" w:eastAsia="仿宋_GB2312" w:cs="仿宋_GB2312"/>
          <w:color w:val="000000" w:themeColor="text1"/>
          <w:sz w:val="32"/>
          <w:szCs w:val="32"/>
          <w:highlight w:val="none"/>
          <w:lang w:val="en-US" w:eastAsia="zh-CN"/>
        </w:rPr>
        <w:t>辖区企业及居民</w:t>
      </w:r>
      <w:r>
        <w:rPr>
          <w:rFonts w:hint="eastAsia" w:ascii="仿宋_GB2312" w:hAnsi="仿宋_GB2312" w:eastAsia="仿宋_GB2312" w:cs="仿宋_GB2312"/>
          <w:color w:val="000000" w:themeColor="text1"/>
          <w:sz w:val="32"/>
          <w:szCs w:val="32"/>
          <w:highlight w:val="none"/>
        </w:rPr>
        <w:t>安全意识和防范事故与伤害的能力。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rPr>
      </w:pPr>
      <w:r>
        <w:rPr>
          <w:rFonts w:hint="eastAsia" w:ascii="仿宋_GB2312" w:hAnsi="仿宋_GB2312" w:eastAsia="仿宋_GB2312" w:cs="仿宋_GB2312"/>
          <w:color w:val="000000" w:themeColor="text1"/>
          <w:sz w:val="32"/>
          <w:szCs w:val="32"/>
          <w:highlight w:val="none"/>
          <w:lang w:val="en-US" w:eastAsia="zh-CN"/>
        </w:rPr>
        <w:t>2、辖区全年安全检查10次，开展入企业、入户安全宣传10次。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rPr>
      </w:pPr>
      <w:r>
        <w:rPr>
          <w:rFonts w:hint="eastAsia" w:ascii="仿宋_GB2312" w:hAnsi="仿宋_GB2312" w:eastAsia="仿宋_GB2312" w:cs="仿宋_GB2312"/>
          <w:color w:val="000000" w:themeColor="text1"/>
          <w:sz w:val="32"/>
          <w:szCs w:val="32"/>
          <w:highlight w:val="none"/>
          <w:lang w:val="en-US" w:eastAsia="zh-CN"/>
        </w:rPr>
        <w:t>3、通过对安全隐患排查、整改安全隐患，全年无重大安全事故发生。</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zh-CN" w:eastAsia="zh-CN"/>
        </w:rPr>
      </w:pPr>
      <w:r>
        <w:rPr>
          <w:rFonts w:hint="eastAsia" w:ascii="楷体_GB2312" w:hAnsi="楷体_GB2312" w:eastAsia="楷体_GB2312" w:cs="楷体_GB2312"/>
          <w:b/>
          <w:bCs/>
          <w:color w:val="000000" w:themeColor="text1"/>
          <w:sz w:val="32"/>
          <w:szCs w:val="32"/>
          <w:highlight w:val="none"/>
          <w:lang w:val="zh-CN" w:eastAsia="zh-CN"/>
        </w:rPr>
        <w:t>（三）项目资金申报相符性。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rPr>
      </w:pPr>
      <w:r>
        <w:rPr>
          <w:rFonts w:hint="eastAsia" w:ascii="仿宋_GB2312" w:hAnsi="仿宋_GB2312" w:eastAsia="仿宋_GB2312" w:cs="仿宋_GB2312"/>
          <w:color w:val="000000" w:themeColor="text1"/>
          <w:sz w:val="32"/>
          <w:szCs w:val="32"/>
          <w:highlight w:val="none"/>
          <w:lang w:val="zh-CN" w:eastAsia="zh-CN"/>
        </w:rPr>
        <w:t>项目申报内容均为安全</w:t>
      </w:r>
      <w:r>
        <w:rPr>
          <w:rFonts w:hint="eastAsia" w:ascii="仿宋_GB2312" w:hAnsi="仿宋_GB2312" w:eastAsia="仿宋_GB2312" w:cs="仿宋_GB2312"/>
          <w:color w:val="000000" w:themeColor="text1"/>
          <w:sz w:val="32"/>
          <w:szCs w:val="32"/>
          <w:highlight w:val="none"/>
          <w:lang w:val="en-US" w:eastAsia="zh-CN"/>
        </w:rPr>
        <w:t>监管</w:t>
      </w:r>
      <w:r>
        <w:rPr>
          <w:rFonts w:hint="eastAsia" w:ascii="仿宋_GB2312" w:hAnsi="仿宋_GB2312" w:eastAsia="仿宋_GB2312" w:cs="仿宋_GB2312"/>
          <w:color w:val="000000" w:themeColor="text1"/>
          <w:sz w:val="32"/>
          <w:szCs w:val="32"/>
          <w:highlight w:val="none"/>
          <w:lang w:val="zh-CN" w:eastAsia="zh-CN"/>
        </w:rPr>
        <w:t>方案相关内容，与具体实施内容相符、申报目标合理可行。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highlight w:val="none"/>
          <w:lang w:eastAsia="zh-CN"/>
        </w:rPr>
      </w:pPr>
      <w:r>
        <w:rPr>
          <w:rFonts w:hint="eastAsia" w:ascii="黑体" w:hAnsi="黑体" w:eastAsia="黑体" w:cs="黑体"/>
          <w:color w:val="000000" w:themeColor="text1"/>
          <w:sz w:val="32"/>
          <w:szCs w:val="32"/>
          <w:highlight w:val="none"/>
          <w:lang w:val="en-US" w:eastAsia="zh-CN"/>
        </w:rPr>
        <w:t xml:space="preserve"> </w:t>
      </w:r>
      <w:r>
        <w:rPr>
          <w:rFonts w:hint="eastAsia" w:ascii="黑体" w:hAnsi="黑体" w:eastAsia="黑体" w:cs="黑体"/>
          <w:color w:val="000000" w:themeColor="text1"/>
          <w:sz w:val="32"/>
          <w:szCs w:val="32"/>
          <w:highlight w:val="none"/>
          <w:lang w:eastAsia="zh-CN"/>
        </w:rPr>
        <w:t>二、项目实施及管理情况</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en-US" w:eastAsia="zh-CN"/>
        </w:rPr>
      </w:pPr>
      <w:r>
        <w:rPr>
          <w:rFonts w:hint="eastAsia" w:ascii="楷体_GB2312" w:hAnsi="楷体_GB2312" w:eastAsia="楷体_GB2312" w:cs="楷体_GB2312"/>
          <w:b/>
          <w:bCs/>
          <w:color w:val="000000" w:themeColor="text1"/>
          <w:sz w:val="32"/>
          <w:szCs w:val="32"/>
          <w:highlight w:val="none"/>
          <w:lang w:val="en-US" w:eastAsia="zh-CN"/>
        </w:rPr>
        <w:t>（一）项目资金到位情况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rPr>
      </w:pPr>
      <w:r>
        <w:rPr>
          <w:rFonts w:hint="eastAsia" w:ascii="仿宋_GB2312" w:hAnsi="仿宋_GB2312" w:eastAsia="仿宋_GB2312" w:cs="仿宋_GB2312"/>
          <w:color w:val="000000" w:themeColor="text1"/>
          <w:sz w:val="32"/>
          <w:szCs w:val="32"/>
          <w:highlight w:val="none"/>
          <w:lang w:eastAsia="zh-CN"/>
        </w:rPr>
        <w:t>资金到位</w:t>
      </w:r>
      <w:r>
        <w:rPr>
          <w:rFonts w:hint="eastAsia" w:ascii="仿宋_GB2312" w:hAnsi="仿宋_GB2312" w:eastAsia="仿宋_GB2312" w:cs="仿宋_GB2312"/>
          <w:color w:val="000000" w:themeColor="text1"/>
          <w:sz w:val="32"/>
          <w:szCs w:val="32"/>
          <w:highlight w:val="none"/>
          <w:lang w:val="en-US" w:eastAsia="zh-CN"/>
        </w:rPr>
        <w:t>2万元。</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en-US" w:eastAsia="zh-CN"/>
        </w:rPr>
      </w:pPr>
      <w:r>
        <w:rPr>
          <w:rFonts w:hint="eastAsia" w:ascii="楷体_GB2312" w:hAnsi="楷体_GB2312" w:eastAsia="楷体_GB2312" w:cs="楷体_GB2312"/>
          <w:b/>
          <w:bCs/>
          <w:color w:val="000000" w:themeColor="text1"/>
          <w:sz w:val="32"/>
          <w:szCs w:val="32"/>
          <w:highlight w:val="none"/>
          <w:lang w:val="en-US" w:eastAsia="zh-CN"/>
        </w:rPr>
        <w:t>（二）资金使用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000000" w:themeColor="text1"/>
          <w:sz w:val="32"/>
          <w:szCs w:val="32"/>
          <w:highlight w:val="none"/>
          <w:lang w:val="en-US" w:eastAsia="zh-CN"/>
        </w:rPr>
      </w:pPr>
      <w:r>
        <w:rPr>
          <w:rFonts w:hint="eastAsia" w:ascii="仿宋_GB2312" w:hAnsi="仿宋_GB2312" w:eastAsia="仿宋_GB2312" w:cs="仿宋_GB2312"/>
          <w:color w:val="000000" w:themeColor="text1"/>
          <w:sz w:val="32"/>
          <w:szCs w:val="32"/>
          <w:highlight w:val="none"/>
          <w:lang w:val="en-US" w:eastAsia="zh-CN"/>
        </w:rPr>
        <w:t>合计使用2万元，其中宣传业务费发生2万元。</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zh-CN" w:eastAsia="zh-CN"/>
        </w:rPr>
      </w:pPr>
      <w:r>
        <w:rPr>
          <w:rFonts w:hint="eastAsia" w:ascii="楷体_GB2312" w:hAnsi="楷体_GB2312" w:eastAsia="楷体_GB2312" w:cs="楷体_GB2312"/>
          <w:b/>
          <w:bCs/>
          <w:color w:val="000000" w:themeColor="text1"/>
          <w:sz w:val="32"/>
          <w:szCs w:val="32"/>
          <w:highlight w:val="none"/>
          <w:lang w:val="zh-CN" w:eastAsia="zh-CN"/>
        </w:rPr>
        <w:t>（三）项目财务管理情况。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zh-CN" w:eastAsia="zh-CN"/>
        </w:rPr>
      </w:pPr>
      <w:r>
        <w:rPr>
          <w:rFonts w:hint="eastAsia" w:ascii="仿宋_GB2312" w:hAnsi="仿宋_GB2312" w:eastAsia="仿宋_GB2312" w:cs="仿宋_GB2312"/>
          <w:color w:val="000000" w:themeColor="text1"/>
          <w:sz w:val="32"/>
          <w:szCs w:val="32"/>
          <w:highlight w:val="none"/>
          <w:lang w:val="zh-CN" w:eastAsia="zh-CN"/>
        </w:rPr>
        <w:t>我单位严格执行单位财务管理制度，报账履行逐级审批手续，附有实施方案、合同、发票、实物照片、现场照片、等。手续齐全，真实有效。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 w:val="0"/>
          <w:bCs w:val="0"/>
          <w:color w:val="000000" w:themeColor="text1"/>
          <w:sz w:val="32"/>
          <w:szCs w:val="32"/>
          <w:highlight w:val="none"/>
          <w:lang w:val="zh-CN" w:eastAsia="zh-CN"/>
        </w:rPr>
      </w:pPr>
      <w:r>
        <w:rPr>
          <w:rFonts w:hint="eastAsia" w:ascii="楷体_GB2312" w:hAnsi="楷体_GB2312" w:eastAsia="楷体_GB2312" w:cs="楷体_GB2312"/>
          <w:b w:val="0"/>
          <w:bCs w:val="0"/>
          <w:color w:val="000000" w:themeColor="text1"/>
          <w:sz w:val="32"/>
          <w:szCs w:val="32"/>
          <w:highlight w:val="none"/>
          <w:lang w:val="zh-CN" w:eastAsia="zh-CN"/>
        </w:rPr>
        <w:t>（四）项目组织实施情况。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rPr>
      </w:pPr>
      <w:r>
        <w:rPr>
          <w:rFonts w:hint="eastAsia" w:ascii="仿宋_GB2312" w:hAnsi="仿宋_GB2312" w:eastAsia="仿宋_GB2312" w:cs="仿宋_GB2312"/>
          <w:color w:val="000000" w:themeColor="text1"/>
          <w:sz w:val="32"/>
          <w:szCs w:val="32"/>
          <w:highlight w:val="none"/>
          <w:lang w:val="en-US" w:eastAsia="zh-CN"/>
        </w:rPr>
        <w:t>宣传由经办部门按照经批准的实施方案实施，</w:t>
      </w:r>
      <w:r>
        <w:rPr>
          <w:rFonts w:hint="eastAsia" w:ascii="仿宋_GB2312" w:hAnsi="仿宋_GB2312" w:eastAsia="仿宋_GB2312" w:cs="仿宋_GB2312"/>
          <w:color w:val="000000" w:themeColor="text1"/>
          <w:sz w:val="32"/>
          <w:szCs w:val="32"/>
          <w:highlight w:val="none"/>
        </w:rPr>
        <w:t>主要是制作安全手册、宣传栏、告示牌等</w:t>
      </w:r>
      <w:r>
        <w:rPr>
          <w:rFonts w:hint="eastAsia" w:ascii="仿宋_GB2312" w:hAnsi="仿宋_GB2312" w:eastAsia="仿宋_GB2312" w:cs="仿宋_GB2312"/>
          <w:color w:val="000000" w:themeColor="text1"/>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highlight w:val="none"/>
          <w:lang w:val="en-US" w:eastAsia="zh-CN"/>
        </w:rPr>
      </w:pPr>
      <w:r>
        <w:rPr>
          <w:rFonts w:hint="eastAsia" w:ascii="黑体" w:hAnsi="黑体" w:eastAsia="黑体" w:cs="黑体"/>
          <w:color w:val="000000" w:themeColor="text1"/>
          <w:sz w:val="32"/>
          <w:szCs w:val="32"/>
          <w:highlight w:val="none"/>
          <w:lang w:val="en-US" w:eastAsia="zh-CN"/>
        </w:rPr>
        <w:t>三、项目完成情况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rPr>
      </w:pPr>
      <w:r>
        <w:rPr>
          <w:rFonts w:hint="eastAsia" w:ascii="仿宋_GB2312" w:hAnsi="仿宋_GB2312" w:eastAsia="仿宋_GB2312" w:cs="仿宋_GB2312"/>
          <w:color w:val="000000" w:themeColor="text1"/>
          <w:sz w:val="32"/>
          <w:szCs w:val="32"/>
          <w:highlight w:val="none"/>
          <w:lang w:eastAsia="zh-CN"/>
        </w:rPr>
        <w:t>完成了宣传资料的制作、</w:t>
      </w:r>
      <w:r>
        <w:rPr>
          <w:rFonts w:hint="eastAsia" w:ascii="仿宋_GB2312" w:hAnsi="仿宋_GB2312" w:eastAsia="仿宋_GB2312" w:cs="仿宋_GB2312"/>
          <w:color w:val="000000" w:themeColor="text1"/>
          <w:sz w:val="32"/>
          <w:szCs w:val="32"/>
          <w:highlight w:val="none"/>
          <w:lang w:val="en-US" w:eastAsia="zh-CN"/>
        </w:rPr>
        <w:t>宣传10余次，全年隐患排查10个，整改10个，完成100%，全年无安全事故发生。</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highlight w:val="none"/>
          <w:lang w:val="en-US" w:eastAsia="zh-CN"/>
        </w:rPr>
      </w:pPr>
      <w:r>
        <w:rPr>
          <w:rFonts w:hint="eastAsia" w:ascii="黑体" w:hAnsi="黑体" w:eastAsia="黑体" w:cs="黑体"/>
          <w:color w:val="000000" w:themeColor="text1"/>
          <w:sz w:val="32"/>
          <w:szCs w:val="32"/>
          <w:highlight w:val="none"/>
          <w:lang w:val="en-US" w:eastAsia="zh-CN"/>
        </w:rPr>
        <w:t>四、项目效益情况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石龙街道辖区安全生产环境不断改善，各类事故指数不断下降，交通安全事故下降</w:t>
      </w:r>
      <w:r>
        <w:rPr>
          <w:rFonts w:hint="eastAsia" w:ascii="仿宋_GB2312" w:hAnsi="仿宋_GB2312" w:eastAsia="仿宋_GB2312" w:cs="仿宋_GB2312"/>
          <w:color w:val="000000" w:themeColor="text1"/>
          <w:sz w:val="32"/>
          <w:szCs w:val="32"/>
          <w:highlight w:val="none"/>
          <w:lang w:val="en-US" w:eastAsia="zh-CN"/>
        </w:rPr>
        <w:t>50</w:t>
      </w:r>
      <w:r>
        <w:rPr>
          <w:rFonts w:hint="eastAsia" w:ascii="仿宋_GB2312" w:hAnsi="仿宋_GB2312" w:eastAsia="仿宋_GB2312" w:cs="仿宋_GB2312"/>
          <w:color w:val="000000" w:themeColor="text1"/>
          <w:sz w:val="32"/>
          <w:szCs w:val="32"/>
          <w:highlight w:val="none"/>
        </w:rPr>
        <w:t>%、消防事故下降</w:t>
      </w:r>
      <w:r>
        <w:rPr>
          <w:rFonts w:hint="eastAsia" w:ascii="仿宋_GB2312" w:hAnsi="仿宋_GB2312" w:eastAsia="仿宋_GB2312" w:cs="仿宋_GB2312"/>
          <w:color w:val="000000" w:themeColor="text1"/>
          <w:sz w:val="32"/>
          <w:szCs w:val="32"/>
          <w:highlight w:val="none"/>
          <w:lang w:val="en-US" w:eastAsia="zh-CN"/>
        </w:rPr>
        <w:t>80</w:t>
      </w:r>
      <w:r>
        <w:rPr>
          <w:rFonts w:hint="eastAsia" w:ascii="仿宋_GB2312" w:hAnsi="仿宋_GB2312" w:eastAsia="仿宋_GB2312" w:cs="仿宋_GB2312"/>
          <w:color w:val="000000" w:themeColor="text1"/>
          <w:sz w:val="32"/>
          <w:szCs w:val="32"/>
          <w:highlight w:val="none"/>
        </w:rPr>
        <w:t>%、社会治安案件下降56%、生产安全事故</w:t>
      </w:r>
      <w:r>
        <w:rPr>
          <w:rFonts w:hint="eastAsia" w:ascii="仿宋_GB2312" w:hAnsi="仿宋_GB2312" w:eastAsia="仿宋_GB2312" w:cs="仿宋_GB2312"/>
          <w:color w:val="000000" w:themeColor="text1"/>
          <w:sz w:val="32"/>
          <w:szCs w:val="32"/>
          <w:highlight w:val="none"/>
          <w:lang w:val="en-US" w:eastAsia="zh-CN"/>
        </w:rPr>
        <w:t>为0</w:t>
      </w:r>
      <w:r>
        <w:rPr>
          <w:rFonts w:hint="eastAsia" w:ascii="仿宋_GB2312" w:hAnsi="仿宋_GB2312" w:eastAsia="仿宋_GB2312" w:cs="仿宋_GB2312"/>
          <w:color w:val="000000" w:themeColor="text1"/>
          <w:sz w:val="32"/>
          <w:szCs w:val="32"/>
          <w:highlight w:val="none"/>
        </w:rPr>
        <w:t>，努力营造了石龙辖区安居乐业的良好安全环境。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highlight w:val="none"/>
          <w:lang w:val="en-US" w:eastAsia="zh-CN"/>
        </w:rPr>
      </w:pPr>
      <w:r>
        <w:rPr>
          <w:rFonts w:hint="eastAsia" w:ascii="黑体" w:hAnsi="黑体" w:eastAsia="黑体" w:cs="黑体"/>
          <w:color w:val="000000" w:themeColor="text1"/>
          <w:sz w:val="32"/>
          <w:szCs w:val="32"/>
          <w:highlight w:val="none"/>
          <w:lang w:val="en-US" w:eastAsia="zh-CN"/>
        </w:rPr>
        <w:t>五、结论及建议</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zh-CN" w:eastAsia="zh-CN"/>
        </w:rPr>
      </w:pPr>
      <w:r>
        <w:rPr>
          <w:rFonts w:hint="eastAsia" w:ascii="楷体_GB2312" w:hAnsi="楷体_GB2312" w:eastAsia="楷体_GB2312" w:cs="楷体_GB2312"/>
          <w:b/>
          <w:bCs/>
          <w:color w:val="000000" w:themeColor="text1"/>
          <w:sz w:val="32"/>
          <w:szCs w:val="32"/>
          <w:highlight w:val="none"/>
          <w:lang w:val="zh-CN" w:eastAsia="zh-CN"/>
        </w:rPr>
        <w:t>（一）评价结论。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zh-CN" w:eastAsia="zh-CN"/>
        </w:rPr>
      </w:pPr>
      <w:r>
        <w:rPr>
          <w:rFonts w:hint="eastAsia" w:ascii="仿宋_GB2312" w:hAnsi="仿宋_GB2312" w:eastAsia="仿宋_GB2312" w:cs="仿宋_GB2312"/>
          <w:color w:val="000000" w:themeColor="text1"/>
          <w:sz w:val="32"/>
          <w:szCs w:val="32"/>
          <w:highlight w:val="none"/>
          <w:lang w:val="zh-CN" w:eastAsia="zh-CN"/>
        </w:rPr>
        <w:t>项目完成了预期计划，实现了预期目标。</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en-US" w:eastAsia="zh-CN"/>
        </w:rPr>
      </w:pPr>
      <w:r>
        <w:rPr>
          <w:rFonts w:hint="eastAsia" w:ascii="楷体_GB2312" w:hAnsi="楷体_GB2312" w:eastAsia="楷体_GB2312" w:cs="楷体_GB2312"/>
          <w:b/>
          <w:bCs/>
          <w:color w:val="000000" w:themeColor="text1"/>
          <w:sz w:val="32"/>
          <w:szCs w:val="32"/>
          <w:highlight w:val="none"/>
          <w:lang w:val="zh-CN" w:eastAsia="zh-CN"/>
        </w:rPr>
        <w:t>（二）存在的问题</w:t>
      </w:r>
      <w:r>
        <w:rPr>
          <w:rFonts w:hint="eastAsia" w:ascii="楷体_GB2312" w:hAnsi="楷体_GB2312" w:eastAsia="楷体_GB2312" w:cs="楷体_GB2312"/>
          <w:b/>
          <w:bCs/>
          <w:color w:val="000000" w:themeColor="text1"/>
          <w:sz w:val="32"/>
          <w:szCs w:val="32"/>
          <w:highlight w:val="none"/>
          <w:lang w:val="en-US" w:eastAsia="zh-CN"/>
        </w:rPr>
        <w:t>。无</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zh-CN" w:eastAsia="zh-CN"/>
        </w:rPr>
      </w:pPr>
      <w:r>
        <w:rPr>
          <w:rFonts w:hint="eastAsia" w:ascii="楷体_GB2312" w:hAnsi="楷体_GB2312" w:eastAsia="楷体_GB2312" w:cs="楷体_GB2312"/>
          <w:b/>
          <w:bCs/>
          <w:color w:val="000000" w:themeColor="text1"/>
          <w:sz w:val="32"/>
          <w:szCs w:val="32"/>
          <w:highlight w:val="none"/>
          <w:lang w:val="zh-CN" w:eastAsia="zh-CN"/>
        </w:rPr>
        <w:t>（三）建议。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做好安全宣传教育进企业、进校园、进机关、进社区、进农村、进家庭、进公共场所等活动，多渠道开展安全知识和日常安全常识的宣传，提高社区人员安全意识。最大限度地预防和降低伤害事故， 改善</w:t>
      </w:r>
      <w:r>
        <w:rPr>
          <w:rFonts w:hint="eastAsia" w:ascii="仿宋_GB2312" w:hAnsi="仿宋_GB2312" w:eastAsia="仿宋_GB2312" w:cs="仿宋_GB2312"/>
          <w:color w:val="000000" w:themeColor="text1"/>
          <w:sz w:val="32"/>
          <w:szCs w:val="32"/>
          <w:highlight w:val="none"/>
          <w:lang w:val="en-US" w:eastAsia="zh-CN"/>
        </w:rPr>
        <w:t>企业</w:t>
      </w:r>
      <w:r>
        <w:rPr>
          <w:rFonts w:hint="eastAsia" w:ascii="仿宋_GB2312" w:hAnsi="仿宋_GB2312" w:eastAsia="仿宋_GB2312" w:cs="仿宋_GB2312"/>
          <w:color w:val="000000" w:themeColor="text1"/>
          <w:sz w:val="32"/>
          <w:szCs w:val="32"/>
          <w:highlight w:val="none"/>
        </w:rPr>
        <w:t>安全状况，提高</w:t>
      </w:r>
      <w:r>
        <w:rPr>
          <w:rFonts w:hint="eastAsia" w:ascii="仿宋_GB2312" w:hAnsi="仿宋_GB2312" w:eastAsia="仿宋_GB2312" w:cs="仿宋_GB2312"/>
          <w:color w:val="000000" w:themeColor="text1"/>
          <w:sz w:val="32"/>
          <w:szCs w:val="32"/>
          <w:highlight w:val="none"/>
          <w:lang w:val="en-US" w:eastAsia="zh-CN"/>
        </w:rPr>
        <w:t>辖区</w:t>
      </w:r>
      <w:r>
        <w:rPr>
          <w:rFonts w:hint="eastAsia" w:ascii="仿宋_GB2312" w:hAnsi="仿宋_GB2312" w:eastAsia="仿宋_GB2312" w:cs="仿宋_GB2312"/>
          <w:color w:val="000000" w:themeColor="text1"/>
          <w:sz w:val="32"/>
          <w:szCs w:val="32"/>
          <w:highlight w:val="none"/>
        </w:rPr>
        <w:t>安全保障，构建平安和谐社会。</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color w:val="000000" w:themeColor="text1"/>
          <w:sz w:val="32"/>
          <w:szCs w:val="32"/>
          <w:highlight w:val="none"/>
          <w:lang w:val="en-US" w:eastAsia="zh-CN"/>
        </w:rPr>
      </w:pPr>
    </w:p>
    <w:p>
      <w:pPr>
        <w:pStyle w:val="2"/>
        <w:rPr>
          <w:rFonts w:hint="eastAsia"/>
          <w:color w:val="000000" w:themeColor="text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center"/>
        <w:textAlignment w:val="auto"/>
        <w:rPr>
          <w:rFonts w:hint="eastAsia" w:ascii="仿宋_GB2312" w:hAnsi="仿宋_GB2312" w:eastAsia="仿宋_GB2312" w:cs="仿宋_GB2312"/>
          <w:color w:val="000000" w:themeColor="text1"/>
          <w:sz w:val="32"/>
          <w:szCs w:val="32"/>
          <w:highlight w:val="none"/>
          <w:lang w:val="en-US" w:eastAsia="zh-CN"/>
        </w:rPr>
      </w:pPr>
      <w:r>
        <w:rPr>
          <w:rFonts w:hint="eastAsia" w:ascii="仿宋_GB2312" w:hAnsi="仿宋_GB2312" w:eastAsia="仿宋_GB2312" w:cs="仿宋_GB2312"/>
          <w:color w:val="000000" w:themeColor="text1"/>
          <w:sz w:val="32"/>
          <w:szCs w:val="32"/>
          <w:highlight w:val="none"/>
          <w:lang w:val="en-US" w:eastAsia="zh-CN"/>
        </w:rPr>
        <w:t xml:space="preserve">          广元经济技术开发区石龙街道办事处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4480" w:firstLineChars="1400"/>
        <w:jc w:val="both"/>
        <w:textAlignment w:val="auto"/>
        <w:rPr>
          <w:rFonts w:hint="eastAsia" w:ascii="仿宋_GB2312" w:hAnsi="仿宋_GB2312" w:eastAsia="仿宋_GB2312" w:cs="仿宋_GB2312"/>
          <w:color w:val="000000" w:themeColor="text1"/>
          <w:sz w:val="32"/>
          <w:szCs w:val="32"/>
          <w:highlight w:val="none"/>
          <w:lang w:val="en-US" w:eastAsia="zh-CN"/>
        </w:rPr>
      </w:pPr>
      <w:r>
        <w:rPr>
          <w:rFonts w:hint="eastAsia" w:ascii="仿宋_GB2312" w:hAnsi="仿宋_GB2312" w:eastAsia="仿宋_GB2312" w:cs="仿宋_GB2312"/>
          <w:color w:val="000000" w:themeColor="text1"/>
          <w:sz w:val="32"/>
          <w:szCs w:val="32"/>
          <w:highlight w:val="none"/>
          <w:lang w:val="en-US" w:eastAsia="zh-CN"/>
        </w:rPr>
        <w:t>2022年4月20日</w:t>
      </w:r>
    </w:p>
    <w:p>
      <w:pPr>
        <w:pStyle w:val="2"/>
        <w:rPr>
          <w:rFonts w:hint="eastAsia"/>
          <w:lang w:val="en-US" w:eastAsia="zh-CN"/>
        </w:rPr>
      </w:pPr>
      <w:r>
        <w:rPr>
          <w:rFonts w:hint="eastAsia" w:ascii="仿宋_GB2312" w:hAnsi="仿宋_GB2312" w:eastAsia="仿宋_GB2312" w:cs="仿宋_GB2312"/>
          <w:color w:val="000000" w:themeColor="text1"/>
          <w:sz w:val="32"/>
          <w:szCs w:val="32"/>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i w:val="0"/>
          <w:iCs w:val="0"/>
          <w:color w:val="000000" w:themeColor="text1"/>
          <w:kern w:val="0"/>
          <w:sz w:val="44"/>
          <w:szCs w:val="44"/>
          <w:highlight w:val="none"/>
          <w:u w:val="none"/>
          <w:lang w:val="en-US" w:eastAsia="zh-CN" w:bidi="ar"/>
        </w:rPr>
      </w:pPr>
      <w:r>
        <w:rPr>
          <w:rFonts w:hint="eastAsia" w:ascii="方正小标宋简体" w:hAnsi="方正小标宋简体" w:eastAsia="方正小标宋简体" w:cs="方正小标宋简体"/>
          <w:b w:val="0"/>
          <w:bCs w:val="0"/>
          <w:i w:val="0"/>
          <w:iCs w:val="0"/>
          <w:color w:val="000000" w:themeColor="text1"/>
          <w:kern w:val="0"/>
          <w:sz w:val="44"/>
          <w:szCs w:val="44"/>
          <w:highlight w:val="none"/>
          <w:u w:val="none"/>
          <w:lang w:val="en-US" w:eastAsia="zh-CN" w:bidi="ar"/>
        </w:rPr>
        <w:t>项目支出绩效目标自评表</w:t>
      </w:r>
    </w:p>
    <w:tbl>
      <w:tblPr>
        <w:tblStyle w:val="15"/>
        <w:tblW w:w="878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036"/>
        <w:gridCol w:w="1238"/>
        <w:gridCol w:w="888"/>
        <w:gridCol w:w="1352"/>
        <w:gridCol w:w="2035"/>
        <w:gridCol w:w="223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227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项目名称</w:t>
            </w:r>
          </w:p>
        </w:tc>
        <w:tc>
          <w:tcPr>
            <w:tcW w:w="224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安全生产资金</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项目属性</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 xml:space="preserve">□新增项目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□延续项目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274" w:type="dxa"/>
            <w:gridSpan w:val="2"/>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预算单位</w:t>
            </w:r>
          </w:p>
        </w:tc>
        <w:tc>
          <w:tcPr>
            <w:tcW w:w="2240" w:type="dxa"/>
            <w:gridSpan w:val="2"/>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广元经济技术开发区石龙街道办事处</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项目口径</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□经常性</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□阶段性</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□一次性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274" w:type="dxa"/>
            <w:gridSpan w:val="2"/>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2240" w:type="dxa"/>
            <w:gridSpan w:val="2"/>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项目起止时间</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2021年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预算</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执行</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情况</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（元）</w:t>
            </w:r>
          </w:p>
        </w:tc>
        <w:tc>
          <w:tcPr>
            <w:tcW w:w="2126"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预算金额（万元）</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2</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实际执行（万元）</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2126"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其中：一般公共预算（万元）</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2</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其中：一般公共预算（万元）</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2126"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政府性基金预算</w:t>
            </w:r>
          </w:p>
        </w:tc>
        <w:tc>
          <w:tcPr>
            <w:tcW w:w="135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政府性基金预算</w:t>
            </w:r>
          </w:p>
        </w:tc>
        <w:tc>
          <w:tcPr>
            <w:tcW w:w="223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2126"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国有资本经营预算</w:t>
            </w:r>
          </w:p>
        </w:tc>
        <w:tc>
          <w:tcPr>
            <w:tcW w:w="135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国有资本经营预算</w:t>
            </w:r>
          </w:p>
        </w:tc>
        <w:tc>
          <w:tcPr>
            <w:tcW w:w="223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2126"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社会保险基金预算</w:t>
            </w:r>
          </w:p>
        </w:tc>
        <w:tc>
          <w:tcPr>
            <w:tcW w:w="135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社会保险基金预算</w:t>
            </w:r>
          </w:p>
        </w:tc>
        <w:tc>
          <w:tcPr>
            <w:tcW w:w="223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103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年度</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目标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情况</w:t>
            </w:r>
          </w:p>
        </w:tc>
        <w:tc>
          <w:tcPr>
            <w:tcW w:w="3478"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预期目标</w:t>
            </w:r>
          </w:p>
        </w:tc>
        <w:tc>
          <w:tcPr>
            <w:tcW w:w="4273"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实际完成目标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3478"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宋体" w:hAnsi="宋体" w:eastAsia="宋体" w:cs="宋体"/>
                <w:i w:val="0"/>
                <w:iCs w:val="0"/>
                <w:color w:val="000000" w:themeColor="text1"/>
                <w:sz w:val="24"/>
                <w:szCs w:val="24"/>
                <w:highlight w:val="none"/>
                <w:u w:val="none"/>
                <w:lang w:val="en-US"/>
              </w:rPr>
            </w:pPr>
            <w:r>
              <w:rPr>
                <w:rFonts w:hint="eastAsia" w:ascii="宋体" w:hAnsi="宋体" w:eastAsia="宋体" w:cs="宋体"/>
                <w:i w:val="0"/>
                <w:iCs w:val="0"/>
                <w:color w:val="000000" w:themeColor="text1"/>
                <w:kern w:val="0"/>
                <w:sz w:val="24"/>
                <w:szCs w:val="24"/>
                <w:highlight w:val="none"/>
                <w:u w:val="none"/>
                <w:lang w:val="en-US" w:eastAsia="zh-CN" w:bidi="ar"/>
              </w:rPr>
              <w:t>保障辖区企业安全生产</w:t>
            </w:r>
          </w:p>
        </w:tc>
        <w:tc>
          <w:tcPr>
            <w:tcW w:w="4273"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宋体" w:hAnsi="宋体" w:eastAsia="宋体" w:cs="宋体"/>
                <w:i w:val="0"/>
                <w:iCs w:val="0"/>
                <w:color w:val="000000" w:themeColor="text1"/>
                <w:sz w:val="24"/>
                <w:szCs w:val="24"/>
                <w:highlight w:val="none"/>
                <w:u w:val="none"/>
                <w:lang w:val="en-US"/>
              </w:rPr>
            </w:pPr>
            <w:r>
              <w:rPr>
                <w:rFonts w:hint="eastAsia" w:ascii="宋体" w:hAnsi="宋体" w:eastAsia="宋体" w:cs="宋体"/>
                <w:i w:val="0"/>
                <w:iCs w:val="0"/>
                <w:color w:val="000000" w:themeColor="text1"/>
                <w:kern w:val="0"/>
                <w:sz w:val="24"/>
                <w:szCs w:val="24"/>
                <w:highlight w:val="none"/>
                <w:u w:val="none"/>
                <w:lang w:val="en-US" w:eastAsia="zh-CN" w:bidi="ar"/>
              </w:rPr>
              <w:t>无安全事故发生</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年度</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绩效</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指标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情况</w:t>
            </w:r>
          </w:p>
        </w:tc>
        <w:tc>
          <w:tcPr>
            <w:tcW w:w="1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一级指标</w:t>
            </w:r>
          </w:p>
        </w:tc>
        <w:tc>
          <w:tcPr>
            <w:tcW w:w="8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三级指标</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预期指标值（包含数字及文字描述）</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实际完成指标值 （包含数字及文字描述）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1238" w:type="dxa"/>
            <w:vMerge w:val="restart"/>
            <w:tcBorders>
              <w:tl2br w:val="nil"/>
              <w:tr2bl w:val="nil"/>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项目完成指标</w:t>
            </w:r>
          </w:p>
        </w:tc>
        <w:tc>
          <w:tcPr>
            <w:tcW w:w="88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数量</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rPr>
            </w:pPr>
            <w:r>
              <w:rPr>
                <w:rFonts w:hint="eastAsia" w:ascii="宋体" w:hAnsi="宋体" w:eastAsia="宋体" w:cs="宋体"/>
                <w:i w:val="0"/>
                <w:iCs w:val="0"/>
                <w:color w:val="000000" w:themeColor="text1"/>
                <w:kern w:val="0"/>
                <w:sz w:val="24"/>
                <w:szCs w:val="24"/>
                <w:highlight w:val="none"/>
                <w:u w:val="none"/>
                <w:lang w:val="en-US" w:eastAsia="zh-CN" w:bidi="ar"/>
              </w:rPr>
              <w:t>指标1：安全检查</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≥10次</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rPr>
            </w:pPr>
            <w:r>
              <w:rPr>
                <w:rFonts w:hint="eastAsia" w:ascii="宋体" w:hAnsi="宋体" w:eastAsia="宋体" w:cs="宋体"/>
                <w:i w:val="0"/>
                <w:iCs w:val="0"/>
                <w:color w:val="000000" w:themeColor="text1"/>
                <w:kern w:val="0"/>
                <w:sz w:val="24"/>
                <w:szCs w:val="24"/>
                <w:highlight w:val="none"/>
                <w:u w:val="none"/>
                <w:lang w:val="en-US" w:eastAsia="zh-CN" w:bidi="ar"/>
              </w:rPr>
              <w:t>12次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888"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指标2：安全宣传</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sz w:val="24"/>
                <w:szCs w:val="24"/>
                <w:highlight w:val="none"/>
                <w:u w:val="none"/>
              </w:rPr>
              <w:t>≥12次</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70本</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88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质量指标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指标1：宣传覆盖率</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≥90%</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rPr>
            </w:pPr>
            <w:r>
              <w:rPr>
                <w:rFonts w:hint="eastAsia" w:ascii="宋体" w:hAnsi="宋体" w:eastAsia="宋体" w:cs="宋体"/>
                <w:i w:val="0"/>
                <w:iCs w:val="0"/>
                <w:color w:val="000000" w:themeColor="text1"/>
                <w:kern w:val="0"/>
                <w:sz w:val="24"/>
                <w:szCs w:val="24"/>
                <w:highlight w:val="none"/>
                <w:u w:val="none"/>
                <w:lang w:val="en-US" w:eastAsia="zh-CN" w:bidi="ar"/>
              </w:rPr>
              <w:t xml:space="preserve"> 提高辖区企业安全生产意识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888"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指标2：检查覆盖率</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符合专业规范</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符合专业规范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8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时效指标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指标1：完成时效</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2021年</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2021年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8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成本</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指标1：宣传业务费</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2万元</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2万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1238" w:type="dxa"/>
            <w:vMerge w:val="restart"/>
            <w:tcBorders>
              <w:tl2br w:val="nil"/>
              <w:tr2bl w:val="nil"/>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项目效果指标</w:t>
            </w:r>
          </w:p>
        </w:tc>
        <w:tc>
          <w:tcPr>
            <w:tcW w:w="88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指标1：隐患排查率</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rPr>
            </w:pPr>
            <w:r>
              <w:rPr>
                <w:rFonts w:hint="eastAsia" w:ascii="宋体" w:hAnsi="宋体" w:cs="宋体"/>
                <w:i w:val="0"/>
                <w:iCs w:val="0"/>
                <w:color w:val="000000" w:themeColor="text1"/>
                <w:kern w:val="0"/>
                <w:sz w:val="24"/>
                <w:szCs w:val="24"/>
                <w:highlight w:val="none"/>
                <w:u w:val="none"/>
                <w:lang w:val="en-US" w:eastAsia="zh-CN" w:bidi="ar"/>
              </w:rPr>
              <w:t>隐患排查单位</w:t>
            </w:r>
            <w:r>
              <w:rPr>
                <w:rFonts w:hint="eastAsia" w:ascii="宋体" w:hAnsi="宋体" w:eastAsia="宋体" w:cs="宋体"/>
                <w:i w:val="0"/>
                <w:iCs w:val="0"/>
                <w:color w:val="000000" w:themeColor="text1"/>
                <w:kern w:val="0"/>
                <w:sz w:val="24"/>
                <w:szCs w:val="24"/>
                <w:highlight w:val="none"/>
                <w:u w:val="none"/>
                <w:lang w:val="en-US" w:eastAsia="zh-CN" w:bidi="ar"/>
              </w:rPr>
              <w:t>100%</w:t>
            </w:r>
            <w:r>
              <w:rPr>
                <w:rFonts w:hint="eastAsia" w:ascii="宋体" w:hAnsi="宋体" w:cs="宋体"/>
                <w:i w:val="0"/>
                <w:iCs w:val="0"/>
                <w:color w:val="000000" w:themeColor="text1"/>
                <w:kern w:val="0"/>
                <w:sz w:val="24"/>
                <w:szCs w:val="24"/>
                <w:highlight w:val="none"/>
                <w:u w:val="none"/>
                <w:lang w:val="en-US" w:eastAsia="zh-CN" w:bidi="ar"/>
              </w:rPr>
              <w:t>覆盖</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rPr>
            </w:pPr>
            <w:r>
              <w:rPr>
                <w:rFonts w:hint="eastAsia" w:ascii="宋体" w:hAnsi="宋体" w:cs="宋体"/>
                <w:i w:val="0"/>
                <w:iCs w:val="0"/>
                <w:color w:val="000000" w:themeColor="text1"/>
                <w:kern w:val="0"/>
                <w:sz w:val="24"/>
                <w:szCs w:val="24"/>
                <w:highlight w:val="none"/>
                <w:u w:val="none"/>
                <w:lang w:val="en-US" w:eastAsia="zh-CN" w:bidi="ar"/>
              </w:rPr>
              <w:t>隐患排查单位</w:t>
            </w:r>
            <w:r>
              <w:rPr>
                <w:rFonts w:hint="eastAsia" w:ascii="宋体" w:hAnsi="宋体" w:eastAsia="宋体" w:cs="宋体"/>
                <w:i w:val="0"/>
                <w:iCs w:val="0"/>
                <w:color w:val="000000" w:themeColor="text1"/>
                <w:kern w:val="0"/>
                <w:sz w:val="24"/>
                <w:szCs w:val="24"/>
                <w:highlight w:val="none"/>
                <w:u w:val="none"/>
                <w:lang w:val="en-US" w:eastAsia="zh-CN" w:bidi="ar"/>
              </w:rPr>
              <w:t>100%</w:t>
            </w:r>
            <w:r>
              <w:rPr>
                <w:rFonts w:hint="eastAsia" w:ascii="宋体" w:hAnsi="宋体" w:cs="宋体"/>
                <w:i w:val="0"/>
                <w:iCs w:val="0"/>
                <w:color w:val="000000" w:themeColor="text1"/>
                <w:kern w:val="0"/>
                <w:sz w:val="24"/>
                <w:szCs w:val="24"/>
                <w:highlight w:val="none"/>
                <w:u w:val="none"/>
                <w:lang w:val="en-US" w:eastAsia="zh-CN" w:bidi="ar"/>
              </w:rPr>
              <w:t>覆盖</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888"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指标2：问题整改落实率</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rPr>
            </w:pPr>
            <w:r>
              <w:rPr>
                <w:rFonts w:hint="eastAsia" w:ascii="宋体" w:hAnsi="宋体" w:cs="宋体"/>
                <w:i w:val="0"/>
                <w:iCs w:val="0"/>
                <w:color w:val="000000" w:themeColor="text1"/>
                <w:kern w:val="0"/>
                <w:sz w:val="24"/>
                <w:szCs w:val="24"/>
                <w:highlight w:val="none"/>
                <w:u w:val="none"/>
                <w:lang w:val="en-US" w:eastAsia="zh-CN" w:bidi="ar"/>
              </w:rPr>
              <w:t>问题整改率</w:t>
            </w:r>
            <w:r>
              <w:rPr>
                <w:rFonts w:hint="eastAsia" w:ascii="宋体" w:hAnsi="宋体" w:eastAsia="宋体" w:cs="宋体"/>
                <w:i w:val="0"/>
                <w:iCs w:val="0"/>
                <w:color w:val="000000" w:themeColor="text1"/>
                <w:kern w:val="0"/>
                <w:sz w:val="24"/>
                <w:szCs w:val="24"/>
                <w:highlight w:val="none"/>
                <w:u w:val="none"/>
                <w:lang w:val="en-US" w:eastAsia="zh-CN" w:bidi="ar"/>
              </w:rPr>
              <w:t>100%</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rPr>
            </w:pPr>
            <w:r>
              <w:rPr>
                <w:rFonts w:hint="eastAsia" w:ascii="宋体" w:hAnsi="宋体" w:cs="宋体"/>
                <w:i w:val="0"/>
                <w:iCs w:val="0"/>
                <w:color w:val="000000" w:themeColor="text1"/>
                <w:kern w:val="0"/>
                <w:sz w:val="24"/>
                <w:szCs w:val="24"/>
                <w:highlight w:val="none"/>
                <w:u w:val="none"/>
                <w:lang w:val="en-US" w:eastAsia="zh-CN" w:bidi="ar"/>
              </w:rPr>
              <w:t>问题整改率</w:t>
            </w:r>
            <w:r>
              <w:rPr>
                <w:rFonts w:hint="eastAsia" w:ascii="宋体" w:hAnsi="宋体" w:eastAsia="宋体" w:cs="宋体"/>
                <w:i w:val="0"/>
                <w:iCs w:val="0"/>
                <w:color w:val="000000" w:themeColor="text1"/>
                <w:kern w:val="0"/>
                <w:sz w:val="24"/>
                <w:szCs w:val="24"/>
                <w:highlight w:val="none"/>
                <w:u w:val="none"/>
                <w:lang w:val="en-US" w:eastAsia="zh-CN" w:bidi="ar"/>
              </w:rPr>
              <w:t>100%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888"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指标3：生产安全</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rPr>
            </w:pPr>
            <w:r>
              <w:rPr>
                <w:rFonts w:hint="eastAsia" w:ascii="宋体" w:hAnsi="宋体" w:eastAsia="宋体" w:cs="宋体"/>
                <w:i w:val="0"/>
                <w:iCs w:val="0"/>
                <w:color w:val="000000" w:themeColor="text1"/>
                <w:kern w:val="0"/>
                <w:sz w:val="24"/>
                <w:szCs w:val="24"/>
                <w:highlight w:val="none"/>
                <w:u w:val="none"/>
                <w:lang w:val="en-US" w:eastAsia="zh-CN" w:bidi="ar"/>
              </w:rPr>
              <w:t>无重大安全事故</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无重大安全事故</w:t>
            </w:r>
          </w:p>
        </w:tc>
      </w:tr>
    </w:tbl>
    <w:p>
      <w:pPr>
        <w:pStyle w:val="3"/>
        <w:spacing w:line="576" w:lineRule="exact"/>
        <w:rPr>
          <w:rFonts w:hint="eastAsia" w:eastAsia="宋体"/>
          <w:lang w:val="en-US" w:eastAsia="zh-CN"/>
        </w:rPr>
      </w:pPr>
    </w:p>
    <w:p>
      <w:pPr>
        <w:pStyle w:val="3"/>
        <w:spacing w:line="576" w:lineRule="exact"/>
      </w:pPr>
    </w:p>
    <w:p>
      <w:pPr>
        <w:widowControl/>
        <w:spacing w:line="576" w:lineRule="exact"/>
        <w:jc w:val="center"/>
        <w:rPr>
          <w:rStyle w:val="27"/>
          <w:rFonts w:ascii="黑体" w:hAnsi="黑体" w:eastAsia="黑体"/>
          <w:b w:val="0"/>
        </w:rPr>
      </w:pPr>
      <w:r>
        <w:rPr>
          <w:rStyle w:val="27"/>
          <w:rFonts w:hint="eastAsia" w:ascii="黑体" w:hAnsi="黑体" w:eastAsia="黑体"/>
          <w:b w:val="0"/>
        </w:rPr>
        <w:t>第</w:t>
      </w:r>
      <w:r>
        <w:rPr>
          <w:rStyle w:val="27"/>
          <w:rFonts w:hint="eastAsia" w:ascii="黑体" w:hAnsi="黑体" w:eastAsia="黑体"/>
          <w:b w:val="0"/>
          <w:lang w:val="en-US" w:eastAsia="zh-CN"/>
        </w:rPr>
        <w:t>五</w:t>
      </w:r>
      <w:r>
        <w:rPr>
          <w:rStyle w:val="27"/>
          <w:rFonts w:hint="eastAsia" w:ascii="黑体" w:hAnsi="黑体" w:eastAsia="黑体"/>
          <w:b w:val="0"/>
        </w:rPr>
        <w:t>部分附表</w:t>
      </w:r>
      <w:bookmarkEnd w:id="55"/>
      <w:bookmarkEnd w:id="56"/>
      <w:bookmarkStart w:id="57" w:name="_Toc15396619"/>
    </w:p>
    <w:p>
      <w:pPr>
        <w:pStyle w:val="2"/>
        <w:spacing w:before="93" w:line="576" w:lineRule="exact"/>
      </w:pP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一、收</w:t>
      </w:r>
      <w:r>
        <w:rPr>
          <w:rStyle w:val="28"/>
          <w:rFonts w:hint="eastAsia" w:ascii="黑体" w:hAnsi="黑体" w:eastAsia="黑体" w:cs="黑体"/>
          <w:b w:val="0"/>
          <w:bCs w:val="0"/>
        </w:rPr>
        <w:t>入支出决算总表</w:t>
      </w:r>
      <w:bookmarkEnd w:id="57"/>
    </w:p>
    <w:p>
      <w:pPr>
        <w:spacing w:line="576" w:lineRule="exact"/>
        <w:ind w:firstLine="640" w:firstLineChars="200"/>
        <w:rPr>
          <w:rFonts w:ascii="黑体" w:hAnsi="黑体" w:eastAsia="黑体" w:cs="黑体"/>
          <w:sz w:val="32"/>
          <w:szCs w:val="32"/>
        </w:rPr>
      </w:pPr>
      <w:bookmarkStart w:id="58" w:name="_Toc15396620"/>
      <w:r>
        <w:rPr>
          <w:rFonts w:hint="eastAsia" w:ascii="黑体" w:hAnsi="黑体" w:eastAsia="黑体" w:cs="黑体"/>
          <w:sz w:val="32"/>
          <w:szCs w:val="32"/>
        </w:rPr>
        <w:t>二、收</w:t>
      </w:r>
      <w:r>
        <w:rPr>
          <w:rStyle w:val="28"/>
          <w:rFonts w:hint="eastAsia" w:ascii="黑体" w:hAnsi="黑体" w:eastAsia="黑体" w:cs="黑体"/>
          <w:b w:val="0"/>
          <w:bCs w:val="0"/>
        </w:rPr>
        <w:t>入决算表</w:t>
      </w:r>
      <w:bookmarkEnd w:id="58"/>
    </w:p>
    <w:p>
      <w:pPr>
        <w:spacing w:line="576" w:lineRule="atLeast"/>
        <w:ind w:firstLine="640" w:firstLineChars="200"/>
        <w:rPr>
          <w:rFonts w:ascii="黑体" w:hAnsi="黑体" w:eastAsia="黑体" w:cs="黑体"/>
          <w:sz w:val="32"/>
          <w:szCs w:val="32"/>
        </w:rPr>
      </w:pPr>
      <w:bookmarkStart w:id="59" w:name="_Toc15396621"/>
      <w:r>
        <w:rPr>
          <w:rStyle w:val="28"/>
          <w:rFonts w:hint="eastAsia" w:ascii="黑体" w:hAnsi="黑体" w:eastAsia="黑体" w:cs="黑体"/>
          <w:b w:val="0"/>
          <w:bCs w:val="0"/>
        </w:rPr>
        <w:t>三、</w:t>
      </w:r>
      <w:r>
        <w:rPr>
          <w:rFonts w:hint="eastAsia" w:ascii="黑体" w:hAnsi="黑体" w:eastAsia="黑体" w:cs="黑体"/>
          <w:sz w:val="32"/>
          <w:szCs w:val="32"/>
        </w:rPr>
        <w:t>支</w:t>
      </w:r>
      <w:r>
        <w:rPr>
          <w:rStyle w:val="28"/>
          <w:rFonts w:hint="eastAsia" w:ascii="黑体" w:hAnsi="黑体" w:eastAsia="黑体" w:cs="黑体"/>
          <w:b w:val="0"/>
          <w:bCs w:val="0"/>
        </w:rPr>
        <w:t>出决算表</w:t>
      </w:r>
      <w:bookmarkEnd w:id="59"/>
    </w:p>
    <w:p>
      <w:pPr>
        <w:spacing w:line="576" w:lineRule="atLeast"/>
        <w:ind w:firstLine="640" w:firstLineChars="200"/>
        <w:rPr>
          <w:rFonts w:ascii="黑体" w:hAnsi="黑体" w:eastAsia="黑体" w:cs="黑体"/>
          <w:sz w:val="32"/>
          <w:szCs w:val="32"/>
        </w:rPr>
      </w:pPr>
      <w:bookmarkStart w:id="60" w:name="_Toc15396622"/>
      <w:r>
        <w:rPr>
          <w:rStyle w:val="28"/>
          <w:rFonts w:hint="eastAsia" w:ascii="黑体" w:hAnsi="黑体" w:eastAsia="黑体" w:cs="黑体"/>
          <w:b w:val="0"/>
          <w:bCs w:val="0"/>
        </w:rPr>
        <w:t>四、</w:t>
      </w:r>
      <w:r>
        <w:rPr>
          <w:rFonts w:hint="eastAsia" w:ascii="黑体" w:hAnsi="黑体" w:eastAsia="黑体" w:cs="黑体"/>
          <w:sz w:val="32"/>
          <w:szCs w:val="32"/>
        </w:rPr>
        <w:t>财</w:t>
      </w:r>
      <w:r>
        <w:rPr>
          <w:rStyle w:val="28"/>
          <w:rFonts w:hint="eastAsia" w:ascii="黑体" w:hAnsi="黑体" w:eastAsia="黑体" w:cs="黑体"/>
          <w:b w:val="0"/>
          <w:bCs w:val="0"/>
        </w:rPr>
        <w:t>政拨款收入支出决算总表</w:t>
      </w:r>
      <w:bookmarkEnd w:id="60"/>
    </w:p>
    <w:p>
      <w:pPr>
        <w:spacing w:line="576" w:lineRule="exact"/>
        <w:ind w:firstLine="640" w:firstLineChars="200"/>
        <w:rPr>
          <w:rStyle w:val="28"/>
          <w:rFonts w:ascii="黑体" w:hAnsi="黑体" w:eastAsia="黑体" w:cs="黑体"/>
          <w:b w:val="0"/>
          <w:bCs w:val="0"/>
        </w:rPr>
      </w:pPr>
      <w:bookmarkStart w:id="61" w:name="_Toc15396623"/>
      <w:r>
        <w:rPr>
          <w:rStyle w:val="28"/>
          <w:rFonts w:hint="eastAsia" w:ascii="黑体" w:hAnsi="黑体" w:eastAsia="黑体" w:cs="黑体"/>
          <w:b w:val="0"/>
          <w:bCs w:val="0"/>
        </w:rPr>
        <w:t>五、</w:t>
      </w:r>
      <w:r>
        <w:rPr>
          <w:rFonts w:hint="eastAsia" w:ascii="黑体" w:hAnsi="黑体" w:eastAsia="黑体" w:cs="黑体"/>
          <w:sz w:val="32"/>
          <w:szCs w:val="32"/>
        </w:rPr>
        <w:t>财</w:t>
      </w:r>
      <w:r>
        <w:rPr>
          <w:rStyle w:val="28"/>
          <w:rFonts w:hint="eastAsia" w:ascii="黑体" w:hAnsi="黑体" w:eastAsia="黑体" w:cs="黑体"/>
          <w:b w:val="0"/>
          <w:bCs w:val="0"/>
        </w:rPr>
        <w:t>政拨款支出决算明细表</w:t>
      </w:r>
      <w:bookmarkEnd w:id="61"/>
      <w:bookmarkStart w:id="62" w:name="_Toc15396624"/>
    </w:p>
    <w:p>
      <w:pPr>
        <w:spacing w:line="576" w:lineRule="exact"/>
        <w:ind w:firstLine="640" w:firstLineChars="200"/>
        <w:rPr>
          <w:rFonts w:ascii="黑体" w:hAnsi="黑体" w:eastAsia="黑体" w:cs="黑体"/>
          <w:sz w:val="32"/>
          <w:szCs w:val="32"/>
        </w:rPr>
      </w:pPr>
      <w:r>
        <w:rPr>
          <w:rStyle w:val="28"/>
          <w:rFonts w:hint="eastAsia" w:ascii="黑体" w:hAnsi="黑体" w:eastAsia="黑体" w:cs="黑体"/>
          <w:b w:val="0"/>
          <w:bCs w:val="0"/>
        </w:rPr>
        <w:t>六、</w:t>
      </w:r>
      <w:r>
        <w:rPr>
          <w:rFonts w:hint="eastAsia" w:ascii="黑体" w:hAnsi="黑体" w:eastAsia="黑体" w:cs="黑体"/>
          <w:sz w:val="32"/>
          <w:szCs w:val="32"/>
        </w:rPr>
        <w:t>一</w:t>
      </w:r>
      <w:r>
        <w:rPr>
          <w:rStyle w:val="28"/>
          <w:rFonts w:hint="eastAsia" w:ascii="黑体" w:hAnsi="黑体" w:eastAsia="黑体" w:cs="黑体"/>
          <w:b w:val="0"/>
          <w:bCs w:val="0"/>
        </w:rPr>
        <w:t>般公共预算财政拨款支出决算表</w:t>
      </w:r>
      <w:bookmarkEnd w:id="62"/>
    </w:p>
    <w:p>
      <w:pPr>
        <w:spacing w:line="576" w:lineRule="exact"/>
        <w:ind w:firstLine="640" w:firstLineChars="200"/>
        <w:rPr>
          <w:rFonts w:ascii="黑体" w:hAnsi="黑体" w:eastAsia="黑体" w:cs="黑体"/>
          <w:sz w:val="32"/>
          <w:szCs w:val="32"/>
        </w:rPr>
      </w:pPr>
      <w:bookmarkStart w:id="63" w:name="_Toc15396625"/>
      <w:r>
        <w:rPr>
          <w:rStyle w:val="28"/>
          <w:rFonts w:hint="eastAsia" w:ascii="黑体" w:hAnsi="黑体" w:eastAsia="黑体" w:cs="黑体"/>
          <w:b w:val="0"/>
          <w:bCs w:val="0"/>
        </w:rPr>
        <w:t>七、</w:t>
      </w:r>
      <w:r>
        <w:rPr>
          <w:rFonts w:hint="eastAsia" w:ascii="黑体" w:hAnsi="黑体" w:eastAsia="黑体" w:cs="黑体"/>
          <w:sz w:val="32"/>
          <w:szCs w:val="32"/>
        </w:rPr>
        <w:t>一</w:t>
      </w:r>
      <w:r>
        <w:rPr>
          <w:rStyle w:val="28"/>
          <w:rFonts w:hint="eastAsia" w:ascii="黑体" w:hAnsi="黑体" w:eastAsia="黑体" w:cs="黑体"/>
          <w:b w:val="0"/>
          <w:bCs w:val="0"/>
        </w:rPr>
        <w:t>般公共预算财政拨款支出决算明细表</w:t>
      </w:r>
      <w:bookmarkEnd w:id="63"/>
    </w:p>
    <w:p>
      <w:pPr>
        <w:spacing w:line="576" w:lineRule="exact"/>
        <w:ind w:firstLine="640" w:firstLineChars="200"/>
        <w:rPr>
          <w:rFonts w:ascii="黑体" w:hAnsi="黑体" w:eastAsia="黑体" w:cs="黑体"/>
          <w:sz w:val="32"/>
          <w:szCs w:val="32"/>
        </w:rPr>
      </w:pPr>
      <w:bookmarkStart w:id="64" w:name="_Toc15396626"/>
      <w:r>
        <w:rPr>
          <w:rStyle w:val="28"/>
          <w:rFonts w:hint="eastAsia" w:ascii="黑体" w:hAnsi="黑体" w:eastAsia="黑体" w:cs="黑体"/>
          <w:b w:val="0"/>
          <w:bCs w:val="0"/>
        </w:rPr>
        <w:t>八、</w:t>
      </w:r>
      <w:r>
        <w:rPr>
          <w:rFonts w:hint="eastAsia" w:ascii="黑体" w:hAnsi="黑体" w:eastAsia="黑体" w:cs="黑体"/>
          <w:sz w:val="32"/>
          <w:szCs w:val="32"/>
        </w:rPr>
        <w:t>一</w:t>
      </w:r>
      <w:r>
        <w:rPr>
          <w:rStyle w:val="28"/>
          <w:rFonts w:hint="eastAsia" w:ascii="黑体" w:hAnsi="黑体" w:eastAsia="黑体" w:cs="黑体"/>
          <w:b w:val="0"/>
          <w:bCs w:val="0"/>
        </w:rPr>
        <w:t>般公共预算财政拨款基本支出决算表</w:t>
      </w:r>
      <w:bookmarkEnd w:id="64"/>
    </w:p>
    <w:p>
      <w:pPr>
        <w:spacing w:line="576" w:lineRule="exact"/>
        <w:ind w:firstLine="640" w:firstLineChars="200"/>
        <w:rPr>
          <w:rStyle w:val="28"/>
          <w:rFonts w:ascii="黑体" w:hAnsi="黑体" w:eastAsia="黑体" w:cs="黑体"/>
          <w:b w:val="0"/>
          <w:bCs w:val="0"/>
        </w:rPr>
      </w:pPr>
      <w:bookmarkStart w:id="65" w:name="_Toc15396627"/>
      <w:r>
        <w:rPr>
          <w:rStyle w:val="28"/>
          <w:rFonts w:hint="eastAsia" w:ascii="黑体" w:hAnsi="黑体" w:eastAsia="黑体" w:cs="黑体"/>
          <w:b w:val="0"/>
          <w:bCs w:val="0"/>
        </w:rPr>
        <w:t>九、一般公共预算财政拨款项目支出决算表</w:t>
      </w:r>
      <w:bookmarkEnd w:id="65"/>
    </w:p>
    <w:p>
      <w:pPr>
        <w:spacing w:line="576" w:lineRule="exact"/>
        <w:ind w:firstLine="640" w:firstLineChars="200"/>
        <w:rPr>
          <w:rStyle w:val="28"/>
          <w:rFonts w:ascii="黑体" w:hAnsi="黑体" w:eastAsia="黑体" w:cs="黑体"/>
          <w:b w:val="0"/>
          <w:bCs w:val="0"/>
        </w:rPr>
      </w:pPr>
      <w:bookmarkStart w:id="66" w:name="_Toc15396628"/>
      <w:r>
        <w:rPr>
          <w:rStyle w:val="28"/>
          <w:rFonts w:hint="eastAsia" w:ascii="黑体" w:hAnsi="黑体" w:eastAsia="黑体" w:cs="黑体"/>
          <w:b w:val="0"/>
          <w:bCs w:val="0"/>
        </w:rPr>
        <w:t>十、一般公共预算财政拨款“三公”经费支出决算表</w:t>
      </w:r>
      <w:bookmarkEnd w:id="66"/>
    </w:p>
    <w:p>
      <w:pPr>
        <w:spacing w:line="576" w:lineRule="exact"/>
        <w:ind w:firstLine="640" w:firstLineChars="200"/>
        <w:rPr>
          <w:rStyle w:val="28"/>
          <w:rFonts w:ascii="黑体" w:hAnsi="黑体" w:eastAsia="黑体" w:cs="黑体"/>
          <w:b w:val="0"/>
          <w:bCs w:val="0"/>
        </w:rPr>
      </w:pPr>
      <w:bookmarkStart w:id="67" w:name="_Toc15396629"/>
      <w:r>
        <w:rPr>
          <w:rStyle w:val="28"/>
          <w:rFonts w:hint="eastAsia" w:ascii="黑体" w:hAnsi="黑体" w:eastAsia="黑体" w:cs="黑体"/>
          <w:b w:val="0"/>
          <w:bCs w:val="0"/>
        </w:rPr>
        <w:t>十一、政府性基金预算财政拨款收入支出决算表</w:t>
      </w:r>
      <w:bookmarkEnd w:id="67"/>
    </w:p>
    <w:p>
      <w:pPr>
        <w:spacing w:line="576" w:lineRule="exact"/>
        <w:ind w:firstLine="640" w:firstLineChars="200"/>
        <w:rPr>
          <w:rStyle w:val="28"/>
          <w:rFonts w:ascii="黑体" w:hAnsi="黑体" w:eastAsia="黑体" w:cs="黑体"/>
          <w:b w:val="0"/>
          <w:bCs w:val="0"/>
          <w:spacing w:val="-20"/>
        </w:rPr>
      </w:pPr>
      <w:bookmarkStart w:id="68" w:name="_Toc15396630"/>
      <w:r>
        <w:rPr>
          <w:rStyle w:val="28"/>
          <w:rFonts w:hint="eastAsia" w:ascii="黑体" w:hAnsi="黑体" w:eastAsia="黑体" w:cs="黑体"/>
          <w:b w:val="0"/>
          <w:bCs w:val="0"/>
        </w:rPr>
        <w:t>十二、</w:t>
      </w:r>
      <w:r>
        <w:rPr>
          <w:rStyle w:val="28"/>
          <w:rFonts w:hint="eastAsia" w:ascii="黑体" w:hAnsi="黑体" w:eastAsia="黑体" w:cs="黑体"/>
          <w:b w:val="0"/>
          <w:bCs w:val="0"/>
          <w:spacing w:val="-20"/>
        </w:rPr>
        <w:t>政府性基金预算财政拨款“三公”经费支出决算表</w:t>
      </w:r>
      <w:bookmarkEnd w:id="68"/>
    </w:p>
    <w:p>
      <w:pPr>
        <w:spacing w:line="576" w:lineRule="exact"/>
        <w:ind w:firstLine="640" w:firstLineChars="200"/>
        <w:rPr>
          <w:rStyle w:val="28"/>
          <w:rFonts w:ascii="黑体" w:hAnsi="黑体" w:eastAsia="黑体" w:cs="黑体"/>
          <w:b w:val="0"/>
          <w:bCs w:val="0"/>
        </w:rPr>
      </w:pPr>
      <w:bookmarkStart w:id="69" w:name="_Toc15396631"/>
      <w:r>
        <w:rPr>
          <w:rStyle w:val="28"/>
          <w:rFonts w:hint="eastAsia" w:ascii="黑体" w:hAnsi="黑体" w:eastAsia="黑体" w:cs="黑体"/>
          <w:b w:val="0"/>
          <w:bCs w:val="0"/>
        </w:rPr>
        <w:t>十三、国有资本经营预算财政拨款收入支出决算表</w:t>
      </w:r>
      <w:bookmarkEnd w:id="69"/>
    </w:p>
    <w:p>
      <w:pPr>
        <w:spacing w:line="576" w:lineRule="exact"/>
        <w:ind w:firstLine="640" w:firstLineChars="200"/>
        <w:rPr>
          <w:rStyle w:val="28"/>
          <w:rFonts w:ascii="黑体" w:hAnsi="黑体" w:eastAsia="黑体" w:cs="黑体"/>
          <w:b w:val="0"/>
          <w:bCs w:val="0"/>
        </w:rPr>
      </w:pPr>
      <w:r>
        <w:rPr>
          <w:rStyle w:val="28"/>
          <w:rFonts w:hint="eastAsia" w:ascii="黑体" w:hAnsi="黑体" w:eastAsia="黑体" w:cs="黑体"/>
          <w:b w:val="0"/>
          <w:bCs w:val="0"/>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方正楷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56B85D"/>
    <w:multiLevelType w:val="singleLevel"/>
    <w:tmpl w:val="A956B85D"/>
    <w:lvl w:ilvl="0" w:tentative="0">
      <w:start w:val="2"/>
      <w:numFmt w:val="chineseCounting"/>
      <w:suff w:val="nothing"/>
      <w:lvlText w:val="（%1）"/>
      <w:lvlJc w:val="left"/>
      <w:pPr>
        <w:ind w:left="-110"/>
      </w:pPr>
      <w:rPr>
        <w:rFonts w:hint="eastAsia"/>
      </w:rPr>
    </w:lvl>
  </w:abstractNum>
  <w:abstractNum w:abstractNumId="1">
    <w:nsid w:val="B47A2996"/>
    <w:multiLevelType w:val="singleLevel"/>
    <w:tmpl w:val="B47A2996"/>
    <w:lvl w:ilvl="0" w:tentative="0">
      <w:start w:val="1"/>
      <w:numFmt w:val="chineseCounting"/>
      <w:suff w:val="space"/>
      <w:lvlText w:val="第%1部分"/>
      <w:lvlJc w:val="left"/>
      <w:rPr>
        <w:rFonts w:hint="eastAsia" w:ascii="方正小标宋简体" w:hAnsi="方正小标宋简体" w:eastAsia="方正小标宋简体" w:cs="方正小标宋简体"/>
        <w:sz w:val="44"/>
        <w:szCs w:val="44"/>
      </w:rPr>
    </w:lvl>
  </w:abstractNum>
  <w:abstractNum w:abstractNumId="2">
    <w:nsid w:val="CF652CEC"/>
    <w:multiLevelType w:val="singleLevel"/>
    <w:tmpl w:val="CF652CEC"/>
    <w:lvl w:ilvl="0" w:tentative="0">
      <w:start w:val="9"/>
      <w:numFmt w:val="chineseCounting"/>
      <w:suff w:val="nothing"/>
      <w:lvlText w:val="%1、"/>
      <w:lvlJc w:val="left"/>
      <w:pPr>
        <w:ind w:left="-640"/>
      </w:pPr>
      <w:rPr>
        <w:rFonts w:hint="eastAsia"/>
      </w:rPr>
    </w:lvl>
  </w:abstractNum>
  <w:abstractNum w:abstractNumId="3">
    <w:nsid w:val="F24ACA61"/>
    <w:multiLevelType w:val="singleLevel"/>
    <w:tmpl w:val="F24ACA61"/>
    <w:lvl w:ilvl="0" w:tentative="0">
      <w:start w:val="1"/>
      <w:numFmt w:val="decimal"/>
      <w:lvlText w:val="%1."/>
      <w:lvlJc w:val="left"/>
      <w:pPr>
        <w:tabs>
          <w:tab w:val="left" w:pos="312"/>
        </w:tabs>
        <w:ind w:left="-220"/>
      </w:p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301B675C"/>
    <w:multiLevelType w:val="singleLevel"/>
    <w:tmpl w:val="301B675C"/>
    <w:lvl w:ilvl="0" w:tentative="0">
      <w:start w:val="1"/>
      <w:numFmt w:val="decimal"/>
      <w:lvlText w:val="%1."/>
      <w:lvlJc w:val="left"/>
      <w:pPr>
        <w:tabs>
          <w:tab w:val="left" w:pos="312"/>
        </w:tabs>
      </w:p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QzMTU5NmIzMTdiYjAyM2ZjZDg3NzBhMmYyNDA5MD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74D35"/>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56C7"/>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C62FE"/>
    <w:rsid w:val="01192926"/>
    <w:rsid w:val="01255392"/>
    <w:rsid w:val="01D00512"/>
    <w:rsid w:val="01E2294C"/>
    <w:rsid w:val="0205420F"/>
    <w:rsid w:val="021574DB"/>
    <w:rsid w:val="02417937"/>
    <w:rsid w:val="024E06A7"/>
    <w:rsid w:val="026017C0"/>
    <w:rsid w:val="02AB5AF9"/>
    <w:rsid w:val="02B71F67"/>
    <w:rsid w:val="03E07A24"/>
    <w:rsid w:val="03EF0DA4"/>
    <w:rsid w:val="04397422"/>
    <w:rsid w:val="043A3509"/>
    <w:rsid w:val="045C6BBA"/>
    <w:rsid w:val="0570558C"/>
    <w:rsid w:val="057A571F"/>
    <w:rsid w:val="05CA5C40"/>
    <w:rsid w:val="066E0107"/>
    <w:rsid w:val="067E3242"/>
    <w:rsid w:val="06CF50D3"/>
    <w:rsid w:val="07353DDE"/>
    <w:rsid w:val="074145DD"/>
    <w:rsid w:val="07690D64"/>
    <w:rsid w:val="078266E9"/>
    <w:rsid w:val="07996F6E"/>
    <w:rsid w:val="07D60DBF"/>
    <w:rsid w:val="083843C6"/>
    <w:rsid w:val="083A316D"/>
    <w:rsid w:val="083E6008"/>
    <w:rsid w:val="085B5C58"/>
    <w:rsid w:val="08870D8A"/>
    <w:rsid w:val="08CD07B9"/>
    <w:rsid w:val="0A116B8A"/>
    <w:rsid w:val="0A2032A3"/>
    <w:rsid w:val="0A3A662E"/>
    <w:rsid w:val="0AD57593"/>
    <w:rsid w:val="0AEB5E2A"/>
    <w:rsid w:val="0AF21165"/>
    <w:rsid w:val="0BF8033E"/>
    <w:rsid w:val="0C950978"/>
    <w:rsid w:val="0CE10B87"/>
    <w:rsid w:val="0CFF6FD7"/>
    <w:rsid w:val="0D017CC7"/>
    <w:rsid w:val="0D591211"/>
    <w:rsid w:val="0DD00B0A"/>
    <w:rsid w:val="0DF86685"/>
    <w:rsid w:val="0E634CDA"/>
    <w:rsid w:val="0F362BEE"/>
    <w:rsid w:val="0F583A9D"/>
    <w:rsid w:val="101860EC"/>
    <w:rsid w:val="109878A5"/>
    <w:rsid w:val="10C055FF"/>
    <w:rsid w:val="1100110B"/>
    <w:rsid w:val="11247572"/>
    <w:rsid w:val="112C1239"/>
    <w:rsid w:val="11566AC8"/>
    <w:rsid w:val="118107EC"/>
    <w:rsid w:val="120C2F43"/>
    <w:rsid w:val="120D2B40"/>
    <w:rsid w:val="12557610"/>
    <w:rsid w:val="12C56763"/>
    <w:rsid w:val="12CF3D5F"/>
    <w:rsid w:val="13147372"/>
    <w:rsid w:val="13A22600"/>
    <w:rsid w:val="13A303FD"/>
    <w:rsid w:val="13D50BC4"/>
    <w:rsid w:val="140F7BE3"/>
    <w:rsid w:val="14A27202"/>
    <w:rsid w:val="14E46C49"/>
    <w:rsid w:val="14FB2C15"/>
    <w:rsid w:val="1517719C"/>
    <w:rsid w:val="155C542E"/>
    <w:rsid w:val="1686545A"/>
    <w:rsid w:val="16BB723D"/>
    <w:rsid w:val="170C1CB4"/>
    <w:rsid w:val="171E204A"/>
    <w:rsid w:val="17357223"/>
    <w:rsid w:val="175C666A"/>
    <w:rsid w:val="177F658E"/>
    <w:rsid w:val="17EA07CD"/>
    <w:rsid w:val="190774DE"/>
    <w:rsid w:val="190B50EC"/>
    <w:rsid w:val="192D01A1"/>
    <w:rsid w:val="192D7318"/>
    <w:rsid w:val="194D55A9"/>
    <w:rsid w:val="195A634B"/>
    <w:rsid w:val="197E6361"/>
    <w:rsid w:val="19E42B0F"/>
    <w:rsid w:val="1A472073"/>
    <w:rsid w:val="1A970737"/>
    <w:rsid w:val="1B777B18"/>
    <w:rsid w:val="1BCC7441"/>
    <w:rsid w:val="1BE8440E"/>
    <w:rsid w:val="1D155CEE"/>
    <w:rsid w:val="1D3C43D4"/>
    <w:rsid w:val="1DB42AC3"/>
    <w:rsid w:val="1DDE4D35"/>
    <w:rsid w:val="1E1706F2"/>
    <w:rsid w:val="1E4008E9"/>
    <w:rsid w:val="1E7600AF"/>
    <w:rsid w:val="1EF00226"/>
    <w:rsid w:val="1EF328AA"/>
    <w:rsid w:val="1F170F70"/>
    <w:rsid w:val="1F3225AD"/>
    <w:rsid w:val="1FE80C1C"/>
    <w:rsid w:val="202A75B5"/>
    <w:rsid w:val="20407429"/>
    <w:rsid w:val="20886E5B"/>
    <w:rsid w:val="20941067"/>
    <w:rsid w:val="215A23D6"/>
    <w:rsid w:val="21620979"/>
    <w:rsid w:val="21A722D1"/>
    <w:rsid w:val="21AB59B0"/>
    <w:rsid w:val="21C13011"/>
    <w:rsid w:val="21FC56E5"/>
    <w:rsid w:val="22B21331"/>
    <w:rsid w:val="22C64F8A"/>
    <w:rsid w:val="23860B96"/>
    <w:rsid w:val="23AB259A"/>
    <w:rsid w:val="23F511B0"/>
    <w:rsid w:val="240371BF"/>
    <w:rsid w:val="24121303"/>
    <w:rsid w:val="242B4E6A"/>
    <w:rsid w:val="24D252AE"/>
    <w:rsid w:val="24DC03F6"/>
    <w:rsid w:val="258660A0"/>
    <w:rsid w:val="25CB3BAE"/>
    <w:rsid w:val="25F94A58"/>
    <w:rsid w:val="26355050"/>
    <w:rsid w:val="26727FA6"/>
    <w:rsid w:val="267F0C45"/>
    <w:rsid w:val="26AF42B7"/>
    <w:rsid w:val="26B03A18"/>
    <w:rsid w:val="271E7F7C"/>
    <w:rsid w:val="2769103F"/>
    <w:rsid w:val="27E46470"/>
    <w:rsid w:val="27F4193C"/>
    <w:rsid w:val="28287660"/>
    <w:rsid w:val="28C46D5E"/>
    <w:rsid w:val="294F5B72"/>
    <w:rsid w:val="29784F78"/>
    <w:rsid w:val="297D7684"/>
    <w:rsid w:val="29914542"/>
    <w:rsid w:val="29E31034"/>
    <w:rsid w:val="29E72052"/>
    <w:rsid w:val="29EE0C29"/>
    <w:rsid w:val="29FD04D3"/>
    <w:rsid w:val="2A022DF9"/>
    <w:rsid w:val="2AA56946"/>
    <w:rsid w:val="2AB7134E"/>
    <w:rsid w:val="2ADC4947"/>
    <w:rsid w:val="2B1D3303"/>
    <w:rsid w:val="2B6F4D95"/>
    <w:rsid w:val="2B714350"/>
    <w:rsid w:val="2BCE7FDF"/>
    <w:rsid w:val="2BE45A54"/>
    <w:rsid w:val="2C297706"/>
    <w:rsid w:val="2C66290D"/>
    <w:rsid w:val="2C765440"/>
    <w:rsid w:val="2C8A61B5"/>
    <w:rsid w:val="2CAD67B0"/>
    <w:rsid w:val="2CE40EE6"/>
    <w:rsid w:val="2D36699D"/>
    <w:rsid w:val="2DF04E50"/>
    <w:rsid w:val="2DF124D2"/>
    <w:rsid w:val="2E0223DD"/>
    <w:rsid w:val="2E5B0A62"/>
    <w:rsid w:val="2E832C1B"/>
    <w:rsid w:val="2E8A6D89"/>
    <w:rsid w:val="2E9F5CE5"/>
    <w:rsid w:val="2EB034A2"/>
    <w:rsid w:val="2EB86CC3"/>
    <w:rsid w:val="2F6A254A"/>
    <w:rsid w:val="2F7B36D1"/>
    <w:rsid w:val="2FC173DB"/>
    <w:rsid w:val="2FD663AB"/>
    <w:rsid w:val="2FE970DD"/>
    <w:rsid w:val="30352AA7"/>
    <w:rsid w:val="305619E6"/>
    <w:rsid w:val="306D203E"/>
    <w:rsid w:val="30E16A06"/>
    <w:rsid w:val="31297687"/>
    <w:rsid w:val="314C5D92"/>
    <w:rsid w:val="31510E66"/>
    <w:rsid w:val="316F31FB"/>
    <w:rsid w:val="317B1BF7"/>
    <w:rsid w:val="319F7F4E"/>
    <w:rsid w:val="31F9125D"/>
    <w:rsid w:val="323549FE"/>
    <w:rsid w:val="325E3C14"/>
    <w:rsid w:val="32722728"/>
    <w:rsid w:val="32B674A4"/>
    <w:rsid w:val="32CA60D9"/>
    <w:rsid w:val="32FA3B5F"/>
    <w:rsid w:val="336D4586"/>
    <w:rsid w:val="33FB7298"/>
    <w:rsid w:val="34316A85"/>
    <w:rsid w:val="34412B8A"/>
    <w:rsid w:val="345B7EAA"/>
    <w:rsid w:val="358205D2"/>
    <w:rsid w:val="359F7AA1"/>
    <w:rsid w:val="35BA7253"/>
    <w:rsid w:val="35C33AF2"/>
    <w:rsid w:val="363475D8"/>
    <w:rsid w:val="36755B1F"/>
    <w:rsid w:val="36A862C5"/>
    <w:rsid w:val="36AA5135"/>
    <w:rsid w:val="36E55E6D"/>
    <w:rsid w:val="37075FB1"/>
    <w:rsid w:val="378508D2"/>
    <w:rsid w:val="37D91F55"/>
    <w:rsid w:val="37E16F03"/>
    <w:rsid w:val="37EE502E"/>
    <w:rsid w:val="38225942"/>
    <w:rsid w:val="383C4522"/>
    <w:rsid w:val="38C06F01"/>
    <w:rsid w:val="39371B65"/>
    <w:rsid w:val="39416D08"/>
    <w:rsid w:val="39416E08"/>
    <w:rsid w:val="39500C5F"/>
    <w:rsid w:val="399A707F"/>
    <w:rsid w:val="39B001F4"/>
    <w:rsid w:val="39B91B77"/>
    <w:rsid w:val="39D02B98"/>
    <w:rsid w:val="3A0B7CE9"/>
    <w:rsid w:val="3A5A6066"/>
    <w:rsid w:val="3B0F06B9"/>
    <w:rsid w:val="3B10327D"/>
    <w:rsid w:val="3B23141D"/>
    <w:rsid w:val="3B5924A3"/>
    <w:rsid w:val="3BAD6CAE"/>
    <w:rsid w:val="3BFB7CBF"/>
    <w:rsid w:val="3C096E11"/>
    <w:rsid w:val="3C66006D"/>
    <w:rsid w:val="3CAD21A3"/>
    <w:rsid w:val="3CC079C0"/>
    <w:rsid w:val="3CC5515A"/>
    <w:rsid w:val="3CD769EB"/>
    <w:rsid w:val="3D34657B"/>
    <w:rsid w:val="3D98207C"/>
    <w:rsid w:val="3DF37CF3"/>
    <w:rsid w:val="3E587BDC"/>
    <w:rsid w:val="3E6807DD"/>
    <w:rsid w:val="3E891976"/>
    <w:rsid w:val="3EA96396"/>
    <w:rsid w:val="3ECA6436"/>
    <w:rsid w:val="3F0C0CFE"/>
    <w:rsid w:val="3F696545"/>
    <w:rsid w:val="40A3703C"/>
    <w:rsid w:val="41005A17"/>
    <w:rsid w:val="415758EA"/>
    <w:rsid w:val="42071BC1"/>
    <w:rsid w:val="42A17BA0"/>
    <w:rsid w:val="42DA32B5"/>
    <w:rsid w:val="435E1BAB"/>
    <w:rsid w:val="438020AF"/>
    <w:rsid w:val="43906309"/>
    <w:rsid w:val="43BF1A33"/>
    <w:rsid w:val="43D54207"/>
    <w:rsid w:val="43DF5653"/>
    <w:rsid w:val="44533B52"/>
    <w:rsid w:val="44625310"/>
    <w:rsid w:val="447F5DD9"/>
    <w:rsid w:val="449175A0"/>
    <w:rsid w:val="44B10979"/>
    <w:rsid w:val="44B313D5"/>
    <w:rsid w:val="44B96A48"/>
    <w:rsid w:val="44E268DA"/>
    <w:rsid w:val="44E96D40"/>
    <w:rsid w:val="451D3288"/>
    <w:rsid w:val="45482758"/>
    <w:rsid w:val="455B5A6C"/>
    <w:rsid w:val="457C2FEA"/>
    <w:rsid w:val="45B93139"/>
    <w:rsid w:val="45C14311"/>
    <w:rsid w:val="45E26A62"/>
    <w:rsid w:val="45EA4266"/>
    <w:rsid w:val="46B14E89"/>
    <w:rsid w:val="46CE30E3"/>
    <w:rsid w:val="475A38EF"/>
    <w:rsid w:val="475C24EB"/>
    <w:rsid w:val="48912668"/>
    <w:rsid w:val="49804BB7"/>
    <w:rsid w:val="49987A1D"/>
    <w:rsid w:val="49C83E68"/>
    <w:rsid w:val="49EE6BC1"/>
    <w:rsid w:val="4A090D61"/>
    <w:rsid w:val="4A493C6D"/>
    <w:rsid w:val="4A55651B"/>
    <w:rsid w:val="4A627F82"/>
    <w:rsid w:val="4ACD7E87"/>
    <w:rsid w:val="4AED6BB2"/>
    <w:rsid w:val="4B4F25DA"/>
    <w:rsid w:val="4B5F12F0"/>
    <w:rsid w:val="4B865B7B"/>
    <w:rsid w:val="4BE068DB"/>
    <w:rsid w:val="4C177197"/>
    <w:rsid w:val="4D127DD4"/>
    <w:rsid w:val="4D2E761D"/>
    <w:rsid w:val="4D491D51"/>
    <w:rsid w:val="4D577224"/>
    <w:rsid w:val="4D593BAF"/>
    <w:rsid w:val="4D655B01"/>
    <w:rsid w:val="4DA236C6"/>
    <w:rsid w:val="4DB80796"/>
    <w:rsid w:val="4DF22F0D"/>
    <w:rsid w:val="4E830CA5"/>
    <w:rsid w:val="4E8A341E"/>
    <w:rsid w:val="4E936CC3"/>
    <w:rsid w:val="4EAB630A"/>
    <w:rsid w:val="4ECE2238"/>
    <w:rsid w:val="4EF50329"/>
    <w:rsid w:val="4F052F49"/>
    <w:rsid w:val="4F976C0B"/>
    <w:rsid w:val="4FC17592"/>
    <w:rsid w:val="4FF30B37"/>
    <w:rsid w:val="507129EE"/>
    <w:rsid w:val="50B43E19"/>
    <w:rsid w:val="51482FC2"/>
    <w:rsid w:val="51C96547"/>
    <w:rsid w:val="52515F5F"/>
    <w:rsid w:val="526C7952"/>
    <w:rsid w:val="528F37A9"/>
    <w:rsid w:val="52DC4C82"/>
    <w:rsid w:val="52E74C6B"/>
    <w:rsid w:val="53AD493B"/>
    <w:rsid w:val="53C42DF5"/>
    <w:rsid w:val="53C4517A"/>
    <w:rsid w:val="541F6948"/>
    <w:rsid w:val="54245470"/>
    <w:rsid w:val="54340214"/>
    <w:rsid w:val="54424EA8"/>
    <w:rsid w:val="545A24A8"/>
    <w:rsid w:val="545D5732"/>
    <w:rsid w:val="54700059"/>
    <w:rsid w:val="5537017E"/>
    <w:rsid w:val="55BC2EA8"/>
    <w:rsid w:val="56091FB9"/>
    <w:rsid w:val="5617611C"/>
    <w:rsid w:val="567304B2"/>
    <w:rsid w:val="5701035C"/>
    <w:rsid w:val="57014E5D"/>
    <w:rsid w:val="57072D8F"/>
    <w:rsid w:val="57641F8B"/>
    <w:rsid w:val="585D60C3"/>
    <w:rsid w:val="58655A7F"/>
    <w:rsid w:val="58795E3F"/>
    <w:rsid w:val="58A543E5"/>
    <w:rsid w:val="58C43ACB"/>
    <w:rsid w:val="59457D7D"/>
    <w:rsid w:val="59AA4345"/>
    <w:rsid w:val="5AC62618"/>
    <w:rsid w:val="5AF92295"/>
    <w:rsid w:val="5B3D4CC4"/>
    <w:rsid w:val="5B435A44"/>
    <w:rsid w:val="5B9423F3"/>
    <w:rsid w:val="5BBC74D9"/>
    <w:rsid w:val="5BDB360F"/>
    <w:rsid w:val="5C5767DD"/>
    <w:rsid w:val="5CA0283D"/>
    <w:rsid w:val="5CD71FC4"/>
    <w:rsid w:val="5D1B0D83"/>
    <w:rsid w:val="5D5C1735"/>
    <w:rsid w:val="5D7C4ADC"/>
    <w:rsid w:val="5E026DBE"/>
    <w:rsid w:val="5E286A9B"/>
    <w:rsid w:val="5EA42C9D"/>
    <w:rsid w:val="5F2345A8"/>
    <w:rsid w:val="5FD638C8"/>
    <w:rsid w:val="603A201A"/>
    <w:rsid w:val="60746C09"/>
    <w:rsid w:val="60837687"/>
    <w:rsid w:val="60D42634"/>
    <w:rsid w:val="614F7FD9"/>
    <w:rsid w:val="61550EA9"/>
    <w:rsid w:val="61AD2EE0"/>
    <w:rsid w:val="624A3B84"/>
    <w:rsid w:val="625574BA"/>
    <w:rsid w:val="62600C89"/>
    <w:rsid w:val="62937364"/>
    <w:rsid w:val="62B02F01"/>
    <w:rsid w:val="62ED5038"/>
    <w:rsid w:val="62F34A5A"/>
    <w:rsid w:val="631E5FBA"/>
    <w:rsid w:val="63A90E47"/>
    <w:rsid w:val="63D85804"/>
    <w:rsid w:val="63EC401A"/>
    <w:rsid w:val="64025452"/>
    <w:rsid w:val="6420738E"/>
    <w:rsid w:val="64351374"/>
    <w:rsid w:val="644D72E0"/>
    <w:rsid w:val="64813139"/>
    <w:rsid w:val="653F581F"/>
    <w:rsid w:val="655E5F7B"/>
    <w:rsid w:val="65902E43"/>
    <w:rsid w:val="65BF157C"/>
    <w:rsid w:val="66376316"/>
    <w:rsid w:val="66E9031E"/>
    <w:rsid w:val="672D5A67"/>
    <w:rsid w:val="67483212"/>
    <w:rsid w:val="67615FF4"/>
    <w:rsid w:val="681327CD"/>
    <w:rsid w:val="6887341D"/>
    <w:rsid w:val="68A66FBF"/>
    <w:rsid w:val="68AC4BEE"/>
    <w:rsid w:val="68FC2370"/>
    <w:rsid w:val="693D0C00"/>
    <w:rsid w:val="69673828"/>
    <w:rsid w:val="69835B23"/>
    <w:rsid w:val="69D9190D"/>
    <w:rsid w:val="69E7279E"/>
    <w:rsid w:val="6A1508FA"/>
    <w:rsid w:val="6A482602"/>
    <w:rsid w:val="6A7D697F"/>
    <w:rsid w:val="6A8207F2"/>
    <w:rsid w:val="6A9E4112"/>
    <w:rsid w:val="6AE82251"/>
    <w:rsid w:val="6B665D93"/>
    <w:rsid w:val="6B666A81"/>
    <w:rsid w:val="6B821F0D"/>
    <w:rsid w:val="6BB52AF5"/>
    <w:rsid w:val="6BE92C9B"/>
    <w:rsid w:val="6C1B2B4C"/>
    <w:rsid w:val="6C4A05C8"/>
    <w:rsid w:val="6CCD1611"/>
    <w:rsid w:val="6CD97FB6"/>
    <w:rsid w:val="6CE17C1E"/>
    <w:rsid w:val="6CEF3CD9"/>
    <w:rsid w:val="6CFA1CDB"/>
    <w:rsid w:val="6D2070F3"/>
    <w:rsid w:val="6D4B142B"/>
    <w:rsid w:val="6D571920"/>
    <w:rsid w:val="6D5B4F8B"/>
    <w:rsid w:val="6D9F4924"/>
    <w:rsid w:val="6E133DB5"/>
    <w:rsid w:val="6E2A23AC"/>
    <w:rsid w:val="6E7E3605"/>
    <w:rsid w:val="6FF5CC65"/>
    <w:rsid w:val="700B4048"/>
    <w:rsid w:val="70306F1E"/>
    <w:rsid w:val="715C0E4B"/>
    <w:rsid w:val="719649BF"/>
    <w:rsid w:val="71CA17F9"/>
    <w:rsid w:val="71F268BA"/>
    <w:rsid w:val="723458CB"/>
    <w:rsid w:val="72734D90"/>
    <w:rsid w:val="72CC236B"/>
    <w:rsid w:val="7348445F"/>
    <w:rsid w:val="737E6A02"/>
    <w:rsid w:val="739248FD"/>
    <w:rsid w:val="73AD73D5"/>
    <w:rsid w:val="73B6EB34"/>
    <w:rsid w:val="73B74D96"/>
    <w:rsid w:val="73C62984"/>
    <w:rsid w:val="73E37B04"/>
    <w:rsid w:val="741D1C2C"/>
    <w:rsid w:val="747616AC"/>
    <w:rsid w:val="75341FEF"/>
    <w:rsid w:val="754F7968"/>
    <w:rsid w:val="75622B13"/>
    <w:rsid w:val="75BD7F3E"/>
    <w:rsid w:val="75BF36BE"/>
    <w:rsid w:val="76392656"/>
    <w:rsid w:val="76970762"/>
    <w:rsid w:val="76B94AFE"/>
    <w:rsid w:val="773A6123"/>
    <w:rsid w:val="776536BB"/>
    <w:rsid w:val="77E460C6"/>
    <w:rsid w:val="782F78B2"/>
    <w:rsid w:val="793E3EE5"/>
    <w:rsid w:val="79411D66"/>
    <w:rsid w:val="79B40181"/>
    <w:rsid w:val="79EE4F6B"/>
    <w:rsid w:val="79EE5BA4"/>
    <w:rsid w:val="7A0273A6"/>
    <w:rsid w:val="7A626B42"/>
    <w:rsid w:val="7A894339"/>
    <w:rsid w:val="7A936D2A"/>
    <w:rsid w:val="7AD978E0"/>
    <w:rsid w:val="7AF26386"/>
    <w:rsid w:val="7C6E495D"/>
    <w:rsid w:val="7C893017"/>
    <w:rsid w:val="7C8B7FBE"/>
    <w:rsid w:val="7CD86AB1"/>
    <w:rsid w:val="7CDF6C8D"/>
    <w:rsid w:val="7D485F18"/>
    <w:rsid w:val="7D891584"/>
    <w:rsid w:val="7D9C12B8"/>
    <w:rsid w:val="7E1532BF"/>
    <w:rsid w:val="7E2050D1"/>
    <w:rsid w:val="7ED446CD"/>
    <w:rsid w:val="7EEF11D3"/>
    <w:rsid w:val="7F067B28"/>
    <w:rsid w:val="7F5F40FF"/>
    <w:rsid w:val="7F8B74D9"/>
    <w:rsid w:val="7F943A36"/>
    <w:rsid w:val="7FA30C79"/>
    <w:rsid w:val="7FC96657"/>
    <w:rsid w:val="D8D6DB89"/>
    <w:rsid w:val="DB6F4CAB"/>
    <w:rsid w:val="DF6F9789"/>
    <w:rsid w:val="E4FF33F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4"/>
    <w:qFormat/>
    <w:uiPriority w:val="99"/>
    <w:pPr>
      <w:spacing w:beforeLines="30"/>
    </w:pPr>
    <w:rPr>
      <w:rFonts w:ascii="仿宋_GB2312" w:eastAsia="仿宋_GB2312"/>
      <w:kern w:val="0"/>
      <w:sz w:val="30"/>
    </w:rPr>
  </w:style>
  <w:style w:type="paragraph" w:styleId="3">
    <w:name w:val="Plain Text"/>
    <w:basedOn w:val="1"/>
    <w:qFormat/>
    <w:uiPriority w:val="99"/>
    <w:rPr>
      <w:rFonts w:ascii="宋体" w:hAnsi="Courier New" w:cs="宋体"/>
    </w:rPr>
  </w:style>
  <w:style w:type="paragraph" w:styleId="7">
    <w:name w:val="Body Text Indent"/>
    <w:basedOn w:val="1"/>
    <w:next w:val="1"/>
    <w:qFormat/>
    <w:uiPriority w:val="99"/>
    <w:pPr>
      <w:ind w:left="420" w:left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semiHidden/>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7"/>
    <w:next w:val="1"/>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Char"/>
    <w:link w:val="11"/>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Char"/>
    <w:link w:val="10"/>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Char"/>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6"/>
    <w:link w:val="4"/>
    <w:qFormat/>
    <w:uiPriority w:val="9"/>
    <w:rPr>
      <w:rFonts w:ascii="Times New Roman" w:hAnsi="Times New Roman"/>
      <w:b/>
      <w:bCs/>
      <w:kern w:val="44"/>
      <w:sz w:val="44"/>
      <w:szCs w:val="44"/>
    </w:rPr>
  </w:style>
  <w:style w:type="character" w:customStyle="1" w:styleId="28">
    <w:name w:val="标题 2 Char"/>
    <w:basedOn w:val="16"/>
    <w:link w:val="5"/>
    <w:qFormat/>
    <w:uiPriority w:val="9"/>
    <w:rPr>
      <w:rFonts w:asciiTheme="majorHAnsi" w:hAnsiTheme="majorHAnsi" w:eastAsiaTheme="majorEastAsia" w:cstheme="majorBidi"/>
      <w:b/>
      <w:bCs/>
      <w:kern w:val="2"/>
      <w:sz w:val="32"/>
      <w:szCs w:val="32"/>
    </w:rPr>
  </w:style>
  <w:style w:type="paragraph" w:customStyle="1" w:styleId="29">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批注框文本 Char"/>
    <w:basedOn w:val="16"/>
    <w:link w:val="9"/>
    <w:semiHidden/>
    <w:qFormat/>
    <w:uiPriority w:val="99"/>
    <w:rPr>
      <w:rFonts w:ascii="Times New Roman" w:hAnsi="Times New Roman"/>
      <w:kern w:val="2"/>
      <w:sz w:val="18"/>
      <w:szCs w:val="18"/>
    </w:rPr>
  </w:style>
  <w:style w:type="character" w:customStyle="1" w:styleId="31">
    <w:name w:val="标题 3 Char"/>
    <w:basedOn w:val="16"/>
    <w:link w:val="6"/>
    <w:qFormat/>
    <w:uiPriority w:val="9"/>
    <w:rPr>
      <w:rFonts w:ascii="Times New Roman" w:hAnsi="Times New Roman"/>
      <w:b/>
      <w:bCs/>
      <w:kern w:val="2"/>
      <w:sz w:val="32"/>
      <w:szCs w:val="32"/>
    </w:rPr>
  </w:style>
  <w:style w:type="paragraph" w:customStyle="1" w:styleId="32">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收支决算总计（万元）</a:t>
            </a:r>
          </a:p>
        </c:rich>
      </c:tx>
      <c:layout>
        <c:manualLayout>
          <c:xMode val="edge"/>
          <c:yMode val="edge"/>
          <c:x val="0.249293141295696"/>
          <c:y val="0.00637890708058686"/>
        </c:manualLayout>
      </c:layout>
      <c:overlay val="false"/>
      <c:spPr>
        <a:noFill/>
        <a:ln>
          <a:noFill/>
        </a:ln>
        <a:effectLst/>
      </c:spPr>
    </c:title>
    <c:autoTitleDeleted val="false"/>
    <c:plotArea>
      <c:layout>
        <c:manualLayout>
          <c:layoutTarget val="inner"/>
          <c:xMode val="edge"/>
          <c:yMode val="edge"/>
          <c:x val="0.0771019959138771"/>
          <c:y val="0.0632101999505097"/>
          <c:w val="0.883601795616583"/>
          <c:h val="0.722125474436258"/>
        </c:manualLayout>
      </c:layout>
      <c:barChart>
        <c:barDir val="col"/>
        <c:grouping val="clustered"/>
        <c:varyColors val="false"/>
        <c:ser>
          <c:idx val="0"/>
          <c:order val="0"/>
          <c:tx>
            <c:strRef>
              <c:f>Sheet1!$B$1</c:f>
              <c:strCache>
                <c:ptCount val="1"/>
                <c:pt idx="0">
                  <c:v>年度收支决算总计</c:v>
                </c:pt>
              </c:strCache>
            </c:strRef>
          </c:tx>
          <c:spPr>
            <a:solidFill>
              <a:schemeClr val="accent1"/>
            </a:solidFill>
            <a:ln>
              <a:noFill/>
            </a:ln>
            <a:effectLst/>
          </c:spPr>
          <c:invertIfNegative val="false"/>
          <c:dLbls>
            <c:dLbl>
              <c:idx val="0"/>
              <c:layout>
                <c:manualLayout>
                  <c:x val="0"/>
                  <c:y val="0.00275946294965282"/>
                </c:manualLayout>
              </c:layout>
              <c:tx>
                <c:rich>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rPr lang="en-US" altLang="zh-CN"/>
                      <a:t>856.39</a:t>
                    </a:r>
                    <a:endParaRPr lang="en-US" altLang="zh-CN"/>
                  </a:p>
                </c:rich>
              </c:tx>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
                  <c:y val="0.0165814113619"/>
                </c:manualLayout>
              </c:layout>
              <c:tx>
                <c:rich>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rPr lang="en-US" altLang="zh-CN"/>
                      <a:t>913.05</a:t>
                    </a:r>
                    <a:endParaRPr lang="en-US" altLang="zh-CN"/>
                  </a:p>
                </c:rich>
              </c:tx>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spPr>
                    <a:ln w="9525" cap="flat" cmpd="sng" algn="ctr">
                      <a:solidFill>
                        <a:schemeClr val="tx1">
                          <a:lumMod val="35000"/>
                          <a:lumOff val="65000"/>
                        </a:schemeClr>
                      </a:solidFill>
                      <a:round/>
                    </a:ln>
                    <a:effectLst/>
                  </c:spPr>
                </c15:leaderLines>
              </c:ext>
            </c:extLst>
          </c:dLbls>
          <c:cat>
            <c:strRef>
              <c:f>Sheet1!$A$2:$A$3</c:f>
              <c:strCache>
                <c:ptCount val="2"/>
                <c:pt idx="0">
                  <c:v>2020年收支决算总计</c:v>
                </c:pt>
                <c:pt idx="1">
                  <c:v>2021年收支决算总计</c:v>
                </c:pt>
              </c:strCache>
            </c:strRef>
          </c:cat>
          <c:val>
            <c:numRef>
              <c:f>Sheet1!$B$2:$B$3</c:f>
              <c:numCache>
                <c:formatCode>General</c:formatCode>
                <c:ptCount val="2"/>
                <c:pt idx="0">
                  <c:v>854.39</c:v>
                </c:pt>
                <c:pt idx="1">
                  <c:v>913.05</c:v>
                </c:pt>
              </c:numCache>
            </c:numRef>
          </c:val>
        </c:ser>
        <c:dLbls>
          <c:showLegendKey val="false"/>
          <c:showVal val="false"/>
          <c:showCatName val="false"/>
          <c:showSerName val="false"/>
          <c:showPercent val="false"/>
          <c:showBubbleSize val="false"/>
        </c:dLbls>
        <c:gapWidth val="219"/>
        <c:overlap val="-27"/>
        <c:axId val="106340736"/>
        <c:axId val="106342272"/>
      </c:barChart>
      <c:catAx>
        <c:axId val="106340736"/>
        <c:scaling>
          <c:orientation val="minMax"/>
        </c:scaling>
        <c:delete val="false"/>
        <c:axPos val="b"/>
        <c:majorTickMark val="none"/>
        <c:minorTickMark val="none"/>
        <c:tickLblPos val="nextTo"/>
        <c:spPr>
          <a:noFill/>
          <a:ln w="9525" cap="flat" cmpd="sng" algn="ctr">
            <a:solidFill>
              <a:schemeClr val="bg1">
                <a:lumMod val="6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06342272"/>
        <c:crosses val="autoZero"/>
        <c:auto val="true"/>
        <c:lblAlgn val="ctr"/>
        <c:lblOffset val="100"/>
        <c:noMultiLvlLbl val="false"/>
      </c:catAx>
      <c:valAx>
        <c:axId val="106342272"/>
        <c:scaling>
          <c:orientation val="minMax"/>
        </c:scaling>
        <c:delete val="false"/>
        <c:axPos val="l"/>
        <c:majorGridlines>
          <c:spPr>
            <a:ln w="9525" cap="flat" cmpd="sng" algn="ctr">
              <a:solidFill>
                <a:schemeClr val="bg1">
                  <a:lumMod val="6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06340736"/>
        <c:crosses val="autoZero"/>
        <c:crossBetween val="between"/>
      </c:valAx>
      <c:spPr>
        <a:noFill/>
        <a:ln>
          <a:noFill/>
        </a:ln>
        <a:effectLst/>
      </c:spPr>
    </c:plotArea>
    <c:legend>
      <c:legendPos val="b"/>
      <c:layout>
        <c:manualLayout>
          <c:xMode val="edge"/>
          <c:yMode val="edge"/>
          <c:x val="0.397426095820591"/>
          <c:y val="0.922402736212056"/>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bg1">
          <a:lumMod val="6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20</a:t>
            </a:r>
            <a:r>
              <a:rPr lang="en-US" altLang="zh-CN"/>
              <a:t>21</a:t>
            </a:r>
            <a:r>
              <a:t>年本年收入（万元）</a:t>
            </a:r>
          </a:p>
        </c:rich>
      </c:tx>
      <c:layout>
        <c:manualLayout>
          <c:xMode val="edge"/>
          <c:yMode val="edge"/>
          <c:x val="0.230731937732045"/>
          <c:y val="0.00777604976671851"/>
        </c:manualLayout>
      </c:layout>
      <c:overlay val="false"/>
      <c:spPr>
        <a:noFill/>
        <a:ln>
          <a:noFill/>
        </a:ln>
        <a:effectLst/>
      </c:spPr>
    </c:title>
    <c:autoTitleDeleted val="false"/>
    <c:plotArea>
      <c:layout>
        <c:manualLayout>
          <c:layoutTarget val="inner"/>
          <c:xMode val="edge"/>
          <c:yMode val="edge"/>
          <c:x val="0.278153418951753"/>
          <c:y val="0.107107692307692"/>
          <c:w val="0.376008330440819"/>
          <c:h val="0.555528205128205"/>
        </c:manualLayout>
      </c:layout>
      <c:pieChart>
        <c:varyColors val="true"/>
        <c:ser>
          <c:idx val="0"/>
          <c:order val="0"/>
          <c:tx>
            <c:strRef>
              <c:f>Sheet1!$B$1</c:f>
              <c:strCache>
                <c:ptCount val="1"/>
                <c:pt idx="0">
                  <c:v>2021年本年收入（万元）</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Lbl>
              <c:idx val="1"/>
              <c:layout>
                <c:manualLayout>
                  <c:x val="0.153340635268346"/>
                  <c:y val="-0.14428031604259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908.05</c:v>
                </c:pt>
                <c:pt idx="1" c:formatCode="#,##0.00">
                  <c:v>0</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manualLayout>
          <c:xMode val="edge"/>
          <c:yMode val="edge"/>
          <c:x val="0.317642298354465"/>
          <c:y val="0.905909797822706"/>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20</a:t>
            </a:r>
            <a:r>
              <a:rPr lang="en-US" altLang="zh-CN"/>
              <a:t>21</a:t>
            </a:r>
            <a:r>
              <a:t>年本年支出（万元）</a:t>
            </a:r>
          </a:p>
        </c:rich>
      </c:tx>
      <c:layout/>
      <c:overlay val="false"/>
      <c:spPr>
        <a:noFill/>
        <a:ln>
          <a:noFill/>
        </a:ln>
        <a:effectLst/>
      </c:spPr>
    </c:title>
    <c:autoTitleDeleted val="false"/>
    <c:plotArea>
      <c:layout/>
      <c:pieChart>
        <c:varyColors val="true"/>
        <c:ser>
          <c:idx val="0"/>
          <c:order val="0"/>
          <c:tx>
            <c:strRef>
              <c:f>Sheet1!$B$1</c:f>
              <c:strCache>
                <c:ptCount val="1"/>
                <c:pt idx="0">
                  <c:v>2021年本年支出（万元）</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682.88</c:v>
                </c:pt>
                <c:pt idx="1">
                  <c:v>230.17</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财政拨款收支决算总计（万元）</a:t>
            </a:r>
          </a:p>
        </c:rich>
      </c:tx>
      <c:layout/>
      <c:overlay val="false"/>
      <c:spPr>
        <a:noFill/>
        <a:ln>
          <a:noFill/>
        </a:ln>
        <a:effectLst/>
      </c:spPr>
    </c:title>
    <c:autoTitleDeleted val="false"/>
    <c:plotArea>
      <c:layout>
        <c:manualLayout>
          <c:layoutTarget val="inner"/>
          <c:xMode val="edge"/>
          <c:yMode val="edge"/>
          <c:x val="0.0618695537364669"/>
          <c:y val="0.191091292699263"/>
          <c:w val="0.927925"/>
          <c:h val="0.716566666666667"/>
        </c:manualLayout>
      </c:layout>
      <c:barChart>
        <c:barDir val="col"/>
        <c:grouping val="clustered"/>
        <c:varyColors val="false"/>
        <c:ser>
          <c:idx val="0"/>
          <c:order val="0"/>
          <c:tx>
            <c:strRef>
              <c:f>Sheet1!$B$1</c:f>
              <c:strCache>
                <c:ptCount val="1"/>
                <c:pt idx="0">
                  <c:v>年度收支决算总计</c:v>
                </c:pt>
              </c:strCache>
            </c:strRef>
          </c:tx>
          <c:spPr>
            <a:solidFill>
              <a:schemeClr val="accent1"/>
            </a:solidFill>
            <a:ln>
              <a:noFill/>
            </a:ln>
            <a:effectLst/>
          </c:spPr>
          <c:invertIfNegative val="false"/>
          <c:dLbls>
            <c:dLbl>
              <c:idx val="0"/>
              <c:layout>
                <c:manualLayout>
                  <c:x val="-0.00356482703987325"/>
                  <c:y val="0.0156284885018977"/>
                </c:manualLayout>
              </c:layout>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
                  <c:y val="-0.0187541862022773"/>
                </c:manualLayout>
              </c:layout>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spPr>
                    <a:ln w="9525" cap="flat" cmpd="sng" algn="ctr">
                      <a:solidFill>
                        <a:schemeClr val="tx1">
                          <a:lumMod val="35000"/>
                          <a:lumOff val="65000"/>
                        </a:schemeClr>
                      </a:solidFill>
                      <a:round/>
                    </a:ln>
                    <a:effectLst/>
                  </c:spPr>
                </c15:leaderLines>
              </c:ext>
            </c:extLst>
          </c:dLbls>
          <c:cat>
            <c:strRef>
              <c:f>Sheet1!$A$2:$A$3</c:f>
              <c:strCache>
                <c:ptCount val="2"/>
                <c:pt idx="0">
                  <c:v>2020年收支决算总计</c:v>
                </c:pt>
                <c:pt idx="1">
                  <c:v>2021年收支决算总计</c:v>
                </c:pt>
              </c:strCache>
            </c:strRef>
          </c:cat>
          <c:val>
            <c:numRef>
              <c:f>Sheet1!$B$2:$B$3</c:f>
              <c:numCache>
                <c:formatCode>General</c:formatCode>
                <c:ptCount val="2"/>
                <c:pt idx="0">
                  <c:v>856.39</c:v>
                </c:pt>
                <c:pt idx="1">
                  <c:v>913.05</c:v>
                </c:pt>
              </c:numCache>
            </c:numRef>
          </c:val>
        </c:ser>
        <c:dLbls>
          <c:showLegendKey val="false"/>
          <c:showVal val="false"/>
          <c:showCatName val="false"/>
          <c:showSerName val="false"/>
          <c:showPercent val="false"/>
          <c:showBubbleSize val="false"/>
        </c:dLbls>
        <c:gapWidth val="219"/>
        <c:overlap val="-27"/>
        <c:axId val="106550400"/>
        <c:axId val="106551936"/>
      </c:barChart>
      <c:catAx>
        <c:axId val="106550400"/>
        <c:scaling>
          <c:orientation val="minMax"/>
        </c:scaling>
        <c:delete val="false"/>
        <c:axPos val="b"/>
        <c:majorTickMark val="none"/>
        <c:minorTickMark val="none"/>
        <c:tickLblPos val="nextTo"/>
        <c:spPr>
          <a:noFill/>
          <a:ln w="9525" cap="flat" cmpd="sng" algn="ctr">
            <a:solidFill>
              <a:schemeClr val="bg1">
                <a:lumMod val="6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06551936"/>
        <c:crosses val="autoZero"/>
        <c:auto val="true"/>
        <c:lblAlgn val="ctr"/>
        <c:lblOffset val="100"/>
        <c:noMultiLvlLbl val="false"/>
      </c:catAx>
      <c:valAx>
        <c:axId val="106551936"/>
        <c:scaling>
          <c:orientation val="minMax"/>
        </c:scaling>
        <c:delete val="false"/>
        <c:axPos val="l"/>
        <c:majorGridlines>
          <c:spPr>
            <a:ln w="9525" cap="flat" cmpd="sng" algn="ctr">
              <a:solidFill>
                <a:schemeClr val="bg1">
                  <a:lumMod val="6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06550400"/>
        <c:crosses val="autoZero"/>
        <c:crossBetween val="between"/>
      </c:valAx>
      <c:spPr>
        <a:noFill/>
        <a:ln>
          <a:noFill/>
        </a:ln>
        <a:effectLst/>
      </c:spPr>
    </c:plotArea>
    <c:legend>
      <c:legendPos val="b"/>
      <c:layout>
        <c:manualLayout>
          <c:xMode val="edge"/>
          <c:yMode val="edge"/>
          <c:x val="0.397426095820591"/>
          <c:y val="0.922402736212056"/>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bg1">
          <a:lumMod val="6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一般公共预算财政拨款支出决算总计（万元）</a:t>
            </a:r>
          </a:p>
        </c:rich>
      </c:tx>
      <c:layout>
        <c:manualLayout>
          <c:xMode val="edge"/>
          <c:yMode val="edge"/>
          <c:x val="0.140447401953328"/>
          <c:y val="0.0105160608846417"/>
        </c:manualLayout>
      </c:layout>
      <c:overlay val="false"/>
      <c:spPr>
        <a:noFill/>
        <a:ln>
          <a:noFill/>
        </a:ln>
        <a:effectLst/>
      </c:spPr>
    </c:title>
    <c:autoTitleDeleted val="false"/>
    <c:plotArea>
      <c:layout>
        <c:manualLayout>
          <c:layoutTarget val="inner"/>
          <c:xMode val="edge"/>
          <c:yMode val="edge"/>
          <c:x val="0.0876512096774194"/>
          <c:y val="0.0258700911967244"/>
          <c:w val="0.927925"/>
          <c:h val="0.716566666666667"/>
        </c:manualLayout>
      </c:layout>
      <c:barChart>
        <c:barDir val="col"/>
        <c:grouping val="clustered"/>
        <c:varyColors val="false"/>
        <c:ser>
          <c:idx val="0"/>
          <c:order val="0"/>
          <c:tx>
            <c:strRef>
              <c:f>Sheet1!$B$1</c:f>
              <c:strCache>
                <c:ptCount val="1"/>
                <c:pt idx="0">
                  <c:v>一般公共预算财政拨款支出决算总计</c:v>
                </c:pt>
              </c:strCache>
            </c:strRef>
          </c:tx>
          <c:spPr>
            <a:solidFill>
              <a:schemeClr val="accent1"/>
            </a:solidFill>
            <a:ln>
              <a:noFill/>
            </a:ln>
            <a:effectLst/>
          </c:spPr>
          <c:invertIfNegative val="false"/>
          <c:dLbls>
            <c:dLbl>
              <c:idx val="1"/>
              <c:layout>
                <c:manualLayout>
                  <c:x val="-0.00381315538608198"/>
                  <c:y val="0.00702106318956871"/>
                </c:manualLayout>
              </c:layout>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2020年一般公共预算财政拨款支出</c:v>
                </c:pt>
                <c:pt idx="1">
                  <c:v>2021年一般公共预算财政拨款支出</c:v>
                </c:pt>
              </c:strCache>
            </c:strRef>
          </c:cat>
          <c:val>
            <c:numRef>
              <c:f>Sheet1!$B$2:$B$3</c:f>
              <c:numCache>
                <c:formatCode>#,##0.00</c:formatCode>
                <c:ptCount val="2"/>
                <c:pt idx="0">
                  <c:v>856.39</c:v>
                </c:pt>
                <c:pt idx="1">
                  <c:v>913.05</c:v>
                </c:pt>
              </c:numCache>
            </c:numRef>
          </c:val>
        </c:ser>
        <c:dLbls>
          <c:showLegendKey val="false"/>
          <c:showVal val="false"/>
          <c:showCatName val="false"/>
          <c:showSerName val="false"/>
          <c:showPercent val="false"/>
          <c:showBubbleSize val="false"/>
        </c:dLbls>
        <c:gapWidth val="219"/>
        <c:overlap val="-27"/>
        <c:axId val="106781696"/>
        <c:axId val="106783488"/>
      </c:barChart>
      <c:catAx>
        <c:axId val="106781696"/>
        <c:scaling>
          <c:orientation val="minMax"/>
        </c:scaling>
        <c:delete val="false"/>
        <c:axPos val="b"/>
        <c:majorTickMark val="none"/>
        <c:minorTickMark val="none"/>
        <c:tickLblPos val="nextTo"/>
        <c:spPr>
          <a:noFill/>
          <a:ln w="9525" cap="flat" cmpd="sng" algn="ctr">
            <a:solidFill>
              <a:schemeClr val="bg1">
                <a:lumMod val="6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06783488"/>
        <c:crosses val="autoZero"/>
        <c:auto val="true"/>
        <c:lblAlgn val="ctr"/>
        <c:lblOffset val="100"/>
        <c:noMultiLvlLbl val="false"/>
      </c:catAx>
      <c:valAx>
        <c:axId val="106783488"/>
        <c:scaling>
          <c:orientation val="minMax"/>
        </c:scaling>
        <c:delete val="false"/>
        <c:axPos val="l"/>
        <c:majorGridlines>
          <c:spPr>
            <a:ln w="9525" cap="flat" cmpd="sng" algn="ctr">
              <a:solidFill>
                <a:schemeClr val="bg1">
                  <a:lumMod val="65000"/>
                </a:schemeClr>
              </a:solidFill>
              <a:round/>
            </a:ln>
            <a:effectLst/>
          </c:spPr>
        </c:majorGridlines>
        <c:numFmt formatCode="#,##0.00"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06781696"/>
        <c:crosses val="autoZero"/>
        <c:crossBetween val="between"/>
      </c:valAx>
      <c:spPr>
        <a:noFill/>
        <a:ln>
          <a:noFill/>
        </a:ln>
        <a:effectLst/>
      </c:spPr>
    </c:plotArea>
    <c:legend>
      <c:legendPos val="b"/>
      <c:layout>
        <c:manualLayout>
          <c:xMode val="edge"/>
          <c:yMode val="edge"/>
          <c:x val="0.307254770302106"/>
          <c:y val="0.922798809017439"/>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bg1">
          <a:lumMod val="6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a:t>
            </a:r>
            <a:r>
              <a:rPr lang="en-US" altLang="zh-CN"/>
              <a:t>%</a:t>
            </a:r>
            <a:r>
              <a:t>）</a:t>
            </a:r>
          </a:p>
        </c:rich>
      </c:tx>
      <c:layout>
        <c:manualLayout>
          <c:xMode val="edge"/>
          <c:yMode val="edge"/>
          <c:x val="0.304569031571156"/>
          <c:y val="0.0210551897986729"/>
        </c:manualLayout>
      </c:layout>
      <c:overlay val="false"/>
      <c:spPr>
        <a:noFill/>
        <a:ln>
          <a:noFill/>
        </a:ln>
        <a:effectLst/>
      </c:spPr>
    </c:title>
    <c:autoTitleDeleted val="false"/>
    <c:plotArea>
      <c:layout/>
      <c:pieChart>
        <c:varyColors val="true"/>
        <c:ser>
          <c:idx val="0"/>
          <c:order val="0"/>
          <c:tx>
            <c:strRef>
              <c:f>Sheet1!$B$1</c:f>
              <c:strCache>
                <c:ptCount val="1"/>
                <c:pt idx="0">
                  <c:v>一般公共预算财政拨款支出</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Pt>
            <c:idx val="5"/>
            <c:bubble3D val="false"/>
            <c:spPr>
              <a:solidFill>
                <a:schemeClr val="accent6"/>
              </a:solidFill>
              <a:ln w="19050">
                <a:solidFill>
                  <a:schemeClr val="lt1"/>
                </a:solidFill>
              </a:ln>
              <a:effectLst/>
            </c:spPr>
          </c:dPt>
          <c:dPt>
            <c:idx val="6"/>
            <c:bubble3D val="false"/>
            <c:spPr>
              <a:solidFill>
                <a:schemeClr val="accent1">
                  <a:lumMod val="60000"/>
                </a:schemeClr>
              </a:solidFill>
              <a:ln w="19050">
                <a:solidFill>
                  <a:schemeClr val="lt1"/>
                </a:solidFill>
              </a:ln>
              <a:effectLst/>
            </c:spPr>
          </c:dPt>
          <c:dPt>
            <c:idx val="7"/>
            <c:bubble3D val="false"/>
            <c:spPr>
              <a:solidFill>
                <a:schemeClr val="accent2">
                  <a:lumMod val="60000"/>
                </a:schemeClr>
              </a:solidFill>
              <a:ln w="19050">
                <a:solidFill>
                  <a:schemeClr val="lt1"/>
                </a:solidFill>
              </a:ln>
              <a:effectLst/>
            </c:spPr>
          </c:dPt>
          <c:dPt>
            <c:idx val="8"/>
            <c:bubble3D val="false"/>
            <c:spPr>
              <a:solidFill>
                <a:schemeClr val="accent3">
                  <a:lumMod val="60000"/>
                </a:schemeClr>
              </a:solidFill>
              <a:ln w="19050">
                <a:solidFill>
                  <a:schemeClr val="lt1"/>
                </a:solidFill>
              </a:ln>
              <a:effectLst/>
            </c:spPr>
          </c:dPt>
          <c:dLbls>
            <c:dLbl>
              <c:idx val="1"/>
              <c:layout>
                <c:manualLayout>
                  <c:x val="0.0733795053562422"/>
                  <c:y val="0.0346305915179146"/>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0393341337048605"/>
                  <c:y val="-0.039348236613231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4"/>
              <c:layout>
                <c:manualLayout>
                  <c:x val="0.176834873367503"/>
                  <c:y val="-0.041590836442954"/>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manualLayout>
                      <c:w val="0.0921345535493445"/>
                      <c:h val="0.0699904122722915"/>
                    </c:manualLayout>
                  </c15:layout>
                </c:ext>
              </c:extLst>
            </c:dLbl>
            <c:dLbl>
              <c:idx val="6"/>
              <c:layout>
                <c:manualLayout>
                  <c:x val="0.0253496729144948"/>
                  <c:y val="0.00781341499335398"/>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manualLayout>
                      <c:w val="0.0826119218402177"/>
                      <c:h val="0.0587248322147651"/>
                    </c:manualLayout>
                  </c15:layout>
                </c:ext>
              </c:extLst>
            </c:dLbl>
            <c:dLbl>
              <c:idx val="7"/>
              <c:layout>
                <c:manualLayout>
                  <c:x val="-0.0696068246867365"/>
                  <c:y val="0.00752481563267019"/>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manualLayout>
                      <c:w val="0.0754390304229532"/>
                      <c:h val="0.0707094918504314"/>
                    </c:manualLayout>
                  </c15:layout>
                </c:ext>
              </c:extLst>
            </c:dLbl>
            <c:dLbl>
              <c:idx val="8"/>
              <c:layout>
                <c:manualLayout>
                  <c:x val="0.0838048495653654"/>
                  <c:y val="0.0055043431412751"/>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manualLayout>
                      <c:w val="0.0826119218402177"/>
                      <c:h val="0.0565675934803452"/>
                    </c:manualLayout>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Sheet1!$A$2:$A$10</c:f>
              <c:strCache>
                <c:ptCount val="9"/>
                <c:pt idx="0">
                  <c:v>一般公共服务支出</c:v>
                </c:pt>
                <c:pt idx="1">
                  <c:v>公共安全支出</c:v>
                </c:pt>
                <c:pt idx="2">
                  <c:v>社会保障和就业支出</c:v>
                </c:pt>
                <c:pt idx="3">
                  <c:v>卫生健康支出</c:v>
                </c:pt>
                <c:pt idx="4">
                  <c:v>城乡社区支出</c:v>
                </c:pt>
                <c:pt idx="5">
                  <c:v>农林水支出</c:v>
                </c:pt>
                <c:pt idx="6">
                  <c:v>交通运输</c:v>
                </c:pt>
                <c:pt idx="7">
                  <c:v>住房保障支出</c:v>
                </c:pt>
                <c:pt idx="8">
                  <c:v>灾害防治及应急管理支出</c:v>
                </c:pt>
              </c:strCache>
            </c:strRef>
          </c:cat>
          <c:val>
            <c:numRef>
              <c:f>Sheet1!$B$2:$B$10</c:f>
              <c:numCache>
                <c:formatCode>0.00%</c:formatCode>
                <c:ptCount val="9"/>
                <c:pt idx="0">
                  <c:v>0.4967</c:v>
                </c:pt>
                <c:pt idx="1">
                  <c:v>0.0077</c:v>
                </c:pt>
                <c:pt idx="2">
                  <c:v>0.0305</c:v>
                </c:pt>
                <c:pt idx="3">
                  <c:v>0.012</c:v>
                </c:pt>
                <c:pt idx="4">
                  <c:v>0.0099</c:v>
                </c:pt>
                <c:pt idx="5">
                  <c:v>0.3921</c:v>
                </c:pt>
                <c:pt idx="6">
                  <c:v>0.0011</c:v>
                </c:pt>
                <c:pt idx="7">
                  <c:v>0.0292</c:v>
                </c:pt>
                <c:pt idx="8">
                  <c:v>0.0207</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33</Pages>
  <Words>12709</Words>
  <Characters>13905</Characters>
  <Lines>18</Lines>
  <Paragraphs>25</Paragraphs>
  <TotalTime>22</TotalTime>
  <ScaleCrop>false</ScaleCrop>
  <LinksUpToDate>false</LinksUpToDate>
  <CharactersWithSpaces>14013</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 </cp:lastModifiedBy>
  <cp:lastPrinted>2022-08-08T17:11:00Z</cp:lastPrinted>
  <dcterms:modified xsi:type="dcterms:W3CDTF">2023-09-14T17:58:46Z</dcterms:modified>
  <dc:title>四川省***</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71EE4C5B63CC42F888BCD11980679D2B</vt:lpwstr>
  </property>
</Properties>
</file>