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597"/>
      <w:bookmarkStart w:id="3" w:name="_Toc15396475"/>
      <w:bookmarkStart w:id="4" w:name="_Toc1256"/>
      <w:bookmarkStart w:id="5" w:name="_Toc15378441"/>
      <w:bookmarkStart w:id="6"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194"/>
      <w:bookmarkStart w:id="8" w:name="_Toc15396476"/>
      <w:bookmarkStart w:id="9" w:name="_Toc15396598"/>
      <w:bookmarkStart w:id="10" w:name="_Toc15378442"/>
      <w:bookmarkStart w:id="11" w:name="_Toc17165"/>
      <w:bookmarkStart w:id="12" w:name="_Toc15377426"/>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招生考试中心</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9</w:t>
      </w:r>
      <w:r>
        <w:rPr>
          <w:rFonts w:hint="eastAsia"/>
          <w:color w:val="auto"/>
          <w:highlight w:val="none"/>
        </w:rPr>
        <w:t>日</w:t>
      </w:r>
    </w:p>
    <w:p>
      <w:pPr>
        <w:rPr>
          <w:color w:val="auto"/>
          <w:highlight w:val="none"/>
        </w:rPr>
      </w:pPr>
      <w:bookmarkStart w:id="106" w:name="_GoBack"/>
      <w:bookmarkEnd w:id="106"/>
    </w:p>
    <w:sdt>
      <w:sdtPr>
        <w:rPr>
          <w:rFonts w:ascii="宋体" w:hAnsi="宋体" w:eastAsia="宋体" w:cs="Times New Roman"/>
          <w:kern w:val="2"/>
          <w:sz w:val="21"/>
          <w:szCs w:val="24"/>
          <w:lang w:val="en-US" w:eastAsia="zh-CN" w:bidi="ar-SA"/>
        </w:rPr>
        <w:id w:val="14746634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96599"/>
          <w:bookmarkStart w:id="15" w:name="_Toc15377196"/>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fldChar w:fldCharType="begin"/>
          </w:r>
          <w:r>
            <w:instrText xml:space="preserve">TOC \o "1-2" \h \u </w:instrText>
          </w:r>
          <w:r>
            <w:fldChar w:fldCharType="separate"/>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b/>
            </w:rPr>
            <w:fldChar w:fldCharType="begin"/>
          </w:r>
          <w:r>
            <w:rPr>
              <w:b/>
            </w:rPr>
            <w:instrText xml:space="preserve"> HYPERLINK \l _Toc10017 </w:instrText>
          </w:r>
          <w:r>
            <w:rPr>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_Toc10017 </w:instrText>
          </w:r>
          <w:r>
            <w:rPr>
              <w:b/>
            </w:rPr>
            <w:fldChar w:fldCharType="separate"/>
          </w:r>
          <w:r>
            <w:rPr>
              <w:b/>
            </w:rPr>
            <w:t>4</w:t>
          </w:r>
          <w:r>
            <w:rPr>
              <w:b/>
            </w:rPr>
            <w:fldChar w:fldCharType="end"/>
          </w:r>
          <w:r>
            <w:rPr>
              <w:b/>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_Toc12106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rPr>
            <w:t>职能</w:t>
          </w:r>
          <w:r>
            <w:rPr>
              <w:rFonts w:hint="eastAsia" w:ascii="黑体" w:hAnsi="黑体" w:eastAsia="黑体"/>
              <w:bCs w:val="0"/>
              <w:highlight w:val="none"/>
              <w:lang w:eastAsia="zh-CN"/>
            </w:rPr>
            <w:t>简介</w:t>
          </w:r>
          <w:r>
            <w:tab/>
          </w:r>
          <w:r>
            <w:fldChar w:fldCharType="begin"/>
          </w:r>
          <w:r>
            <w:instrText xml:space="preserve"> PAGEREF _Toc12106 </w:instrText>
          </w:r>
          <w:r>
            <w:fldChar w:fldCharType="separate"/>
          </w:r>
          <w:r>
            <w:t>4</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_Toc2508 </w:instrText>
          </w:r>
          <w:r>
            <w:fldChar w:fldCharType="separate"/>
          </w:r>
          <w:r>
            <w:rPr>
              <w:rFonts w:hint="eastAsia" w:ascii="黑体" w:hAnsi="黑体" w:eastAsia="黑体"/>
              <w:highlight w:val="none"/>
              <w:lang w:val="en-US" w:eastAsia="zh-CN"/>
            </w:rPr>
            <w:t>二、2021年重点</w:t>
          </w:r>
          <w:r>
            <w:rPr>
              <w:rFonts w:hint="eastAsia" w:ascii="黑体" w:hAnsi="黑体" w:eastAsia="黑体"/>
              <w:highlight w:val="none"/>
            </w:rPr>
            <w:t>工作</w:t>
          </w:r>
          <w:r>
            <w:rPr>
              <w:rFonts w:hint="eastAsia" w:ascii="黑体" w:hAnsi="黑体" w:eastAsia="黑体"/>
              <w:highlight w:val="none"/>
              <w:lang w:eastAsia="zh-CN"/>
            </w:rPr>
            <w:t>完成情况</w:t>
          </w:r>
          <w:r>
            <w:tab/>
          </w:r>
          <w:r>
            <w:fldChar w:fldCharType="begin"/>
          </w:r>
          <w:r>
            <w:instrText xml:space="preserve"> PAGEREF _Toc2508 </w:instrText>
          </w:r>
          <w:r>
            <w:fldChar w:fldCharType="separate"/>
          </w:r>
          <w:r>
            <w:t>4</w:t>
          </w:r>
          <w:r>
            <w:fldChar w:fldCharType="end"/>
          </w:r>
          <w: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b/>
            </w:rPr>
            <w:fldChar w:fldCharType="begin"/>
          </w:r>
          <w:r>
            <w:rPr>
              <w:b/>
            </w:rPr>
            <w:instrText xml:space="preserve"> HYPERLINK \l _Toc12479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2021年度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_Toc12479 </w:instrText>
          </w:r>
          <w:r>
            <w:rPr>
              <w:b/>
            </w:rPr>
            <w:fldChar w:fldCharType="separate"/>
          </w:r>
          <w:r>
            <w:rPr>
              <w:b/>
            </w:rPr>
            <w:t>7</w:t>
          </w:r>
          <w:r>
            <w:rPr>
              <w:b/>
            </w:rPr>
            <w:fldChar w:fldCharType="end"/>
          </w:r>
          <w:r>
            <w:rPr>
              <w:b/>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_Toc10797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_Toc10797 </w:instrText>
          </w:r>
          <w:r>
            <w:fldChar w:fldCharType="separate"/>
          </w:r>
          <w:r>
            <w:t>7</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_Toc32256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_Toc32256 </w:instrText>
          </w:r>
          <w:r>
            <w:fldChar w:fldCharType="separate"/>
          </w:r>
          <w:r>
            <w:t>7</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_Toc32051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_Toc32051 </w:instrText>
          </w:r>
          <w:r>
            <w:fldChar w:fldCharType="separate"/>
          </w:r>
          <w:r>
            <w:t>8</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_Toc14247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_Toc14247 </w:instrText>
          </w:r>
          <w:r>
            <w:fldChar w:fldCharType="separate"/>
          </w:r>
          <w:r>
            <w:t>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_Toc23786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_Toc23786 </w:instrText>
          </w:r>
          <w:r>
            <w:fldChar w:fldCharType="separate"/>
          </w:r>
          <w:r>
            <w:t>10</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_Toc9040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_Toc9040 </w:instrText>
          </w:r>
          <w:r>
            <w:fldChar w:fldCharType="separate"/>
          </w:r>
          <w:r>
            <w:t>13</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_Toc32063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_Toc32063 </w:instrText>
          </w:r>
          <w:r>
            <w:fldChar w:fldCharType="separate"/>
          </w:r>
          <w:r>
            <w:t>13</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_Toc14595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_Toc14595 </w:instrText>
          </w:r>
          <w:r>
            <w:fldChar w:fldCharType="separate"/>
          </w:r>
          <w:r>
            <w:t>15</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_Toc30259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_Toc30259 </w:instrText>
          </w:r>
          <w:r>
            <w:fldChar w:fldCharType="separate"/>
          </w:r>
          <w:r>
            <w:t>15</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_Toc17825 </w:instrText>
          </w:r>
          <w:r>
            <w:fldChar w:fldCharType="separate"/>
          </w:r>
          <w:r>
            <w:rPr>
              <w:rFonts w:hint="eastAsia" w:ascii="黑体" w:hAnsi="黑体" w:eastAsia="黑体"/>
            </w:rPr>
            <w:t xml:space="preserve">十、 </w:t>
          </w:r>
          <w:r>
            <w:rPr>
              <w:rFonts w:hint="eastAsia" w:ascii="黑体" w:hAnsi="黑体" w:eastAsia="黑体"/>
              <w:highlight w:val="none"/>
              <w:lang w:val="en-US" w:eastAsia="zh-CN"/>
            </w:rPr>
            <w:t>预算绩效管理情况</w:t>
          </w:r>
          <w:r>
            <w:tab/>
          </w:r>
          <w:r>
            <w:fldChar w:fldCharType="begin"/>
          </w:r>
          <w:r>
            <w:instrText xml:space="preserve"> PAGEREF _Toc17825 </w:instrText>
          </w:r>
          <w:r>
            <w:fldChar w:fldCharType="separate"/>
          </w:r>
          <w:r>
            <w:t>15</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_Toc30989 </w:instrText>
          </w:r>
          <w:r>
            <w:fldChar w:fldCharType="separate"/>
          </w:r>
          <w:r>
            <w:rPr>
              <w:rFonts w:hint="eastAsia" w:ascii="黑体" w:hAnsi="黑体" w:eastAsia="黑体"/>
            </w:rPr>
            <w:t xml:space="preserve">十一、 </w:t>
          </w:r>
          <w:r>
            <w:rPr>
              <w:rFonts w:hint="eastAsia" w:ascii="黑体" w:hAnsi="黑体" w:eastAsia="黑体"/>
              <w:highlight w:val="none"/>
            </w:rPr>
            <w:t>其他重要事项的情况说明</w:t>
          </w:r>
          <w:r>
            <w:tab/>
          </w:r>
          <w:r>
            <w:fldChar w:fldCharType="begin"/>
          </w:r>
          <w:r>
            <w:instrText xml:space="preserve"> PAGEREF _Toc30989 </w:instrText>
          </w:r>
          <w:r>
            <w:fldChar w:fldCharType="separate"/>
          </w:r>
          <w:r>
            <w:t>16</w:t>
          </w:r>
          <w:r>
            <w:fldChar w:fldCharType="end"/>
          </w:r>
          <w: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b/>
            </w:rPr>
            <w:fldChar w:fldCharType="begin"/>
          </w:r>
          <w:r>
            <w:rPr>
              <w:b/>
            </w:rPr>
            <w:instrText xml:space="preserve"> HYPERLINK \l _Toc5526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_Toc5526 </w:instrText>
          </w:r>
          <w:r>
            <w:rPr>
              <w:b/>
            </w:rPr>
            <w:fldChar w:fldCharType="separate"/>
          </w:r>
          <w:r>
            <w:rPr>
              <w:b/>
            </w:rPr>
            <w:t>17</w:t>
          </w:r>
          <w:r>
            <w:rPr>
              <w:b/>
            </w:rPr>
            <w:fldChar w:fldCharType="end"/>
          </w:r>
          <w:r>
            <w:rPr>
              <w:b/>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b/>
            </w:rPr>
            <w:fldChar w:fldCharType="begin"/>
          </w:r>
          <w:r>
            <w:rPr>
              <w:b/>
            </w:rPr>
            <w:instrText xml:space="preserve"> HYPERLINK \l _Toc1985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_Toc1985 </w:instrText>
          </w:r>
          <w:r>
            <w:rPr>
              <w:b/>
            </w:rPr>
            <w:fldChar w:fldCharType="separate"/>
          </w:r>
          <w:r>
            <w:rPr>
              <w:b/>
            </w:rPr>
            <w:t>19</w:t>
          </w:r>
          <w:r>
            <w:rPr>
              <w:b/>
            </w:rPr>
            <w:fldChar w:fldCharType="end"/>
          </w:r>
          <w:r>
            <w:rPr>
              <w:b/>
            </w:rPr>
            <w:fldChar w:fldCharType="end"/>
          </w:r>
        </w:p>
        <w:p>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b/>
            </w:rPr>
            <w:fldChar w:fldCharType="begin"/>
          </w:r>
          <w:r>
            <w:rPr>
              <w:b/>
            </w:rPr>
            <w:instrText xml:space="preserve"> HYPERLINK \l _Toc24444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_Toc24444 </w:instrText>
          </w:r>
          <w:r>
            <w:rPr>
              <w:b/>
            </w:rPr>
            <w:fldChar w:fldCharType="separate"/>
          </w:r>
          <w:r>
            <w:rPr>
              <w:b/>
            </w:rPr>
            <w:t>29</w:t>
          </w:r>
          <w:r>
            <w:rPr>
              <w:b/>
            </w:rPr>
            <w:fldChar w:fldCharType="end"/>
          </w:r>
          <w:r>
            <w:rPr>
              <w:b/>
            </w:rP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_Toc10899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_Toc10899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_Toc28230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_Toc28230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_Toc13879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_Toc13879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_Toc24442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_Toc24442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_Toc29151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_Toc29151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_Toc7124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_Toc7124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_Toc6014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_Toc6014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_Toc8470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_Toc8470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_Toc4858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_Toc4858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_Toc17397 </w:instrText>
          </w:r>
          <w:r>
            <w:fldChar w:fldCharType="separate"/>
          </w:r>
          <w:r>
            <w:rPr>
              <w:rFonts w:hint="eastAsia" w:ascii="仿宋" w:hAnsi="仿宋" w:eastAsia="仿宋"/>
              <w:bCs w:val="0"/>
              <w:highlight w:val="none"/>
            </w:rPr>
            <w:t>十、</w:t>
          </w:r>
          <w:r>
            <w:rPr>
              <w:rFonts w:hint="eastAsia" w:ascii="仿宋" w:hAnsi="仿宋" w:eastAsia="仿宋"/>
              <w:highlight w:val="none"/>
            </w:rPr>
            <w:t>一</w:t>
          </w:r>
          <w:r>
            <w:rPr>
              <w:rFonts w:hint="eastAsia" w:ascii="仿宋" w:hAnsi="仿宋" w:eastAsia="仿宋"/>
              <w:bCs w:val="0"/>
              <w:highlight w:val="none"/>
            </w:rPr>
            <w:t>般公共预算财政拨款“三公”经费支出决算表</w:t>
          </w:r>
          <w:r>
            <w:tab/>
          </w:r>
          <w:r>
            <w:fldChar w:fldCharType="begin"/>
          </w:r>
          <w:r>
            <w:instrText xml:space="preserve"> PAGEREF _Toc17397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_Toc17657 </w:instrText>
          </w:r>
          <w:r>
            <w:fldChar w:fldCharType="separate"/>
          </w:r>
          <w:r>
            <w:rPr>
              <w:rFonts w:hint="eastAsia" w:ascii="仿宋" w:hAnsi="仿宋" w:eastAsia="仿宋"/>
              <w:bCs w:val="0"/>
              <w:highlight w:val="none"/>
            </w:rPr>
            <w:t>十一、</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_Toc17657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_Toc20034 </w:instrText>
          </w:r>
          <w:r>
            <w:fldChar w:fldCharType="separate"/>
          </w:r>
          <w:r>
            <w:rPr>
              <w:rFonts w:hint="eastAsia" w:ascii="仿宋" w:hAnsi="仿宋" w:eastAsia="仿宋"/>
              <w:bCs w:val="0"/>
              <w:highlight w:val="none"/>
            </w:rPr>
            <w:t>十二、</w:t>
          </w:r>
          <w:r>
            <w:rPr>
              <w:rFonts w:hint="eastAsia" w:ascii="仿宋" w:hAnsi="仿宋" w:eastAsia="仿宋"/>
              <w:highlight w:val="none"/>
            </w:rPr>
            <w:t>政</w:t>
          </w:r>
          <w:r>
            <w:rPr>
              <w:rFonts w:hint="eastAsia" w:ascii="仿宋" w:hAnsi="仿宋" w:eastAsia="仿宋"/>
              <w:bCs w:val="0"/>
              <w:highlight w:val="none"/>
            </w:rPr>
            <w:t>府性基金预算财政拨款“三公”经费支出决算表</w:t>
          </w:r>
          <w:r>
            <w:tab/>
          </w:r>
          <w:r>
            <w:fldChar w:fldCharType="begin"/>
          </w:r>
          <w:r>
            <w:instrText xml:space="preserve"> PAGEREF _Toc20034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_Toc29918 </w:instrText>
          </w:r>
          <w:r>
            <w:fldChar w:fldCharType="separate"/>
          </w:r>
          <w:r>
            <w:rPr>
              <w:rFonts w:hint="eastAsia" w:ascii="仿宋" w:hAnsi="仿宋" w:eastAsia="仿宋"/>
              <w:bCs w:val="0"/>
              <w:highlight w:val="none"/>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_Toc29918 </w:instrText>
          </w:r>
          <w:r>
            <w:fldChar w:fldCharType="separate"/>
          </w:r>
          <w:r>
            <w:t>29</w:t>
          </w:r>
          <w:r>
            <w:fldChar w:fldCharType="end"/>
          </w:r>
          <w:r>
            <w:fldChar w:fldCharType="end"/>
          </w:r>
        </w:p>
        <w:p>
          <w:pPr>
            <w:pStyle w:val="3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_Toc17238 </w:instrText>
          </w:r>
          <w: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_Toc17238 </w:instrText>
          </w:r>
          <w:r>
            <w:fldChar w:fldCharType="separate"/>
          </w:r>
          <w:r>
            <w:t>29</w:t>
          </w:r>
          <w:r>
            <w:fldChar w:fldCharType="end"/>
          </w:r>
          <w: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b/>
            </w:rPr>
          </w:pPr>
          <w:r>
            <w:rPr>
              <w:b/>
            </w:rPr>
            <w:fldChar w:fldCharType="end"/>
          </w:r>
        </w:p>
      </w:sdtContent>
    </w:sdt>
    <w:p>
      <w:pPr>
        <w:keepNext w:val="0"/>
        <w:keepLines w:val="0"/>
        <w:pageBreakBefore w:val="0"/>
        <w:widowControl/>
        <w:kinsoku/>
        <w:wordWrap/>
        <w:overflowPunct/>
        <w:topLinePunct w:val="0"/>
        <w:autoSpaceDE/>
        <w:autoSpaceDN/>
        <w:bidi w:val="0"/>
        <w:adjustRightInd/>
        <w:snapToGrid/>
        <w:spacing w:line="360" w:lineRule="auto"/>
        <w:textAlignment w:val="auto"/>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pStyle w:val="2"/>
      </w:pPr>
    </w:p>
    <w:p>
      <w:pPr>
        <w:pStyle w:val="3"/>
        <w:jc w:val="center"/>
        <w:rPr>
          <w:rFonts w:hint="eastAsia" w:ascii="黑体" w:hAnsi="黑体" w:eastAsia="黑体"/>
          <w:b w:val="0"/>
          <w:color w:val="auto"/>
          <w:highlight w:val="none"/>
        </w:rPr>
      </w:pPr>
      <w:bookmarkStart w:id="16" w:name="_Toc10017"/>
    </w:p>
    <w:p>
      <w:pPr>
        <w:pStyle w:val="3"/>
        <w:jc w:val="both"/>
        <w:rPr>
          <w:rFonts w:hint="eastAsia" w:ascii="黑体" w:hAnsi="黑体" w:eastAsia="黑体"/>
          <w:b w:val="0"/>
          <w:color w:val="auto"/>
          <w:highlight w:val="none"/>
        </w:rPr>
      </w:pPr>
    </w:p>
    <w:bookmarkEnd w:id="14"/>
    <w:bookmarkEnd w:id="15"/>
    <w:bookmarkEnd w:id="16"/>
    <w:p>
      <w:pPr>
        <w:widowControl/>
        <w:jc w:val="left"/>
        <w:rPr>
          <w:rFonts w:ascii="黑体" w:eastAsia="黑体"/>
          <w:color w:val="auto"/>
          <w:sz w:val="32"/>
          <w:szCs w:val="32"/>
          <w:highlight w:val="none"/>
        </w:rPr>
      </w:pPr>
    </w:p>
    <w:p>
      <w:pPr>
        <w:pStyle w:val="3"/>
        <w:jc w:val="center"/>
        <w:rPr>
          <w:rStyle w:val="27"/>
          <w:rFonts w:ascii="黑体" w:hAnsi="黑体" w:eastAsia="黑体"/>
          <w:b/>
          <w:bCs w:val="0"/>
          <w:color w:val="auto"/>
          <w:highlight w:val="none"/>
        </w:rPr>
      </w:pPr>
      <w:bookmarkStart w:id="17" w:name="_Toc12106"/>
      <w:bookmarkStart w:id="18" w:name="_Toc15396600"/>
      <w:bookmarkStart w:id="19" w:name="_Toc1537719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p>
    <w:p>
      <w:pPr>
        <w:pStyle w:val="4"/>
        <w:numPr>
          <w:ilvl w:val="0"/>
          <w:numId w:val="0"/>
        </w:numPr>
        <w:rPr>
          <w:rStyle w:val="28"/>
          <w:rFonts w:hint="eastAsia" w:ascii="黑体" w:hAnsi="黑体" w:eastAsia="黑体"/>
          <w:b w:val="0"/>
          <w:bCs w:val="0"/>
          <w:color w:val="auto"/>
          <w:highlight w:val="none"/>
          <w:lang w:eastAsia="zh-CN"/>
        </w:rPr>
      </w:pPr>
      <w:r>
        <w:rPr>
          <w:rStyle w:val="28"/>
          <w:rFonts w:hint="eastAsia" w:ascii="黑体" w:hAnsi="黑体" w:eastAsia="黑体"/>
          <w:b w:val="0"/>
          <w:bCs w:val="0"/>
          <w:color w:val="auto"/>
          <w:highlight w:val="none"/>
          <w:lang w:val="en-US" w:eastAsia="zh-CN"/>
        </w:rPr>
        <w:t>一</w:t>
      </w:r>
      <w:r>
        <w:rPr>
          <w:rStyle w:val="28"/>
          <w:rFonts w:hint="eastAsia" w:ascii="黑体" w:hAnsi="黑体" w:eastAsia="黑体"/>
          <w:b w:val="0"/>
          <w:bCs w:val="0"/>
          <w:color w:val="auto"/>
          <w:highlight w:val="none"/>
          <w:lang w:eastAsia="zh-CN"/>
        </w:rPr>
        <w:t>、</w:t>
      </w:r>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bookmarkEnd w:id="17"/>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74"/>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广元市招生考试中心主要负责全市普通高校招生考试、成人高校招生考试、自学考试、研究生考试、非学历证书考试的报名、体检、考务、考籍管理，全市各类招生考试数据统计与信息发布；受市教育局委托承办全市教育系统其它考试的考务工作。</w:t>
      </w:r>
    </w:p>
    <w:p>
      <w:pPr>
        <w:pStyle w:val="4"/>
        <w:numPr>
          <w:ilvl w:val="0"/>
          <w:numId w:val="0"/>
        </w:numPr>
        <w:ind w:firstLine="640" w:firstLineChars="200"/>
        <w:rPr>
          <w:rFonts w:hint="eastAsia" w:ascii="黑体" w:hAnsi="黑体" w:eastAsia="黑体"/>
          <w:b w:val="0"/>
          <w:color w:val="auto"/>
          <w:highlight w:val="none"/>
        </w:rPr>
      </w:pPr>
      <w:bookmarkStart w:id="20" w:name="_Toc2508"/>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8"/>
      <w:bookmarkEnd w:id="19"/>
      <w:r>
        <w:rPr>
          <w:rFonts w:hint="eastAsia" w:ascii="黑体" w:hAnsi="黑体" w:eastAsia="黑体"/>
          <w:b w:val="0"/>
          <w:color w:val="auto"/>
          <w:highlight w:val="none"/>
          <w:lang w:eastAsia="zh-CN"/>
        </w:rPr>
        <w:t>完成情况</w:t>
      </w:r>
      <w:bookmarkEnd w:id="20"/>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在市委教育工委、教育局坚强领导下，广元市招考中心坚持以习近平新时代中国特色社会主义思想为指导，深入学习贯彻党的十九大和十九届二中、三中、四中、五中、六中全会精神，为“十四五”高质量发展开好局、起 好步，党建业务相融互促，成功开展庆祝建党100周年系列活动和党史学习教育，考试招生平稳顺利，高考改革稳妥推进，事业发展基础进一步夯实。</w:t>
      </w:r>
    </w:p>
    <w:p>
      <w:pPr>
        <w:widowControl/>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1、把稳根本方向，筑牢思想之魂。坚持把政治建设摆在首位，坚持用新思想武装头脑，加强党的最新理论成果学习，引导中心党员学党史、悟思想、办实事、开新局。围 绕“弘扬两弹一星精神坚守为国选才初心”“深入学习习近平总书记在庆祝中国共产党成立100周年大会上的重要讲 话精神”等专题，抓紧抓牢招考中心工作。坚持把党史学习教育和庆祝建党 100周年系列活动作为重大政治任务，第一时间安排部署，参加“党史立心·筑梦韶华”--四川省招考系统庆祝建党 100周年暨国庆文艺大汇演活动，获全省招考系统高度评价。</w:t>
      </w:r>
    </w:p>
    <w:p>
      <w:pPr>
        <w:widowControl/>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统筹兼顾，确保平安招考。2021年，在市委市政府和市委教育工委、教育局党组坚强领导下，在各招考委成员单位和各级党委政府的大力支持下，全市招考战线干部职工切实履行职责，克服了疫情冲击导致组考环节增 多、考生人数增加导致压力加大等不利因素。普通高考和研究生招生考试前，分别组织开展考试安全专项整治行动，抓实抓细各环节工作，精心做好考试保障服务工作，成功确保平安招考。研招考试广元经验获教育部肯定推广。</w:t>
      </w:r>
    </w:p>
    <w:p>
      <w:pPr>
        <w:widowControl/>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3、扎牢制度篱笆，确保公平招考。突出考前隐患排查整治、考中考风考纪整肃工作，营造良好舆论氛围和温馨考试环境，确保各项考试招生公平公正。在10类13次学历、非学历教育考试中，市招考中心以最高标准、最严要求，认真做好各项工作，圆满完成各项目标任务。</w:t>
      </w:r>
    </w:p>
    <w:p>
      <w:pPr>
        <w:widowControl/>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4、强化服务保障，确保防疫保考两不误。在市卫健委等部门指导下，继续做好新冠肺炎疫情常态化防控形势下的考试招生工作。各类考试招生均严格制定防疫方案和应急预案，严格做好考生和考试工作人员健康监测和温馨提示，严格执行考生健康承诺制。各项考试招生中，继续督促指导各地细化完善组考方案和应急预案，监督检查各地考前、考中各项组考工作，强化业务培训，要求各地严格开展疫情防控培训和应急演练，落实了考试各环节防控措施，全力筑牢防疫和考试安全“两道防线”,取得了抗疫、保考双胜利。</w:t>
      </w:r>
    </w:p>
    <w:p>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br w:type="page"/>
      </w:r>
    </w:p>
    <w:p>
      <w:pPr>
        <w:pStyle w:val="3"/>
        <w:ind w:right="440"/>
        <w:jc w:val="center"/>
        <w:rPr>
          <w:rStyle w:val="27"/>
          <w:rFonts w:ascii="黑体" w:hAnsi="黑体" w:eastAsia="黑体"/>
          <w:b w:val="0"/>
          <w:bCs/>
          <w:color w:val="auto"/>
          <w:highlight w:val="none"/>
        </w:rPr>
      </w:pPr>
      <w:bookmarkStart w:id="21" w:name="_Toc15396602"/>
      <w:bookmarkStart w:id="22" w:name="_Toc15377204"/>
      <w:bookmarkStart w:id="23" w:name="_Toc12479"/>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21"/>
      <w:bookmarkEnd w:id="22"/>
      <w:bookmarkEnd w:id="23"/>
    </w:p>
    <w:p>
      <w:pPr>
        <w:rPr>
          <w:color w:val="auto"/>
          <w:highlight w:val="none"/>
        </w:rPr>
      </w:pP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24" w:name="_Toc15396603"/>
      <w:bookmarkStart w:id="25" w:name="_Toc10797"/>
      <w:bookmarkStart w:id="26" w:name="_Toc15377205"/>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415.81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789.99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65.52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2020年有上年结转的高考综合改革项目资金800万元和工资福利支出15万元。</w:t>
      </w:r>
    </w:p>
    <w:p>
      <w:pPr>
        <w:pStyle w:val="2"/>
      </w:pPr>
      <w:r>
        <w:drawing>
          <wp:inline distT="0" distB="0" distL="114300" distR="114300">
            <wp:extent cx="5261610" cy="3413125"/>
            <wp:effectExtent l="4445" t="4445" r="10795" b="1143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pP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27" w:name="_Toc15377206"/>
      <w:bookmarkStart w:id="28" w:name="_Toc15396604"/>
      <w:bookmarkStart w:id="29" w:name="_Toc32256"/>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2492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415.53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187.02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228.51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pStyle w:val="2"/>
      </w:pPr>
      <w:r>
        <w:drawing>
          <wp:inline distT="0" distB="0" distL="114300" distR="114300">
            <wp:extent cx="5230495" cy="3048635"/>
            <wp:effectExtent l="4445" t="4445" r="22860" b="1397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
      </w:pP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31" w:name="_Toc15396605"/>
      <w:bookmarkStart w:id="32" w:name="_Toc15377207"/>
      <w:bookmarkStart w:id="33" w:name="_Toc32051"/>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default" w:ascii="仿宋" w:hAnsi="仿宋" w:eastAsia="仿宋"/>
          <w:color w:val="auto"/>
          <w:sz w:val="32"/>
          <w:szCs w:val="32"/>
          <w:highlight w:val="none"/>
          <w:lang w:val="en-US" w:eastAsia="zh-CN"/>
        </w:rPr>
      </w:pPr>
      <w:bookmarkStart w:id="34" w:name="_Toc2882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415.65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225.63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190.02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pStyle w:val="2"/>
        <w:rPr>
          <w:rFonts w:hint="default" w:ascii="仿宋" w:hAnsi="仿宋" w:eastAsia="仿宋"/>
          <w:color w:val="auto"/>
          <w:sz w:val="32"/>
          <w:szCs w:val="32"/>
          <w:highlight w:val="none"/>
          <w:lang w:val="en-US" w:eastAsia="zh-CN"/>
        </w:rPr>
      </w:pPr>
      <w:r>
        <w:drawing>
          <wp:inline distT="0" distB="0" distL="114300" distR="114300">
            <wp:extent cx="4953000" cy="2767965"/>
            <wp:effectExtent l="4445" t="4445" r="14605" b="889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8"/>
          <w:rFonts w:ascii="黑体" w:hAnsi="黑体" w:eastAsia="黑体"/>
          <w:b w:val="0"/>
          <w:color w:val="auto"/>
          <w:highlight w:val="none"/>
        </w:rPr>
      </w:pPr>
      <w:bookmarkStart w:id="35" w:name="_Toc15396606"/>
      <w:bookmarkStart w:id="36" w:name="_Toc15377208"/>
      <w:bookmarkStart w:id="37" w:name="_Toc14247"/>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187.3</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801.83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81.06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2020年有高考综合改革项目资金800万元。</w:t>
      </w:r>
    </w:p>
    <w:p>
      <w:pPr>
        <w:pStyle w:val="2"/>
        <w:rPr>
          <w:rFonts w:ascii="仿宋" w:hAnsi="仿宋" w:eastAsia="仿宋"/>
          <w:b/>
          <w:color w:val="auto"/>
          <w:sz w:val="32"/>
          <w:szCs w:val="32"/>
          <w:highlight w:val="none"/>
        </w:rPr>
      </w:pPr>
      <w:r>
        <w:drawing>
          <wp:inline distT="0" distB="0" distL="114300" distR="114300">
            <wp:extent cx="5250180" cy="3444875"/>
            <wp:effectExtent l="4445" t="4445" r="22225" b="1778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auto"/>
          <w:sz w:val="32"/>
          <w:szCs w:val="32"/>
          <w:highlight w:val="none"/>
        </w:rPr>
      </w:pPr>
      <w:bookmarkStart w:id="38" w:name="_Toc15377209"/>
      <w:bookmarkStart w:id="39" w:name="_Toc15396607"/>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9"/>
        <w:rPr>
          <w:rFonts w:hint="eastAsia" w:ascii="黑体" w:hAnsi="黑体" w:eastAsia="黑体"/>
          <w:color w:val="auto"/>
          <w:sz w:val="32"/>
          <w:szCs w:val="32"/>
          <w:highlight w:val="none"/>
        </w:rPr>
      </w:pPr>
    </w:p>
    <w:p>
      <w:pPr>
        <w:spacing w:line="600" w:lineRule="exact"/>
        <w:ind w:firstLine="640" w:firstLineChars="200"/>
        <w:outlineLvl w:val="1"/>
        <w:rPr>
          <w:rStyle w:val="28"/>
          <w:rFonts w:ascii="黑体" w:hAnsi="黑体" w:eastAsia="黑体"/>
          <w:b w:val="0"/>
          <w:color w:val="auto"/>
          <w:highlight w:val="none"/>
        </w:rPr>
      </w:pPr>
      <w:bookmarkStart w:id="40" w:name="_Toc2378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187.14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45.02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701.11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78.93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2020年有高考综合改革项目支出。</w:t>
      </w:r>
    </w:p>
    <w:p>
      <w:pPr>
        <w:pStyle w:val="2"/>
      </w:pPr>
      <w:r>
        <w:drawing>
          <wp:inline distT="0" distB="0" distL="114300" distR="114300">
            <wp:extent cx="5272405" cy="3975735"/>
            <wp:effectExtent l="4445" t="4445" r="19050" b="2032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187.14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6.81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住房保障支出</w:t>
      </w:r>
      <w:r>
        <w:rPr>
          <w:rFonts w:hint="eastAsia" w:ascii="仿宋" w:hAnsi="仿宋" w:eastAsia="仿宋"/>
          <w:color w:val="auto"/>
          <w:sz w:val="32"/>
          <w:szCs w:val="32"/>
          <w:highlight w:val="none"/>
          <w:lang w:val="en-US" w:eastAsia="zh-CN"/>
        </w:rPr>
        <w:t>13.69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其他支出</w:t>
      </w:r>
      <w:r>
        <w:rPr>
          <w:rFonts w:hint="eastAsia" w:ascii="仿宋" w:hAnsi="仿宋" w:eastAsia="仿宋"/>
          <w:color w:val="auto"/>
          <w:sz w:val="32"/>
          <w:szCs w:val="32"/>
          <w:highlight w:val="none"/>
          <w:lang w:val="en-US" w:eastAsia="zh-CN"/>
        </w:rPr>
        <w:t>151.13万元，占82.42%</w:t>
      </w:r>
      <w:r>
        <w:rPr>
          <w:rFonts w:hint="eastAsia" w:ascii="仿宋" w:hAnsi="仿宋" w:eastAsia="仿宋"/>
          <w:color w:val="auto"/>
          <w:sz w:val="32"/>
          <w:szCs w:val="32"/>
          <w:highlight w:val="none"/>
        </w:rPr>
        <w:t>。</w:t>
      </w:r>
    </w:p>
    <w:p>
      <w:pPr>
        <w:pStyle w:val="2"/>
      </w:pPr>
    </w:p>
    <w:p>
      <w:pPr>
        <w:pStyle w:val="2"/>
        <w:rPr>
          <w:rFonts w:hint="eastAsia" w:ascii="仿宋" w:hAnsi="仿宋" w:eastAsia="仿宋"/>
          <w:color w:val="auto"/>
          <w:sz w:val="32"/>
          <w:szCs w:val="32"/>
          <w:highlight w:val="none"/>
        </w:rPr>
      </w:pPr>
      <w:r>
        <w:drawing>
          <wp:inline distT="0" distB="0" distL="114300" distR="114300">
            <wp:extent cx="4904740" cy="3343275"/>
            <wp:effectExtent l="4445" t="4445" r="5715" b="508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3" w:firstLineChars="200"/>
        <w:outlineLvl w:val="2"/>
        <w:rPr>
          <w:rFonts w:ascii="仿宋" w:hAnsi="仿宋" w:eastAsia="仿宋"/>
          <w:color w:val="auto"/>
          <w:sz w:val="32"/>
          <w:szCs w:val="32"/>
          <w:highlight w:val="none"/>
        </w:rPr>
      </w:pPr>
      <w:bookmarkStart w:id="44" w:name="_Toc15377213"/>
      <w:bookmarkStart w:id="45" w:name="_Toc15378460"/>
      <w:bookmarkStart w:id="46"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187.14万元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99.91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4"/>
      <w:bookmarkEnd w:id="45"/>
      <w:bookmarkEnd w:id="46"/>
    </w:p>
    <w:p>
      <w:pPr>
        <w:numPr>
          <w:ilvl w:val="0"/>
          <w:numId w:val="2"/>
        </w:num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事业单位离退休</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0.27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2"/>
        </w:num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行政事业单位养老支出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 xml:space="preserve"> 机关事业单位基本养老保险缴费支出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13.31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2"/>
        </w:num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其他社会保障和就业支出</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 xml:space="preserve"> 其他社会保障和就业支出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1.93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2"/>
        </w:numPr>
        <w:spacing w:line="600" w:lineRule="exact"/>
        <w:ind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（类）行政事业单位医疗（款）事业单位医疗（项）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支出决算为6.81万元，完成预算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2"/>
        </w:numPr>
        <w:spacing w:line="600" w:lineRule="exact"/>
        <w:ind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rPr>
        <w:t>住房保障支出</w:t>
      </w:r>
      <w:r>
        <w:rPr>
          <w:rStyle w:val="17"/>
          <w:rFonts w:hint="eastAsia" w:ascii="仿宋" w:hAnsi="仿宋" w:eastAsia="仿宋"/>
          <w:bCs/>
          <w:color w:val="auto"/>
          <w:sz w:val="32"/>
          <w:szCs w:val="32"/>
          <w:highlight w:val="none"/>
        </w:rPr>
        <w:t>（类）住房改革支出（款） 住房公积金（项）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支出决算为13.69万元，完成预算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numPr>
          <w:ilvl w:val="0"/>
          <w:numId w:val="2"/>
        </w:numPr>
        <w:spacing w:line="600" w:lineRule="exact"/>
        <w:ind w:firstLine="643" w:firstLineChars="200"/>
        <w:rPr>
          <w:rFonts w:ascii="仿宋" w:hAnsi="仿宋" w:eastAsia="仿宋"/>
          <w:b/>
          <w:color w:val="auto"/>
          <w:sz w:val="32"/>
          <w:szCs w:val="32"/>
          <w:highlight w:val="none"/>
        </w:rPr>
      </w:pPr>
      <w:r>
        <w:rPr>
          <w:rFonts w:hint="eastAsia" w:ascii="仿宋" w:hAnsi="仿宋" w:eastAsia="仿宋"/>
          <w:b/>
          <w:bCs/>
          <w:color w:val="auto"/>
          <w:sz w:val="32"/>
          <w:szCs w:val="32"/>
          <w:highlight w:val="none"/>
          <w:lang w:eastAsia="zh-CN"/>
        </w:rPr>
        <w:t>其他支出</w:t>
      </w:r>
      <w:r>
        <w:rPr>
          <w:rStyle w:val="17"/>
          <w:rFonts w:hint="eastAsia" w:ascii="仿宋" w:hAnsi="仿宋" w:eastAsia="仿宋"/>
          <w:bCs/>
          <w:color w:val="auto"/>
          <w:sz w:val="32"/>
          <w:szCs w:val="32"/>
          <w:highlight w:val="none"/>
        </w:rPr>
        <w:t>（类）</w:t>
      </w:r>
      <w:r>
        <w:rPr>
          <w:rFonts w:hint="eastAsia" w:ascii="仿宋" w:hAnsi="仿宋" w:eastAsia="仿宋"/>
          <w:b/>
          <w:bCs/>
          <w:color w:val="auto"/>
          <w:sz w:val="32"/>
          <w:szCs w:val="32"/>
          <w:highlight w:val="none"/>
          <w:lang w:eastAsia="zh-CN"/>
        </w:rPr>
        <w:t>其他支出</w:t>
      </w:r>
      <w:r>
        <w:rPr>
          <w:rStyle w:val="17"/>
          <w:rFonts w:hint="eastAsia" w:ascii="仿宋" w:hAnsi="仿宋" w:eastAsia="仿宋"/>
          <w:bCs/>
          <w:color w:val="auto"/>
          <w:sz w:val="32"/>
          <w:szCs w:val="32"/>
          <w:highlight w:val="none"/>
        </w:rPr>
        <w:t>（款）</w:t>
      </w:r>
      <w:r>
        <w:rPr>
          <w:rFonts w:hint="eastAsia" w:ascii="仿宋" w:hAnsi="仿宋" w:eastAsia="仿宋"/>
          <w:b/>
          <w:bCs/>
          <w:color w:val="auto"/>
          <w:sz w:val="32"/>
          <w:szCs w:val="32"/>
          <w:highlight w:val="none"/>
          <w:lang w:eastAsia="zh-CN"/>
        </w:rPr>
        <w:t>其他支出</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151.13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99.89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eastAsia="zh-CN"/>
        </w:rPr>
        <w:t>年末结转结余</w:t>
      </w:r>
      <w:r>
        <w:rPr>
          <w:rStyle w:val="17"/>
          <w:rFonts w:hint="eastAsia" w:ascii="仿宋" w:hAnsi="仿宋" w:eastAsia="仿宋"/>
          <w:b w:val="0"/>
          <w:bCs/>
          <w:color w:val="auto"/>
          <w:sz w:val="32"/>
          <w:szCs w:val="32"/>
          <w:highlight w:val="none"/>
          <w:lang w:val="en-US" w:eastAsia="zh-CN"/>
        </w:rPr>
        <w:t>0.16万元</w:t>
      </w:r>
      <w:r>
        <w:rPr>
          <w:rStyle w:val="17"/>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8"/>
          <w:color w:val="auto"/>
          <w:highlight w:val="none"/>
        </w:rPr>
      </w:pPr>
      <w:bookmarkStart w:id="47" w:name="_Toc15396608"/>
      <w:bookmarkStart w:id="48" w:name="_Toc9040"/>
      <w:bookmarkStart w:id="49"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47"/>
      <w:bookmarkEnd w:id="48"/>
      <w:bookmarkEnd w:id="49"/>
      <w:r>
        <w:rPr>
          <w:rStyle w:val="28"/>
          <w:rFonts w:ascii="黑体" w:hAnsi="黑体" w:eastAsia="黑体"/>
          <w:b w:val="0"/>
          <w:color w:val="auto"/>
          <w:highlight w:val="none"/>
        </w:rPr>
        <w:tab/>
      </w:r>
    </w:p>
    <w:p>
      <w:pPr>
        <w:spacing w:line="600" w:lineRule="exact"/>
        <w:ind w:firstLine="645"/>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179.24</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163.41</w:t>
      </w:r>
      <w:r>
        <w:rPr>
          <w:rFonts w:hint="eastAsia" w:ascii="仿宋" w:hAnsi="仿宋" w:eastAsia="仿宋"/>
          <w:color w:val="auto"/>
          <w:sz w:val="32"/>
          <w:szCs w:val="32"/>
          <w:highlight w:val="none"/>
        </w:rPr>
        <w:t>万元，主要包括：基本工资、津贴补贴、奖金、绩效工资、机关事业单位基本养老保险缴费、</w:t>
      </w:r>
      <w:r>
        <w:rPr>
          <w:rFonts w:hint="eastAsia" w:ascii="仿宋" w:hAnsi="仿宋" w:eastAsia="仿宋"/>
          <w:color w:val="auto"/>
          <w:sz w:val="32"/>
          <w:szCs w:val="32"/>
          <w:highlight w:val="none"/>
          <w:lang w:eastAsia="zh-CN"/>
        </w:rPr>
        <w:t>职工基本医疗保险</w:t>
      </w:r>
      <w:r>
        <w:rPr>
          <w:rFonts w:hint="eastAsia" w:ascii="仿宋" w:hAnsi="仿宋" w:eastAsia="仿宋"/>
          <w:color w:val="auto"/>
          <w:sz w:val="32"/>
          <w:szCs w:val="32"/>
          <w:highlight w:val="none"/>
        </w:rPr>
        <w:t>缴费、其他社会保障缴费、其他工资福利支出、生活补助、住房公积金。</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15.83</w:t>
      </w:r>
      <w:r>
        <w:rPr>
          <w:rFonts w:hint="eastAsia" w:ascii="仿宋" w:hAnsi="仿宋" w:eastAsia="仿宋"/>
          <w:color w:val="auto"/>
          <w:sz w:val="32"/>
          <w:szCs w:val="32"/>
          <w:highlight w:val="none"/>
        </w:rPr>
        <w:t>万元，主要包括：办公费、印刷费、咨询费、水费、邮电费、差旅费、维修（护）费、培训费、公务接待费、劳务费、工会经费、公务用车运行维护费、其他交通费、其他商品和服务支出。</w:t>
      </w:r>
    </w:p>
    <w:p>
      <w:pPr>
        <w:spacing w:line="600" w:lineRule="exact"/>
        <w:ind w:firstLine="640"/>
        <w:outlineLvl w:val="9"/>
        <w:rPr>
          <w:rFonts w:hint="eastAsia" w:ascii="黑体" w:eastAsia="黑体"/>
          <w:color w:val="auto"/>
          <w:sz w:val="32"/>
          <w:szCs w:val="32"/>
          <w:highlight w:val="none"/>
        </w:rPr>
      </w:pPr>
      <w:bookmarkStart w:id="50" w:name="_Toc15377215"/>
      <w:bookmarkStart w:id="51" w:name="_Toc15396609"/>
    </w:p>
    <w:p>
      <w:pPr>
        <w:spacing w:line="600" w:lineRule="exact"/>
        <w:ind w:firstLine="640"/>
        <w:outlineLvl w:val="1"/>
        <w:rPr>
          <w:rStyle w:val="28"/>
          <w:rFonts w:ascii="黑体" w:hAnsi="黑体" w:eastAsia="黑体"/>
          <w:b w:val="0"/>
          <w:color w:val="auto"/>
          <w:highlight w:val="none"/>
        </w:rPr>
      </w:pPr>
      <w:bookmarkStart w:id="52" w:name="_Toc32063"/>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50"/>
      <w:bookmarkEnd w:id="51"/>
      <w:bookmarkEnd w:id="52"/>
    </w:p>
    <w:p>
      <w:pPr>
        <w:spacing w:line="600" w:lineRule="exact"/>
        <w:ind w:firstLine="640"/>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1.64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91.11</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厉行节约，严格控制“三公”经费支出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w:t>
      </w:r>
      <w:r>
        <w:rPr>
          <w:rFonts w:hint="eastAsia" w:ascii="仿宋" w:hAnsi="仿宋" w:eastAsia="仿宋"/>
          <w:color w:val="auto"/>
          <w:sz w:val="32"/>
          <w:szCs w:val="32"/>
          <w:highlight w:val="none"/>
          <w:lang w:eastAsia="zh-CN"/>
        </w:rPr>
        <w:t>经</w:t>
      </w:r>
      <w:r>
        <w:rPr>
          <w:rFonts w:hint="eastAsia" w:ascii="仿宋" w:hAnsi="仿宋" w:eastAsia="仿宋"/>
          <w:color w:val="auto"/>
          <w:sz w:val="32"/>
          <w:szCs w:val="32"/>
          <w:highlight w:val="none"/>
        </w:rPr>
        <w:t>费支出</w:t>
      </w:r>
      <w:r>
        <w:rPr>
          <w:rFonts w:hint="eastAsia" w:ascii="仿宋" w:hAnsi="仿宋" w:eastAsia="仿宋"/>
          <w:color w:val="auto"/>
          <w:sz w:val="32"/>
          <w:szCs w:val="32"/>
          <w:highlight w:val="none"/>
          <w:lang w:eastAsia="zh-CN"/>
        </w:rPr>
        <w:t>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73.17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26.83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Pr>
      <w:r>
        <w:drawing>
          <wp:inline distT="0" distB="0" distL="114300" distR="114300">
            <wp:extent cx="5100320" cy="3229610"/>
            <wp:effectExtent l="4445" t="4445" r="19685" b="2349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rPr>
          <w:rFonts w:hint="eastAsia"/>
        </w:rPr>
      </w:pPr>
    </w:p>
    <w:p>
      <w:pPr>
        <w:numPr>
          <w:ilvl w:val="0"/>
          <w:numId w:val="0"/>
        </w:numPr>
        <w:spacing w:line="600" w:lineRule="exact"/>
        <w:ind w:firstLine="643" w:firstLineChars="200"/>
        <w:rPr>
          <w:rFonts w:hint="eastAsia"/>
          <w:lang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lang w:val="en-US" w:eastAsia="zh-CN"/>
        </w:rPr>
        <w:t>因公出国</w:t>
      </w:r>
      <w:r>
        <w:rPr>
          <w:rFonts w:hint="eastAsia" w:ascii="仿宋_GB2312" w:eastAsia="仿宋_GB2312"/>
          <w:color w:val="auto"/>
          <w:sz w:val="32"/>
          <w:szCs w:val="32"/>
          <w:highlight w:val="none"/>
          <w:lang w:eastAsia="zh-CN"/>
        </w:rPr>
        <w:t>（境）</w:t>
      </w:r>
      <w:r>
        <w:rPr>
          <w:rFonts w:hint="eastAsia" w:ascii="仿宋_GB2312" w:eastAsia="仿宋_GB2312"/>
          <w:color w:val="auto"/>
          <w:sz w:val="32"/>
          <w:szCs w:val="32"/>
          <w:highlight w:val="none"/>
          <w:lang w:val="en-US" w:eastAsia="zh-CN"/>
        </w:rPr>
        <w:t>支出决算较2020年无变化。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全年考试运送试卷</w:t>
      </w:r>
      <w:r>
        <w:rPr>
          <w:rFonts w:hint="eastAsia" w:ascii="仿宋_GB2312" w:eastAsia="仿宋_GB2312"/>
          <w:color w:val="auto"/>
          <w:sz w:val="32"/>
          <w:szCs w:val="32"/>
          <w:highlight w:val="none"/>
        </w:rPr>
        <w:t>等所需的公务用车燃料费、维修费、过路过桥费、保险费等支出。</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万元，完成预算</w:t>
      </w:r>
      <w:r>
        <w:rPr>
          <w:rFonts w:hint="eastAsia" w:ascii="仿宋_GB2312" w:eastAsia="仿宋_GB2312"/>
          <w:color w:val="auto"/>
          <w:sz w:val="32"/>
          <w:szCs w:val="32"/>
          <w:highlight w:val="none"/>
          <w:lang w:val="en-US" w:eastAsia="zh-CN"/>
        </w:rPr>
        <w:t>73.33</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0.41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1366.66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2020年因疫情原因，公务接待比较少，2021年疫情稳定后省考试院在考试期间会派人前来我市督考</w:t>
      </w:r>
      <w:r>
        <w:rPr>
          <w:rFonts w:hint="eastAsia" w:ascii="仿宋_GB2312" w:eastAsia="仿宋_GB2312"/>
          <w:color w:val="auto"/>
          <w:sz w:val="32"/>
          <w:szCs w:val="32"/>
          <w:highlight w:val="none"/>
        </w:rPr>
        <w:t>。</w:t>
      </w:r>
    </w:p>
    <w:p>
      <w:pPr>
        <w:spacing w:line="60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0.44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rPr>
        <w:t>人次（不包括陪同人员），主要用于</w:t>
      </w:r>
      <w:r>
        <w:rPr>
          <w:rFonts w:hint="eastAsia" w:ascii="仿宋_GB2312" w:eastAsia="仿宋_GB2312"/>
          <w:color w:val="auto"/>
          <w:sz w:val="32"/>
          <w:szCs w:val="32"/>
          <w:highlight w:val="none"/>
          <w:lang w:eastAsia="zh-CN"/>
        </w:rPr>
        <w:t>省考试院考试期间来我市督考巡考接待餐费</w:t>
      </w:r>
      <w:r>
        <w:rPr>
          <w:rFonts w:hint="eastAsia" w:ascii="仿宋_GB2312" w:eastAsia="仿宋_GB2312"/>
          <w:color w:val="auto"/>
          <w:sz w:val="32"/>
          <w:szCs w:val="32"/>
          <w:highlight w:val="none"/>
        </w:rPr>
        <w:t>。</w:t>
      </w:r>
    </w:p>
    <w:p>
      <w:pPr>
        <w:spacing w:line="600" w:lineRule="exact"/>
        <w:ind w:firstLine="643" w:firstLineChars="200"/>
        <w:rPr>
          <w:rFonts w:hint="eastAsia" w:ascii="仿宋_GB2312" w:eastAsia="仿宋"/>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_GB2312" w:eastAsia="仿宋_GB2312"/>
          <w:color w:val="auto"/>
          <w:sz w:val="32"/>
          <w:szCs w:val="32"/>
          <w:highlight w:val="none"/>
          <w:lang w:val="en-US" w:eastAsia="zh-CN"/>
        </w:rPr>
        <w:t>0万元。</w:t>
      </w:r>
      <w:r>
        <w:rPr>
          <w:rFonts w:hint="eastAsia" w:ascii="仿宋_GB2312" w:eastAsia="仿宋_GB2312"/>
          <w:color w:val="auto"/>
          <w:sz w:val="32"/>
          <w:szCs w:val="32"/>
          <w:highlight w:val="none"/>
          <w:lang w:eastAsia="zh-CN"/>
        </w:rPr>
        <w:t>本年度我单位无外事接待支出。</w:t>
      </w:r>
    </w:p>
    <w:p>
      <w:pPr>
        <w:spacing w:line="600" w:lineRule="exact"/>
        <w:ind w:firstLine="640"/>
        <w:outlineLvl w:val="9"/>
        <w:rPr>
          <w:rFonts w:ascii="黑体" w:eastAsia="黑体"/>
          <w:color w:val="auto"/>
          <w:sz w:val="32"/>
          <w:szCs w:val="32"/>
          <w:highlight w:val="none"/>
        </w:rPr>
      </w:pPr>
      <w:bookmarkStart w:id="55" w:name="_Toc15377218"/>
      <w:bookmarkStart w:id="56" w:name="_Toc15396610"/>
    </w:p>
    <w:p>
      <w:pPr>
        <w:spacing w:line="600" w:lineRule="exact"/>
        <w:ind w:firstLine="640"/>
        <w:outlineLvl w:val="1"/>
        <w:rPr>
          <w:rStyle w:val="28"/>
          <w:rFonts w:ascii="黑体" w:hAnsi="黑体" w:eastAsia="黑体"/>
          <w:color w:val="auto"/>
          <w:highlight w:val="none"/>
        </w:rPr>
      </w:pPr>
      <w:bookmarkStart w:id="57" w:name="_Toc14595"/>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55"/>
      <w:bookmarkEnd w:id="56"/>
      <w:bookmarkEnd w:id="57"/>
    </w:p>
    <w:p>
      <w:pPr>
        <w:spacing w:line="600" w:lineRule="exact"/>
        <w:ind w:firstLine="64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2021年政府性基金预算拨款支出0万元</w:t>
      </w:r>
      <w:r>
        <w:rPr>
          <w:rFonts w:hint="eastAsia" w:ascii="仿宋_GB2312" w:eastAsia="仿宋_GB2312"/>
          <w:color w:val="auto"/>
          <w:sz w:val="32"/>
          <w:szCs w:val="32"/>
          <w:highlight w:val="none"/>
          <w:lang w:eastAsia="zh-CN"/>
        </w:rPr>
        <w:t>。</w:t>
      </w:r>
    </w:p>
    <w:p>
      <w:pPr>
        <w:pStyle w:val="2"/>
      </w:pPr>
    </w:p>
    <w:p>
      <w:pPr>
        <w:numPr>
          <w:ilvl w:val="0"/>
          <w:numId w:val="3"/>
        </w:numPr>
        <w:spacing w:line="600" w:lineRule="exact"/>
        <w:ind w:firstLine="640"/>
        <w:outlineLvl w:val="1"/>
        <w:rPr>
          <w:rStyle w:val="28"/>
          <w:rFonts w:ascii="黑体" w:hAnsi="黑体" w:eastAsia="黑体"/>
          <w:b w:val="0"/>
          <w:color w:val="auto"/>
          <w:highlight w:val="none"/>
        </w:rPr>
      </w:pPr>
      <w:bookmarkStart w:id="58" w:name="_Toc15396611"/>
      <w:bookmarkStart w:id="59" w:name="_Toc30259"/>
      <w:bookmarkStart w:id="60" w:name="_Toc15377219"/>
      <w:r>
        <w:rPr>
          <w:rStyle w:val="28"/>
          <w:rFonts w:hint="eastAsia" w:ascii="黑体" w:hAnsi="黑体" w:eastAsia="黑体"/>
          <w:b w:val="0"/>
          <w:color w:val="auto"/>
          <w:highlight w:val="none"/>
        </w:rPr>
        <w:t>国有资本经营预算支出决算情况说明</w:t>
      </w:r>
      <w:bookmarkEnd w:id="58"/>
      <w:bookmarkEnd w:id="59"/>
      <w:bookmarkEnd w:id="60"/>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8"/>
          <w:rFonts w:hint="eastAsia" w:ascii="黑体" w:hAnsi="黑体" w:eastAsia="黑体"/>
          <w:b w:val="0"/>
          <w:color w:val="auto"/>
          <w:highlight w:val="none"/>
        </w:rPr>
      </w:pPr>
      <w:bookmarkStart w:id="61" w:name="_Toc17825"/>
      <w:bookmarkStart w:id="62" w:name="_Toc15396612"/>
      <w:bookmarkStart w:id="63" w:name="_Toc15377221"/>
      <w:r>
        <w:rPr>
          <w:rStyle w:val="28"/>
          <w:rFonts w:hint="eastAsia" w:ascii="黑体" w:hAnsi="黑体" w:eastAsia="黑体"/>
          <w:b w:val="0"/>
          <w:color w:val="auto"/>
          <w:highlight w:val="none"/>
          <w:lang w:val="en-US" w:eastAsia="zh-CN"/>
        </w:rPr>
        <w:t>预算绩效管理情况</w:t>
      </w:r>
      <w:bookmarkEnd w:id="61"/>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中考制卷费及中考招生考试工作经费、招生考试工作经费</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Style w:val="2"/>
        <w:rPr>
          <w:rFonts w:hint="eastAsia"/>
        </w:rPr>
      </w:pPr>
    </w:p>
    <w:p>
      <w:pPr>
        <w:numPr>
          <w:ilvl w:val="0"/>
          <w:numId w:val="3"/>
        </w:numPr>
        <w:spacing w:line="600" w:lineRule="exact"/>
        <w:ind w:firstLine="640"/>
        <w:outlineLvl w:val="1"/>
        <w:rPr>
          <w:rStyle w:val="28"/>
          <w:rFonts w:hint="eastAsia" w:ascii="黑体" w:hAnsi="黑体" w:eastAsia="黑体"/>
          <w:b w:val="0"/>
          <w:color w:val="auto"/>
          <w:highlight w:val="none"/>
        </w:rPr>
      </w:pPr>
      <w:bookmarkStart w:id="64" w:name="_Toc30989"/>
      <w:r>
        <w:rPr>
          <w:rStyle w:val="28"/>
          <w:rFonts w:hint="eastAsia" w:ascii="黑体" w:hAnsi="黑体" w:eastAsia="黑体"/>
          <w:b w:val="0"/>
          <w:color w:val="auto"/>
          <w:highlight w:val="none"/>
        </w:rPr>
        <w:t>其他重要事项的情况说明</w:t>
      </w:r>
      <w:bookmarkEnd w:id="62"/>
      <w:bookmarkEnd w:id="63"/>
      <w:bookmarkEnd w:id="64"/>
    </w:p>
    <w:p>
      <w:pP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2021年</w:t>
      </w:r>
      <w:r>
        <w:rPr>
          <w:rFonts w:hint="eastAsia" w:ascii="仿宋_GB2312" w:hAnsi="Times New Roman" w:eastAsia="仿宋_GB2312" w:cs="Times New Roman"/>
          <w:color w:val="auto"/>
          <w:sz w:val="32"/>
          <w:szCs w:val="32"/>
          <w:highlight w:val="none"/>
        </w:rPr>
        <w:t>未发生机关运行经费支出</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广元市招生考试中心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9"/>
        <w:rPr>
          <w:rFonts w:hint="eastAsia" w:ascii="仿宋" w:hAnsi="仿宋" w:eastAsia="仿宋"/>
          <w:b/>
          <w:color w:val="auto"/>
          <w:sz w:val="32"/>
          <w:szCs w:val="32"/>
          <w:highlight w:val="none"/>
        </w:rPr>
      </w:pPr>
      <w:bookmarkStart w:id="67" w:name="_Toc15377224"/>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广元市招生考试中心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其他用车主要是用于全市各项考试运送试卷往返成都等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68" w:name="_Toc15396613"/>
      <w:bookmarkStart w:id="69" w:name="_Toc5526"/>
      <w:bookmarkStart w:id="70" w:name="_Toc15377225"/>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1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19"/>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pStyle w:val="19"/>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5.社会保障和就业（类）行政事业单位养老支出（款）事业单位离退休（项）: 指用于事业单位离退休方面的支出。</w:t>
      </w:r>
    </w:p>
    <w:p>
      <w:pPr>
        <w:pStyle w:val="19"/>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6.社会保障和就业（类）行政事业单位养老支出（款）机关事业单位基本养老保险缴费支出（项）: 指用于实施养老保险制度由单位缴纳的基本养老保险费支出。</w:t>
      </w:r>
    </w:p>
    <w:p>
      <w:pPr>
        <w:pStyle w:val="19"/>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7.社会保障和就业（类）其他社会保障和就业支出（款）其他社会保障和就业支出（项）: 指单位退休中人职业年金支出。</w:t>
      </w:r>
    </w:p>
    <w:p>
      <w:pPr>
        <w:pStyle w:val="19"/>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.卫生健康支出（类）行政事业单位医疗（款）事业单位医疗（项）：指用于事业单位由单位缴纳的基本医疗保险缴费。</w:t>
      </w:r>
    </w:p>
    <w:p>
      <w:pPr>
        <w:pStyle w:val="19"/>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.住房保障支出（类）住房改革支出（款）住房公积金（项）：指本单位用于按规定的工资基数以及规定比例为职工缴纳的住房公积金。</w:t>
      </w:r>
    </w:p>
    <w:p>
      <w:pPr>
        <w:pStyle w:val="19"/>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支出（类）</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支出（款）</w:t>
      </w:r>
      <w:r>
        <w:rPr>
          <w:rFonts w:hint="eastAsia" w:ascii="仿宋_GB2312" w:eastAsia="仿宋_GB2312"/>
          <w:color w:val="auto"/>
          <w:sz w:val="32"/>
          <w:szCs w:val="32"/>
          <w:highlight w:val="none"/>
          <w:lang w:eastAsia="zh-CN"/>
        </w:rPr>
        <w:t>其他</w:t>
      </w:r>
      <w:r>
        <w:rPr>
          <w:rFonts w:hint="eastAsia" w:ascii="仿宋_GB2312" w:eastAsia="仿宋_GB2312"/>
          <w:color w:val="auto"/>
          <w:sz w:val="32"/>
          <w:szCs w:val="32"/>
          <w:highlight w:val="none"/>
        </w:rPr>
        <w:t>支出（项）：指</w:t>
      </w:r>
      <w:r>
        <w:rPr>
          <w:rFonts w:hint="eastAsia" w:ascii="仿宋_GB2312" w:eastAsia="仿宋_GB2312"/>
          <w:color w:val="auto"/>
          <w:sz w:val="32"/>
          <w:szCs w:val="32"/>
          <w:highlight w:val="none"/>
          <w:lang w:eastAsia="zh-CN"/>
        </w:rPr>
        <w:t>上述项目以外其他不能划分到具体功能科目中的支出项目。</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1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7"/>
          <w:rFonts w:ascii="黑体" w:hAnsi="黑体" w:eastAsia="黑体"/>
          <w:b w:val="0"/>
          <w:color w:val="auto"/>
          <w:highlight w:val="none"/>
        </w:rPr>
      </w:pPr>
      <w:bookmarkStart w:id="71" w:name="_Toc15377226"/>
      <w:r>
        <w:rPr>
          <w:rFonts w:ascii="宋体"/>
          <w:b/>
          <w:color w:val="auto"/>
          <w:sz w:val="44"/>
          <w:szCs w:val="44"/>
          <w:highlight w:val="none"/>
        </w:rPr>
        <w:br w:type="page"/>
      </w:r>
      <w:bookmarkStart w:id="72" w:name="_Toc15396614"/>
      <w:bookmarkStart w:id="73" w:name="_Toc1985"/>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72"/>
      <w:bookmarkEnd w:id="73"/>
    </w:p>
    <w:p>
      <w:pPr>
        <w:pStyle w:val="2"/>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1</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（中考制卷费及中考招生考试工作经费）</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1．说明项目主管部门在该项目管理中的职能。</w:t>
      </w:r>
    </w:p>
    <w:p>
      <w:pPr>
        <w:pStyle w:val="2"/>
        <w:ind w:firstLine="640"/>
        <w:rPr>
          <w:rFonts w:hint="eastAsia" w:hAnsi="宋体" w:cs="Times New Roman"/>
          <w:color w:val="auto"/>
          <w:sz w:val="32"/>
          <w:szCs w:val="32"/>
          <w:highlight w:val="none"/>
          <w:lang w:val="en-US" w:eastAsia="zh-CN"/>
        </w:rPr>
      </w:pPr>
      <w:r>
        <w:rPr>
          <w:rFonts w:hint="eastAsia" w:hAnsi="宋体" w:cs="Times New Roman"/>
          <w:color w:val="auto"/>
          <w:sz w:val="32"/>
          <w:szCs w:val="32"/>
          <w:highlight w:val="none"/>
          <w:lang w:val="en-US" w:eastAsia="zh-CN"/>
        </w:rPr>
        <w:t>主管部门对该项目的进度进行监督，对该项目的预算执行、各项效益的完成阶段完成情况进行动态跟踪监控，督查检查。</w:t>
      </w:r>
    </w:p>
    <w:p>
      <w:pPr>
        <w:pStyle w:val="2"/>
        <w:ind w:firstLine="640"/>
        <w:rPr>
          <w:rFonts w:hint="default" w:eastAsia="仿宋_GB2312"/>
          <w:lang w:val="en-US" w:eastAsia="zh-CN"/>
        </w:rPr>
      </w:pPr>
      <w:r>
        <w:rPr>
          <w:rFonts w:hint="eastAsia" w:ascii="仿宋_GB2312" w:hAnsi="宋体" w:eastAsia="仿宋_GB2312" w:cs="Times New Roman"/>
          <w:color w:val="auto"/>
          <w:sz w:val="32"/>
          <w:szCs w:val="32"/>
          <w:highlight w:val="none"/>
          <w:lang w:val="zh-CN"/>
        </w:rPr>
        <w:t>2．项目立项、资金申报的依据。</w:t>
      </w:r>
      <w:r>
        <w:rPr>
          <w:rFonts w:hint="eastAsia" w:hAnsi="宋体" w:cs="Times New Roman"/>
          <w:color w:val="auto"/>
          <w:sz w:val="32"/>
          <w:szCs w:val="32"/>
          <w:highlight w:val="none"/>
          <w:lang w:val="zh-CN"/>
        </w:rPr>
        <w:t>项目主要针对中考经费缺口问题进行申报，经上级主管部门审核，报市财政局批准执行。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中考经费实行专款专用制度，由业务科室申报中考经费支出预算方案，分管领导审核，经主任办公会上会后实施。</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sz w:val="32"/>
          <w:szCs w:val="32"/>
          <w:highlight w:val="none"/>
          <w:lang w:val="zh-CN"/>
        </w:rPr>
        <w:t>资金分配的原则及考虑因素。</w:t>
      </w:r>
    </w:p>
    <w:p>
      <w:pPr>
        <w:pStyle w:val="14"/>
        <w:numPr>
          <w:ilvl w:val="0"/>
          <w:numId w:val="0"/>
        </w:numPr>
        <w:rPr>
          <w:rFonts w:hint="default" w:eastAsia="宋体"/>
          <w:lang w:val="en-US" w:eastAsia="zh-CN"/>
        </w:rPr>
      </w:pPr>
      <w:r>
        <w:rPr>
          <w:rFonts w:hint="eastAsia" w:ascii="仿宋_GB2312" w:hAnsi="宋体" w:eastAsia="仿宋_GB2312" w:cs="Times New Roman"/>
          <w:color w:val="auto"/>
          <w:kern w:val="2"/>
          <w:sz w:val="32"/>
          <w:szCs w:val="32"/>
          <w:highlight w:val="none"/>
          <w:lang w:val="en-US" w:eastAsia="zh-CN" w:bidi="ar-SA"/>
        </w:rPr>
        <w:t xml:space="preserve">    中考经费实行专款专用制度，资金使用时按照单位内控制度要求，凡支出金额在1万元以上的，需经主任办公会讨论通过后支付。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1．项目主要内容。主要用于中考制卷费缺口部分。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2．项目应实现的具体绩效目标。</w:t>
      </w:r>
      <w:r>
        <w:rPr>
          <w:rFonts w:hint="eastAsia" w:ascii="仿宋_GB2312" w:hAnsi="宋体" w:eastAsia="仿宋_GB2312" w:cs="Times New Roman"/>
          <w:color w:val="auto"/>
          <w:sz w:val="32"/>
          <w:szCs w:val="32"/>
          <w:highlight w:val="none"/>
          <w:lang w:val="en-US" w:eastAsia="zh-CN"/>
        </w:rPr>
        <w:t>2021年共2.3万考生参考，大约需印制试卷16万份，要确保试卷质量过关。组考。阅卷、录取均须按照国家教育考试要求规范操作。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cs="Times New Roman"/>
          <w:color w:val="auto"/>
          <w:sz w:val="32"/>
          <w:szCs w:val="32"/>
          <w:highlight w:val="none"/>
          <w:lang w:val="zh-CN"/>
        </w:rPr>
        <w:t>3．</w:t>
      </w:r>
      <w:r>
        <w:rPr>
          <w:rFonts w:hint="eastAsia" w:ascii="仿宋_GB2312" w:hAnsi="宋体" w:eastAsia="仿宋_GB2312"/>
          <w:sz w:val="32"/>
          <w:szCs w:val="32"/>
          <w:lang w:val="zh-CN"/>
        </w:rPr>
        <w:t>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项目申报内容与实际相符，申报目标合理合规。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由项目实施科室根据项目内容拟定绩效目标完成指标，综合科财务室依据广元市财政局《关于开展202</w:t>
      </w: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年市级预算部门支出绩效评价工作的通知》组织实施项目绩效自评。</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项目绩效自评采用集中组织财务及相关人员成立自评小组，对照部门支出评价指标体系，采用比较法，评分等级依次为：优、良、中、差。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按照预算编制要求，科学合理地编制项目库表、部门预算项目立项审核表、部门项目绩效申报表，按照财政</w:t>
      </w:r>
      <w:r>
        <w:rPr>
          <w:rFonts w:hint="eastAsia" w:ascii="仿宋_GB2312" w:hAnsi="宋体" w:eastAsia="仿宋_GB2312"/>
          <w:sz w:val="32"/>
          <w:szCs w:val="32"/>
          <w:lang w:val="en-US" w:eastAsia="zh-CN"/>
        </w:rPr>
        <w:t>预算批复表执行预算。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r>
        <w:rPr>
          <w:rFonts w:hint="eastAsia" w:ascii="仿宋_GB2312" w:hAnsi="宋体" w:eastAsia="仿宋_GB2312" w:cs="Times New Roman"/>
          <w:color w:val="auto"/>
          <w:sz w:val="32"/>
          <w:szCs w:val="32"/>
          <w:highlight w:val="none"/>
          <w:lang w:val="zh-CN"/>
        </w:rPr>
        <w:t>该项目年度预算资金</w:t>
      </w:r>
      <w:r>
        <w:rPr>
          <w:rFonts w:hint="eastAsia" w:ascii="仿宋_GB2312" w:hAnsi="宋体" w:eastAsia="仿宋_GB2312" w:cs="Times New Roman"/>
          <w:color w:val="auto"/>
          <w:sz w:val="32"/>
          <w:szCs w:val="32"/>
          <w:highlight w:val="none"/>
          <w:lang w:val="en-US" w:eastAsia="zh-CN"/>
        </w:rPr>
        <w:t>7.89万元，为一般公共预算资金</w:t>
      </w:r>
      <w:r>
        <w:rPr>
          <w:rFonts w:hint="eastAsia" w:ascii="仿宋_GB2312" w:hAnsi="宋体" w:eastAsia="仿宋_GB2312"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rPr>
      </w:pPr>
      <w:r>
        <w:rPr>
          <w:rFonts w:hint="eastAsia" w:ascii="楷体_GB2312" w:hAnsi="宋体" w:eastAsia="楷体_GB2312" w:cs="Times New Roman"/>
          <w:color w:val="auto"/>
          <w:sz w:val="32"/>
          <w:szCs w:val="32"/>
          <w:highlight w:val="none"/>
          <w:lang w:val="zh-CN"/>
        </w:rPr>
        <w:t>2．资金到位。</w:t>
      </w:r>
      <w:r>
        <w:rPr>
          <w:rFonts w:hint="eastAsia" w:ascii="仿宋_GB2312" w:hAnsi="宋体" w:eastAsia="仿宋_GB2312" w:cs="Times New Roman"/>
          <w:color w:val="auto"/>
          <w:sz w:val="32"/>
          <w:szCs w:val="32"/>
          <w:highlight w:val="none"/>
          <w:lang w:val="en-US" w:eastAsia="zh-CN"/>
        </w:rPr>
        <w:t>2021年初，年度预算中申报的</w:t>
      </w:r>
      <w:r>
        <w:rPr>
          <w:rFonts w:hint="eastAsia" w:ascii="仿宋_GB2312" w:hAnsi="宋体" w:eastAsia="仿宋_GB2312" w:cs="Times New Roman"/>
          <w:color w:val="auto"/>
          <w:kern w:val="2"/>
          <w:sz w:val="32"/>
          <w:szCs w:val="32"/>
          <w:highlight w:val="none"/>
          <w:lang w:val="zh-CN" w:eastAsia="zh-CN" w:bidi="ar-SA"/>
        </w:rPr>
        <w:t>中考制卷费及中考招生考试工作经费</w:t>
      </w:r>
      <w:r>
        <w:rPr>
          <w:rFonts w:hint="eastAsia" w:ascii="仿宋_GB2312" w:hAnsi="宋体" w:eastAsia="仿宋_GB2312" w:cs="Times New Roman"/>
          <w:color w:val="auto"/>
          <w:kern w:val="2"/>
          <w:sz w:val="32"/>
          <w:szCs w:val="32"/>
          <w:highlight w:val="none"/>
          <w:lang w:val="en-US" w:eastAsia="zh-CN" w:bidi="ar-SA"/>
        </w:rPr>
        <w:t>7.89万元</w:t>
      </w:r>
      <w:r>
        <w:rPr>
          <w:rFonts w:hint="eastAsia" w:ascii="仿宋_GB2312" w:hAnsi="宋体" w:eastAsia="仿宋_GB2312"/>
          <w:sz w:val="32"/>
          <w:szCs w:val="32"/>
          <w:lang w:val="zh-CN"/>
        </w:rPr>
        <w:t>全部拨付到位，到位率</w:t>
      </w:r>
      <w:r>
        <w:rPr>
          <w:rFonts w:hint="eastAsia" w:ascii="仿宋_GB2312" w:hAnsi="宋体" w:eastAsia="仿宋_GB2312"/>
          <w:sz w:val="32"/>
          <w:szCs w:val="32"/>
        </w:rPr>
        <w:t>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zh-CN"/>
        </w:rPr>
        <w:t>3．资金使用。</w:t>
      </w:r>
      <w:r>
        <w:rPr>
          <w:rFonts w:hint="eastAsia" w:ascii="仿宋_GB2312" w:hAnsi="宋体" w:eastAsia="仿宋_GB2312"/>
          <w:sz w:val="32"/>
          <w:szCs w:val="32"/>
          <w:lang w:val="zh-CN"/>
        </w:rPr>
        <w:t>截止2020年12月31日，</w:t>
      </w:r>
      <w:r>
        <w:rPr>
          <w:rFonts w:hint="eastAsia" w:ascii="仿宋_GB2312" w:hAnsi="宋体" w:eastAsia="仿宋_GB2312"/>
          <w:sz w:val="32"/>
          <w:szCs w:val="32"/>
          <w:lang w:val="en-US" w:eastAsia="zh-CN"/>
        </w:rPr>
        <w:t>7.89万元已全部支付</w:t>
      </w:r>
      <w:r>
        <w:rPr>
          <w:rFonts w:hint="eastAsia" w:ascii="仿宋_GB2312" w:eastAsia="仿宋_GB2312"/>
          <w:sz w:val="32"/>
          <w:szCs w:val="32"/>
        </w:rPr>
        <w:t>。</w:t>
      </w:r>
      <w:r>
        <w:rPr>
          <w:rFonts w:hint="eastAsia" w:ascii="仿宋_GB2312" w:hAnsi="宋体" w:eastAsia="仿宋_GB2312"/>
          <w:sz w:val="32"/>
          <w:szCs w:val="32"/>
          <w:lang w:val="zh-CN"/>
        </w:rPr>
        <w:t>资金使用合规合法，与预算相符，执行率达到100%。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经自评，市招生考试中心财务管理制度健全，严格执行财务管理制度，账务处理及时，会计核算规范。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sz w:val="32"/>
          <w:szCs w:val="32"/>
          <w:lang w:val="zh-CN"/>
        </w:rPr>
        <w:t>项目根据目标内容由分管领导牵头，分管科室及相关科室具体负责实施。</w:t>
      </w:r>
    </w:p>
    <w:p>
      <w:pPr>
        <w:adjustRightInd w:val="0"/>
        <w:snapToGrid w:val="0"/>
        <w:spacing w:line="600" w:lineRule="exact"/>
        <w:ind w:firstLine="643" w:firstLineChars="200"/>
        <w:jc w:val="left"/>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eastAsia="仿宋_GB2312"/>
          <w:sz w:val="32"/>
          <w:szCs w:val="32"/>
        </w:rPr>
        <w:t>本项目</w:t>
      </w:r>
      <w:r>
        <w:rPr>
          <w:rFonts w:hint="eastAsia" w:ascii="仿宋_GB2312" w:eastAsia="仿宋_GB2312"/>
          <w:sz w:val="32"/>
          <w:szCs w:val="32"/>
          <w:lang w:eastAsia="zh-CN"/>
        </w:rPr>
        <w:t>所有支出均</w:t>
      </w:r>
      <w:r>
        <w:rPr>
          <w:rFonts w:hint="eastAsia" w:ascii="仿宋_GB2312" w:eastAsia="仿宋_GB2312"/>
          <w:sz w:val="32"/>
          <w:szCs w:val="32"/>
        </w:rPr>
        <w:t>严格按照相关法律法规及上级文件予以推进实施。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sz w:val="32"/>
          <w:szCs w:val="32"/>
          <w:highlight w:val="none"/>
          <w:lang w:val="zh-CN"/>
        </w:rPr>
        <w:t>市招生考试中心在中考期间邀请了市教育局督查审计科参与，对实施过程进行监督。从中考的制卷、组考、阅卷到录取工作情况来看，中考项目完成情况较好，满意度较高，项目绩效达到预期目标。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cs="Times New Roman"/>
          <w:b/>
          <w:color w:val="auto"/>
          <w:sz w:val="32"/>
          <w:szCs w:val="32"/>
          <w:highlight w:val="none"/>
          <w:lang w:val="en-US"/>
        </w:rPr>
      </w:pPr>
      <w:r>
        <w:rPr>
          <w:rFonts w:hint="eastAsia" w:ascii="仿宋_GB2312" w:hAnsi="宋体" w:eastAsia="仿宋_GB2312" w:cs="Times New Roman"/>
          <w:color w:val="auto"/>
          <w:sz w:val="32"/>
          <w:szCs w:val="32"/>
          <w:highlight w:val="none"/>
          <w:lang w:val="en-US" w:eastAsia="zh-CN"/>
        </w:rPr>
        <w:t>2021年我市共2.3万人参加中考，从试卷印制到考试组考，再到阅卷录取环节，均按照预期目标完成。此7.89万元为财政补差，其余部分由财政专户资金支出。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zh-CN"/>
        </w:rPr>
        <w:t>项目的实施达到了预期效益，圆满完成了</w:t>
      </w:r>
      <w:r>
        <w:rPr>
          <w:rFonts w:hint="eastAsia" w:ascii="仿宋_GB2312" w:hAnsi="宋体" w:eastAsia="仿宋_GB2312" w:cs="Times New Roman"/>
          <w:color w:val="auto"/>
          <w:sz w:val="32"/>
          <w:szCs w:val="32"/>
          <w:highlight w:val="none"/>
          <w:lang w:val="en-US" w:eastAsia="zh-CN"/>
        </w:rPr>
        <w:t>2021年中考工作。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本项目立项严谨、管理规范、202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 xml:space="preserve">年各项指标完成情况较好，社会效益良好。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中考经费收入部分缺口大。</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pStyle w:val="2"/>
        <w:ind w:firstLine="600" w:firstLineChars="200"/>
        <w:rPr>
          <w:rFonts w:hint="eastAsia"/>
          <w:color w:val="auto"/>
          <w:highlight w:val="none"/>
          <w:lang w:val="zh-CN"/>
        </w:rPr>
      </w:pPr>
      <w:r>
        <w:rPr>
          <w:rFonts w:hint="eastAsia"/>
          <w:color w:val="auto"/>
          <w:highlight w:val="none"/>
          <w:lang w:val="zh-CN"/>
        </w:rPr>
        <w:t>由于中考经费收入部分缺口较大，建议财政不再压减此项资金。</w:t>
      </w:r>
    </w:p>
    <w:p>
      <w:pPr>
        <w:rPr>
          <w:rFonts w:hint="eastAsia"/>
          <w:color w:val="auto"/>
          <w:highlight w:val="none"/>
          <w:lang w:val="zh-CN"/>
        </w:rPr>
      </w:pPr>
    </w:p>
    <w:p>
      <w:pPr>
        <w:pStyle w:val="14"/>
        <w:rPr>
          <w:rFonts w:hint="eastAsia"/>
          <w:color w:val="auto"/>
          <w:highlight w:val="none"/>
          <w:lang w:val="zh-CN"/>
        </w:rPr>
      </w:pPr>
    </w:p>
    <w:p>
      <w:pPr>
        <w:rPr>
          <w:rFonts w:hint="eastAsia"/>
          <w:color w:val="auto"/>
          <w:highlight w:val="none"/>
          <w:lang w:val="zh-CN"/>
        </w:rPr>
      </w:pPr>
    </w:p>
    <w:p>
      <w:pPr>
        <w:pStyle w:val="14"/>
        <w:rPr>
          <w:rFonts w:hint="eastAsia"/>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keepNext w:val="0"/>
        <w:keepLines w:val="0"/>
        <w:pageBreakBefore w:val="0"/>
        <w:kinsoku/>
        <w:wordWrap/>
        <w:overflowPunct/>
        <w:topLinePunct w:val="0"/>
        <w:autoSpaceDE/>
        <w:autoSpaceDN/>
        <w:bidi w:val="0"/>
        <w:spacing w:line="572" w:lineRule="exact"/>
        <w:jc w:val="left"/>
        <w:textAlignment w:val="auto"/>
        <w:outlineLvl w:val="1"/>
        <w:rPr>
          <w:rFonts w:hint="default" w:ascii="仿宋_GB2312" w:hAnsi="仿宋_GB2312" w:eastAsia="黑体" w:cs="仿宋_GB2312"/>
          <w:color w:val="auto"/>
          <w:sz w:val="32"/>
          <w:szCs w:val="32"/>
          <w:highlight w:val="none"/>
          <w:lang w:val="en-US" w:eastAsia="zh-CN"/>
        </w:rPr>
      </w:pPr>
      <w:bookmarkStart w:id="74" w:name="_Toc19964"/>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表1</w:t>
      </w:r>
      <w:bookmarkEnd w:id="74"/>
    </w:p>
    <w:tbl>
      <w:tblPr>
        <w:tblStyle w:val="15"/>
        <w:tblpPr w:leftFromText="180" w:rightFromText="180" w:vertAnchor="text" w:horzAnchor="page" w:tblpXSpec="center" w:tblpY="660"/>
        <w:tblOverlap w:val="never"/>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yellow"/>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广元市教育局</w:t>
            </w:r>
            <w:r>
              <w:rPr>
                <w:rFonts w:hint="eastAsia" w:ascii="宋体" w:hAnsi="宋体" w:cs="宋体"/>
                <w:i w:val="0"/>
                <w:color w:val="auto"/>
                <w:sz w:val="24"/>
                <w:szCs w:val="24"/>
                <w:u w:val="none"/>
                <w:lang w:val="en-US" w:eastAsia="zh-CN"/>
              </w:rPr>
              <w:t>322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广元市招生考试中心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7.89万元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7.89万元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用于中考制卷及组考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完成中考年度工作任务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完成2020年印制试卷数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考生2.3万人次、每考生7科次，共计16.1万份试卷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考生2.3万人次，共印制试卷</w:t>
            </w:r>
            <w:r>
              <w:rPr>
                <w:rFonts w:hint="eastAsia" w:ascii="仿宋_GB2312" w:hAnsi="仿宋_GB2312" w:eastAsia="仿宋_GB2312" w:cs="仿宋_GB2312"/>
                <w:i w:val="0"/>
                <w:color w:val="auto"/>
                <w:sz w:val="24"/>
                <w:szCs w:val="24"/>
                <w:u w:val="none"/>
                <w:lang w:val="en-US" w:eastAsia="zh-CN"/>
              </w:rPr>
              <w:t>16</w:t>
            </w:r>
            <w:r>
              <w:rPr>
                <w:rFonts w:hint="eastAsia" w:ascii="仿宋_GB2312" w:hAnsi="仿宋_GB2312" w:eastAsia="仿宋_GB2312" w:cs="仿宋_GB2312"/>
                <w:i w:val="0"/>
                <w:color w:val="auto"/>
                <w:sz w:val="24"/>
                <w:szCs w:val="24"/>
                <w:u w:val="none"/>
                <w:lang w:eastAsia="zh-CN"/>
              </w:rPr>
              <w:t>万份试卷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中考阅卷人员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180人</w:t>
            </w: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rPr>
              <w:t>4天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564"/>
              </w:tabs>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ab/>
            </w:r>
            <w:r>
              <w:rPr>
                <w:rFonts w:hint="eastAsia" w:ascii="仿宋_GB2312" w:hAnsi="仿宋_GB2312" w:eastAsia="仿宋_GB2312" w:cs="仿宋_GB2312"/>
                <w:i w:val="0"/>
                <w:color w:val="auto"/>
                <w:sz w:val="24"/>
                <w:szCs w:val="24"/>
                <w:u w:val="none"/>
                <w:lang w:val="en-US" w:eastAsia="zh-CN"/>
              </w:rPr>
              <w:t>280人，3天半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保证试卷印制质量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印制质量合格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印制质量合格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按时完成</w:t>
            </w:r>
            <w:r>
              <w:rPr>
                <w:rFonts w:hint="eastAsia" w:ascii="仿宋_GB2312" w:hAnsi="仿宋_GB2312" w:eastAsia="仿宋_GB2312" w:cs="仿宋_GB2312"/>
                <w:i w:val="0"/>
                <w:color w:val="auto"/>
                <w:sz w:val="24"/>
                <w:szCs w:val="24"/>
                <w:u w:val="none"/>
                <w:lang w:eastAsia="zh-CN"/>
              </w:rPr>
              <w:t>试卷</w:t>
            </w:r>
            <w:r>
              <w:rPr>
                <w:rFonts w:hint="eastAsia" w:ascii="仿宋_GB2312" w:hAnsi="仿宋_GB2312" w:eastAsia="仿宋_GB2312" w:cs="仿宋_GB2312"/>
                <w:i w:val="0"/>
                <w:color w:val="auto"/>
                <w:sz w:val="24"/>
                <w:szCs w:val="24"/>
                <w:u w:val="none"/>
              </w:rPr>
              <w:t>印制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印制成本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共需资金21.1万元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lang w:eastAsia="zh-CN"/>
              </w:rPr>
            </w:pPr>
            <w:r>
              <w:rPr>
                <w:rFonts w:hint="eastAsia" w:ascii="仿宋_GB2312" w:hAnsi="仿宋_GB2312" w:eastAsia="仿宋_GB2312" w:cs="仿宋_GB2312"/>
                <w:i w:val="0"/>
                <w:color w:val="auto"/>
                <w:sz w:val="28"/>
                <w:szCs w:val="28"/>
                <w:u w:val="none"/>
                <w:lang w:eastAsia="zh-CN"/>
              </w:rPr>
              <w:t>考生满意度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仿宋_GB2312" w:hAnsi="仿宋_GB2312" w:eastAsia="仿宋_GB2312" w:cs="仿宋_GB2312"/>
                <w:i w:val="0"/>
                <w:color w:val="auto"/>
                <w:sz w:val="28"/>
                <w:szCs w:val="28"/>
                <w:u w:val="none"/>
                <w:lang w:val="en-US" w:eastAsia="zh-CN"/>
              </w:rPr>
              <w:t>95%以上</w:t>
            </w:r>
          </w:p>
        </w:tc>
      </w:tr>
    </w:tbl>
    <w:p>
      <w:pPr>
        <w:rPr>
          <w:rFonts w:hint="eastAsia"/>
          <w:lang w:val="zh-CN"/>
        </w:rPr>
      </w:pPr>
    </w:p>
    <w:p>
      <w:pPr>
        <w:pStyle w:val="2"/>
        <w:rPr>
          <w:rFonts w:hint="eastAsia" w:eastAsia="仿宋_GB2312"/>
          <w:color w:val="auto"/>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（招生考试工作经费）</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1．说明项目主管部门在该项目管理中的职能。</w:t>
      </w:r>
    </w:p>
    <w:p>
      <w:pPr>
        <w:pStyle w:val="2"/>
        <w:ind w:firstLine="640"/>
        <w:rPr>
          <w:rFonts w:hint="eastAsia" w:hAnsi="宋体" w:cs="Times New Roman"/>
          <w:color w:val="auto"/>
          <w:sz w:val="32"/>
          <w:szCs w:val="32"/>
          <w:highlight w:val="none"/>
          <w:lang w:val="en-US" w:eastAsia="zh-CN"/>
        </w:rPr>
      </w:pPr>
      <w:r>
        <w:rPr>
          <w:rFonts w:hint="eastAsia" w:hAnsi="宋体" w:cs="Times New Roman"/>
          <w:color w:val="auto"/>
          <w:sz w:val="32"/>
          <w:szCs w:val="32"/>
          <w:highlight w:val="none"/>
          <w:lang w:val="en-US" w:eastAsia="zh-CN"/>
        </w:rPr>
        <w:t>主管部门对该项目的进度进行监督，对该项目的预算执行、各项效益的完成阶段完成情况进行动态跟踪监控，督查检查。</w:t>
      </w:r>
    </w:p>
    <w:p>
      <w:pPr>
        <w:pStyle w:val="2"/>
        <w:ind w:firstLine="640"/>
        <w:rPr>
          <w:rFonts w:hint="default" w:eastAsia="仿宋_GB2312"/>
          <w:lang w:val="en-US" w:eastAsia="zh-CN"/>
        </w:rPr>
      </w:pPr>
      <w:r>
        <w:rPr>
          <w:rFonts w:hint="eastAsia" w:ascii="仿宋_GB2312" w:hAnsi="宋体" w:eastAsia="仿宋_GB2312" w:cs="Times New Roman"/>
          <w:color w:val="auto"/>
          <w:sz w:val="32"/>
          <w:szCs w:val="32"/>
          <w:highlight w:val="none"/>
          <w:lang w:val="zh-CN"/>
        </w:rPr>
        <w:t>2．项目立项、资金申报的依据。</w:t>
      </w:r>
      <w:r>
        <w:rPr>
          <w:rFonts w:hint="eastAsia" w:hAnsi="宋体" w:cs="Times New Roman"/>
          <w:color w:val="auto"/>
          <w:sz w:val="32"/>
          <w:szCs w:val="32"/>
          <w:highlight w:val="none"/>
          <w:lang w:val="zh-CN"/>
        </w:rPr>
        <w:t>项目主要针对全年各项考试进行申报，经上级主管部门审核，报市财政局批准执行。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考试工作经费是由省考试院按照川发改价格【</w:t>
      </w:r>
      <w:r>
        <w:rPr>
          <w:rFonts w:hint="eastAsia" w:ascii="仿宋_GB2312" w:hAnsi="宋体" w:eastAsia="仿宋_GB2312" w:cs="Times New Roman"/>
          <w:color w:val="auto"/>
          <w:kern w:val="2"/>
          <w:sz w:val="32"/>
          <w:szCs w:val="32"/>
          <w:highlight w:val="none"/>
          <w:lang w:val="en-US" w:eastAsia="zh-CN" w:bidi="ar-SA"/>
        </w:rPr>
        <w:t>2017</w:t>
      </w: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宋体" w:eastAsia="仿宋_GB2312" w:cs="Times New Roman"/>
          <w:color w:val="auto"/>
          <w:kern w:val="2"/>
          <w:sz w:val="32"/>
          <w:szCs w:val="32"/>
          <w:highlight w:val="none"/>
          <w:lang w:val="en-US" w:eastAsia="zh-CN" w:bidi="ar-SA"/>
        </w:rPr>
        <w:t>467号文件要求，</w:t>
      </w:r>
      <w:r>
        <w:rPr>
          <w:rFonts w:hint="eastAsia" w:ascii="仿宋_GB2312" w:hAnsi="宋体" w:eastAsia="仿宋_GB2312" w:cs="Times New Roman"/>
          <w:color w:val="auto"/>
          <w:kern w:val="2"/>
          <w:sz w:val="32"/>
          <w:szCs w:val="32"/>
          <w:highlight w:val="none"/>
          <w:lang w:val="zh-CN" w:eastAsia="zh-CN" w:bidi="ar-SA"/>
        </w:rPr>
        <w:t>从考试报名费中按相应比例划拨，我单位收到后全部缴入市财政局非税账户。考试工作经费主要用于全年考试的相关支出。</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pStyle w:val="14"/>
        <w:numPr>
          <w:ilvl w:val="0"/>
          <w:numId w:val="0"/>
        </w:numPr>
        <w:rPr>
          <w:rFonts w:hint="default" w:eastAsia="宋体"/>
          <w:lang w:val="en-US" w:eastAsia="zh-CN"/>
        </w:rPr>
      </w:pPr>
      <w:r>
        <w:rPr>
          <w:rFonts w:hint="eastAsia" w:ascii="仿宋_GB2312" w:hAnsi="宋体" w:eastAsia="仿宋_GB2312" w:cs="Times New Roman"/>
          <w:color w:val="auto"/>
          <w:kern w:val="2"/>
          <w:sz w:val="32"/>
          <w:szCs w:val="32"/>
          <w:highlight w:val="none"/>
          <w:lang w:val="en-US" w:eastAsia="zh-CN" w:bidi="ar-SA"/>
        </w:rPr>
        <w:t xml:space="preserve">    招生考试工作经费的使用严格按照广教办【2016】11号《广元市招生考试经费开支标准和管理办法》执行。资金使用时按照单位内控制度要求，凡支出金额在10000元以上的，需经主任办公会讨论通过后支付。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1．项目主要内容。主要用于高考、中考、自考、成考、研招考试、教师资格考试、特岗招聘考试等各项考试的支出。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2．项目应实现的具体绩效目标。</w:t>
      </w:r>
      <w:r>
        <w:rPr>
          <w:rFonts w:hint="eastAsia" w:ascii="仿宋_GB2312" w:hAnsi="宋体" w:eastAsia="仿宋_GB2312" w:cs="Times New Roman"/>
          <w:color w:val="auto"/>
          <w:sz w:val="32"/>
          <w:szCs w:val="32"/>
          <w:highlight w:val="none"/>
          <w:lang w:val="en-US" w:eastAsia="zh-CN"/>
        </w:rPr>
        <w:t>2021年高考、中考、成考各一次，自考两次、研招考试一次、中小学教师资格笔试上、下半年各一次、书法水平考试一次、计算机等级考试和英语四六级上下半年各一次等。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cs="Times New Roman"/>
          <w:color w:val="auto"/>
          <w:sz w:val="32"/>
          <w:szCs w:val="32"/>
          <w:highlight w:val="none"/>
          <w:lang w:val="zh-CN"/>
        </w:rPr>
        <w:t>3．</w:t>
      </w:r>
      <w:r>
        <w:rPr>
          <w:rFonts w:hint="eastAsia" w:ascii="仿宋_GB2312" w:hAnsi="宋体" w:eastAsia="仿宋_GB2312"/>
          <w:sz w:val="32"/>
          <w:szCs w:val="32"/>
          <w:lang w:val="zh-CN"/>
        </w:rPr>
        <w:t>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项目申报内容与实际相符，申报目标合理合规。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sz w:val="32"/>
          <w:szCs w:val="32"/>
          <w:highlight w:val="none"/>
        </w:rPr>
        <w:t>市</w:t>
      </w:r>
      <w:r>
        <w:rPr>
          <w:rFonts w:hint="eastAsia" w:ascii="仿宋_GB2312" w:eastAsia="仿宋_GB2312"/>
          <w:sz w:val="32"/>
          <w:szCs w:val="32"/>
          <w:highlight w:val="none"/>
          <w:lang w:eastAsia="zh-CN"/>
        </w:rPr>
        <w:t>招生考试中心</w:t>
      </w:r>
      <w:r>
        <w:rPr>
          <w:rFonts w:hint="eastAsia" w:ascii="仿宋_GB2312" w:eastAsia="仿宋_GB2312"/>
          <w:sz w:val="32"/>
          <w:szCs w:val="32"/>
          <w:highlight w:val="none"/>
        </w:rPr>
        <w:t>高度重视支出绩效评价工作，按照文件精神，</w:t>
      </w:r>
      <w:r>
        <w:rPr>
          <w:rFonts w:hint="eastAsia" w:ascii="仿宋_GB2312" w:hAnsi="仿宋" w:eastAsia="仿宋_GB2312"/>
          <w:sz w:val="32"/>
          <w:szCs w:val="32"/>
          <w:highlight w:val="none"/>
        </w:rPr>
        <w:t>成立了支出绩效自评领导小组，由</w:t>
      </w:r>
      <w:r>
        <w:rPr>
          <w:rFonts w:hint="eastAsia" w:ascii="仿宋_GB2312" w:hAnsi="仿宋" w:eastAsia="仿宋_GB2312"/>
          <w:sz w:val="32"/>
          <w:szCs w:val="32"/>
          <w:highlight w:val="none"/>
          <w:lang w:eastAsia="zh-CN"/>
        </w:rPr>
        <w:t>主要领导</w:t>
      </w:r>
      <w:r>
        <w:rPr>
          <w:rFonts w:hint="eastAsia" w:ascii="仿宋_GB2312" w:hAnsi="仿宋" w:eastAsia="仿宋_GB2312"/>
          <w:sz w:val="32"/>
          <w:szCs w:val="32"/>
          <w:highlight w:val="none"/>
        </w:rPr>
        <w:t>任组长，</w:t>
      </w:r>
      <w:r>
        <w:rPr>
          <w:rFonts w:hint="eastAsia" w:ascii="仿宋_GB2312" w:hAnsi="仿宋" w:eastAsia="仿宋_GB2312"/>
          <w:sz w:val="32"/>
          <w:szCs w:val="32"/>
          <w:highlight w:val="none"/>
          <w:lang w:eastAsia="zh-CN"/>
        </w:rPr>
        <w:t>副主任任副组长，</w:t>
      </w:r>
      <w:r>
        <w:rPr>
          <w:rFonts w:hint="eastAsia" w:ascii="仿宋_GB2312" w:hAnsi="仿宋" w:eastAsia="仿宋_GB2312"/>
          <w:sz w:val="32"/>
          <w:szCs w:val="32"/>
          <w:highlight w:val="none"/>
        </w:rPr>
        <w:t>办公室主任、会计、出纳</w:t>
      </w:r>
      <w:r>
        <w:rPr>
          <w:rFonts w:hint="eastAsia" w:ascii="仿宋_GB2312" w:hAnsi="仿宋" w:eastAsia="仿宋_GB2312"/>
          <w:sz w:val="32"/>
          <w:szCs w:val="32"/>
          <w:highlight w:val="none"/>
          <w:lang w:eastAsia="zh-CN"/>
        </w:rPr>
        <w:t>及各科室长</w:t>
      </w:r>
      <w:r>
        <w:rPr>
          <w:rFonts w:hint="eastAsia" w:ascii="仿宋_GB2312" w:hAnsi="仿宋" w:eastAsia="仿宋_GB2312"/>
          <w:sz w:val="32"/>
          <w:szCs w:val="32"/>
          <w:highlight w:val="none"/>
        </w:rPr>
        <w:t>为成员，负责具体绩效自评工作。领导小组学习了文件要求，</w:t>
      </w:r>
      <w:r>
        <w:rPr>
          <w:rFonts w:hint="eastAsia" w:ascii="仿宋_GB2312" w:eastAsia="仿宋_GB2312"/>
          <w:sz w:val="32"/>
          <w:szCs w:val="32"/>
          <w:highlight w:val="none"/>
        </w:rPr>
        <w:t>以相关资料为基础，经过认真审核和核对，分析得出自评结果，形成自评结论。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按照预算编制要求，科学合理地编制项目库表、部门预算项目立项审核表、部门项目绩效申报表，按照财政</w:t>
      </w:r>
      <w:r>
        <w:rPr>
          <w:rFonts w:hint="eastAsia" w:ascii="仿宋_GB2312" w:hAnsi="宋体" w:eastAsia="仿宋_GB2312"/>
          <w:sz w:val="32"/>
          <w:szCs w:val="32"/>
          <w:lang w:val="en-US" w:eastAsia="zh-CN"/>
        </w:rPr>
        <w:t>预算批复表执行预算。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r>
        <w:rPr>
          <w:rFonts w:hint="eastAsia" w:ascii="仿宋_GB2312" w:hAnsi="宋体" w:eastAsia="仿宋_GB2312" w:cs="Times New Roman"/>
          <w:color w:val="auto"/>
          <w:sz w:val="32"/>
          <w:szCs w:val="32"/>
          <w:highlight w:val="none"/>
          <w:lang w:val="zh-CN"/>
        </w:rPr>
        <w:t>该项目年度预算资金</w:t>
      </w:r>
      <w:r>
        <w:rPr>
          <w:rFonts w:hint="eastAsia" w:ascii="仿宋_GB2312" w:hAnsi="宋体" w:eastAsia="仿宋_GB2312" w:cs="Times New Roman"/>
          <w:color w:val="auto"/>
          <w:sz w:val="32"/>
          <w:szCs w:val="32"/>
          <w:highlight w:val="none"/>
          <w:lang w:val="en-US" w:eastAsia="zh-CN"/>
        </w:rPr>
        <w:t>265万元，为财政专户资金</w:t>
      </w:r>
      <w:r>
        <w:rPr>
          <w:rFonts w:hint="eastAsia" w:ascii="仿宋_GB2312" w:hAnsi="宋体" w:eastAsia="仿宋_GB2312" w:cs="Times New Roman"/>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宋体" w:eastAsia="楷体_GB2312" w:cs="Times New Roman"/>
          <w:color w:val="auto"/>
          <w:sz w:val="32"/>
          <w:szCs w:val="32"/>
          <w:highlight w:val="none"/>
          <w:lang w:val="zh-CN"/>
        </w:rPr>
        <w:t>2．资金到位。</w:t>
      </w:r>
      <w:r>
        <w:rPr>
          <w:rFonts w:hint="eastAsia" w:ascii="仿宋_GB2312" w:hAnsi="宋体" w:eastAsia="仿宋_GB2312" w:cs="Times New Roman"/>
          <w:color w:val="auto"/>
          <w:sz w:val="32"/>
          <w:szCs w:val="32"/>
          <w:highlight w:val="none"/>
          <w:lang w:val="en-US" w:eastAsia="zh-CN"/>
        </w:rPr>
        <w:t>2021年度预算265</w:t>
      </w:r>
      <w:r>
        <w:rPr>
          <w:rFonts w:hint="eastAsia" w:ascii="仿宋_GB2312" w:hAnsi="宋体" w:eastAsia="仿宋_GB2312" w:cs="Times New Roman"/>
          <w:color w:val="auto"/>
          <w:kern w:val="2"/>
          <w:sz w:val="32"/>
          <w:szCs w:val="32"/>
          <w:highlight w:val="none"/>
          <w:lang w:val="en-US" w:eastAsia="zh-CN" w:bidi="ar-SA"/>
        </w:rPr>
        <w:t>万元，</w:t>
      </w:r>
      <w:r>
        <w:rPr>
          <w:rFonts w:hint="eastAsia" w:ascii="仿宋_GB2312" w:hAnsi="仿宋" w:eastAsia="仿宋_GB2312" w:cs="Times New Roman"/>
          <w:sz w:val="32"/>
          <w:szCs w:val="32"/>
          <w:highlight w:val="none"/>
          <w:lang w:val="en-US" w:eastAsia="zh-CN"/>
        </w:rPr>
        <w:t>在年初一次性由市财政局拨款到市招生考试中心财政大平台，资金</w:t>
      </w:r>
      <w:r>
        <w:rPr>
          <w:rFonts w:hint="eastAsia" w:ascii="仿宋_GB2312" w:hAnsi="宋体" w:eastAsia="仿宋_GB2312"/>
          <w:sz w:val="32"/>
          <w:szCs w:val="32"/>
          <w:lang w:val="zh-CN"/>
        </w:rPr>
        <w:t>到位率</w:t>
      </w:r>
      <w:r>
        <w:rPr>
          <w:rFonts w:hint="eastAsia" w:ascii="仿宋_GB2312" w:hAnsi="宋体" w:eastAsia="仿宋_GB2312"/>
          <w:sz w:val="32"/>
          <w:szCs w:val="32"/>
        </w:rPr>
        <w:t>100%。</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cs="Times New Roman"/>
          <w:color w:val="auto"/>
          <w:sz w:val="32"/>
          <w:szCs w:val="32"/>
          <w:highlight w:val="none"/>
          <w:lang w:val="zh-CN"/>
        </w:rPr>
        <w:t>3．资金使用。</w:t>
      </w:r>
      <w:r>
        <w:rPr>
          <w:rFonts w:hint="eastAsia" w:ascii="仿宋_GB2312" w:hAnsi="宋体" w:eastAsia="仿宋_GB2312"/>
          <w:sz w:val="32"/>
          <w:szCs w:val="32"/>
          <w:lang w:val="zh-CN"/>
        </w:rPr>
        <w:t>截止2020年12月31日，</w:t>
      </w:r>
      <w:r>
        <w:rPr>
          <w:rFonts w:hint="eastAsia" w:ascii="仿宋_GB2312" w:hAnsi="宋体" w:eastAsia="仿宋_GB2312"/>
          <w:sz w:val="32"/>
          <w:szCs w:val="32"/>
          <w:lang w:val="en-US" w:eastAsia="zh-CN"/>
        </w:rPr>
        <w:t>已支付228.51万元</w:t>
      </w:r>
      <w:r>
        <w:rPr>
          <w:rFonts w:hint="eastAsia" w:ascii="仿宋_GB2312" w:eastAsia="仿宋_GB2312"/>
          <w:sz w:val="32"/>
          <w:szCs w:val="32"/>
        </w:rPr>
        <w:t>。</w:t>
      </w:r>
      <w:r>
        <w:rPr>
          <w:rFonts w:hint="eastAsia" w:ascii="仿宋_GB2312" w:hAnsi="宋体" w:eastAsia="仿宋_GB2312"/>
          <w:sz w:val="32"/>
          <w:szCs w:val="32"/>
          <w:lang w:val="zh-CN"/>
        </w:rPr>
        <w:t>资金使用合规合法，与预算相符，执行率达到</w:t>
      </w:r>
      <w:r>
        <w:rPr>
          <w:rFonts w:hint="eastAsia" w:ascii="仿宋_GB2312" w:hAnsi="宋体" w:eastAsia="仿宋_GB2312"/>
          <w:sz w:val="32"/>
          <w:szCs w:val="32"/>
          <w:lang w:val="en-US" w:eastAsia="zh-CN"/>
        </w:rPr>
        <w:t>86.23</w:t>
      </w:r>
      <w:r>
        <w:rPr>
          <w:rFonts w:hint="eastAsia" w:ascii="仿宋_GB2312" w:hAnsi="宋体" w:eastAsia="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经自评，市招生考试中心财务管理制度健全，严格执行财务管理制度，账务处理及时，会计核算规范。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sz w:val="32"/>
          <w:szCs w:val="32"/>
          <w:lang w:val="zh-CN"/>
        </w:rPr>
        <w:t>项目根据目标内容由分管领导牵头，分管科室及相关科室具体负责实施。</w:t>
      </w:r>
    </w:p>
    <w:p>
      <w:pPr>
        <w:adjustRightInd w:val="0"/>
        <w:snapToGrid w:val="0"/>
        <w:spacing w:line="600" w:lineRule="exact"/>
        <w:ind w:firstLine="643" w:firstLineChars="200"/>
        <w:jc w:val="left"/>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eastAsia="仿宋_GB2312"/>
          <w:sz w:val="32"/>
          <w:szCs w:val="32"/>
        </w:rPr>
        <w:t>本项目</w:t>
      </w:r>
      <w:r>
        <w:rPr>
          <w:rFonts w:hint="eastAsia" w:ascii="仿宋_GB2312" w:eastAsia="仿宋_GB2312"/>
          <w:sz w:val="32"/>
          <w:szCs w:val="32"/>
          <w:lang w:eastAsia="zh-CN"/>
        </w:rPr>
        <w:t>所有支出均</w:t>
      </w:r>
      <w:r>
        <w:rPr>
          <w:rFonts w:hint="eastAsia" w:ascii="仿宋_GB2312" w:eastAsia="仿宋_GB2312"/>
          <w:sz w:val="32"/>
          <w:szCs w:val="32"/>
        </w:rPr>
        <w:t>严格按照相关法律法规及上级文件</w:t>
      </w:r>
      <w:r>
        <w:rPr>
          <w:rFonts w:hint="eastAsia" w:ascii="仿宋_GB2312" w:hAnsi="宋体" w:eastAsia="仿宋_GB2312" w:cs="Times New Roman"/>
          <w:color w:val="auto"/>
          <w:kern w:val="2"/>
          <w:sz w:val="32"/>
          <w:szCs w:val="32"/>
          <w:highlight w:val="none"/>
          <w:lang w:val="en-US" w:eastAsia="zh-CN" w:bidi="ar-SA"/>
        </w:rPr>
        <w:t>广教办【2016】11号</w:t>
      </w:r>
      <w:r>
        <w:rPr>
          <w:rFonts w:hint="eastAsia" w:ascii="仿宋_GB2312" w:eastAsia="仿宋_GB2312"/>
          <w:sz w:val="32"/>
          <w:szCs w:val="32"/>
        </w:rPr>
        <w:t>予以推进实施。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sz w:val="32"/>
          <w:szCs w:val="32"/>
          <w:highlight w:val="none"/>
          <w:lang w:val="zh-CN"/>
        </w:rPr>
        <w:t>市招生考试中心在考试期间邀请了市教育局督查审计科参与，对实施过程进行监督。从领卷、保密值守到分发考点及考后试卷回收环节的工作情况来看，项目完成情况较好，满意度较高，项目绩效达到预期目标。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楷体_GB2312" w:hAnsi="宋体" w:eastAsia="楷体_GB2312" w:cs="Times New Roman"/>
          <w:b/>
          <w:color w:val="auto"/>
          <w:sz w:val="32"/>
          <w:szCs w:val="32"/>
          <w:highlight w:val="none"/>
          <w:lang w:val="en-US"/>
        </w:rPr>
      </w:pPr>
      <w:r>
        <w:rPr>
          <w:rFonts w:hint="eastAsia" w:ascii="仿宋_GB2312" w:hAnsi="宋体" w:eastAsia="仿宋_GB2312" w:cs="Times New Roman"/>
          <w:color w:val="auto"/>
          <w:sz w:val="32"/>
          <w:szCs w:val="32"/>
          <w:highlight w:val="none"/>
          <w:lang w:val="en-US" w:eastAsia="zh-CN"/>
        </w:rPr>
        <w:t>2021年圆满完成全年各项考试任务，均按照国家教育考试标准完成。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zh-CN"/>
        </w:rPr>
        <w:t>项目的实施达到了预期效益，圆满完成了</w:t>
      </w:r>
      <w:r>
        <w:rPr>
          <w:rFonts w:hint="eastAsia" w:ascii="仿宋_GB2312" w:hAnsi="宋体" w:eastAsia="仿宋_GB2312" w:cs="Times New Roman"/>
          <w:color w:val="auto"/>
          <w:sz w:val="32"/>
          <w:szCs w:val="32"/>
          <w:highlight w:val="none"/>
          <w:lang w:val="en-US" w:eastAsia="zh-CN"/>
        </w:rPr>
        <w:t>2021年全年各项考试工作，办考标准一如既往，群众满意度较高。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本项目立项严谨、管理规范、202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 xml:space="preserve">年各项指标完成情况较好，社会效益良好。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2021年预算申报时对财政专户管理的资金项目进行了合并申报后，进一步提高了预算的准确性，但还需在项目指标上进行细化、量化，准确性上进一步提高。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spacing w:line="572" w:lineRule="exact"/>
        <w:ind w:firstLine="640" w:firstLineChars="200"/>
        <w:jc w:val="left"/>
        <w:textAlignment w:val="auto"/>
        <w:outlineLvl w:val="0"/>
        <w:rPr>
          <w:rFonts w:hint="eastAsia" w:ascii="黑体" w:hAnsi="黑体" w:eastAsia="黑体" w:cs="黑体"/>
          <w:color w:val="auto"/>
          <w:sz w:val="32"/>
          <w:szCs w:val="32"/>
          <w:highlight w:val="none"/>
        </w:rPr>
      </w:pPr>
      <w:bookmarkStart w:id="75" w:name="_Toc21848"/>
      <w:r>
        <w:rPr>
          <w:rFonts w:hint="eastAsia" w:ascii="仿宋_GB2312" w:hAnsi="仿宋_GB2312" w:eastAsia="仿宋_GB2312" w:cs="仿宋_GB2312"/>
          <w:color w:val="000000"/>
          <w:sz w:val="32"/>
          <w:szCs w:val="32"/>
          <w:lang w:eastAsia="zh-CN"/>
        </w:rPr>
        <w:t>建议进一步加强</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绩效</w:t>
      </w:r>
      <w:r>
        <w:rPr>
          <w:rFonts w:hint="eastAsia" w:ascii="仿宋_GB2312" w:hAnsi="仿宋_GB2312" w:eastAsia="仿宋_GB2312" w:cs="仿宋_GB2312"/>
          <w:color w:val="000000"/>
          <w:sz w:val="32"/>
          <w:szCs w:val="32"/>
        </w:rPr>
        <w:t>管理机制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抓</w:t>
      </w:r>
      <w:r>
        <w:rPr>
          <w:rFonts w:hint="eastAsia" w:ascii="仿宋_GB2312" w:hAnsi="仿宋_GB2312" w:eastAsia="仿宋_GB2312" w:cs="仿宋_GB2312"/>
          <w:color w:val="000000"/>
          <w:sz w:val="32"/>
          <w:szCs w:val="32"/>
          <w:lang w:eastAsia="zh-CN"/>
        </w:rPr>
        <w:t>好项目</w:t>
      </w:r>
      <w:r>
        <w:rPr>
          <w:rFonts w:hint="eastAsia" w:ascii="仿宋_GB2312" w:hAnsi="仿宋_GB2312" w:eastAsia="仿宋_GB2312" w:cs="仿宋_GB2312"/>
          <w:color w:val="000000"/>
          <w:sz w:val="32"/>
          <w:szCs w:val="32"/>
        </w:rPr>
        <w:t>资金</w:t>
      </w:r>
      <w:r>
        <w:rPr>
          <w:rFonts w:hint="eastAsia" w:ascii="仿宋_GB2312" w:hAnsi="仿宋_GB2312" w:eastAsia="仿宋_GB2312" w:cs="仿宋_GB2312"/>
          <w:color w:val="000000"/>
          <w:sz w:val="32"/>
          <w:szCs w:val="32"/>
          <w:lang w:eastAsia="zh-CN"/>
        </w:rPr>
        <w:t>绩效目标</w:t>
      </w:r>
      <w:r>
        <w:rPr>
          <w:rFonts w:hint="eastAsia" w:ascii="仿宋_GB2312" w:hAnsi="仿宋_GB2312" w:eastAsia="仿宋_GB2312" w:cs="仿宋_GB2312"/>
          <w:color w:val="000000"/>
          <w:sz w:val="32"/>
          <w:szCs w:val="32"/>
        </w:rPr>
        <w:t>编</w:t>
      </w:r>
      <w:r>
        <w:rPr>
          <w:rFonts w:hint="eastAsia" w:ascii="仿宋_GB2312" w:hAnsi="仿宋_GB2312" w:eastAsia="仿宋_GB2312" w:cs="仿宋_GB2312"/>
          <w:color w:val="000000"/>
          <w:sz w:val="32"/>
          <w:szCs w:val="32"/>
          <w:lang w:eastAsia="zh-CN"/>
        </w:rPr>
        <w:t>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结合项目实际情况，</w:t>
      </w:r>
      <w:r>
        <w:rPr>
          <w:rFonts w:hint="eastAsia" w:ascii="仿宋_GB2312" w:hAnsi="仿宋_GB2312" w:eastAsia="仿宋_GB2312" w:cs="仿宋_GB2312"/>
          <w:color w:val="000000"/>
          <w:sz w:val="32"/>
          <w:szCs w:val="32"/>
        </w:rPr>
        <w:t>通过业务、财务两条线</w:t>
      </w:r>
      <w:r>
        <w:rPr>
          <w:rFonts w:hint="eastAsia" w:ascii="仿宋_GB2312" w:hAnsi="仿宋_GB2312" w:eastAsia="仿宋_GB2312" w:cs="仿宋_GB2312"/>
          <w:color w:val="000000"/>
          <w:sz w:val="32"/>
          <w:szCs w:val="32"/>
          <w:lang w:eastAsia="zh-CN"/>
        </w:rPr>
        <w:t>编制绩效指标，使指标更加精细、准确。</w:t>
      </w:r>
      <w:bookmarkEnd w:id="75"/>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spacing w:line="600" w:lineRule="exact"/>
        <w:jc w:val="both"/>
        <w:outlineLvl w:val="9"/>
        <w:rPr>
          <w:rFonts w:hint="eastAsia" w:ascii="黑体" w:hAnsi="黑体" w:eastAsia="黑体"/>
          <w:color w:val="auto"/>
          <w:sz w:val="44"/>
          <w:szCs w:val="44"/>
          <w:highlight w:val="none"/>
        </w:rPr>
      </w:pPr>
      <w:bookmarkStart w:id="76" w:name="_Toc15396618"/>
    </w:p>
    <w:p>
      <w:pPr>
        <w:keepNext w:val="0"/>
        <w:keepLines w:val="0"/>
        <w:pageBreakBefore w:val="0"/>
        <w:kinsoku/>
        <w:wordWrap/>
        <w:overflowPunct/>
        <w:topLinePunct w:val="0"/>
        <w:autoSpaceDE/>
        <w:autoSpaceDN/>
        <w:bidi w:val="0"/>
        <w:spacing w:line="572" w:lineRule="exact"/>
        <w:jc w:val="left"/>
        <w:textAlignment w:val="auto"/>
        <w:outlineLvl w:val="1"/>
        <w:rPr>
          <w:rFonts w:hint="default" w:ascii="仿宋_GB2312" w:hAnsi="仿宋_GB2312" w:eastAsia="黑体" w:cs="仿宋_GB2312"/>
          <w:color w:val="auto"/>
          <w:sz w:val="32"/>
          <w:szCs w:val="32"/>
          <w:highlight w:val="none"/>
          <w:lang w:val="en-US" w:eastAsia="zh-CN"/>
        </w:rPr>
      </w:pPr>
      <w:bookmarkStart w:id="77" w:name="_Toc5829"/>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表2</w:t>
      </w:r>
      <w:bookmarkEnd w:id="77"/>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yellow"/>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广元市教育局</w:t>
            </w:r>
            <w:r>
              <w:rPr>
                <w:rFonts w:hint="eastAsia" w:ascii="宋体" w:hAnsi="宋体" w:cs="宋体"/>
                <w:i w:val="0"/>
                <w:color w:val="auto"/>
                <w:sz w:val="24"/>
                <w:szCs w:val="24"/>
                <w:u w:val="none"/>
                <w:lang w:val="en-US" w:eastAsia="zh-CN"/>
              </w:rPr>
              <w:t>322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广元市招生考试中心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265万元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265万元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265万元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265万元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用于全年各项考试组考</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完成全年各项考试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全年高考、成考、中考各一次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sz w:val="24"/>
                <w:szCs w:val="24"/>
              </w:rPr>
              <w:t>全年高考、成考、中考各一次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hAnsi="仿宋_GB2312" w:eastAsia="仿宋_GB2312" w:cs="仿宋_GB2312"/>
                <w:i w:val="0"/>
                <w:color w:val="auto"/>
                <w:sz w:val="24"/>
                <w:szCs w:val="24"/>
                <w:u w:val="none"/>
                <w:lang w:eastAsia="zh-CN"/>
              </w:rPr>
            </w:pPr>
            <w:r>
              <w:rPr>
                <w:rFonts w:hint="eastAsia"/>
                <w:sz w:val="24"/>
                <w:szCs w:val="24"/>
              </w:rPr>
              <w:t>全年高考、成考、中考各一次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自考二次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sz w:val="24"/>
                <w:szCs w:val="24"/>
              </w:rPr>
              <w:t>自考二次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564"/>
              </w:tabs>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eastAsia="zh-CN"/>
              </w:rPr>
              <w:t>自考二次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英语等级、计算机等级各二次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英语等级、计算机等级各二次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英语等级、计算机等级各二次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研究生考试一次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4702人次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2739人次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中小学教师资格考试笔试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笔试1万科次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2万科次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保证试卷印制质量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印制质量合格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印制质量合格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按期完成各项考试计划</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sz w:val="24"/>
                <w:szCs w:val="24"/>
              </w:rPr>
              <w:t>各项考试组考成本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共需资金</w:t>
            </w:r>
            <w:r>
              <w:rPr>
                <w:rFonts w:hint="eastAsia" w:ascii="仿宋_GB2312" w:hAnsi="仿宋_GB2312" w:eastAsia="仿宋_GB2312" w:cs="仿宋_GB2312"/>
                <w:i w:val="0"/>
                <w:color w:val="auto"/>
                <w:sz w:val="24"/>
                <w:szCs w:val="24"/>
                <w:u w:val="none"/>
                <w:lang w:val="en-US" w:eastAsia="zh-CN"/>
              </w:rPr>
              <w:t>265万元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228.51万元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考生满意度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90%以上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90%以上</w:t>
            </w:r>
          </w:p>
        </w:tc>
      </w:tr>
    </w:tbl>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8" w:name="_Toc2444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71"/>
      <w:bookmarkEnd w:id="76"/>
      <w:bookmarkEnd w:id="78"/>
      <w:bookmarkStart w:id="79" w:name="_Toc15396619"/>
    </w:p>
    <w:p>
      <w:pPr>
        <w:pStyle w:val="4"/>
        <w:rPr>
          <w:rFonts w:ascii="仿宋" w:hAnsi="仿宋" w:eastAsia="仿宋"/>
          <w:color w:val="auto"/>
          <w:highlight w:val="none"/>
        </w:rPr>
      </w:pPr>
      <w:bookmarkStart w:id="80" w:name="_Toc10899"/>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79"/>
      <w:bookmarkEnd w:id="80"/>
    </w:p>
    <w:p>
      <w:pPr>
        <w:pStyle w:val="4"/>
        <w:rPr>
          <w:rFonts w:ascii="仿宋" w:hAnsi="仿宋" w:eastAsia="仿宋"/>
          <w:color w:val="auto"/>
          <w:highlight w:val="none"/>
        </w:rPr>
      </w:pPr>
      <w:bookmarkStart w:id="81" w:name="_Toc28230"/>
      <w:bookmarkStart w:id="82"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81"/>
      <w:bookmarkEnd w:id="82"/>
    </w:p>
    <w:p>
      <w:pPr>
        <w:pStyle w:val="4"/>
        <w:rPr>
          <w:rFonts w:ascii="仿宋" w:hAnsi="仿宋" w:eastAsia="仿宋"/>
          <w:color w:val="auto"/>
          <w:highlight w:val="none"/>
        </w:rPr>
      </w:pPr>
      <w:bookmarkStart w:id="83" w:name="_Toc15396621"/>
      <w:bookmarkStart w:id="84" w:name="_Toc13879"/>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83"/>
      <w:bookmarkEnd w:id="84"/>
    </w:p>
    <w:p>
      <w:pPr>
        <w:pStyle w:val="4"/>
        <w:rPr>
          <w:rFonts w:ascii="仿宋" w:hAnsi="仿宋" w:eastAsia="仿宋"/>
          <w:b w:val="0"/>
          <w:color w:val="auto"/>
          <w:highlight w:val="none"/>
        </w:rPr>
      </w:pPr>
      <w:bookmarkStart w:id="85" w:name="_Toc24442"/>
      <w:bookmarkStart w:id="86"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85"/>
      <w:bookmarkEnd w:id="86"/>
    </w:p>
    <w:p>
      <w:pPr>
        <w:pStyle w:val="4"/>
        <w:rPr>
          <w:rStyle w:val="28"/>
          <w:rFonts w:ascii="仿宋" w:hAnsi="仿宋" w:eastAsia="仿宋"/>
          <w:b w:val="0"/>
          <w:bCs w:val="0"/>
          <w:color w:val="auto"/>
          <w:highlight w:val="none"/>
        </w:rPr>
      </w:pPr>
      <w:bookmarkStart w:id="87" w:name="_Toc15396623"/>
      <w:bookmarkStart w:id="88" w:name="_Toc29151"/>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87"/>
      <w:bookmarkEnd w:id="88"/>
      <w:bookmarkStart w:id="89" w:name="_Toc15396624"/>
    </w:p>
    <w:p>
      <w:pPr>
        <w:pStyle w:val="4"/>
        <w:rPr>
          <w:rFonts w:ascii="仿宋" w:hAnsi="仿宋" w:eastAsia="仿宋"/>
          <w:color w:val="auto"/>
          <w:highlight w:val="none"/>
        </w:rPr>
      </w:pPr>
      <w:bookmarkStart w:id="90" w:name="_Toc7124"/>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89"/>
      <w:bookmarkEnd w:id="90"/>
    </w:p>
    <w:p>
      <w:pPr>
        <w:pStyle w:val="4"/>
        <w:rPr>
          <w:rFonts w:ascii="仿宋" w:hAnsi="仿宋" w:eastAsia="仿宋"/>
          <w:color w:val="auto"/>
          <w:highlight w:val="none"/>
        </w:rPr>
      </w:pPr>
      <w:bookmarkStart w:id="91" w:name="_Toc6014"/>
      <w:bookmarkStart w:id="92"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91"/>
      <w:bookmarkEnd w:id="92"/>
    </w:p>
    <w:p>
      <w:pPr>
        <w:pStyle w:val="4"/>
        <w:rPr>
          <w:rFonts w:ascii="仿宋" w:hAnsi="仿宋" w:eastAsia="仿宋"/>
          <w:color w:val="auto"/>
          <w:highlight w:val="none"/>
        </w:rPr>
      </w:pPr>
      <w:bookmarkStart w:id="93" w:name="_Toc15396626"/>
      <w:bookmarkStart w:id="94" w:name="_Toc8470"/>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93"/>
      <w:bookmarkEnd w:id="94"/>
    </w:p>
    <w:p>
      <w:pPr>
        <w:pStyle w:val="4"/>
        <w:rPr>
          <w:rFonts w:ascii="仿宋" w:hAnsi="仿宋" w:eastAsia="仿宋"/>
          <w:color w:val="auto"/>
          <w:highlight w:val="none"/>
        </w:rPr>
      </w:pPr>
      <w:bookmarkStart w:id="95" w:name="_Toc15396627"/>
      <w:bookmarkStart w:id="96" w:name="_Toc4858"/>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95"/>
      <w:bookmarkEnd w:id="96"/>
    </w:p>
    <w:p>
      <w:pPr>
        <w:pStyle w:val="4"/>
        <w:rPr>
          <w:rFonts w:ascii="仿宋" w:hAnsi="仿宋" w:eastAsia="仿宋"/>
          <w:color w:val="auto"/>
          <w:highlight w:val="none"/>
        </w:rPr>
      </w:pPr>
      <w:bookmarkStart w:id="97" w:name="_Toc15396628"/>
      <w:bookmarkStart w:id="98" w:name="_Toc17397"/>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97"/>
      <w:bookmarkEnd w:id="98"/>
    </w:p>
    <w:p>
      <w:pPr>
        <w:pStyle w:val="4"/>
        <w:rPr>
          <w:rFonts w:ascii="仿宋" w:hAnsi="仿宋" w:eastAsia="仿宋"/>
          <w:color w:val="auto"/>
          <w:highlight w:val="none"/>
        </w:rPr>
      </w:pPr>
      <w:bookmarkStart w:id="99" w:name="_Toc15396629"/>
      <w:bookmarkStart w:id="100" w:name="_Toc17657"/>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99"/>
      <w:bookmarkEnd w:id="100"/>
    </w:p>
    <w:p>
      <w:pPr>
        <w:pStyle w:val="4"/>
        <w:rPr>
          <w:rFonts w:ascii="仿宋" w:hAnsi="仿宋" w:eastAsia="仿宋"/>
          <w:color w:val="auto"/>
          <w:highlight w:val="none"/>
        </w:rPr>
      </w:pPr>
      <w:bookmarkStart w:id="101" w:name="_Toc15396630"/>
      <w:bookmarkStart w:id="102" w:name="_Toc20034"/>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101"/>
      <w:bookmarkEnd w:id="102"/>
    </w:p>
    <w:p>
      <w:pPr>
        <w:pStyle w:val="4"/>
        <w:rPr>
          <w:rStyle w:val="28"/>
          <w:rFonts w:hint="eastAsia" w:ascii="仿宋" w:hAnsi="仿宋" w:eastAsia="仿宋"/>
          <w:b w:val="0"/>
          <w:bCs w:val="0"/>
          <w:color w:val="auto"/>
          <w:highlight w:val="none"/>
        </w:rPr>
      </w:pPr>
      <w:bookmarkStart w:id="103" w:name="_Toc15396631"/>
      <w:bookmarkStart w:id="104" w:name="_Toc29918"/>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03"/>
      <w:bookmarkEnd w:id="104"/>
    </w:p>
    <w:p>
      <w:pPr>
        <w:rPr>
          <w:rFonts w:hint="eastAsia" w:eastAsia="仿宋"/>
          <w:color w:val="auto"/>
          <w:highlight w:val="none"/>
          <w:lang w:eastAsia="zh-CN"/>
        </w:rPr>
      </w:pPr>
      <w:bookmarkStart w:id="105" w:name="_Toc17238"/>
      <w:r>
        <w:rPr>
          <w:rStyle w:val="28"/>
          <w:rFonts w:hint="eastAsia" w:ascii="仿宋" w:hAnsi="仿宋" w:eastAsia="仿宋"/>
          <w:b w:val="0"/>
          <w:bCs w:val="0"/>
          <w:color w:val="auto"/>
          <w:highlight w:val="none"/>
          <w:lang w:eastAsia="zh-CN"/>
        </w:rPr>
        <w:t>十四、国有资本经营预算财政拨款支出决算表</w:t>
      </w:r>
      <w:bookmarkEnd w:id="10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47CB723"/>
    <w:multiLevelType w:val="singleLevel"/>
    <w:tmpl w:val="347CB723"/>
    <w:lvl w:ilvl="0" w:tentative="0">
      <w:start w:val="4"/>
      <w:numFmt w:val="decimal"/>
      <w:suff w:val="space"/>
      <w:lvlText w:val="%1."/>
      <w:lvlJc w:val="left"/>
    </w:lvl>
  </w:abstractNum>
  <w:abstractNum w:abstractNumId="4">
    <w:nsid w:val="739CF72F"/>
    <w:multiLevelType w:val="singleLevel"/>
    <w:tmpl w:val="739CF72F"/>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76B4"/>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0B88"/>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2BD2"/>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7A27"/>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17C6"/>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5AAD"/>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0EFD"/>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2CF3"/>
    <w:rsid w:val="00E853CE"/>
    <w:rsid w:val="00E867B6"/>
    <w:rsid w:val="00EA010F"/>
    <w:rsid w:val="00ED1B63"/>
    <w:rsid w:val="00ED3C1F"/>
    <w:rsid w:val="00ED4085"/>
    <w:rsid w:val="00ED420E"/>
    <w:rsid w:val="00ED6FBE"/>
    <w:rsid w:val="00EE1C5D"/>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0F2C"/>
    <w:rsid w:val="00FA23E8"/>
    <w:rsid w:val="00FD3CC1"/>
    <w:rsid w:val="00FF1E02"/>
    <w:rsid w:val="00FF30B4"/>
    <w:rsid w:val="014C4027"/>
    <w:rsid w:val="01924B25"/>
    <w:rsid w:val="01C0289C"/>
    <w:rsid w:val="02097C67"/>
    <w:rsid w:val="02914739"/>
    <w:rsid w:val="03083360"/>
    <w:rsid w:val="03084922"/>
    <w:rsid w:val="038138ED"/>
    <w:rsid w:val="0386662A"/>
    <w:rsid w:val="03953D55"/>
    <w:rsid w:val="0402301F"/>
    <w:rsid w:val="04725E69"/>
    <w:rsid w:val="048C0C20"/>
    <w:rsid w:val="04C07EA1"/>
    <w:rsid w:val="04C14AB7"/>
    <w:rsid w:val="04F16C6C"/>
    <w:rsid w:val="050D462E"/>
    <w:rsid w:val="051F0D87"/>
    <w:rsid w:val="059305DA"/>
    <w:rsid w:val="06924A43"/>
    <w:rsid w:val="06A355FD"/>
    <w:rsid w:val="06B37920"/>
    <w:rsid w:val="072C4A4D"/>
    <w:rsid w:val="07482906"/>
    <w:rsid w:val="07846453"/>
    <w:rsid w:val="07852050"/>
    <w:rsid w:val="07CE777B"/>
    <w:rsid w:val="08141E65"/>
    <w:rsid w:val="08761074"/>
    <w:rsid w:val="09B66EAE"/>
    <w:rsid w:val="0A2032A3"/>
    <w:rsid w:val="0A8E6207"/>
    <w:rsid w:val="0A9E1B87"/>
    <w:rsid w:val="0AAA6D5C"/>
    <w:rsid w:val="0B8A37D8"/>
    <w:rsid w:val="0BDB1A76"/>
    <w:rsid w:val="0BE61F79"/>
    <w:rsid w:val="0BEA1DB4"/>
    <w:rsid w:val="0C451DAD"/>
    <w:rsid w:val="0C66612A"/>
    <w:rsid w:val="0DFB7227"/>
    <w:rsid w:val="0E160384"/>
    <w:rsid w:val="0E457DCB"/>
    <w:rsid w:val="0F0714AC"/>
    <w:rsid w:val="0F8719E1"/>
    <w:rsid w:val="0FDE7DE8"/>
    <w:rsid w:val="10C055FF"/>
    <w:rsid w:val="10C63C01"/>
    <w:rsid w:val="10D23CC5"/>
    <w:rsid w:val="11746026"/>
    <w:rsid w:val="118107EC"/>
    <w:rsid w:val="11DD6519"/>
    <w:rsid w:val="12744E93"/>
    <w:rsid w:val="132C588F"/>
    <w:rsid w:val="132D0EEB"/>
    <w:rsid w:val="13627AFA"/>
    <w:rsid w:val="13661DAB"/>
    <w:rsid w:val="136B371A"/>
    <w:rsid w:val="13DA6B75"/>
    <w:rsid w:val="140B5711"/>
    <w:rsid w:val="141918CA"/>
    <w:rsid w:val="144460E3"/>
    <w:rsid w:val="14E52A37"/>
    <w:rsid w:val="14F35350"/>
    <w:rsid w:val="15131780"/>
    <w:rsid w:val="1523239F"/>
    <w:rsid w:val="15C14048"/>
    <w:rsid w:val="16243D73"/>
    <w:rsid w:val="163A660A"/>
    <w:rsid w:val="165076A6"/>
    <w:rsid w:val="166F0E9A"/>
    <w:rsid w:val="16B50F3E"/>
    <w:rsid w:val="16BB723D"/>
    <w:rsid w:val="16BE4F3F"/>
    <w:rsid w:val="16D831AF"/>
    <w:rsid w:val="171537D5"/>
    <w:rsid w:val="17855A68"/>
    <w:rsid w:val="17D65ABE"/>
    <w:rsid w:val="18015F3F"/>
    <w:rsid w:val="18240F4D"/>
    <w:rsid w:val="184E09CE"/>
    <w:rsid w:val="185145E3"/>
    <w:rsid w:val="19010982"/>
    <w:rsid w:val="190D4AF7"/>
    <w:rsid w:val="190F4513"/>
    <w:rsid w:val="19751638"/>
    <w:rsid w:val="197E1C00"/>
    <w:rsid w:val="199C6191"/>
    <w:rsid w:val="1A256DF7"/>
    <w:rsid w:val="1A8708E4"/>
    <w:rsid w:val="1ADC4A92"/>
    <w:rsid w:val="1AF46A4D"/>
    <w:rsid w:val="1B5D7B8D"/>
    <w:rsid w:val="1BCA1654"/>
    <w:rsid w:val="1BCC3151"/>
    <w:rsid w:val="1BE8440E"/>
    <w:rsid w:val="1C3F5D8D"/>
    <w:rsid w:val="1CC32E92"/>
    <w:rsid w:val="1CC55B53"/>
    <w:rsid w:val="1D155CEE"/>
    <w:rsid w:val="1D266E34"/>
    <w:rsid w:val="1DE241C5"/>
    <w:rsid w:val="1E4F0A5A"/>
    <w:rsid w:val="1EF71FA9"/>
    <w:rsid w:val="1F0307E4"/>
    <w:rsid w:val="1FC451E8"/>
    <w:rsid w:val="200D7431"/>
    <w:rsid w:val="20F57F95"/>
    <w:rsid w:val="21581A25"/>
    <w:rsid w:val="21633F3F"/>
    <w:rsid w:val="217F2B05"/>
    <w:rsid w:val="225A3B24"/>
    <w:rsid w:val="225A3FEE"/>
    <w:rsid w:val="22B80A01"/>
    <w:rsid w:val="238E7702"/>
    <w:rsid w:val="23D030D8"/>
    <w:rsid w:val="23E82881"/>
    <w:rsid w:val="23FE3E4C"/>
    <w:rsid w:val="240371BF"/>
    <w:rsid w:val="246906EF"/>
    <w:rsid w:val="246B2CC5"/>
    <w:rsid w:val="25187298"/>
    <w:rsid w:val="25C741E6"/>
    <w:rsid w:val="25E64BB8"/>
    <w:rsid w:val="26A67533"/>
    <w:rsid w:val="26AB1D38"/>
    <w:rsid w:val="26F84034"/>
    <w:rsid w:val="27842671"/>
    <w:rsid w:val="27DD4E39"/>
    <w:rsid w:val="27EC0E37"/>
    <w:rsid w:val="27F755E0"/>
    <w:rsid w:val="2943029E"/>
    <w:rsid w:val="295F172B"/>
    <w:rsid w:val="29FD04D3"/>
    <w:rsid w:val="2A5867BA"/>
    <w:rsid w:val="2AAE2466"/>
    <w:rsid w:val="2ABE7A3E"/>
    <w:rsid w:val="2AEA5F44"/>
    <w:rsid w:val="2B1D2F36"/>
    <w:rsid w:val="2BDD014F"/>
    <w:rsid w:val="2BE43161"/>
    <w:rsid w:val="2BE91CA2"/>
    <w:rsid w:val="2BEA5BAF"/>
    <w:rsid w:val="2C1E4328"/>
    <w:rsid w:val="2C4C0CFA"/>
    <w:rsid w:val="2CB55BF5"/>
    <w:rsid w:val="2CFC77B2"/>
    <w:rsid w:val="2D85605B"/>
    <w:rsid w:val="2D9339D0"/>
    <w:rsid w:val="2E273C01"/>
    <w:rsid w:val="2E583ED8"/>
    <w:rsid w:val="2E6F50D6"/>
    <w:rsid w:val="2EAA1898"/>
    <w:rsid w:val="2EFA178C"/>
    <w:rsid w:val="2F2F4626"/>
    <w:rsid w:val="2F951469"/>
    <w:rsid w:val="2FC96F51"/>
    <w:rsid w:val="2FD02F6A"/>
    <w:rsid w:val="2FE83295"/>
    <w:rsid w:val="300F6224"/>
    <w:rsid w:val="30B46D73"/>
    <w:rsid w:val="31586439"/>
    <w:rsid w:val="31880E8E"/>
    <w:rsid w:val="319F7F4E"/>
    <w:rsid w:val="31B34BF3"/>
    <w:rsid w:val="31BF03BA"/>
    <w:rsid w:val="31D2638F"/>
    <w:rsid w:val="31EF660C"/>
    <w:rsid w:val="32132835"/>
    <w:rsid w:val="32BF394C"/>
    <w:rsid w:val="336C2CB7"/>
    <w:rsid w:val="33BB26B7"/>
    <w:rsid w:val="33DC4B09"/>
    <w:rsid w:val="33E13F1F"/>
    <w:rsid w:val="34476BAB"/>
    <w:rsid w:val="34D51497"/>
    <w:rsid w:val="34F403A2"/>
    <w:rsid w:val="352E56CD"/>
    <w:rsid w:val="35404977"/>
    <w:rsid w:val="361F15A9"/>
    <w:rsid w:val="365A2CF3"/>
    <w:rsid w:val="36622A6F"/>
    <w:rsid w:val="36AF7C4A"/>
    <w:rsid w:val="36DE3CA0"/>
    <w:rsid w:val="37022563"/>
    <w:rsid w:val="379B272C"/>
    <w:rsid w:val="37A87733"/>
    <w:rsid w:val="37EE6657"/>
    <w:rsid w:val="38E4521E"/>
    <w:rsid w:val="39331840"/>
    <w:rsid w:val="3994431A"/>
    <w:rsid w:val="39970848"/>
    <w:rsid w:val="39AE70AB"/>
    <w:rsid w:val="3A243707"/>
    <w:rsid w:val="3A4D1ECB"/>
    <w:rsid w:val="3AB01D4B"/>
    <w:rsid w:val="3B0937EB"/>
    <w:rsid w:val="3C0169F3"/>
    <w:rsid w:val="3C0C0783"/>
    <w:rsid w:val="3C135C2B"/>
    <w:rsid w:val="3C292367"/>
    <w:rsid w:val="3C3D2C10"/>
    <w:rsid w:val="3C4206CC"/>
    <w:rsid w:val="3C621519"/>
    <w:rsid w:val="3C822C16"/>
    <w:rsid w:val="3C9C66A7"/>
    <w:rsid w:val="3CCE171E"/>
    <w:rsid w:val="3CEF3B35"/>
    <w:rsid w:val="3D2C3541"/>
    <w:rsid w:val="3D375F2D"/>
    <w:rsid w:val="3D4E0594"/>
    <w:rsid w:val="3D8159C0"/>
    <w:rsid w:val="3D9E30FD"/>
    <w:rsid w:val="3E2D7D12"/>
    <w:rsid w:val="3E2E652A"/>
    <w:rsid w:val="3E3C7ED8"/>
    <w:rsid w:val="3E8F73B6"/>
    <w:rsid w:val="3E992120"/>
    <w:rsid w:val="3EF559E6"/>
    <w:rsid w:val="3F0C2AC8"/>
    <w:rsid w:val="3F12684B"/>
    <w:rsid w:val="3F6B598E"/>
    <w:rsid w:val="3F795B0E"/>
    <w:rsid w:val="3F970290"/>
    <w:rsid w:val="3F9F3A96"/>
    <w:rsid w:val="3FAB014F"/>
    <w:rsid w:val="3FFE2CEF"/>
    <w:rsid w:val="40350D30"/>
    <w:rsid w:val="40455F0E"/>
    <w:rsid w:val="40616B7D"/>
    <w:rsid w:val="407B4BEA"/>
    <w:rsid w:val="40C57812"/>
    <w:rsid w:val="40FA0402"/>
    <w:rsid w:val="412305D7"/>
    <w:rsid w:val="41DE1FF1"/>
    <w:rsid w:val="421073E6"/>
    <w:rsid w:val="43333360"/>
    <w:rsid w:val="4349198B"/>
    <w:rsid w:val="437A43DB"/>
    <w:rsid w:val="43E6761B"/>
    <w:rsid w:val="44745376"/>
    <w:rsid w:val="448B1470"/>
    <w:rsid w:val="45394C48"/>
    <w:rsid w:val="45C64C17"/>
    <w:rsid w:val="46364733"/>
    <w:rsid w:val="465069BB"/>
    <w:rsid w:val="46B918D5"/>
    <w:rsid w:val="46F04BB5"/>
    <w:rsid w:val="46F14F4F"/>
    <w:rsid w:val="46FF6DDC"/>
    <w:rsid w:val="476C284F"/>
    <w:rsid w:val="47C415B1"/>
    <w:rsid w:val="47E64578"/>
    <w:rsid w:val="48B85A0D"/>
    <w:rsid w:val="48C37C43"/>
    <w:rsid w:val="49007FA1"/>
    <w:rsid w:val="4939062B"/>
    <w:rsid w:val="493C27E9"/>
    <w:rsid w:val="493E44F4"/>
    <w:rsid w:val="496F39ED"/>
    <w:rsid w:val="498E4258"/>
    <w:rsid w:val="49FF41D3"/>
    <w:rsid w:val="4A185DC8"/>
    <w:rsid w:val="4A3419B2"/>
    <w:rsid w:val="4A7752AB"/>
    <w:rsid w:val="4AA86FB3"/>
    <w:rsid w:val="4ADF1EB4"/>
    <w:rsid w:val="4BA606A1"/>
    <w:rsid w:val="4BCB6E0A"/>
    <w:rsid w:val="4BE068DB"/>
    <w:rsid w:val="4BF6002B"/>
    <w:rsid w:val="4C01196E"/>
    <w:rsid w:val="4C060F0E"/>
    <w:rsid w:val="4CCA0EE2"/>
    <w:rsid w:val="4CF753A7"/>
    <w:rsid w:val="4D3F76B4"/>
    <w:rsid w:val="4DA6703E"/>
    <w:rsid w:val="4DA9351B"/>
    <w:rsid w:val="4E070D7F"/>
    <w:rsid w:val="4E0A7869"/>
    <w:rsid w:val="4EB45377"/>
    <w:rsid w:val="4EB97DD4"/>
    <w:rsid w:val="4EBE75C6"/>
    <w:rsid w:val="4ECE2238"/>
    <w:rsid w:val="4EE463C0"/>
    <w:rsid w:val="4F124305"/>
    <w:rsid w:val="4F2B3BFC"/>
    <w:rsid w:val="4F994168"/>
    <w:rsid w:val="50447BD3"/>
    <w:rsid w:val="5097441D"/>
    <w:rsid w:val="50AD6715"/>
    <w:rsid w:val="50CA7C31"/>
    <w:rsid w:val="51314A8C"/>
    <w:rsid w:val="51D330AE"/>
    <w:rsid w:val="51DA335A"/>
    <w:rsid w:val="51DB4B86"/>
    <w:rsid w:val="53384C91"/>
    <w:rsid w:val="53D9380F"/>
    <w:rsid w:val="54365046"/>
    <w:rsid w:val="5464652D"/>
    <w:rsid w:val="549B2839"/>
    <w:rsid w:val="55333C3E"/>
    <w:rsid w:val="56166E77"/>
    <w:rsid w:val="5642623A"/>
    <w:rsid w:val="56887795"/>
    <w:rsid w:val="56D86836"/>
    <w:rsid w:val="56EC7545"/>
    <w:rsid w:val="57697B41"/>
    <w:rsid w:val="57C831E7"/>
    <w:rsid w:val="57FB65E1"/>
    <w:rsid w:val="58046B46"/>
    <w:rsid w:val="58B22668"/>
    <w:rsid w:val="58E935E8"/>
    <w:rsid w:val="58F339B6"/>
    <w:rsid w:val="592300A4"/>
    <w:rsid w:val="5A501BF8"/>
    <w:rsid w:val="5A567EB8"/>
    <w:rsid w:val="5ABD01A1"/>
    <w:rsid w:val="5ACE2FCF"/>
    <w:rsid w:val="5AE931DC"/>
    <w:rsid w:val="5C307821"/>
    <w:rsid w:val="5C6A65B2"/>
    <w:rsid w:val="5CF00B61"/>
    <w:rsid w:val="5D0F55F3"/>
    <w:rsid w:val="5D695164"/>
    <w:rsid w:val="5DA70520"/>
    <w:rsid w:val="5E2913AD"/>
    <w:rsid w:val="5E463FAF"/>
    <w:rsid w:val="5E4C7629"/>
    <w:rsid w:val="5F14572C"/>
    <w:rsid w:val="5F322F82"/>
    <w:rsid w:val="5F5E1D9E"/>
    <w:rsid w:val="5F682528"/>
    <w:rsid w:val="5FEA4E9F"/>
    <w:rsid w:val="600943DE"/>
    <w:rsid w:val="60683414"/>
    <w:rsid w:val="615A657B"/>
    <w:rsid w:val="63000F97"/>
    <w:rsid w:val="6315615F"/>
    <w:rsid w:val="63313C53"/>
    <w:rsid w:val="633E27F6"/>
    <w:rsid w:val="63643F03"/>
    <w:rsid w:val="63691CE1"/>
    <w:rsid w:val="63FA29CC"/>
    <w:rsid w:val="64506EF3"/>
    <w:rsid w:val="6487146E"/>
    <w:rsid w:val="64A8680B"/>
    <w:rsid w:val="64CA39A1"/>
    <w:rsid w:val="64DD739D"/>
    <w:rsid w:val="654B7E80"/>
    <w:rsid w:val="6550089D"/>
    <w:rsid w:val="65691488"/>
    <w:rsid w:val="662569CC"/>
    <w:rsid w:val="66404314"/>
    <w:rsid w:val="664B0640"/>
    <w:rsid w:val="67AA2744"/>
    <w:rsid w:val="68790F4F"/>
    <w:rsid w:val="689F7BD8"/>
    <w:rsid w:val="68E03A90"/>
    <w:rsid w:val="6938265C"/>
    <w:rsid w:val="69610CA7"/>
    <w:rsid w:val="696D4C33"/>
    <w:rsid w:val="697B6649"/>
    <w:rsid w:val="697C21B3"/>
    <w:rsid w:val="697F7416"/>
    <w:rsid w:val="69B00F40"/>
    <w:rsid w:val="69BC1F6B"/>
    <w:rsid w:val="6ADD2059"/>
    <w:rsid w:val="6B055DAC"/>
    <w:rsid w:val="6B1D4DE9"/>
    <w:rsid w:val="6BF747A6"/>
    <w:rsid w:val="6C4A05C8"/>
    <w:rsid w:val="6C7D3CE2"/>
    <w:rsid w:val="6C8E5276"/>
    <w:rsid w:val="6D0F6231"/>
    <w:rsid w:val="6D43567F"/>
    <w:rsid w:val="6E2677E1"/>
    <w:rsid w:val="6E5F194E"/>
    <w:rsid w:val="6F304E69"/>
    <w:rsid w:val="6F4746FA"/>
    <w:rsid w:val="6F60028D"/>
    <w:rsid w:val="6F970F53"/>
    <w:rsid w:val="6FAE2A79"/>
    <w:rsid w:val="704B2EA9"/>
    <w:rsid w:val="705F06E7"/>
    <w:rsid w:val="70E61A72"/>
    <w:rsid w:val="70ED3164"/>
    <w:rsid w:val="71535339"/>
    <w:rsid w:val="71CF18E0"/>
    <w:rsid w:val="72734D90"/>
    <w:rsid w:val="730D15B2"/>
    <w:rsid w:val="74B27383"/>
    <w:rsid w:val="74EC2270"/>
    <w:rsid w:val="756B73A2"/>
    <w:rsid w:val="759C19C8"/>
    <w:rsid w:val="765B56A7"/>
    <w:rsid w:val="76910B3F"/>
    <w:rsid w:val="76EA61EF"/>
    <w:rsid w:val="770C7607"/>
    <w:rsid w:val="773F26A0"/>
    <w:rsid w:val="78681B8A"/>
    <w:rsid w:val="78B01875"/>
    <w:rsid w:val="78C54D8B"/>
    <w:rsid w:val="78D8574F"/>
    <w:rsid w:val="78F36A91"/>
    <w:rsid w:val="79E7B28D"/>
    <w:rsid w:val="7A0B401E"/>
    <w:rsid w:val="7A2A5B52"/>
    <w:rsid w:val="7AB36D4E"/>
    <w:rsid w:val="7AC7015B"/>
    <w:rsid w:val="7B0F7724"/>
    <w:rsid w:val="7B193492"/>
    <w:rsid w:val="7B4E4608"/>
    <w:rsid w:val="7B4E69EB"/>
    <w:rsid w:val="7B643376"/>
    <w:rsid w:val="7BBC2A5A"/>
    <w:rsid w:val="7C1512D0"/>
    <w:rsid w:val="7C43699F"/>
    <w:rsid w:val="7C775BAB"/>
    <w:rsid w:val="7CB369A0"/>
    <w:rsid w:val="7CC25336"/>
    <w:rsid w:val="7CEB50DD"/>
    <w:rsid w:val="7D272003"/>
    <w:rsid w:val="7D5177D1"/>
    <w:rsid w:val="7D5E1883"/>
    <w:rsid w:val="7D5F4759"/>
    <w:rsid w:val="7DB44E29"/>
    <w:rsid w:val="7E503DFF"/>
    <w:rsid w:val="7E703809"/>
    <w:rsid w:val="7F004D43"/>
    <w:rsid w:val="7F017C8E"/>
    <w:rsid w:val="7F3E544C"/>
    <w:rsid w:val="7F5163C3"/>
    <w:rsid w:val="7F7352CB"/>
    <w:rsid w:val="7F9F20EE"/>
    <w:rsid w:val="7FA6464D"/>
    <w:rsid w:val="7FD237F2"/>
    <w:rsid w:val="7FEB2979"/>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qFormat/>
    <w:uiPriority w:val="99"/>
    <w:pPr>
      <w:spacing w:line="360" w:lineRule="auto"/>
      <w:ind w:firstLine="358" w:firstLineChars="128"/>
    </w:pPr>
    <w:rPr>
      <w:kern w:val="0"/>
      <w:sz w:val="24"/>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iPriority w:val="0"/>
    <w:rPr>
      <w:sz w:val="24"/>
    </w:rPr>
  </w:style>
  <w:style w:type="paragraph" w:styleId="14">
    <w:name w:val="Body Text First Indent 2"/>
    <w:basedOn w:val="6"/>
    <w:next w:val="1"/>
    <w:qFormat/>
    <w:uiPriority w:val="0"/>
    <w:pPr>
      <w:ind w:firstLine="420" w:firstLineChars="200"/>
    </w:pPr>
    <w:rPr>
      <w:rFonts w:ascii="Calibri" w:hAnsi="Calibri" w:eastAsia="宋体" w:cs="Times New Roman"/>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 Char Char5"/>
    <w:basedOn w:val="16"/>
    <w:link w:val="4"/>
    <w:qFormat/>
    <w:locked/>
    <w:uiPriority w:val="9"/>
    <w:rPr>
      <w:rFonts w:ascii="Cambria" w:hAnsi="Cambria" w:eastAsia="宋体" w:cs="Times New Roman"/>
      <w:b/>
      <w:bCs/>
      <w:kern w:val="2"/>
      <w:sz w:val="32"/>
      <w:szCs w:val="32"/>
    </w:rPr>
  </w:style>
  <w:style w:type="paragraph" w:customStyle="1" w:styleId="34">
    <w:name w:val="WPSOffice手动目录 1"/>
    <w:uiPriority w:val="0"/>
    <w:pPr>
      <w:ind w:leftChars="0"/>
    </w:pPr>
    <w:rPr>
      <w:rFonts w:ascii="Calibri" w:hAnsi="Calibri" w:eastAsia="宋体" w:cs="Times New Roman"/>
      <w:sz w:val="20"/>
      <w:szCs w:val="20"/>
    </w:rPr>
  </w:style>
  <w:style w:type="paragraph" w:customStyle="1" w:styleId="35">
    <w:name w:val="WPSOffice手动目录 2"/>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my%20documents\tencent%20files\542001839\filerecv\&#27604;&#20363;&#22270;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my%20documents\tencent%20files\542001839\filerecv\&#27604;&#20363;&#22270;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Documents%20and%20Settings\Administrator\&#26700;&#38754;\&#26032;&#24314;%20XLS%20&#24037;&#20316;&#34920;%2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20documents\tencent%20files\542001839\filerecv\&#27604;&#20363;&#2227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y%20documents\tencent%20files\542001839\filerecv\&#27604;&#20363;&#22270;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my%20documents\tencent%20files\542001839\filerecv\&#27604;&#20363;&#22270;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my%20documents\tencent%20files\542001839\filerecv\&#27604;&#20363;&#2227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"收、支决算总计变动情况图"</c:f>
              <c:strCache>
                <c:ptCount val="1"/>
                <c:pt idx="0">
                  <c:v>收、支决算总计变动情况图</c:v>
                </c:pt>
              </c:strCache>
            </c:strRef>
          </c:tx>
          <c:spPr>
            <a:solidFill>
              <a:srgbClr val="FF0000"/>
            </a:solidFill>
          </c:spPr>
          <c:invertIfNegative val="0"/>
          <c:dPt>
            <c:idx val="0"/>
            <c:invertIfNegative val="0"/>
            <c:bubble3D val="0"/>
            <c:spPr>
              <a:solidFill>
                <a:srgbClr val="92D050"/>
              </a:solidFill>
            </c:spPr>
          </c:dPt>
          <c:dPt>
            <c:idx val="1"/>
            <c:invertIfNegative val="0"/>
            <c:bubble3D val="0"/>
            <c:spPr>
              <a:solidFill>
                <a:srgbClr val="00B0F0"/>
              </a:solidFill>
            </c:spPr>
          </c:dPt>
          <c:dLbls>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789.99</a:t>
                    </a:r>
                    <a:r>
                      <a:rPr lang="zh-CN" altLang="en-US"/>
                      <a:t>万元</a:t>
                    </a:r>
                    <a:endParaRPr lang="zh-CN" altLang="en-US"/>
                  </a:p>
                </c:rich>
              </c:tx>
              <c:dLblPos val="outEnd"/>
              <c:showLegendKey val="0"/>
              <c:showVal val="1"/>
              <c:showCatName val="0"/>
              <c:showSerName val="0"/>
              <c:showPercent val="0"/>
              <c:showBubbleSize val="0"/>
              <c:extLst>
                <c:ext xmlns:c15="http://schemas.microsoft.com/office/drawing/2012/chart" uri="{CE6537A1-D6FC-4f65-9D91-7224C49458BB}"/>
              </c:extLst>
            </c:dLbl>
            <c:numFmt formatCode="00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[比例图1.xlsx]收、支决算总计变动情况图!$A$1:$A$3</c:f>
              <c:strCache>
                <c:ptCount val="3"/>
                <c:pt idx="0">
                  <c:v>2021年度</c:v>
                </c:pt>
                <c:pt idx="1">
                  <c:v>2020年度</c:v>
                </c:pt>
                <c:pt idx="2">
                  <c:v>2021年相比2020年减少</c:v>
                </c:pt>
              </c:strCache>
            </c:strRef>
          </c:cat>
          <c:val>
            <c:numRef>
              <c:f>[比例图1.xlsx]收、支决算总计变动情况图!$B$1:$B$3</c:f>
              <c:numCache>
                <c:formatCode>General</c:formatCode>
                <c:ptCount val="3"/>
                <c:pt idx="0">
                  <c:v>415.81</c:v>
                </c:pt>
                <c:pt idx="1">
                  <c:v>1205.8</c:v>
                </c:pt>
                <c:pt idx="2">
                  <c:v>789.99</c:v>
                </c:pt>
              </c:numCache>
            </c:numRef>
          </c:val>
        </c:ser>
        <c:dLbls>
          <c:showLegendKey val="0"/>
          <c:showVal val="1"/>
          <c:showCatName val="0"/>
          <c:showSerName val="0"/>
          <c:showPercent val="0"/>
          <c:showBubbleSize val="0"/>
        </c:dLbls>
        <c:gapWidth val="150"/>
        <c:axId val="99361536"/>
        <c:axId val="99363072"/>
      </c:barChart>
      <c:catAx>
        <c:axId val="993615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363072"/>
        <c:crosses val="autoZero"/>
        <c:auto val="1"/>
        <c:lblAlgn val="ctr"/>
        <c:lblOffset val="100"/>
        <c:noMultiLvlLbl val="0"/>
      </c:catAx>
      <c:valAx>
        <c:axId val="99363072"/>
        <c:scaling>
          <c:orientation val="minMax"/>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361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2200" b="1"/>
              <a:t>收入决算结构图</a:t>
            </a:r>
            <a:endParaRPr sz="2200"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[比例图1.xlsx]收入决算结构图!$A$3:$A$4</c:f>
              <c:strCache>
                <c:ptCount val="2"/>
                <c:pt idx="0">
                  <c:v>一般公共预算财政拨款收入  187.02万元</c:v>
                </c:pt>
                <c:pt idx="1">
                  <c:v>事业收入  228.51万元</c:v>
                </c:pt>
              </c:strCache>
            </c:strRef>
          </c:cat>
          <c:val>
            <c:numRef>
              <c:f>[比例图1.xlsx]收入决算结构图!$B$3:$B$4</c:f>
              <c:numCache>
                <c:formatCode>General</c:formatCode>
                <c:ptCount val="2"/>
                <c:pt idx="0">
                  <c:v>187.02</c:v>
                </c:pt>
                <c:pt idx="1">
                  <c:v>228.51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t>支出决算结构图</a:t>
            </a:r>
            <a:endParaRPr sz="18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 (3).xls]Sheet1'!$A$1:$A$2</c:f>
              <c:strCache>
                <c:ptCount val="2"/>
                <c:pt idx="0">
                  <c:v>基本支出 225.63万元</c:v>
                </c:pt>
                <c:pt idx="1">
                  <c:v>项目支出 190.02万元</c:v>
                </c:pt>
              </c:strCache>
            </c:strRef>
          </c:cat>
          <c:val>
            <c:numRef>
              <c:f>'[新建 XLS 工作表 (3).xls]Sheet1'!$B$1:$B$2</c:f>
              <c:numCache>
                <c:formatCode>0.00%</c:formatCode>
                <c:ptCount val="2"/>
                <c:pt idx="0">
                  <c:v>0.5428</c:v>
                </c:pt>
                <c:pt idx="1">
                  <c:v>0.4572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财政拨款收、支决算总计变动情况</a:t>
            </a:r>
          </a:p>
        </c:rich>
      </c:tx>
      <c:layout/>
      <c:overlay val="0"/>
    </c:title>
    <c:autoTitleDeleted val="0"/>
    <c:plotArea>
      <c:layout/>
      <c:barChart>
        <c:barDir val="col"/>
        <c:grouping val="clustered"/>
        <c:varyColors val="0"/>
        <c:ser>
          <c:idx val="0"/>
          <c:order val="0"/>
          <c:tx>
            <c:strRef>
              <c:f>"收、支决算总计变动情况图"</c:f>
              <c:strCache>
                <c:ptCount val="1"/>
                <c:pt idx="0">
                  <c:v>收、支决算总计变动情况图</c:v>
                </c:pt>
              </c:strCache>
            </c:strRef>
          </c:tx>
          <c:spPr>
            <a:solidFill>
              <a:srgbClr val="FF0000"/>
            </a:solidFill>
          </c:spPr>
          <c:invertIfNegative val="0"/>
          <c:dPt>
            <c:idx val="0"/>
            <c:invertIfNegative val="0"/>
            <c:bubble3D val="0"/>
            <c:spPr>
              <a:solidFill>
                <a:srgbClr val="92D050"/>
              </a:solidFill>
            </c:spPr>
          </c:dPt>
          <c:dPt>
            <c:idx val="1"/>
            <c:invertIfNegative val="0"/>
            <c:bubble3D val="0"/>
            <c:spPr>
              <a:solidFill>
                <a:srgbClr val="00B0F0"/>
              </a:solidFill>
            </c:spPr>
          </c:dPt>
          <c:dLbls>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801.83</a:t>
                    </a:r>
                    <a:r>
                      <a:rPr lang="zh-CN" altLang="en-US"/>
                      <a:t>万元</a:t>
                    </a:r>
                    <a:endParaRPr lang="zh-CN" altLang="en-US"/>
                  </a:p>
                </c:rich>
              </c:tx>
              <c:dLblPos val="outEnd"/>
              <c:showLegendKey val="0"/>
              <c:showVal val="1"/>
              <c:showCatName val="0"/>
              <c:showSerName val="0"/>
              <c:showPercent val="0"/>
              <c:showBubbleSize val="0"/>
              <c:extLst>
                <c:ext xmlns:c15="http://schemas.microsoft.com/office/drawing/2012/chart" uri="{CE6537A1-D6FC-4f65-9D91-7224C49458BB}"/>
              </c:extLst>
            </c:dLbl>
            <c:numFmt formatCode="00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[比例图1.xlsx]收、支决算总计变动情况图!$A$1:$A$3</c:f>
              <c:strCache>
                <c:ptCount val="3"/>
                <c:pt idx="0">
                  <c:v>2021年度</c:v>
                </c:pt>
                <c:pt idx="1">
                  <c:v>2020年度</c:v>
                </c:pt>
                <c:pt idx="2">
                  <c:v>2021年相比2020年减少</c:v>
                </c:pt>
              </c:strCache>
            </c:strRef>
          </c:cat>
          <c:val>
            <c:numRef>
              <c:f>[比例图1.xlsx]收、支决算总计变动情况图!$B$1:$B$3</c:f>
              <c:numCache>
                <c:formatCode>General</c:formatCode>
                <c:ptCount val="3"/>
                <c:pt idx="0">
                  <c:v>187.3</c:v>
                </c:pt>
                <c:pt idx="1">
                  <c:v>989.13</c:v>
                </c:pt>
                <c:pt idx="2">
                  <c:v>801.83</c:v>
                </c:pt>
              </c:numCache>
            </c:numRef>
          </c:val>
        </c:ser>
        <c:dLbls>
          <c:showLegendKey val="0"/>
          <c:showVal val="1"/>
          <c:showCatName val="0"/>
          <c:showSerName val="0"/>
          <c:showPercent val="0"/>
          <c:showBubbleSize val="0"/>
        </c:dLbls>
        <c:gapWidth val="150"/>
        <c:axId val="99361536"/>
        <c:axId val="99363072"/>
      </c:barChart>
      <c:catAx>
        <c:axId val="993615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363072"/>
        <c:crosses val="autoZero"/>
        <c:auto val="1"/>
        <c:lblAlgn val="ctr"/>
        <c:lblOffset val="100"/>
        <c:noMultiLvlLbl val="0"/>
      </c:catAx>
      <c:valAx>
        <c:axId val="99363072"/>
        <c:scaling>
          <c:orientation val="minMax"/>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361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一般公共预算财政拨款支出决算变动情况</a:t>
            </a:r>
          </a:p>
        </c:rich>
      </c:tx>
      <c:layout/>
      <c:overlay val="0"/>
    </c:title>
    <c:autoTitleDeleted val="0"/>
    <c:plotArea>
      <c:layout/>
      <c:barChart>
        <c:barDir val="col"/>
        <c:grouping val="stacked"/>
        <c:varyColors val="0"/>
        <c:ser>
          <c:idx val="0"/>
          <c:order val="0"/>
          <c:invertIfNegative val="0"/>
          <c:dPt>
            <c:idx val="0"/>
            <c:invertIfNegative val="0"/>
            <c:bubble3D val="0"/>
            <c:spPr>
              <a:solidFill>
                <a:schemeClr val="accent1"/>
              </a:solidFill>
            </c:spPr>
          </c:dPt>
          <c:dPt>
            <c:idx val="1"/>
            <c:invertIfNegative val="0"/>
            <c:bubble3D val="0"/>
            <c:spPr>
              <a:solidFill>
                <a:srgbClr val="C00000"/>
              </a:solidFill>
            </c:spPr>
          </c:dPt>
          <c:dPt>
            <c:idx val="2"/>
            <c:invertIfNegative val="0"/>
            <c:bubble3D val="0"/>
            <c:spPr>
              <a:solidFill>
                <a:schemeClr val="accent3"/>
              </a:solidFill>
            </c:spPr>
          </c:dPt>
          <c:dLbls>
            <c:spPr>
              <a:noFill/>
              <a:ln>
                <a:noFill/>
              </a:ln>
              <a:effectLst/>
            </c:spPr>
            <c:txPr>
              <a:bodyPr rot="0" spcFirstLastPara="0" vertOverflow="ellipsis" vert="horz" wrap="square" lIns="38100" tIns="19050" rIns="38100" bIns="19050" anchor="t" anchorCtr="0"/>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[比例图1.xlsx]一般公共预算财政拨款支出决算变动情况!$A$1:$A$3</c:f>
              <c:strCache>
                <c:ptCount val="3"/>
                <c:pt idx="0">
                  <c:v>2021年度</c:v>
                </c:pt>
                <c:pt idx="1">
                  <c:v>2020年度</c:v>
                </c:pt>
                <c:pt idx="2">
                  <c:v>2021年相比2020年减少</c:v>
                </c:pt>
              </c:strCache>
            </c:strRef>
          </c:cat>
          <c:val>
            <c:numRef>
              <c:f>[比例图1.xlsx]一般公共预算财政拨款支出决算变动情况!$B$1:$B$3</c:f>
              <c:numCache>
                <c:formatCode>General</c:formatCode>
                <c:ptCount val="3"/>
                <c:pt idx="0">
                  <c:v>187.14</c:v>
                </c:pt>
                <c:pt idx="1">
                  <c:v>888.25</c:v>
                </c:pt>
                <c:pt idx="2">
                  <c:v>701.11</c:v>
                </c:pt>
              </c:numCache>
            </c:numRef>
          </c:val>
        </c:ser>
        <c:dLbls>
          <c:showLegendKey val="0"/>
          <c:showVal val="1"/>
          <c:showCatName val="0"/>
          <c:showSerName val="0"/>
          <c:showPercent val="0"/>
          <c:showBubbleSize val="0"/>
        </c:dLbls>
        <c:gapWidth val="55"/>
        <c:overlap val="100"/>
        <c:axId val="99461760"/>
        <c:axId val="99471744"/>
      </c:barChart>
      <c:catAx>
        <c:axId val="9946176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471744"/>
        <c:crosses val="autoZero"/>
        <c:auto val="1"/>
        <c:lblAlgn val="ctr"/>
        <c:lblOffset val="100"/>
        <c:noMultiLvlLbl val="0"/>
      </c:catAx>
      <c:valAx>
        <c:axId val="994717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4617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b="1">
                <a:solidFill>
                  <a:schemeClr val="tx1">
                    <a:lumMod val="65000"/>
                    <a:lumOff val="35000"/>
                  </a:schemeClr>
                </a:solidFill>
                <a:uFillTx/>
              </a:rPr>
              <a:t>一般公共预算财政拨款支出决算结构</a:t>
            </a:r>
            <a:endParaRPr sz="1800" b="1">
              <a:solidFill>
                <a:schemeClr val="tx1">
                  <a:lumMod val="65000"/>
                  <a:lumOff val="35000"/>
                </a:schemeClr>
              </a:solidFill>
              <a:uFillTx/>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[比例图1.xlsx]Sheet1!$A$1:$A$4</c:f>
              <c:strCache>
                <c:ptCount val="4"/>
                <c:pt idx="0">
                  <c:v>社会保障和就业  15.51万元</c:v>
                </c:pt>
                <c:pt idx="1">
                  <c:v>卫生健康  6.81万元</c:v>
                </c:pt>
                <c:pt idx="2">
                  <c:v>住房保障  13.69万元</c:v>
                </c:pt>
                <c:pt idx="3">
                  <c:v>其他支出  151.13万元</c:v>
                </c:pt>
              </c:strCache>
            </c:strRef>
          </c:cat>
          <c:val>
            <c:numRef>
              <c:f>[比例图1.xlsx]Sheet1!$C$1:$C$4</c:f>
              <c:numCache>
                <c:formatCode>0.00%</c:formatCode>
                <c:ptCount val="4"/>
                <c:pt idx="0">
                  <c:v>0.0864</c:v>
                </c:pt>
                <c:pt idx="1">
                  <c:v>0.0279</c:v>
                </c:pt>
                <c:pt idx="2">
                  <c:v>0.0614</c:v>
                </c:pt>
                <c:pt idx="3">
                  <c:v>0.8235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b="1">
                <a:solidFill>
                  <a:schemeClr val="tx1">
                    <a:lumMod val="65000"/>
                    <a:lumOff val="35000"/>
                  </a:schemeClr>
                </a:solidFill>
                <a:uFillTx/>
              </a:rPr>
              <a:t>“三公”经费财政拨款支出结构</a:t>
            </a:r>
            <a:endParaRPr sz="1800" b="1">
              <a:solidFill>
                <a:schemeClr val="tx1">
                  <a:lumMod val="65000"/>
                  <a:lumOff val="35000"/>
                </a:schemeClr>
              </a:solidFill>
              <a:uFillTx/>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[比例图1.xlsx]三公经费结构图!$A$4:$A$5</c:f>
              <c:strCache>
                <c:ptCount val="2"/>
                <c:pt idx="0">
                  <c:v>公务用车购置及运行维护费  1.2万元</c:v>
                </c:pt>
                <c:pt idx="1">
                  <c:v>公务接待费  0.44万元</c:v>
                </c:pt>
              </c:strCache>
            </c:strRef>
          </c:cat>
          <c:val>
            <c:numRef>
              <c:f>[比例图1.xlsx]三公经费结构图!$B$4:$B$5</c:f>
              <c:numCache>
                <c:formatCode>0.00%</c:formatCode>
                <c:ptCount val="2"/>
                <c:pt idx="0">
                  <c:v>0.7317</c:v>
                </c:pt>
                <c:pt idx="1">
                  <c:v>0.2683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6</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2022-09-26T06:51:00Z</cp:lastPrinted>
  <dcterms:modified xsi:type="dcterms:W3CDTF">2023-09-13T12:09:53Z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18C4299B72334D3095585539B3212D20</vt:lpwstr>
  </property>
</Properties>
</file>