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8441"/>
      <w:bookmarkStart w:id="2" w:name="_Toc15396597"/>
      <w:bookmarkStart w:id="3" w:name="_Toc15377425"/>
      <w:bookmarkStart w:id="4" w:name="_Toc15377193"/>
      <w:bookmarkStart w:id="5" w:name="_Toc1539647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7194"/>
      <w:bookmarkStart w:id="7" w:name="_Toc15377426"/>
      <w:bookmarkStart w:id="8" w:name="_Toc15396598"/>
      <w:bookmarkStart w:id="9" w:name="_Toc15396476"/>
      <w:bookmarkStart w:id="10" w:name="_Toc15378442"/>
      <w:r>
        <w:rPr>
          <w:rFonts w:hint="eastAsia" w:ascii="方正小标宋简体" w:hAnsi="方正小标宋简体" w:eastAsia="方正小标宋简体" w:cs="方正小标宋简体"/>
          <w:color w:val="auto"/>
          <w:sz w:val="72"/>
          <w:szCs w:val="72"/>
          <w:highlight w:val="none"/>
          <w:lang w:val="en-US" w:eastAsia="zh-CN"/>
        </w:rPr>
        <w:t>广元市</w:t>
      </w:r>
      <w:bookmarkEnd w:id="0"/>
      <w:bookmarkStart w:id="11" w:name="_Toc15306268"/>
      <w:r>
        <w:rPr>
          <w:rFonts w:hint="eastAsia" w:ascii="方正小标宋简体" w:hAnsi="方正小标宋简体" w:eastAsia="方正小标宋简体" w:cs="方正小标宋简体"/>
          <w:color w:val="auto"/>
          <w:sz w:val="72"/>
          <w:szCs w:val="72"/>
          <w:highlight w:val="none"/>
          <w:lang w:eastAsia="zh-CN"/>
        </w:rPr>
        <w:t>自然保护地工作站单位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29</w:t>
      </w:r>
      <w:r>
        <w:rPr>
          <w:rFonts w:hint="eastAsia"/>
          <w:color w:val="auto"/>
          <w:highlight w:val="none"/>
        </w:rPr>
        <w:t>日</w:t>
      </w:r>
    </w:p>
    <w:p>
      <w:pPr>
        <w:rPr>
          <w:color w:val="auto"/>
          <w:highlight w:val="none"/>
        </w:rPr>
      </w:pPr>
    </w:p>
    <w:p>
      <w:pPr>
        <w:pStyle w:val="10"/>
        <w:keepNext w:val="0"/>
        <w:keepLines w:val="0"/>
        <w:pageBreakBefore w:val="0"/>
        <w:widowControl w:val="0"/>
        <w:kinsoku/>
        <w:wordWrap/>
        <w:overflowPunct/>
        <w:topLinePunct w:val="0"/>
        <w:autoSpaceDE/>
        <w:autoSpaceDN/>
        <w:bidi w:val="0"/>
        <w:adjustRightInd w:val="0"/>
        <w:snapToGrid w:val="0"/>
        <w:spacing w:before="0" w:line="576" w:lineRule="exact"/>
        <w:ind w:firstLine="600" w:firstLineChars="200"/>
        <w:jc w:val="left"/>
        <w:textAlignment w:val="auto"/>
        <w:rPr>
          <w:rFonts w:hint="eastAsia" w:ascii="仿宋_GB2312" w:hAnsi="仿宋_GB2312" w:eastAsia="仿宋_GB2312" w:cs="仿宋_GB2312"/>
          <w:color w:val="FF0000"/>
          <w:sz w:val="30"/>
          <w:szCs w:val="30"/>
          <w:lang w:val="en-US" w:eastAsia="zh-CN"/>
        </w:rPr>
      </w:pPr>
      <w:r>
        <w:rPr>
          <w:rFonts w:hint="eastAsia" w:ascii="仿宋_GB2312" w:hAnsi="仿宋_GB2312" w:eastAsia="仿宋_GB2312" w:cs="仿宋_GB2312"/>
          <w:sz w:val="30"/>
          <w:szCs w:val="30"/>
        </w:rPr>
        <w:t>第一部分 单位概况</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color w:val="auto"/>
          <w:sz w:val="30"/>
          <w:szCs w:val="30"/>
          <w:lang w:val="en-US" w:eastAsia="zh-CN"/>
        </w:rPr>
        <w:t>.1</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一、职能简介</w:t>
      </w:r>
      <w:r>
        <w:rPr>
          <w:rFonts w:hint="eastAsia" w:ascii="仿宋_GB2312" w:hAnsi="仿宋_GB2312" w:eastAsia="仿宋_GB2312" w:cs="仿宋_GB2312"/>
          <w:sz w:val="30"/>
          <w:szCs w:val="30"/>
          <w:lang w:val="en-US" w:eastAsia="zh-CN"/>
        </w:rPr>
        <w:t>....................................1</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二、2021年重点工作完成情况</w:t>
      </w:r>
      <w:r>
        <w:rPr>
          <w:rFonts w:hint="eastAsia" w:ascii="仿宋_GB2312" w:hAnsi="仿宋_GB2312" w:eastAsia="仿宋_GB2312" w:cs="仿宋_GB2312"/>
          <w:sz w:val="30"/>
          <w:szCs w:val="30"/>
          <w:lang w:val="en-US" w:eastAsia="zh-CN"/>
        </w:rPr>
        <w:t>.....................1</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第二部分 2021年度单位决算情况说明</w:t>
      </w:r>
      <w:r>
        <w:rPr>
          <w:rFonts w:hint="eastAsia" w:ascii="仿宋_GB2312" w:hAnsi="仿宋_GB2312" w:eastAsia="仿宋_GB2312" w:cs="仿宋_GB2312"/>
          <w:sz w:val="30"/>
          <w:szCs w:val="30"/>
          <w:lang w:val="en-US" w:eastAsia="zh-CN"/>
        </w:rPr>
        <w:t>..............4</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一、收入支出决算总体情况说明</w:t>
      </w:r>
      <w:r>
        <w:rPr>
          <w:rFonts w:hint="eastAsia" w:ascii="仿宋_GB2312" w:hAnsi="仿宋_GB2312" w:eastAsia="仿宋_GB2312" w:cs="仿宋_GB2312"/>
          <w:sz w:val="30"/>
          <w:szCs w:val="30"/>
          <w:lang w:val="en-US" w:eastAsia="zh-CN"/>
        </w:rPr>
        <w:t>....................4</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二、收入决算情况说明</w:t>
      </w:r>
      <w:r>
        <w:rPr>
          <w:rFonts w:hint="eastAsia" w:ascii="仿宋_GB2312" w:hAnsi="仿宋_GB2312" w:eastAsia="仿宋_GB2312" w:cs="仿宋_GB2312"/>
          <w:sz w:val="30"/>
          <w:szCs w:val="30"/>
          <w:lang w:val="en-US" w:eastAsia="zh-CN"/>
        </w:rPr>
        <w:t>............................4</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三、支出决算情况说明</w:t>
      </w:r>
      <w:r>
        <w:rPr>
          <w:rFonts w:hint="eastAsia" w:ascii="仿宋_GB2312" w:hAnsi="仿宋_GB2312" w:eastAsia="仿宋_GB2312" w:cs="仿宋_GB2312"/>
          <w:sz w:val="30"/>
          <w:szCs w:val="30"/>
          <w:lang w:val="en-US" w:eastAsia="zh-CN"/>
        </w:rPr>
        <w:t>............................5</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四、财政拨款收入支出决算总体情况说明</w:t>
      </w:r>
      <w:r>
        <w:rPr>
          <w:rFonts w:hint="eastAsia" w:ascii="仿宋_GB2312" w:hAnsi="仿宋_GB2312" w:eastAsia="仿宋_GB2312" w:cs="仿宋_GB2312"/>
          <w:sz w:val="30"/>
          <w:szCs w:val="30"/>
          <w:lang w:val="en-US" w:eastAsia="zh-CN"/>
        </w:rPr>
        <w:t>............5</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五、一般公共预算财政拨款支出决算情况说明</w:t>
      </w:r>
      <w:r>
        <w:rPr>
          <w:rFonts w:hint="eastAsia" w:ascii="仿宋_GB2312" w:hAnsi="仿宋_GB2312" w:eastAsia="仿宋_GB2312" w:cs="仿宋_GB2312"/>
          <w:sz w:val="30"/>
          <w:szCs w:val="30"/>
          <w:lang w:val="en-US" w:eastAsia="zh-CN"/>
        </w:rPr>
        <w:t>........6</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六、一般公共预算财政拨款基本支出决算情况说明</w:t>
      </w:r>
      <w:r>
        <w:rPr>
          <w:rFonts w:hint="eastAsia" w:ascii="仿宋_GB2312" w:hAnsi="仿宋_GB2312" w:eastAsia="仿宋_GB2312" w:cs="仿宋_GB2312"/>
          <w:sz w:val="30"/>
          <w:szCs w:val="30"/>
          <w:lang w:val="en-US" w:eastAsia="zh-CN"/>
        </w:rPr>
        <w:t>....8</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七、“三公”经费财政拨款支出决算情况说明</w:t>
      </w:r>
      <w:r>
        <w:rPr>
          <w:rFonts w:hint="eastAsia" w:ascii="仿宋_GB2312" w:hAnsi="仿宋_GB2312" w:eastAsia="仿宋_GB2312" w:cs="仿宋_GB2312"/>
          <w:sz w:val="30"/>
          <w:szCs w:val="30"/>
          <w:lang w:val="en-US" w:eastAsia="zh-CN"/>
        </w:rPr>
        <w:t>.........8</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八、政府性基金预算支出决算情况说明</w:t>
      </w:r>
      <w:r>
        <w:rPr>
          <w:rFonts w:hint="eastAsia" w:ascii="仿宋_GB2312" w:hAnsi="仿宋_GB2312" w:eastAsia="仿宋_GB2312" w:cs="仿宋_GB2312"/>
          <w:sz w:val="30"/>
          <w:szCs w:val="30"/>
          <w:lang w:val="en-US" w:eastAsia="zh-CN"/>
        </w:rPr>
        <w:t>..............10</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九、国有资本经营预算支出决算情况说明</w:t>
      </w:r>
      <w:r>
        <w:rPr>
          <w:rFonts w:hint="eastAsia" w:ascii="仿宋_GB2312" w:hAnsi="仿宋_GB2312" w:eastAsia="仿宋_GB2312" w:cs="仿宋_GB2312"/>
          <w:sz w:val="30"/>
          <w:szCs w:val="30"/>
          <w:lang w:val="en-US" w:eastAsia="zh-CN"/>
        </w:rPr>
        <w:t>............10</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sz w:val="30"/>
          <w:szCs w:val="30"/>
        </w:rPr>
        <w:t>十、预算绩效管理情况</w:t>
      </w:r>
      <w:r>
        <w:rPr>
          <w:rFonts w:hint="eastAsia" w:ascii="仿宋_GB2312" w:hAnsi="仿宋_GB2312" w:eastAsia="仿宋_GB2312" w:cs="仿宋_GB2312"/>
          <w:sz w:val="30"/>
          <w:szCs w:val="30"/>
          <w:lang w:val="en-US" w:eastAsia="zh-CN"/>
        </w:rPr>
        <w:t>............................10</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十一、其他重要事项的情况说明</w:t>
      </w:r>
      <w:r>
        <w:rPr>
          <w:rFonts w:hint="eastAsia" w:ascii="仿宋_GB2312" w:hAnsi="仿宋_GB2312" w:eastAsia="仿宋_GB2312" w:cs="仿宋_GB2312"/>
          <w:sz w:val="30"/>
          <w:szCs w:val="30"/>
          <w:lang w:val="en-US" w:eastAsia="zh-CN"/>
        </w:rPr>
        <w:t>....................10</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ind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第三部分 名词解释</w:t>
      </w:r>
      <w:r>
        <w:rPr>
          <w:rFonts w:hint="eastAsia" w:ascii="仿宋_GB2312" w:hAnsi="仿宋_GB2312" w:eastAsia="仿宋_GB2312" w:cs="仿宋_GB2312"/>
          <w:sz w:val="30"/>
          <w:szCs w:val="30"/>
          <w:lang w:val="en-US" w:eastAsia="zh-CN"/>
        </w:rPr>
        <w:t>...............................12</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ind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第四部分 附件</w:t>
      </w:r>
      <w:r>
        <w:rPr>
          <w:rFonts w:hint="eastAsia" w:ascii="仿宋_GB2312" w:hAnsi="仿宋_GB2312" w:eastAsia="仿宋_GB2312" w:cs="仿宋_GB2312"/>
          <w:sz w:val="30"/>
          <w:szCs w:val="30"/>
          <w:lang w:val="en-US" w:eastAsia="zh-CN"/>
        </w:rPr>
        <w:t>...................................13</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ind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第五部分 附表</w:t>
      </w:r>
      <w:r>
        <w:rPr>
          <w:rFonts w:hint="eastAsia" w:ascii="仿宋_GB2312" w:hAnsi="仿宋_GB2312" w:eastAsia="仿宋_GB2312" w:cs="仿宋_GB2312"/>
          <w:sz w:val="30"/>
          <w:szCs w:val="30"/>
          <w:lang w:val="en-US" w:eastAsia="zh-CN"/>
        </w:rPr>
        <w:t>...................................14</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一、收入支出决算总表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二、收入决算表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三、支出决算表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四、财政拨款收入支出决算总表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五、财政拨款支出决算明细表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六、一般公共预算财政拨款支出决算表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七、一般公共预算财政拨款支出决算明细表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八、一般公共预算财政拨款基本支出决算表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九、一般公共预算财政拨款项目支出决算表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十、一般公共预算财政拨款“三公”经费支出决算表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十一、政府性基金预算财政拨款收入支出决算表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十二、政府性基金预算财政拨款“三公”经费支出决算表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十三、国有资本经营预算</w:t>
      </w:r>
      <w:r>
        <w:rPr>
          <w:rFonts w:hint="eastAsia" w:ascii="仿宋_GB2312" w:hAnsi="仿宋_GB2312" w:eastAsia="仿宋_GB2312" w:cs="仿宋_GB2312"/>
          <w:sz w:val="30"/>
          <w:szCs w:val="30"/>
          <w:lang w:eastAsia="zh-CN"/>
        </w:rPr>
        <w:t>财政拨款收入</w:t>
      </w:r>
      <w:r>
        <w:rPr>
          <w:rFonts w:hint="eastAsia" w:ascii="仿宋_GB2312" w:hAnsi="仿宋_GB2312" w:eastAsia="仿宋_GB2312" w:cs="仿宋_GB2312"/>
          <w:sz w:val="30"/>
          <w:szCs w:val="30"/>
        </w:rPr>
        <w:t>支出决算表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十四、国有资本经营预算财政拨款支出决算表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bookmarkStart w:id="12" w:name="_Toc15377196"/>
      <w:bookmarkStart w:id="13" w:name="_Toc15396599"/>
      <w:r>
        <w:rPr>
          <w:rFonts w:hint="eastAsia" w:ascii="仿宋_GB2312" w:hAnsi="仿宋_GB2312" w:eastAsia="仿宋_GB2312" w:cs="仿宋_GB2312"/>
          <w:sz w:val="30"/>
          <w:szCs w:val="30"/>
        </w:rPr>
        <w:br w:type="page"/>
      </w:r>
    </w:p>
    <w:p>
      <w:pPr>
        <w:pStyle w:val="3"/>
        <w:jc w:val="center"/>
        <w:rPr>
          <w:rStyle w:val="24"/>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2"/>
      <w:bookmarkEnd w:id="13"/>
    </w:p>
    <w:p>
      <w:pPr>
        <w:pStyle w:val="4"/>
        <w:numPr>
          <w:ilvl w:val="0"/>
          <w:numId w:val="0"/>
        </w:numPr>
        <w:ind w:firstLine="640" w:firstLineChars="200"/>
        <w:rPr>
          <w:rStyle w:val="25"/>
          <w:rFonts w:hint="eastAsia" w:ascii="黑体" w:hAnsi="黑体" w:eastAsia="黑体"/>
          <w:b w:val="0"/>
          <w:bCs w:val="0"/>
          <w:color w:val="auto"/>
          <w:highlight w:val="none"/>
          <w:lang w:eastAsia="zh-CN"/>
        </w:rPr>
      </w:pPr>
      <w:bookmarkStart w:id="14" w:name="_Toc15377197"/>
      <w:bookmarkStart w:id="15" w:name="_Toc15396600"/>
      <w:r>
        <w:rPr>
          <w:rStyle w:val="25"/>
          <w:rFonts w:hint="eastAsia" w:ascii="黑体" w:hAnsi="黑体" w:eastAsia="黑体"/>
          <w:b w:val="0"/>
          <w:bCs w:val="0"/>
          <w:color w:val="auto"/>
          <w:highlight w:val="none"/>
          <w:lang w:eastAsia="zh-CN"/>
        </w:rPr>
        <w:t>一、</w:t>
      </w:r>
      <w:r>
        <w:rPr>
          <w:rStyle w:val="25"/>
          <w:rFonts w:hint="eastAsia" w:ascii="黑体" w:hAnsi="黑体" w:eastAsia="黑体"/>
          <w:b w:val="0"/>
          <w:bCs w:val="0"/>
          <w:color w:val="auto"/>
          <w:highlight w:val="none"/>
        </w:rPr>
        <w:t>职能</w:t>
      </w:r>
      <w:r>
        <w:rPr>
          <w:rStyle w:val="25"/>
          <w:rFonts w:hint="eastAsia" w:ascii="黑体" w:hAnsi="黑体" w:eastAsia="黑体"/>
          <w:b w:val="0"/>
          <w:bCs w:val="0"/>
          <w:color w:val="auto"/>
          <w:highlight w:val="none"/>
          <w:lang w:eastAsia="zh-CN"/>
        </w:rPr>
        <w:t>简介</w:t>
      </w:r>
    </w:p>
    <w:p>
      <w:pPr>
        <w:ind w:firstLine="420" w:firstLineChars="200"/>
        <w:rPr>
          <w:rFonts w:hint="default" w:eastAsia="宋体"/>
          <w:lang w:val="en-US" w:eastAsia="zh-CN"/>
        </w:rPr>
      </w:pPr>
      <w:r>
        <w:rPr>
          <w:rFonts w:hint="eastAsia"/>
          <w:lang w:val="en-US" w:eastAsia="zh-CN"/>
        </w:rPr>
        <w:t xml:space="preserve">    </w:t>
      </w:r>
      <w:r>
        <w:rPr>
          <w:rFonts w:hint="eastAsia" w:ascii="仿宋_GB2312" w:eastAsia="仿宋_GB2312"/>
          <w:sz w:val="32"/>
          <w:szCs w:val="32"/>
          <w:lang w:eastAsia="zh-CN"/>
        </w:rPr>
        <w:t>本单位是广元市林业局二级单位，属独立的全额财政预算单位。</w:t>
      </w:r>
      <w:r>
        <w:rPr>
          <w:rFonts w:hint="eastAsia" w:ascii="仿宋_GB2312" w:eastAsia="仿宋_GB2312"/>
          <w:sz w:val="32"/>
          <w:szCs w:val="32"/>
        </w:rPr>
        <w:t>本单位主要职能是负责各类自然保护地重要建设项目和近期详细规划的技术审查；指导全市各类自然地保护、监测和合理开发利用工作；承担世界、国家自然遗产申报事务工作等。</w:t>
      </w:r>
    </w:p>
    <w:p>
      <w:pPr>
        <w:pStyle w:val="4"/>
        <w:numPr>
          <w:ilvl w:val="0"/>
          <w:numId w:val="0"/>
        </w:numPr>
        <w:ind w:firstLine="640" w:firstLineChars="200"/>
        <w:rPr>
          <w:rFonts w:hint="eastAsia" w:ascii="黑体" w:hAnsi="黑体" w:eastAsia="黑体"/>
          <w:b w:val="0"/>
          <w:color w:val="auto"/>
          <w:highlight w:val="none"/>
          <w:lang w:eastAsia="zh-CN"/>
        </w:rPr>
      </w:pPr>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4"/>
      <w:bookmarkEnd w:id="15"/>
      <w:r>
        <w:rPr>
          <w:rFonts w:hint="eastAsia" w:ascii="黑体" w:hAnsi="黑体" w:eastAsia="黑体"/>
          <w:b w:val="0"/>
          <w:color w:val="auto"/>
          <w:highlight w:val="none"/>
          <w:lang w:eastAsia="zh-CN"/>
        </w:rPr>
        <w:t>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楷体" w:hAnsi="楷体" w:eastAsia="楷体" w:cs="楷体"/>
          <w:bCs/>
          <w:snapToGrid w:val="0"/>
          <w:color w:val="auto"/>
          <w:spacing w:val="0"/>
          <w:w w:val="100"/>
          <w:kern w:val="0"/>
          <w:sz w:val="32"/>
          <w:szCs w:val="32"/>
          <w:lang w:val="en-US" w:eastAsia="zh-CN"/>
        </w:rPr>
      </w:pPr>
      <w:r>
        <w:rPr>
          <w:rFonts w:hint="eastAsia" w:ascii="楷体" w:hAnsi="楷体" w:eastAsia="楷体" w:cs="楷体"/>
          <w:bCs/>
          <w:snapToGrid w:val="0"/>
          <w:color w:val="auto"/>
          <w:spacing w:val="0"/>
          <w:w w:val="100"/>
          <w:kern w:val="0"/>
          <w:sz w:val="32"/>
          <w:szCs w:val="32"/>
          <w:lang w:val="en-US" w:eastAsia="zh-CN"/>
        </w:rPr>
        <w:t>（一）牵头落实环境保护党政同责。</w:t>
      </w:r>
      <w:r>
        <w:rPr>
          <w:rFonts w:hint="eastAsia" w:ascii="仿宋_GB2312" w:hAnsi="仿宋_GB2312" w:eastAsia="仿宋_GB2312" w:cs="仿宋_GB2312"/>
          <w:bCs/>
          <w:snapToGrid w:val="0"/>
          <w:color w:val="auto"/>
          <w:spacing w:val="0"/>
          <w:w w:val="100"/>
          <w:kern w:val="0"/>
          <w:sz w:val="32"/>
          <w:szCs w:val="32"/>
          <w:lang w:val="en-US" w:eastAsia="zh-CN"/>
        </w:rPr>
        <w:t>通过对标对表及时收集各项迎检资料，进一步摸清家底组织排查各类涉林生态问题建立上下协同、紧密协调的联系机制，协助县区制定科学合理的整改方案，明确整改时限，加强督查督办，对重点问题，难点问题通过现场督办，下发提示函的形式督促整改。截止目前，省局反馈中央环保督察涉林生态4个问题中，除九龙山调规问题需在下一步由省局牵头划定外围保护带工作外，其他3个问题（九龙山防火通道、翠云廊万欣商混、柳林砖厂）均已整改到位。省级暗访及自查发现的22个问题，已整改到位13个，其余9个正在整改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bCs/>
          <w:snapToGrid w:val="0"/>
          <w:color w:val="auto"/>
          <w:spacing w:val="0"/>
          <w:w w:val="100"/>
          <w:kern w:val="0"/>
          <w:sz w:val="32"/>
          <w:szCs w:val="32"/>
          <w:lang w:val="en-US" w:eastAsia="zh-CN"/>
        </w:rPr>
      </w:pPr>
      <w:r>
        <w:rPr>
          <w:rFonts w:hint="eastAsia" w:ascii="楷体" w:hAnsi="楷体" w:eastAsia="楷体" w:cs="楷体"/>
          <w:bCs/>
          <w:snapToGrid w:val="0"/>
          <w:color w:val="auto"/>
          <w:spacing w:val="0"/>
          <w:w w:val="100"/>
          <w:kern w:val="0"/>
          <w:sz w:val="32"/>
          <w:szCs w:val="32"/>
          <w:lang w:val="en-US" w:eastAsia="zh-CN"/>
        </w:rPr>
        <w:t>（二）圆满完成《剑门蜀道保护条例》起草报审工作。</w:t>
      </w:r>
      <w:r>
        <w:rPr>
          <w:rFonts w:hint="eastAsia" w:ascii="仿宋_GB2312" w:hAnsi="仿宋_GB2312" w:eastAsia="仿宋_GB2312" w:cs="仿宋_GB2312"/>
          <w:bCs/>
          <w:snapToGrid w:val="0"/>
          <w:color w:val="auto"/>
          <w:spacing w:val="0"/>
          <w:w w:val="100"/>
          <w:kern w:val="0"/>
          <w:sz w:val="32"/>
          <w:szCs w:val="32"/>
          <w:lang w:val="en-US" w:eastAsia="zh-CN"/>
        </w:rPr>
        <w:t>为进一完善我市自然保护地地方性法规保护体系，今年上半年，我局结合《剑门蜀道保护条例（草案）》各单位征求意见情况，经修改完善，条例草案通过市人大审查，并随即上报至省人大。后</w:t>
      </w:r>
      <w:r>
        <w:rPr>
          <w:rFonts w:hint="eastAsia" w:ascii="仿宋_GB2312" w:hAnsi="仿宋_GB2312" w:eastAsia="仿宋_GB2312" w:cs="仿宋_GB2312"/>
          <w:b w:val="0"/>
          <w:bCs w:val="0"/>
          <w:snapToGrid w:val="0"/>
          <w:color w:val="auto"/>
          <w:spacing w:val="0"/>
          <w:w w:val="100"/>
          <w:kern w:val="0"/>
          <w:sz w:val="32"/>
          <w:szCs w:val="32"/>
          <w:lang w:val="en-US" w:eastAsia="zh-CN"/>
        </w:rPr>
        <w:t>经省十三届人大常委会批准通过</w:t>
      </w:r>
      <w:r>
        <w:rPr>
          <w:rFonts w:hint="eastAsia" w:ascii="仿宋_GB2312" w:hAnsi="仿宋_GB2312" w:eastAsia="仿宋_GB2312" w:cs="仿宋_GB2312"/>
          <w:bCs/>
          <w:snapToGrid w:val="0"/>
          <w:color w:val="auto"/>
          <w:spacing w:val="0"/>
          <w:w w:val="100"/>
          <w:kern w:val="0"/>
          <w:sz w:val="32"/>
          <w:szCs w:val="32"/>
          <w:lang w:val="en-US" w:eastAsia="zh-CN"/>
        </w:rPr>
        <w:t>，该条例将于2022年1月1日起正式施行。此条例实施将为剑门蜀道生态、人文资源提供更有针对性、更加有效的保护。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楷体" w:hAnsi="楷体" w:eastAsia="楷体" w:cs="楷体"/>
          <w:bCs/>
          <w:snapToGrid w:val="0"/>
          <w:color w:val="auto"/>
          <w:spacing w:val="0"/>
          <w:w w:val="100"/>
          <w:kern w:val="0"/>
          <w:sz w:val="32"/>
          <w:szCs w:val="32"/>
          <w:lang w:val="en-US" w:eastAsia="zh-CN"/>
        </w:rPr>
      </w:pPr>
      <w:r>
        <w:rPr>
          <w:rFonts w:hint="eastAsia" w:ascii="楷体" w:hAnsi="楷体" w:eastAsia="楷体" w:cs="楷体"/>
          <w:bCs/>
          <w:snapToGrid w:val="0"/>
          <w:color w:val="auto"/>
          <w:spacing w:val="0"/>
          <w:w w:val="100"/>
          <w:kern w:val="0"/>
          <w:sz w:val="32"/>
          <w:szCs w:val="32"/>
          <w:lang w:val="en-US" w:eastAsia="zh-CN"/>
        </w:rPr>
        <w:t>（三）持续推进相关规划编制、报审。</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eastAsia" w:ascii="仿宋_GB2312" w:hAnsi="仿宋_GB2312" w:eastAsia="仿宋_GB2312" w:cs="仿宋_GB2312"/>
          <w:bCs/>
          <w:snapToGrid w:val="0"/>
          <w:color w:val="auto"/>
          <w:spacing w:val="0"/>
          <w:w w:val="100"/>
          <w:kern w:val="0"/>
          <w:sz w:val="32"/>
          <w:szCs w:val="32"/>
          <w:lang w:val="en-US" w:eastAsia="zh-CN"/>
        </w:rPr>
      </w:pPr>
      <w:r>
        <w:rPr>
          <w:rFonts w:hint="eastAsia" w:ascii="仿宋_GB2312" w:hAnsi="仿宋_GB2312" w:eastAsia="仿宋_GB2312" w:cs="仿宋_GB2312"/>
          <w:b/>
          <w:bCs w:val="0"/>
          <w:snapToGrid w:val="0"/>
          <w:color w:val="auto"/>
          <w:spacing w:val="0"/>
          <w:w w:val="100"/>
          <w:kern w:val="0"/>
          <w:sz w:val="32"/>
          <w:szCs w:val="32"/>
          <w:lang w:val="en-US" w:eastAsia="zh-CN"/>
        </w:rPr>
        <w:t>一是</w:t>
      </w:r>
      <w:r>
        <w:rPr>
          <w:rFonts w:hint="eastAsia" w:ascii="仿宋_GB2312" w:hAnsi="仿宋_GB2312" w:eastAsia="仿宋_GB2312" w:cs="仿宋_GB2312"/>
          <w:bCs/>
          <w:snapToGrid w:val="0"/>
          <w:color w:val="auto"/>
          <w:spacing w:val="0"/>
          <w:w w:val="100"/>
          <w:kern w:val="0"/>
          <w:sz w:val="32"/>
          <w:szCs w:val="32"/>
          <w:lang w:val="en-US" w:eastAsia="zh-CN"/>
        </w:rPr>
        <w:t>经多次协调，旺苍大峡谷省级森林公园总体规划修编已获得省林草局正式批复，指导剑阁县编制了《剑阁剑门关省级地质公园总体规划（2021-2030）》，并由县政府正式发布并予以实施。</w:t>
      </w:r>
      <w:r>
        <w:rPr>
          <w:rFonts w:hint="eastAsia" w:ascii="仿宋_GB2312" w:hAnsi="仿宋_GB2312" w:eastAsia="仿宋_GB2312" w:cs="仿宋_GB2312"/>
          <w:b/>
          <w:bCs w:val="0"/>
          <w:snapToGrid w:val="0"/>
          <w:color w:val="auto"/>
          <w:spacing w:val="0"/>
          <w:w w:val="100"/>
          <w:kern w:val="0"/>
          <w:sz w:val="32"/>
          <w:szCs w:val="32"/>
          <w:lang w:val="en-US" w:eastAsia="zh-CN"/>
        </w:rPr>
        <w:t>二是</w:t>
      </w:r>
      <w:r>
        <w:rPr>
          <w:rFonts w:hint="eastAsia" w:ascii="仿宋_GB2312" w:hAnsi="仿宋_GB2312" w:eastAsia="仿宋_GB2312" w:cs="仿宋_GB2312"/>
          <w:bCs/>
          <w:snapToGrid w:val="0"/>
          <w:color w:val="auto"/>
          <w:spacing w:val="0"/>
          <w:w w:val="100"/>
          <w:kern w:val="0"/>
          <w:sz w:val="32"/>
          <w:szCs w:val="32"/>
          <w:lang w:val="en-US" w:eastAsia="zh-CN"/>
        </w:rPr>
        <w:t>米仓山大峡谷国家级风景名胜区总体规划完成了省级专家审查及省级部门征求意见等相关工作，并对规划内容作进一步优化调整，目前已上报国家林草局审查。</w:t>
      </w:r>
      <w:r>
        <w:rPr>
          <w:rFonts w:hint="eastAsia" w:ascii="仿宋_GB2312" w:hAnsi="仿宋_GB2312" w:eastAsia="仿宋_GB2312" w:cs="仿宋_GB2312"/>
          <w:b/>
          <w:bCs w:val="0"/>
          <w:snapToGrid w:val="0"/>
          <w:color w:val="auto"/>
          <w:spacing w:val="0"/>
          <w:w w:val="100"/>
          <w:kern w:val="0"/>
          <w:sz w:val="32"/>
          <w:szCs w:val="32"/>
          <w:lang w:val="en-US" w:eastAsia="zh-CN"/>
        </w:rPr>
        <w:t>三是</w:t>
      </w:r>
      <w:r>
        <w:rPr>
          <w:rFonts w:hint="eastAsia" w:ascii="仿宋_GB2312" w:hAnsi="仿宋_GB2312" w:eastAsia="仿宋_GB2312" w:cs="仿宋_GB2312"/>
          <w:bCs/>
          <w:snapToGrid w:val="0"/>
          <w:color w:val="auto"/>
          <w:spacing w:val="0"/>
          <w:w w:val="100"/>
          <w:kern w:val="0"/>
          <w:sz w:val="32"/>
          <w:szCs w:val="32"/>
          <w:lang w:val="en-US" w:eastAsia="zh-CN"/>
        </w:rPr>
        <w:t>协助市白龙湖管理局启动了白龙湖近期重点建设区域控制性详细规划编制，完成前期现场踏勘和资料收集，确定了规划编制责任主体，完善了纳入规划的重大项目，目前正在稳步推进规划编制。</w:t>
      </w:r>
      <w:r>
        <w:rPr>
          <w:rFonts w:hint="eastAsia" w:ascii="仿宋_GB2312" w:hAnsi="仿宋_GB2312" w:eastAsia="仿宋_GB2312" w:cs="仿宋_GB2312"/>
          <w:b/>
          <w:bCs w:val="0"/>
          <w:snapToGrid w:val="0"/>
          <w:color w:val="auto"/>
          <w:spacing w:val="0"/>
          <w:w w:val="100"/>
          <w:kern w:val="0"/>
          <w:sz w:val="32"/>
          <w:szCs w:val="32"/>
          <w:lang w:val="en-US" w:eastAsia="zh-CN"/>
        </w:rPr>
        <w:t>四是</w:t>
      </w:r>
      <w:r>
        <w:rPr>
          <w:rFonts w:hint="eastAsia" w:ascii="仿宋_GB2312" w:hAnsi="仿宋_GB2312" w:eastAsia="仿宋_GB2312" w:cs="仿宋_GB2312"/>
          <w:bCs/>
          <w:snapToGrid w:val="0"/>
          <w:color w:val="auto"/>
          <w:spacing w:val="0"/>
          <w:w w:val="100"/>
          <w:kern w:val="0"/>
          <w:sz w:val="32"/>
          <w:szCs w:val="32"/>
          <w:lang w:val="en-US" w:eastAsia="zh-CN"/>
        </w:rPr>
        <w:t>启动剑门蜀道风景名胜区昭化古城至高庙铺段和剑门蜀道景区、翠云廊景区详细规划编制和报审，并就相关报审准备工作与省林草局、国家林草局进行了专题对接，进一步完善、充实了报审文本内容，厘清报审相关程序，为下一步国家层面审查打下坚实基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bCs/>
          <w:snapToGrid w:val="0"/>
          <w:color w:val="auto"/>
          <w:spacing w:val="0"/>
          <w:w w:val="100"/>
          <w:kern w:val="0"/>
          <w:sz w:val="32"/>
          <w:szCs w:val="32"/>
          <w:lang w:val="en-US" w:eastAsia="zh-CN"/>
        </w:rPr>
      </w:pPr>
      <w:r>
        <w:rPr>
          <w:rFonts w:hint="eastAsia" w:ascii="楷体" w:hAnsi="楷体" w:eastAsia="楷体" w:cs="楷体"/>
          <w:bCs/>
          <w:snapToGrid w:val="0"/>
          <w:color w:val="auto"/>
          <w:spacing w:val="0"/>
          <w:w w:val="100"/>
          <w:kern w:val="0"/>
          <w:sz w:val="32"/>
          <w:szCs w:val="32"/>
          <w:lang w:val="en-US" w:eastAsia="zh-CN"/>
        </w:rPr>
        <w:t>（四）严格执行自然保护地准入许可。</w:t>
      </w:r>
      <w:r>
        <w:rPr>
          <w:rFonts w:hint="eastAsia" w:ascii="仿宋_GB2312" w:hAnsi="仿宋_GB2312" w:eastAsia="仿宋_GB2312" w:cs="仿宋_GB2312"/>
          <w:bCs/>
          <w:snapToGrid w:val="0"/>
          <w:color w:val="auto"/>
          <w:spacing w:val="0"/>
          <w:w w:val="100"/>
          <w:kern w:val="0"/>
          <w:sz w:val="32"/>
          <w:szCs w:val="32"/>
          <w:lang w:val="en-US" w:eastAsia="zh-CN"/>
        </w:rPr>
        <w:t>截止10月底，共审查审议建设项目进入自然保护地方案24个，上报省林草局审查项目17个，已办理完成准入许可项目18个，确保我市建设项目合法合规落地实施。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bCs/>
          <w:snapToGrid w:val="0"/>
          <w:color w:val="auto"/>
          <w:spacing w:val="0"/>
          <w:w w:val="100"/>
          <w:kern w:val="0"/>
          <w:sz w:val="32"/>
          <w:szCs w:val="32"/>
          <w:lang w:val="en-US" w:eastAsia="zh-CN"/>
        </w:rPr>
      </w:pPr>
      <w:r>
        <w:rPr>
          <w:rFonts w:hint="eastAsia" w:ascii="楷体" w:hAnsi="楷体" w:eastAsia="楷体" w:cs="楷体"/>
          <w:bCs/>
          <w:snapToGrid w:val="0"/>
          <w:color w:val="auto"/>
          <w:spacing w:val="0"/>
          <w:w w:val="100"/>
          <w:kern w:val="0"/>
          <w:sz w:val="32"/>
          <w:szCs w:val="32"/>
          <w:lang w:val="en-US" w:eastAsia="zh-CN"/>
        </w:rPr>
        <w:t>（五）加强湿地资源监管。</w:t>
      </w:r>
      <w:r>
        <w:rPr>
          <w:rFonts w:hint="eastAsia" w:ascii="仿宋_GB2312" w:hAnsi="仿宋_GB2312" w:eastAsia="仿宋_GB2312" w:cs="仿宋_GB2312"/>
          <w:bCs/>
          <w:snapToGrid w:val="0"/>
          <w:color w:val="auto"/>
          <w:spacing w:val="0"/>
          <w:w w:val="100"/>
          <w:kern w:val="0"/>
          <w:sz w:val="32"/>
          <w:szCs w:val="32"/>
          <w:lang w:val="en-US" w:eastAsia="zh-CN"/>
        </w:rPr>
        <w:t>进一步加强湿地资源保护，加快湿地公园建设和能力提升，指导昭化区、苍溪县分别完成柏林湖国家湿地公园、梨仙湖省级湿地公园省级重要湿地上报，主导完成了南河湿地公园省级重要湿地资料汇总整理。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bCs/>
          <w:snapToGrid w:val="0"/>
          <w:color w:val="auto"/>
          <w:spacing w:val="0"/>
          <w:w w:val="100"/>
          <w:kern w:val="0"/>
          <w:sz w:val="32"/>
          <w:szCs w:val="32"/>
          <w:lang w:val="en-US" w:eastAsia="zh-CN"/>
        </w:rPr>
      </w:pPr>
      <w:r>
        <w:rPr>
          <w:rFonts w:hint="eastAsia" w:ascii="楷体" w:hAnsi="楷体" w:eastAsia="楷体" w:cs="楷体"/>
          <w:bCs/>
          <w:snapToGrid w:val="0"/>
          <w:color w:val="auto"/>
          <w:spacing w:val="0"/>
          <w:w w:val="100"/>
          <w:kern w:val="0"/>
          <w:sz w:val="32"/>
          <w:szCs w:val="32"/>
          <w:lang w:val="en-US" w:eastAsia="zh-CN"/>
        </w:rPr>
        <w:t>（六）完成市领导重点项目跟踪，切实落实重点批复件办理。</w:t>
      </w:r>
      <w:r>
        <w:rPr>
          <w:rFonts w:hint="eastAsia" w:ascii="仿宋_GB2312" w:hAnsi="仿宋_GB2312" w:eastAsia="仿宋_GB2312" w:cs="仿宋_GB2312"/>
          <w:bCs/>
          <w:snapToGrid w:val="0"/>
          <w:color w:val="auto"/>
          <w:spacing w:val="0"/>
          <w:w w:val="100"/>
          <w:kern w:val="0"/>
          <w:sz w:val="32"/>
          <w:szCs w:val="32"/>
          <w:lang w:val="en-US" w:eastAsia="zh-CN"/>
        </w:rPr>
        <w:t>妥善处理群众反映问题，安排专人对群众反馈问题进行现场调查、寻访，并妥善回复相关处理意见；紧抓批复件、督办件办理进度跟踪，切实推动G5京昆高速扩容、黑石坡至曾家山旅游公路、绵苍巴高速、雄关悠谷酒店等我市重点项目涉林工作的进展、落实。</w:t>
      </w:r>
    </w:p>
    <w:p>
      <w:pPr>
        <w:rPr>
          <w:rFonts w:hint="eastAsia"/>
        </w:rPr>
      </w:pP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4"/>
          <w:rFonts w:ascii="黑体" w:hAnsi="黑体" w:eastAsia="黑体"/>
          <w:b w:val="0"/>
          <w:bCs/>
          <w:color w:val="auto"/>
          <w:highlight w:val="none"/>
        </w:rPr>
      </w:pPr>
      <w:bookmarkStart w:id="16" w:name="_Toc15396602"/>
      <w:bookmarkStart w:id="17"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16"/>
      <w:bookmarkEnd w:id="17"/>
    </w:p>
    <w:p>
      <w:pPr>
        <w:rPr>
          <w:color w:val="auto"/>
          <w:highlight w:val="none"/>
        </w:rPr>
      </w:pP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hint="eastAsia" w:ascii="仿宋_GB2312" w:eastAsia="仿宋_GB2312"/>
          <w:sz w:val="30"/>
          <w:szCs w:val="30"/>
          <w:lang w:val="en-US" w:eastAsia="zh-CN"/>
        </w:rPr>
      </w:pPr>
      <w:r>
        <w:rPr>
          <w:rFonts w:hint="eastAsia" w:ascii="仿宋_GB2312" w:hAnsi="Times New Roman" w:eastAsia="仿宋_GB2312" w:cs="Times New Roman"/>
          <w:sz w:val="32"/>
          <w:szCs w:val="32"/>
        </w:rPr>
        <w:t>20</w:t>
      </w:r>
      <w:r>
        <w:rPr>
          <w:rFonts w:hint="eastAsia" w:ascii="仿宋_GB2312" w:hAnsi="Times New Roman" w:eastAsia="仿宋_GB2312" w:cs="Times New Roman"/>
          <w:sz w:val="32"/>
          <w:szCs w:val="32"/>
          <w:lang w:val="en-US" w:eastAsia="zh-CN"/>
        </w:rPr>
        <w:t>21</w:t>
      </w:r>
      <w:r>
        <w:rPr>
          <w:rFonts w:hint="eastAsia" w:ascii="仿宋_GB2312" w:hAnsi="Times New Roman" w:eastAsia="仿宋_GB2312" w:cs="Times New Roman"/>
          <w:sz w:val="32"/>
          <w:szCs w:val="32"/>
        </w:rPr>
        <w:t>年度收、支总计154.36万元。与20</w:t>
      </w:r>
      <w:r>
        <w:rPr>
          <w:rFonts w:hint="eastAsia" w:ascii="仿宋_GB2312" w:hAnsi="Times New Roman" w:eastAsia="仿宋_GB2312" w:cs="Times New Roman"/>
          <w:sz w:val="32"/>
          <w:szCs w:val="32"/>
          <w:lang w:val="en-US" w:eastAsia="zh-CN"/>
        </w:rPr>
        <w:t>20</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128.60万元</w:t>
      </w:r>
      <w:r>
        <w:rPr>
          <w:rFonts w:hint="eastAsia" w:ascii="仿宋_GB2312" w:hAnsi="Times New Roman" w:eastAsia="仿宋_GB2312" w:cs="Times New Roman"/>
          <w:sz w:val="32"/>
          <w:szCs w:val="32"/>
        </w:rPr>
        <w:t>相比，收、支总计各增加</w:t>
      </w:r>
      <w:r>
        <w:rPr>
          <w:rFonts w:hint="eastAsia" w:ascii="仿宋_GB2312" w:hAnsi="Times New Roman" w:eastAsia="仿宋_GB2312" w:cs="Times New Roman"/>
          <w:sz w:val="32"/>
          <w:szCs w:val="32"/>
          <w:lang w:val="en-US" w:eastAsia="zh-CN"/>
        </w:rPr>
        <w:t>25.76</w:t>
      </w:r>
      <w:r>
        <w:rPr>
          <w:rFonts w:hint="eastAsia" w:ascii="仿宋_GB2312" w:hAnsi="Times New Roman" w:eastAsia="仿宋_GB2312" w:cs="Times New Roman"/>
          <w:sz w:val="32"/>
          <w:szCs w:val="32"/>
        </w:rPr>
        <w:t>万元，增长</w:t>
      </w:r>
      <w:r>
        <w:rPr>
          <w:rFonts w:hint="eastAsia" w:ascii="仿宋_GB2312" w:hAnsi="Times New Roman" w:eastAsia="仿宋_GB2312" w:cs="Times New Roman"/>
          <w:sz w:val="32"/>
          <w:szCs w:val="32"/>
          <w:lang w:val="en-US" w:eastAsia="zh-CN"/>
        </w:rPr>
        <w:t>20.03</w:t>
      </w:r>
      <w:r>
        <w:rPr>
          <w:rFonts w:hint="eastAsia" w:ascii="仿宋_GB2312" w:hAnsi="Times New Roman" w:eastAsia="仿宋_GB2312" w:cs="Times New Roman"/>
          <w:sz w:val="32"/>
          <w:szCs w:val="32"/>
        </w:rPr>
        <w:t>%。主要变动原因是202</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eastAsia="zh-CN"/>
        </w:rPr>
        <w:t>机构改革，调入</w:t>
      </w:r>
      <w:r>
        <w:rPr>
          <w:rFonts w:hint="eastAsia" w:ascii="仿宋_GB2312" w:hAnsi="Times New Roman" w:eastAsia="仿宋_GB2312" w:cs="Times New Roman"/>
          <w:sz w:val="32"/>
          <w:szCs w:val="32"/>
          <w:lang w:val="en-US" w:eastAsia="zh-CN"/>
        </w:rPr>
        <w:t>6人，收支增加。</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图1：收、支决算总计变动情况图</w:t>
      </w:r>
    </w:p>
    <w:p>
      <w:pPr>
        <w:pStyle w:val="2"/>
        <w:rPr>
          <w:rFonts w:hint="eastAsia" w:eastAsia="仿宋_GB2312"/>
          <w:lang w:eastAsia="zh-CN"/>
        </w:rPr>
      </w:pPr>
      <w:r>
        <w:rPr>
          <w:rFonts w:hint="eastAsia" w:eastAsia="仿宋_GB2312"/>
          <w:lang w:eastAsia="zh-CN"/>
        </w:rPr>
        <w:drawing>
          <wp:inline distT="0" distB="0" distL="114300" distR="114300">
            <wp:extent cx="4499610" cy="1717040"/>
            <wp:effectExtent l="4445" t="4445" r="10795" b="1206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3"/>
        <w:numPr>
          <w:ilvl w:val="0"/>
          <w:numId w:val="1"/>
        </w:numPr>
        <w:spacing w:line="600" w:lineRule="exact"/>
        <w:ind w:firstLineChars="0"/>
        <w:outlineLvl w:val="1"/>
        <w:rPr>
          <w:rStyle w:val="25"/>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0"/>
      <w:bookmarkEnd w:id="21"/>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20</w:t>
      </w:r>
      <w:r>
        <w:rPr>
          <w:rFonts w:hint="eastAsia" w:ascii="仿宋_GB2312" w:hAnsi="Times New Roman" w:eastAsia="仿宋_GB2312" w:cs="Times New Roman"/>
          <w:sz w:val="32"/>
          <w:szCs w:val="32"/>
          <w:lang w:val="en-US" w:eastAsia="zh-CN"/>
        </w:rPr>
        <w:t>21</w:t>
      </w:r>
      <w:r>
        <w:rPr>
          <w:rFonts w:hint="eastAsia" w:ascii="仿宋_GB2312" w:hAnsi="Times New Roman" w:eastAsia="仿宋_GB2312" w:cs="Times New Roman"/>
          <w:sz w:val="32"/>
          <w:szCs w:val="32"/>
        </w:rPr>
        <w:t>年本年收入合计150.52万元，其中：一般公共预算财政拨款收入150.51万元，占</w:t>
      </w:r>
      <w:r>
        <w:rPr>
          <w:rFonts w:hint="eastAsia" w:ascii="仿宋_GB2312" w:hAnsi="Times New Roman" w:eastAsia="仿宋_GB2312" w:cs="Times New Roman"/>
          <w:sz w:val="32"/>
          <w:szCs w:val="32"/>
          <w:lang w:val="en-US" w:eastAsia="zh-CN"/>
        </w:rPr>
        <w:t>99.993</w:t>
      </w:r>
      <w:r>
        <w:rPr>
          <w:rFonts w:hint="eastAsia" w:ascii="仿宋_GB2312" w:hAnsi="Times New Roman" w:eastAsia="仿宋_GB2312" w:cs="Times New Roman"/>
          <w:sz w:val="32"/>
          <w:szCs w:val="32"/>
        </w:rPr>
        <w:t>%；其他收入0.01万元，占</w:t>
      </w:r>
      <w:r>
        <w:rPr>
          <w:rFonts w:hint="eastAsia" w:ascii="仿宋_GB2312" w:hAnsi="Times New Roman" w:eastAsia="仿宋_GB2312" w:cs="Times New Roman"/>
          <w:sz w:val="32"/>
          <w:szCs w:val="32"/>
          <w:lang w:val="en-US" w:eastAsia="zh-CN"/>
        </w:rPr>
        <w:t>0.007</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（图2：收入决算结构图）（饼状图）</w:t>
      </w:r>
    </w:p>
    <w:p>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182870" cy="1866900"/>
            <wp:effectExtent l="4445" t="4445" r="1333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3"/>
        <w:numPr>
          <w:ilvl w:val="0"/>
          <w:numId w:val="0"/>
        </w:numPr>
        <w:spacing w:line="600" w:lineRule="exact"/>
        <w:ind w:firstLine="640" w:firstLineChars="200"/>
        <w:outlineLvl w:val="1"/>
        <w:rPr>
          <w:rStyle w:val="25"/>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22"/>
      <w:bookmarkEnd w:id="23"/>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20</w:t>
      </w:r>
      <w:r>
        <w:rPr>
          <w:rFonts w:hint="eastAsia" w:ascii="仿宋_GB2312" w:hAnsi="Times New Roman" w:eastAsia="仿宋_GB2312" w:cs="Times New Roman"/>
          <w:sz w:val="32"/>
          <w:szCs w:val="32"/>
          <w:lang w:val="en-US" w:eastAsia="zh-CN"/>
        </w:rPr>
        <w:t>21</w:t>
      </w:r>
      <w:r>
        <w:rPr>
          <w:rFonts w:hint="eastAsia" w:ascii="仿宋_GB2312" w:hAnsi="Times New Roman" w:eastAsia="仿宋_GB2312" w:cs="Times New Roman"/>
          <w:sz w:val="32"/>
          <w:szCs w:val="32"/>
        </w:rPr>
        <w:t>年本年支出合计152.3</w:t>
      </w: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rPr>
        <w:t>万元，其中：基本支出152.3</w:t>
      </w: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rPr>
        <w:t>万元，占</w:t>
      </w:r>
      <w:r>
        <w:rPr>
          <w:rFonts w:hint="eastAsia" w:ascii="仿宋_GB2312" w:hAnsi="Times New Roman" w:eastAsia="仿宋_GB2312" w:cs="Times New Roman"/>
          <w:sz w:val="32"/>
          <w:szCs w:val="32"/>
          <w:lang w:val="en-US" w:eastAsia="zh-CN"/>
        </w:rPr>
        <w:t>100</w:t>
      </w:r>
      <w:r>
        <w:rPr>
          <w:rFonts w:hint="eastAsia" w:ascii="仿宋_GB2312" w:hAnsi="Times New Roman" w:eastAsia="仿宋_GB2312" w:cs="Times New Roman"/>
          <w:sz w:val="32"/>
          <w:szCs w:val="32"/>
        </w:rPr>
        <w:t>%。</w:t>
      </w:r>
    </w:p>
    <w:p>
      <w:pPr>
        <w:ind w:firstLine="640" w:firstLineChars="200"/>
        <w:rPr>
          <w:rFonts w:hint="eastAsia"/>
        </w:rPr>
      </w:pPr>
      <w:r>
        <w:rPr>
          <w:rFonts w:hint="eastAsia" w:ascii="仿宋_GB2312" w:hAnsi="Times New Roman" w:eastAsia="仿宋_GB2312" w:cs="Times New Roman"/>
          <w:sz w:val="32"/>
          <w:szCs w:val="32"/>
        </w:rPr>
        <w:t>图3：支出决算结构图</w:t>
      </w:r>
    </w:p>
    <w:p>
      <w:pPr>
        <w:pStyle w:val="2"/>
        <w:rPr>
          <w:rFonts w:hint="eastAsia" w:eastAsia="仿宋"/>
          <w:lang w:eastAsia="zh-CN"/>
        </w:rPr>
      </w:pPr>
      <w:r>
        <w:rPr>
          <w:rFonts w:hint="eastAsia" w:eastAsia="仿宋"/>
          <w:lang w:eastAsia="zh-CN"/>
        </w:rPr>
        <w:drawing>
          <wp:inline distT="0" distB="0" distL="114300" distR="114300">
            <wp:extent cx="4651375" cy="2152650"/>
            <wp:effectExtent l="4445" t="4445" r="11430"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5"/>
          <w:rFonts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24"/>
      <w:bookmarkEnd w:id="25"/>
    </w:p>
    <w:p>
      <w:pPr>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20</w:t>
      </w:r>
      <w:r>
        <w:rPr>
          <w:rFonts w:hint="eastAsia" w:ascii="仿宋_GB2312" w:hAnsi="Times New Roman" w:eastAsia="仿宋_GB2312" w:cs="Times New Roman"/>
          <w:sz w:val="32"/>
          <w:szCs w:val="32"/>
          <w:lang w:val="en-US" w:eastAsia="zh-CN"/>
        </w:rPr>
        <w:t>21</w:t>
      </w:r>
      <w:r>
        <w:rPr>
          <w:rFonts w:hint="eastAsia" w:ascii="仿宋_GB2312" w:hAnsi="Times New Roman" w:eastAsia="仿宋_GB2312" w:cs="Times New Roman"/>
          <w:sz w:val="32"/>
          <w:szCs w:val="32"/>
        </w:rPr>
        <w:t>年财政拨款收、支总计154</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35万元。与20</w:t>
      </w:r>
      <w:r>
        <w:rPr>
          <w:rFonts w:hint="eastAsia" w:ascii="仿宋_GB2312" w:hAnsi="Times New Roman" w:eastAsia="仿宋_GB2312" w:cs="Times New Roman"/>
          <w:sz w:val="32"/>
          <w:szCs w:val="32"/>
          <w:lang w:val="en-US" w:eastAsia="zh-CN"/>
        </w:rPr>
        <w:t>20</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128.05万元</w:t>
      </w:r>
      <w:r>
        <w:rPr>
          <w:rFonts w:hint="eastAsia" w:ascii="仿宋_GB2312" w:hAnsi="Times New Roman" w:eastAsia="仿宋_GB2312" w:cs="Times New Roman"/>
          <w:sz w:val="32"/>
          <w:szCs w:val="32"/>
        </w:rPr>
        <w:t>相比，财政拨款收、支总计各增加</w:t>
      </w:r>
      <w:r>
        <w:rPr>
          <w:rFonts w:hint="eastAsia" w:ascii="仿宋_GB2312" w:hAnsi="Times New Roman" w:eastAsia="仿宋_GB2312" w:cs="Times New Roman"/>
          <w:sz w:val="32"/>
          <w:szCs w:val="32"/>
          <w:lang w:val="en-US" w:eastAsia="zh-CN"/>
        </w:rPr>
        <w:t>26.3</w:t>
      </w:r>
      <w:r>
        <w:rPr>
          <w:rFonts w:hint="eastAsia" w:ascii="仿宋_GB2312" w:hAnsi="Times New Roman" w:eastAsia="仿宋_GB2312" w:cs="Times New Roman"/>
          <w:sz w:val="32"/>
          <w:szCs w:val="32"/>
        </w:rPr>
        <w:t>万元，增长</w:t>
      </w:r>
      <w:r>
        <w:rPr>
          <w:rFonts w:hint="eastAsia" w:ascii="仿宋_GB2312" w:hAnsi="Times New Roman" w:eastAsia="仿宋_GB2312" w:cs="Times New Roman"/>
          <w:sz w:val="32"/>
          <w:szCs w:val="32"/>
          <w:lang w:val="en-US" w:eastAsia="zh-CN"/>
        </w:rPr>
        <w:t>20.53</w:t>
      </w:r>
      <w:r>
        <w:rPr>
          <w:rFonts w:hint="eastAsia" w:ascii="仿宋_GB2312" w:hAnsi="Times New Roman" w:eastAsia="仿宋_GB2312" w:cs="Times New Roman"/>
          <w:sz w:val="32"/>
          <w:szCs w:val="32"/>
        </w:rPr>
        <w:t>%。主要变动原因是202</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eastAsia="zh-CN"/>
        </w:rPr>
        <w:t>机构改革，调入</w:t>
      </w:r>
      <w:r>
        <w:rPr>
          <w:rFonts w:hint="eastAsia" w:ascii="仿宋_GB2312" w:hAnsi="Times New Roman" w:eastAsia="仿宋_GB2312" w:cs="Times New Roman"/>
          <w:sz w:val="32"/>
          <w:szCs w:val="32"/>
          <w:lang w:val="en-US" w:eastAsia="zh-CN"/>
        </w:rPr>
        <w:t>6人，收支增加。</w:t>
      </w:r>
    </w:p>
    <w:p>
      <w:pPr>
        <w:pStyle w:val="2"/>
        <w:ind w:firstLine="320" w:firstLineChars="1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图4：财政拨款收、支决算总计变动情况</w:t>
      </w:r>
    </w:p>
    <w:p>
      <w:r>
        <w:rPr>
          <w:rFonts w:hint="eastAsia" w:eastAsia="仿宋"/>
          <w:lang w:eastAsia="zh-CN"/>
        </w:rPr>
        <w:drawing>
          <wp:inline distT="0" distB="0" distL="114300" distR="114300">
            <wp:extent cx="5080000" cy="2172335"/>
            <wp:effectExtent l="5080" t="4445" r="20320" b="1397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25"/>
          <w:rFonts w:ascii="黑体" w:hAnsi="黑体" w:eastAsia="黑体"/>
          <w:b w:val="0"/>
          <w:color w:val="auto"/>
          <w:highlight w:val="none"/>
        </w:rPr>
      </w:pPr>
      <w:bookmarkStart w:id="26" w:name="_Toc15396607"/>
      <w:bookmarkStart w:id="2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26"/>
      <w:bookmarkEnd w:id="27"/>
    </w:p>
    <w:p>
      <w:pPr>
        <w:ind w:firstLine="640" w:firstLineChars="200"/>
        <w:rPr>
          <w:rFonts w:hint="eastAsia" w:ascii="仿宋_GB2312" w:hAnsi="Times New Roman" w:eastAsia="仿宋_GB2312" w:cs="Times New Roman"/>
          <w:sz w:val="32"/>
          <w:szCs w:val="32"/>
        </w:rPr>
      </w:pPr>
      <w:bookmarkStart w:id="28" w:name="_Toc15377210"/>
      <w:r>
        <w:rPr>
          <w:rFonts w:hint="eastAsia" w:ascii="仿宋_GB2312" w:hAnsi="Times New Roman" w:eastAsia="仿宋_GB2312" w:cs="Times New Roman"/>
          <w:sz w:val="32"/>
          <w:szCs w:val="32"/>
        </w:rPr>
        <w:t>（一）一般公共预算财政拨款支出决算总体情况</w:t>
      </w:r>
      <w:bookmarkEnd w:id="28"/>
    </w:p>
    <w:p>
      <w:pPr>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20</w:t>
      </w:r>
      <w:r>
        <w:rPr>
          <w:rFonts w:hint="eastAsia" w:ascii="仿宋_GB2312" w:hAnsi="Times New Roman" w:eastAsia="仿宋_GB2312" w:cs="Times New Roman"/>
          <w:sz w:val="32"/>
          <w:szCs w:val="32"/>
          <w:lang w:val="en-US" w:eastAsia="zh-CN"/>
        </w:rPr>
        <w:t>21</w:t>
      </w:r>
      <w:r>
        <w:rPr>
          <w:rFonts w:hint="eastAsia" w:ascii="仿宋_GB2312" w:hAnsi="Times New Roman" w:eastAsia="仿宋_GB2312" w:cs="Times New Roman"/>
          <w:sz w:val="32"/>
          <w:szCs w:val="32"/>
        </w:rPr>
        <w:t>年一般公共预算财政拨款支出152.35万元，占本年支出合计152.3</w:t>
      </w:r>
      <w:r>
        <w:rPr>
          <w:rFonts w:hint="eastAsia" w:ascii="仿宋_GB2312" w:hAnsi="Times New Roman" w:eastAsia="仿宋_GB2312" w:cs="Times New Roman"/>
          <w:sz w:val="32"/>
          <w:szCs w:val="32"/>
          <w:lang w:val="en-US" w:eastAsia="zh-CN"/>
        </w:rPr>
        <w:t>6万元</w:t>
      </w:r>
      <w:r>
        <w:rPr>
          <w:rFonts w:hint="eastAsia" w:ascii="仿宋_GB2312" w:hAnsi="Times New Roman" w:eastAsia="仿宋_GB2312" w:cs="Times New Roman"/>
          <w:sz w:val="32"/>
          <w:szCs w:val="32"/>
        </w:rPr>
        <w:t>的</w:t>
      </w:r>
      <w:r>
        <w:rPr>
          <w:rFonts w:hint="eastAsia" w:ascii="仿宋_GB2312" w:hAnsi="Times New Roman" w:eastAsia="仿宋_GB2312" w:cs="Times New Roman"/>
          <w:sz w:val="32"/>
          <w:szCs w:val="32"/>
          <w:lang w:val="en-US" w:eastAsia="zh-CN"/>
        </w:rPr>
        <w:t>99.99</w:t>
      </w:r>
      <w:r>
        <w:rPr>
          <w:rFonts w:hint="eastAsia" w:ascii="仿宋_GB2312" w:hAnsi="Times New Roman" w:eastAsia="仿宋_GB2312" w:cs="Times New Roman"/>
          <w:sz w:val="32"/>
          <w:szCs w:val="32"/>
        </w:rPr>
        <w:t>%。与20</w:t>
      </w:r>
      <w:r>
        <w:rPr>
          <w:rFonts w:hint="eastAsia" w:ascii="仿宋_GB2312" w:hAnsi="Times New Roman" w:eastAsia="仿宋_GB2312" w:cs="Times New Roman"/>
          <w:sz w:val="32"/>
          <w:szCs w:val="32"/>
          <w:lang w:val="en-US" w:eastAsia="zh-CN"/>
        </w:rPr>
        <w:t>20</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119.01万元</w:t>
      </w:r>
      <w:r>
        <w:rPr>
          <w:rFonts w:hint="eastAsia" w:ascii="仿宋_GB2312" w:hAnsi="Times New Roman" w:eastAsia="仿宋_GB2312" w:cs="Times New Roman"/>
          <w:sz w:val="32"/>
          <w:szCs w:val="32"/>
        </w:rPr>
        <w:t>相比，一般公共预算财政拨款</w:t>
      </w:r>
      <w:r>
        <w:rPr>
          <w:rFonts w:hint="eastAsia" w:ascii="仿宋_GB2312" w:hAnsi="Times New Roman" w:eastAsia="仿宋_GB2312" w:cs="Times New Roman"/>
          <w:sz w:val="32"/>
          <w:szCs w:val="32"/>
          <w:lang w:eastAsia="zh-CN"/>
        </w:rPr>
        <w:t>支出</w:t>
      </w:r>
      <w:r>
        <w:rPr>
          <w:rFonts w:hint="eastAsia" w:ascii="仿宋_GB2312" w:hAnsi="Times New Roman" w:eastAsia="仿宋_GB2312" w:cs="Times New Roman"/>
          <w:sz w:val="32"/>
          <w:szCs w:val="32"/>
        </w:rPr>
        <w:t>增加</w:t>
      </w:r>
      <w:r>
        <w:rPr>
          <w:rFonts w:hint="eastAsia" w:ascii="仿宋_GB2312" w:hAnsi="Times New Roman" w:eastAsia="仿宋_GB2312" w:cs="Times New Roman"/>
          <w:sz w:val="32"/>
          <w:szCs w:val="32"/>
          <w:lang w:val="en-US" w:eastAsia="zh-CN"/>
        </w:rPr>
        <w:t>33.34</w:t>
      </w:r>
      <w:r>
        <w:rPr>
          <w:rFonts w:hint="eastAsia" w:ascii="仿宋_GB2312" w:hAnsi="Times New Roman" w:eastAsia="仿宋_GB2312" w:cs="Times New Roman"/>
          <w:sz w:val="32"/>
          <w:szCs w:val="32"/>
        </w:rPr>
        <w:t>万元，增长</w:t>
      </w:r>
      <w:r>
        <w:rPr>
          <w:rFonts w:hint="eastAsia" w:ascii="仿宋_GB2312" w:hAnsi="Times New Roman" w:eastAsia="仿宋_GB2312" w:cs="Times New Roman"/>
          <w:sz w:val="32"/>
          <w:szCs w:val="32"/>
          <w:lang w:val="en-US" w:eastAsia="zh-CN"/>
        </w:rPr>
        <w:t>28.01</w:t>
      </w:r>
      <w:r>
        <w:rPr>
          <w:rFonts w:hint="eastAsia" w:ascii="仿宋_GB2312" w:hAnsi="Times New Roman" w:eastAsia="仿宋_GB2312" w:cs="Times New Roman"/>
          <w:sz w:val="32"/>
          <w:szCs w:val="32"/>
        </w:rPr>
        <w:t>%。主要变动原因是202</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eastAsia="zh-CN"/>
        </w:rPr>
        <w:t>机构改革，调入</w:t>
      </w:r>
      <w:r>
        <w:rPr>
          <w:rFonts w:hint="eastAsia" w:ascii="仿宋_GB2312" w:hAnsi="Times New Roman" w:eastAsia="仿宋_GB2312" w:cs="Times New Roman"/>
          <w:sz w:val="32"/>
          <w:szCs w:val="32"/>
          <w:lang w:val="en-US" w:eastAsia="zh-CN"/>
        </w:rPr>
        <w:t>6人，支出增加。</w:t>
      </w:r>
    </w:p>
    <w:p>
      <w:pPr>
        <w:ind w:firstLine="640" w:firstLineChars="200"/>
        <w:rPr>
          <w:rFonts w:hint="eastAsia" w:ascii="仿宋" w:hAnsi="仿宋" w:eastAsia="仿宋"/>
          <w:color w:val="auto"/>
          <w:sz w:val="32"/>
          <w:szCs w:val="32"/>
          <w:highlight w:val="none"/>
        </w:rPr>
      </w:pPr>
      <w:r>
        <w:rPr>
          <w:rFonts w:hint="eastAsia" w:ascii="仿宋_GB2312" w:hAnsi="Times New Roman" w:eastAsia="仿宋_GB2312" w:cs="Times New Roman"/>
          <w:sz w:val="32"/>
          <w:szCs w:val="32"/>
        </w:rPr>
        <w:t>图5：一般公共预算财政拨款支出决算变动情况</w:t>
      </w:r>
    </w:p>
    <w:p>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3917950" cy="2135505"/>
            <wp:effectExtent l="4445" t="5080" r="20955" b="1206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640" w:firstLineChars="200"/>
        <w:rPr>
          <w:rFonts w:hint="eastAsia" w:ascii="仿宋_GB2312" w:hAnsi="Times New Roman" w:eastAsia="仿宋_GB2312" w:cs="Times New Roman"/>
          <w:sz w:val="32"/>
          <w:szCs w:val="32"/>
        </w:rPr>
      </w:pPr>
      <w:bookmarkStart w:id="29" w:name="_Toc15377211"/>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（二）一般公共预算财政拨款支出决算结构情况</w:t>
      </w:r>
      <w:bookmarkEnd w:id="29"/>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20</w:t>
      </w:r>
      <w:r>
        <w:rPr>
          <w:rFonts w:hint="eastAsia" w:ascii="仿宋_GB2312" w:hAnsi="Times New Roman" w:eastAsia="仿宋_GB2312" w:cs="Times New Roman"/>
          <w:sz w:val="32"/>
          <w:szCs w:val="32"/>
          <w:lang w:val="en-US" w:eastAsia="zh-CN"/>
        </w:rPr>
        <w:t>21</w:t>
      </w:r>
      <w:r>
        <w:rPr>
          <w:rFonts w:hint="eastAsia" w:ascii="仿宋_GB2312" w:hAnsi="Times New Roman" w:eastAsia="仿宋_GB2312" w:cs="Times New Roman"/>
          <w:sz w:val="32"/>
          <w:szCs w:val="32"/>
        </w:rPr>
        <w:t>年一般公共预算财政拨款支出152.35万元，主要用于以下方面:社会保障和就业（类）支出13.65万元，占</w:t>
      </w:r>
      <w:r>
        <w:rPr>
          <w:rFonts w:hint="eastAsia" w:ascii="仿宋_GB2312" w:hAnsi="Times New Roman" w:eastAsia="仿宋_GB2312" w:cs="Times New Roman"/>
          <w:sz w:val="32"/>
          <w:szCs w:val="32"/>
          <w:lang w:val="en-US" w:eastAsia="zh-CN"/>
        </w:rPr>
        <w:t>8.96</w:t>
      </w:r>
      <w:r>
        <w:rPr>
          <w:rFonts w:hint="eastAsia" w:ascii="仿宋_GB2312" w:hAnsi="Times New Roman" w:eastAsia="仿宋_GB2312" w:cs="Times New Roman"/>
          <w:sz w:val="32"/>
          <w:szCs w:val="32"/>
        </w:rPr>
        <w:t>%；卫生健康支出5.49万元，占</w:t>
      </w:r>
      <w:r>
        <w:rPr>
          <w:rFonts w:hint="eastAsia" w:ascii="仿宋_GB2312" w:hAnsi="Times New Roman" w:eastAsia="仿宋_GB2312" w:cs="Times New Roman"/>
          <w:sz w:val="32"/>
          <w:szCs w:val="32"/>
          <w:lang w:val="en-US" w:eastAsia="zh-CN"/>
        </w:rPr>
        <w:t>3.6</w:t>
      </w:r>
      <w:r>
        <w:rPr>
          <w:rFonts w:hint="eastAsia" w:ascii="仿宋_GB2312" w:hAnsi="Times New Roman" w:eastAsia="仿宋_GB2312" w:cs="Times New Roman"/>
          <w:sz w:val="32"/>
          <w:szCs w:val="32"/>
        </w:rPr>
        <w:t>%；住房保障支出14.39万元，占</w:t>
      </w:r>
      <w:r>
        <w:rPr>
          <w:rFonts w:hint="eastAsia" w:ascii="仿宋_GB2312" w:hAnsi="Times New Roman" w:eastAsia="仿宋_GB2312" w:cs="Times New Roman"/>
          <w:sz w:val="32"/>
          <w:szCs w:val="32"/>
          <w:lang w:val="en-US" w:eastAsia="zh-CN"/>
        </w:rPr>
        <w:t>9.45</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农林水支出118.8</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eastAsia="zh-CN"/>
        </w:rPr>
        <w:t>万元，占</w:t>
      </w:r>
      <w:r>
        <w:rPr>
          <w:rFonts w:hint="eastAsia" w:ascii="仿宋_GB2312" w:hAnsi="Times New Roman" w:eastAsia="仿宋_GB2312" w:cs="Times New Roman"/>
          <w:sz w:val="32"/>
          <w:szCs w:val="32"/>
          <w:lang w:val="en-US" w:eastAsia="zh-CN"/>
        </w:rPr>
        <w:t>77.99%</w:t>
      </w:r>
      <w:r>
        <w:rPr>
          <w:rFonts w:hint="eastAsia" w:ascii="仿宋_GB2312" w:hAnsi="Times New Roman" w:eastAsia="仿宋_GB2312" w:cs="Times New Roman"/>
          <w:sz w:val="32"/>
          <w:szCs w:val="32"/>
        </w:rPr>
        <w:t>。</w:t>
      </w:r>
    </w:p>
    <w:p>
      <w:pPr>
        <w:ind w:firstLine="640" w:firstLineChars="200"/>
        <w:rPr>
          <w:rFonts w:hint="eastAsia" w:ascii="仿宋" w:hAnsi="仿宋" w:eastAsia="仿宋"/>
          <w:color w:val="auto"/>
          <w:sz w:val="32"/>
          <w:szCs w:val="32"/>
          <w:highlight w:val="none"/>
        </w:rPr>
      </w:pPr>
      <w:r>
        <w:rPr>
          <w:rFonts w:hint="eastAsia" w:ascii="仿宋_GB2312" w:hAnsi="Times New Roman" w:eastAsia="仿宋_GB2312" w:cs="Times New Roman"/>
          <w:sz w:val="32"/>
          <w:szCs w:val="32"/>
        </w:rPr>
        <w:t>图6：一般公共预算财政拨款支出决算结构</w:t>
      </w:r>
    </w:p>
    <w:p>
      <w:pPr>
        <w:rPr>
          <w:rFonts w:hint="eastAsia"/>
        </w:rPr>
      </w:pPr>
      <w:r>
        <w:rPr>
          <w:rFonts w:hint="eastAsia" w:eastAsia="仿宋"/>
          <w:lang w:eastAsia="zh-CN"/>
        </w:rPr>
        <w:drawing>
          <wp:inline distT="0" distB="0" distL="114300" distR="114300">
            <wp:extent cx="4107815" cy="2968625"/>
            <wp:effectExtent l="4445" t="4445" r="21590" b="1778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ind w:firstLine="640" w:firstLineChars="200"/>
        <w:rPr>
          <w:rFonts w:hint="eastAsia" w:ascii="仿宋_GB2312" w:hAnsi="Times New Roman" w:eastAsia="仿宋_GB2312" w:cs="Times New Roman"/>
          <w:sz w:val="32"/>
          <w:szCs w:val="32"/>
        </w:rPr>
      </w:pPr>
      <w:bookmarkStart w:id="30" w:name="_Toc15377212"/>
      <w:r>
        <w:rPr>
          <w:rFonts w:hint="eastAsia" w:ascii="仿宋_GB2312" w:hAnsi="Times New Roman" w:eastAsia="仿宋_GB2312" w:cs="Times New Roman"/>
          <w:sz w:val="32"/>
          <w:szCs w:val="32"/>
        </w:rPr>
        <w:t>（三）一般公共预算财政拨款支出决算具体情况</w:t>
      </w:r>
      <w:bookmarkEnd w:id="30"/>
    </w:p>
    <w:p>
      <w:pPr>
        <w:ind w:firstLine="640" w:firstLineChars="200"/>
        <w:rPr>
          <w:rFonts w:hint="default" w:ascii="仿宋_GB2312" w:hAnsi="Times New Roman" w:eastAsia="仿宋_GB2312" w:cs="Times New Roman"/>
          <w:sz w:val="32"/>
          <w:szCs w:val="32"/>
          <w:lang w:val="en-US" w:eastAsia="zh-CN"/>
        </w:rPr>
      </w:pPr>
      <w:bookmarkStart w:id="31" w:name="_Toc15377213"/>
      <w:bookmarkStart w:id="32" w:name="_Toc15377444"/>
      <w:bookmarkStart w:id="33" w:name="_Toc15378460"/>
      <w:r>
        <w:rPr>
          <w:rFonts w:hint="eastAsia" w:ascii="仿宋_GB2312" w:hAnsi="Times New Roman" w:eastAsia="仿宋_GB2312" w:cs="Times New Roman"/>
          <w:sz w:val="32"/>
          <w:szCs w:val="32"/>
        </w:rPr>
        <w:t>20</w:t>
      </w:r>
      <w:r>
        <w:rPr>
          <w:rFonts w:hint="eastAsia" w:ascii="仿宋_GB2312" w:hAnsi="Times New Roman" w:eastAsia="仿宋_GB2312" w:cs="Times New Roman"/>
          <w:sz w:val="32"/>
          <w:szCs w:val="32"/>
          <w:lang w:val="en-US" w:eastAsia="zh-CN"/>
        </w:rPr>
        <w:t>21</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eastAsia="zh-CN"/>
        </w:rPr>
        <w:t>一</w:t>
      </w:r>
      <w:r>
        <w:rPr>
          <w:rFonts w:hint="eastAsia" w:ascii="仿宋_GB2312" w:hAnsi="Times New Roman" w:eastAsia="仿宋_GB2312" w:cs="Times New Roman"/>
          <w:sz w:val="32"/>
          <w:szCs w:val="32"/>
        </w:rPr>
        <w:t>般公共预算支出决算数为152.35</w:t>
      </w:r>
      <w:r>
        <w:rPr>
          <w:rFonts w:hint="eastAsia" w:ascii="仿宋_GB2312" w:hAnsi="Times New Roman" w:eastAsia="仿宋_GB2312" w:cs="Times New Roman"/>
          <w:sz w:val="32"/>
          <w:szCs w:val="32"/>
          <w:lang w:eastAsia="zh-CN"/>
        </w:rPr>
        <w:t>万元</w:t>
      </w:r>
      <w:r>
        <w:rPr>
          <w:rFonts w:hint="eastAsia" w:ascii="仿宋_GB2312" w:hAnsi="Times New Roman" w:eastAsia="仿宋_GB2312" w:cs="Times New Roman"/>
          <w:sz w:val="32"/>
          <w:szCs w:val="32"/>
        </w:rPr>
        <w:t>，完成预算</w:t>
      </w:r>
      <w:r>
        <w:rPr>
          <w:rFonts w:hint="eastAsia" w:ascii="仿宋_GB2312" w:hAnsi="Times New Roman" w:eastAsia="仿宋_GB2312" w:cs="Times New Roman"/>
          <w:sz w:val="32"/>
          <w:szCs w:val="32"/>
          <w:lang w:val="en-US" w:eastAsia="zh-CN"/>
        </w:rPr>
        <w:t>154.35万元的98.7%。其</w:t>
      </w:r>
      <w:r>
        <w:rPr>
          <w:rFonts w:hint="eastAsia" w:ascii="仿宋_GB2312" w:hAnsi="Times New Roman" w:eastAsia="仿宋_GB2312" w:cs="Times New Roman"/>
          <w:sz w:val="32"/>
          <w:szCs w:val="32"/>
        </w:rPr>
        <w:t>中：</w:t>
      </w:r>
      <w:bookmarkEnd w:id="31"/>
      <w:bookmarkEnd w:id="32"/>
      <w:bookmarkEnd w:id="33"/>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.社会保障和就业（类）行政事业单位养老支出（款）机关事业单位基本养老保险缴费支出（项）: 支出决算为</w:t>
      </w:r>
      <w:r>
        <w:rPr>
          <w:rFonts w:hint="eastAsia" w:ascii="仿宋_GB2312" w:hAnsi="Times New Roman" w:eastAsia="仿宋_GB2312" w:cs="Times New Roman"/>
          <w:sz w:val="32"/>
          <w:szCs w:val="32"/>
          <w:lang w:val="en-US" w:eastAsia="zh-CN"/>
        </w:rPr>
        <w:t>10.33</w:t>
      </w:r>
      <w:r>
        <w:rPr>
          <w:rFonts w:hint="eastAsia" w:ascii="仿宋_GB2312" w:hAnsi="Times New Roman" w:eastAsia="仿宋_GB2312" w:cs="Times New Roman"/>
          <w:sz w:val="32"/>
          <w:szCs w:val="32"/>
        </w:rPr>
        <w:t>万元，完成预算</w:t>
      </w:r>
      <w:r>
        <w:rPr>
          <w:rFonts w:hint="eastAsia" w:ascii="仿宋_GB2312" w:hAnsi="Times New Roman" w:eastAsia="仿宋_GB2312" w:cs="Times New Roman"/>
          <w:sz w:val="32"/>
          <w:szCs w:val="32"/>
          <w:lang w:val="en-US" w:eastAsia="zh-CN"/>
        </w:rPr>
        <w:t>100</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.社会保障和就业（类）行政事业单位养老支出（款）机关事业单位职业年金缴费支出（项）：支出决算为</w:t>
      </w:r>
      <w:r>
        <w:rPr>
          <w:rFonts w:hint="eastAsia" w:ascii="仿宋_GB2312" w:hAnsi="Times New Roman" w:eastAsia="仿宋_GB2312" w:cs="Times New Roman"/>
          <w:sz w:val="32"/>
          <w:szCs w:val="32"/>
          <w:lang w:val="en-US" w:eastAsia="zh-CN"/>
        </w:rPr>
        <w:t>3.32</w:t>
      </w:r>
      <w:r>
        <w:rPr>
          <w:rFonts w:hint="eastAsia" w:ascii="仿宋_GB2312" w:hAnsi="Times New Roman" w:eastAsia="仿宋_GB2312" w:cs="Times New Roman"/>
          <w:sz w:val="32"/>
          <w:szCs w:val="32"/>
        </w:rPr>
        <w:t>万元，完成预算100%。</w:t>
      </w:r>
    </w:p>
    <w:p>
      <w:pPr>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.卫生健康（类）行政事业单位医疗（款）事业单位医疗（项）:支出决算为</w:t>
      </w:r>
      <w:r>
        <w:rPr>
          <w:rFonts w:hint="eastAsia" w:ascii="仿宋_GB2312" w:hAnsi="Times New Roman" w:eastAsia="仿宋_GB2312" w:cs="Times New Roman"/>
          <w:sz w:val="32"/>
          <w:szCs w:val="32"/>
          <w:lang w:val="en-US" w:eastAsia="zh-CN"/>
        </w:rPr>
        <w:t>5.49</w:t>
      </w:r>
      <w:r>
        <w:rPr>
          <w:rFonts w:hint="eastAsia" w:ascii="仿宋_GB2312" w:hAnsi="Times New Roman" w:eastAsia="仿宋_GB2312" w:cs="Times New Roman"/>
          <w:sz w:val="32"/>
          <w:szCs w:val="32"/>
        </w:rPr>
        <w:t>万元，完成预算</w:t>
      </w:r>
      <w:r>
        <w:rPr>
          <w:rFonts w:hint="eastAsia" w:ascii="仿宋_GB2312" w:hAnsi="Times New Roman" w:eastAsia="仿宋_GB2312" w:cs="Times New Roman"/>
          <w:sz w:val="32"/>
          <w:szCs w:val="32"/>
          <w:lang w:val="en-US" w:eastAsia="zh-CN"/>
        </w:rPr>
        <w:t>100</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w:t>
      </w:r>
    </w:p>
    <w:p>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4. 农林</w:t>
      </w:r>
      <w:r>
        <w:rPr>
          <w:rFonts w:hint="eastAsia" w:ascii="仿宋_GB2312" w:hAnsi="Times New Roman" w:eastAsia="仿宋_GB2312" w:cs="Times New Roman"/>
          <w:sz w:val="32"/>
          <w:szCs w:val="32"/>
        </w:rPr>
        <w:t>水支出（类）林业和草原（款）</w:t>
      </w:r>
      <w:r>
        <w:rPr>
          <w:rFonts w:hint="eastAsia" w:ascii="仿宋_GB2312" w:hAnsi="Times New Roman" w:eastAsia="仿宋_GB2312" w:cs="Times New Roman"/>
          <w:sz w:val="32"/>
          <w:szCs w:val="32"/>
          <w:lang w:eastAsia="zh-CN"/>
        </w:rPr>
        <w:t>自然保护区等管理</w:t>
      </w:r>
      <w:r>
        <w:rPr>
          <w:rFonts w:hint="eastAsia" w:ascii="仿宋_GB2312" w:hAnsi="Times New Roman" w:eastAsia="仿宋_GB2312" w:cs="Times New Roman"/>
          <w:sz w:val="32"/>
          <w:szCs w:val="32"/>
        </w:rPr>
        <w:t>（项）：支出决算为</w:t>
      </w:r>
      <w:r>
        <w:rPr>
          <w:rFonts w:hint="eastAsia" w:ascii="仿宋_GB2312" w:hAnsi="Times New Roman" w:eastAsia="仿宋_GB2312" w:cs="Times New Roman"/>
          <w:sz w:val="32"/>
          <w:szCs w:val="32"/>
          <w:lang w:val="en-US" w:eastAsia="zh-CN"/>
        </w:rPr>
        <w:t>118.82</w:t>
      </w:r>
      <w:r>
        <w:rPr>
          <w:rFonts w:hint="eastAsia" w:ascii="仿宋_GB2312" w:hAnsi="Times New Roman" w:eastAsia="仿宋_GB2312" w:cs="Times New Roman"/>
          <w:sz w:val="32"/>
          <w:szCs w:val="32"/>
        </w:rPr>
        <w:t>万元，完成预算</w:t>
      </w:r>
      <w:r>
        <w:rPr>
          <w:rFonts w:hint="eastAsia" w:ascii="仿宋_GB2312" w:hAnsi="Times New Roman" w:eastAsia="仿宋_GB2312" w:cs="Times New Roman"/>
          <w:sz w:val="32"/>
          <w:szCs w:val="32"/>
          <w:lang w:val="en-US" w:eastAsia="zh-CN"/>
        </w:rPr>
        <w:t>100</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w:t>
      </w:r>
    </w:p>
    <w:p>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.住房保障支出（类）住房改革支出（款）住房公积金（项） ：支出决算为</w:t>
      </w:r>
      <w:r>
        <w:rPr>
          <w:rFonts w:hint="eastAsia" w:ascii="仿宋_GB2312" w:hAnsi="Times New Roman" w:eastAsia="仿宋_GB2312" w:cs="Times New Roman"/>
          <w:sz w:val="32"/>
          <w:szCs w:val="32"/>
          <w:lang w:val="en-US" w:eastAsia="zh-CN"/>
        </w:rPr>
        <w:t>14.39</w:t>
      </w:r>
      <w:r>
        <w:rPr>
          <w:rFonts w:hint="eastAsia" w:ascii="仿宋_GB2312" w:hAnsi="Times New Roman" w:eastAsia="仿宋_GB2312" w:cs="Times New Roman"/>
          <w:sz w:val="32"/>
          <w:szCs w:val="32"/>
        </w:rPr>
        <w:t>万元，完成预算</w:t>
      </w:r>
      <w:r>
        <w:rPr>
          <w:rFonts w:hint="eastAsia" w:ascii="仿宋_GB2312" w:hAnsi="Times New Roman" w:eastAsia="仿宋_GB2312" w:cs="Times New Roman"/>
          <w:sz w:val="32"/>
          <w:szCs w:val="32"/>
          <w:lang w:val="en-US" w:eastAsia="zh-CN"/>
        </w:rPr>
        <w:t>100</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w:t>
      </w:r>
    </w:p>
    <w:p>
      <w:pPr>
        <w:ind w:firstLine="640" w:firstLineChars="200"/>
        <w:rPr>
          <w:rFonts w:hint="eastAsia" w:ascii="仿宋_GB2312" w:hAnsi="Times New Roman" w:eastAsia="仿宋_GB2312" w:cs="Times New Roman"/>
          <w:sz w:val="32"/>
          <w:szCs w:val="32"/>
        </w:rPr>
      </w:pPr>
      <w:bookmarkStart w:id="34" w:name="_Toc15396608"/>
      <w:bookmarkStart w:id="35" w:name="_Toc15377214"/>
      <w:bookmarkStart w:id="67" w:name="_GoBack"/>
      <w:bookmarkEnd w:id="67"/>
      <w:r>
        <w:rPr>
          <w:rFonts w:hint="eastAsia" w:ascii="黑体" w:hAnsi="黑体" w:eastAsia="黑体" w:cs="黑体"/>
          <w:sz w:val="32"/>
          <w:szCs w:val="32"/>
        </w:rPr>
        <w:t>六、一般公共预算财政拨款基本支出决算情况说明</w:t>
      </w:r>
      <w:bookmarkEnd w:id="34"/>
      <w:bookmarkEnd w:id="35"/>
      <w:r>
        <w:rPr>
          <w:rFonts w:hint="eastAsia" w:ascii="仿宋_GB2312" w:hAnsi="Times New Roman" w:eastAsia="仿宋_GB2312" w:cs="Times New Roman"/>
          <w:sz w:val="32"/>
          <w:szCs w:val="32"/>
        </w:rPr>
        <w:tab/>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20</w:t>
      </w:r>
      <w:r>
        <w:rPr>
          <w:rFonts w:hint="eastAsia" w:ascii="仿宋_GB2312" w:hAnsi="Times New Roman" w:eastAsia="仿宋_GB2312" w:cs="Times New Roman"/>
          <w:sz w:val="32"/>
          <w:szCs w:val="32"/>
          <w:lang w:val="en-US" w:eastAsia="zh-CN"/>
        </w:rPr>
        <w:t>21</w:t>
      </w:r>
      <w:r>
        <w:rPr>
          <w:rFonts w:hint="eastAsia" w:ascii="仿宋_GB2312" w:hAnsi="Times New Roman" w:eastAsia="仿宋_GB2312" w:cs="Times New Roman"/>
          <w:sz w:val="32"/>
          <w:szCs w:val="32"/>
        </w:rPr>
        <w:t>年一般公共预算财政拨款基本支出</w:t>
      </w:r>
      <w:r>
        <w:rPr>
          <w:rFonts w:hint="eastAsia" w:ascii="仿宋_GB2312" w:hAnsi="Times New Roman" w:eastAsia="仿宋_GB2312" w:cs="Times New Roman"/>
          <w:sz w:val="32"/>
          <w:szCs w:val="32"/>
          <w:lang w:val="en-US" w:eastAsia="zh-CN"/>
        </w:rPr>
        <w:t>152.35</w:t>
      </w:r>
      <w:r>
        <w:rPr>
          <w:rFonts w:hint="eastAsia" w:ascii="仿宋_GB2312" w:hAnsi="Times New Roman" w:eastAsia="仿宋_GB2312" w:cs="Times New Roman"/>
          <w:sz w:val="32"/>
          <w:szCs w:val="32"/>
        </w:rPr>
        <w:t>万元，其中：</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人员经费</w:t>
      </w:r>
      <w:r>
        <w:rPr>
          <w:rFonts w:hint="eastAsia" w:ascii="仿宋_GB2312" w:hAnsi="Times New Roman" w:eastAsia="仿宋_GB2312" w:cs="Times New Roman"/>
          <w:sz w:val="32"/>
          <w:szCs w:val="32"/>
          <w:lang w:val="en-US" w:eastAsia="zh-CN"/>
        </w:rPr>
        <w:t>142.69</w:t>
      </w:r>
      <w:r>
        <w:rPr>
          <w:rFonts w:hint="eastAsia" w:ascii="仿宋_GB2312" w:hAnsi="Times New Roman" w:eastAsia="仿宋_GB2312" w:cs="Times New Roman"/>
          <w:sz w:val="32"/>
          <w:szCs w:val="32"/>
        </w:rPr>
        <w:t>万元，主要包括：基本工资、津贴补贴、绩效工资、机关事业单位基本养老保险缴费、职业年金缴费、其他社会保障缴费、其他工资福利支出、奖励金、住房公积金等。</w:t>
      </w:r>
      <w:r>
        <w:rPr>
          <w:rFonts w:hint="eastAsia" w:ascii="仿宋_GB2312" w:hAnsi="Times New Roman" w:eastAsia="仿宋_GB2312" w:cs="Times New Roman"/>
          <w:sz w:val="32"/>
          <w:szCs w:val="32"/>
        </w:rPr>
        <w:br w:type="textWrapping"/>
      </w:r>
      <w:r>
        <w:rPr>
          <w:rFonts w:hint="eastAsia" w:ascii="仿宋_GB2312" w:hAnsi="Times New Roman" w:eastAsia="仿宋_GB2312" w:cs="Times New Roman"/>
          <w:sz w:val="32"/>
          <w:szCs w:val="32"/>
        </w:rPr>
        <w:t>　　公用经费9.66万元，主要包括：办公费、印刷费、咨询费、手续费、水费、物业管理费、差旅费、维修（护）费、培训费、公务接待费、工会经费、其他交通费、其他商品和服务支出。</w:t>
      </w:r>
    </w:p>
    <w:p>
      <w:pPr>
        <w:spacing w:line="600" w:lineRule="exact"/>
        <w:ind w:firstLine="640"/>
        <w:outlineLvl w:val="1"/>
        <w:rPr>
          <w:rStyle w:val="25"/>
          <w:rFonts w:ascii="黑体" w:hAnsi="黑体" w:eastAsia="黑体"/>
          <w:b w:val="0"/>
          <w:color w:val="auto"/>
          <w:highlight w:val="none"/>
        </w:rPr>
      </w:pPr>
      <w:bookmarkStart w:id="36" w:name="_Toc15377215"/>
      <w:bookmarkStart w:id="37" w:name="_Toc15396609"/>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36"/>
      <w:bookmarkEnd w:id="37"/>
    </w:p>
    <w:p>
      <w:pPr>
        <w:ind w:firstLine="640" w:firstLineChars="200"/>
        <w:rPr>
          <w:rFonts w:hint="eastAsia" w:ascii="仿宋_GB2312" w:hAnsi="Times New Roman" w:eastAsia="仿宋_GB2312" w:cs="Times New Roman"/>
          <w:sz w:val="32"/>
          <w:szCs w:val="32"/>
        </w:rPr>
      </w:pPr>
      <w:bookmarkStart w:id="38" w:name="_Toc15377216"/>
      <w:r>
        <w:rPr>
          <w:rFonts w:hint="eastAsia" w:ascii="仿宋_GB2312" w:hAnsi="Times New Roman" w:eastAsia="仿宋_GB2312" w:cs="Times New Roman"/>
          <w:sz w:val="32"/>
          <w:szCs w:val="32"/>
        </w:rPr>
        <w:t>（一）“三公”经费财政拨款支出决算总体情况说明</w:t>
      </w:r>
      <w:bookmarkEnd w:id="38"/>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20</w:t>
      </w:r>
      <w:r>
        <w:rPr>
          <w:rFonts w:hint="eastAsia" w:ascii="仿宋_GB2312" w:hAnsi="Times New Roman" w:eastAsia="仿宋_GB2312" w:cs="Times New Roman"/>
          <w:sz w:val="32"/>
          <w:szCs w:val="32"/>
          <w:lang w:val="en-US" w:eastAsia="zh-CN"/>
        </w:rPr>
        <w:t>21</w:t>
      </w:r>
      <w:r>
        <w:rPr>
          <w:rFonts w:hint="eastAsia" w:ascii="仿宋_GB2312" w:hAnsi="Times New Roman" w:eastAsia="仿宋_GB2312" w:cs="Times New Roman"/>
          <w:sz w:val="32"/>
          <w:szCs w:val="32"/>
        </w:rPr>
        <w:t>年“三公”经费财政拨款支出决算为</w:t>
      </w:r>
      <w:r>
        <w:rPr>
          <w:rFonts w:hint="eastAsia" w:ascii="仿宋_GB2312" w:hAnsi="Times New Roman" w:eastAsia="仿宋_GB2312" w:cs="Times New Roman"/>
          <w:sz w:val="32"/>
          <w:szCs w:val="32"/>
          <w:lang w:val="en-US" w:eastAsia="zh-CN"/>
        </w:rPr>
        <w:t>0.09</w:t>
      </w:r>
      <w:r>
        <w:rPr>
          <w:rFonts w:hint="eastAsia" w:ascii="仿宋_GB2312" w:hAnsi="Times New Roman" w:eastAsia="仿宋_GB2312" w:cs="Times New Roman"/>
          <w:sz w:val="32"/>
          <w:szCs w:val="32"/>
        </w:rPr>
        <w:t>万元，完成预算</w:t>
      </w:r>
      <w:r>
        <w:rPr>
          <w:rFonts w:hint="eastAsia" w:ascii="仿宋_GB2312" w:hAnsi="Times New Roman" w:eastAsia="仿宋_GB2312" w:cs="Times New Roman"/>
          <w:sz w:val="32"/>
          <w:szCs w:val="32"/>
          <w:lang w:val="en-US" w:eastAsia="zh-CN"/>
        </w:rPr>
        <w:t>18</w:t>
      </w:r>
      <w:r>
        <w:rPr>
          <w:rFonts w:hint="eastAsia" w:ascii="仿宋_GB2312" w:hAnsi="Times New Roman" w:eastAsia="仿宋_GB2312" w:cs="Times New Roman"/>
          <w:sz w:val="32"/>
          <w:szCs w:val="32"/>
        </w:rPr>
        <w:t>%，决算数小于预算数主要原因是</w:t>
      </w:r>
      <w:r>
        <w:rPr>
          <w:rFonts w:hint="eastAsia" w:ascii="仿宋_GB2312" w:hAnsi="Times New Roman" w:eastAsia="仿宋_GB2312" w:cs="Times New Roman"/>
          <w:sz w:val="32"/>
          <w:szCs w:val="32"/>
          <w:lang w:eastAsia="zh-CN"/>
        </w:rPr>
        <w:t>厉行节约，减少三公经费支出</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bookmarkStart w:id="39" w:name="_Toc15377217"/>
      <w:r>
        <w:rPr>
          <w:rFonts w:hint="eastAsia" w:ascii="仿宋_GB2312" w:hAnsi="Times New Roman" w:eastAsia="仿宋_GB2312" w:cs="Times New Roman"/>
          <w:sz w:val="32"/>
          <w:szCs w:val="32"/>
        </w:rPr>
        <w:t>（二）“三公”经费财政拨款支出决算具体情况说明</w:t>
      </w:r>
      <w:bookmarkEnd w:id="39"/>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20</w:t>
      </w:r>
      <w:r>
        <w:rPr>
          <w:rFonts w:hint="eastAsia" w:ascii="仿宋_GB2312" w:hAnsi="Times New Roman" w:eastAsia="仿宋_GB2312" w:cs="Times New Roman"/>
          <w:sz w:val="32"/>
          <w:szCs w:val="32"/>
          <w:lang w:val="en-US" w:eastAsia="zh-CN"/>
        </w:rPr>
        <w:t>21</w:t>
      </w:r>
      <w:r>
        <w:rPr>
          <w:rFonts w:hint="eastAsia" w:ascii="仿宋_GB2312" w:hAnsi="Times New Roman" w:eastAsia="仿宋_GB2312" w:cs="Times New Roman"/>
          <w:sz w:val="32"/>
          <w:szCs w:val="32"/>
        </w:rPr>
        <w:t>年“三公”经费财政拨款支出决算中，因公出国（境）费支出决算</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万元，占</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%；公务用车购置及运行维护费支出决算</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万元，占</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%；公务接待费支出决算</w:t>
      </w:r>
      <w:r>
        <w:rPr>
          <w:rFonts w:hint="eastAsia" w:ascii="仿宋_GB2312" w:hAnsi="Times New Roman" w:eastAsia="仿宋_GB2312" w:cs="Times New Roman"/>
          <w:sz w:val="32"/>
          <w:szCs w:val="32"/>
          <w:lang w:val="en-US" w:eastAsia="zh-CN"/>
        </w:rPr>
        <w:t>0.09</w:t>
      </w:r>
      <w:r>
        <w:rPr>
          <w:rFonts w:hint="eastAsia" w:ascii="仿宋_GB2312" w:hAnsi="Times New Roman" w:eastAsia="仿宋_GB2312" w:cs="Times New Roman"/>
          <w:sz w:val="32"/>
          <w:szCs w:val="32"/>
        </w:rPr>
        <w:t>万元，占</w:t>
      </w:r>
      <w:r>
        <w:rPr>
          <w:rFonts w:hint="eastAsia" w:ascii="仿宋_GB2312" w:hAnsi="Times New Roman" w:eastAsia="仿宋_GB2312" w:cs="Times New Roman"/>
          <w:sz w:val="32"/>
          <w:szCs w:val="32"/>
          <w:lang w:val="en-US" w:eastAsia="zh-CN"/>
        </w:rPr>
        <w:t>100</w:t>
      </w:r>
      <w:r>
        <w:rPr>
          <w:rFonts w:hint="eastAsia" w:ascii="仿宋_GB2312" w:hAnsi="Times New Roman" w:eastAsia="仿宋_GB2312" w:cs="Times New Roman"/>
          <w:sz w:val="32"/>
          <w:szCs w:val="32"/>
        </w:rPr>
        <w:t>%。具体情况如下：</w:t>
      </w:r>
    </w:p>
    <w:p>
      <w:pPr>
        <w:ind w:firstLine="640" w:firstLineChars="200"/>
        <w:rPr>
          <w:rFonts w:hint="eastAsia" w:ascii="仿宋" w:hAnsi="仿宋" w:eastAsia="仿宋"/>
          <w:color w:val="auto"/>
          <w:sz w:val="32"/>
          <w:szCs w:val="32"/>
          <w:highlight w:val="none"/>
        </w:rPr>
      </w:pPr>
      <w:r>
        <w:rPr>
          <w:rFonts w:hint="eastAsia" w:ascii="仿宋_GB2312" w:hAnsi="Times New Roman" w:eastAsia="仿宋_GB2312" w:cs="Times New Roman"/>
          <w:sz w:val="32"/>
          <w:szCs w:val="32"/>
        </w:rPr>
        <w:t>图7：“三公”经费财政拨款支出结构</w:t>
      </w:r>
    </w:p>
    <w:p>
      <w:pPr>
        <w:rPr>
          <w:rFonts w:hint="eastAsia" w:eastAsia="仿宋"/>
          <w:lang w:eastAsia="zh-CN"/>
        </w:rPr>
      </w:pPr>
      <w:r>
        <w:rPr>
          <w:rFonts w:hint="eastAsia" w:eastAsia="仿宋"/>
          <w:lang w:eastAsia="zh-CN"/>
        </w:rPr>
        <w:drawing>
          <wp:inline distT="0" distB="0" distL="114300" distR="114300">
            <wp:extent cx="3861435" cy="2210435"/>
            <wp:effectExtent l="4445" t="4445" r="20320" b="1397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1.因公出国（境）经费支出</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w:t>
      </w:r>
      <w:r>
        <w:rPr>
          <w:rFonts w:hint="eastAsia" w:ascii="仿宋_GB2312" w:hAnsi="Times New Roman" w:eastAsia="仿宋_GB2312" w:cs="Times New Roman"/>
          <w:sz w:val="32"/>
          <w:szCs w:val="32"/>
          <w:lang w:val="en-US" w:eastAsia="zh-CN"/>
        </w:rPr>
        <w:t>年初未安排预算，因公出国</w:t>
      </w:r>
      <w:r>
        <w:rPr>
          <w:rFonts w:hint="eastAsia" w:ascii="仿宋_GB2312" w:hAnsi="Times New Roman" w:eastAsia="仿宋_GB2312" w:cs="Times New Roman"/>
          <w:sz w:val="32"/>
          <w:szCs w:val="32"/>
        </w:rPr>
        <w:t>（境）</w:t>
      </w:r>
      <w:r>
        <w:rPr>
          <w:rFonts w:hint="eastAsia" w:ascii="仿宋_GB2312" w:hAnsi="Times New Roman" w:eastAsia="仿宋_GB2312" w:cs="Times New Roman"/>
          <w:sz w:val="32"/>
          <w:szCs w:val="32"/>
          <w:lang w:val="en-US" w:eastAsia="zh-CN"/>
        </w:rPr>
        <w:t>支出决算较2020年无变化</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2.公务用车购置及运行维护费支出</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w:t>
      </w:r>
      <w:r>
        <w:rPr>
          <w:rFonts w:hint="eastAsia" w:ascii="仿宋_GB2312" w:hAnsi="Times New Roman" w:eastAsia="仿宋_GB2312" w:cs="Times New Roman"/>
          <w:sz w:val="32"/>
          <w:szCs w:val="32"/>
          <w:lang w:eastAsia="zh-CN"/>
        </w:rPr>
        <w:t>因本单位无车辆编制，一直无公务用车保有量，故</w:t>
      </w:r>
      <w:r>
        <w:rPr>
          <w:rFonts w:hint="eastAsia" w:ascii="仿宋_GB2312" w:hAnsi="Times New Roman" w:eastAsia="仿宋_GB2312" w:cs="Times New Roman"/>
          <w:sz w:val="32"/>
          <w:szCs w:val="32"/>
          <w:lang w:val="en-US" w:eastAsia="zh-CN"/>
        </w:rPr>
        <w:t>年初未安排预算，</w:t>
      </w:r>
      <w:r>
        <w:rPr>
          <w:rFonts w:hint="eastAsia" w:ascii="仿宋_GB2312" w:hAnsi="Times New Roman" w:eastAsia="仿宋_GB2312" w:cs="Times New Roman"/>
          <w:sz w:val="32"/>
          <w:szCs w:val="32"/>
        </w:rPr>
        <w:t>公务用车购置及运行维护费</w:t>
      </w:r>
      <w:r>
        <w:rPr>
          <w:rFonts w:hint="eastAsia" w:ascii="仿宋_GB2312" w:hAnsi="Times New Roman" w:eastAsia="仿宋_GB2312" w:cs="Times New Roman"/>
          <w:sz w:val="32"/>
          <w:szCs w:val="32"/>
          <w:lang w:val="en-US" w:eastAsia="zh-CN"/>
        </w:rPr>
        <w:t>支出决算较2020年无变化</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3.公务接待费支出</w:t>
      </w:r>
      <w:r>
        <w:rPr>
          <w:rFonts w:hint="eastAsia" w:ascii="仿宋_GB2312" w:hAnsi="Times New Roman" w:eastAsia="仿宋_GB2312" w:cs="Times New Roman"/>
          <w:sz w:val="32"/>
          <w:szCs w:val="32"/>
          <w:lang w:val="en-US" w:eastAsia="zh-CN"/>
        </w:rPr>
        <w:t>0.09</w:t>
      </w:r>
      <w:r>
        <w:rPr>
          <w:rFonts w:hint="eastAsia" w:ascii="仿宋_GB2312" w:hAnsi="Times New Roman" w:eastAsia="仿宋_GB2312" w:cs="Times New Roman"/>
          <w:sz w:val="32"/>
          <w:szCs w:val="32"/>
        </w:rPr>
        <w:t>万元，完成预算</w:t>
      </w:r>
      <w:r>
        <w:rPr>
          <w:rFonts w:hint="eastAsia" w:ascii="仿宋_GB2312" w:hAnsi="Times New Roman" w:eastAsia="仿宋_GB2312" w:cs="Times New Roman"/>
          <w:sz w:val="32"/>
          <w:szCs w:val="32"/>
          <w:lang w:val="en-US" w:eastAsia="zh-CN"/>
        </w:rPr>
        <w:t>18</w:t>
      </w:r>
      <w:r>
        <w:rPr>
          <w:rFonts w:hint="eastAsia" w:ascii="仿宋_GB2312" w:hAnsi="Times New Roman" w:eastAsia="仿宋_GB2312" w:cs="Times New Roman"/>
          <w:sz w:val="32"/>
          <w:szCs w:val="32"/>
        </w:rPr>
        <w:t>%。公务接待费支出决算比20</w:t>
      </w:r>
      <w:r>
        <w:rPr>
          <w:rFonts w:hint="eastAsia" w:ascii="仿宋_GB2312" w:hAnsi="Times New Roman" w:eastAsia="仿宋_GB2312" w:cs="Times New Roman"/>
          <w:sz w:val="32"/>
          <w:szCs w:val="32"/>
          <w:lang w:val="en-US" w:eastAsia="zh-CN"/>
        </w:rPr>
        <w:t>20</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0.4万元</w:t>
      </w:r>
      <w:r>
        <w:rPr>
          <w:rFonts w:hint="eastAsia" w:ascii="仿宋_GB2312" w:hAnsi="Times New Roman" w:eastAsia="仿宋_GB2312" w:cs="Times New Roman"/>
          <w:sz w:val="32"/>
          <w:szCs w:val="32"/>
        </w:rPr>
        <w:t>减少</w:t>
      </w:r>
      <w:r>
        <w:rPr>
          <w:rFonts w:hint="eastAsia" w:ascii="仿宋_GB2312" w:hAnsi="Times New Roman" w:eastAsia="仿宋_GB2312" w:cs="Times New Roman"/>
          <w:sz w:val="32"/>
          <w:szCs w:val="32"/>
          <w:lang w:val="en-US" w:eastAsia="zh-CN"/>
        </w:rPr>
        <w:t>0.31</w:t>
      </w:r>
      <w:r>
        <w:rPr>
          <w:rFonts w:hint="eastAsia" w:ascii="仿宋_GB2312" w:hAnsi="Times New Roman" w:eastAsia="仿宋_GB2312" w:cs="Times New Roman"/>
          <w:sz w:val="32"/>
          <w:szCs w:val="32"/>
        </w:rPr>
        <w:t>万元，下降</w:t>
      </w:r>
      <w:r>
        <w:rPr>
          <w:rFonts w:hint="eastAsia" w:ascii="仿宋_GB2312" w:hAnsi="Times New Roman" w:eastAsia="仿宋_GB2312" w:cs="Times New Roman"/>
          <w:sz w:val="32"/>
          <w:szCs w:val="32"/>
          <w:lang w:val="en-US" w:eastAsia="zh-CN"/>
        </w:rPr>
        <w:t>77.5</w:t>
      </w:r>
      <w:r>
        <w:rPr>
          <w:rFonts w:hint="eastAsia" w:ascii="仿宋_GB2312" w:hAnsi="Times New Roman" w:eastAsia="仿宋_GB2312" w:cs="Times New Roman"/>
          <w:sz w:val="32"/>
          <w:szCs w:val="32"/>
        </w:rPr>
        <w:t>%。主要原因是</w:t>
      </w:r>
      <w:r>
        <w:rPr>
          <w:rFonts w:hint="eastAsia" w:ascii="仿宋_GB2312" w:hAnsi="Times New Roman" w:eastAsia="仿宋_GB2312" w:cs="Times New Roman"/>
          <w:sz w:val="32"/>
          <w:szCs w:val="32"/>
          <w:lang w:eastAsia="zh-CN"/>
        </w:rPr>
        <w:t>厉行节约，减少公务接待</w:t>
      </w:r>
      <w:r>
        <w:rPr>
          <w:rFonts w:hint="eastAsia" w:ascii="仿宋_GB2312" w:hAnsi="Times New Roman" w:eastAsia="仿宋_GB2312" w:cs="Times New Roman"/>
          <w:sz w:val="32"/>
          <w:szCs w:val="32"/>
        </w:rPr>
        <w:t>。其中：</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国内公务接待支出</w:t>
      </w:r>
      <w:r>
        <w:rPr>
          <w:rFonts w:hint="eastAsia" w:ascii="仿宋_GB2312" w:hAnsi="Times New Roman" w:eastAsia="仿宋_GB2312" w:cs="Times New Roman"/>
          <w:sz w:val="32"/>
          <w:szCs w:val="32"/>
          <w:lang w:val="en-US" w:eastAsia="zh-CN"/>
        </w:rPr>
        <w:t>0.09</w:t>
      </w:r>
      <w:r>
        <w:rPr>
          <w:rFonts w:hint="eastAsia" w:ascii="仿宋_GB2312" w:hAnsi="Times New Roman" w:eastAsia="仿宋_GB2312" w:cs="Times New Roman"/>
          <w:sz w:val="32"/>
          <w:szCs w:val="32"/>
        </w:rPr>
        <w:t>万元，主要用于开展业务活动开支的用餐费。国内公务接待</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批次，</w:t>
      </w: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rPr>
        <w:t>人次（不包括陪同人员），共计支出</w:t>
      </w:r>
      <w:r>
        <w:rPr>
          <w:rFonts w:hint="eastAsia" w:ascii="仿宋_GB2312" w:hAnsi="Times New Roman" w:eastAsia="仿宋_GB2312" w:cs="Times New Roman"/>
          <w:sz w:val="32"/>
          <w:szCs w:val="32"/>
          <w:lang w:val="en-US" w:eastAsia="zh-CN"/>
        </w:rPr>
        <w:t>0.09</w:t>
      </w:r>
      <w:r>
        <w:rPr>
          <w:rFonts w:hint="eastAsia" w:ascii="仿宋_GB2312" w:hAnsi="Times New Roman" w:eastAsia="仿宋_GB2312" w:cs="Times New Roman"/>
          <w:sz w:val="32"/>
          <w:szCs w:val="32"/>
        </w:rPr>
        <w:t>万元，具体内容包括：</w:t>
      </w:r>
      <w:r>
        <w:rPr>
          <w:rFonts w:hint="eastAsia" w:ascii="仿宋_GB2312" w:hAnsi="Times New Roman" w:eastAsia="仿宋_GB2312" w:cs="Times New Roman"/>
          <w:sz w:val="32"/>
          <w:szCs w:val="32"/>
          <w:lang w:eastAsia="zh-CN"/>
        </w:rPr>
        <w:t>省林草局调查规划设计院来广元开展自然保护地价值调查及论证</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外事接待支出</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w:t>
      </w:r>
      <w:r>
        <w:rPr>
          <w:rFonts w:hint="eastAsia" w:ascii="仿宋_GB2312" w:hAnsi="Times New Roman" w:eastAsia="仿宋_GB2312" w:cs="Times New Roman"/>
          <w:sz w:val="32"/>
          <w:szCs w:val="32"/>
          <w:lang w:eastAsia="zh-CN"/>
        </w:rPr>
        <w:t>无外事接待。</w:t>
      </w:r>
    </w:p>
    <w:p>
      <w:pPr>
        <w:spacing w:line="600" w:lineRule="exact"/>
        <w:ind w:firstLine="640"/>
        <w:outlineLvl w:val="1"/>
        <w:rPr>
          <w:rStyle w:val="25"/>
          <w:rFonts w:ascii="黑体" w:hAnsi="黑体" w:eastAsia="黑体"/>
          <w:color w:val="auto"/>
          <w:highlight w:val="none"/>
        </w:rPr>
      </w:pPr>
      <w:bookmarkStart w:id="40" w:name="_Toc15377218"/>
      <w:bookmarkStart w:id="41" w:name="_Toc15396610"/>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，无预算</w:t>
      </w:r>
      <w:r>
        <w:rPr>
          <w:rFonts w:hint="eastAsia" w:ascii="仿宋_GB2312" w:eastAsia="仿宋_GB2312"/>
          <w:color w:val="auto"/>
          <w:sz w:val="32"/>
          <w:szCs w:val="32"/>
          <w:highlight w:val="none"/>
        </w:rPr>
        <w:t>。</w:t>
      </w:r>
    </w:p>
    <w:p>
      <w:pPr>
        <w:numPr>
          <w:ilvl w:val="0"/>
          <w:numId w:val="2"/>
        </w:numPr>
        <w:spacing w:line="600" w:lineRule="exact"/>
        <w:ind w:firstLine="640"/>
        <w:outlineLvl w:val="1"/>
        <w:rPr>
          <w:rStyle w:val="25"/>
          <w:rFonts w:ascii="黑体" w:hAnsi="黑体" w:eastAsia="黑体"/>
          <w:b w:val="0"/>
          <w:color w:val="auto"/>
          <w:highlight w:val="none"/>
        </w:rPr>
      </w:pPr>
      <w:bookmarkStart w:id="42" w:name="_Toc15396611"/>
      <w:bookmarkStart w:id="43" w:name="_Toc15377219"/>
      <w:r>
        <w:rPr>
          <w:rStyle w:val="25"/>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，无预算</w:t>
      </w:r>
      <w:r>
        <w:rPr>
          <w:rFonts w:hint="eastAsia" w:ascii="仿宋_GB2312" w:eastAsia="仿宋_GB2312"/>
          <w:color w:val="auto"/>
          <w:sz w:val="32"/>
          <w:szCs w:val="32"/>
          <w:highlight w:val="none"/>
        </w:rPr>
        <w:t>。</w:t>
      </w:r>
    </w:p>
    <w:p>
      <w:pPr>
        <w:numPr>
          <w:ilvl w:val="0"/>
          <w:numId w:val="2"/>
        </w:numPr>
        <w:spacing w:line="600" w:lineRule="exact"/>
        <w:ind w:firstLine="640"/>
        <w:outlineLvl w:val="1"/>
        <w:rPr>
          <w:rStyle w:val="25"/>
          <w:rFonts w:hint="eastAsia" w:ascii="黑体" w:hAnsi="黑体" w:eastAsia="黑体"/>
          <w:b w:val="0"/>
          <w:color w:val="auto"/>
          <w:highlight w:val="none"/>
        </w:rPr>
      </w:pPr>
      <w:bookmarkStart w:id="44" w:name="_Toc15377221"/>
      <w:bookmarkStart w:id="45" w:name="_Toc15396612"/>
      <w:r>
        <w:rPr>
          <w:rStyle w:val="25"/>
          <w:rFonts w:hint="eastAsia" w:ascii="黑体" w:hAnsi="黑体" w:eastAsia="黑体"/>
          <w:b w:val="0"/>
          <w:color w:val="auto"/>
          <w:highlight w:val="none"/>
          <w:lang w:val="en-US" w:eastAsia="zh-CN"/>
        </w:rPr>
        <w:t>预算绩效管理情况</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Times New Roman" w:eastAsia="仿宋_GB2312" w:cs="Times New Roman"/>
          <w:sz w:val="32"/>
          <w:szCs w:val="32"/>
        </w:rPr>
        <w:t>本单位在</w:t>
      </w:r>
      <w:r>
        <w:rPr>
          <w:rFonts w:hint="eastAsia" w:ascii="仿宋_GB2312" w:hAnsi="Times New Roman" w:eastAsia="仿宋_GB2312" w:cs="Times New Roman"/>
          <w:sz w:val="32"/>
          <w:szCs w:val="32"/>
          <w:lang w:val="en-US" w:eastAsia="zh-CN"/>
        </w:rPr>
        <w:t>2021年度</w:t>
      </w:r>
      <w:r>
        <w:rPr>
          <w:rFonts w:hint="eastAsia" w:ascii="仿宋_GB2312" w:hAnsi="Times New Roman" w:eastAsia="仿宋_GB2312" w:cs="Times New Roman"/>
          <w:sz w:val="32"/>
          <w:szCs w:val="32"/>
        </w:rPr>
        <w:t>预算编制阶段，</w:t>
      </w:r>
      <w:r>
        <w:rPr>
          <w:rFonts w:hint="eastAsia" w:ascii="仿宋_GB2312" w:eastAsia="仿宋_GB2312" w:cs="Times New Roman"/>
          <w:sz w:val="32"/>
          <w:szCs w:val="32"/>
          <w:lang w:eastAsia="zh-CN"/>
        </w:rPr>
        <w:t>无项目支出</w:t>
      </w:r>
      <w:r>
        <w:rPr>
          <w:rFonts w:hint="eastAsia" w:ascii="仿宋_GB2312" w:hAnsi="仿宋_GB2312" w:eastAsia="仿宋_GB2312" w:cs="仿宋_GB2312"/>
          <w:sz w:val="32"/>
          <w:szCs w:val="32"/>
        </w:rPr>
        <w:t>（第四部分）。</w:t>
      </w:r>
    </w:p>
    <w:p>
      <w:pPr>
        <w:numPr>
          <w:ilvl w:val="0"/>
          <w:numId w:val="2"/>
        </w:numPr>
        <w:spacing w:line="600" w:lineRule="exact"/>
        <w:ind w:firstLine="640"/>
        <w:outlineLvl w:val="1"/>
        <w:rPr>
          <w:rStyle w:val="25"/>
          <w:rFonts w:hint="eastAsia" w:ascii="黑体" w:hAnsi="黑体" w:eastAsia="黑体"/>
          <w:b w:val="0"/>
          <w:color w:val="auto"/>
          <w:highlight w:val="none"/>
        </w:rPr>
      </w:pPr>
      <w:r>
        <w:rPr>
          <w:rStyle w:val="25"/>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2021年</w:t>
      </w:r>
      <w:r>
        <w:rPr>
          <w:rFonts w:hint="eastAsia" w:ascii="仿宋_GB2312" w:eastAsia="仿宋_GB2312"/>
          <w:color w:val="auto"/>
          <w:sz w:val="32"/>
          <w:szCs w:val="32"/>
          <w:highlight w:val="none"/>
        </w:rPr>
        <w:t>未发生机关运行经费支出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与2020年决算数持平。</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本单位</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本单位</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r>
        <w:rPr>
          <w:rFonts w:hint="eastAsia" w:ascii="仿宋_GB2312" w:eastAsia="仿宋_GB2312"/>
          <w:color w:val="auto"/>
          <w:sz w:val="32"/>
          <w:szCs w:val="32"/>
          <w:highlight w:val="none"/>
          <w:lang w:eastAsia="zh-CN"/>
        </w:rPr>
        <w:t>。</w:t>
      </w:r>
    </w:p>
    <w:p>
      <w:pPr>
        <w:pStyle w:val="2"/>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4"/>
          <w:rFonts w:ascii="黑体" w:hAnsi="黑体" w:eastAsia="黑体"/>
          <w:b w:val="0"/>
          <w:color w:val="auto"/>
          <w:highlight w:val="none"/>
        </w:rPr>
      </w:pPr>
      <w:bookmarkStart w:id="49" w:name="_Toc15396613"/>
      <w:bookmarkStart w:id="50" w:name="_Toc15377225"/>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eastAsia="zh-CN"/>
        </w:rPr>
        <w:t>银行存款利息</w:t>
      </w:r>
      <w:r>
        <w:rPr>
          <w:rFonts w:hint="eastAsia" w:ascii="仿宋_GB2312" w:eastAsia="仿宋_GB2312"/>
          <w:color w:val="auto"/>
          <w:sz w:val="32"/>
          <w:szCs w:val="32"/>
          <w:highlight w:val="none"/>
        </w:rPr>
        <w:t>。</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p>
    <w:p>
      <w:pPr>
        <w:pStyle w:val="22"/>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.社会保障和就业（类）行政事业单位养老支出（款）机关事业单位基本养老保险缴费支出（项）: 反映机关事业单位实施养老保险制度由单位缴纳的基本养老保险费支出。</w:t>
      </w:r>
    </w:p>
    <w:p>
      <w:pPr>
        <w:pStyle w:val="22"/>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.社会保障和就业（类）行政事业单位养老支出（款）机关事业单位职业年金缴费支出（项）：反映机关事业单位实施 养老保险制度由单位实际缴纳的职业年金支出。</w:t>
      </w:r>
    </w:p>
    <w:p>
      <w:pPr>
        <w:pStyle w:val="22"/>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.卫生健康（类）行政事业单位医疗（款）事业单位医疗（项）:指反映财政部门安排的</w:t>
      </w:r>
      <w:r>
        <w:rPr>
          <w:rFonts w:hint="eastAsia" w:ascii="仿宋_GB2312" w:eastAsia="仿宋_GB2312"/>
          <w:color w:val="auto"/>
          <w:sz w:val="32"/>
          <w:szCs w:val="32"/>
          <w:lang w:eastAsia="zh-CN"/>
        </w:rPr>
        <w:t>事业</w:t>
      </w:r>
      <w:r>
        <w:rPr>
          <w:rFonts w:hint="eastAsia" w:ascii="仿宋_GB2312" w:eastAsia="仿宋_GB2312"/>
          <w:color w:val="auto"/>
          <w:sz w:val="32"/>
          <w:szCs w:val="32"/>
        </w:rPr>
        <w:t>单位缴纳</w:t>
      </w:r>
      <w:r>
        <w:rPr>
          <w:rFonts w:hint="eastAsia" w:ascii="仿宋_GB2312" w:eastAsia="仿宋_GB2312"/>
          <w:color w:val="auto"/>
          <w:sz w:val="32"/>
          <w:szCs w:val="32"/>
          <w:lang w:eastAsia="zh-CN"/>
        </w:rPr>
        <w:t>的</w:t>
      </w:r>
      <w:r>
        <w:rPr>
          <w:rFonts w:hint="eastAsia" w:ascii="仿宋_GB2312" w:eastAsia="仿宋_GB2312"/>
          <w:color w:val="auto"/>
          <w:sz w:val="32"/>
          <w:szCs w:val="32"/>
        </w:rPr>
        <w:t>基本医疗经费。</w:t>
      </w:r>
    </w:p>
    <w:p>
      <w:pPr>
        <w:pStyle w:val="22"/>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9.农林水支出（类）林业和草原（款）自然保护区等管理（项）：反映财政部门安排的除国家公园外的自然保护区、风景名胜区、自然遗产、地质公园等自然保护地建设、调查、规划、监测、管护、能力提升、生态补偿、生态保护和修复、科研、宣传及管理等方面的支出。</w:t>
      </w:r>
    </w:p>
    <w:p>
      <w:pPr>
        <w:pStyle w:val="22"/>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10.科学技术支出（类）其他科学技术支出（款）其他科学技术支出（项）：反</w:t>
      </w:r>
      <w:r>
        <w:rPr>
          <w:rFonts w:hint="eastAsia" w:ascii="仿宋_GB2312" w:hAnsi="Times New Roman" w:eastAsia="仿宋_GB2312" w:cs="Times New Roman"/>
          <w:sz w:val="32"/>
          <w:szCs w:val="32"/>
          <w:lang w:val="en-US" w:eastAsia="zh-CN"/>
        </w:rPr>
        <w:t>映财政部门安排的用于科技三区人才方面的支出。</w:t>
      </w:r>
    </w:p>
    <w:p>
      <w:pPr>
        <w:pStyle w:val="22"/>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14</w:t>
      </w:r>
      <w:r>
        <w:rPr>
          <w:rFonts w:hint="eastAsia" w:ascii="仿宋_GB2312" w:eastAsia="仿宋_GB2312"/>
          <w:color w:val="auto"/>
          <w:sz w:val="32"/>
          <w:szCs w:val="32"/>
        </w:rPr>
        <w:t>.住房保障支出（类）住房改革支出（款）住房公积金（项） ：指行政事业单位按人力资源和社会保障部、财政部规定的基本工资和津贴补贴以及规定比例为职工缴纳的住房公积金。</w:t>
      </w:r>
    </w:p>
    <w:p>
      <w:pPr>
        <w:pStyle w:val="22"/>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16</w:t>
      </w:r>
      <w:r>
        <w:rPr>
          <w:rFonts w:hint="eastAsia" w:ascii="仿宋_GB2312" w:eastAsia="仿宋_GB2312"/>
          <w:color w:val="auto"/>
          <w:sz w:val="32"/>
          <w:szCs w:val="32"/>
        </w:rPr>
        <w:t>.基本支出：指为保障机构正常运转、完成日常工作任务而发生的人员支出和公用支出。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18</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4"/>
          <w:rFonts w:ascii="黑体" w:hAnsi="黑体" w:eastAsia="黑体"/>
          <w:b w:val="0"/>
          <w:color w:val="auto"/>
          <w:highlight w:val="none"/>
        </w:rPr>
      </w:pPr>
      <w:bookmarkStart w:id="51" w:name="_Toc15377226"/>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52"/>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2021年无项目支出</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spacing w:line="600" w:lineRule="exact"/>
        <w:jc w:val="center"/>
        <w:outlineLvl w:val="0"/>
        <w:rPr>
          <w:rFonts w:hint="eastAsia" w:ascii="黑体" w:hAnsi="黑体" w:eastAsia="黑体"/>
          <w:color w:val="auto"/>
          <w:sz w:val="44"/>
          <w:szCs w:val="44"/>
          <w:highlight w:val="none"/>
        </w:rPr>
      </w:pPr>
      <w:bookmarkStart w:id="53" w:name="_Toc15396618"/>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51"/>
      <w:bookmarkEnd w:id="53"/>
      <w:bookmarkStart w:id="54" w:name="_Toc15396619"/>
    </w:p>
    <w:p>
      <w:pPr>
        <w:pStyle w:val="4"/>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一、收入支出决算总表</w:t>
      </w:r>
      <w:bookmarkEnd w:id="54"/>
    </w:p>
    <w:p>
      <w:pPr>
        <w:pStyle w:val="4"/>
        <w:rPr>
          <w:rFonts w:hint="eastAsia" w:ascii="仿宋_GB2312" w:hAnsi="Times New Roman" w:eastAsia="仿宋_GB2312" w:cs="Times New Roman"/>
          <w:b w:val="0"/>
          <w:bCs w:val="0"/>
          <w:kern w:val="2"/>
          <w:sz w:val="32"/>
          <w:szCs w:val="32"/>
          <w:lang w:val="en-US" w:eastAsia="zh-CN" w:bidi="ar-SA"/>
        </w:rPr>
      </w:pPr>
      <w:bookmarkStart w:id="55" w:name="_Toc15396620"/>
      <w:r>
        <w:rPr>
          <w:rFonts w:hint="eastAsia" w:ascii="仿宋_GB2312" w:hAnsi="Times New Roman" w:eastAsia="仿宋_GB2312" w:cs="Times New Roman"/>
          <w:b w:val="0"/>
          <w:bCs w:val="0"/>
          <w:kern w:val="2"/>
          <w:sz w:val="32"/>
          <w:szCs w:val="32"/>
          <w:lang w:val="en-US" w:eastAsia="zh-CN" w:bidi="ar-SA"/>
        </w:rPr>
        <w:t>二、收入决算表</w:t>
      </w:r>
      <w:bookmarkEnd w:id="55"/>
    </w:p>
    <w:p>
      <w:pPr>
        <w:pStyle w:val="4"/>
        <w:rPr>
          <w:rFonts w:hint="eastAsia" w:ascii="仿宋_GB2312" w:hAnsi="Times New Roman" w:eastAsia="仿宋_GB2312" w:cs="Times New Roman"/>
          <w:b w:val="0"/>
          <w:bCs w:val="0"/>
          <w:kern w:val="2"/>
          <w:sz w:val="32"/>
          <w:szCs w:val="32"/>
          <w:lang w:val="en-US" w:eastAsia="zh-CN" w:bidi="ar-SA"/>
        </w:rPr>
      </w:pPr>
      <w:bookmarkStart w:id="56" w:name="_Toc15396621"/>
      <w:r>
        <w:rPr>
          <w:rFonts w:hint="eastAsia" w:ascii="仿宋_GB2312" w:hAnsi="Times New Roman" w:eastAsia="仿宋_GB2312" w:cs="Times New Roman"/>
          <w:b w:val="0"/>
          <w:bCs w:val="0"/>
          <w:kern w:val="2"/>
          <w:sz w:val="32"/>
          <w:szCs w:val="32"/>
          <w:lang w:val="en-US" w:eastAsia="zh-CN" w:bidi="ar-SA"/>
        </w:rPr>
        <w:t>三、支出决算表</w:t>
      </w:r>
      <w:bookmarkEnd w:id="56"/>
    </w:p>
    <w:p>
      <w:pPr>
        <w:pStyle w:val="4"/>
        <w:rPr>
          <w:rFonts w:hint="eastAsia" w:ascii="仿宋_GB2312" w:hAnsi="Times New Roman" w:eastAsia="仿宋_GB2312" w:cs="Times New Roman"/>
          <w:b w:val="0"/>
          <w:bCs w:val="0"/>
          <w:kern w:val="2"/>
          <w:sz w:val="32"/>
          <w:szCs w:val="32"/>
          <w:lang w:val="en-US" w:eastAsia="zh-CN" w:bidi="ar-SA"/>
        </w:rPr>
      </w:pPr>
      <w:bookmarkStart w:id="57" w:name="_Toc15396622"/>
      <w:r>
        <w:rPr>
          <w:rFonts w:hint="eastAsia" w:ascii="仿宋_GB2312" w:hAnsi="Times New Roman" w:eastAsia="仿宋_GB2312" w:cs="Times New Roman"/>
          <w:b w:val="0"/>
          <w:bCs w:val="0"/>
          <w:kern w:val="2"/>
          <w:sz w:val="32"/>
          <w:szCs w:val="32"/>
          <w:lang w:val="en-US" w:eastAsia="zh-CN" w:bidi="ar-SA"/>
        </w:rPr>
        <w:t>四、财政拨款收入支出决算总表</w:t>
      </w:r>
      <w:bookmarkEnd w:id="57"/>
    </w:p>
    <w:p>
      <w:pPr>
        <w:pStyle w:val="4"/>
        <w:rPr>
          <w:rFonts w:hint="eastAsia" w:ascii="仿宋_GB2312" w:hAnsi="Times New Roman" w:eastAsia="仿宋_GB2312" w:cs="Times New Roman"/>
          <w:b w:val="0"/>
          <w:bCs w:val="0"/>
          <w:kern w:val="2"/>
          <w:sz w:val="32"/>
          <w:szCs w:val="32"/>
          <w:lang w:val="en-US" w:eastAsia="zh-CN" w:bidi="ar-SA"/>
        </w:rPr>
      </w:pPr>
      <w:bookmarkStart w:id="58" w:name="_Toc15396623"/>
      <w:r>
        <w:rPr>
          <w:rFonts w:hint="eastAsia" w:ascii="仿宋_GB2312" w:hAnsi="Times New Roman" w:eastAsia="仿宋_GB2312" w:cs="Times New Roman"/>
          <w:b w:val="0"/>
          <w:bCs w:val="0"/>
          <w:kern w:val="2"/>
          <w:sz w:val="32"/>
          <w:szCs w:val="32"/>
          <w:lang w:val="en-US" w:eastAsia="zh-CN" w:bidi="ar-SA"/>
        </w:rPr>
        <w:t>五、财政拨款支出决算明细表</w:t>
      </w:r>
      <w:bookmarkEnd w:id="58"/>
      <w:bookmarkStart w:id="59" w:name="_Toc15396624"/>
    </w:p>
    <w:p>
      <w:pPr>
        <w:pStyle w:val="4"/>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六、一般公共预算财政拨款支出决算表</w:t>
      </w:r>
      <w:bookmarkEnd w:id="59"/>
    </w:p>
    <w:p>
      <w:pPr>
        <w:pStyle w:val="4"/>
        <w:rPr>
          <w:rFonts w:hint="eastAsia" w:ascii="仿宋_GB2312" w:hAnsi="Times New Roman" w:eastAsia="仿宋_GB2312" w:cs="Times New Roman"/>
          <w:b w:val="0"/>
          <w:bCs w:val="0"/>
          <w:kern w:val="2"/>
          <w:sz w:val="32"/>
          <w:szCs w:val="32"/>
          <w:lang w:val="en-US" w:eastAsia="zh-CN" w:bidi="ar-SA"/>
        </w:rPr>
      </w:pPr>
      <w:bookmarkStart w:id="60" w:name="_Toc15396625"/>
      <w:r>
        <w:rPr>
          <w:rFonts w:hint="eastAsia" w:ascii="仿宋_GB2312" w:hAnsi="Times New Roman" w:eastAsia="仿宋_GB2312" w:cs="Times New Roman"/>
          <w:b w:val="0"/>
          <w:bCs w:val="0"/>
          <w:kern w:val="2"/>
          <w:sz w:val="32"/>
          <w:szCs w:val="32"/>
          <w:lang w:val="en-US" w:eastAsia="zh-CN" w:bidi="ar-SA"/>
        </w:rPr>
        <w:t>七、一般公共预算财政拨款支出决算明细表</w:t>
      </w:r>
      <w:bookmarkEnd w:id="60"/>
    </w:p>
    <w:p>
      <w:pPr>
        <w:pStyle w:val="4"/>
        <w:rPr>
          <w:rFonts w:hint="eastAsia" w:ascii="仿宋_GB2312" w:hAnsi="Times New Roman" w:eastAsia="仿宋_GB2312" w:cs="Times New Roman"/>
          <w:b w:val="0"/>
          <w:bCs w:val="0"/>
          <w:kern w:val="2"/>
          <w:sz w:val="32"/>
          <w:szCs w:val="32"/>
          <w:lang w:val="en-US" w:eastAsia="zh-CN" w:bidi="ar-SA"/>
        </w:rPr>
      </w:pPr>
      <w:bookmarkStart w:id="61" w:name="_Toc15396626"/>
      <w:r>
        <w:rPr>
          <w:rFonts w:hint="eastAsia" w:ascii="仿宋_GB2312" w:hAnsi="Times New Roman" w:eastAsia="仿宋_GB2312" w:cs="Times New Roman"/>
          <w:b w:val="0"/>
          <w:bCs w:val="0"/>
          <w:kern w:val="2"/>
          <w:sz w:val="32"/>
          <w:szCs w:val="32"/>
          <w:lang w:val="en-US" w:eastAsia="zh-CN" w:bidi="ar-SA"/>
        </w:rPr>
        <w:t>八、一般公共预算财政拨款基本支出决算表</w:t>
      </w:r>
      <w:bookmarkEnd w:id="61"/>
    </w:p>
    <w:p>
      <w:pPr>
        <w:pStyle w:val="4"/>
        <w:rPr>
          <w:rFonts w:hint="eastAsia" w:ascii="仿宋_GB2312" w:hAnsi="Times New Roman" w:eastAsia="仿宋_GB2312" w:cs="Times New Roman"/>
          <w:b w:val="0"/>
          <w:bCs w:val="0"/>
          <w:kern w:val="2"/>
          <w:sz w:val="32"/>
          <w:szCs w:val="32"/>
          <w:lang w:val="en-US" w:eastAsia="zh-CN" w:bidi="ar-SA"/>
        </w:rPr>
      </w:pPr>
      <w:bookmarkStart w:id="62" w:name="_Toc15396627"/>
      <w:r>
        <w:rPr>
          <w:rFonts w:hint="eastAsia" w:ascii="仿宋_GB2312" w:hAnsi="Times New Roman" w:eastAsia="仿宋_GB2312" w:cs="Times New Roman"/>
          <w:b w:val="0"/>
          <w:bCs w:val="0"/>
          <w:kern w:val="2"/>
          <w:sz w:val="32"/>
          <w:szCs w:val="32"/>
          <w:lang w:val="en-US" w:eastAsia="zh-CN" w:bidi="ar-SA"/>
        </w:rPr>
        <w:t>九、一般公共预算财政拨款项目支出决算表</w:t>
      </w:r>
      <w:bookmarkEnd w:id="62"/>
    </w:p>
    <w:p>
      <w:pPr>
        <w:pStyle w:val="4"/>
        <w:rPr>
          <w:rFonts w:hint="eastAsia" w:ascii="仿宋_GB2312" w:hAnsi="Times New Roman" w:eastAsia="仿宋_GB2312" w:cs="Times New Roman"/>
          <w:b w:val="0"/>
          <w:bCs w:val="0"/>
          <w:kern w:val="2"/>
          <w:sz w:val="32"/>
          <w:szCs w:val="32"/>
          <w:lang w:val="en-US" w:eastAsia="zh-CN" w:bidi="ar-SA"/>
        </w:rPr>
      </w:pPr>
      <w:bookmarkStart w:id="63" w:name="_Toc15396628"/>
      <w:r>
        <w:rPr>
          <w:rFonts w:hint="eastAsia" w:ascii="仿宋_GB2312" w:hAnsi="Times New Roman" w:eastAsia="仿宋_GB2312" w:cs="Times New Roman"/>
          <w:b w:val="0"/>
          <w:bCs w:val="0"/>
          <w:kern w:val="2"/>
          <w:sz w:val="32"/>
          <w:szCs w:val="32"/>
          <w:lang w:val="en-US" w:eastAsia="zh-CN" w:bidi="ar-SA"/>
        </w:rPr>
        <w:t>十、一般公共预算财政拨款“三公”经费支出决算表</w:t>
      </w:r>
      <w:bookmarkEnd w:id="63"/>
    </w:p>
    <w:p>
      <w:pPr>
        <w:pStyle w:val="4"/>
        <w:rPr>
          <w:rFonts w:hint="eastAsia" w:ascii="仿宋_GB2312" w:hAnsi="Times New Roman" w:eastAsia="仿宋_GB2312" w:cs="Times New Roman"/>
          <w:b w:val="0"/>
          <w:bCs w:val="0"/>
          <w:kern w:val="2"/>
          <w:sz w:val="32"/>
          <w:szCs w:val="32"/>
          <w:lang w:val="en-US" w:eastAsia="zh-CN" w:bidi="ar-SA"/>
        </w:rPr>
      </w:pPr>
      <w:bookmarkStart w:id="64" w:name="_Toc15396629"/>
      <w:r>
        <w:rPr>
          <w:rFonts w:hint="eastAsia" w:ascii="仿宋_GB2312" w:hAnsi="Times New Roman" w:eastAsia="仿宋_GB2312" w:cs="Times New Roman"/>
          <w:b w:val="0"/>
          <w:bCs w:val="0"/>
          <w:kern w:val="2"/>
          <w:sz w:val="32"/>
          <w:szCs w:val="32"/>
          <w:lang w:val="en-US" w:eastAsia="zh-CN" w:bidi="ar-SA"/>
        </w:rPr>
        <w:t>十一、政府性基金预算财政拨款收入支出决算表</w:t>
      </w:r>
      <w:bookmarkEnd w:id="64"/>
    </w:p>
    <w:p>
      <w:pPr>
        <w:pStyle w:val="4"/>
        <w:rPr>
          <w:rFonts w:hint="eastAsia" w:ascii="仿宋_GB2312" w:hAnsi="Times New Roman" w:eastAsia="仿宋_GB2312" w:cs="Times New Roman"/>
          <w:b w:val="0"/>
          <w:bCs w:val="0"/>
          <w:kern w:val="2"/>
          <w:sz w:val="32"/>
          <w:szCs w:val="32"/>
          <w:lang w:val="en-US" w:eastAsia="zh-CN" w:bidi="ar-SA"/>
        </w:rPr>
      </w:pPr>
      <w:bookmarkStart w:id="65" w:name="_Toc15396630"/>
      <w:r>
        <w:rPr>
          <w:rFonts w:hint="eastAsia" w:ascii="仿宋_GB2312" w:hAnsi="Times New Roman" w:eastAsia="仿宋_GB2312" w:cs="Times New Roman"/>
          <w:b w:val="0"/>
          <w:bCs w:val="0"/>
          <w:kern w:val="2"/>
          <w:sz w:val="32"/>
          <w:szCs w:val="32"/>
          <w:lang w:val="en-US" w:eastAsia="zh-CN" w:bidi="ar-SA"/>
        </w:rPr>
        <w:t>十二、政府性基金预算财政拨款“三公”经费支出决算表</w:t>
      </w:r>
      <w:bookmarkEnd w:id="65"/>
    </w:p>
    <w:p>
      <w:pPr>
        <w:pStyle w:val="4"/>
        <w:rPr>
          <w:rFonts w:hint="eastAsia" w:ascii="仿宋_GB2312" w:hAnsi="Times New Roman" w:eastAsia="仿宋_GB2312" w:cs="Times New Roman"/>
          <w:b w:val="0"/>
          <w:bCs w:val="0"/>
          <w:kern w:val="2"/>
          <w:sz w:val="32"/>
          <w:szCs w:val="32"/>
          <w:lang w:val="en-US" w:eastAsia="zh-CN" w:bidi="ar-SA"/>
        </w:rPr>
      </w:pPr>
      <w:bookmarkStart w:id="66" w:name="_Toc15396631"/>
      <w:r>
        <w:rPr>
          <w:rFonts w:hint="eastAsia" w:ascii="仿宋_GB2312" w:hAnsi="Times New Roman" w:eastAsia="仿宋_GB2312" w:cs="Times New Roman"/>
          <w:b w:val="0"/>
          <w:bCs w:val="0"/>
          <w:kern w:val="2"/>
          <w:sz w:val="32"/>
          <w:szCs w:val="32"/>
          <w:lang w:val="en-US" w:eastAsia="zh-CN" w:bidi="ar-SA"/>
        </w:rPr>
        <w:t>十三、国有资本经营预算财政拨款收入支出决算表</w:t>
      </w:r>
      <w:bookmarkEnd w:id="66"/>
    </w:p>
    <w:p>
      <w:pPr>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十四、国有资本经营预算财政拨款支出决算表</w:t>
      </w:r>
    </w:p>
    <w:sectPr>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YjNlMmI2ZjlkZDI3YmRkNWFlOWViODI5MzhhY2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484D82"/>
    <w:rsid w:val="02854B7E"/>
    <w:rsid w:val="084A7C05"/>
    <w:rsid w:val="0A2032A3"/>
    <w:rsid w:val="0B091616"/>
    <w:rsid w:val="0B8A37D8"/>
    <w:rsid w:val="0C493EC4"/>
    <w:rsid w:val="0C520B57"/>
    <w:rsid w:val="0C6B22C4"/>
    <w:rsid w:val="0CDB6217"/>
    <w:rsid w:val="0DC10B0E"/>
    <w:rsid w:val="0EB116AF"/>
    <w:rsid w:val="0F7F2499"/>
    <w:rsid w:val="0F9410D0"/>
    <w:rsid w:val="0FBC4614"/>
    <w:rsid w:val="103850C0"/>
    <w:rsid w:val="10C055FF"/>
    <w:rsid w:val="10E921AB"/>
    <w:rsid w:val="116D43DB"/>
    <w:rsid w:val="118107EC"/>
    <w:rsid w:val="11DD6519"/>
    <w:rsid w:val="1208660B"/>
    <w:rsid w:val="12273114"/>
    <w:rsid w:val="16BB723D"/>
    <w:rsid w:val="18015F3F"/>
    <w:rsid w:val="191A7E01"/>
    <w:rsid w:val="1B8712BD"/>
    <w:rsid w:val="1BE8440E"/>
    <w:rsid w:val="1C722DB4"/>
    <w:rsid w:val="1D155CEE"/>
    <w:rsid w:val="1F2A4FE5"/>
    <w:rsid w:val="20F57F95"/>
    <w:rsid w:val="240371BF"/>
    <w:rsid w:val="24D34A1C"/>
    <w:rsid w:val="25C741E6"/>
    <w:rsid w:val="273C6B74"/>
    <w:rsid w:val="27842671"/>
    <w:rsid w:val="29FD04D3"/>
    <w:rsid w:val="2A79331A"/>
    <w:rsid w:val="2ABE7A3E"/>
    <w:rsid w:val="2EFA178C"/>
    <w:rsid w:val="2F1F50C4"/>
    <w:rsid w:val="2FA95623"/>
    <w:rsid w:val="30B46D73"/>
    <w:rsid w:val="31143450"/>
    <w:rsid w:val="319F7F4E"/>
    <w:rsid w:val="32231D60"/>
    <w:rsid w:val="38D43F68"/>
    <w:rsid w:val="39AE70AB"/>
    <w:rsid w:val="3A931C98"/>
    <w:rsid w:val="3C0C0783"/>
    <w:rsid w:val="3CCB31D9"/>
    <w:rsid w:val="3F0F3777"/>
    <w:rsid w:val="3F795B0E"/>
    <w:rsid w:val="3F9F3A96"/>
    <w:rsid w:val="40350D30"/>
    <w:rsid w:val="407A14A6"/>
    <w:rsid w:val="41623416"/>
    <w:rsid w:val="41A076B6"/>
    <w:rsid w:val="435F2D29"/>
    <w:rsid w:val="44803F3F"/>
    <w:rsid w:val="44F93BCA"/>
    <w:rsid w:val="46E97CFF"/>
    <w:rsid w:val="48BF7BC9"/>
    <w:rsid w:val="493C27E9"/>
    <w:rsid w:val="496F39ED"/>
    <w:rsid w:val="49FF41D3"/>
    <w:rsid w:val="4A185DC8"/>
    <w:rsid w:val="4AAF7F64"/>
    <w:rsid w:val="4BE068DB"/>
    <w:rsid w:val="4BF6002B"/>
    <w:rsid w:val="4ECE2238"/>
    <w:rsid w:val="4F8E4746"/>
    <w:rsid w:val="51A80229"/>
    <w:rsid w:val="51DB4B86"/>
    <w:rsid w:val="530D65F3"/>
    <w:rsid w:val="55333C3E"/>
    <w:rsid w:val="558D3FDC"/>
    <w:rsid w:val="56A773E5"/>
    <w:rsid w:val="573D21A3"/>
    <w:rsid w:val="576A1643"/>
    <w:rsid w:val="5A0026FD"/>
    <w:rsid w:val="5D8B7EE2"/>
    <w:rsid w:val="5F9D02C3"/>
    <w:rsid w:val="64A07FEB"/>
    <w:rsid w:val="64CA39A1"/>
    <w:rsid w:val="69EA70E3"/>
    <w:rsid w:val="6C4A05C8"/>
    <w:rsid w:val="6C930530"/>
    <w:rsid w:val="6CD75D99"/>
    <w:rsid w:val="72734D90"/>
    <w:rsid w:val="737778B9"/>
    <w:rsid w:val="75850475"/>
    <w:rsid w:val="76BF0F6E"/>
    <w:rsid w:val="79791B69"/>
    <w:rsid w:val="79E7B28D"/>
    <w:rsid w:val="7B737023"/>
    <w:rsid w:val="7C775BAB"/>
    <w:rsid w:val="7DDD2FD5"/>
    <w:rsid w:val="7EC0373E"/>
    <w:rsid w:val="7F103F43"/>
    <w:rsid w:val="7F9F20EE"/>
    <w:rsid w:val="9E3A10E2"/>
    <w:rsid w:val="F2E1F9D4"/>
    <w:rsid w:val="F7880819"/>
    <w:rsid w:val="FFEFAB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27"/>
          <c:y val="0.0881666666666667"/>
          <c:w val="0.927925"/>
          <c:h val="0.716566666666667"/>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2020年收支（万元）</c:v>
                </c:pt>
                <c:pt idx="1">
                  <c:v>2021年收支（万元）</c:v>
                </c:pt>
              </c:strCache>
            </c:strRef>
          </c:cat>
          <c:val>
            <c:numRef>
              <c:f>Sheet1!$B$2:$B$3</c:f>
              <c:numCache>
                <c:formatCode>General</c:formatCode>
                <c:ptCount val="2"/>
                <c:pt idx="0">
                  <c:v>128.6</c:v>
                </c:pt>
                <c:pt idx="1">
                  <c:v>154.36</c:v>
                </c:pt>
              </c:numCache>
            </c:numRef>
          </c:val>
        </c:ser>
        <c:dLbls>
          <c:showLegendKey val="0"/>
          <c:showVal val="0"/>
          <c:showCatName val="0"/>
          <c:showSerName val="0"/>
          <c:showPercent val="0"/>
          <c:showBubbleSize val="0"/>
        </c:dLbls>
        <c:gapWidth val="219"/>
        <c:overlap val="-27"/>
        <c:axId val="455060284"/>
        <c:axId val="892470821"/>
      </c:barChart>
      <c:catAx>
        <c:axId val="4550602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2470821"/>
        <c:crosses val="autoZero"/>
        <c:auto val="1"/>
        <c:lblAlgn val="ctr"/>
        <c:lblOffset val="100"/>
        <c:noMultiLvlLbl val="0"/>
      </c:catAx>
      <c:valAx>
        <c:axId val="89247082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50602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406040597080924"/>
                  <c:y val="-0.0782738027842186"/>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84875"/>
                      <c:h val="0.0525"/>
                    </c:manualLayout>
                  </c15:layout>
                </c:ext>
              </c:extLst>
            </c:dLbl>
            <c:dLbl>
              <c:idx val="1"/>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0.00%</c:formatCode>
                <c:ptCount val="2"/>
                <c:pt idx="0">
                  <c:v>0.99993</c:v>
                </c:pt>
                <c:pt idx="1">
                  <c:v>0.0001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基本支出</c:v>
                </c:pt>
              </c:strCache>
            </c:strRef>
          </c:cat>
          <c:val>
            <c:numRef>
              <c:f>Sheet1!$B$2</c:f>
              <c:numCache>
                <c:formatCode>0%</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128.05</c:v>
                </c:pt>
                <c:pt idx="1">
                  <c:v>154.35</c:v>
                </c:pt>
              </c:numCache>
            </c:numRef>
          </c:val>
        </c:ser>
        <c:dLbls>
          <c:showLegendKey val="0"/>
          <c:showVal val="1"/>
          <c:showCatName val="0"/>
          <c:showSerName val="0"/>
          <c:showPercent val="0"/>
          <c:showBubbleSize val="0"/>
        </c:dLbls>
        <c:gapWidth val="219"/>
        <c:overlap val="-27"/>
        <c:axId val="26318388"/>
        <c:axId val="31163532"/>
      </c:barChart>
      <c:catAx>
        <c:axId val="263183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163532"/>
        <c:crosses val="autoZero"/>
        <c:auto val="1"/>
        <c:lblAlgn val="ctr"/>
        <c:lblOffset val="100"/>
        <c:noMultiLvlLbl val="0"/>
      </c:catAx>
      <c:valAx>
        <c:axId val="311635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183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2020年（万元）</c:v>
                </c:pt>
                <c:pt idx="1">
                  <c:v>2021年（万元）</c:v>
                </c:pt>
              </c:strCache>
            </c:strRef>
          </c:cat>
          <c:val>
            <c:numRef>
              <c:f>Sheet1!$B$2:$B$3</c:f>
              <c:numCache>
                <c:formatCode>General</c:formatCode>
                <c:ptCount val="2"/>
                <c:pt idx="0">
                  <c:v>119.01</c:v>
                </c:pt>
                <c:pt idx="1">
                  <c:v>152.35</c:v>
                </c:pt>
              </c:numCache>
            </c:numRef>
          </c:val>
        </c:ser>
        <c:dLbls>
          <c:showLegendKey val="0"/>
          <c:showVal val="1"/>
          <c:showCatName val="0"/>
          <c:showSerName val="0"/>
          <c:showPercent val="0"/>
          <c:showBubbleSize val="0"/>
        </c:dLbls>
        <c:gapWidth val="219"/>
        <c:overlap val="-27"/>
        <c:axId val="369478028"/>
        <c:axId val="414629306"/>
      </c:barChart>
      <c:catAx>
        <c:axId val="3694780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4629306"/>
        <c:crosses val="autoZero"/>
        <c:auto val="1"/>
        <c:lblAlgn val="ctr"/>
        <c:lblOffset val="100"/>
        <c:noMultiLvlLbl val="0"/>
      </c:catAx>
      <c:valAx>
        <c:axId val="41462930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94780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675"/>
          <c:y val="0.125"/>
          <c:w val="0.57025"/>
          <c:h val="0.760333333333333"/>
        </c:manualLayout>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社会保障和就业（类）支出</c:v>
                </c:pt>
                <c:pt idx="1">
                  <c:v>卫生健康支出</c:v>
                </c:pt>
                <c:pt idx="2">
                  <c:v>住房保障支出</c:v>
                </c:pt>
                <c:pt idx="3">
                  <c:v>农林水支出</c:v>
                </c:pt>
              </c:strCache>
            </c:strRef>
          </c:cat>
          <c:val>
            <c:numRef>
              <c:f>Sheet1!$B$2:$B$5</c:f>
              <c:numCache>
                <c:formatCode>0.00%</c:formatCode>
                <c:ptCount val="4"/>
                <c:pt idx="0">
                  <c:v>0.0896</c:v>
                </c:pt>
                <c:pt idx="1">
                  <c:v>0.036</c:v>
                </c:pt>
                <c:pt idx="2">
                  <c:v>0.0945</c:v>
                </c:pt>
                <c:pt idx="3">
                  <c:v>0.7799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047244094488189"/>
          <c:y val="0.84308903098868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0%</c:formatCode>
                <c:ptCount val="3"/>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24</TotalTime>
  <ScaleCrop>false</ScaleCrop>
  <LinksUpToDate>false</LinksUpToDate>
  <CharactersWithSpaces>8692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丫丫</cp:lastModifiedBy>
  <cp:lastPrinted>2022-08-06T10:23:00Z</cp:lastPrinted>
  <dcterms:modified xsi:type="dcterms:W3CDTF">2023-09-13T01:38:33Z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18C4299B72334D3095585539B3212D20</vt:lpwstr>
  </property>
</Properties>
</file>