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9256"/>
      <w:bookmarkStart w:id="3" w:name="_Toc15396475"/>
      <w:bookmarkStart w:id="4" w:name="_Toc15378441"/>
      <w:bookmarkStart w:id="5" w:name="_Toc15377193"/>
      <w:bookmarkStart w:id="6"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96476"/>
      <w:bookmarkStart w:id="9" w:name="_Toc15396598"/>
      <w:bookmarkStart w:id="10" w:name="_Toc15377194"/>
      <w:bookmarkStart w:id="11" w:name="_Toc15378442"/>
      <w:bookmarkStart w:id="12" w:name="_Toc28828"/>
      <w:r>
        <w:rPr>
          <w:rFonts w:hint="eastAsia" w:ascii="方正小标宋简体" w:hAnsi="方正小标宋简体" w:eastAsia="方正小标宋简体" w:cs="方正小标宋简体"/>
          <w:sz w:val="72"/>
          <w:szCs w:val="72"/>
        </w:rPr>
        <w:t>广元市</w:t>
      </w:r>
      <w:bookmarkEnd w:id="0"/>
      <w:bookmarkStart w:id="13" w:name="_Toc15306268"/>
      <w:r>
        <w:rPr>
          <w:rFonts w:hint="eastAsia" w:ascii="方正小标宋简体" w:hAnsi="方正小标宋简体" w:eastAsia="方正小标宋简体" w:cs="方正小标宋简体"/>
          <w:sz w:val="72"/>
          <w:szCs w:val="72"/>
        </w:rPr>
        <w:t>测绘地理信息中心</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3"/>
      <w:r>
        <w:rPr>
          <w:rFonts w:hint="eastAsia" w:ascii="方正小标宋简体" w:hAnsi="方正小标宋简体" w:eastAsia="方正小标宋简体" w:cs="方正小标宋简体"/>
          <w:sz w:val="72"/>
          <w:szCs w:val="72"/>
        </w:rPr>
        <w:t>公开</w:t>
      </w:r>
      <w:bookmarkEnd w:id="12"/>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公开时间：2022年9月30日</w:t>
      </w:r>
    </w:p>
    <w:sdt>
      <w:sdtPr>
        <w:rPr>
          <w:rFonts w:ascii="宋体" w:hAnsi="宋体" w:eastAsia="宋体" w:cs="Times New Roman"/>
          <w:kern w:val="2"/>
          <w:sz w:val="30"/>
          <w:szCs w:val="30"/>
          <w:lang w:val="en-US" w:eastAsia="zh-CN" w:bidi="ar-SA"/>
        </w:rPr>
        <w:id w:val="147472259"/>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Lines="0" w:afterLines="0" w:line="560" w:lineRule="exact"/>
            <w:jc w:val="center"/>
            <w:rPr>
              <w:b/>
              <w:sz w:val="30"/>
              <w:szCs w:val="30"/>
            </w:rPr>
          </w:pPr>
          <w:r>
            <w:rPr>
              <w:sz w:val="30"/>
              <w:szCs w:val="30"/>
            </w:rPr>
            <w:fldChar w:fldCharType="begin"/>
          </w:r>
          <w:r>
            <w:rPr>
              <w:sz w:val="30"/>
              <w:szCs w:val="30"/>
            </w:rPr>
            <w:instrText xml:space="preserve">TOC \o "1-2" \h \u </w:instrText>
          </w:r>
          <w:r>
            <w:rPr>
              <w:sz w:val="30"/>
              <w:szCs w:val="30"/>
            </w:rPr>
            <w:fldChar w:fldCharType="separate"/>
          </w:r>
        </w:p>
        <w:p>
          <w:pPr>
            <w:pStyle w:val="31"/>
            <w:tabs>
              <w:tab w:val="right" w:leader="dot" w:pos="8845"/>
            </w:tabs>
            <w:spacing w:line="560" w:lineRule="exact"/>
            <w:rPr>
              <w:b/>
              <w:sz w:val="30"/>
              <w:szCs w:val="30"/>
            </w:rPr>
          </w:pPr>
          <w:r>
            <w:rPr>
              <w:b/>
              <w:sz w:val="30"/>
              <w:szCs w:val="30"/>
            </w:rPr>
            <w:fldChar w:fldCharType="begin"/>
          </w:r>
          <w:r>
            <w:rPr>
              <w:b/>
              <w:sz w:val="30"/>
              <w:szCs w:val="30"/>
            </w:rPr>
            <w:instrText xml:space="preserve"> HYPERLINK \l _Toc24852 </w:instrText>
          </w:r>
          <w:r>
            <w:rPr>
              <w:b/>
              <w:sz w:val="30"/>
              <w:szCs w:val="30"/>
            </w:rPr>
            <w:fldChar w:fldCharType="separate"/>
          </w:r>
          <w:r>
            <w:rPr>
              <w:rFonts w:hint="eastAsia" w:ascii="黑体" w:hAnsi="黑体" w:eastAsia="黑体"/>
              <w:b/>
              <w:sz w:val="30"/>
              <w:szCs w:val="30"/>
            </w:rPr>
            <w:t>第一部分</w:t>
          </w:r>
          <w:r>
            <w:rPr>
              <w:rFonts w:hint="eastAsia" w:ascii="黑体" w:hAnsi="黑体" w:eastAsia="黑体"/>
              <w:b/>
              <w:bCs w:val="0"/>
              <w:sz w:val="30"/>
              <w:szCs w:val="30"/>
            </w:rPr>
            <w:t>部门概况</w:t>
          </w:r>
          <w:r>
            <w:rPr>
              <w:b/>
              <w:sz w:val="30"/>
              <w:szCs w:val="30"/>
            </w:rPr>
            <w:tab/>
          </w:r>
          <w:r>
            <w:rPr>
              <w:b/>
              <w:sz w:val="30"/>
              <w:szCs w:val="30"/>
            </w:rPr>
            <w:fldChar w:fldCharType="begin"/>
          </w:r>
          <w:r>
            <w:rPr>
              <w:b/>
              <w:sz w:val="30"/>
              <w:szCs w:val="30"/>
            </w:rPr>
            <w:instrText xml:space="preserve"> PAGEREF _Toc24852 \h </w:instrText>
          </w:r>
          <w:r>
            <w:rPr>
              <w:b/>
              <w:sz w:val="30"/>
              <w:szCs w:val="30"/>
            </w:rPr>
            <w:fldChar w:fldCharType="separate"/>
          </w:r>
          <w:r>
            <w:rPr>
              <w:b/>
              <w:sz w:val="30"/>
              <w:szCs w:val="30"/>
            </w:rPr>
            <w:t>1</w:t>
          </w:r>
          <w:r>
            <w:rPr>
              <w:b/>
              <w:sz w:val="30"/>
              <w:szCs w:val="30"/>
            </w:rPr>
            <w:fldChar w:fldCharType="end"/>
          </w:r>
          <w:r>
            <w:rPr>
              <w:b/>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_Toc19427 </w:instrText>
          </w:r>
          <w:r>
            <w:rPr>
              <w:sz w:val="30"/>
              <w:szCs w:val="30"/>
            </w:rPr>
            <w:fldChar w:fldCharType="separate"/>
          </w:r>
          <w:r>
            <w:rPr>
              <w:rFonts w:hint="eastAsia" w:ascii="黑体" w:hAnsi="黑体" w:eastAsia="黑体"/>
              <w:sz w:val="30"/>
              <w:szCs w:val="30"/>
            </w:rPr>
            <w:t>一、基</w:t>
          </w:r>
          <w:r>
            <w:rPr>
              <w:rFonts w:hint="eastAsia" w:ascii="黑体" w:hAnsi="黑体" w:eastAsia="黑体"/>
              <w:bCs w:val="0"/>
              <w:sz w:val="30"/>
              <w:szCs w:val="30"/>
            </w:rPr>
            <w:t>本职能及主要工作</w:t>
          </w:r>
          <w:r>
            <w:rPr>
              <w:sz w:val="30"/>
              <w:szCs w:val="30"/>
            </w:rPr>
            <w:tab/>
          </w:r>
          <w:r>
            <w:rPr>
              <w:sz w:val="30"/>
              <w:szCs w:val="30"/>
            </w:rPr>
            <w:fldChar w:fldCharType="begin"/>
          </w:r>
          <w:r>
            <w:rPr>
              <w:sz w:val="30"/>
              <w:szCs w:val="30"/>
            </w:rPr>
            <w:instrText xml:space="preserve"> PAGEREF _Toc19427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31"/>
            <w:tabs>
              <w:tab w:val="right" w:leader="dot" w:pos="8845"/>
            </w:tabs>
            <w:spacing w:line="560" w:lineRule="exact"/>
            <w:rPr>
              <w:b/>
              <w:sz w:val="30"/>
              <w:szCs w:val="30"/>
            </w:rPr>
          </w:pPr>
          <w:r>
            <w:rPr>
              <w:b/>
              <w:sz w:val="30"/>
              <w:szCs w:val="30"/>
            </w:rPr>
            <w:fldChar w:fldCharType="begin"/>
          </w:r>
          <w:r>
            <w:rPr>
              <w:b/>
              <w:sz w:val="30"/>
              <w:szCs w:val="30"/>
            </w:rPr>
            <w:instrText xml:space="preserve"> HYPERLINK \l _Toc24006 </w:instrText>
          </w:r>
          <w:r>
            <w:rPr>
              <w:b/>
              <w:sz w:val="30"/>
              <w:szCs w:val="30"/>
            </w:rPr>
            <w:fldChar w:fldCharType="separate"/>
          </w:r>
          <w:r>
            <w:rPr>
              <w:rFonts w:hint="eastAsia" w:ascii="黑体" w:hAnsi="黑体" w:eastAsia="黑体"/>
              <w:b/>
              <w:sz w:val="30"/>
              <w:szCs w:val="30"/>
            </w:rPr>
            <w:t>第二部分 2021年度</w:t>
          </w:r>
          <w:r>
            <w:rPr>
              <w:rFonts w:hint="eastAsia" w:ascii="黑体" w:hAnsi="黑体" w:eastAsia="黑体"/>
              <w:b/>
              <w:bCs/>
              <w:sz w:val="30"/>
              <w:szCs w:val="30"/>
            </w:rPr>
            <w:t>单位决算情况说明</w:t>
          </w:r>
          <w:r>
            <w:rPr>
              <w:b/>
              <w:sz w:val="30"/>
              <w:szCs w:val="30"/>
            </w:rPr>
            <w:tab/>
          </w:r>
          <w:r>
            <w:rPr>
              <w:b/>
              <w:sz w:val="30"/>
              <w:szCs w:val="30"/>
            </w:rPr>
            <w:fldChar w:fldCharType="begin"/>
          </w:r>
          <w:r>
            <w:rPr>
              <w:b/>
              <w:sz w:val="30"/>
              <w:szCs w:val="30"/>
            </w:rPr>
            <w:instrText xml:space="preserve"> PAGEREF _Toc24006 \h </w:instrText>
          </w:r>
          <w:r>
            <w:rPr>
              <w:b/>
              <w:sz w:val="30"/>
              <w:szCs w:val="30"/>
            </w:rPr>
            <w:fldChar w:fldCharType="separate"/>
          </w:r>
          <w:r>
            <w:rPr>
              <w:b/>
              <w:sz w:val="30"/>
              <w:szCs w:val="30"/>
            </w:rPr>
            <w:t>4</w:t>
          </w:r>
          <w:r>
            <w:rPr>
              <w:b/>
              <w:sz w:val="30"/>
              <w:szCs w:val="30"/>
            </w:rPr>
            <w:fldChar w:fldCharType="end"/>
          </w:r>
          <w:r>
            <w:rPr>
              <w:b/>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_Toc23642 </w:instrText>
          </w:r>
          <w:r>
            <w:rPr>
              <w:sz w:val="30"/>
              <w:szCs w:val="30"/>
            </w:rPr>
            <w:fldChar w:fldCharType="separate"/>
          </w:r>
          <w:r>
            <w:rPr>
              <w:rFonts w:hint="default" w:ascii="黑体" w:hAnsi="黑体" w:eastAsia="黑体"/>
              <w:sz w:val="30"/>
              <w:szCs w:val="30"/>
            </w:rPr>
            <w:t xml:space="preserve">一、 </w:t>
          </w:r>
          <w:r>
            <w:rPr>
              <w:rFonts w:hint="eastAsia" w:ascii="黑体" w:hAnsi="黑体" w:eastAsia="黑体"/>
              <w:sz w:val="30"/>
              <w:szCs w:val="30"/>
            </w:rPr>
            <w:t>收入支出决算总体情况说明</w:t>
          </w:r>
          <w:r>
            <w:rPr>
              <w:sz w:val="30"/>
              <w:szCs w:val="30"/>
            </w:rPr>
            <w:tab/>
          </w:r>
          <w:r>
            <w:rPr>
              <w:sz w:val="30"/>
              <w:szCs w:val="30"/>
            </w:rPr>
            <w:fldChar w:fldCharType="begin"/>
          </w:r>
          <w:r>
            <w:rPr>
              <w:sz w:val="30"/>
              <w:szCs w:val="30"/>
            </w:rPr>
            <w:instrText xml:space="preserve"> PAGEREF _Toc23642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_Toc598 </w:instrText>
          </w:r>
          <w:r>
            <w:rPr>
              <w:sz w:val="30"/>
              <w:szCs w:val="30"/>
            </w:rPr>
            <w:fldChar w:fldCharType="separate"/>
          </w:r>
          <w:r>
            <w:rPr>
              <w:rFonts w:hint="default" w:ascii="黑体" w:hAnsi="黑体" w:eastAsia="黑体"/>
              <w:sz w:val="30"/>
              <w:szCs w:val="30"/>
            </w:rPr>
            <w:t xml:space="preserve">二、 </w:t>
          </w:r>
          <w:r>
            <w:rPr>
              <w:rFonts w:hint="eastAsia" w:ascii="黑体" w:hAnsi="黑体" w:eastAsia="黑体"/>
              <w:sz w:val="30"/>
              <w:szCs w:val="30"/>
            </w:rPr>
            <w:t>收入决算情况说明</w:t>
          </w:r>
          <w:r>
            <w:rPr>
              <w:sz w:val="30"/>
              <w:szCs w:val="30"/>
            </w:rPr>
            <w:tab/>
          </w:r>
          <w:r>
            <w:rPr>
              <w:sz w:val="30"/>
              <w:szCs w:val="30"/>
            </w:rPr>
            <w:fldChar w:fldCharType="begin"/>
          </w:r>
          <w:r>
            <w:rPr>
              <w:sz w:val="30"/>
              <w:szCs w:val="30"/>
            </w:rPr>
            <w:instrText xml:space="preserve"> PAGEREF _Toc598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_Toc31389 </w:instrText>
          </w:r>
          <w:r>
            <w:rPr>
              <w:sz w:val="30"/>
              <w:szCs w:val="30"/>
            </w:rPr>
            <w:fldChar w:fldCharType="separate"/>
          </w:r>
          <w:r>
            <w:rPr>
              <w:rFonts w:hint="default" w:ascii="黑体" w:hAnsi="黑体" w:eastAsia="黑体"/>
              <w:sz w:val="30"/>
              <w:szCs w:val="30"/>
            </w:rPr>
            <w:t xml:space="preserve">三、 </w:t>
          </w:r>
          <w:r>
            <w:rPr>
              <w:rFonts w:hint="eastAsia" w:ascii="黑体" w:hAnsi="黑体" w:eastAsia="黑体"/>
              <w:sz w:val="30"/>
              <w:szCs w:val="30"/>
            </w:rPr>
            <w:t>支出决算情况说明</w:t>
          </w:r>
          <w:r>
            <w:rPr>
              <w:sz w:val="30"/>
              <w:szCs w:val="30"/>
            </w:rPr>
            <w:tab/>
          </w:r>
          <w:r>
            <w:rPr>
              <w:sz w:val="30"/>
              <w:szCs w:val="30"/>
            </w:rPr>
            <w:fldChar w:fldCharType="begin"/>
          </w:r>
          <w:r>
            <w:rPr>
              <w:sz w:val="30"/>
              <w:szCs w:val="30"/>
            </w:rPr>
            <w:instrText xml:space="preserve"> PAGEREF _Toc31389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_Toc3154 </w:instrText>
          </w:r>
          <w:r>
            <w:rPr>
              <w:sz w:val="30"/>
              <w:szCs w:val="30"/>
            </w:rPr>
            <w:fldChar w:fldCharType="separate"/>
          </w:r>
          <w:r>
            <w:rPr>
              <w:rFonts w:hint="eastAsia" w:ascii="黑体" w:hAnsi="黑体" w:eastAsia="黑体"/>
              <w:sz w:val="30"/>
              <w:szCs w:val="30"/>
            </w:rPr>
            <w:t>四、财政拨款收入支出决算总体情况说明</w:t>
          </w:r>
          <w:r>
            <w:rPr>
              <w:sz w:val="30"/>
              <w:szCs w:val="30"/>
            </w:rPr>
            <w:tab/>
          </w:r>
          <w:r>
            <w:rPr>
              <w:sz w:val="30"/>
              <w:szCs w:val="30"/>
            </w:rPr>
            <w:fldChar w:fldCharType="begin"/>
          </w:r>
          <w:r>
            <w:rPr>
              <w:sz w:val="30"/>
              <w:szCs w:val="30"/>
            </w:rPr>
            <w:instrText xml:space="preserve"> PAGEREF _Toc3154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_Toc11827 </w:instrText>
          </w:r>
          <w:r>
            <w:rPr>
              <w:sz w:val="30"/>
              <w:szCs w:val="30"/>
            </w:rPr>
            <w:fldChar w:fldCharType="separate"/>
          </w:r>
          <w:r>
            <w:rPr>
              <w:rFonts w:hint="eastAsia" w:ascii="黑体" w:hAnsi="黑体" w:eastAsia="黑体"/>
              <w:sz w:val="30"/>
              <w:szCs w:val="30"/>
            </w:rPr>
            <w:t>五、一般公共预算财政拨款支出决算情况说明</w:t>
          </w:r>
          <w:r>
            <w:rPr>
              <w:sz w:val="30"/>
              <w:szCs w:val="30"/>
            </w:rPr>
            <w:tab/>
          </w:r>
          <w:r>
            <w:rPr>
              <w:sz w:val="30"/>
              <w:szCs w:val="30"/>
            </w:rPr>
            <w:fldChar w:fldCharType="begin"/>
          </w:r>
          <w:r>
            <w:rPr>
              <w:sz w:val="30"/>
              <w:szCs w:val="30"/>
            </w:rPr>
            <w:instrText xml:space="preserve"> PAGEREF _Toc11827 \h </w:instrText>
          </w:r>
          <w:r>
            <w:rPr>
              <w:sz w:val="30"/>
              <w:szCs w:val="30"/>
            </w:rPr>
            <w:fldChar w:fldCharType="separate"/>
          </w:r>
          <w:r>
            <w:rPr>
              <w:sz w:val="30"/>
              <w:szCs w:val="30"/>
            </w:rPr>
            <w:t>6</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_Toc24949 </w:instrText>
          </w:r>
          <w:r>
            <w:rPr>
              <w:sz w:val="30"/>
              <w:szCs w:val="30"/>
            </w:rPr>
            <w:fldChar w:fldCharType="separate"/>
          </w:r>
          <w:r>
            <w:rPr>
              <w:rFonts w:hint="eastAsia" w:ascii="黑体" w:eastAsia="黑体"/>
              <w:sz w:val="30"/>
              <w:szCs w:val="30"/>
            </w:rPr>
            <w:t>六、</w:t>
          </w:r>
          <w:r>
            <w:rPr>
              <w:rFonts w:hint="eastAsia" w:ascii="黑体" w:hAnsi="黑体" w:eastAsia="黑体"/>
              <w:sz w:val="30"/>
              <w:szCs w:val="30"/>
            </w:rPr>
            <w:t>一般公共预算财政拨款基本支出决算情况说明</w:t>
          </w:r>
          <w:r>
            <w:rPr>
              <w:sz w:val="30"/>
              <w:szCs w:val="30"/>
            </w:rPr>
            <w:tab/>
          </w:r>
          <w:r>
            <w:rPr>
              <w:sz w:val="30"/>
              <w:szCs w:val="30"/>
            </w:rPr>
            <w:fldChar w:fldCharType="begin"/>
          </w:r>
          <w:r>
            <w:rPr>
              <w:sz w:val="30"/>
              <w:szCs w:val="30"/>
            </w:rPr>
            <w:instrText xml:space="preserve"> PAGEREF _Toc24949 \h </w:instrText>
          </w:r>
          <w:r>
            <w:rPr>
              <w:sz w:val="30"/>
              <w:szCs w:val="30"/>
            </w:rPr>
            <w:fldChar w:fldCharType="separate"/>
          </w:r>
          <w:r>
            <w:rPr>
              <w:sz w:val="30"/>
              <w:szCs w:val="30"/>
            </w:rPr>
            <w:t>8</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_Toc20314 </w:instrText>
          </w:r>
          <w:r>
            <w:rPr>
              <w:sz w:val="30"/>
              <w:szCs w:val="30"/>
            </w:rPr>
            <w:fldChar w:fldCharType="separate"/>
          </w:r>
          <w:r>
            <w:rPr>
              <w:rFonts w:hint="eastAsia" w:ascii="黑体" w:eastAsia="黑体"/>
              <w:sz w:val="30"/>
              <w:szCs w:val="30"/>
            </w:rPr>
            <w:t>七、</w:t>
          </w:r>
          <w:r>
            <w:rPr>
              <w:rFonts w:hint="eastAsia" w:ascii="黑体" w:hAnsi="黑体" w:eastAsia="黑体"/>
              <w:sz w:val="30"/>
              <w:szCs w:val="30"/>
            </w:rPr>
            <w:t>“三公”经费财政拨款支出决算情况说明</w:t>
          </w:r>
          <w:r>
            <w:rPr>
              <w:sz w:val="30"/>
              <w:szCs w:val="30"/>
            </w:rPr>
            <w:tab/>
          </w:r>
          <w:r>
            <w:rPr>
              <w:sz w:val="30"/>
              <w:szCs w:val="30"/>
            </w:rPr>
            <w:fldChar w:fldCharType="begin"/>
          </w:r>
          <w:r>
            <w:rPr>
              <w:sz w:val="30"/>
              <w:szCs w:val="30"/>
            </w:rPr>
            <w:instrText xml:space="preserve"> PAGEREF _Toc20314 \h </w:instrText>
          </w:r>
          <w:r>
            <w:rPr>
              <w:sz w:val="30"/>
              <w:szCs w:val="30"/>
            </w:rPr>
            <w:fldChar w:fldCharType="separate"/>
          </w:r>
          <w:r>
            <w:rPr>
              <w:sz w:val="30"/>
              <w:szCs w:val="30"/>
            </w:rPr>
            <w:t>8</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_Toc19040 </w:instrText>
          </w:r>
          <w:r>
            <w:rPr>
              <w:sz w:val="30"/>
              <w:szCs w:val="30"/>
            </w:rPr>
            <w:fldChar w:fldCharType="separate"/>
          </w:r>
          <w:r>
            <w:rPr>
              <w:rFonts w:hint="eastAsia" w:ascii="黑体" w:eastAsia="黑体"/>
              <w:sz w:val="30"/>
              <w:szCs w:val="30"/>
            </w:rPr>
            <w:t>八、</w:t>
          </w:r>
          <w:r>
            <w:rPr>
              <w:rFonts w:hint="eastAsia" w:ascii="黑体" w:hAnsi="黑体" w:eastAsia="黑体"/>
              <w:sz w:val="30"/>
              <w:szCs w:val="30"/>
            </w:rPr>
            <w:t>政府性基金预算支出决算情况说明</w:t>
          </w:r>
          <w:r>
            <w:rPr>
              <w:sz w:val="30"/>
              <w:szCs w:val="30"/>
            </w:rPr>
            <w:tab/>
          </w:r>
          <w:r>
            <w:rPr>
              <w:sz w:val="30"/>
              <w:szCs w:val="30"/>
            </w:rPr>
            <w:fldChar w:fldCharType="begin"/>
          </w:r>
          <w:r>
            <w:rPr>
              <w:sz w:val="30"/>
              <w:szCs w:val="30"/>
            </w:rPr>
            <w:instrText xml:space="preserve"> PAGEREF _Toc19040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_Toc25373 </w:instrText>
          </w:r>
          <w:r>
            <w:rPr>
              <w:sz w:val="30"/>
              <w:szCs w:val="30"/>
            </w:rPr>
            <w:fldChar w:fldCharType="separate"/>
          </w:r>
          <w:r>
            <w:rPr>
              <w:rFonts w:hint="eastAsia" w:ascii="黑体" w:hAnsi="黑体" w:eastAsia="黑体"/>
              <w:sz w:val="30"/>
              <w:szCs w:val="30"/>
            </w:rPr>
            <w:t>九、 国有资本经营预算支出决算情况说明</w:t>
          </w:r>
          <w:r>
            <w:rPr>
              <w:sz w:val="30"/>
              <w:szCs w:val="30"/>
            </w:rPr>
            <w:tab/>
          </w:r>
          <w:r>
            <w:rPr>
              <w:sz w:val="30"/>
              <w:szCs w:val="30"/>
            </w:rPr>
            <w:fldChar w:fldCharType="begin"/>
          </w:r>
          <w:r>
            <w:rPr>
              <w:sz w:val="30"/>
              <w:szCs w:val="30"/>
            </w:rPr>
            <w:instrText xml:space="preserve"> PAGEREF _Toc25373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_Toc13224 </w:instrText>
          </w:r>
          <w:r>
            <w:rPr>
              <w:sz w:val="30"/>
              <w:szCs w:val="30"/>
            </w:rPr>
            <w:fldChar w:fldCharType="separate"/>
          </w:r>
          <w:r>
            <w:rPr>
              <w:rFonts w:hint="eastAsia" w:ascii="黑体" w:hAnsi="黑体" w:eastAsia="黑体"/>
              <w:sz w:val="30"/>
              <w:szCs w:val="30"/>
            </w:rPr>
            <w:t>十、 预算绩效管理情况</w:t>
          </w:r>
          <w:r>
            <w:rPr>
              <w:sz w:val="30"/>
              <w:szCs w:val="30"/>
            </w:rPr>
            <w:tab/>
          </w:r>
          <w:r>
            <w:rPr>
              <w:sz w:val="30"/>
              <w:szCs w:val="30"/>
            </w:rPr>
            <w:fldChar w:fldCharType="begin"/>
          </w:r>
          <w:r>
            <w:rPr>
              <w:sz w:val="30"/>
              <w:szCs w:val="30"/>
            </w:rPr>
            <w:instrText xml:space="preserve"> PAGEREF _Toc13224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_Toc2361 </w:instrText>
          </w:r>
          <w:r>
            <w:rPr>
              <w:sz w:val="30"/>
              <w:szCs w:val="30"/>
            </w:rPr>
            <w:fldChar w:fldCharType="separate"/>
          </w:r>
          <w:r>
            <w:rPr>
              <w:rFonts w:hint="eastAsia" w:ascii="黑体" w:hAnsi="黑体" w:eastAsia="黑体"/>
              <w:sz w:val="30"/>
              <w:szCs w:val="30"/>
            </w:rPr>
            <w:t>十一、 其他重要事项的情况说明</w:t>
          </w:r>
          <w:r>
            <w:rPr>
              <w:sz w:val="30"/>
              <w:szCs w:val="30"/>
            </w:rPr>
            <w:tab/>
          </w:r>
          <w:r>
            <w:rPr>
              <w:sz w:val="30"/>
              <w:szCs w:val="30"/>
            </w:rPr>
            <w:fldChar w:fldCharType="begin"/>
          </w:r>
          <w:r>
            <w:rPr>
              <w:sz w:val="30"/>
              <w:szCs w:val="30"/>
            </w:rPr>
            <w:instrText xml:space="preserve"> PAGEREF _Toc2361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31"/>
            <w:tabs>
              <w:tab w:val="right" w:leader="dot" w:pos="8845"/>
            </w:tabs>
            <w:spacing w:line="560" w:lineRule="exact"/>
            <w:rPr>
              <w:b/>
              <w:sz w:val="30"/>
              <w:szCs w:val="30"/>
            </w:rPr>
          </w:pPr>
          <w:r>
            <w:rPr>
              <w:b/>
              <w:sz w:val="30"/>
              <w:szCs w:val="30"/>
            </w:rPr>
            <w:fldChar w:fldCharType="begin"/>
          </w:r>
          <w:r>
            <w:rPr>
              <w:b/>
              <w:sz w:val="30"/>
              <w:szCs w:val="30"/>
            </w:rPr>
            <w:instrText xml:space="preserve"> HYPERLINK \l _Toc11420 </w:instrText>
          </w:r>
          <w:r>
            <w:rPr>
              <w:b/>
              <w:sz w:val="30"/>
              <w:szCs w:val="30"/>
            </w:rPr>
            <w:fldChar w:fldCharType="separate"/>
          </w:r>
          <w:r>
            <w:rPr>
              <w:rFonts w:hint="eastAsia" w:ascii="黑体" w:hAnsi="黑体" w:eastAsia="黑体" w:cs="黑体"/>
              <w:b/>
              <w:sz w:val="30"/>
              <w:szCs w:val="30"/>
            </w:rPr>
            <w:t xml:space="preserve">第三部分 </w:t>
          </w:r>
          <w:r>
            <w:rPr>
              <w:rFonts w:hint="eastAsia" w:ascii="黑体" w:hAnsi="黑体" w:eastAsia="黑体"/>
              <w:b/>
              <w:sz w:val="30"/>
              <w:szCs w:val="30"/>
            </w:rPr>
            <w:t>名词解释</w:t>
          </w:r>
          <w:r>
            <w:rPr>
              <w:b/>
              <w:sz w:val="30"/>
              <w:szCs w:val="30"/>
            </w:rPr>
            <w:tab/>
          </w:r>
          <w:r>
            <w:rPr>
              <w:b/>
              <w:sz w:val="30"/>
              <w:szCs w:val="30"/>
            </w:rPr>
            <w:fldChar w:fldCharType="begin"/>
          </w:r>
          <w:r>
            <w:rPr>
              <w:b/>
              <w:sz w:val="30"/>
              <w:szCs w:val="30"/>
            </w:rPr>
            <w:instrText xml:space="preserve"> PAGEREF _Toc11420 \h </w:instrText>
          </w:r>
          <w:r>
            <w:rPr>
              <w:b/>
              <w:sz w:val="30"/>
              <w:szCs w:val="30"/>
            </w:rPr>
            <w:fldChar w:fldCharType="separate"/>
          </w:r>
          <w:r>
            <w:rPr>
              <w:b/>
              <w:sz w:val="30"/>
              <w:szCs w:val="30"/>
            </w:rPr>
            <w:t>12</w:t>
          </w:r>
          <w:r>
            <w:rPr>
              <w:b/>
              <w:sz w:val="30"/>
              <w:szCs w:val="30"/>
            </w:rPr>
            <w:fldChar w:fldCharType="end"/>
          </w:r>
          <w:r>
            <w:rPr>
              <w:b/>
              <w:sz w:val="30"/>
              <w:szCs w:val="30"/>
            </w:rPr>
            <w:fldChar w:fldCharType="end"/>
          </w:r>
        </w:p>
        <w:p>
          <w:pPr>
            <w:pStyle w:val="31"/>
            <w:tabs>
              <w:tab w:val="right" w:leader="dot" w:pos="8845"/>
            </w:tabs>
            <w:spacing w:line="560" w:lineRule="exact"/>
            <w:rPr>
              <w:b/>
              <w:sz w:val="30"/>
              <w:szCs w:val="30"/>
            </w:rPr>
          </w:pPr>
          <w:r>
            <w:rPr>
              <w:b/>
              <w:sz w:val="30"/>
              <w:szCs w:val="30"/>
            </w:rPr>
            <w:fldChar w:fldCharType="begin"/>
          </w:r>
          <w:r>
            <w:rPr>
              <w:b/>
              <w:sz w:val="30"/>
              <w:szCs w:val="30"/>
            </w:rPr>
            <w:instrText xml:space="preserve"> HYPERLINK \l _Toc18131 </w:instrText>
          </w:r>
          <w:r>
            <w:rPr>
              <w:b/>
              <w:sz w:val="30"/>
              <w:szCs w:val="30"/>
            </w:rPr>
            <w:fldChar w:fldCharType="separate"/>
          </w:r>
          <w:r>
            <w:rPr>
              <w:rFonts w:hint="eastAsia" w:ascii="黑体" w:hAnsi="黑体" w:eastAsia="黑体"/>
              <w:b/>
              <w:sz w:val="30"/>
              <w:szCs w:val="30"/>
            </w:rPr>
            <w:t>第四部分 附件</w:t>
          </w:r>
          <w:r>
            <w:rPr>
              <w:b/>
              <w:sz w:val="30"/>
              <w:szCs w:val="30"/>
            </w:rPr>
            <w:tab/>
          </w:r>
          <w:r>
            <w:rPr>
              <w:b/>
              <w:sz w:val="30"/>
              <w:szCs w:val="30"/>
            </w:rPr>
            <w:fldChar w:fldCharType="begin"/>
          </w:r>
          <w:r>
            <w:rPr>
              <w:b/>
              <w:sz w:val="30"/>
              <w:szCs w:val="30"/>
            </w:rPr>
            <w:instrText xml:space="preserve"> PAGEREF _Toc18131 \h </w:instrText>
          </w:r>
          <w:r>
            <w:rPr>
              <w:b/>
              <w:sz w:val="30"/>
              <w:szCs w:val="30"/>
            </w:rPr>
            <w:fldChar w:fldCharType="separate"/>
          </w:r>
          <w:r>
            <w:rPr>
              <w:b/>
              <w:sz w:val="30"/>
              <w:szCs w:val="30"/>
            </w:rPr>
            <w:t>14</w:t>
          </w:r>
          <w:r>
            <w:rPr>
              <w:b/>
              <w:sz w:val="30"/>
              <w:szCs w:val="30"/>
            </w:rPr>
            <w:fldChar w:fldCharType="end"/>
          </w:r>
          <w:r>
            <w:rPr>
              <w:b/>
              <w:sz w:val="30"/>
              <w:szCs w:val="30"/>
            </w:rPr>
            <w:fldChar w:fldCharType="end"/>
          </w:r>
        </w:p>
        <w:p>
          <w:pPr>
            <w:pStyle w:val="31"/>
            <w:tabs>
              <w:tab w:val="right" w:leader="dot" w:pos="8845"/>
            </w:tabs>
            <w:spacing w:line="560" w:lineRule="exact"/>
            <w:rPr>
              <w:b/>
              <w:sz w:val="30"/>
              <w:szCs w:val="30"/>
            </w:rPr>
          </w:pPr>
          <w:r>
            <w:rPr>
              <w:b/>
              <w:sz w:val="30"/>
              <w:szCs w:val="30"/>
            </w:rPr>
            <w:fldChar w:fldCharType="begin"/>
          </w:r>
          <w:r>
            <w:rPr>
              <w:b/>
              <w:sz w:val="30"/>
              <w:szCs w:val="30"/>
            </w:rPr>
            <w:instrText xml:space="preserve"> HYPERLINK \l _Toc32119 </w:instrText>
          </w:r>
          <w:r>
            <w:rPr>
              <w:b/>
              <w:sz w:val="30"/>
              <w:szCs w:val="30"/>
            </w:rPr>
            <w:fldChar w:fldCharType="separate"/>
          </w:r>
          <w:r>
            <w:rPr>
              <w:rFonts w:hint="eastAsia" w:ascii="黑体" w:hAnsi="黑体" w:eastAsia="黑体"/>
              <w:b/>
              <w:sz w:val="30"/>
              <w:szCs w:val="30"/>
            </w:rPr>
            <w:t>第五部分 附表</w:t>
          </w:r>
          <w:r>
            <w:rPr>
              <w:b/>
              <w:sz w:val="30"/>
              <w:szCs w:val="30"/>
            </w:rPr>
            <w:tab/>
          </w:r>
          <w:r>
            <w:rPr>
              <w:b/>
              <w:sz w:val="30"/>
              <w:szCs w:val="30"/>
            </w:rPr>
            <w:fldChar w:fldCharType="begin"/>
          </w:r>
          <w:r>
            <w:rPr>
              <w:b/>
              <w:sz w:val="30"/>
              <w:szCs w:val="30"/>
            </w:rPr>
            <w:instrText xml:space="preserve"> PAGEREF _Toc32119 \h </w:instrText>
          </w:r>
          <w:r>
            <w:rPr>
              <w:b/>
              <w:sz w:val="30"/>
              <w:szCs w:val="30"/>
            </w:rPr>
            <w:fldChar w:fldCharType="separate"/>
          </w:r>
          <w:r>
            <w:rPr>
              <w:b/>
              <w:sz w:val="30"/>
              <w:szCs w:val="30"/>
            </w:rPr>
            <w:t>22</w:t>
          </w:r>
          <w:r>
            <w:rPr>
              <w:b/>
              <w:sz w:val="30"/>
              <w:szCs w:val="30"/>
            </w:rPr>
            <w:fldChar w:fldCharType="end"/>
          </w:r>
          <w:r>
            <w:rPr>
              <w:b/>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_Toc12070 </w:instrText>
          </w:r>
          <w:r>
            <w:rPr>
              <w:sz w:val="30"/>
              <w:szCs w:val="30"/>
            </w:rPr>
            <w:fldChar w:fldCharType="separate"/>
          </w:r>
          <w:r>
            <w:rPr>
              <w:rFonts w:hint="eastAsia" w:ascii="仿宋" w:hAnsi="仿宋" w:eastAsia="仿宋"/>
              <w:sz w:val="30"/>
              <w:szCs w:val="30"/>
            </w:rPr>
            <w:t>一、收</w:t>
          </w:r>
          <w:r>
            <w:rPr>
              <w:rFonts w:hint="eastAsia" w:ascii="仿宋" w:hAnsi="仿宋" w:eastAsia="仿宋"/>
              <w:bCs w:val="0"/>
              <w:sz w:val="30"/>
              <w:szCs w:val="30"/>
            </w:rPr>
            <w:t>入支出决算总表</w:t>
          </w:r>
          <w:r>
            <w:rPr>
              <w:sz w:val="30"/>
              <w:szCs w:val="30"/>
            </w:rPr>
            <w:tab/>
          </w:r>
          <w:r>
            <w:rPr>
              <w:sz w:val="30"/>
              <w:szCs w:val="30"/>
            </w:rPr>
            <w:fldChar w:fldCharType="begin"/>
          </w:r>
          <w:r>
            <w:rPr>
              <w:sz w:val="30"/>
              <w:szCs w:val="30"/>
            </w:rPr>
            <w:instrText xml:space="preserve"> PAGEREF _Toc12070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_Toc27778 </w:instrText>
          </w:r>
          <w:r>
            <w:rPr>
              <w:sz w:val="30"/>
              <w:szCs w:val="30"/>
            </w:rPr>
            <w:fldChar w:fldCharType="separate"/>
          </w:r>
          <w:r>
            <w:rPr>
              <w:rFonts w:hint="eastAsia" w:ascii="仿宋" w:hAnsi="仿宋" w:eastAsia="仿宋"/>
              <w:sz w:val="30"/>
              <w:szCs w:val="30"/>
            </w:rPr>
            <w:t>二、收</w:t>
          </w:r>
          <w:r>
            <w:rPr>
              <w:rFonts w:hint="eastAsia" w:ascii="仿宋" w:hAnsi="仿宋" w:eastAsia="仿宋"/>
              <w:bCs w:val="0"/>
              <w:sz w:val="30"/>
              <w:szCs w:val="30"/>
            </w:rPr>
            <w:t>入决算表</w:t>
          </w:r>
          <w:r>
            <w:rPr>
              <w:sz w:val="30"/>
              <w:szCs w:val="30"/>
            </w:rPr>
            <w:tab/>
          </w:r>
          <w:r>
            <w:rPr>
              <w:sz w:val="30"/>
              <w:szCs w:val="30"/>
            </w:rPr>
            <w:fldChar w:fldCharType="begin"/>
          </w:r>
          <w:r>
            <w:rPr>
              <w:sz w:val="30"/>
              <w:szCs w:val="30"/>
            </w:rPr>
            <w:instrText xml:space="preserve"> PAGEREF _Toc27778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_Toc8485 </w:instrText>
          </w:r>
          <w:r>
            <w:rPr>
              <w:sz w:val="30"/>
              <w:szCs w:val="30"/>
            </w:rPr>
            <w:fldChar w:fldCharType="separate"/>
          </w:r>
          <w:r>
            <w:rPr>
              <w:rFonts w:hint="eastAsia" w:ascii="仿宋" w:hAnsi="仿宋" w:eastAsia="仿宋"/>
              <w:bCs w:val="0"/>
              <w:sz w:val="30"/>
              <w:szCs w:val="30"/>
            </w:rPr>
            <w:t>三、</w:t>
          </w:r>
          <w:r>
            <w:rPr>
              <w:rFonts w:hint="eastAsia" w:ascii="仿宋" w:hAnsi="仿宋" w:eastAsia="仿宋"/>
              <w:sz w:val="30"/>
              <w:szCs w:val="30"/>
            </w:rPr>
            <w:t>支</w:t>
          </w:r>
          <w:r>
            <w:rPr>
              <w:rFonts w:hint="eastAsia" w:ascii="仿宋" w:hAnsi="仿宋" w:eastAsia="仿宋"/>
              <w:bCs w:val="0"/>
              <w:sz w:val="30"/>
              <w:szCs w:val="30"/>
            </w:rPr>
            <w:t>出决算表</w:t>
          </w:r>
          <w:r>
            <w:rPr>
              <w:sz w:val="30"/>
              <w:szCs w:val="30"/>
            </w:rPr>
            <w:tab/>
          </w:r>
          <w:r>
            <w:rPr>
              <w:sz w:val="30"/>
              <w:szCs w:val="30"/>
            </w:rPr>
            <w:fldChar w:fldCharType="begin"/>
          </w:r>
          <w:r>
            <w:rPr>
              <w:sz w:val="30"/>
              <w:szCs w:val="30"/>
            </w:rPr>
            <w:instrText xml:space="preserve"> PAGEREF _Toc8485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_Toc20808 </w:instrText>
          </w:r>
          <w:r>
            <w:rPr>
              <w:sz w:val="30"/>
              <w:szCs w:val="30"/>
            </w:rPr>
            <w:fldChar w:fldCharType="separate"/>
          </w:r>
          <w:r>
            <w:rPr>
              <w:rFonts w:hint="eastAsia" w:ascii="仿宋" w:hAnsi="仿宋" w:eastAsia="仿宋"/>
              <w:bCs w:val="0"/>
              <w:sz w:val="30"/>
              <w:szCs w:val="30"/>
            </w:rPr>
            <w:t>四、</w:t>
          </w:r>
          <w:r>
            <w:rPr>
              <w:rFonts w:hint="eastAsia" w:ascii="仿宋" w:hAnsi="仿宋" w:eastAsia="仿宋"/>
              <w:sz w:val="30"/>
              <w:szCs w:val="30"/>
            </w:rPr>
            <w:t>财</w:t>
          </w:r>
          <w:r>
            <w:rPr>
              <w:rFonts w:hint="eastAsia" w:ascii="仿宋" w:hAnsi="仿宋" w:eastAsia="仿宋"/>
              <w:bCs w:val="0"/>
              <w:sz w:val="30"/>
              <w:szCs w:val="30"/>
            </w:rPr>
            <w:t>政拨款收入支出决算总表</w:t>
          </w:r>
          <w:r>
            <w:rPr>
              <w:sz w:val="30"/>
              <w:szCs w:val="30"/>
            </w:rPr>
            <w:tab/>
          </w:r>
          <w:r>
            <w:rPr>
              <w:sz w:val="30"/>
              <w:szCs w:val="30"/>
            </w:rPr>
            <w:fldChar w:fldCharType="begin"/>
          </w:r>
          <w:r>
            <w:rPr>
              <w:sz w:val="30"/>
              <w:szCs w:val="30"/>
            </w:rPr>
            <w:instrText xml:space="preserve"> PAGEREF _Toc20808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_Toc23088 </w:instrText>
          </w:r>
          <w:r>
            <w:rPr>
              <w:sz w:val="30"/>
              <w:szCs w:val="30"/>
            </w:rPr>
            <w:fldChar w:fldCharType="separate"/>
          </w:r>
          <w:r>
            <w:rPr>
              <w:rFonts w:hint="eastAsia" w:ascii="仿宋" w:hAnsi="仿宋" w:eastAsia="仿宋"/>
              <w:bCs w:val="0"/>
              <w:sz w:val="30"/>
              <w:szCs w:val="30"/>
            </w:rPr>
            <w:t>五、</w:t>
          </w:r>
          <w:r>
            <w:rPr>
              <w:rFonts w:hint="eastAsia" w:ascii="仿宋" w:hAnsi="仿宋" w:eastAsia="仿宋"/>
              <w:sz w:val="30"/>
              <w:szCs w:val="30"/>
            </w:rPr>
            <w:t>财</w:t>
          </w:r>
          <w:r>
            <w:rPr>
              <w:rFonts w:hint="eastAsia" w:ascii="仿宋" w:hAnsi="仿宋" w:eastAsia="仿宋"/>
              <w:bCs w:val="0"/>
              <w:sz w:val="30"/>
              <w:szCs w:val="30"/>
            </w:rPr>
            <w:t>政拨款支出决算明细表</w:t>
          </w:r>
          <w:r>
            <w:rPr>
              <w:sz w:val="30"/>
              <w:szCs w:val="30"/>
            </w:rPr>
            <w:tab/>
          </w:r>
          <w:r>
            <w:rPr>
              <w:sz w:val="30"/>
              <w:szCs w:val="30"/>
            </w:rPr>
            <w:fldChar w:fldCharType="begin"/>
          </w:r>
          <w:r>
            <w:rPr>
              <w:sz w:val="30"/>
              <w:szCs w:val="30"/>
            </w:rPr>
            <w:instrText xml:space="preserve"> PAGEREF _Toc23088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_Toc10545 </w:instrText>
          </w:r>
          <w:r>
            <w:rPr>
              <w:sz w:val="30"/>
              <w:szCs w:val="30"/>
            </w:rPr>
            <w:fldChar w:fldCharType="separate"/>
          </w:r>
          <w:r>
            <w:rPr>
              <w:rFonts w:hint="eastAsia" w:ascii="仿宋" w:hAnsi="仿宋" w:eastAsia="仿宋"/>
              <w:bCs w:val="0"/>
              <w:sz w:val="30"/>
              <w:szCs w:val="30"/>
            </w:rPr>
            <w:t>六、</w:t>
          </w:r>
          <w:r>
            <w:rPr>
              <w:rFonts w:hint="eastAsia" w:ascii="仿宋" w:hAnsi="仿宋" w:eastAsia="仿宋"/>
              <w:sz w:val="30"/>
              <w:szCs w:val="30"/>
            </w:rPr>
            <w:t>一</w:t>
          </w:r>
          <w:r>
            <w:rPr>
              <w:rFonts w:hint="eastAsia" w:ascii="仿宋" w:hAnsi="仿宋" w:eastAsia="仿宋"/>
              <w:bCs w:val="0"/>
              <w:sz w:val="30"/>
              <w:szCs w:val="30"/>
            </w:rPr>
            <w:t>般公共预算财政拨款支出决算表</w:t>
          </w:r>
          <w:r>
            <w:rPr>
              <w:sz w:val="30"/>
              <w:szCs w:val="30"/>
            </w:rPr>
            <w:tab/>
          </w:r>
          <w:r>
            <w:rPr>
              <w:sz w:val="30"/>
              <w:szCs w:val="30"/>
            </w:rPr>
            <w:fldChar w:fldCharType="begin"/>
          </w:r>
          <w:r>
            <w:rPr>
              <w:sz w:val="30"/>
              <w:szCs w:val="30"/>
            </w:rPr>
            <w:instrText xml:space="preserve"> PAGEREF _Toc10545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_Toc7663 </w:instrText>
          </w:r>
          <w:r>
            <w:rPr>
              <w:sz w:val="30"/>
              <w:szCs w:val="30"/>
            </w:rPr>
            <w:fldChar w:fldCharType="separate"/>
          </w:r>
          <w:r>
            <w:rPr>
              <w:rFonts w:hint="eastAsia" w:ascii="仿宋" w:hAnsi="仿宋" w:eastAsia="仿宋"/>
              <w:bCs w:val="0"/>
              <w:sz w:val="30"/>
              <w:szCs w:val="30"/>
            </w:rPr>
            <w:t>七、</w:t>
          </w:r>
          <w:r>
            <w:rPr>
              <w:rFonts w:hint="eastAsia" w:ascii="仿宋" w:hAnsi="仿宋" w:eastAsia="仿宋"/>
              <w:sz w:val="30"/>
              <w:szCs w:val="30"/>
            </w:rPr>
            <w:t>一</w:t>
          </w:r>
          <w:r>
            <w:rPr>
              <w:rFonts w:hint="eastAsia" w:ascii="仿宋" w:hAnsi="仿宋" w:eastAsia="仿宋"/>
              <w:bCs w:val="0"/>
              <w:sz w:val="30"/>
              <w:szCs w:val="30"/>
            </w:rPr>
            <w:t>般公共预算财政拨款支出决算明细表</w:t>
          </w:r>
          <w:r>
            <w:rPr>
              <w:sz w:val="30"/>
              <w:szCs w:val="30"/>
            </w:rPr>
            <w:tab/>
          </w:r>
          <w:r>
            <w:rPr>
              <w:sz w:val="30"/>
              <w:szCs w:val="30"/>
            </w:rPr>
            <w:fldChar w:fldCharType="begin"/>
          </w:r>
          <w:r>
            <w:rPr>
              <w:sz w:val="30"/>
              <w:szCs w:val="30"/>
            </w:rPr>
            <w:instrText xml:space="preserve"> PAGEREF _Toc7663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_Toc32168 </w:instrText>
          </w:r>
          <w:r>
            <w:rPr>
              <w:sz w:val="30"/>
              <w:szCs w:val="30"/>
            </w:rPr>
            <w:fldChar w:fldCharType="separate"/>
          </w:r>
          <w:r>
            <w:rPr>
              <w:rFonts w:hint="eastAsia" w:ascii="仿宋" w:hAnsi="仿宋" w:eastAsia="仿宋"/>
              <w:bCs w:val="0"/>
              <w:sz w:val="30"/>
              <w:szCs w:val="30"/>
            </w:rPr>
            <w:t>八、</w:t>
          </w:r>
          <w:r>
            <w:rPr>
              <w:rFonts w:hint="eastAsia" w:ascii="仿宋" w:hAnsi="仿宋" w:eastAsia="仿宋"/>
              <w:sz w:val="30"/>
              <w:szCs w:val="30"/>
            </w:rPr>
            <w:t>一</w:t>
          </w:r>
          <w:r>
            <w:rPr>
              <w:rFonts w:hint="eastAsia" w:ascii="仿宋" w:hAnsi="仿宋" w:eastAsia="仿宋"/>
              <w:bCs w:val="0"/>
              <w:sz w:val="30"/>
              <w:szCs w:val="30"/>
            </w:rPr>
            <w:t>般公共预算财政拨款基本支出决算表</w:t>
          </w:r>
          <w:r>
            <w:rPr>
              <w:sz w:val="30"/>
              <w:szCs w:val="30"/>
            </w:rPr>
            <w:tab/>
          </w:r>
          <w:r>
            <w:rPr>
              <w:sz w:val="30"/>
              <w:szCs w:val="30"/>
            </w:rPr>
            <w:fldChar w:fldCharType="begin"/>
          </w:r>
          <w:r>
            <w:rPr>
              <w:sz w:val="30"/>
              <w:szCs w:val="30"/>
            </w:rPr>
            <w:instrText xml:space="preserve"> PAGEREF _Toc32168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_Toc15123 </w:instrText>
          </w:r>
          <w:r>
            <w:rPr>
              <w:sz w:val="30"/>
              <w:szCs w:val="30"/>
            </w:rPr>
            <w:fldChar w:fldCharType="separate"/>
          </w:r>
          <w:r>
            <w:rPr>
              <w:rFonts w:hint="eastAsia" w:ascii="仿宋" w:hAnsi="仿宋" w:eastAsia="仿宋"/>
              <w:bCs w:val="0"/>
              <w:sz w:val="30"/>
              <w:szCs w:val="30"/>
            </w:rPr>
            <w:t>九、</w:t>
          </w:r>
          <w:r>
            <w:rPr>
              <w:rFonts w:hint="eastAsia" w:ascii="仿宋" w:hAnsi="仿宋" w:eastAsia="仿宋"/>
              <w:sz w:val="30"/>
              <w:szCs w:val="30"/>
            </w:rPr>
            <w:t>一</w:t>
          </w:r>
          <w:r>
            <w:rPr>
              <w:rFonts w:hint="eastAsia" w:ascii="仿宋" w:hAnsi="仿宋" w:eastAsia="仿宋"/>
              <w:bCs w:val="0"/>
              <w:sz w:val="30"/>
              <w:szCs w:val="30"/>
            </w:rPr>
            <w:t>般公共预算财政拨款项目支出决算表</w:t>
          </w:r>
          <w:r>
            <w:rPr>
              <w:sz w:val="30"/>
              <w:szCs w:val="30"/>
            </w:rPr>
            <w:tab/>
          </w:r>
          <w:r>
            <w:rPr>
              <w:sz w:val="30"/>
              <w:szCs w:val="30"/>
            </w:rPr>
            <w:fldChar w:fldCharType="begin"/>
          </w:r>
          <w:r>
            <w:rPr>
              <w:sz w:val="30"/>
              <w:szCs w:val="30"/>
            </w:rPr>
            <w:instrText xml:space="preserve"> PAGEREF _Toc15123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_Toc27068 </w:instrText>
          </w:r>
          <w:r>
            <w:rPr>
              <w:sz w:val="30"/>
              <w:szCs w:val="30"/>
            </w:rPr>
            <w:fldChar w:fldCharType="separate"/>
          </w:r>
          <w:r>
            <w:rPr>
              <w:rFonts w:hint="eastAsia" w:ascii="仿宋" w:hAnsi="仿宋" w:eastAsia="仿宋"/>
              <w:bCs w:val="0"/>
              <w:sz w:val="30"/>
              <w:szCs w:val="30"/>
            </w:rPr>
            <w:t>十、</w:t>
          </w:r>
          <w:r>
            <w:rPr>
              <w:rFonts w:hint="eastAsia" w:ascii="仿宋" w:hAnsi="仿宋" w:eastAsia="仿宋"/>
              <w:sz w:val="30"/>
              <w:szCs w:val="30"/>
            </w:rPr>
            <w:t>一</w:t>
          </w:r>
          <w:r>
            <w:rPr>
              <w:rFonts w:hint="eastAsia" w:ascii="仿宋" w:hAnsi="仿宋" w:eastAsia="仿宋"/>
              <w:bCs w:val="0"/>
              <w:sz w:val="30"/>
              <w:szCs w:val="30"/>
            </w:rPr>
            <w:t>般公共预算财政拨款“三公”经费支出决算表</w:t>
          </w:r>
          <w:r>
            <w:rPr>
              <w:sz w:val="30"/>
              <w:szCs w:val="30"/>
            </w:rPr>
            <w:tab/>
          </w:r>
          <w:r>
            <w:rPr>
              <w:sz w:val="30"/>
              <w:szCs w:val="30"/>
            </w:rPr>
            <w:fldChar w:fldCharType="begin"/>
          </w:r>
          <w:r>
            <w:rPr>
              <w:sz w:val="30"/>
              <w:szCs w:val="30"/>
            </w:rPr>
            <w:instrText xml:space="preserve"> PAGEREF _Toc27068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_Toc29427 </w:instrText>
          </w:r>
          <w:r>
            <w:rPr>
              <w:sz w:val="30"/>
              <w:szCs w:val="30"/>
            </w:rPr>
            <w:fldChar w:fldCharType="separate"/>
          </w:r>
          <w:r>
            <w:rPr>
              <w:rFonts w:hint="eastAsia" w:ascii="仿宋" w:hAnsi="仿宋" w:eastAsia="仿宋"/>
              <w:bCs w:val="0"/>
              <w:sz w:val="30"/>
              <w:szCs w:val="30"/>
            </w:rPr>
            <w:t>十一、</w:t>
          </w:r>
          <w:r>
            <w:rPr>
              <w:rFonts w:hint="eastAsia" w:ascii="仿宋" w:hAnsi="仿宋" w:eastAsia="仿宋"/>
              <w:sz w:val="30"/>
              <w:szCs w:val="30"/>
            </w:rPr>
            <w:t>政</w:t>
          </w:r>
          <w:r>
            <w:rPr>
              <w:rFonts w:hint="eastAsia" w:ascii="仿宋" w:hAnsi="仿宋" w:eastAsia="仿宋"/>
              <w:bCs w:val="0"/>
              <w:sz w:val="30"/>
              <w:szCs w:val="30"/>
            </w:rPr>
            <w:t>府性基金预算财政拨款收入支出决算表</w:t>
          </w:r>
          <w:r>
            <w:rPr>
              <w:sz w:val="30"/>
              <w:szCs w:val="30"/>
            </w:rPr>
            <w:tab/>
          </w:r>
          <w:r>
            <w:rPr>
              <w:sz w:val="30"/>
              <w:szCs w:val="30"/>
            </w:rPr>
            <w:fldChar w:fldCharType="begin"/>
          </w:r>
          <w:r>
            <w:rPr>
              <w:sz w:val="30"/>
              <w:szCs w:val="30"/>
            </w:rPr>
            <w:instrText xml:space="preserve"> PAGEREF _Toc29427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_Toc31205 </w:instrText>
          </w:r>
          <w:r>
            <w:rPr>
              <w:sz w:val="30"/>
              <w:szCs w:val="30"/>
            </w:rPr>
            <w:fldChar w:fldCharType="separate"/>
          </w:r>
          <w:r>
            <w:rPr>
              <w:rFonts w:hint="eastAsia" w:ascii="仿宋" w:hAnsi="仿宋" w:eastAsia="仿宋"/>
              <w:bCs w:val="0"/>
              <w:sz w:val="30"/>
              <w:szCs w:val="30"/>
            </w:rPr>
            <w:t>十二、</w:t>
          </w:r>
          <w:r>
            <w:rPr>
              <w:rFonts w:hint="eastAsia" w:ascii="仿宋" w:hAnsi="仿宋" w:eastAsia="仿宋"/>
              <w:sz w:val="30"/>
              <w:szCs w:val="30"/>
            </w:rPr>
            <w:t>政</w:t>
          </w:r>
          <w:r>
            <w:rPr>
              <w:rFonts w:hint="eastAsia" w:ascii="仿宋" w:hAnsi="仿宋" w:eastAsia="仿宋"/>
              <w:bCs w:val="0"/>
              <w:sz w:val="30"/>
              <w:szCs w:val="30"/>
            </w:rPr>
            <w:t>府性基金预算财政拨款“三公”经费支出决算表</w:t>
          </w:r>
          <w:r>
            <w:rPr>
              <w:sz w:val="30"/>
              <w:szCs w:val="30"/>
            </w:rPr>
            <w:tab/>
          </w:r>
          <w:r>
            <w:rPr>
              <w:sz w:val="30"/>
              <w:szCs w:val="30"/>
            </w:rPr>
            <w:fldChar w:fldCharType="begin"/>
          </w:r>
          <w:r>
            <w:rPr>
              <w:sz w:val="30"/>
              <w:szCs w:val="30"/>
            </w:rPr>
            <w:instrText xml:space="preserve"> PAGEREF _Toc31205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_Toc5816 </w:instrText>
          </w:r>
          <w:r>
            <w:rPr>
              <w:sz w:val="30"/>
              <w:szCs w:val="30"/>
            </w:rPr>
            <w:fldChar w:fldCharType="separate"/>
          </w:r>
          <w:r>
            <w:rPr>
              <w:rFonts w:hint="eastAsia" w:ascii="仿宋" w:hAnsi="仿宋" w:eastAsia="仿宋"/>
              <w:bCs w:val="0"/>
              <w:sz w:val="30"/>
              <w:szCs w:val="30"/>
            </w:rPr>
            <w:t>十三、</w:t>
          </w:r>
          <w:r>
            <w:rPr>
              <w:rFonts w:hint="eastAsia" w:ascii="仿宋" w:hAnsi="仿宋" w:eastAsia="仿宋"/>
              <w:sz w:val="30"/>
              <w:szCs w:val="30"/>
            </w:rPr>
            <w:t>国</w:t>
          </w:r>
          <w:r>
            <w:rPr>
              <w:rFonts w:hint="eastAsia" w:ascii="仿宋" w:hAnsi="仿宋" w:eastAsia="仿宋"/>
              <w:bCs w:val="0"/>
              <w:sz w:val="30"/>
              <w:szCs w:val="30"/>
            </w:rPr>
            <w:t>有资本经营预算财政拨款收入支出决算表</w:t>
          </w:r>
          <w:r>
            <w:rPr>
              <w:sz w:val="30"/>
              <w:szCs w:val="30"/>
            </w:rPr>
            <w:tab/>
          </w:r>
          <w:r>
            <w:rPr>
              <w:sz w:val="30"/>
              <w:szCs w:val="30"/>
            </w:rPr>
            <w:fldChar w:fldCharType="begin"/>
          </w:r>
          <w:r>
            <w:rPr>
              <w:sz w:val="30"/>
              <w:szCs w:val="30"/>
            </w:rPr>
            <w:instrText xml:space="preserve"> PAGEREF _Toc5816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2"/>
            <w:tabs>
              <w:tab w:val="right" w:leader="dot" w:pos="8845"/>
            </w:tabs>
            <w:spacing w:line="560" w:lineRule="exact"/>
            <w:rPr>
              <w:sz w:val="30"/>
              <w:szCs w:val="30"/>
            </w:rPr>
          </w:pPr>
          <w:r>
            <w:rPr>
              <w:sz w:val="30"/>
              <w:szCs w:val="30"/>
            </w:rPr>
            <w:fldChar w:fldCharType="begin"/>
          </w:r>
          <w:r>
            <w:rPr>
              <w:sz w:val="30"/>
              <w:szCs w:val="30"/>
            </w:rPr>
            <w:instrText xml:space="preserve"> HYPERLINK \l _Toc7924 </w:instrText>
          </w:r>
          <w:r>
            <w:rPr>
              <w:sz w:val="30"/>
              <w:szCs w:val="30"/>
            </w:rPr>
            <w:fldChar w:fldCharType="separate"/>
          </w:r>
          <w:r>
            <w:rPr>
              <w:rFonts w:hint="eastAsia" w:ascii="仿宋" w:hAnsi="仿宋" w:eastAsia="仿宋"/>
              <w:bCs w:val="0"/>
              <w:sz w:val="30"/>
              <w:szCs w:val="30"/>
            </w:rPr>
            <w:t>十四、国有资本经营预算财政拨款支出决算表</w:t>
          </w:r>
          <w:r>
            <w:rPr>
              <w:sz w:val="30"/>
              <w:szCs w:val="30"/>
            </w:rPr>
            <w:tab/>
          </w:r>
          <w:r>
            <w:rPr>
              <w:sz w:val="30"/>
              <w:szCs w:val="30"/>
            </w:rPr>
            <w:fldChar w:fldCharType="begin"/>
          </w:r>
          <w:r>
            <w:rPr>
              <w:sz w:val="30"/>
              <w:szCs w:val="30"/>
            </w:rPr>
            <w:instrText xml:space="preserve"> PAGEREF _Toc7924 \h </w:instrText>
          </w:r>
          <w:r>
            <w:rPr>
              <w:sz w:val="30"/>
              <w:szCs w:val="30"/>
            </w:rPr>
            <w:fldChar w:fldCharType="separate"/>
          </w:r>
          <w:r>
            <w:rPr>
              <w:sz w:val="30"/>
              <w:szCs w:val="30"/>
            </w:rPr>
            <w:t>22</w:t>
          </w:r>
          <w:r>
            <w:rPr>
              <w:sz w:val="30"/>
              <w:szCs w:val="30"/>
            </w:rPr>
            <w:fldChar w:fldCharType="end"/>
          </w:r>
          <w:r>
            <w:rPr>
              <w:sz w:val="30"/>
              <w:szCs w:val="30"/>
            </w:rPr>
            <w:fldChar w:fldCharType="end"/>
          </w:r>
        </w:p>
        <w:p>
          <w:pPr>
            <w:spacing w:line="560" w:lineRule="exact"/>
          </w:pPr>
          <w:r>
            <w:rPr>
              <w:b/>
              <w:sz w:val="30"/>
              <w:szCs w:val="30"/>
            </w:rPr>
            <w:fldChar w:fldCharType="end"/>
          </w:r>
        </w:p>
      </w:sdtContent>
    </w:sdt>
    <w:p>
      <w:pPr>
        <w:pStyle w:val="3"/>
        <w:jc w:val="center"/>
        <w:rPr>
          <w:rFonts w:hint="eastAsia" w:ascii="黑体" w:hAnsi="黑体" w:eastAsia="黑体"/>
          <w:b w:val="0"/>
        </w:rPr>
        <w:sectPr>
          <w:footerReference r:id="rId5" w:type="first"/>
          <w:headerReference r:id="rId3" w:type="default"/>
          <w:footerReference r:id="rId4" w:type="default"/>
          <w:pgSz w:w="11906" w:h="16838"/>
          <w:pgMar w:top="1701" w:right="1474" w:bottom="1304" w:left="1587" w:header="851" w:footer="992" w:gutter="0"/>
          <w:pgNumType w:fmt="decimal" w:start="1"/>
          <w:cols w:space="425" w:num="1"/>
          <w:titlePg/>
          <w:docGrid w:type="lines" w:linePitch="312" w:charSpace="0"/>
        </w:sectPr>
      </w:pPr>
      <w:bookmarkStart w:id="14" w:name="_Toc24852"/>
      <w:bookmarkStart w:id="15" w:name="_Toc15377204"/>
      <w:bookmarkStart w:id="16" w:name="_Toc15396602"/>
    </w:p>
    <w:p>
      <w:pPr>
        <w:pStyle w:val="3"/>
        <w:jc w:val="center"/>
        <w:rPr>
          <w:rFonts w:ascii="黑体" w:hAnsi="黑体" w:eastAsia="黑体"/>
          <w:bCs w:val="0"/>
        </w:rPr>
      </w:pPr>
      <w:r>
        <w:rPr>
          <w:rFonts w:hint="eastAsia" w:ascii="黑体" w:hAnsi="黑体" w:eastAsia="黑体"/>
          <w:b w:val="0"/>
        </w:rPr>
        <w:t>第一部分</w:t>
      </w:r>
      <w:r>
        <w:rPr>
          <w:rStyle w:val="25"/>
          <w:rFonts w:hint="eastAsia" w:ascii="黑体" w:hAnsi="黑体" w:eastAsia="黑体"/>
          <w:b w:val="0"/>
          <w:bCs w:val="0"/>
        </w:rPr>
        <w:t>部门概况</w:t>
      </w:r>
      <w:bookmarkEnd w:id="14"/>
    </w:p>
    <w:p>
      <w:pPr>
        <w:pStyle w:val="4"/>
        <w:spacing w:before="0" w:after="0" w:line="576" w:lineRule="exact"/>
        <w:ind w:firstLine="640" w:firstLineChars="200"/>
        <w:rPr>
          <w:rStyle w:val="26"/>
          <w:rFonts w:ascii="仿宋" w:hAnsi="仿宋" w:eastAsia="仿宋"/>
          <w:b w:val="0"/>
          <w:bCs w:val="0"/>
        </w:rPr>
      </w:pPr>
      <w:bookmarkStart w:id="17" w:name="_Toc15377197"/>
      <w:bookmarkStart w:id="18" w:name="_Toc15396600"/>
      <w:bookmarkStart w:id="19" w:name="_Toc19427"/>
      <w:r>
        <w:rPr>
          <w:rFonts w:hint="eastAsia" w:ascii="黑体" w:hAnsi="黑体" w:eastAsia="黑体"/>
          <w:b w:val="0"/>
        </w:rPr>
        <w:t>一、基</w:t>
      </w:r>
      <w:r>
        <w:rPr>
          <w:rStyle w:val="26"/>
          <w:rFonts w:hint="eastAsia" w:ascii="黑体" w:hAnsi="黑体" w:eastAsia="黑体"/>
          <w:b w:val="0"/>
          <w:bCs w:val="0"/>
        </w:rPr>
        <w:t>本职能及主要工作</w:t>
      </w:r>
      <w:bookmarkEnd w:id="17"/>
      <w:bookmarkEnd w:id="18"/>
      <w:bookmarkEnd w:id="19"/>
    </w:p>
    <w:p>
      <w:pPr>
        <w:spacing w:line="560" w:lineRule="exact"/>
        <w:ind w:firstLine="640" w:firstLineChars="200"/>
        <w:rPr>
          <w:rFonts w:ascii="楷体_GB2312" w:hAnsi="楷体_GB2312" w:eastAsia="楷体_GB2312" w:cs="楷体_GB2312"/>
          <w:sz w:val="32"/>
          <w:szCs w:val="32"/>
        </w:rPr>
      </w:pPr>
      <w:bookmarkStart w:id="20" w:name="_Toc15378445"/>
      <w:bookmarkStart w:id="21" w:name="_Toc15377198"/>
      <w:r>
        <w:rPr>
          <w:rFonts w:hint="eastAsia" w:ascii="楷体_GB2312" w:hAnsi="楷体_GB2312" w:eastAsia="楷体_GB2312" w:cs="楷体_GB2312"/>
          <w:sz w:val="32"/>
          <w:szCs w:val="32"/>
        </w:rPr>
        <w:t>（一）主要职能。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负责实施市级基础测绘项目；组织全市测绘坐标系统建设、维护；承担全市基础地理信息数据库及地理信息公共服务平台建设、维护与应用。</w:t>
      </w:r>
    </w:p>
    <w:bookmarkEnd w:id="20"/>
    <w:bookmarkEnd w:id="21"/>
    <w:p>
      <w:pPr>
        <w:spacing w:line="576" w:lineRule="exact"/>
        <w:ind w:firstLine="640" w:firstLineChars="200"/>
        <w:rPr>
          <w:rFonts w:ascii="楷体_GB2312" w:hAnsi="楷体_GB2312" w:eastAsia="楷体_GB2312" w:cs="楷体_GB2312"/>
          <w:sz w:val="32"/>
          <w:szCs w:val="32"/>
        </w:rPr>
      </w:pPr>
      <w:bookmarkStart w:id="22" w:name="_Toc15377199"/>
      <w:bookmarkStart w:id="23" w:name="_Toc15378446"/>
      <w:r>
        <w:rPr>
          <w:rFonts w:hint="eastAsia" w:ascii="楷体_GB2312" w:hAnsi="楷体_GB2312" w:eastAsia="楷体_GB2312" w:cs="楷体_GB2312"/>
          <w:sz w:val="32"/>
          <w:szCs w:val="32"/>
        </w:rPr>
        <w:t>（二）2021年重点工作完成情况。</w:t>
      </w:r>
      <w:bookmarkEnd w:id="22"/>
      <w:bookmarkEnd w:id="23"/>
    </w:p>
    <w:p>
      <w:pPr>
        <w:spacing w:line="576"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1.突出政治引领，积极参与党组织活动。积极参加局机关党委和支部组织的各项学习和活动，严格落实党建工作。</w:t>
      </w:r>
      <w:r>
        <w:rPr>
          <w:rFonts w:hint="eastAsia" w:ascii="仿宋_GB2312" w:hAnsi="仿宋_GB2312" w:eastAsia="仿宋_GB2312" w:cs="仿宋_GB2312"/>
          <w:b/>
          <w:bCs/>
          <w:sz w:val="32"/>
        </w:rPr>
        <w:t>一是</w:t>
      </w:r>
      <w:r>
        <w:rPr>
          <w:rFonts w:hint="eastAsia" w:ascii="仿宋_GB2312" w:hAnsi="仿宋_GB2312" w:eastAsia="仿宋_GB2312" w:cs="仿宋_GB2312"/>
          <w:sz w:val="32"/>
        </w:rPr>
        <w:t>扎实开展党史学习教育，中心全体干部职工通过集体学习、自主学习，以及“学习强国”和“川观新闻”APP等方式，认真学习党史，抄写经典段落，撰写学习心得体会；</w:t>
      </w:r>
      <w:r>
        <w:rPr>
          <w:rFonts w:hint="eastAsia" w:ascii="仿宋_GB2312" w:hAnsi="仿宋_GB2312" w:eastAsia="仿宋_GB2312" w:cs="仿宋_GB2312"/>
          <w:b/>
          <w:bCs/>
          <w:sz w:val="32"/>
        </w:rPr>
        <w:t>二是</w:t>
      </w:r>
      <w:r>
        <w:rPr>
          <w:rFonts w:hint="eastAsia" w:ascii="仿宋_GB2312" w:hAnsi="仿宋_GB2312" w:eastAsia="仿宋_GB2312" w:cs="仿宋_GB2312"/>
          <w:sz w:val="32"/>
        </w:rPr>
        <w:t>扎实开展“全面提升年”主题实践活动，结合工作实际，制定广元市测绘地理信息中心提升计划，多措并举，通过主题实践活动，中心职工政治素质、业务能力明显提升，测绘地理信息服务能力进一步加强；</w:t>
      </w:r>
      <w:r>
        <w:rPr>
          <w:rFonts w:hint="eastAsia" w:ascii="仿宋_GB2312" w:hAnsi="仿宋_GB2312" w:eastAsia="仿宋_GB2312" w:cs="仿宋_GB2312"/>
          <w:b/>
          <w:bCs/>
          <w:sz w:val="32"/>
        </w:rPr>
        <w:t>三是</w:t>
      </w:r>
      <w:r>
        <w:rPr>
          <w:rFonts w:hint="eastAsia" w:ascii="仿宋_GB2312" w:hAnsi="仿宋_GB2312" w:eastAsia="仿宋_GB2312" w:cs="仿宋_GB2312"/>
          <w:sz w:val="32"/>
        </w:rPr>
        <w:t>强化纪律作风整顿，针对纪律作风清单的十二个突出问题进行了两次检视并整改，党员干部理想信念、工作作风、组织纪律明显加强；</w:t>
      </w:r>
      <w:r>
        <w:rPr>
          <w:rFonts w:hint="eastAsia" w:ascii="仿宋_GB2312" w:hAnsi="仿宋_GB2312" w:eastAsia="仿宋_GB2312" w:cs="仿宋_GB2312"/>
          <w:b/>
          <w:bCs/>
          <w:sz w:val="32"/>
        </w:rPr>
        <w:t>四是</w:t>
      </w:r>
      <w:r>
        <w:rPr>
          <w:rFonts w:hint="eastAsia" w:ascii="仿宋_GB2312" w:hAnsi="仿宋_GB2312" w:eastAsia="仿宋_GB2312" w:cs="仿宋_GB2312"/>
          <w:sz w:val="32"/>
        </w:rPr>
        <w:t>积极参与新冠肺炎疫情防控工作，按照上级部署和要求，派专人配合利州区做好疫情防控值守和巡逻工作。</w:t>
      </w:r>
    </w:p>
    <w:p>
      <w:pPr>
        <w:pStyle w:val="6"/>
        <w:snapToGrid w:val="0"/>
        <w:spacing w:before="93" w:line="576" w:lineRule="exact"/>
        <w:ind w:firstLine="640" w:firstLineChars="200"/>
        <w:rPr>
          <w:rFonts w:hAnsi="仿宋_GB2312" w:cs="仿宋_GB2312"/>
          <w:kern w:val="2"/>
          <w:sz w:val="32"/>
          <w:szCs w:val="32"/>
        </w:rPr>
      </w:pPr>
      <w:r>
        <w:rPr>
          <w:rFonts w:hint="eastAsia" w:hAnsi="仿宋_GB2312" w:cs="仿宋_GB2312"/>
          <w:kern w:val="2"/>
          <w:sz w:val="32"/>
          <w:szCs w:val="32"/>
        </w:rPr>
        <w:t>2.完成基础测绘“十四五”规划的编制工作。</w:t>
      </w:r>
      <w:r>
        <w:rPr>
          <w:rFonts w:hAnsi="仿宋_GB2312" w:cs="仿宋_GB2312"/>
          <w:kern w:val="2"/>
          <w:sz w:val="32"/>
          <w:szCs w:val="32"/>
        </w:rPr>
        <w:t>经过仔细现状摸排、到各县区和市级各部门进行需求调研和论证、各类历史资料收集，并对接省级和县级《规划》（初稿）反复讨论、修改，完成《广元市基础测绘“十四五”规划（征求意见稿）》，按要求书面征求各县（区）人民政府、市级20个相关部门（单位）及本局各相关科室（单位）意见并修改完善后形成专家论证稿，</w:t>
      </w:r>
      <w:r>
        <w:rPr>
          <w:rFonts w:hint="eastAsia" w:hAnsi="仿宋_GB2312" w:cs="仿宋_GB2312"/>
          <w:kern w:val="2"/>
          <w:sz w:val="32"/>
          <w:szCs w:val="32"/>
        </w:rPr>
        <w:t>经</w:t>
      </w:r>
      <w:r>
        <w:rPr>
          <w:rFonts w:hAnsi="仿宋_GB2312" w:cs="仿宋_GB2312"/>
          <w:kern w:val="2"/>
          <w:sz w:val="32"/>
          <w:szCs w:val="32"/>
        </w:rPr>
        <w:t>专家论证</w:t>
      </w:r>
      <w:r>
        <w:rPr>
          <w:rFonts w:hint="eastAsia" w:hAnsi="仿宋_GB2312" w:cs="仿宋_GB2312"/>
          <w:kern w:val="2"/>
          <w:sz w:val="32"/>
          <w:szCs w:val="32"/>
        </w:rPr>
        <w:t>并</w:t>
      </w:r>
      <w:r>
        <w:rPr>
          <w:rFonts w:hAnsi="仿宋_GB2312" w:cs="仿宋_GB2312"/>
          <w:kern w:val="2"/>
          <w:sz w:val="32"/>
          <w:szCs w:val="32"/>
        </w:rPr>
        <w:t>根据专家意见进行修改完善后，最终形成</w:t>
      </w:r>
      <w:r>
        <w:rPr>
          <w:rFonts w:hint="eastAsia" w:hAnsi="仿宋_GB2312" w:cs="仿宋_GB2312"/>
          <w:kern w:val="2"/>
          <w:sz w:val="32"/>
          <w:szCs w:val="32"/>
        </w:rPr>
        <w:t>了</w:t>
      </w:r>
      <w:r>
        <w:rPr>
          <w:rFonts w:hAnsi="仿宋_GB2312" w:cs="仿宋_GB2312"/>
          <w:kern w:val="2"/>
          <w:sz w:val="32"/>
          <w:szCs w:val="32"/>
        </w:rPr>
        <w:t>《规划（送审稿）》，按程序上报市人民政府</w:t>
      </w:r>
      <w:r>
        <w:rPr>
          <w:rFonts w:hint="eastAsia" w:hAnsi="仿宋_GB2312" w:cs="仿宋_GB2312"/>
          <w:kern w:val="2"/>
          <w:sz w:val="32"/>
          <w:szCs w:val="32"/>
        </w:rPr>
        <w:t>同意，印发实施</w:t>
      </w:r>
      <w:r>
        <w:rPr>
          <w:rFonts w:hAnsi="仿宋_GB2312" w:cs="仿宋_GB2312"/>
          <w:kern w:val="2"/>
          <w:sz w:val="32"/>
          <w:szCs w:val="32"/>
        </w:rPr>
        <w:t>并上报省局备案。</w:t>
      </w:r>
    </w:p>
    <w:p>
      <w:pPr>
        <w:pStyle w:val="6"/>
        <w:snapToGrid w:val="0"/>
        <w:spacing w:before="93" w:line="576" w:lineRule="exact"/>
        <w:ind w:firstLine="640" w:firstLineChars="200"/>
        <w:rPr>
          <w:rFonts w:hAnsi="仿宋_GB2312" w:cs="仿宋_GB2312"/>
          <w:kern w:val="2"/>
          <w:sz w:val="32"/>
          <w:szCs w:val="32"/>
        </w:rPr>
      </w:pPr>
      <w:r>
        <w:rPr>
          <w:rFonts w:hint="eastAsia" w:hAnsi="仿宋_GB2312" w:cs="仿宋_GB2312"/>
          <w:kern w:val="2"/>
          <w:sz w:val="32"/>
          <w:szCs w:val="32"/>
        </w:rPr>
        <w:t>3.配合省局完成省市县基础地理信息联动更新试点工作。按照四川省测绘地理信息局安排，我市作为省市县基础地理信息联动更新试点市，以广元市全域为试点区域，以广元市行政区划范围作为联动更新基本单元，综合利用优于1米分辨率遥感卫星影像和地方大比例尺地形图等数据，采用多种更新手段，对已有1:1万和大比例尺基础地理信息数据进行整理、升级与更新，建成了现势性强的基于版本和增量管理的数据库，形成了地理信息联动更新技术标准、数据标准、建库标准、成果质量验收标准和工作机制。</w:t>
      </w:r>
    </w:p>
    <w:p>
      <w:pPr>
        <w:pStyle w:val="6"/>
        <w:snapToGrid w:val="0"/>
        <w:spacing w:before="93" w:line="576" w:lineRule="exact"/>
        <w:ind w:firstLine="640" w:firstLineChars="200"/>
        <w:rPr>
          <w:rFonts w:hAnsi="仿宋_GB2312" w:cs="仿宋_GB2312"/>
          <w:kern w:val="2"/>
          <w:sz w:val="32"/>
          <w:szCs w:val="32"/>
        </w:rPr>
      </w:pPr>
      <w:r>
        <w:rPr>
          <w:rFonts w:hint="eastAsia" w:hAnsi="仿宋_GB2312" w:cs="仿宋_GB2312"/>
          <w:kern w:val="2"/>
          <w:sz w:val="32"/>
          <w:szCs w:val="32"/>
        </w:rPr>
        <w:t>4.完成地理信息公共服务平台“天地图.广元”一体化项目建设。</w:t>
      </w:r>
      <w:r>
        <w:rPr>
          <w:rFonts w:hAnsi="仿宋_GB2312" w:cs="仿宋_GB2312"/>
          <w:kern w:val="2"/>
          <w:sz w:val="32"/>
          <w:szCs w:val="32"/>
        </w:rPr>
        <w:t>按照</w:t>
      </w:r>
      <w:r>
        <w:rPr>
          <w:rFonts w:hint="eastAsia" w:hAnsi="仿宋_GB2312" w:cs="仿宋_GB2312"/>
          <w:kern w:val="2"/>
          <w:sz w:val="32"/>
          <w:szCs w:val="32"/>
        </w:rPr>
        <w:t>部省</w:t>
      </w:r>
      <w:r>
        <w:rPr>
          <w:rFonts w:hAnsi="仿宋_GB2312" w:cs="仿宋_GB2312"/>
          <w:kern w:val="2"/>
          <w:sz w:val="32"/>
          <w:szCs w:val="32"/>
        </w:rPr>
        <w:t>工作部署，启动“天地图·广元”一体化建设，对数据共享、协同服务、门户界面、安全运维等功能进行</w:t>
      </w:r>
      <w:r>
        <w:rPr>
          <w:rFonts w:hint="eastAsia" w:hAnsi="仿宋_GB2312" w:cs="仿宋_GB2312"/>
          <w:kern w:val="2"/>
          <w:sz w:val="32"/>
          <w:szCs w:val="32"/>
        </w:rPr>
        <w:t>了</w:t>
      </w:r>
      <w:r>
        <w:rPr>
          <w:rFonts w:hAnsi="仿宋_GB2312" w:cs="仿宋_GB2312"/>
          <w:kern w:val="2"/>
          <w:sz w:val="32"/>
          <w:szCs w:val="32"/>
        </w:rPr>
        <w:t>全面升级，</w:t>
      </w:r>
      <w:r>
        <w:rPr>
          <w:rFonts w:hint="eastAsia" w:hAnsi="仿宋_GB2312" w:cs="仿宋_GB2312"/>
          <w:kern w:val="2"/>
          <w:sz w:val="32"/>
          <w:szCs w:val="32"/>
        </w:rPr>
        <w:t>更新了交通、水系、房屋、政区、地名地址等重点地理要素；建立了测绘成果管理与分发服务系统，实现了测绘成果资料管理科学化、规范化，促进基础地理信息共享</w:t>
      </w:r>
      <w:r>
        <w:rPr>
          <w:rFonts w:hAnsi="仿宋_GB2312" w:cs="仿宋_GB2312"/>
          <w:kern w:val="2"/>
          <w:sz w:val="32"/>
          <w:szCs w:val="32"/>
        </w:rPr>
        <w:t>。</w:t>
      </w:r>
    </w:p>
    <w:p>
      <w:pPr>
        <w:spacing w:line="576"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认真做好全市测绘基准与测绘系统建设服务工作。一是协调配合自然资源部第三大地测量队完成市辖区6个卫星导航基准站的建设，进一步增强了我市卫星导航基准服务系统；二是加强全市永久性测量标志巡查维护，年度巡查永久性测量标志60个；三是启动广元市现代基准体系建设，以解决我市现有测绘基准体系不完整、存在大量空白区，地方独立坐标系数量多、覆盖面小且零散，永久性测量标志毁损比较严重等问题，目前项目正在招标过程中。</w:t>
      </w:r>
    </w:p>
    <w:p>
      <w:pPr>
        <w:spacing w:line="576"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6.充分发挥基础地理信息资源的服务保障作用，积极做好现有基础测绘成果的利用工作。</w:t>
      </w:r>
      <w:r>
        <w:rPr>
          <w:rFonts w:ascii="仿宋_GB2312" w:hAnsi="仿宋_GB2312" w:eastAsia="仿宋_GB2312" w:cs="仿宋_GB2312"/>
          <w:sz w:val="32"/>
          <w:szCs w:val="32"/>
        </w:rPr>
        <w:t>向国土空间规划“一张图”建设及城镇开发边界划定、市重点项目建设事务中心G5建设、三江投资集团三江新区开发建设、市供排水中心项目建设等多家单位提供地形图数据、地理国情普查成果数据、行政边界数据、地下管线数据、三维实景数据、卫星影像等基础测绘成果</w:t>
      </w:r>
      <w:r>
        <w:rPr>
          <w:rFonts w:hint="eastAsia" w:ascii="仿宋_GB2312" w:hAnsi="仿宋_GB2312" w:eastAsia="仿宋_GB2312" w:cs="仿宋_GB2312"/>
          <w:sz w:val="32"/>
          <w:szCs w:val="32"/>
        </w:rPr>
        <w:t>34</w:t>
      </w:r>
      <w:r>
        <w:rPr>
          <w:rFonts w:ascii="仿宋_GB2312" w:hAnsi="仿宋_GB2312" w:eastAsia="仿宋_GB2312" w:cs="仿宋_GB2312"/>
          <w:sz w:val="32"/>
          <w:szCs w:val="32"/>
        </w:rPr>
        <w:t>次，避免财政经费重复投入，为项目建设和社会经济发展提供了基础支撑。</w:t>
      </w:r>
    </w:p>
    <w:p>
      <w:pPr>
        <w:spacing w:line="576" w:lineRule="exact"/>
        <w:ind w:left="798" w:leftChars="304" w:hanging="160" w:hanging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7.启动市中心城区基础测绘成果更新项目。为避免</w:t>
      </w:r>
    </w:p>
    <w:p>
      <w:pPr>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财政重复投入，更好地为市中心城区控制性详细规划修编、政府决策等经济社会发展活动提供高质量的基础地理信息数据服务。我们编制了《广元市中心城区基础测绘成果更新建设方案》，即将进入专家评审。</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8.发挥中心人才技术优势，按时按质完成省情地图核对修改制图工作。</w:t>
      </w:r>
      <w:r>
        <w:rPr>
          <w:rFonts w:ascii="仿宋_GB2312" w:hAnsi="仿宋_GB2312" w:eastAsia="仿宋_GB2312" w:cs="仿宋_GB2312"/>
          <w:sz w:val="32"/>
          <w:szCs w:val="32"/>
        </w:rPr>
        <w:t xml:space="preserve">按市委常委办要求，牵头对省情地图广元市情包括风景名胜、文化遗址、交通枢纽、水利设施、重点乡镇等要素联系相关部门进行了核对、修改更新，并报送省地图制图院核查通过。 </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9.积极完成基础测绘事务性工作及局领导交办的其他工作。协助局测绘地理信息管理科完成测绘资质申请、资质审查和复审换证</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相关工作；做好</w:t>
      </w:r>
      <w:r>
        <w:rPr>
          <w:rFonts w:ascii="仿宋_GB2312" w:hAnsi="仿宋_GB2312" w:eastAsia="仿宋_GB2312" w:cs="仿宋_GB2312"/>
          <w:sz w:val="32"/>
          <w:szCs w:val="32"/>
        </w:rPr>
        <w:t>现代服务业发展统计协调、配合利州公馆接访维稳</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工作。</w:t>
      </w:r>
    </w:p>
    <w:p>
      <w:pPr>
        <w:pStyle w:val="3"/>
        <w:ind w:right="440"/>
        <w:jc w:val="center"/>
        <w:rPr>
          <w:rStyle w:val="25"/>
          <w:rFonts w:ascii="黑体" w:hAnsi="黑体" w:eastAsia="黑体"/>
          <w:b w:val="0"/>
          <w:bCs/>
        </w:rPr>
      </w:pPr>
      <w:bookmarkStart w:id="24" w:name="_Toc24006"/>
      <w:r>
        <w:rPr>
          <w:rFonts w:hint="eastAsia" w:ascii="黑体" w:hAnsi="黑体" w:eastAsia="黑体"/>
          <w:b w:val="0"/>
        </w:rPr>
        <w:t>第二部分 2021年度</w:t>
      </w:r>
      <w:r>
        <w:rPr>
          <w:rStyle w:val="25"/>
          <w:rFonts w:hint="eastAsia" w:ascii="黑体" w:hAnsi="黑体" w:eastAsia="黑体"/>
          <w:b w:val="0"/>
          <w:bCs/>
        </w:rPr>
        <w:t>单位决算情况说明</w:t>
      </w:r>
      <w:bookmarkEnd w:id="15"/>
      <w:bookmarkEnd w:id="16"/>
      <w:bookmarkEnd w:id="24"/>
    </w:p>
    <w:p/>
    <w:p>
      <w:pPr>
        <w:pStyle w:val="24"/>
        <w:numPr>
          <w:ilvl w:val="0"/>
          <w:numId w:val="1"/>
        </w:numPr>
        <w:spacing w:line="600" w:lineRule="exact"/>
        <w:ind w:firstLineChars="0"/>
        <w:outlineLvl w:val="1"/>
        <w:rPr>
          <w:rStyle w:val="26"/>
          <w:rFonts w:ascii="黑体" w:hAnsi="黑体" w:eastAsia="黑体"/>
          <w:b w:val="0"/>
        </w:rPr>
      </w:pPr>
      <w:bookmarkStart w:id="25" w:name="_Toc23642"/>
      <w:bookmarkStart w:id="26" w:name="_Toc15377205"/>
      <w:bookmarkStart w:id="27"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5"/>
      <w:bookmarkEnd w:id="26"/>
      <w:bookmarkEnd w:id="27"/>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2021年度收、支总计157.11万元。与2020年相比，收、支总计各增加8.23万元，增长6</w:t>
      </w:r>
      <w:r>
        <w:rPr>
          <w:rFonts w:ascii="仿宋" w:hAnsi="仿宋" w:eastAsia="仿宋"/>
          <w:sz w:val="32"/>
          <w:szCs w:val="32"/>
        </w:rPr>
        <w:t>%</w:t>
      </w:r>
      <w:r>
        <w:rPr>
          <w:rFonts w:hint="eastAsia" w:ascii="仿宋" w:hAnsi="仿宋" w:eastAsia="仿宋"/>
          <w:sz w:val="32"/>
          <w:szCs w:val="32"/>
        </w:rPr>
        <w:t>。主要变动原因是财返资金在本年度增加。</w:t>
      </w:r>
    </w:p>
    <w:p>
      <w:pPr>
        <w:pStyle w:val="23"/>
      </w:pPr>
      <w:r>
        <w:drawing>
          <wp:inline distT="0" distB="0" distL="114300" distR="114300">
            <wp:extent cx="4706620" cy="2924175"/>
            <wp:effectExtent l="19050" t="0" r="1778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3"/>
      </w:pPr>
    </w:p>
    <w:p>
      <w:pPr>
        <w:pStyle w:val="24"/>
        <w:numPr>
          <w:ilvl w:val="0"/>
          <w:numId w:val="1"/>
        </w:numPr>
        <w:spacing w:line="600" w:lineRule="exact"/>
        <w:ind w:firstLineChars="0"/>
        <w:outlineLvl w:val="1"/>
        <w:rPr>
          <w:rStyle w:val="26"/>
          <w:rFonts w:ascii="黑体" w:hAnsi="黑体" w:eastAsia="黑体"/>
          <w:b w:val="0"/>
        </w:rPr>
      </w:pPr>
      <w:bookmarkStart w:id="28" w:name="_Toc15396604"/>
      <w:bookmarkStart w:id="29" w:name="_Toc598"/>
      <w:bookmarkStart w:id="30" w:name="_Toc15377206"/>
      <w:r>
        <w:rPr>
          <w:rFonts w:hint="eastAsia" w:ascii="黑体" w:hAnsi="黑体" w:eastAsia="黑体"/>
          <w:sz w:val="32"/>
          <w:szCs w:val="32"/>
        </w:rPr>
        <w:t>收</w:t>
      </w:r>
      <w:r>
        <w:rPr>
          <w:rStyle w:val="26"/>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12261"/>
      <w:r>
        <w:rPr>
          <w:rFonts w:ascii="仿宋" w:hAnsi="仿宋" w:eastAsia="仿宋"/>
          <w:sz w:val="32"/>
          <w:szCs w:val="32"/>
        </w:rPr>
        <w:t>20</w:t>
      </w:r>
      <w:r>
        <w:rPr>
          <w:rFonts w:hint="eastAsia" w:ascii="仿宋" w:hAnsi="仿宋" w:eastAsia="仿宋"/>
          <w:sz w:val="32"/>
          <w:szCs w:val="32"/>
        </w:rPr>
        <w:t>21年本年收入合计133.77万元，其中：一般公共预算财政拨款收入133.76万元，占99.99</w:t>
      </w:r>
      <w:r>
        <w:rPr>
          <w:rFonts w:ascii="仿宋" w:hAnsi="仿宋" w:eastAsia="仿宋"/>
          <w:sz w:val="32"/>
          <w:szCs w:val="32"/>
        </w:rPr>
        <w:t>%</w:t>
      </w:r>
      <w:r>
        <w:rPr>
          <w:rFonts w:hint="eastAsia" w:ascii="仿宋" w:hAnsi="仿宋" w:eastAsia="仿宋"/>
          <w:sz w:val="32"/>
          <w:szCs w:val="32"/>
        </w:rPr>
        <w:t>；其他收入0.01万元，占0.01</w:t>
      </w:r>
      <w:r>
        <w:rPr>
          <w:rFonts w:ascii="仿宋" w:hAnsi="仿宋" w:eastAsia="仿宋"/>
          <w:sz w:val="32"/>
          <w:szCs w:val="32"/>
        </w:rPr>
        <w:t>%</w:t>
      </w:r>
      <w:r>
        <w:rPr>
          <w:rFonts w:hint="eastAsia" w:ascii="仿宋" w:hAnsi="仿宋" w:eastAsia="仿宋"/>
          <w:sz w:val="32"/>
          <w:szCs w:val="32"/>
        </w:rPr>
        <w:t>。</w:t>
      </w:r>
      <w:bookmarkEnd w:id="31"/>
    </w:p>
    <w:p>
      <w:pPr>
        <w:pStyle w:val="23"/>
        <w:rPr>
          <w:rFonts w:hAnsi="仿宋"/>
          <w:color w:val="auto"/>
          <w:sz w:val="32"/>
          <w:szCs w:val="32"/>
        </w:rPr>
      </w:pPr>
      <w:r>
        <w:rPr>
          <w:rFonts w:hint="eastAsia" w:hAnsi="仿宋"/>
          <w:color w:val="auto"/>
          <w:sz w:val="32"/>
          <w:szCs w:val="32"/>
        </w:rPr>
        <w:drawing>
          <wp:inline distT="0" distB="0" distL="114300" distR="114300">
            <wp:extent cx="4547235" cy="2495550"/>
            <wp:effectExtent l="4445" t="4445" r="508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（图2：收入决算结构图）</w:t>
      </w:r>
    </w:p>
    <w:p>
      <w:pPr>
        <w:pStyle w:val="24"/>
        <w:numPr>
          <w:ilvl w:val="0"/>
          <w:numId w:val="1"/>
        </w:numPr>
        <w:spacing w:line="600" w:lineRule="exact"/>
        <w:ind w:firstLineChars="0"/>
        <w:outlineLvl w:val="1"/>
        <w:rPr>
          <w:rStyle w:val="26"/>
          <w:rFonts w:ascii="黑体" w:hAnsi="黑体" w:eastAsia="黑体"/>
          <w:b w:val="0"/>
        </w:rPr>
      </w:pPr>
      <w:bookmarkStart w:id="32" w:name="_Toc15396605"/>
      <w:bookmarkStart w:id="33" w:name="_Toc31389"/>
      <w:bookmarkStart w:id="34" w:name="_Toc15377207"/>
      <w:r>
        <w:rPr>
          <w:rFonts w:hint="eastAsia" w:ascii="黑体" w:hAnsi="黑体" w:eastAsia="黑体"/>
          <w:sz w:val="32"/>
          <w:szCs w:val="32"/>
        </w:rPr>
        <w:t>支</w:t>
      </w:r>
      <w:r>
        <w:rPr>
          <w:rStyle w:val="26"/>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19064"/>
      <w:r>
        <w:rPr>
          <w:rFonts w:ascii="仿宋" w:hAnsi="仿宋" w:eastAsia="仿宋"/>
          <w:sz w:val="32"/>
          <w:szCs w:val="32"/>
        </w:rPr>
        <w:t>20</w:t>
      </w:r>
      <w:r>
        <w:rPr>
          <w:rFonts w:hint="eastAsia" w:ascii="仿宋" w:hAnsi="仿宋" w:eastAsia="仿宋"/>
          <w:sz w:val="32"/>
          <w:szCs w:val="32"/>
        </w:rPr>
        <w:t>21年本年支出合计145.38万元，其中：基本支出145.38万元，占100</w:t>
      </w:r>
      <w:r>
        <w:rPr>
          <w:rFonts w:ascii="仿宋" w:hAnsi="仿宋" w:eastAsia="仿宋"/>
          <w:sz w:val="32"/>
          <w:szCs w:val="32"/>
        </w:rPr>
        <w:t>%</w:t>
      </w:r>
      <w:r>
        <w:rPr>
          <w:rFonts w:hint="eastAsia" w:ascii="仿宋" w:hAnsi="仿宋" w:eastAsia="仿宋"/>
          <w:sz w:val="32"/>
          <w:szCs w:val="32"/>
        </w:rPr>
        <w:t>；项目支出0万元，占0</w:t>
      </w:r>
      <w:r>
        <w:rPr>
          <w:rFonts w:ascii="仿宋" w:hAnsi="仿宋" w:eastAsia="仿宋"/>
          <w:sz w:val="32"/>
          <w:szCs w:val="32"/>
        </w:rPr>
        <w:t>%</w:t>
      </w:r>
      <w:r>
        <w:rPr>
          <w:rFonts w:hint="eastAsia" w:ascii="仿宋" w:hAnsi="仿宋" w:eastAsia="仿宋"/>
          <w:sz w:val="32"/>
          <w:szCs w:val="32"/>
        </w:rPr>
        <w:t>。</w:t>
      </w:r>
      <w:bookmarkEnd w:id="35"/>
    </w:p>
    <w:p>
      <w:pPr>
        <w:pStyle w:val="23"/>
        <w:rPr>
          <w:rFonts w:hAnsi="仿宋"/>
          <w:color w:val="auto"/>
          <w:sz w:val="32"/>
          <w:szCs w:val="32"/>
          <w:shd w:val="pct10" w:color="auto" w:fill="FFFFFF"/>
        </w:rPr>
      </w:pPr>
      <w:r>
        <w:rPr>
          <w:rFonts w:hint="eastAsia" w:hAnsi="仿宋"/>
          <w:color w:val="auto"/>
          <w:sz w:val="32"/>
          <w:szCs w:val="32"/>
          <w:shd w:val="pct10" w:color="auto" w:fill="FFFFFF"/>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6"/>
          <w:rFonts w:ascii="黑体" w:hAnsi="黑体" w:eastAsia="黑体"/>
          <w:b w:val="0"/>
        </w:rPr>
      </w:pPr>
      <w:bookmarkStart w:id="36" w:name="_Toc15377208"/>
      <w:bookmarkStart w:id="37" w:name="_Toc3154"/>
      <w:bookmarkStart w:id="38"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6"/>
      <w:bookmarkEnd w:id="37"/>
      <w:bookmarkEnd w:id="3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21年财政拨款收、支总计157.1万元。与</w:t>
      </w:r>
      <w:r>
        <w:rPr>
          <w:rFonts w:ascii="仿宋" w:hAnsi="仿宋" w:eastAsia="仿宋"/>
          <w:sz w:val="32"/>
          <w:szCs w:val="32"/>
        </w:rPr>
        <w:t>20</w:t>
      </w:r>
      <w:r>
        <w:rPr>
          <w:rFonts w:hint="eastAsia" w:ascii="仿宋" w:hAnsi="仿宋" w:eastAsia="仿宋"/>
          <w:sz w:val="32"/>
          <w:szCs w:val="32"/>
        </w:rPr>
        <w:t>20年相比，财政拨款收、支总计各增加9.7万元，增长7</w:t>
      </w:r>
      <w:r>
        <w:rPr>
          <w:rFonts w:ascii="仿宋" w:hAnsi="仿宋" w:eastAsia="仿宋"/>
          <w:sz w:val="32"/>
          <w:szCs w:val="32"/>
        </w:rPr>
        <w:t>%</w:t>
      </w:r>
      <w:r>
        <w:rPr>
          <w:rFonts w:hint="eastAsia" w:ascii="仿宋" w:hAnsi="仿宋" w:eastAsia="仿宋"/>
          <w:sz w:val="32"/>
          <w:szCs w:val="32"/>
        </w:rPr>
        <w:t>。主要变动原因是财返资金在本年度增加。</w:t>
      </w:r>
    </w:p>
    <w:p>
      <w:pPr>
        <w:pStyle w:val="23"/>
        <w:rPr>
          <w:rFonts w:hAnsi="仿宋"/>
          <w:color w:val="auto"/>
          <w:sz w:val="32"/>
          <w:szCs w:val="32"/>
        </w:rPr>
      </w:pPr>
      <w:r>
        <w:rPr>
          <w:rFonts w:hint="eastAsia" w:hAnsi="仿宋"/>
          <w:color w:val="auto"/>
          <w:sz w:val="32"/>
          <w:szCs w:val="32"/>
        </w:rPr>
        <w:drawing>
          <wp:inline distT="0" distB="0" distL="114300" distR="114300">
            <wp:extent cx="5218430" cy="2578735"/>
            <wp:effectExtent l="4445" t="4445" r="1968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280" w:firstLineChars="4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39" w:name="_Toc11827"/>
      <w:bookmarkStart w:id="40" w:name="_Toc15396607"/>
      <w:bookmarkStart w:id="41"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21年一般公共预算财政拨款支出145.37万元，占本年支出合计的100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20年相比，一般公共预算财政拨款支出增加21.31万元，增长17</w:t>
      </w:r>
      <w:r>
        <w:rPr>
          <w:rFonts w:ascii="仿宋" w:hAnsi="仿宋" w:eastAsia="仿宋"/>
          <w:sz w:val="32"/>
          <w:szCs w:val="32"/>
        </w:rPr>
        <w:t>%</w:t>
      </w:r>
      <w:r>
        <w:rPr>
          <w:rFonts w:hint="eastAsia" w:ascii="仿宋" w:hAnsi="仿宋" w:eastAsia="仿宋"/>
          <w:sz w:val="32"/>
          <w:szCs w:val="32"/>
        </w:rPr>
        <w:t>。主要变动原因是财返资金在本年度增加。</w:t>
      </w:r>
    </w:p>
    <w:p>
      <w:pPr>
        <w:spacing w:line="600" w:lineRule="exact"/>
        <w:ind w:firstLine="640" w:firstLineChars="200"/>
        <w:rPr>
          <w:rFonts w:ascii="仿宋" w:hAnsi="仿宋" w:eastAsia="仿宋"/>
          <w:sz w:val="32"/>
          <w:szCs w:val="32"/>
        </w:rPr>
      </w:pPr>
    </w:p>
    <w:p>
      <w:pPr>
        <w:pStyle w:val="23"/>
        <w:rPr>
          <w:rFonts w:hAnsi="仿宋"/>
          <w:color w:val="auto"/>
          <w:sz w:val="32"/>
          <w:szCs w:val="32"/>
        </w:rPr>
      </w:pPr>
      <w:r>
        <w:rPr>
          <w:rFonts w:hint="eastAsia" w:hAnsi="仿宋"/>
          <w:color w:val="auto"/>
          <w:sz w:val="32"/>
          <w:szCs w:val="32"/>
        </w:rPr>
        <w:drawing>
          <wp:inline distT="0" distB="0" distL="114300" distR="114300">
            <wp:extent cx="5501640" cy="2531110"/>
            <wp:effectExtent l="4445" t="4445" r="1079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21年一般公共预算财政拨款支出145.37万元，主要用于以下方面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支出8.84万元，占6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sz w:val="32"/>
          <w:szCs w:val="32"/>
        </w:rPr>
        <w:t>支出4.42万元，占2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自然资源海洋气象等</w:t>
      </w:r>
      <w:r>
        <w:rPr>
          <w:rFonts w:hint="eastAsia" w:ascii="仿宋_GB2312" w:hAnsi="仿宋_GB2312" w:eastAsia="仿宋_GB2312" w:cs="仿宋_GB2312"/>
          <w:color w:val="000000"/>
          <w:sz w:val="32"/>
          <w:szCs w:val="32"/>
        </w:rPr>
        <w:t>支出122.4万元，占85%；</w:t>
      </w:r>
      <w:r>
        <w:rPr>
          <w:rFonts w:hint="eastAsia" w:ascii="仿宋" w:hAnsi="仿宋" w:eastAsia="仿宋"/>
          <w:b/>
          <w:bCs/>
          <w:sz w:val="32"/>
          <w:szCs w:val="32"/>
        </w:rPr>
        <w:t>住房保障</w:t>
      </w:r>
      <w:r>
        <w:rPr>
          <w:rFonts w:hint="eastAsia" w:ascii="仿宋" w:hAnsi="仿宋" w:eastAsia="仿宋"/>
          <w:sz w:val="32"/>
          <w:szCs w:val="32"/>
        </w:rPr>
        <w:t>支出9.71万元，占7</w:t>
      </w:r>
      <w:r>
        <w:rPr>
          <w:rFonts w:ascii="仿宋" w:hAnsi="仿宋" w:eastAsia="仿宋"/>
          <w:sz w:val="32"/>
          <w:szCs w:val="32"/>
        </w:rPr>
        <w:t>%</w:t>
      </w:r>
      <w:r>
        <w:rPr>
          <w:rFonts w:hint="eastAsia" w:ascii="仿宋" w:hAnsi="仿宋" w:eastAsia="仿宋"/>
          <w:sz w:val="32"/>
          <w:szCs w:val="32"/>
        </w:rPr>
        <w:t>；</w:t>
      </w:r>
    </w:p>
    <w:p>
      <w:pPr>
        <w:pStyle w:val="23"/>
        <w:rPr>
          <w:rFonts w:hAnsi="仿宋"/>
          <w:color w:val="auto"/>
          <w:sz w:val="32"/>
          <w:szCs w:val="32"/>
        </w:rPr>
      </w:pPr>
      <w:r>
        <w:rPr>
          <w:rFonts w:hint="eastAsia" w:hAnsi="仿宋"/>
          <w:color w:val="auto"/>
          <w:sz w:val="32"/>
          <w:szCs w:val="32"/>
        </w:rPr>
        <w:drawing>
          <wp:inline distT="0" distB="0" distL="114300" distR="114300">
            <wp:extent cx="4741545" cy="2798445"/>
            <wp:effectExtent l="4445" t="4445" r="889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pPr>
        <w:spacing w:line="600" w:lineRule="exact"/>
        <w:ind w:firstLine="642" w:firstLineChars="200"/>
        <w:outlineLvl w:val="1"/>
        <w:rPr>
          <w:rFonts w:ascii="仿宋" w:hAnsi="仿宋" w:eastAsia="仿宋"/>
          <w:b/>
          <w:sz w:val="32"/>
          <w:szCs w:val="32"/>
        </w:rPr>
      </w:pPr>
      <w:bookmarkStart w:id="45" w:name="_Toc15377444"/>
      <w:bookmarkStart w:id="46" w:name="_Toc15378460"/>
      <w:bookmarkStart w:id="47" w:name="_Toc15377213"/>
      <w:bookmarkStart w:id="48" w:name="_Toc24372"/>
      <w:r>
        <w:rPr>
          <w:rFonts w:hint="eastAsia" w:ascii="仿宋" w:hAnsi="仿宋" w:eastAsia="仿宋"/>
          <w:b/>
          <w:sz w:val="32"/>
          <w:szCs w:val="32"/>
        </w:rPr>
        <w:t>2021年一般公共预算支出决算数为145.37万元</w:t>
      </w:r>
      <w:r>
        <w:rPr>
          <w:rFonts w:hint="eastAsia" w:ascii="仿宋" w:hAnsi="仿宋" w:eastAsia="仿宋"/>
          <w:sz w:val="32"/>
          <w:szCs w:val="32"/>
        </w:rPr>
        <w:t>，</w:t>
      </w:r>
      <w:r>
        <w:rPr>
          <w:rStyle w:val="15"/>
          <w:rFonts w:hint="eastAsia" w:ascii="仿宋" w:hAnsi="仿宋" w:eastAsia="仿宋"/>
          <w:bCs/>
          <w:sz w:val="32"/>
          <w:szCs w:val="32"/>
        </w:rPr>
        <w:t>完成预算99.57</w:t>
      </w:r>
      <w:r>
        <w:rPr>
          <w:rStyle w:val="15"/>
          <w:rFonts w:ascii="仿宋" w:hAnsi="仿宋" w:eastAsia="仿宋"/>
          <w:bCs/>
          <w:sz w:val="32"/>
          <w:szCs w:val="32"/>
        </w:rPr>
        <w:t>%</w:t>
      </w:r>
      <w:r>
        <w:rPr>
          <w:rStyle w:val="15"/>
          <w:rFonts w:hint="eastAsia" w:ascii="仿宋" w:hAnsi="仿宋" w:eastAsia="仿宋"/>
          <w:bCs/>
          <w:sz w:val="32"/>
          <w:szCs w:val="32"/>
        </w:rPr>
        <w:t>。其中：</w:t>
      </w:r>
      <w:bookmarkEnd w:id="45"/>
      <w:bookmarkEnd w:id="46"/>
      <w:bookmarkEnd w:id="47"/>
      <w:bookmarkEnd w:id="48"/>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社会保障和就业（类）行政事业单位养老支出（款）机关事业单位基本养老保险缴费支出（项）</w:t>
      </w:r>
      <w:r>
        <w:rPr>
          <w:rStyle w:val="15"/>
          <w:rFonts w:ascii="仿宋" w:hAnsi="仿宋" w:eastAsia="仿宋"/>
          <w:bCs/>
          <w:sz w:val="32"/>
          <w:szCs w:val="32"/>
        </w:rPr>
        <w:t>:</w:t>
      </w:r>
      <w:r>
        <w:rPr>
          <w:rStyle w:val="15"/>
          <w:rFonts w:hint="eastAsia" w:ascii="仿宋" w:hAnsi="仿宋" w:eastAsia="仿宋"/>
          <w:b w:val="0"/>
          <w:bCs/>
          <w:sz w:val="32"/>
          <w:szCs w:val="32"/>
        </w:rPr>
        <w:t>支出决算为8.84万元，完成预算100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决算数与预算数基本持平</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卫生健康（类）行政事业单位医疗（款）事业单位医疗（项）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支出决算为4.42万元，完成预算100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5"/>
          <w:rFonts w:hint="eastAsia" w:ascii="仿宋" w:hAnsi="仿宋" w:eastAsia="仿宋"/>
          <w:b w:val="0"/>
          <w:bCs/>
          <w:sz w:val="32"/>
          <w:szCs w:val="32"/>
        </w:rPr>
        <w:t>。</w:t>
      </w:r>
    </w:p>
    <w:p>
      <w:pPr>
        <w:widowControl/>
        <w:spacing w:line="546"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3.自然资源海洋气象等支出（类）自然资源事务（款）事业运行(项）：</w:t>
      </w:r>
      <w:r>
        <w:rPr>
          <w:rFonts w:hint="eastAsia" w:ascii="仿宋_GB2312" w:hAnsi="仿宋_GB2312" w:eastAsia="仿宋_GB2312" w:cs="仿宋_GB2312"/>
          <w:color w:val="000000"/>
          <w:sz w:val="32"/>
          <w:szCs w:val="32"/>
        </w:rPr>
        <w:t>支出决算为122.4万元，</w:t>
      </w:r>
      <w:r>
        <w:rPr>
          <w:rFonts w:hint="eastAsia" w:ascii="仿宋_GB2312" w:hAnsi="仿宋_GB2312" w:eastAsia="仿宋_GB2312" w:cs="仿宋_GB2312"/>
          <w:sz w:val="32"/>
          <w:szCs w:val="32"/>
        </w:rPr>
        <w:t>完成预算99.5%，决算数小于预算数主要原因是严格控制经费，压缩各项开支。</w:t>
      </w:r>
    </w:p>
    <w:p>
      <w:pPr>
        <w:widowControl/>
        <w:spacing w:line="546" w:lineRule="exact"/>
        <w:ind w:firstLine="642"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4.自然资源海洋气象等支出（类）自然资源事务（款）其他自然资源事务（项）：</w:t>
      </w:r>
      <w:r>
        <w:rPr>
          <w:rFonts w:hint="eastAsia" w:ascii="仿宋_GB2312" w:hAnsi="仿宋_GB2312" w:eastAsia="仿宋_GB2312" w:cs="仿宋_GB2312"/>
          <w:color w:val="000000"/>
          <w:sz w:val="32"/>
          <w:szCs w:val="32"/>
        </w:rPr>
        <w:t>年初未安排预算。</w:t>
      </w:r>
    </w:p>
    <w:p>
      <w:pPr>
        <w:widowControl/>
        <w:spacing w:line="546" w:lineRule="exact"/>
        <w:ind w:firstLine="642"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5.住房保障（类）住房改革（款）住房公积金（项）:</w:t>
      </w:r>
      <w:r>
        <w:rPr>
          <w:rFonts w:hint="eastAsia" w:ascii="仿宋_GB2312" w:hAnsi="仿宋_GB2312" w:eastAsia="仿宋_GB2312" w:cs="仿宋_GB2312"/>
          <w:color w:val="000000"/>
          <w:sz w:val="32"/>
          <w:szCs w:val="32"/>
        </w:rPr>
        <w:t>支出决算为9.71万元，完成预算100%，决算数与预算数基本持平。</w:t>
      </w:r>
    </w:p>
    <w:p>
      <w:pPr>
        <w:tabs>
          <w:tab w:val="right" w:pos="8306"/>
        </w:tabs>
        <w:spacing w:line="600" w:lineRule="exact"/>
        <w:ind w:firstLine="640"/>
        <w:outlineLvl w:val="1"/>
        <w:rPr>
          <w:rStyle w:val="26"/>
        </w:rPr>
      </w:pPr>
      <w:bookmarkStart w:id="49" w:name="_Toc15377214"/>
      <w:bookmarkStart w:id="50" w:name="_Toc24949"/>
      <w:bookmarkStart w:id="5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9"/>
      <w:bookmarkEnd w:id="50"/>
      <w:bookmarkEnd w:id="51"/>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21年一般公共预算财政拨款基本支出145.38万元，其中：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人员经费106.34万元，主要包括：基本工资、津贴补贴、绩效工资、机关事业单位基本养老保险缴费、职工基本医疗保险缴费、其他社会保障缴费、住房公积金、其他工资福利支出。</w:t>
      </w:r>
    </w:p>
    <w:p>
      <w:pPr>
        <w:spacing w:line="600" w:lineRule="exact"/>
        <w:rPr>
          <w:rFonts w:ascii="仿宋" w:hAnsi="仿宋" w:eastAsia="仿宋"/>
          <w:b/>
          <w:sz w:val="32"/>
          <w:szCs w:val="32"/>
        </w:rPr>
      </w:pPr>
      <w:r>
        <w:rPr>
          <w:rFonts w:hint="eastAsia" w:ascii="仿宋" w:hAnsi="仿宋" w:eastAsia="仿宋"/>
          <w:sz w:val="32"/>
          <w:szCs w:val="32"/>
        </w:rPr>
        <w:t>公用经费39.04万元，主要包括：办公费、印刷费、手续费、水费、电费、邮电费、差旅费、维修（护）费、会议费、培训费、公务接待费、劳务费、工会经费、福利费、其他商品和服务支出。</w:t>
      </w:r>
    </w:p>
    <w:p>
      <w:pPr>
        <w:spacing w:line="600" w:lineRule="exact"/>
        <w:ind w:firstLine="640"/>
        <w:outlineLvl w:val="1"/>
        <w:rPr>
          <w:rStyle w:val="26"/>
          <w:rFonts w:ascii="黑体" w:hAnsi="黑体" w:eastAsia="黑体"/>
          <w:b w:val="0"/>
        </w:rPr>
      </w:pPr>
      <w:bookmarkStart w:id="52" w:name="_Toc15377215"/>
      <w:bookmarkStart w:id="53" w:name="_Toc20314"/>
      <w:bookmarkStart w:id="54"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21年“三公”经费财政拨款支出决算为0.36万元，完成预算36</w:t>
      </w:r>
      <w:r>
        <w:rPr>
          <w:rFonts w:ascii="仿宋" w:hAnsi="仿宋" w:eastAsia="仿宋"/>
          <w:sz w:val="32"/>
          <w:szCs w:val="32"/>
        </w:rPr>
        <w:t>%</w:t>
      </w:r>
      <w:r>
        <w:rPr>
          <w:rFonts w:hint="eastAsia" w:ascii="仿宋" w:hAnsi="仿宋" w:eastAsia="仿宋"/>
          <w:sz w:val="32"/>
          <w:szCs w:val="32"/>
        </w:rPr>
        <w:t>，决算数小于预算数的主要原因是严格控制经费，压缩各项开支。</w:t>
      </w:r>
    </w:p>
    <w:p>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；公务接待费支出决算0.36万元，占36</w:t>
      </w:r>
      <w:r>
        <w:rPr>
          <w:rFonts w:ascii="仿宋" w:hAnsi="仿宋" w:eastAsia="仿宋"/>
          <w:sz w:val="32"/>
          <w:szCs w:val="32"/>
        </w:rPr>
        <w:t>%</w:t>
      </w:r>
      <w:r>
        <w:rPr>
          <w:rFonts w:hint="eastAsia" w:ascii="仿宋" w:hAnsi="仿宋" w:eastAsia="仿宋"/>
          <w:sz w:val="32"/>
          <w:szCs w:val="32"/>
        </w:rPr>
        <w:t>。具体情况如下：</w:t>
      </w:r>
    </w:p>
    <w:p>
      <w:pPr>
        <w:pStyle w:val="23"/>
        <w:rPr>
          <w:rFonts w:hAnsi="仿宋"/>
          <w:color w:val="auto"/>
          <w:sz w:val="32"/>
          <w:szCs w:val="32"/>
        </w:rPr>
      </w:pPr>
      <w:r>
        <w:rPr>
          <w:rFonts w:hint="eastAsia" w:hAnsi="仿宋"/>
          <w:color w:val="auto"/>
          <w:sz w:val="32"/>
          <w:szCs w:val="32"/>
        </w:rPr>
        <w:drawing>
          <wp:inline distT="0" distB="0" distL="114300" distR="114300">
            <wp:extent cx="4636770" cy="2771775"/>
            <wp:effectExtent l="4445" t="4445" r="6985"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万元，年初未安排预算。</w:t>
      </w:r>
    </w:p>
    <w:p>
      <w:pPr>
        <w:widowControl/>
        <w:spacing w:line="546" w:lineRule="exact"/>
        <w:ind w:firstLine="642" w:firstLineChars="200"/>
        <w:jc w:val="left"/>
        <w:rPr>
          <w:rFonts w:ascii="仿宋_GB2312" w:hAnsi="仿宋_GB2312" w:eastAsia="仿宋_GB2312" w:cs="仿宋_GB2312"/>
          <w:color w:val="000000"/>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0万元,主要原因是</w:t>
      </w:r>
      <w:r>
        <w:rPr>
          <w:rFonts w:hint="eastAsia" w:ascii="仿宋_GB2312" w:hAnsi="仿宋_GB2312" w:eastAsia="仿宋_GB2312" w:cs="仿宋_GB2312"/>
          <w:color w:val="000000"/>
          <w:sz w:val="32"/>
          <w:szCs w:val="32"/>
        </w:rPr>
        <w:t>年初未安排预算。</w:t>
      </w:r>
    </w:p>
    <w:p>
      <w:pPr>
        <w:widowControl/>
        <w:spacing w:line="546" w:lineRule="exact"/>
        <w:ind w:firstLine="642" w:firstLineChars="200"/>
        <w:jc w:val="left"/>
        <w:rPr>
          <w:rFonts w:ascii="仿宋_GB2312" w:hAnsi="仿宋_GB2312" w:eastAsia="仿宋_GB2312" w:cs="仿宋_GB2312"/>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0万元。主要原因是</w:t>
      </w:r>
      <w:r>
        <w:rPr>
          <w:rFonts w:hint="eastAsia" w:ascii="仿宋_GB2312" w:hAnsi="仿宋_GB2312" w:eastAsia="仿宋_GB2312" w:cs="仿宋_GB2312"/>
          <w:color w:val="000000"/>
          <w:sz w:val="32"/>
          <w:szCs w:val="32"/>
        </w:rPr>
        <w:t>年初未安排预算。</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0.36万元，完成预算36</w:t>
      </w:r>
      <w:r>
        <w:rPr>
          <w:rFonts w:ascii="仿宋_GB2312" w:eastAsia="仿宋_GB2312"/>
          <w:sz w:val="32"/>
          <w:szCs w:val="32"/>
        </w:rPr>
        <w:t>%</w:t>
      </w:r>
      <w:r>
        <w:rPr>
          <w:rFonts w:hint="eastAsia" w:ascii="仿宋_GB2312" w:eastAsia="仿宋_GB231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20年增加0.25万元，增长227</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省厅来我市指导业务工作接待增加</w:t>
      </w:r>
      <w:r>
        <w:rPr>
          <w:rFonts w:hint="eastAsia" w:ascii="仿宋_GB2312" w:eastAsia="仿宋_GB2312"/>
          <w:sz w:val="32"/>
          <w:szCs w:val="32"/>
        </w:rPr>
        <w:t>。其中：</w:t>
      </w:r>
    </w:p>
    <w:p>
      <w:pPr>
        <w:spacing w:line="600" w:lineRule="exact"/>
        <w:ind w:firstLine="640"/>
        <w:rPr>
          <w:rFonts w:ascii="仿宋_GB2312" w:eastAsia="仿宋_GB2312"/>
          <w:color w:val="FF0000"/>
          <w:sz w:val="32"/>
          <w:szCs w:val="32"/>
        </w:rPr>
      </w:pPr>
      <w:r>
        <w:rPr>
          <w:rFonts w:hint="eastAsia" w:ascii="仿宋" w:hAnsi="仿宋" w:eastAsia="仿宋"/>
          <w:b/>
          <w:sz w:val="32"/>
          <w:szCs w:val="32"/>
        </w:rPr>
        <w:t>国内公务接待支出</w:t>
      </w:r>
      <w:r>
        <w:rPr>
          <w:rFonts w:hint="eastAsia" w:ascii="仿宋" w:hAnsi="仿宋" w:eastAsia="仿宋"/>
          <w:sz w:val="32"/>
          <w:szCs w:val="32"/>
        </w:rPr>
        <w:t>0.36</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执行公务、开展业务活动开支的用餐费等</w:t>
      </w:r>
      <w:r>
        <w:rPr>
          <w:rFonts w:hint="eastAsia" w:ascii="仿宋_GB2312" w:eastAsia="仿宋_GB2312"/>
          <w:sz w:val="32"/>
          <w:szCs w:val="32"/>
        </w:rPr>
        <w:t>。国内公务接待5批次，30人次（不包括陪同人员），共计支出0.36万元，具体内容包括：接待县区对接工作0</w:t>
      </w:r>
      <w:r>
        <w:rPr>
          <w:rFonts w:hint="eastAsia" w:ascii="仿宋_GB2312" w:hAnsi="仿宋_GB2312" w:eastAsia="仿宋_GB2312" w:cs="仿宋_GB2312"/>
          <w:color w:val="000000"/>
          <w:sz w:val="32"/>
          <w:szCs w:val="32"/>
        </w:rPr>
        <w:t>.088万元；接待省厅</w:t>
      </w:r>
      <w:r>
        <w:rPr>
          <w:rFonts w:hint="eastAsia" w:ascii="仿宋_GB2312" w:hAnsi="仿宋_GB2312" w:eastAsia="仿宋_GB2312" w:cs="仿宋_GB2312"/>
          <w:sz w:val="32"/>
          <w:szCs w:val="32"/>
        </w:rPr>
        <w:t>指导业务工作接待0.272万元</w:t>
      </w:r>
    </w:p>
    <w:p>
      <w:pPr>
        <w:widowControl/>
        <w:spacing w:line="546" w:lineRule="exact"/>
        <w:ind w:firstLine="642" w:firstLineChars="200"/>
        <w:jc w:val="left"/>
        <w:rPr>
          <w:rFonts w:ascii="仿宋_GB2312" w:hAnsi="仿宋_GB2312" w:eastAsia="仿宋_GB2312" w:cs="仿宋_GB2312"/>
          <w:color w:val="000000"/>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57" w:name="_Toc15377218"/>
      <w:bookmarkStart w:id="58" w:name="_Toc15396610"/>
      <w:r>
        <w:rPr>
          <w:rFonts w:hint="eastAsia" w:ascii="仿宋_GB2312" w:eastAsia="仿宋_GB2312"/>
          <w:sz w:val="32"/>
          <w:szCs w:val="32"/>
        </w:rPr>
        <w:t>主要原因是</w:t>
      </w:r>
      <w:r>
        <w:rPr>
          <w:rFonts w:hint="eastAsia" w:ascii="仿宋_GB2312" w:hAnsi="仿宋_GB2312" w:eastAsia="仿宋_GB2312" w:cs="仿宋_GB2312"/>
          <w:color w:val="000000"/>
          <w:sz w:val="32"/>
          <w:szCs w:val="32"/>
        </w:rPr>
        <w:t>年初未安排预算。</w:t>
      </w:r>
    </w:p>
    <w:p>
      <w:pPr>
        <w:spacing w:line="600" w:lineRule="exact"/>
        <w:ind w:firstLine="640"/>
        <w:outlineLvl w:val="1"/>
        <w:rPr>
          <w:rStyle w:val="26"/>
          <w:rFonts w:ascii="黑体" w:hAnsi="黑体" w:eastAsia="黑体"/>
        </w:rPr>
      </w:pPr>
      <w:bookmarkStart w:id="59" w:name="_Toc19040"/>
      <w:r>
        <w:rPr>
          <w:rFonts w:hint="eastAsia" w:ascii="黑体" w:eastAsia="黑体"/>
          <w:sz w:val="32"/>
          <w:szCs w:val="32"/>
        </w:rPr>
        <w:t>八、</w:t>
      </w:r>
      <w:r>
        <w:rPr>
          <w:rStyle w:val="26"/>
          <w:rFonts w:hint="eastAsia" w:ascii="黑体" w:hAnsi="黑体" w:eastAsia="黑体"/>
          <w:b w:val="0"/>
        </w:rPr>
        <w:t>政府性基金预算支出决算情况说明</w:t>
      </w:r>
      <w:bookmarkEnd w:id="57"/>
      <w:bookmarkEnd w:id="58"/>
      <w:bookmarkEnd w:id="59"/>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21年政府性基金预算财政拨款支出0万元。未在政府性基金预算拨款安排“三公经费”支出。</w:t>
      </w:r>
    </w:p>
    <w:p>
      <w:pPr>
        <w:numPr>
          <w:ilvl w:val="0"/>
          <w:numId w:val="2"/>
        </w:numPr>
        <w:spacing w:line="600" w:lineRule="exact"/>
        <w:ind w:firstLine="640"/>
        <w:outlineLvl w:val="1"/>
        <w:rPr>
          <w:rStyle w:val="26"/>
          <w:rFonts w:ascii="黑体" w:hAnsi="黑体" w:eastAsia="黑体"/>
          <w:b w:val="0"/>
        </w:rPr>
      </w:pPr>
      <w:bookmarkStart w:id="60" w:name="_Toc25373"/>
      <w:bookmarkStart w:id="61" w:name="_Toc15377219"/>
      <w:bookmarkStart w:id="62" w:name="_Toc15396611"/>
      <w:r>
        <w:rPr>
          <w:rStyle w:val="26"/>
          <w:rFonts w:hint="eastAsia" w:ascii="黑体" w:hAnsi="黑体" w:eastAsia="黑体"/>
          <w:b w:val="0"/>
        </w:rPr>
        <w:t>国有资本经营预算支出决算情况说明</w:t>
      </w:r>
      <w:bookmarkEnd w:id="60"/>
      <w:bookmarkEnd w:id="61"/>
      <w:bookmarkEnd w:id="62"/>
    </w:p>
    <w:p>
      <w:pPr>
        <w:widowControl/>
        <w:spacing w:line="546" w:lineRule="exact"/>
        <w:ind w:firstLine="640" w:firstLineChars="200"/>
        <w:jc w:val="left"/>
        <w:rPr>
          <w:rFonts w:ascii="仿宋_GB2312" w:hAnsi="仿宋_GB2312" w:eastAsia="仿宋_GB2312" w:cs="仿宋_GB2312"/>
          <w:color w:val="000000"/>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21年国有资本经营预算财政拨款支出0万元。主要原因是</w:t>
      </w:r>
      <w:r>
        <w:rPr>
          <w:rFonts w:hint="eastAsia" w:ascii="仿宋_GB2312" w:hAnsi="仿宋_GB2312" w:eastAsia="仿宋_GB2312" w:cs="仿宋_GB2312"/>
          <w:color w:val="000000"/>
          <w:sz w:val="32"/>
          <w:szCs w:val="32"/>
        </w:rPr>
        <w:t>年初未安排预算。</w:t>
      </w:r>
    </w:p>
    <w:p>
      <w:pPr>
        <w:numPr>
          <w:ilvl w:val="0"/>
          <w:numId w:val="2"/>
        </w:numPr>
        <w:spacing w:line="600" w:lineRule="exact"/>
        <w:ind w:firstLine="640"/>
        <w:outlineLvl w:val="1"/>
        <w:rPr>
          <w:rStyle w:val="26"/>
          <w:rFonts w:ascii="黑体" w:hAnsi="黑体" w:eastAsia="黑体"/>
          <w:b w:val="0"/>
        </w:rPr>
      </w:pPr>
      <w:bookmarkStart w:id="63" w:name="_Toc13224"/>
      <w:bookmarkStart w:id="64" w:name="_Toc15377221"/>
      <w:bookmarkStart w:id="65" w:name="_Toc15396612"/>
      <w:r>
        <w:rPr>
          <w:rStyle w:val="26"/>
          <w:rFonts w:hint="eastAsia" w:ascii="黑体" w:hAnsi="黑体" w:eastAsia="黑体"/>
          <w:b w:val="0"/>
        </w:rPr>
        <w:t>预算绩效管理情况</w:t>
      </w:r>
      <w:bookmarkEnd w:id="63"/>
    </w:p>
    <w:p>
      <w:pPr>
        <w:spacing w:line="580" w:lineRule="exact"/>
        <w:ind w:firstLine="640" w:firstLineChars="200"/>
      </w:pPr>
      <w:r>
        <w:rPr>
          <w:rFonts w:hint="eastAsia" w:ascii="仿宋_GB2312" w:hAnsi="仿宋_GB2312" w:eastAsia="仿宋_GB2312" w:cs="仿宋_GB2312"/>
          <w:sz w:val="32"/>
          <w:szCs w:val="32"/>
        </w:rPr>
        <w:t>根据预算绩效管理要求，本单位在2021年度预算编制阶段，组织对地理信息公共服务平台建设与运维、永久性测量标志巡查2个项目开展了预算事前绩效评估，对2个项目编制了绩效目标，预算执行过程中，选取2个项目开展绩效监控，年终执行完毕后，对2个项目开展了绩效自评，2021年部门预算项目绩效目标自评表见附件（第四部分）。</w:t>
      </w:r>
    </w:p>
    <w:p>
      <w:pPr>
        <w:numPr>
          <w:ilvl w:val="0"/>
          <w:numId w:val="2"/>
        </w:numPr>
        <w:spacing w:line="600" w:lineRule="exact"/>
        <w:ind w:firstLine="640"/>
        <w:outlineLvl w:val="1"/>
        <w:rPr>
          <w:rStyle w:val="26"/>
          <w:rFonts w:ascii="黑体" w:hAnsi="黑体" w:eastAsia="黑体"/>
          <w:b w:val="0"/>
        </w:rPr>
      </w:pPr>
      <w:bookmarkStart w:id="66" w:name="_Toc2361"/>
      <w:r>
        <w:rPr>
          <w:rStyle w:val="26"/>
          <w:rFonts w:hint="eastAsia" w:ascii="黑体" w:hAnsi="黑体" w:eastAsia="黑体"/>
          <w:b w:val="0"/>
        </w:rPr>
        <w:t>其他重要事项的情况说明</w:t>
      </w:r>
      <w:bookmarkEnd w:id="64"/>
      <w:bookmarkEnd w:id="65"/>
      <w:bookmarkEnd w:id="66"/>
    </w:p>
    <w:p>
      <w:pPr>
        <w:spacing w:line="600" w:lineRule="exact"/>
        <w:ind w:firstLine="642"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21年，广元市测绘地理信息中心未发生机关运行经费，</w:t>
      </w:r>
      <w:r>
        <w:rPr>
          <w:rFonts w:hint="eastAsia" w:ascii="仿宋_GB2312" w:hAnsi="仿宋_GB2312" w:eastAsia="仿宋_GB2312" w:cs="仿宋_GB2312"/>
          <w:sz w:val="32"/>
          <w:szCs w:val="32"/>
        </w:rPr>
        <w:t>与2020年无变化，年初未安排预算。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pPr>
        <w:widowControl/>
        <w:spacing w:line="546" w:lineRule="exact"/>
        <w:ind w:firstLine="640" w:firstLineChars="200"/>
        <w:jc w:val="left"/>
        <w:rPr>
          <w:rFonts w:ascii="仿宋_GB2312" w:hAnsi="仿宋_GB2312" w:eastAsia="仿宋_GB2312" w:cs="仿宋_GB2312"/>
          <w:color w:val="000000"/>
          <w:sz w:val="32"/>
          <w:szCs w:val="32"/>
        </w:rPr>
      </w:pPr>
      <w:r>
        <w:rPr>
          <w:rFonts w:ascii="仿宋_GB2312" w:eastAsia="仿宋_GB2312"/>
          <w:sz w:val="32"/>
          <w:szCs w:val="32"/>
        </w:rPr>
        <w:t>20</w:t>
      </w:r>
      <w:r>
        <w:rPr>
          <w:rFonts w:hint="eastAsia" w:ascii="仿宋_GB2312" w:eastAsia="仿宋_GB2312"/>
          <w:sz w:val="32"/>
          <w:szCs w:val="32"/>
        </w:rPr>
        <w:t>21年，广元市测绘地理信息中心政府采购支出总额0万元，其中：政府采购货物支出0万元。</w:t>
      </w:r>
      <w:bookmarkStart w:id="69" w:name="_Toc15377224"/>
      <w:r>
        <w:rPr>
          <w:rFonts w:hint="eastAsia" w:ascii="仿宋_GB2312" w:eastAsia="仿宋_GB2312"/>
          <w:sz w:val="32"/>
          <w:szCs w:val="32"/>
        </w:rPr>
        <w:t>主要原因是</w:t>
      </w:r>
      <w:r>
        <w:rPr>
          <w:rFonts w:hint="eastAsia" w:ascii="仿宋_GB2312" w:hAnsi="仿宋_GB2312" w:eastAsia="仿宋_GB2312" w:cs="仿宋_GB2312"/>
          <w:color w:val="000000"/>
          <w:sz w:val="32"/>
          <w:szCs w:val="32"/>
        </w:rPr>
        <w:t>年初未安排预算。</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（三）国有资产占有使用情况</w:t>
      </w:r>
      <w:bookmarkEnd w:id="6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日，广元市测绘地理信息中心共有车辆0辆，其中：主要领导干部用0辆、机要通信用车0辆、应急保障用车0辆、其他用车0辆，其他用车主要是用于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6"/>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70" w:name="_Toc15396613"/>
      <w:bookmarkStart w:id="71" w:name="_Toc11420"/>
      <w:bookmarkStart w:id="72" w:name="_Toc15377225"/>
      <w:r>
        <w:rPr>
          <w:rFonts w:hint="eastAsia" w:ascii="黑体" w:hAnsi="黑体" w:eastAsia="黑体"/>
          <w:sz w:val="44"/>
          <w:szCs w:val="44"/>
        </w:rPr>
        <w:t>名</w:t>
      </w:r>
      <w:r>
        <w:rPr>
          <w:rStyle w:val="25"/>
          <w:rFonts w:hint="eastAsia" w:ascii="黑体" w:hAnsi="黑体" w:eastAsia="黑体"/>
          <w:b w:val="0"/>
        </w:rPr>
        <w:t>词解释</w:t>
      </w:r>
      <w:bookmarkEnd w:id="70"/>
      <w:bookmarkEnd w:id="71"/>
      <w:bookmarkEnd w:id="72"/>
    </w:p>
    <w:p>
      <w:pPr>
        <w:spacing w:line="600" w:lineRule="exact"/>
        <w:jc w:val="left"/>
        <w:rPr>
          <w:rFonts w:ascii="宋体"/>
          <w:b/>
          <w:sz w:val="44"/>
          <w:szCs w:val="44"/>
        </w:rPr>
      </w:pPr>
    </w:p>
    <w:p>
      <w:pPr>
        <w:pStyle w:val="23"/>
        <w:spacing w:line="580" w:lineRule="exact"/>
        <w:ind w:firstLine="642" w:firstLineChars="200"/>
        <w:outlineLvl w:val="1"/>
        <w:rPr>
          <w:rFonts w:ascii="仿宋_GB2312" w:hAnsi="仿宋_GB2312" w:eastAsia="仿宋_GB2312" w:cs="仿宋_GB2312"/>
          <w:sz w:val="32"/>
          <w:szCs w:val="32"/>
        </w:rPr>
      </w:pPr>
      <w:bookmarkStart w:id="73" w:name="_Toc10524"/>
      <w:bookmarkStart w:id="74" w:name="_Toc15377226"/>
      <w:r>
        <w:rPr>
          <w:rFonts w:hint="eastAsia" w:ascii="仿宋_GB2312" w:hAnsi="仿宋_GB2312" w:eastAsia="仿宋_GB2312" w:cs="仿宋_GB2312"/>
          <w:b/>
          <w:bCs/>
          <w:sz w:val="32"/>
          <w:szCs w:val="32"/>
        </w:rPr>
        <w:t>1.财政拨款收入：</w:t>
      </w:r>
      <w:r>
        <w:rPr>
          <w:rFonts w:hint="eastAsia" w:ascii="仿宋_GB2312" w:hAnsi="仿宋_GB2312" w:eastAsia="仿宋_GB2312" w:cs="仿宋_GB2312"/>
          <w:sz w:val="32"/>
          <w:szCs w:val="32"/>
        </w:rPr>
        <w:t>指单位从同级财政部门取得的财政预算资金。</w:t>
      </w:r>
      <w:bookmarkEnd w:id="73"/>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2.其他收入</w:t>
      </w:r>
      <w:r>
        <w:rPr>
          <w:rFonts w:hint="eastAsia" w:ascii="仿宋_GB2312" w:hAnsi="仿宋_GB2312" w:eastAsia="仿宋_GB2312" w:cs="仿宋_GB2312"/>
          <w:sz w:val="32"/>
          <w:szCs w:val="32"/>
        </w:rPr>
        <w:t>：指单位取得的除上述收入以外的各项收入。主要是单位银行存款利息和财政预算拨付的项目资金。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3.年初结转和结余：</w:t>
      </w:r>
      <w:r>
        <w:rPr>
          <w:rFonts w:hint="eastAsia" w:ascii="仿宋_GB2312" w:hAnsi="仿宋_GB2312" w:eastAsia="仿宋_GB2312" w:cs="仿宋_GB2312"/>
          <w:sz w:val="32"/>
          <w:szCs w:val="32"/>
        </w:rPr>
        <w:t>指以前年度尚未完成、结转到本年按有关规定继续使用的资金。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4.年末结转和结余：</w:t>
      </w:r>
      <w:r>
        <w:rPr>
          <w:rFonts w:hint="eastAsia" w:ascii="仿宋_GB2312" w:hAnsi="仿宋_GB2312" w:eastAsia="仿宋_GB2312" w:cs="仿宋_GB2312"/>
          <w:sz w:val="32"/>
          <w:szCs w:val="32"/>
        </w:rPr>
        <w:t>指单位按有关规定结转到下年或以后年度继续使用的资金。</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5.社会保障和就业（类）行政事业单位养老支出（款）机关事业单位基本养老保险缴费支出（项）:</w:t>
      </w:r>
      <w:r>
        <w:rPr>
          <w:rStyle w:val="15"/>
          <w:rFonts w:hint="eastAsia" w:ascii="仿宋_GB2312" w:hAnsi="仿宋_GB2312" w:eastAsia="仿宋_GB2312" w:cs="仿宋_GB2312"/>
          <w:b w:val="0"/>
          <w:sz w:val="32"/>
          <w:szCs w:val="32"/>
        </w:rPr>
        <w:t>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spacing w:line="580" w:lineRule="exact"/>
        <w:ind w:firstLine="642" w:firstLineChars="200"/>
        <w:rPr>
          <w:rStyle w:val="15"/>
          <w:rFonts w:ascii="仿宋_GB2312" w:hAnsi="仿宋_GB2312" w:eastAsia="仿宋_GB2312" w:cs="仿宋_GB2312"/>
          <w:b w:val="0"/>
          <w:sz w:val="32"/>
          <w:szCs w:val="32"/>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spacing w:line="580" w:lineRule="exact"/>
        <w:ind w:firstLine="64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.自然资源海洋气象等（类）自然资源事务（款)、事业运行（项）：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shd w:val="clear" w:color="auto" w:fill="FFFFFF"/>
        </w:rPr>
        <w:t>局事业单位用于保障机构正常运行、开展日常工作的基本支出。</w:t>
      </w:r>
    </w:p>
    <w:p>
      <w:pPr>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rPr>
        <w:t>指局机关及事业单位按行政事业单位按人力资源部和社会保障部、财政部规定的基本工资和津贴补贴以及规定比例为职工缴纳的住房公积金。</w:t>
      </w:r>
    </w:p>
    <w:p>
      <w:pPr>
        <w:spacing w:line="58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spacing w:line="58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11</w:t>
      </w:r>
      <w:bookmarkStart w:id="113" w:name="_GoBack"/>
      <w:bookmarkEnd w:id="113"/>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r>
        <w:rPr>
          <w:rFonts w:ascii="宋体"/>
          <w:b/>
          <w:sz w:val="44"/>
          <w:szCs w:val="44"/>
        </w:rPr>
        <w:br w:type="page"/>
      </w:r>
      <w:bookmarkStart w:id="75" w:name="_Toc15396614"/>
      <w:bookmarkStart w:id="76" w:name="_Toc18131"/>
      <w:r>
        <w:rPr>
          <w:rFonts w:hint="eastAsia" w:ascii="黑体" w:hAnsi="黑体" w:eastAsia="黑体"/>
          <w:sz w:val="44"/>
          <w:szCs w:val="44"/>
        </w:rPr>
        <w:t>第</w:t>
      </w:r>
      <w:r>
        <w:rPr>
          <w:rStyle w:val="25"/>
          <w:rFonts w:hint="eastAsia" w:ascii="黑体" w:hAnsi="黑体" w:eastAsia="黑体"/>
          <w:b w:val="0"/>
        </w:rPr>
        <w:t>四部分 附件</w:t>
      </w:r>
      <w:bookmarkEnd w:id="75"/>
      <w:bookmarkEnd w:id="76"/>
    </w:p>
    <w:p>
      <w:pPr>
        <w:pStyle w:val="6"/>
        <w:spacing w:before="93"/>
        <w:outlineLvl w:val="1"/>
        <w:rPr>
          <w:rFonts w:hAnsi="宋体" w:cs="宋体"/>
          <w:sz w:val="32"/>
          <w:szCs w:val="32"/>
          <w:shd w:val="clear" w:color="auto" w:fill="FFFFFF"/>
          <w:lang w:val="zh-CN"/>
        </w:rPr>
      </w:pPr>
      <w:bookmarkStart w:id="77" w:name="_Toc7799"/>
      <w:r>
        <w:rPr>
          <w:rFonts w:hint="eastAsia" w:hAnsi="宋体" w:cs="宋体"/>
          <w:sz w:val="32"/>
          <w:szCs w:val="32"/>
          <w:shd w:val="clear" w:color="auto" w:fill="FFFFFF"/>
          <w:lang w:val="zh-CN"/>
        </w:rPr>
        <w:t>附件</w:t>
      </w:r>
      <w:bookmarkEnd w:id="77"/>
    </w:p>
    <w:p>
      <w:pPr>
        <w:adjustRightInd w:val="0"/>
        <w:snapToGrid w:val="0"/>
        <w:spacing w:line="440" w:lineRule="exact"/>
        <w:ind w:firstLine="370" w:firstLineChars="103"/>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广元市测绘地理信息中心</w:t>
      </w:r>
    </w:p>
    <w:p>
      <w:pPr>
        <w:adjustRightInd w:val="0"/>
        <w:snapToGrid w:val="0"/>
        <w:spacing w:line="440" w:lineRule="exact"/>
        <w:ind w:firstLine="370" w:firstLineChars="103"/>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支出绩效评价自评报告</w:t>
      </w:r>
    </w:p>
    <w:p>
      <w:pPr>
        <w:spacing w:line="440" w:lineRule="exact"/>
        <w:ind w:firstLine="642" w:firstLineChars="200"/>
        <w:rPr>
          <w:rFonts w:ascii="黑体" w:hAnsi="黑体" w:eastAsia="黑体"/>
          <w:b/>
          <w:sz w:val="32"/>
          <w:szCs w:val="32"/>
        </w:rPr>
      </w:pPr>
    </w:p>
    <w:p>
      <w:pPr>
        <w:spacing w:line="440" w:lineRule="exact"/>
        <w:ind w:firstLine="640" w:firstLineChars="200"/>
        <w:outlineLvl w:val="1"/>
        <w:rPr>
          <w:rFonts w:ascii="黑体" w:hAnsi="黑体" w:eastAsia="黑体"/>
          <w:sz w:val="32"/>
          <w:szCs w:val="32"/>
        </w:rPr>
      </w:pPr>
      <w:bookmarkStart w:id="78" w:name="_Toc1506"/>
      <w:r>
        <w:rPr>
          <w:rFonts w:hint="eastAsia" w:ascii="黑体" w:hAnsi="黑体" w:eastAsia="黑体"/>
          <w:sz w:val="32"/>
          <w:szCs w:val="32"/>
        </w:rPr>
        <w:t>一、部门概况</w:t>
      </w:r>
      <w:bookmarkEnd w:id="78"/>
    </w:p>
    <w:p>
      <w:pPr>
        <w:spacing w:line="580" w:lineRule="exact"/>
        <w:ind w:firstLine="640" w:firstLineChars="200"/>
        <w:rPr>
          <w:rFonts w:ascii="仿宋_GB2312" w:eastAsia="仿宋_GB2312"/>
          <w:sz w:val="32"/>
          <w:szCs w:val="32"/>
        </w:rPr>
      </w:pPr>
      <w:r>
        <w:rPr>
          <w:rFonts w:hint="eastAsia" w:ascii="仿宋_GB2312" w:eastAsia="仿宋_GB2312"/>
          <w:sz w:val="32"/>
          <w:szCs w:val="32"/>
        </w:rPr>
        <w:t>负责实施市级基础测绘项目；组织全市测绘坐标系统建设、维护；承担全市基础地理信息数据库及地理信息公共服务平台建设、维护与应用。</w:t>
      </w:r>
    </w:p>
    <w:p>
      <w:pPr>
        <w:spacing w:line="440" w:lineRule="exact"/>
        <w:ind w:firstLine="640" w:firstLineChars="200"/>
        <w:outlineLvl w:val="1"/>
        <w:rPr>
          <w:rFonts w:ascii="黑体" w:hAnsi="黑体" w:eastAsia="黑体"/>
          <w:sz w:val="32"/>
          <w:szCs w:val="32"/>
        </w:rPr>
      </w:pPr>
      <w:bookmarkStart w:id="79" w:name="_Toc17036"/>
      <w:r>
        <w:rPr>
          <w:rFonts w:hint="eastAsia" w:ascii="黑体" w:hAnsi="黑体" w:eastAsia="黑体"/>
          <w:sz w:val="32"/>
          <w:szCs w:val="32"/>
        </w:rPr>
        <w:t>二、部门总体评价</w:t>
      </w:r>
      <w:bookmarkEnd w:id="79"/>
      <w:r>
        <w:rPr>
          <w:rFonts w:hint="eastAsia" w:ascii="黑体" w:hAnsi="黑体" w:eastAsia="黑体"/>
          <w:sz w:val="32"/>
          <w:szCs w:val="32"/>
        </w:rPr>
        <w:t xml:space="preserve">   </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部门整体支出绩效评价得分为97分，部门支出绩效评价扣分原因为：绩效管理扣1分，综合管理扣1分，评价结果应用扣1分。项目支出绩效评价得96分，按30%权重计算,该部门总体绩效评价最终得分为97分（见附件1）。</w:t>
      </w:r>
    </w:p>
    <w:p>
      <w:pPr>
        <w:spacing w:line="440" w:lineRule="exact"/>
        <w:ind w:firstLine="627" w:firstLineChars="196"/>
        <w:outlineLvl w:val="1"/>
        <w:rPr>
          <w:rFonts w:ascii="黑体" w:hAnsi="黑体" w:eastAsia="黑体"/>
          <w:sz w:val="32"/>
          <w:szCs w:val="32"/>
        </w:rPr>
      </w:pPr>
      <w:bookmarkStart w:id="80" w:name="_Toc14843"/>
      <w:r>
        <w:rPr>
          <w:rFonts w:hint="eastAsia" w:ascii="黑体" w:hAnsi="黑体" w:eastAsia="黑体"/>
          <w:sz w:val="32"/>
          <w:szCs w:val="32"/>
        </w:rPr>
        <w:t>三、部门财政支出管理情况</w:t>
      </w:r>
      <w:bookmarkEnd w:id="80"/>
    </w:p>
    <w:p>
      <w:pPr>
        <w:spacing w:line="440" w:lineRule="exact"/>
        <w:ind w:firstLine="640" w:firstLineChars="200"/>
        <w:rPr>
          <w:rFonts w:ascii="仿宋_GB2312" w:eastAsia="仿宋_GB2312"/>
          <w:sz w:val="32"/>
          <w:szCs w:val="32"/>
        </w:rPr>
      </w:pPr>
      <w:r>
        <w:rPr>
          <w:rFonts w:hint="eastAsia" w:ascii="楷体_GB2312" w:eastAsia="楷体_GB2312"/>
          <w:sz w:val="32"/>
          <w:szCs w:val="32"/>
        </w:rPr>
        <w:t>（一）预算编制</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1.报送时效。我中心严格按财政部门预算编制要求的时间及时报送了部门预算和项目绩效目标,并规范准确完整地填制和报送预算报表，合理反映了本部门年度职责履行情况。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编制质量。我中心严格按照财政要求编制部门预算，达到了财政预算编制质量要求。做到编制完整无漏项，预算编制准确，基础信息和科目使用准确，单位编制、人员情况与供养人员横向联网系统数据相符。预算编制规范，项目名称、绩效指标、项目内容说明等合符规范。总之，基本支出按人员编制和定额标准，项目支出按照本单位职能职责根据上级和市委市政府下达的工作目标任务进行编制，做到了资料完整、依据充分。</w:t>
      </w:r>
    </w:p>
    <w:p>
      <w:pPr>
        <w:spacing w:line="440" w:lineRule="exact"/>
        <w:ind w:firstLine="640" w:firstLineChars="200"/>
        <w:rPr>
          <w:rFonts w:ascii="仿宋_GB2312" w:eastAsia="仿宋_GB2312"/>
          <w:b/>
          <w:sz w:val="32"/>
          <w:szCs w:val="32"/>
        </w:rPr>
      </w:pPr>
      <w:r>
        <w:rPr>
          <w:rFonts w:hint="eastAsia" w:ascii="楷体_GB2312" w:eastAsia="楷体_GB2312"/>
          <w:sz w:val="32"/>
          <w:szCs w:val="32"/>
        </w:rPr>
        <w:t>（二）预算执行</w:t>
      </w:r>
    </w:p>
    <w:p>
      <w:pPr>
        <w:spacing w:line="440" w:lineRule="exact"/>
        <w:ind w:firstLine="640" w:firstLineChars="200"/>
        <w:rPr>
          <w:rFonts w:ascii="仿宋_GB2312" w:hAnsi="宋体" w:eastAsia="仿宋_GB2312" w:cs="宋体"/>
          <w:kern w:val="0"/>
          <w:sz w:val="32"/>
          <w:szCs w:val="32"/>
        </w:rPr>
      </w:pPr>
      <w:r>
        <w:rPr>
          <w:rFonts w:hint="eastAsia" w:ascii="仿宋_GB2312" w:eastAsia="仿宋_GB2312"/>
          <w:bCs/>
          <w:sz w:val="32"/>
          <w:szCs w:val="32"/>
        </w:rPr>
        <w:t>1.预算执行进度</w:t>
      </w:r>
      <w:r>
        <w:rPr>
          <w:rFonts w:hint="eastAsia" w:ascii="仿宋_GB2312" w:eastAsia="仿宋_GB2312"/>
          <w:b/>
          <w:sz w:val="32"/>
          <w:szCs w:val="32"/>
        </w:rPr>
        <w:t>。</w:t>
      </w:r>
      <w:r>
        <w:rPr>
          <w:rFonts w:hint="eastAsia" w:ascii="仿宋_GB2312" w:hAnsi="宋体" w:eastAsia="仿宋_GB2312" w:cs="宋体"/>
          <w:kern w:val="0"/>
          <w:sz w:val="32"/>
          <w:szCs w:val="32"/>
        </w:rPr>
        <w:t>本年度预算执行收支平衡，完成本部门经济和社会事业发展职能职责，人员支出部分按时间进度执行。</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2.预算平衡调整。</w:t>
      </w:r>
      <w:r>
        <w:rPr>
          <w:rFonts w:hint="eastAsia" w:ascii="仿宋_GB2312" w:eastAsia="仿宋_GB2312"/>
          <w:sz w:val="32"/>
          <w:szCs w:val="32"/>
        </w:rPr>
        <w:t>我中心严格执行预算，执行中不调整项目。</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3.三公经费执行情况</w:t>
      </w:r>
      <w:r>
        <w:rPr>
          <w:rFonts w:hint="eastAsia" w:ascii="仿宋_GB2312" w:hAnsi="宋体" w:eastAsia="仿宋_GB2312" w:cs="宋体"/>
          <w:b/>
          <w:bCs/>
          <w:kern w:val="0"/>
          <w:sz w:val="32"/>
          <w:szCs w:val="32"/>
        </w:rPr>
        <w:t>。</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21年“三公”经费预算1万元，其中:公务接待费1万元，车辆运行维护费0万元。全年支出 0.3617万元。其中：公务接待费0.3617万元，车辆运行维护费0万元</w:t>
      </w:r>
      <w:r>
        <w:rPr>
          <w:rFonts w:hint="eastAsia" w:ascii="仿宋_GB2312" w:hAnsi="宋体" w:eastAsia="仿宋_GB2312" w:cs="宋体"/>
          <w:kern w:val="0"/>
          <w:sz w:val="32"/>
          <w:szCs w:val="32"/>
        </w:rPr>
        <w:t>。</w:t>
      </w:r>
    </w:p>
    <w:p>
      <w:pPr>
        <w:spacing w:line="44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color w:val="000000"/>
          <w:sz w:val="32"/>
          <w:szCs w:val="32"/>
        </w:rPr>
        <w:t>4.部门决算编制和审查。</w:t>
      </w:r>
      <w:r>
        <w:rPr>
          <w:rFonts w:hint="eastAsia" w:ascii="仿宋_GB2312" w:hAnsi="宋体" w:eastAsia="仿宋_GB2312" w:cs="宋体"/>
          <w:kern w:val="0"/>
          <w:sz w:val="32"/>
          <w:szCs w:val="32"/>
        </w:rPr>
        <w:t>及时进行年终账务清算，核实各项预算收支，按规定时间报送决算报表，做到了账表一致，决算数据真实准确，部门决算编制人员与供养人员系统数据相符。</w:t>
      </w:r>
    </w:p>
    <w:p>
      <w:pPr>
        <w:spacing w:line="440" w:lineRule="exact"/>
        <w:ind w:firstLine="640" w:firstLineChars="200"/>
        <w:rPr>
          <w:rFonts w:ascii="楷体_GB2312" w:eastAsia="楷体_GB2312"/>
          <w:sz w:val="32"/>
          <w:szCs w:val="32"/>
        </w:rPr>
      </w:pPr>
      <w:r>
        <w:rPr>
          <w:rFonts w:hint="eastAsia" w:ascii="楷体_GB2312" w:eastAsia="楷体_GB2312"/>
          <w:sz w:val="32"/>
          <w:szCs w:val="32"/>
        </w:rPr>
        <w:t>（三）财政资金综合管理情况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1.非税收入征收、上缴情况。</w:t>
      </w:r>
      <w:r>
        <w:rPr>
          <w:rFonts w:hint="eastAsia" w:ascii="仿宋_GB2312" w:hAnsi="宋体" w:eastAsia="仿宋_GB2312" w:cs="宋体"/>
          <w:kern w:val="0"/>
          <w:sz w:val="32"/>
          <w:szCs w:val="32"/>
        </w:rPr>
        <w:t>我中心无非税征收事项。</w:t>
      </w:r>
    </w:p>
    <w:p>
      <w:pPr>
        <w:spacing w:line="44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2.政府采购实施计划编制执行情况。</w:t>
      </w:r>
      <w:r>
        <w:rPr>
          <w:rFonts w:hint="eastAsia" w:ascii="仿宋_GB2312" w:hAnsi="宋体" w:eastAsia="仿宋_GB2312" w:cs="宋体"/>
          <w:kern w:val="0"/>
          <w:sz w:val="32"/>
          <w:szCs w:val="32"/>
        </w:rPr>
        <w:t>认真编制政府采购预算，做到应编尽编，不遗漏；规范采购行为，执行政府采购政策，做到应采尽采。全年无采购计划。</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3.资产管理信息系统建设、资产清查上报情况。</w:t>
      </w:r>
      <w:r>
        <w:rPr>
          <w:rFonts w:hint="eastAsia" w:ascii="仿宋_GB2312" w:hAnsi="宋体" w:eastAsia="仿宋_GB2312" w:cs="宋体"/>
          <w:kern w:val="0"/>
          <w:sz w:val="32"/>
          <w:szCs w:val="32"/>
        </w:rPr>
        <w:t>本部门的新增和减少资产已严格按照要求录入资产管理系统，并按照上级要求及时、准确、全面上报资产报表，严格按照财政资产管理科和市机关事务管理局的相关政策进行资产清理和上报，使资产管理系统和财务会计资产系统账账相符。</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4.部门内部控制制度健全情况。</w:t>
      </w:r>
      <w:r>
        <w:rPr>
          <w:rFonts w:hint="eastAsia" w:ascii="仿宋_GB2312" w:hAnsi="宋体" w:eastAsia="仿宋_GB2312" w:cs="宋体"/>
          <w:kern w:val="0"/>
          <w:sz w:val="32"/>
          <w:szCs w:val="32"/>
        </w:rPr>
        <w:t>我中心按照广元市自然资源局内部管理制度，设置有《岗位责任制度》，执行《广元市自然资源局“三重一大”集体决策制度》、《广元市国土资源系统内部审计管理办法》、《广元市自然资源局财务管理制度》等，具体内容包括经费审批制度、现金管理、票据管理、会计档案管理、资产管理等。</w:t>
      </w:r>
    </w:p>
    <w:p>
      <w:pPr>
        <w:spacing w:line="440" w:lineRule="exact"/>
        <w:ind w:firstLine="480" w:firstLineChars="150"/>
        <w:rPr>
          <w:rFonts w:ascii="仿宋_GB2312" w:eastAsia="仿宋_GB2312"/>
          <w:sz w:val="32"/>
          <w:szCs w:val="32"/>
        </w:rPr>
      </w:pPr>
      <w:r>
        <w:rPr>
          <w:rFonts w:hint="eastAsia" w:ascii="仿宋_GB2312" w:eastAsia="仿宋_GB2312"/>
          <w:sz w:val="32"/>
          <w:szCs w:val="32"/>
        </w:rPr>
        <w:t>5.预决算及绩效信息公开情况。</w:t>
      </w:r>
      <w:r>
        <w:rPr>
          <w:rFonts w:hint="eastAsia" w:ascii="仿宋_GB2312" w:hAnsi="宋体" w:eastAsia="仿宋_GB2312" w:cs="宋体"/>
          <w:kern w:val="0"/>
          <w:sz w:val="32"/>
          <w:szCs w:val="32"/>
        </w:rPr>
        <w:t>我中心在严格按照财政要求，及时、准确、全面地在政府网站和局域内门户网站公开预决算和绩效信息。</w:t>
      </w:r>
    </w:p>
    <w:p>
      <w:pPr>
        <w:spacing w:line="440" w:lineRule="exact"/>
        <w:ind w:firstLine="480" w:firstLineChars="150"/>
        <w:rPr>
          <w:rFonts w:ascii="仿宋_GB2312" w:eastAsia="仿宋_GB2312"/>
          <w:sz w:val="32"/>
          <w:szCs w:val="32"/>
        </w:rPr>
      </w:pPr>
      <w:r>
        <w:rPr>
          <w:rFonts w:hint="eastAsia" w:ascii="仿宋_GB2312" w:eastAsia="仿宋_GB2312"/>
          <w:sz w:val="32"/>
          <w:szCs w:val="32"/>
        </w:rPr>
        <w:t>6.绩效评价开展、评价结果报告情况。</w:t>
      </w:r>
      <w:r>
        <w:rPr>
          <w:rFonts w:hint="eastAsia" w:ascii="仿宋_GB2312" w:eastAsia="仿宋_GB2312"/>
          <w:color w:val="000000"/>
          <w:sz w:val="32"/>
          <w:szCs w:val="32"/>
        </w:rPr>
        <w:t>我中心对部分项目开展了绩效评价，“测量标志巡查专项工作经费”总预算为5万元，已使用3.56万元，自评得分96分。</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7.绩效管理工作开展情况。</w:t>
      </w:r>
      <w:r>
        <w:rPr>
          <w:rFonts w:hint="eastAsia" w:ascii="仿宋_GB2312" w:eastAsia="仿宋_GB2312"/>
          <w:color w:val="000000"/>
          <w:sz w:val="32"/>
          <w:szCs w:val="32"/>
        </w:rPr>
        <w:t>2021年市财政局下达市测绘地理信息中心“测量标志巡查专项工作经费”总预算为5万元，已使用3.56万元，自评得分96分，已按照要求对专项经费开展了项目绩效评价。</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8.财政政策执行情况。</w:t>
      </w:r>
    </w:p>
    <w:p>
      <w:pPr>
        <w:spacing w:line="44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w:t>
      </w:r>
      <w:r>
        <w:rPr>
          <w:rFonts w:hint="eastAsia" w:ascii="仿宋_GB2312" w:hAnsi="宋体" w:eastAsia="仿宋_GB2312" w:cs="宋体"/>
          <w:kern w:val="0"/>
          <w:sz w:val="32"/>
          <w:szCs w:val="32"/>
        </w:rPr>
        <w:t>1）国库集中支付。我中心严格执行国库集中支付规定，当年部门预算支出中直接支付比例超过市本级当期平均水平。</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（2）公务卡改革。严格按公务卡强制结算目录，公务用车燃油费、职工出差培训费、住宿费、公务机票等都使用公务卡进行结算。</w:t>
      </w:r>
    </w:p>
    <w:p>
      <w:pPr>
        <w:spacing w:line="44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（3）政府采购政策执行。认真编制政府采购预算，做到应编尽编，不遗漏；规范采购行为，执行政府采购政策，做到应采尽采。</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（4）非税收入征收管理。我中心无非税征收事项。</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（5）厉行节约。按照相关规定进行经费开支，无违反规定支出行为，无超标准开支行为；“三公”经费严格按财政规定限额标准进行限制和压缩。</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9.财经纪律执行情况。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（1）审计监察。接受了广元市审计局大数据提取检查财政资金大排查以及政府采购专项巡视。</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（2）预算执行动态监控。所有收支均通过财政大平台实行动态监控，资金管理较规范，按市财政国库动态监控预警无违规支付行为。</w:t>
      </w:r>
    </w:p>
    <w:p>
      <w:pPr>
        <w:spacing w:line="440" w:lineRule="exact"/>
        <w:ind w:firstLine="320" w:firstLineChars="100"/>
        <w:rPr>
          <w:rFonts w:ascii="楷体_GB2312" w:eastAsia="楷体_GB2312"/>
          <w:sz w:val="32"/>
          <w:szCs w:val="32"/>
        </w:rPr>
      </w:pPr>
      <w:r>
        <w:rPr>
          <w:rFonts w:hint="eastAsia" w:ascii="楷体_GB2312" w:eastAsia="楷体_GB2312"/>
          <w:sz w:val="32"/>
          <w:szCs w:val="32"/>
        </w:rPr>
        <w:t>（四）部门项目绩效评价情况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本单位2021年被评价的一共2个项目，评价得分192分，平均得分96分，按30%权重计算，我中心项目绩效评价得分96分。</w:t>
      </w:r>
    </w:p>
    <w:p>
      <w:pPr>
        <w:spacing w:line="440" w:lineRule="exact"/>
        <w:ind w:firstLine="640" w:firstLineChars="200"/>
        <w:outlineLvl w:val="1"/>
        <w:rPr>
          <w:rFonts w:ascii="黑体" w:hAnsi="黑体" w:eastAsia="黑体"/>
          <w:sz w:val="32"/>
          <w:szCs w:val="32"/>
        </w:rPr>
      </w:pPr>
      <w:bookmarkStart w:id="81" w:name="_Toc30936"/>
      <w:r>
        <w:rPr>
          <w:rFonts w:hint="eastAsia" w:ascii="黑体" w:hAnsi="黑体" w:eastAsia="黑体"/>
          <w:sz w:val="32"/>
          <w:szCs w:val="32"/>
        </w:rPr>
        <w:t>四、存在的问题</w:t>
      </w:r>
      <w:bookmarkEnd w:id="81"/>
    </w:p>
    <w:p>
      <w:pPr>
        <w:spacing w:line="440" w:lineRule="exact"/>
        <w:ind w:firstLine="640" w:firstLineChars="200"/>
        <w:rPr>
          <w:rFonts w:ascii="仿宋_GB2312" w:eastAsia="仿宋_GB2312"/>
          <w:sz w:val="32"/>
          <w:szCs w:val="32"/>
        </w:rPr>
      </w:pPr>
      <w:r>
        <w:rPr>
          <w:rFonts w:hint="eastAsia" w:ascii="仿宋_GB2312" w:eastAsia="仿宋_GB2312"/>
          <w:sz w:val="32"/>
          <w:szCs w:val="32"/>
        </w:rPr>
        <w:t>由于财务部门是绩效评价的牵头部门，对于单位绩效评价都是财务人员在做这项基本工作，这样既充当了“运动员”又充当了“裁判员”角色。</w:t>
      </w:r>
    </w:p>
    <w:p>
      <w:pPr>
        <w:spacing w:line="440" w:lineRule="exact"/>
        <w:ind w:firstLine="640" w:firstLineChars="200"/>
        <w:outlineLvl w:val="1"/>
        <w:rPr>
          <w:rFonts w:ascii="黑体" w:hAnsi="黑体" w:eastAsia="黑体"/>
          <w:sz w:val="32"/>
          <w:szCs w:val="32"/>
        </w:rPr>
      </w:pPr>
      <w:bookmarkStart w:id="82" w:name="_Toc1139"/>
      <w:r>
        <w:rPr>
          <w:rFonts w:hint="eastAsia" w:ascii="黑体" w:hAnsi="黑体" w:eastAsia="黑体"/>
          <w:sz w:val="32"/>
          <w:szCs w:val="32"/>
        </w:rPr>
        <w:t>五、整改建议和意见</w:t>
      </w:r>
      <w:bookmarkEnd w:id="82"/>
    </w:p>
    <w:p>
      <w:pPr>
        <w:spacing w:line="440" w:lineRule="exact"/>
        <w:ind w:firstLine="640" w:firstLineChars="200"/>
        <w:rPr>
          <w:rFonts w:ascii="仿宋_GB2312" w:eastAsia="仿宋_GB2312"/>
          <w:sz w:val="32"/>
          <w:szCs w:val="32"/>
        </w:rPr>
      </w:pPr>
      <w:r>
        <w:rPr>
          <w:rFonts w:hint="eastAsia" w:ascii="仿宋_GB2312" w:eastAsia="仿宋_GB2312"/>
          <w:sz w:val="32"/>
          <w:szCs w:val="32"/>
        </w:rPr>
        <w:t>建议：一是建议各单位内审部门牵头组织成立绩效评价小组，对单位进行绩效评价；二是建议财政加强对单位及其财务人员项目绩效评价和内控制度建设等方面的培训力度，为适应新形势新要求，让每一个财务人员及时正确掌握政策，把握好财经纪律。建议将财务人员定期培训工作纳入目标任务；三是建议通过财政支出和项目绩效评价结果，财政根据各单位的项目工作任务及政府目标考核内容纳入项目工作经费，确保各单位履行行政职能职责有保障。</w:t>
      </w: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240" w:lineRule="auto"/>
        <w:jc w:val="left"/>
        <w:outlineLvl w:val="9"/>
        <w:rPr>
          <w:rFonts w:hint="eastAsia" w:ascii="黑体" w:hAnsi="黑体" w:eastAsia="黑体" w:cs="黑体"/>
          <w:sz w:val="32"/>
          <w:szCs w:val="32"/>
        </w:rPr>
      </w:pPr>
      <w:r>
        <w:rPr>
          <w:rFonts w:hint="eastAsia" w:ascii="黑体" w:hAnsi="黑体" w:eastAsia="黑体" w:cs="黑体"/>
          <w:sz w:val="32"/>
          <w:szCs w:val="32"/>
        </w:rPr>
        <w:br w:type="page"/>
      </w:r>
    </w:p>
    <w:p>
      <w:pPr>
        <w:spacing w:line="572" w:lineRule="exact"/>
        <w:jc w:val="left"/>
        <w:outlineLvl w:val="0"/>
        <w:rPr>
          <w:rFonts w:hint="eastAsia" w:ascii="黑体" w:hAnsi="黑体" w:eastAsia="黑体" w:cs="黑体"/>
          <w:sz w:val="32"/>
          <w:szCs w:val="32"/>
        </w:rPr>
      </w:pPr>
      <w:bookmarkStart w:id="83" w:name="_Toc8703"/>
      <w:r>
        <w:rPr>
          <w:rFonts w:hint="eastAsia" w:ascii="黑体" w:hAnsi="黑体" w:eastAsia="黑体" w:cs="黑体"/>
          <w:sz w:val="32"/>
          <w:szCs w:val="32"/>
        </w:rPr>
        <w:t>附表</w:t>
      </w:r>
      <w:bookmarkEnd w:id="83"/>
    </w:p>
    <w:p>
      <w:pPr>
        <w:pStyle w:val="2"/>
        <w:spacing w:line="576"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jc w:val="center"/>
        <w:rPr>
          <w:rFonts w:hint="eastAsia" w:ascii="宋体" w:hAnsi="宋体" w:cs="宋体"/>
          <w:kern w:val="0"/>
          <w:sz w:val="21"/>
          <w:szCs w:val="21"/>
        </w:rPr>
      </w:pPr>
      <w:r>
        <w:rPr>
          <w:rFonts w:hint="eastAsia" w:ascii="宋体" w:hAnsi="宋体" w:cs="宋体"/>
          <w:kern w:val="0"/>
          <w:sz w:val="21"/>
          <w:szCs w:val="21"/>
        </w:rPr>
        <w:t>（2021年度）</w:t>
      </w:r>
    </w:p>
    <w:p>
      <w:pPr>
        <w:pStyle w:val="2"/>
        <w:rPr>
          <w:rFonts w:hint="eastAsia" w:ascii="宋体" w:hAnsi="宋体" w:cs="宋体"/>
          <w:kern w:val="0"/>
          <w:sz w:val="21"/>
          <w:szCs w:val="21"/>
        </w:rPr>
      </w:pPr>
      <w:r>
        <w:rPr>
          <w:rFonts w:hint="eastAsia" w:ascii="宋体" w:hAnsi="宋体" w:cs="宋体"/>
          <w:kern w:val="0"/>
          <w:sz w:val="21"/>
          <w:szCs w:val="21"/>
        </w:rPr>
        <w:t>注：项目支出包括部门预算支出和专项预算支出</w:t>
      </w:r>
    </w:p>
    <w:tbl>
      <w:tblPr>
        <w:tblStyle w:val="13"/>
        <w:tblW w:w="9660" w:type="dxa"/>
        <w:tblInd w:w="94" w:type="dxa"/>
        <w:tblLayout w:type="fixed"/>
        <w:tblCellMar>
          <w:top w:w="0" w:type="dxa"/>
          <w:left w:w="108" w:type="dxa"/>
          <w:bottom w:w="0" w:type="dxa"/>
          <w:right w:w="108" w:type="dxa"/>
        </w:tblCellMar>
      </w:tblPr>
      <w:tblGrid>
        <w:gridCol w:w="979"/>
        <w:gridCol w:w="1095"/>
        <w:gridCol w:w="787"/>
        <w:gridCol w:w="375"/>
        <w:gridCol w:w="1350"/>
        <w:gridCol w:w="250"/>
        <w:gridCol w:w="2000"/>
        <w:gridCol w:w="2824"/>
      </w:tblGrid>
      <w:tr>
        <w:tblPrEx>
          <w:tblCellMar>
            <w:top w:w="0" w:type="dxa"/>
            <w:left w:w="108" w:type="dxa"/>
            <w:bottom w:w="0" w:type="dxa"/>
            <w:right w:w="108" w:type="dxa"/>
          </w:tblCellMar>
        </w:tblPrEx>
        <w:trPr>
          <w:trHeight w:val="624" w:hRule="atLeast"/>
        </w:trPr>
        <w:tc>
          <w:tcPr>
            <w:tcW w:w="2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bookmarkStart w:id="84" w:name="_Toc15396618"/>
            <w:r>
              <w:rPr>
                <w:rFonts w:hint="eastAsia" w:ascii="宋体" w:hAnsi="宋体" w:cs="宋体"/>
                <w:kern w:val="0"/>
                <w:sz w:val="21"/>
                <w:szCs w:val="21"/>
              </w:rPr>
              <w:t>项目名称</w:t>
            </w:r>
          </w:p>
        </w:tc>
        <w:tc>
          <w:tcPr>
            <w:tcW w:w="67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地理信息公共服务平台运维</w:t>
            </w:r>
          </w:p>
        </w:tc>
      </w:tr>
      <w:tr>
        <w:tblPrEx>
          <w:tblCellMar>
            <w:top w:w="0" w:type="dxa"/>
            <w:left w:w="108" w:type="dxa"/>
            <w:bottom w:w="0" w:type="dxa"/>
            <w:right w:w="108" w:type="dxa"/>
          </w:tblCellMar>
        </w:tblPrEx>
        <w:trPr>
          <w:trHeight w:val="624" w:hRule="atLeast"/>
        </w:trPr>
        <w:tc>
          <w:tcPr>
            <w:tcW w:w="2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预算单位</w:t>
            </w:r>
          </w:p>
        </w:tc>
        <w:tc>
          <w:tcPr>
            <w:tcW w:w="67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广元市测绘地理信息中心</w:t>
            </w:r>
          </w:p>
        </w:tc>
      </w:tr>
      <w:tr>
        <w:tblPrEx>
          <w:tblCellMar>
            <w:top w:w="0" w:type="dxa"/>
            <w:left w:w="108" w:type="dxa"/>
            <w:bottom w:w="0" w:type="dxa"/>
            <w:right w:w="108" w:type="dxa"/>
          </w:tblCellMar>
        </w:tblPrEx>
        <w:trPr>
          <w:trHeight w:val="458" w:hRule="atLeast"/>
        </w:trPr>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18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预算数：</w:t>
            </w:r>
          </w:p>
        </w:tc>
        <w:tc>
          <w:tcPr>
            <w:tcW w:w="1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10万元</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执行数：</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10万元</w:t>
            </w:r>
          </w:p>
        </w:tc>
      </w:tr>
      <w:tr>
        <w:tblPrEx>
          <w:tblCellMar>
            <w:top w:w="0" w:type="dxa"/>
            <w:left w:w="108" w:type="dxa"/>
            <w:bottom w:w="0" w:type="dxa"/>
            <w:right w:w="108" w:type="dxa"/>
          </w:tblCellMar>
        </w:tblPrEx>
        <w:trPr>
          <w:trHeight w:val="584"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p>
        </w:tc>
        <w:tc>
          <w:tcPr>
            <w:tcW w:w="18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10万元</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10万元</w:t>
            </w:r>
          </w:p>
        </w:tc>
      </w:tr>
      <w:tr>
        <w:tblPrEx>
          <w:tblCellMar>
            <w:top w:w="0" w:type="dxa"/>
            <w:left w:w="108" w:type="dxa"/>
            <w:bottom w:w="0" w:type="dxa"/>
            <w:right w:w="108" w:type="dxa"/>
          </w:tblCellMar>
        </w:tblPrEx>
        <w:trPr>
          <w:trHeight w:val="624"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p>
        </w:tc>
        <w:tc>
          <w:tcPr>
            <w:tcW w:w="18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407" w:hRule="atLeast"/>
        </w:trPr>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38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预期目标</w:t>
            </w:r>
          </w:p>
        </w:tc>
        <w:tc>
          <w:tcPr>
            <w:tcW w:w="48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实际完成目标</w:t>
            </w:r>
          </w:p>
        </w:tc>
      </w:tr>
      <w:tr>
        <w:tblPrEx>
          <w:tblCellMar>
            <w:top w:w="0" w:type="dxa"/>
            <w:left w:w="108" w:type="dxa"/>
            <w:bottom w:w="0" w:type="dxa"/>
            <w:right w:w="108" w:type="dxa"/>
          </w:tblCellMar>
        </w:tblPrEx>
        <w:trPr>
          <w:trHeight w:val="738"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3857"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地理信息公共服务平台运维，保障地理信息公共服务平台广元的正常运行，并对部门单位和公众提供地图服务。</w:t>
            </w:r>
          </w:p>
        </w:tc>
        <w:tc>
          <w:tcPr>
            <w:tcW w:w="4824"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地理信息公共服务平台运维，保障地理信息公共服务平台广元的正常运行，并对部门单位和公众提供地图服务。</w:t>
            </w:r>
          </w:p>
        </w:tc>
      </w:tr>
      <w:tr>
        <w:tblPrEx>
          <w:tblCellMar>
            <w:top w:w="0" w:type="dxa"/>
            <w:left w:w="108" w:type="dxa"/>
            <w:bottom w:w="0" w:type="dxa"/>
            <w:right w:w="108" w:type="dxa"/>
          </w:tblCellMar>
        </w:tblPrEx>
        <w:trPr>
          <w:trHeight w:val="570" w:hRule="atLeast"/>
        </w:trPr>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一级指标</w:t>
            </w:r>
          </w:p>
        </w:tc>
        <w:tc>
          <w:tcPr>
            <w:tcW w:w="11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二级指标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三级指标</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CellMar>
            <w:top w:w="0" w:type="dxa"/>
            <w:left w:w="108" w:type="dxa"/>
            <w:bottom w:w="0" w:type="dxa"/>
            <w:right w:w="108" w:type="dxa"/>
          </w:tblCellMar>
        </w:tblPrEx>
        <w:trPr>
          <w:trHeight w:val="665"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项目完成指标</w:t>
            </w: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服务器维护更新</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1次</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国家战略需要将此项工作部分升级，在2021年实施</w:t>
            </w:r>
          </w:p>
        </w:tc>
      </w:tr>
      <w:tr>
        <w:tblPrEx>
          <w:tblCellMar>
            <w:top w:w="0" w:type="dxa"/>
            <w:left w:w="108" w:type="dxa"/>
            <w:bottom w:w="0" w:type="dxa"/>
            <w:right w:w="108" w:type="dxa"/>
          </w:tblCellMar>
        </w:tblPrEx>
        <w:trPr>
          <w:trHeight w:val="605"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光纤租赁</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12个月</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12个月</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质量指标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国家标准</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时效指标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完成时间</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85"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成本指标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地理信息公共服务平台建设与运维</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10万元</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10万元</w:t>
            </w:r>
          </w:p>
        </w:tc>
      </w:tr>
      <w:tr>
        <w:tblPrEx>
          <w:tblCellMar>
            <w:top w:w="0" w:type="dxa"/>
            <w:left w:w="108" w:type="dxa"/>
            <w:bottom w:w="0" w:type="dxa"/>
            <w:right w:w="108" w:type="dxa"/>
          </w:tblCellMar>
        </w:tblPrEx>
        <w:trPr>
          <w:trHeight w:val="42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375"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17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项目效果指标</w:t>
            </w: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提高测绘保障服务能力</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对部门单位和公众提供地图服务</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对部门单位和公众提供地图服务</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指标2：</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指标1：</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指标2：</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服务器使用年限</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5年</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5年</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光纤使用</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12月底</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12月底</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公众满意度</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≥90%</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单位考核合格</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40" w:hRule="atLeast"/>
        </w:trPr>
        <w:tc>
          <w:tcPr>
            <w:tcW w:w="9660" w:type="dxa"/>
            <w:gridSpan w:val="8"/>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rPr>
          <w:rFonts w:hint="eastAsia" w:ascii="宋体" w:hAnsi="宋体" w:cs="宋体"/>
          <w:b/>
          <w:bCs/>
          <w:kern w:val="0"/>
          <w:sz w:val="32"/>
          <w:szCs w:val="32"/>
        </w:rPr>
      </w:pPr>
      <w:r>
        <w:rPr>
          <w:rFonts w:hint="eastAsia" w:ascii="宋体" w:hAnsi="宋体" w:cs="宋体"/>
          <w:b/>
          <w:bCs/>
          <w:kern w:val="0"/>
          <w:sz w:val="32"/>
          <w:szCs w:val="32"/>
        </w:rPr>
        <w:br w:type="page"/>
      </w:r>
    </w:p>
    <w:p>
      <w:pPr>
        <w:pStyle w:val="2"/>
        <w:spacing w:line="576"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jc w:val="center"/>
        <w:rPr>
          <w:rFonts w:hint="eastAsia" w:ascii="宋体" w:hAnsi="宋体" w:cs="宋体"/>
          <w:kern w:val="0"/>
          <w:sz w:val="21"/>
          <w:szCs w:val="21"/>
        </w:rPr>
      </w:pPr>
      <w:r>
        <w:rPr>
          <w:rFonts w:hint="eastAsia" w:ascii="宋体" w:hAnsi="宋体" w:cs="宋体"/>
          <w:kern w:val="0"/>
          <w:sz w:val="21"/>
          <w:szCs w:val="21"/>
        </w:rPr>
        <w:t>（2021年度）</w:t>
      </w:r>
    </w:p>
    <w:p>
      <w:pPr>
        <w:pStyle w:val="2"/>
        <w:rPr>
          <w:rFonts w:hint="eastAsia" w:ascii="宋体" w:hAnsi="宋体" w:cs="宋体"/>
          <w:kern w:val="0"/>
          <w:sz w:val="21"/>
          <w:szCs w:val="21"/>
        </w:rPr>
      </w:pPr>
      <w:r>
        <w:rPr>
          <w:rFonts w:hint="eastAsia" w:ascii="宋体" w:hAnsi="宋体" w:cs="宋体"/>
          <w:kern w:val="0"/>
          <w:sz w:val="21"/>
          <w:szCs w:val="21"/>
        </w:rPr>
        <w:t>注：项目支出包括部门预算支出和专项预算支出</w:t>
      </w:r>
    </w:p>
    <w:tbl>
      <w:tblPr>
        <w:tblStyle w:val="13"/>
        <w:tblW w:w="922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85"/>
        <w:gridCol w:w="1050"/>
        <w:gridCol w:w="60"/>
        <w:gridCol w:w="1155"/>
        <w:gridCol w:w="420"/>
        <w:gridCol w:w="1905"/>
        <w:gridCol w:w="165"/>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228"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项目名称</w:t>
            </w:r>
          </w:p>
        </w:tc>
        <w:tc>
          <w:tcPr>
            <w:tcW w:w="5992" w:type="dxa"/>
            <w:gridSpan w:val="6"/>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永久性测量标志巡查专项经费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228"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预算单位</w:t>
            </w:r>
          </w:p>
        </w:tc>
        <w:tc>
          <w:tcPr>
            <w:tcW w:w="5992" w:type="dxa"/>
            <w:gridSpan w:val="6"/>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广元市测绘地理信息中心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3"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223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预算数：</w:t>
            </w:r>
          </w:p>
        </w:tc>
        <w:tc>
          <w:tcPr>
            <w:tcW w:w="1635"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5万元</w:t>
            </w:r>
          </w:p>
        </w:tc>
        <w:tc>
          <w:tcPr>
            <w:tcW w:w="207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执行数：</w:t>
            </w:r>
          </w:p>
        </w:tc>
        <w:tc>
          <w:tcPr>
            <w:tcW w:w="2287"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3.56万元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3" w:type="dxa"/>
            <w:vMerge w:val="continue"/>
            <w:vAlign w:val="center"/>
          </w:tcPr>
          <w:p>
            <w:pPr>
              <w:widowControl/>
              <w:jc w:val="center"/>
              <w:rPr>
                <w:rFonts w:ascii="宋体" w:hAnsi="宋体" w:cs="宋体"/>
                <w:kern w:val="0"/>
                <w:sz w:val="21"/>
                <w:szCs w:val="21"/>
              </w:rPr>
            </w:pPr>
          </w:p>
        </w:tc>
        <w:tc>
          <w:tcPr>
            <w:tcW w:w="223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635"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5万元</w:t>
            </w:r>
          </w:p>
        </w:tc>
        <w:tc>
          <w:tcPr>
            <w:tcW w:w="207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2287"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3.56万元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3" w:type="dxa"/>
            <w:vMerge w:val="continue"/>
            <w:vAlign w:val="center"/>
          </w:tcPr>
          <w:p>
            <w:pPr>
              <w:widowControl/>
              <w:jc w:val="center"/>
              <w:rPr>
                <w:rFonts w:ascii="宋体" w:hAnsi="宋体" w:cs="宋体"/>
                <w:kern w:val="0"/>
                <w:sz w:val="21"/>
                <w:szCs w:val="21"/>
              </w:rPr>
            </w:pPr>
          </w:p>
        </w:tc>
        <w:tc>
          <w:tcPr>
            <w:tcW w:w="223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635" w:type="dxa"/>
            <w:gridSpan w:val="3"/>
            <w:shd w:val="clear" w:color="auto" w:fill="auto"/>
            <w:vAlign w:val="center"/>
          </w:tcPr>
          <w:p>
            <w:pPr>
              <w:widowControl/>
              <w:jc w:val="center"/>
              <w:rPr>
                <w:rFonts w:ascii="宋体" w:hAnsi="宋体" w:cs="宋体"/>
                <w:kern w:val="0"/>
                <w:sz w:val="21"/>
                <w:szCs w:val="21"/>
              </w:rPr>
            </w:pPr>
          </w:p>
        </w:tc>
        <w:tc>
          <w:tcPr>
            <w:tcW w:w="207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2287" w:type="dxa"/>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93"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3870" w:type="dxa"/>
            <w:gridSpan w:val="5"/>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预期目标</w:t>
            </w:r>
          </w:p>
        </w:tc>
        <w:tc>
          <w:tcPr>
            <w:tcW w:w="4357"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93" w:type="dxa"/>
            <w:vMerge w:val="continue"/>
            <w:vAlign w:val="center"/>
          </w:tcPr>
          <w:p>
            <w:pPr>
              <w:widowControl/>
              <w:jc w:val="left"/>
              <w:rPr>
                <w:rFonts w:ascii="宋体" w:hAnsi="宋体" w:cs="宋体"/>
                <w:kern w:val="0"/>
                <w:sz w:val="21"/>
                <w:szCs w:val="21"/>
              </w:rPr>
            </w:pPr>
          </w:p>
        </w:tc>
        <w:tc>
          <w:tcPr>
            <w:tcW w:w="3870" w:type="dxa"/>
            <w:gridSpan w:val="5"/>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测量标志属于国家所有，是国家经济建设和科学研究的基础设施。《中华人民共和国测绘法》第四十四条规定“县级以上人民政府应当采取有效措施加强测量标志的保护工作。县级以上人民政府测绘地理信息主管部门应当按照规定检查、维护永久性测量标志。”</w:t>
            </w:r>
            <w:r>
              <w:rPr>
                <w:rFonts w:hint="eastAsia" w:ascii="宋体" w:hAnsi="宋体" w:cs="宋体"/>
                <w:kern w:val="0"/>
                <w:sz w:val="21"/>
                <w:szCs w:val="21"/>
              </w:rPr>
              <w:br w:type="textWrapping"/>
            </w:r>
            <w:r>
              <w:rPr>
                <w:rFonts w:hint="eastAsia" w:ascii="宋体" w:hAnsi="宋体" w:cs="宋体"/>
                <w:kern w:val="0"/>
                <w:sz w:val="21"/>
                <w:szCs w:val="21"/>
              </w:rPr>
              <w:t>2021年，完成全市110个测量标志点的巡查工作，全面掌握我市测量标志保护情况，切实加强测量标志管理和保护工作，为我市经济建设和社会发展提供更准确、更可靠的测绘保障服务。</w:t>
            </w:r>
          </w:p>
        </w:tc>
        <w:tc>
          <w:tcPr>
            <w:tcW w:w="4357" w:type="dxa"/>
            <w:gridSpan w:val="3"/>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测量标志属于国家所有，是国家经济建设和科学研究的基础设施。《中华人民共和国测绘法》第四十四条规定“县级以上人民政府应当采取有效措施加强测量标志的保护工作。县级以上人民政府测绘地理信息主管部门应当按照规定检查、维护永久性测量标志。”</w:t>
            </w:r>
            <w:r>
              <w:rPr>
                <w:rFonts w:hint="eastAsia" w:ascii="宋体" w:hAnsi="宋体" w:cs="宋体"/>
                <w:kern w:val="0"/>
                <w:sz w:val="21"/>
                <w:szCs w:val="21"/>
              </w:rPr>
              <w:br w:type="textWrapping"/>
            </w:r>
            <w:r>
              <w:rPr>
                <w:rFonts w:hint="eastAsia" w:ascii="宋体" w:hAnsi="宋体" w:cs="宋体"/>
                <w:kern w:val="0"/>
                <w:sz w:val="21"/>
                <w:szCs w:val="21"/>
              </w:rPr>
              <w:t>2021年，完成全市110个测量标志点的巡查工作，全面掌握我市测量标志保护情况，切实加强测量标志管理和保护工作，为我市经济建设和社会发展提供更准确、更可靠的测绘保障服务。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3"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1185"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一级指标</w:t>
            </w:r>
          </w:p>
        </w:tc>
        <w:tc>
          <w:tcPr>
            <w:tcW w:w="111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二级指标</w:t>
            </w:r>
          </w:p>
        </w:tc>
        <w:tc>
          <w:tcPr>
            <w:tcW w:w="1155"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三级指标</w:t>
            </w:r>
          </w:p>
        </w:tc>
        <w:tc>
          <w:tcPr>
            <w:tcW w:w="23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2452"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93" w:type="dxa"/>
            <w:vMerge w:val="continue"/>
            <w:vAlign w:val="center"/>
          </w:tcPr>
          <w:p>
            <w:pPr>
              <w:widowControl/>
              <w:jc w:val="left"/>
              <w:rPr>
                <w:rFonts w:ascii="宋体" w:hAnsi="宋体" w:cs="宋体"/>
                <w:kern w:val="0"/>
                <w:sz w:val="21"/>
                <w:szCs w:val="21"/>
              </w:rPr>
            </w:pPr>
          </w:p>
        </w:tc>
        <w:tc>
          <w:tcPr>
            <w:tcW w:w="1185"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项目完成指标</w:t>
            </w: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永久性测量标志</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110个（根据拨款金额，拟巡查46个）</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巡查46个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质量指标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国家标准</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时效指标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完成时间</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成本指标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工作经费</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约1091元/点*46=5万元</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因疫情原因，只巡查部分标志点，使用工作经费3.56万元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3" w:type="dxa"/>
            <w:vMerge w:val="continue"/>
            <w:vAlign w:val="center"/>
          </w:tcPr>
          <w:p>
            <w:pPr>
              <w:widowControl/>
              <w:jc w:val="left"/>
              <w:rPr>
                <w:rFonts w:ascii="宋体" w:hAnsi="宋体" w:cs="宋体"/>
                <w:kern w:val="0"/>
                <w:sz w:val="21"/>
                <w:szCs w:val="21"/>
              </w:rPr>
            </w:pPr>
          </w:p>
        </w:tc>
        <w:tc>
          <w:tcPr>
            <w:tcW w:w="1185"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项目效果指标</w:t>
            </w: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提高测绘保障服务能力</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掌握我市测量标志的基本现状，保障基础测量定位的准确性、可靠性</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掌握我市测量标志的基本现状，保障基础测量定位的准确性、可靠性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指标1：</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指标2：</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测量标志使用年限</w:t>
            </w:r>
          </w:p>
        </w:tc>
        <w:tc>
          <w:tcPr>
            <w:tcW w:w="23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5年</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指标2：</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10"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满意度指标</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公众满意度</w:t>
            </w:r>
          </w:p>
        </w:tc>
        <w:tc>
          <w:tcPr>
            <w:tcW w:w="23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≥90%</w:t>
            </w:r>
          </w:p>
        </w:tc>
        <w:tc>
          <w:tcPr>
            <w:tcW w:w="2452"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vMerge w:val="continue"/>
            <w:vAlign w:val="center"/>
          </w:tcPr>
          <w:p>
            <w:pPr>
              <w:widowControl/>
              <w:jc w:val="left"/>
              <w:rPr>
                <w:rFonts w:ascii="宋体" w:hAnsi="宋体" w:cs="宋体"/>
                <w:kern w:val="0"/>
                <w:sz w:val="21"/>
                <w:szCs w:val="21"/>
              </w:rPr>
            </w:pP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宋体" w:hAnsi="宋体" w:cs="宋体"/>
                <w:kern w:val="0"/>
                <w:sz w:val="21"/>
                <w:szCs w:val="21"/>
              </w:rPr>
            </w:pPr>
          </w:p>
        </w:tc>
        <w:tc>
          <w:tcPr>
            <w:tcW w:w="1185" w:type="dxa"/>
            <w:vMerge w:val="continue"/>
            <w:vAlign w:val="center"/>
          </w:tcPr>
          <w:p>
            <w:pPr>
              <w:widowControl/>
              <w:jc w:val="left"/>
              <w:rPr>
                <w:rFonts w:ascii="宋体" w:hAnsi="宋体" w:cs="宋体"/>
                <w:kern w:val="0"/>
                <w:sz w:val="21"/>
                <w:szCs w:val="21"/>
              </w:rPr>
            </w:pPr>
          </w:p>
        </w:tc>
        <w:tc>
          <w:tcPr>
            <w:tcW w:w="111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155"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3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452"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220" w:type="dxa"/>
            <w:gridSpan w:val="9"/>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spacing w:line="240" w:lineRule="auto"/>
        <w:jc w:val="left"/>
        <w:outlineLvl w:val="9"/>
        <w:rPr>
          <w:rFonts w:hint="eastAsia" w:ascii="黑体" w:hAnsi="黑体" w:eastAsia="黑体"/>
          <w:sz w:val="44"/>
          <w:szCs w:val="44"/>
        </w:rPr>
      </w:pPr>
    </w:p>
    <w:p>
      <w:pPr>
        <w:spacing w:line="600" w:lineRule="exact"/>
        <w:jc w:val="center"/>
        <w:outlineLvl w:val="0"/>
        <w:rPr>
          <w:rFonts w:ascii="仿宋" w:hAnsi="仿宋" w:eastAsia="仿宋"/>
        </w:rPr>
      </w:pPr>
      <w:bookmarkStart w:id="85" w:name="_Toc32119"/>
      <w:r>
        <w:rPr>
          <w:rFonts w:hint="eastAsia" w:ascii="黑体" w:hAnsi="黑体" w:eastAsia="黑体"/>
          <w:sz w:val="44"/>
          <w:szCs w:val="44"/>
        </w:rPr>
        <w:t>第</w:t>
      </w:r>
      <w:r>
        <w:rPr>
          <w:rStyle w:val="25"/>
          <w:rFonts w:hint="eastAsia" w:ascii="黑体" w:hAnsi="黑体" w:eastAsia="黑体"/>
          <w:b w:val="0"/>
        </w:rPr>
        <w:t>五部分 附表</w:t>
      </w:r>
      <w:bookmarkEnd w:id="74"/>
      <w:bookmarkEnd w:id="84"/>
      <w:bookmarkEnd w:id="85"/>
      <w:bookmarkStart w:id="86" w:name="_Toc15396619"/>
    </w:p>
    <w:p>
      <w:pPr>
        <w:pStyle w:val="4"/>
        <w:rPr>
          <w:rFonts w:ascii="仿宋" w:hAnsi="仿宋" w:eastAsia="仿宋"/>
        </w:rPr>
      </w:pPr>
      <w:bookmarkStart w:id="87" w:name="_Toc12070"/>
      <w:r>
        <w:rPr>
          <w:rFonts w:hint="eastAsia" w:ascii="仿宋" w:hAnsi="仿宋" w:eastAsia="仿宋"/>
          <w:b w:val="0"/>
        </w:rPr>
        <w:t>一、收</w:t>
      </w:r>
      <w:r>
        <w:rPr>
          <w:rStyle w:val="26"/>
          <w:rFonts w:hint="eastAsia" w:ascii="仿宋" w:hAnsi="仿宋" w:eastAsia="仿宋"/>
          <w:b w:val="0"/>
          <w:bCs w:val="0"/>
        </w:rPr>
        <w:t>入支出决算总表</w:t>
      </w:r>
      <w:bookmarkEnd w:id="86"/>
      <w:bookmarkEnd w:id="87"/>
    </w:p>
    <w:p>
      <w:pPr>
        <w:pStyle w:val="4"/>
        <w:rPr>
          <w:rFonts w:ascii="仿宋" w:hAnsi="仿宋" w:eastAsia="仿宋"/>
        </w:rPr>
      </w:pPr>
      <w:bookmarkStart w:id="88" w:name="_Toc15396620"/>
      <w:bookmarkStart w:id="89" w:name="_Toc27778"/>
      <w:r>
        <w:rPr>
          <w:rFonts w:hint="eastAsia" w:ascii="仿宋" w:hAnsi="仿宋" w:eastAsia="仿宋"/>
          <w:b w:val="0"/>
        </w:rPr>
        <w:t>二、收</w:t>
      </w:r>
      <w:r>
        <w:rPr>
          <w:rStyle w:val="26"/>
          <w:rFonts w:hint="eastAsia" w:ascii="仿宋" w:hAnsi="仿宋" w:eastAsia="仿宋"/>
          <w:b w:val="0"/>
          <w:bCs w:val="0"/>
        </w:rPr>
        <w:t>入决算表</w:t>
      </w:r>
      <w:bookmarkEnd w:id="88"/>
      <w:bookmarkEnd w:id="89"/>
    </w:p>
    <w:p>
      <w:pPr>
        <w:pStyle w:val="4"/>
        <w:rPr>
          <w:rFonts w:ascii="仿宋" w:hAnsi="仿宋" w:eastAsia="仿宋"/>
        </w:rPr>
      </w:pPr>
      <w:bookmarkStart w:id="90" w:name="_Toc15396621"/>
      <w:bookmarkStart w:id="91" w:name="_Toc8485"/>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90"/>
      <w:bookmarkEnd w:id="91"/>
    </w:p>
    <w:p>
      <w:pPr>
        <w:pStyle w:val="4"/>
        <w:rPr>
          <w:rFonts w:ascii="仿宋" w:hAnsi="仿宋" w:eastAsia="仿宋"/>
          <w:b w:val="0"/>
        </w:rPr>
      </w:pPr>
      <w:bookmarkStart w:id="92" w:name="_Toc20808"/>
      <w:bookmarkStart w:id="93"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92"/>
      <w:bookmarkEnd w:id="93"/>
    </w:p>
    <w:p>
      <w:pPr>
        <w:pStyle w:val="4"/>
        <w:rPr>
          <w:rStyle w:val="26"/>
          <w:rFonts w:ascii="仿宋" w:hAnsi="仿宋" w:eastAsia="仿宋"/>
          <w:b w:val="0"/>
          <w:bCs w:val="0"/>
        </w:rPr>
      </w:pPr>
      <w:bookmarkStart w:id="94" w:name="_Toc23088"/>
      <w:bookmarkStart w:id="95"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94"/>
      <w:bookmarkEnd w:id="95"/>
      <w:bookmarkStart w:id="96" w:name="_Toc15396624"/>
    </w:p>
    <w:p>
      <w:pPr>
        <w:pStyle w:val="4"/>
        <w:rPr>
          <w:rFonts w:ascii="仿宋" w:hAnsi="仿宋" w:eastAsia="仿宋"/>
        </w:rPr>
      </w:pPr>
      <w:bookmarkStart w:id="97" w:name="_Toc10545"/>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96"/>
      <w:bookmarkEnd w:id="97"/>
    </w:p>
    <w:p>
      <w:pPr>
        <w:pStyle w:val="4"/>
        <w:rPr>
          <w:rFonts w:ascii="仿宋" w:hAnsi="仿宋" w:eastAsia="仿宋"/>
        </w:rPr>
      </w:pPr>
      <w:bookmarkStart w:id="98" w:name="_Toc7663"/>
      <w:bookmarkStart w:id="99"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98"/>
      <w:bookmarkEnd w:id="99"/>
    </w:p>
    <w:p>
      <w:pPr>
        <w:pStyle w:val="4"/>
        <w:rPr>
          <w:rFonts w:ascii="仿宋" w:hAnsi="仿宋" w:eastAsia="仿宋"/>
        </w:rPr>
      </w:pPr>
      <w:bookmarkStart w:id="100" w:name="_Toc32168"/>
      <w:bookmarkStart w:id="10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00"/>
      <w:bookmarkEnd w:id="101"/>
    </w:p>
    <w:p>
      <w:pPr>
        <w:pStyle w:val="4"/>
        <w:rPr>
          <w:rFonts w:ascii="仿宋" w:hAnsi="仿宋" w:eastAsia="仿宋"/>
        </w:rPr>
      </w:pPr>
      <w:bookmarkStart w:id="102" w:name="_Toc15123"/>
      <w:bookmarkStart w:id="103"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02"/>
      <w:bookmarkEnd w:id="103"/>
    </w:p>
    <w:p>
      <w:pPr>
        <w:pStyle w:val="4"/>
        <w:rPr>
          <w:rFonts w:ascii="仿宋" w:hAnsi="仿宋" w:eastAsia="仿宋"/>
        </w:rPr>
      </w:pPr>
      <w:bookmarkStart w:id="104" w:name="_Toc27068"/>
      <w:bookmarkStart w:id="105"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04"/>
      <w:bookmarkEnd w:id="105"/>
    </w:p>
    <w:p>
      <w:pPr>
        <w:pStyle w:val="4"/>
        <w:rPr>
          <w:rFonts w:ascii="仿宋" w:hAnsi="仿宋" w:eastAsia="仿宋"/>
        </w:rPr>
      </w:pPr>
      <w:bookmarkStart w:id="106" w:name="_Toc29427"/>
      <w:bookmarkStart w:id="107"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06"/>
      <w:bookmarkEnd w:id="107"/>
    </w:p>
    <w:p>
      <w:pPr>
        <w:pStyle w:val="4"/>
        <w:rPr>
          <w:rFonts w:ascii="仿宋" w:hAnsi="仿宋" w:eastAsia="仿宋"/>
        </w:rPr>
      </w:pPr>
      <w:bookmarkStart w:id="108" w:name="_Toc31205"/>
      <w:bookmarkStart w:id="109"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08"/>
      <w:bookmarkEnd w:id="109"/>
    </w:p>
    <w:p>
      <w:pPr>
        <w:pStyle w:val="4"/>
        <w:rPr>
          <w:rStyle w:val="26"/>
          <w:rFonts w:ascii="仿宋" w:hAnsi="仿宋" w:eastAsia="仿宋"/>
          <w:b w:val="0"/>
          <w:bCs w:val="0"/>
        </w:rPr>
      </w:pPr>
      <w:bookmarkStart w:id="110" w:name="_Toc5816"/>
      <w:bookmarkStart w:id="111"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10"/>
      <w:bookmarkEnd w:id="111"/>
    </w:p>
    <w:p>
      <w:pPr>
        <w:rPr>
          <w:rFonts w:eastAsia="仿宋"/>
        </w:rPr>
      </w:pPr>
      <w:bookmarkStart w:id="112" w:name="_Toc7924"/>
      <w:r>
        <w:rPr>
          <w:rStyle w:val="26"/>
          <w:rFonts w:hint="eastAsia" w:ascii="仿宋" w:hAnsi="仿宋" w:eastAsia="仿宋"/>
          <w:b w:val="0"/>
          <w:bCs w:val="0"/>
        </w:rPr>
        <w:t>十四、国有资本经营预算财政拨款支出决算表</w:t>
      </w:r>
      <w:bookmarkEnd w:id="112"/>
    </w:p>
    <w:sectPr>
      <w:footerReference r:id="rId7" w:type="first"/>
      <w:footerReference r:id="rId6" w:type="default"/>
      <w:pgSz w:w="11906" w:h="16838"/>
      <w:pgMar w:top="1701" w:right="1474" w:bottom="130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2"/>
                      <w:jc w:val="center"/>
                    </w:pPr>
                    <w:r>
                      <w:fldChar w:fldCharType="begin"/>
                    </w:r>
                    <w:r>
                      <w:instrText xml:space="preserve">PAGE   \* MERGEFORMAT</w:instrText>
                    </w:r>
                    <w:r>
                      <w:fldChar w:fldCharType="separate"/>
                    </w:r>
                    <w:r>
                      <w:rPr>
                        <w:lang w:val="zh-CN"/>
                      </w:rPr>
                      <w:t>27</w:t>
                    </w:r>
                    <w:r>
                      <w:fldChar w:fldCharType="end"/>
                    </w:r>
                  </w:p>
                </w:sdtContent>
              </w:sdt>
              <w:p>
                <w:pPr>
                  <w:pStyle w:val="2"/>
                </w:pPr>
              </w:p>
            </w:txbxContent>
          </v:textbox>
        </v:shape>
      </w:pic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2"/>
                      <w:jc w:val="center"/>
                    </w:pPr>
                    <w:r>
                      <w:fldChar w:fldCharType="begin"/>
                    </w:r>
                    <w:r>
                      <w:instrText xml:space="preserve">PAGE   \* MERGEFORMAT</w:instrText>
                    </w:r>
                    <w:r>
                      <w:fldChar w:fldCharType="separate"/>
                    </w:r>
                    <w:r>
                      <w:rPr>
                        <w:lang w:val="zh-CN"/>
                      </w:rPr>
                      <w:t>27</w:t>
                    </w:r>
                    <w:r>
                      <w:fldChar w:fldCharType="end"/>
                    </w:r>
                  </w:p>
                </w:sdtContent>
              </w:sdt>
              <w:p>
                <w:pPr>
                  <w:pStyle w:val="2"/>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trackRevisions w:val="true"/>
  <w:documentProtection w:enforcement="0"/>
  <w:defaultTabStop w:val="420"/>
  <w:drawingGridHorizontalSpacing w:val="105"/>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mMDZjMWEwNmJjM2Q3ODgwNGMxNzFiNGFjMDg1ZTQifQ=="/>
  </w:docVars>
  <w:rsids>
    <w:rsidRoot w:val="00F1361C"/>
    <w:rsid w:val="000222C6"/>
    <w:rsid w:val="0002549F"/>
    <w:rsid w:val="00031B44"/>
    <w:rsid w:val="000468DB"/>
    <w:rsid w:val="00060FC0"/>
    <w:rsid w:val="0006487A"/>
    <w:rsid w:val="00065F8F"/>
    <w:rsid w:val="00070A43"/>
    <w:rsid w:val="000768F2"/>
    <w:rsid w:val="00084D65"/>
    <w:rsid w:val="0009184B"/>
    <w:rsid w:val="00094236"/>
    <w:rsid w:val="000950A5"/>
    <w:rsid w:val="0009593C"/>
    <w:rsid w:val="00097322"/>
    <w:rsid w:val="000A6A92"/>
    <w:rsid w:val="000B047F"/>
    <w:rsid w:val="000B5923"/>
    <w:rsid w:val="000B5A48"/>
    <w:rsid w:val="000B5CB6"/>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0538"/>
    <w:rsid w:val="001D7531"/>
    <w:rsid w:val="001E737D"/>
    <w:rsid w:val="001F0592"/>
    <w:rsid w:val="001F7506"/>
    <w:rsid w:val="002006CD"/>
    <w:rsid w:val="00202B36"/>
    <w:rsid w:val="00204B7A"/>
    <w:rsid w:val="00204CDE"/>
    <w:rsid w:val="0021101A"/>
    <w:rsid w:val="00220536"/>
    <w:rsid w:val="00235629"/>
    <w:rsid w:val="002448C7"/>
    <w:rsid w:val="0024615F"/>
    <w:rsid w:val="00260C38"/>
    <w:rsid w:val="002616C0"/>
    <w:rsid w:val="00265372"/>
    <w:rsid w:val="002662AA"/>
    <w:rsid w:val="00280496"/>
    <w:rsid w:val="00281400"/>
    <w:rsid w:val="00294DC9"/>
    <w:rsid w:val="00295495"/>
    <w:rsid w:val="002A31DE"/>
    <w:rsid w:val="002B2613"/>
    <w:rsid w:val="002D6D05"/>
    <w:rsid w:val="002F1818"/>
    <w:rsid w:val="002F567B"/>
    <w:rsid w:val="00317A9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0B35"/>
    <w:rsid w:val="00434489"/>
    <w:rsid w:val="00437085"/>
    <w:rsid w:val="00443880"/>
    <w:rsid w:val="004464F4"/>
    <w:rsid w:val="00460BB2"/>
    <w:rsid w:val="00471401"/>
    <w:rsid w:val="00473F31"/>
    <w:rsid w:val="0048263A"/>
    <w:rsid w:val="00487E5D"/>
    <w:rsid w:val="004A711F"/>
    <w:rsid w:val="004B199D"/>
    <w:rsid w:val="004B4690"/>
    <w:rsid w:val="004E0A2D"/>
    <w:rsid w:val="004E206B"/>
    <w:rsid w:val="004E4A6E"/>
    <w:rsid w:val="004E6DF7"/>
    <w:rsid w:val="004F0FBD"/>
    <w:rsid w:val="00505A47"/>
    <w:rsid w:val="00512FDA"/>
    <w:rsid w:val="00520DA0"/>
    <w:rsid w:val="005519C0"/>
    <w:rsid w:val="005664BB"/>
    <w:rsid w:val="00566FFA"/>
    <w:rsid w:val="0057481D"/>
    <w:rsid w:val="0058486E"/>
    <w:rsid w:val="00585B33"/>
    <w:rsid w:val="0059014D"/>
    <w:rsid w:val="005B5C64"/>
    <w:rsid w:val="005C5337"/>
    <w:rsid w:val="005C6BD0"/>
    <w:rsid w:val="005D1C8B"/>
    <w:rsid w:val="005D447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913"/>
    <w:rsid w:val="00683E73"/>
    <w:rsid w:val="006A3141"/>
    <w:rsid w:val="006A5E34"/>
    <w:rsid w:val="006B2422"/>
    <w:rsid w:val="006B2B9A"/>
    <w:rsid w:val="006C1937"/>
    <w:rsid w:val="006F020C"/>
    <w:rsid w:val="006F0556"/>
    <w:rsid w:val="00705A3E"/>
    <w:rsid w:val="007127B7"/>
    <w:rsid w:val="0071798E"/>
    <w:rsid w:val="00724D7C"/>
    <w:rsid w:val="007416B6"/>
    <w:rsid w:val="00746F48"/>
    <w:rsid w:val="0075404D"/>
    <w:rsid w:val="0076182A"/>
    <w:rsid w:val="00767B7E"/>
    <w:rsid w:val="007770C3"/>
    <w:rsid w:val="00784D24"/>
    <w:rsid w:val="00785FBA"/>
    <w:rsid w:val="00786E4A"/>
    <w:rsid w:val="007875EB"/>
    <w:rsid w:val="00792094"/>
    <w:rsid w:val="0079426B"/>
    <w:rsid w:val="007B2FDE"/>
    <w:rsid w:val="007D1682"/>
    <w:rsid w:val="007D2F47"/>
    <w:rsid w:val="007D312A"/>
    <w:rsid w:val="007D3F19"/>
    <w:rsid w:val="007E23B0"/>
    <w:rsid w:val="007E23E5"/>
    <w:rsid w:val="007F1991"/>
    <w:rsid w:val="007F2C2F"/>
    <w:rsid w:val="007F55FC"/>
    <w:rsid w:val="007F5665"/>
    <w:rsid w:val="00800112"/>
    <w:rsid w:val="00804345"/>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6FCA"/>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2080"/>
    <w:rsid w:val="00BB4DF0"/>
    <w:rsid w:val="00BC289F"/>
    <w:rsid w:val="00BC2D50"/>
    <w:rsid w:val="00BC5361"/>
    <w:rsid w:val="00BC5460"/>
    <w:rsid w:val="00BC6B50"/>
    <w:rsid w:val="00BD0E25"/>
    <w:rsid w:val="00BF5BD6"/>
    <w:rsid w:val="00C03E31"/>
    <w:rsid w:val="00C32991"/>
    <w:rsid w:val="00C33E72"/>
    <w:rsid w:val="00C354B2"/>
    <w:rsid w:val="00C35554"/>
    <w:rsid w:val="00C42709"/>
    <w:rsid w:val="00C533CC"/>
    <w:rsid w:val="00C5751C"/>
    <w:rsid w:val="00C61BFC"/>
    <w:rsid w:val="00C62B85"/>
    <w:rsid w:val="00C65438"/>
    <w:rsid w:val="00C87FD8"/>
    <w:rsid w:val="00C91381"/>
    <w:rsid w:val="00C91CBB"/>
    <w:rsid w:val="00CA1BCA"/>
    <w:rsid w:val="00CB4E70"/>
    <w:rsid w:val="00CC09B6"/>
    <w:rsid w:val="00CC666F"/>
    <w:rsid w:val="00CD0794"/>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0341"/>
    <w:rsid w:val="00DF28BC"/>
    <w:rsid w:val="00DF34B9"/>
    <w:rsid w:val="00E01053"/>
    <w:rsid w:val="00E07ACF"/>
    <w:rsid w:val="00E169FF"/>
    <w:rsid w:val="00E331A1"/>
    <w:rsid w:val="00E33202"/>
    <w:rsid w:val="00E336A9"/>
    <w:rsid w:val="00E472B1"/>
    <w:rsid w:val="00E50624"/>
    <w:rsid w:val="00E56566"/>
    <w:rsid w:val="00E568DF"/>
    <w:rsid w:val="00E64269"/>
    <w:rsid w:val="00E82267"/>
    <w:rsid w:val="00E853CE"/>
    <w:rsid w:val="00E867B6"/>
    <w:rsid w:val="00E9480A"/>
    <w:rsid w:val="00EA010F"/>
    <w:rsid w:val="00ED1B63"/>
    <w:rsid w:val="00ED3C1F"/>
    <w:rsid w:val="00ED4085"/>
    <w:rsid w:val="00ED420E"/>
    <w:rsid w:val="00ED6FBE"/>
    <w:rsid w:val="00EE2F57"/>
    <w:rsid w:val="00EF4C34"/>
    <w:rsid w:val="00EF77C6"/>
    <w:rsid w:val="00F044B7"/>
    <w:rsid w:val="00F05438"/>
    <w:rsid w:val="00F1361C"/>
    <w:rsid w:val="00F156F0"/>
    <w:rsid w:val="00F160C7"/>
    <w:rsid w:val="00F2408F"/>
    <w:rsid w:val="00F240E9"/>
    <w:rsid w:val="00F36D8F"/>
    <w:rsid w:val="00F37B55"/>
    <w:rsid w:val="00F417B1"/>
    <w:rsid w:val="00F45853"/>
    <w:rsid w:val="00F50CDF"/>
    <w:rsid w:val="00F602DF"/>
    <w:rsid w:val="00F754A1"/>
    <w:rsid w:val="00F81FD9"/>
    <w:rsid w:val="00F841AA"/>
    <w:rsid w:val="00F84A94"/>
    <w:rsid w:val="00F87E96"/>
    <w:rsid w:val="00FA23E8"/>
    <w:rsid w:val="00FD3CC1"/>
    <w:rsid w:val="00FE0BE3"/>
    <w:rsid w:val="00FF1E02"/>
    <w:rsid w:val="00FF30B4"/>
    <w:rsid w:val="013E50E2"/>
    <w:rsid w:val="02C46466"/>
    <w:rsid w:val="05545FCC"/>
    <w:rsid w:val="0A2032A3"/>
    <w:rsid w:val="0B8A37D8"/>
    <w:rsid w:val="10154878"/>
    <w:rsid w:val="10C055FF"/>
    <w:rsid w:val="118107EC"/>
    <w:rsid w:val="11DD6519"/>
    <w:rsid w:val="12EA720F"/>
    <w:rsid w:val="16321CA0"/>
    <w:rsid w:val="16BB723D"/>
    <w:rsid w:val="17297CE3"/>
    <w:rsid w:val="17CA27A7"/>
    <w:rsid w:val="18015F3F"/>
    <w:rsid w:val="188F365D"/>
    <w:rsid w:val="197A7DA1"/>
    <w:rsid w:val="1BA97497"/>
    <w:rsid w:val="1BE8440E"/>
    <w:rsid w:val="1CCE660E"/>
    <w:rsid w:val="1D155CEE"/>
    <w:rsid w:val="1E5F0ED7"/>
    <w:rsid w:val="20F57F95"/>
    <w:rsid w:val="240371BF"/>
    <w:rsid w:val="243279D1"/>
    <w:rsid w:val="25770175"/>
    <w:rsid w:val="25C741E6"/>
    <w:rsid w:val="27842671"/>
    <w:rsid w:val="29FD04D3"/>
    <w:rsid w:val="29FD282F"/>
    <w:rsid w:val="2ABE7A3E"/>
    <w:rsid w:val="2D6009A2"/>
    <w:rsid w:val="2EFA178C"/>
    <w:rsid w:val="2FFD6A70"/>
    <w:rsid w:val="30302A3D"/>
    <w:rsid w:val="30B46D73"/>
    <w:rsid w:val="31322DBE"/>
    <w:rsid w:val="319F7F4E"/>
    <w:rsid w:val="33E11618"/>
    <w:rsid w:val="3434719C"/>
    <w:rsid w:val="386A72E1"/>
    <w:rsid w:val="39AE70AB"/>
    <w:rsid w:val="3B0F2544"/>
    <w:rsid w:val="3B586984"/>
    <w:rsid w:val="3C0C0783"/>
    <w:rsid w:val="3CF64615"/>
    <w:rsid w:val="3F795B0E"/>
    <w:rsid w:val="3F9F3A96"/>
    <w:rsid w:val="401F7E48"/>
    <w:rsid w:val="40350D30"/>
    <w:rsid w:val="41215ADF"/>
    <w:rsid w:val="41876D06"/>
    <w:rsid w:val="41A256EC"/>
    <w:rsid w:val="491C608F"/>
    <w:rsid w:val="493C27E9"/>
    <w:rsid w:val="496F39ED"/>
    <w:rsid w:val="49FF41D3"/>
    <w:rsid w:val="4A185DC8"/>
    <w:rsid w:val="4BE068DB"/>
    <w:rsid w:val="4BF6002B"/>
    <w:rsid w:val="4C7D77B7"/>
    <w:rsid w:val="4ECE2238"/>
    <w:rsid w:val="4F0B3776"/>
    <w:rsid w:val="50903205"/>
    <w:rsid w:val="5196408D"/>
    <w:rsid w:val="51DB4B86"/>
    <w:rsid w:val="51F55903"/>
    <w:rsid w:val="54406A2F"/>
    <w:rsid w:val="55333C3E"/>
    <w:rsid w:val="55C8DB8B"/>
    <w:rsid w:val="591B75C2"/>
    <w:rsid w:val="61D45C65"/>
    <w:rsid w:val="64CA39A1"/>
    <w:rsid w:val="68A6351C"/>
    <w:rsid w:val="6C4A05C8"/>
    <w:rsid w:val="6D195FA7"/>
    <w:rsid w:val="6F722E40"/>
    <w:rsid w:val="72734D90"/>
    <w:rsid w:val="73337CF4"/>
    <w:rsid w:val="78FB5F09"/>
    <w:rsid w:val="79E7B28D"/>
    <w:rsid w:val="7C775BAB"/>
    <w:rsid w:val="7CF4F657"/>
    <w:rsid w:val="7F9F20EE"/>
    <w:rsid w:val="7FDEA141"/>
    <w:rsid w:val="7FE231CE"/>
    <w:rsid w:val="9E3A10E2"/>
    <w:rsid w:val="BBEFA416"/>
    <w:rsid w:val="EB9F57BE"/>
    <w:rsid w:val="EFF73B89"/>
    <w:rsid w:val="F2E1F9D4"/>
    <w:rsid w:val="F7880819"/>
    <w:rsid w:val="FFD77034"/>
    <w:rsid w:val="FFDF60F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2020年度支总计</c:v>
                </c:pt>
                <c:pt idx="1">
                  <c:v>2021年度收、支总计</c:v>
                </c:pt>
              </c:strCache>
            </c:strRef>
          </c:cat>
          <c:val>
            <c:numRef>
              <c:f>Sheet1!$B$2:$B$3</c:f>
              <c:numCache>
                <c:formatCode>General</c:formatCode>
                <c:ptCount val="2"/>
                <c:pt idx="0">
                  <c:v>148.88</c:v>
                </c:pt>
                <c:pt idx="1">
                  <c:v>157.11</c:v>
                </c:pt>
              </c:numCache>
            </c:numRef>
          </c:val>
        </c:ser>
        <c:dLbls>
          <c:showLegendKey val="false"/>
          <c:showVal val="true"/>
          <c:showCatName val="false"/>
          <c:showSerName val="false"/>
          <c:showPercent val="false"/>
          <c:showBubbleSize val="false"/>
        </c:dLbls>
        <c:gapWidth val="219"/>
        <c:overlap val="-27"/>
        <c:axId val="97424896"/>
        <c:axId val="97426432"/>
      </c:barChart>
      <c:catAx>
        <c:axId val="9742489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426432"/>
        <c:crosses val="autoZero"/>
        <c:auto val="true"/>
        <c:lblAlgn val="ctr"/>
        <c:lblOffset val="100"/>
        <c:noMultiLvlLbl val="false"/>
      </c:catAx>
      <c:valAx>
        <c:axId val="9742643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742489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133.76</c:v>
                </c:pt>
                <c:pt idx="1">
                  <c:v>0.01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145.38</c:v>
                </c:pt>
                <c:pt idx="1">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147.4</c:v>
                </c:pt>
                <c:pt idx="1">
                  <c:v>157.1</c:v>
                </c:pt>
              </c:numCache>
            </c:numRef>
          </c:val>
        </c:ser>
        <c:dLbls>
          <c:showLegendKey val="false"/>
          <c:showVal val="true"/>
          <c:showCatName val="false"/>
          <c:showSerName val="false"/>
          <c:showPercent val="false"/>
          <c:showBubbleSize val="false"/>
        </c:dLbls>
        <c:gapWidth val="219"/>
        <c:overlap val="-27"/>
        <c:axId val="98367744"/>
        <c:axId val="98455552"/>
      </c:barChart>
      <c:catAx>
        <c:axId val="9836774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455552"/>
        <c:crosses val="autoZero"/>
        <c:auto val="true"/>
        <c:lblAlgn val="ctr"/>
        <c:lblOffset val="100"/>
        <c:noMultiLvlLbl val="false"/>
      </c:catAx>
      <c:valAx>
        <c:axId val="9845555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36774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124.06</c:v>
                </c:pt>
                <c:pt idx="1">
                  <c:v>145.37</c:v>
                </c:pt>
              </c:numCache>
            </c:numRef>
          </c:val>
        </c:ser>
        <c:dLbls>
          <c:showLegendKey val="false"/>
          <c:showVal val="true"/>
          <c:showCatName val="false"/>
          <c:showSerName val="false"/>
          <c:showPercent val="false"/>
          <c:showBubbleSize val="false"/>
        </c:dLbls>
        <c:gapWidth val="219"/>
        <c:overlap val="-27"/>
        <c:axId val="98369536"/>
        <c:axId val="98371072"/>
      </c:barChart>
      <c:catAx>
        <c:axId val="9836953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371072"/>
        <c:crosses val="autoZero"/>
        <c:auto val="true"/>
        <c:lblAlgn val="ctr"/>
        <c:lblOffset val="100"/>
        <c:noMultiLvlLbl val="false"/>
      </c:catAx>
      <c:valAx>
        <c:axId val="9837107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36953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社会保障和就业（类）支出</c:v>
                </c:pt>
                <c:pt idx="1">
                  <c:v>卫生健康支出</c:v>
                </c:pt>
                <c:pt idx="2">
                  <c:v>自然资源海洋气象等支出</c:v>
                </c:pt>
                <c:pt idx="3">
                  <c:v>住房保障支出</c:v>
                </c:pt>
              </c:strCache>
            </c:strRef>
          </c:cat>
          <c:val>
            <c:numRef>
              <c:f>Sheet1!$B$2:$B$5</c:f>
              <c:numCache>
                <c:formatCode>General</c:formatCode>
                <c:ptCount val="4"/>
                <c:pt idx="0">
                  <c:v>8.84</c:v>
                </c:pt>
                <c:pt idx="1">
                  <c:v>4.42</c:v>
                </c:pt>
                <c:pt idx="2">
                  <c:v>122.4</c:v>
                </c:pt>
                <c:pt idx="3">
                  <c:v>9.71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0</c:v>
                </c:pt>
                <c:pt idx="2">
                  <c:v>0.36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8967</Words>
  <Characters>9421</Characters>
  <Lines>11</Lines>
  <Paragraphs>21</Paragraphs>
  <TotalTime>3</TotalTime>
  <ScaleCrop>false</ScaleCrop>
  <LinksUpToDate>false</LinksUpToDate>
  <CharactersWithSpaces>10895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user</cp:lastModifiedBy>
  <cp:lastPrinted>2022-08-08T02:23:00Z</cp:lastPrinted>
  <dcterms:modified xsi:type="dcterms:W3CDTF">2023-09-08T14:23:56Z</dcterms:modified>
  <dc:title>四川省***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