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auto"/>
          <w:sz w:val="72"/>
          <w:szCs w:val="72"/>
          <w:highlight w:val="none"/>
          <w:lang w:val="en-US" w:eastAsia="zh-CN"/>
        </w:rPr>
      </w:pPr>
      <w:bookmarkStart w:id="0" w:name="_Toc15377193"/>
      <w:bookmarkStart w:id="1" w:name="_Toc15306267"/>
      <w:bookmarkStart w:id="2" w:name="_Toc15396597"/>
      <w:bookmarkStart w:id="3" w:name="_Toc15377425"/>
      <w:bookmarkStart w:id="4" w:name="_Toc15396475"/>
      <w:bookmarkStart w:id="5" w:name="_Toc15378441"/>
    </w:p>
    <w:p>
      <w:pPr>
        <w:spacing w:line="600" w:lineRule="exact"/>
        <w:jc w:val="center"/>
        <w:outlineLvl w:val="0"/>
        <w:rPr>
          <w:rFonts w:ascii="方正小标宋简体" w:eastAsia="方正小标宋简体"/>
          <w:color w:val="auto"/>
          <w:sz w:val="72"/>
          <w:szCs w:val="72"/>
          <w:highlight w:val="none"/>
        </w:rPr>
      </w:pPr>
    </w:p>
    <w:p>
      <w:pPr>
        <w:spacing w:line="600" w:lineRule="exact"/>
        <w:jc w:val="center"/>
        <w:outlineLvl w:val="0"/>
        <w:rPr>
          <w:rFonts w:ascii="方正小标宋简体" w:eastAsia="方正小标宋简体"/>
          <w:color w:val="auto"/>
          <w:sz w:val="72"/>
          <w:szCs w:val="72"/>
          <w:highlight w:val="none"/>
        </w:rPr>
      </w:pPr>
    </w:p>
    <w:p>
      <w:pPr>
        <w:spacing w:line="600" w:lineRule="exact"/>
        <w:jc w:val="center"/>
        <w:outlineLvl w:val="0"/>
        <w:rPr>
          <w:rFonts w:ascii="方正小标宋简体" w:eastAsia="方正小标宋简体"/>
          <w:color w:val="auto"/>
          <w:sz w:val="72"/>
          <w:szCs w:val="72"/>
          <w:highlight w:val="none"/>
        </w:rPr>
      </w:pPr>
    </w:p>
    <w:bookmarkEnd w:id="0"/>
    <w:bookmarkEnd w:id="1"/>
    <w:bookmarkEnd w:id="2"/>
    <w:bookmarkEnd w:id="3"/>
    <w:bookmarkEnd w:id="4"/>
    <w:bookmarkEnd w:id="5"/>
    <w:p>
      <w:pPr>
        <w:keepNext w:val="0"/>
        <w:keepLines w:val="0"/>
        <w:pageBreakBefore w:val="0"/>
        <w:widowControl w:val="0"/>
        <w:kinsoku/>
        <w:wordWrap/>
        <w:overflowPunct/>
        <w:topLinePunct w:val="0"/>
        <w:autoSpaceDE/>
        <w:autoSpaceDN/>
        <w:bidi w:val="0"/>
        <w:adjustRightInd w:val="0"/>
        <w:snapToGrid w:val="0"/>
        <w:spacing w:line="800" w:lineRule="exact"/>
        <w:ind w:left="0" w:right="0"/>
        <w:jc w:val="both"/>
        <w:textAlignment w:val="auto"/>
        <w:outlineLvl w:val="0"/>
        <w:rPr>
          <w:rFonts w:ascii="方正小标宋简体" w:eastAsia="方正小标宋简体"/>
          <w:color w:val="000000"/>
          <w:spacing w:val="-23"/>
          <w:w w:val="95"/>
          <w:sz w:val="72"/>
          <w:szCs w:val="72"/>
        </w:rPr>
      </w:pPr>
      <w:r>
        <w:rPr>
          <w:rFonts w:hint="eastAsia" w:ascii="方正小标宋简体" w:eastAsia="方正小标宋简体"/>
          <w:color w:val="000000"/>
          <w:spacing w:val="-23"/>
          <w:w w:val="95"/>
          <w:sz w:val="72"/>
          <w:szCs w:val="72"/>
        </w:rPr>
        <w:t>广元市公共资源交易信息中心</w:t>
      </w:r>
    </w:p>
    <w:p>
      <w:pPr>
        <w:keepNext w:val="0"/>
        <w:keepLines w:val="0"/>
        <w:pageBreakBefore w:val="0"/>
        <w:widowControl w:val="0"/>
        <w:kinsoku/>
        <w:wordWrap/>
        <w:overflowPunct/>
        <w:topLinePunct w:val="0"/>
        <w:autoSpaceDE/>
        <w:autoSpaceDN/>
        <w:bidi w:val="0"/>
        <w:adjustRightInd w:val="0"/>
        <w:snapToGrid w:val="0"/>
        <w:spacing w:line="800" w:lineRule="exact"/>
        <w:ind w:left="0" w:right="0"/>
        <w:jc w:val="center"/>
        <w:textAlignment w:val="auto"/>
        <w:outlineLvl w:val="0"/>
        <w:rPr>
          <w:rFonts w:hint="eastAsia" w:ascii="方正小标宋简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ind w:left="0" w:right="0"/>
        <w:jc w:val="center"/>
        <w:textAlignment w:val="auto"/>
        <w:outlineLvl w:val="0"/>
        <w:rPr>
          <w:rFonts w:hint="eastAsia" w:ascii="方正小标宋简体" w:eastAsia="方正小标宋简体"/>
          <w:color w:val="000000"/>
          <w:sz w:val="72"/>
          <w:szCs w:val="72"/>
        </w:rPr>
      </w:pPr>
      <w:bookmarkStart w:id="6" w:name="_Toc15306268"/>
      <w:bookmarkStart w:id="7" w:name="_Toc15396476"/>
      <w:bookmarkStart w:id="8" w:name="_Toc15396598"/>
      <w:bookmarkStart w:id="9" w:name="_Toc15377426"/>
      <w:bookmarkStart w:id="10" w:name="_Toc15377194"/>
      <w:bookmarkStart w:id="11" w:name="_Toc15378442"/>
    </w:p>
    <w:p>
      <w:pPr>
        <w:keepNext w:val="0"/>
        <w:keepLines w:val="0"/>
        <w:pageBreakBefore w:val="0"/>
        <w:widowControl w:val="0"/>
        <w:kinsoku/>
        <w:wordWrap/>
        <w:overflowPunct/>
        <w:topLinePunct w:val="0"/>
        <w:autoSpaceDE/>
        <w:autoSpaceDN/>
        <w:bidi w:val="0"/>
        <w:adjustRightInd w:val="0"/>
        <w:snapToGrid w:val="0"/>
        <w:spacing w:line="800" w:lineRule="exact"/>
        <w:ind w:left="0" w:right="0"/>
        <w:jc w:val="center"/>
        <w:textAlignment w:val="auto"/>
        <w:outlineLvl w:val="0"/>
        <w:rPr>
          <w:rFonts w:hint="eastAsia" w:ascii="方正小标宋简体" w:eastAsia="方正小标宋简体"/>
          <w:color w:val="000000"/>
          <w:sz w:val="72"/>
          <w:szCs w:val="72"/>
          <w:lang w:eastAsia="zh-CN"/>
        </w:rPr>
      </w:pPr>
      <w:r>
        <w:rPr>
          <w:rFonts w:hint="eastAsia" w:ascii="方正小标宋简体" w:eastAsia="方正小标宋简体"/>
          <w:color w:val="000000"/>
          <w:sz w:val="72"/>
          <w:szCs w:val="72"/>
          <w:lang w:eastAsia="zh-CN"/>
        </w:rPr>
        <w:t>单位决算</w:t>
      </w:r>
    </w:p>
    <w:p>
      <w:pPr>
        <w:pStyle w:val="2"/>
        <w:rPr>
          <w:rFonts w:hint="eastAsia"/>
          <w:sz w:val="36"/>
          <w:szCs w:val="32"/>
        </w:rPr>
      </w:pPr>
    </w:p>
    <w:bookmarkEnd w:id="6"/>
    <w:bookmarkEnd w:id="7"/>
    <w:bookmarkEnd w:id="8"/>
    <w:bookmarkEnd w:id="9"/>
    <w:bookmarkEnd w:id="10"/>
    <w:bookmarkEnd w:id="11"/>
    <w:p>
      <w:pPr>
        <w:pStyle w:val="2"/>
        <w:rPr>
          <w:rFonts w:hint="eastAsia" w:ascii="方正小标宋简体" w:eastAsia="方正小标宋简体"/>
          <w:color w:val="000000"/>
          <w:sz w:val="72"/>
          <w:szCs w:val="72"/>
        </w:rPr>
      </w:pPr>
    </w:p>
    <w:p>
      <w:pPr>
        <w:pStyle w:val="2"/>
        <w:rPr>
          <w:rFonts w:hint="eastAsia" w:ascii="方正小标宋简体" w:eastAsia="方正小标宋简体"/>
          <w:color w:val="000000"/>
          <w:sz w:val="56"/>
          <w:szCs w:val="56"/>
        </w:rPr>
      </w:pPr>
    </w:p>
    <w:p>
      <w:pPr>
        <w:keepNext w:val="0"/>
        <w:keepLines w:val="0"/>
        <w:pageBreakBefore w:val="0"/>
        <w:widowControl w:val="0"/>
        <w:kinsoku/>
        <w:wordWrap/>
        <w:overflowPunct/>
        <w:topLinePunct w:val="0"/>
        <w:autoSpaceDE/>
        <w:autoSpaceDN/>
        <w:bidi w:val="0"/>
        <w:adjustRightInd w:val="0"/>
        <w:snapToGrid w:val="0"/>
        <w:spacing w:line="800" w:lineRule="exact"/>
        <w:ind w:left="0" w:right="0"/>
        <w:jc w:val="center"/>
        <w:textAlignment w:val="auto"/>
        <w:outlineLvl w:val="0"/>
        <w:rPr>
          <w:rFonts w:hint="eastAsia" w:ascii="楷体_GB2312" w:eastAsia="楷体_GB2312" w:cs="楷体_GB2312"/>
          <w:color w:val="000000"/>
          <w:sz w:val="48"/>
          <w:szCs w:val="48"/>
        </w:rPr>
      </w:pPr>
      <w:r>
        <w:rPr>
          <w:rFonts w:hint="eastAsia" w:ascii="楷体_GB2312" w:eastAsia="楷体_GB2312" w:cs="楷体_GB2312"/>
          <w:color w:val="000000"/>
          <w:sz w:val="48"/>
          <w:szCs w:val="48"/>
        </w:rPr>
        <w:t>202</w:t>
      </w:r>
      <w:r>
        <w:rPr>
          <w:rFonts w:hint="eastAsia" w:ascii="楷体_GB2312" w:eastAsia="楷体_GB2312" w:cs="楷体_GB2312"/>
          <w:color w:val="000000"/>
          <w:sz w:val="48"/>
          <w:szCs w:val="48"/>
          <w:lang w:val="en-US" w:eastAsia="zh-CN"/>
        </w:rPr>
        <w:t>1</w:t>
      </w:r>
      <w:r>
        <w:rPr>
          <w:rFonts w:hint="eastAsia" w:ascii="楷体_GB2312" w:eastAsia="楷体_GB2312" w:cs="楷体_GB2312"/>
          <w:color w:val="000000"/>
          <w:sz w:val="48"/>
          <w:szCs w:val="48"/>
        </w:rPr>
        <w:t>年度</w:t>
      </w:r>
    </w:p>
    <w:p>
      <w:pPr>
        <w:pStyle w:val="12"/>
        <w:adjustRightInd w:val="0"/>
        <w:snapToGrid w:val="0"/>
        <w:spacing w:line="440" w:lineRule="exact"/>
        <w:jc w:val="left"/>
        <w:rPr>
          <w:rFonts w:hint="eastAsia"/>
          <w:color w:val="auto"/>
          <w:sz w:val="24"/>
          <w:highlight w:val="none"/>
          <w:lang w:eastAsia="zh-CN"/>
        </w:rPr>
      </w:pPr>
      <w:r>
        <w:rPr>
          <w:rFonts w:ascii="方正小标宋简体" w:eastAsia="方正小标宋简体"/>
          <w:color w:val="auto"/>
          <w:sz w:val="36"/>
          <w:szCs w:val="36"/>
          <w:highlight w:val="none"/>
        </w:rPr>
        <w:br w:type="page"/>
      </w:r>
    </w:p>
    <w:sdt>
      <w:sdtPr>
        <w:rPr>
          <w:rFonts w:ascii="宋体" w:eastAsia="宋体" w:cs="Times New Roman"/>
          <w:kern w:val="2"/>
          <w:sz w:val="32"/>
          <w:szCs w:val="32"/>
          <w:lang w:val="en-US" w:eastAsia="zh-CN" w:bidi="ar-SA"/>
        </w:rPr>
        <w:id w:val="1921130225"/>
        <w:docPartObj>
          <w:docPartGallery w:val="Table of Contents"/>
          <w:docPartUnique/>
        </w:docPartObj>
      </w:sdtPr>
      <w:sdtEndPr>
        <w:rPr>
          <w:rFonts w:ascii="宋体" w:eastAsia="宋体" w:cs="Times New Roman"/>
          <w:kern w:val="2"/>
          <w:sz w:val="20"/>
          <w:szCs w:val="20"/>
          <w:lang w:val="en-US" w:eastAsia="zh-CN" w:bidi="ar-SA"/>
        </w:rPr>
      </w:sdtEndPr>
      <w:sdtContent>
        <w:p>
          <w:pPr>
            <w:spacing w:before="0" w:after="0" w:line="240" w:lineRule="auto"/>
            <w:ind w:left="0" w:right="0" w:firstLine="0"/>
            <w:jc w:val="center"/>
            <w:rPr>
              <w:rFonts w:ascii="宋体" w:eastAsia="宋体"/>
              <w:sz w:val="32"/>
              <w:szCs w:val="32"/>
            </w:rPr>
          </w:pPr>
          <w:bookmarkStart w:id="12" w:name="_Toc636536624_WPSOffice_Type2"/>
          <w:r>
            <w:rPr>
              <w:rFonts w:ascii="宋体" w:eastAsia="宋体"/>
              <w:sz w:val="32"/>
              <w:szCs w:val="32"/>
            </w:rPr>
            <w:t>目录</w:t>
          </w:r>
        </w:p>
        <w:p>
          <w:pPr>
            <w:pStyle w:val="11"/>
            <w:pageBreakBefore w:val="0"/>
            <w:widowControl w:val="0"/>
            <w:kinsoku/>
            <w:wordWrap/>
            <w:overflowPunct/>
            <w:topLinePunct w:val="0"/>
            <w:bidi w:val="0"/>
            <w:spacing w:before="0" w:line="576" w:lineRule="exact"/>
            <w:ind w:left="0" w:right="0"/>
            <w:rPr>
              <w:rFonts w:hint="eastAsia" w:ascii="楷体_GB2312" w:eastAsia="楷体_GB2312" w:cs="楷体_GB2312"/>
              <w:color w:val="auto"/>
              <w:sz w:val="24"/>
              <w:szCs w:val="24"/>
              <w:highlight w:val="none"/>
            </w:rPr>
          </w:pPr>
          <w:r>
            <w:rPr>
              <w:rFonts w:hint="eastAsia" w:ascii="楷体_GB2312" w:eastAsia="楷体_GB2312" w:cs="楷体_GB2312"/>
              <w:color w:val="auto"/>
              <w:sz w:val="24"/>
              <w:szCs w:val="24"/>
              <w:highlight w:val="none"/>
              <w:lang w:eastAsia="zh-CN"/>
            </w:rPr>
            <w:t>（</w:t>
          </w:r>
          <w:r>
            <w:rPr>
              <w:rFonts w:hint="eastAsia" w:ascii="楷体_GB2312" w:eastAsia="楷体_GB2312" w:cs="楷体_GB2312"/>
              <w:color w:val="auto"/>
              <w:sz w:val="24"/>
              <w:szCs w:val="24"/>
              <w:highlight w:val="none"/>
            </w:rPr>
            <w:t>公开时间：20</w:t>
          </w:r>
          <w:r>
            <w:rPr>
              <w:rFonts w:hint="eastAsia" w:ascii="楷体_GB2312" w:eastAsia="楷体_GB2312" w:cs="楷体_GB2312"/>
              <w:color w:val="auto"/>
              <w:sz w:val="24"/>
              <w:szCs w:val="24"/>
              <w:highlight w:val="none"/>
              <w:lang w:val="en-US" w:eastAsia="zh-CN"/>
            </w:rPr>
            <w:t>22</w:t>
          </w:r>
          <w:r>
            <w:rPr>
              <w:rFonts w:hint="eastAsia" w:ascii="楷体_GB2312" w:eastAsia="楷体_GB2312" w:cs="楷体_GB2312"/>
              <w:color w:val="auto"/>
              <w:sz w:val="24"/>
              <w:szCs w:val="24"/>
              <w:highlight w:val="none"/>
            </w:rPr>
            <w:t>年</w:t>
          </w:r>
          <w:r>
            <w:rPr>
              <w:rFonts w:hint="eastAsia" w:ascii="楷体_GB2312" w:eastAsia="楷体_GB2312" w:cs="楷体_GB2312"/>
              <w:color w:val="auto"/>
              <w:sz w:val="24"/>
              <w:szCs w:val="24"/>
              <w:highlight w:val="none"/>
              <w:lang w:val="en-US" w:eastAsia="zh-CN"/>
            </w:rPr>
            <w:t>9</w:t>
          </w:r>
          <w:r>
            <w:rPr>
              <w:rFonts w:hint="eastAsia" w:ascii="楷体_GB2312" w:eastAsia="楷体_GB2312" w:cs="楷体_GB2312"/>
              <w:color w:val="auto"/>
              <w:sz w:val="24"/>
              <w:szCs w:val="24"/>
              <w:highlight w:val="none"/>
            </w:rPr>
            <w:t>月</w:t>
          </w:r>
          <w:r>
            <w:rPr>
              <w:rFonts w:hint="eastAsia" w:ascii="楷体_GB2312" w:eastAsia="楷体_GB2312" w:cs="楷体_GB2312"/>
              <w:color w:val="auto"/>
              <w:sz w:val="24"/>
              <w:szCs w:val="24"/>
              <w:highlight w:val="none"/>
              <w:lang w:val="en-US" w:eastAsia="zh-CN"/>
            </w:rPr>
            <w:t>27</w:t>
          </w:r>
          <w:r>
            <w:rPr>
              <w:rFonts w:hint="eastAsia" w:ascii="楷体_GB2312" w:eastAsia="楷体_GB2312" w:cs="楷体_GB2312"/>
              <w:color w:val="auto"/>
              <w:sz w:val="24"/>
              <w:szCs w:val="24"/>
              <w:highlight w:val="none"/>
            </w:rPr>
            <w:t>日</w:t>
          </w:r>
          <w:r>
            <w:rPr>
              <w:rFonts w:hint="eastAsia" w:ascii="楷体_GB2312" w:eastAsia="楷体_GB2312" w:cs="楷体_GB2312"/>
              <w:color w:val="auto"/>
              <w:sz w:val="24"/>
              <w:szCs w:val="24"/>
              <w:highlight w:val="none"/>
              <w:lang w:eastAsia="zh-CN"/>
            </w:rPr>
            <w:t>）</w:t>
          </w:r>
        </w:p>
        <w:p>
          <w:pPr>
            <w:pStyle w:val="28"/>
            <w:tabs>
              <w:tab w:val="right" w:leader="dot" w:pos="8306"/>
            </w:tabs>
            <w:rPr>
              <w:b w:val="0"/>
              <w:bCs w:val="0"/>
            </w:rPr>
          </w:pPr>
          <w:sdt>
            <w:sdtPr>
              <w:rPr>
                <w:rFonts w:ascii="Times New Roman" w:hAnsi="Times New Roman" w:eastAsia="宋体" w:cs="Times New Roman"/>
                <w:b w:val="0"/>
                <w:bCs w:val="0"/>
                <w:kern w:val="2"/>
                <w:sz w:val="21"/>
                <w:szCs w:val="24"/>
                <w:lang w:val="en-US" w:eastAsia="zh-CN" w:bidi="ar-SA"/>
              </w:rPr>
              <w:id w:val="-1809432218"/>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"_Toc1626780742_WPSOffice_Level1"</w:instrText>
              </w:r>
              <w:r>
                <w:rPr>
                  <w:rFonts w:hint="eastAsia" w:ascii="黑体" w:eastAsia="黑体" w:cs="Times New Roman"/>
                  <w:b w:val="0"/>
                  <w:bCs w:val="0"/>
                </w:rPr>
                <w:fldChar w:fldCharType="separate"/>
              </w:r>
              <w:r>
                <w:rPr>
                  <w:rFonts w:hint="eastAsia" w:ascii="黑体" w:eastAsia="黑体" w:cs="Times New Roman"/>
                  <w:b w:val="0"/>
                  <w:bCs w:val="0"/>
                </w:rPr>
                <w:t>第一部分 单位概况</w:t>
              </w:r>
            </w:sdtContent>
          </w:sdt>
          <w:r>
            <w:rPr>
              <w:b w:val="0"/>
              <w:bCs w:val="0"/>
            </w:rPr>
            <w:tab/>
          </w:r>
          <w:r>
            <w:rPr>
              <w:rFonts w:hint="eastAsia"/>
              <w:b w:val="0"/>
              <w:bCs w:val="0"/>
              <w:lang w:val="en-US" w:eastAsia="zh-CN"/>
            </w:rPr>
            <w:t>3</w:t>
          </w:r>
          <w:r>
            <w:rPr>
              <w:rFonts w:hint="eastAsia" w:ascii="黑体" w:eastAsia="黑体" w:cs="Times New Roman"/>
              <w:b w:val="0"/>
              <w:bCs w:val="0"/>
            </w:rPr>
            <w:fldChar w:fldCharType="end"/>
          </w:r>
        </w:p>
        <w:p>
          <w:pPr>
            <w:pStyle w:val="29"/>
            <w:tabs>
              <w:tab w:val="right" w:leader="dot" w:pos="8306"/>
            </w:tabs>
            <w:rPr>
              <w:b w:val="0"/>
              <w:bCs w:val="0"/>
            </w:rPr>
          </w:pPr>
          <w:sdt>
            <w:sdtPr>
              <w:rPr>
                <w:rFonts w:ascii="Times New Roman" w:hAnsi="Times New Roman" w:eastAsia="宋体" w:cs="Times New Roman"/>
                <w:b w:val="0"/>
                <w:bCs w:val="0"/>
                <w:kern w:val="2"/>
                <w:sz w:val="21"/>
                <w:szCs w:val="24"/>
                <w:lang w:val="en-US" w:eastAsia="zh-CN" w:bidi="ar-SA"/>
              </w:rPr>
              <w:id w:val="265005199"/>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"_Toc636536624_WPSOffice_Level2"</w:instrText>
              </w:r>
              <w:r>
                <w:rPr>
                  <w:rFonts w:hint="eastAsia" w:ascii="黑体" w:eastAsia="黑体" w:cs="Times New Roman"/>
                  <w:b w:val="0"/>
                  <w:bCs w:val="0"/>
                </w:rPr>
                <w:fldChar w:fldCharType="separate"/>
              </w:r>
              <w:r>
                <w:rPr>
                  <w:rFonts w:hint="eastAsia" w:ascii="黑体" w:eastAsia="黑体" w:cs="Times New Roman"/>
                  <w:b w:val="0"/>
                  <w:bCs w:val="0"/>
                </w:rPr>
                <w:t>一、职能简介</w:t>
              </w:r>
            </w:sdtContent>
          </w:sdt>
          <w:r>
            <w:rPr>
              <w:b w:val="0"/>
              <w:bCs w:val="0"/>
            </w:rPr>
            <w:tab/>
          </w:r>
          <w:r>
            <w:rPr>
              <w:rFonts w:hint="eastAsia"/>
              <w:b w:val="0"/>
              <w:bCs w:val="0"/>
              <w:lang w:val="en-US" w:eastAsia="zh-CN"/>
            </w:rPr>
            <w:t>3</w:t>
          </w:r>
          <w:r>
            <w:rPr>
              <w:rFonts w:hint="eastAsia" w:ascii="黑体" w:eastAsia="黑体" w:cs="Times New Roman"/>
              <w:b w:val="0"/>
              <w:bCs w:val="0"/>
            </w:rPr>
            <w:fldChar w:fldCharType="end"/>
          </w:r>
        </w:p>
        <w:p>
          <w:pPr>
            <w:pStyle w:val="29"/>
            <w:tabs>
              <w:tab w:val="right" w:leader="dot" w:pos="8306"/>
            </w:tabs>
            <w:rPr>
              <w:b w:val="0"/>
              <w:bCs w:val="0"/>
            </w:rPr>
          </w:pPr>
          <w:sdt>
            <w:sdtPr>
              <w:rPr>
                <w:rFonts w:ascii="Times New Roman" w:hAnsi="Times New Roman" w:eastAsia="宋体" w:cs="Times New Roman"/>
                <w:b w:val="0"/>
                <w:bCs w:val="0"/>
                <w:kern w:val="2"/>
                <w:sz w:val="21"/>
                <w:szCs w:val="24"/>
                <w:lang w:val="en-US" w:eastAsia="zh-CN" w:bidi="ar-SA"/>
              </w:rPr>
              <w:id w:val="831938396"/>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黑体"/>
                  <w:b w:val="0"/>
                  <w:bCs w:val="0"/>
                </w:rPr>
                <w:fldChar w:fldCharType="begin"/>
              </w:r>
              <w:r>
                <w:instrText xml:space="preserve">HYPERLINK  \l "_Toc1218320437_WPSOffice_Level2"</w:instrText>
              </w:r>
              <w:r>
                <w:rPr>
                  <w:rFonts w:hint="eastAsia" w:ascii="黑体" w:eastAsia="黑体" w:cs="黑体"/>
                  <w:b w:val="0"/>
                  <w:bCs w:val="0"/>
                </w:rPr>
                <w:fldChar w:fldCharType="separate"/>
              </w:r>
              <w:r>
                <w:rPr>
                  <w:rFonts w:hint="eastAsia" w:ascii="黑体" w:eastAsia="黑体" w:cs="黑体"/>
                  <w:b w:val="0"/>
                  <w:bCs w:val="0"/>
                </w:rPr>
                <w:t>二、2021年重点工作完成情况</w:t>
              </w:r>
            </w:sdtContent>
          </w:sdt>
          <w:r>
            <w:rPr>
              <w:b w:val="0"/>
              <w:bCs w:val="0"/>
            </w:rPr>
            <w:tab/>
          </w:r>
          <w:r>
            <w:rPr>
              <w:rFonts w:hint="eastAsia"/>
              <w:b w:val="0"/>
              <w:bCs w:val="0"/>
              <w:lang w:val="en-US" w:eastAsia="zh-CN"/>
            </w:rPr>
            <w:t>3</w:t>
          </w:r>
          <w:r>
            <w:rPr>
              <w:rFonts w:hint="eastAsia" w:ascii="黑体" w:eastAsia="黑体" w:cs="黑体"/>
              <w:b w:val="0"/>
              <w:bCs w:val="0"/>
            </w:rPr>
            <w:fldChar w:fldCharType="end"/>
          </w:r>
        </w:p>
        <w:p>
          <w:pPr>
            <w:pStyle w:val="28"/>
            <w:tabs>
              <w:tab w:val="right" w:leader="dot" w:pos="8306"/>
            </w:tabs>
            <w:rPr>
              <w:b w:val="0"/>
              <w:bCs w:val="0"/>
            </w:rPr>
          </w:pPr>
          <w:sdt>
            <w:sdtPr>
              <w:rPr>
                <w:rFonts w:ascii="Times New Roman" w:hAnsi="Times New Roman" w:eastAsia="宋体" w:cs="Times New Roman"/>
                <w:b w:val="0"/>
                <w:bCs w:val="0"/>
                <w:kern w:val="2"/>
                <w:sz w:val="21"/>
                <w:szCs w:val="24"/>
                <w:lang w:val="en-US" w:eastAsia="zh-CN" w:bidi="ar-SA"/>
              </w:rPr>
              <w:id w:val="-1162992465"/>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"_Toc636536624_WPSOffice_Level1"</w:instrText>
              </w:r>
              <w:r>
                <w:rPr>
                  <w:rFonts w:hint="eastAsia" w:ascii="黑体" w:eastAsia="黑体" w:cs="Times New Roman"/>
                  <w:b w:val="0"/>
                  <w:bCs w:val="0"/>
                </w:rPr>
                <w:fldChar w:fldCharType="separate"/>
              </w:r>
              <w:r>
                <w:rPr>
                  <w:rFonts w:hint="eastAsia" w:ascii="黑体" w:eastAsia="黑体" w:cs="Times New Roman"/>
                  <w:b w:val="0"/>
                  <w:bCs w:val="0"/>
                </w:rPr>
                <w:t>第二部分 2021年度单位决算情况说明</w:t>
              </w:r>
            </w:sdtContent>
          </w:sdt>
          <w:r>
            <w:rPr>
              <w:b w:val="0"/>
              <w:bCs w:val="0"/>
            </w:rPr>
            <w:tab/>
          </w:r>
          <w:r>
            <w:rPr>
              <w:rFonts w:hint="eastAsia"/>
              <w:b w:val="0"/>
              <w:bCs w:val="0"/>
              <w:lang w:val="en-US" w:eastAsia="zh-CN"/>
            </w:rPr>
            <w:t>5</w:t>
          </w:r>
          <w:r>
            <w:rPr>
              <w:rFonts w:hint="eastAsia" w:ascii="黑体" w:eastAsia="黑体" w:cs="Times New Roman"/>
              <w:b w:val="0"/>
              <w:bCs w:val="0"/>
            </w:rPr>
            <w:fldChar w:fldCharType="end"/>
          </w:r>
        </w:p>
        <w:p>
          <w:pPr>
            <w:pStyle w:val="29"/>
            <w:tabs>
              <w:tab w:val="right" w:leader="dot" w:pos="8306"/>
            </w:tabs>
            <w:rPr>
              <w:b w:val="0"/>
              <w:bCs w:val="0"/>
            </w:rPr>
          </w:pPr>
          <w:sdt>
            <w:sdtPr>
              <w:rPr>
                <w:rFonts w:ascii="Times New Roman" w:hAnsi="Times New Roman" w:eastAsia="宋体" w:cs="Times New Roman"/>
                <w:b w:val="0"/>
                <w:bCs w:val="0"/>
                <w:kern w:val="2"/>
                <w:sz w:val="21"/>
                <w:szCs w:val="24"/>
                <w:lang w:val="en-US" w:eastAsia="zh-CN" w:bidi="ar-SA"/>
              </w:rPr>
              <w:id w:val="-1269540075"/>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"_Toc131485666_WPSOffice_Level2"</w:instrText>
              </w:r>
              <w:r>
                <w:rPr>
                  <w:rFonts w:hint="eastAsia" w:ascii="黑体" w:eastAsia="黑体" w:cs="Times New Roman"/>
                  <w:b w:val="0"/>
                  <w:bCs w:val="0"/>
                </w:rPr>
                <w:fldChar w:fldCharType="separate"/>
              </w:r>
              <w:r>
                <w:rPr>
                  <w:rFonts w:hint="eastAsia" w:ascii="黑体" w:eastAsia="黑体" w:cs="Times New Roman"/>
                  <w:b w:val="0"/>
                  <w:bCs w:val="0"/>
                </w:rPr>
                <w:t>一、收入支出决算总体情况说明</w:t>
              </w:r>
            </w:sdtContent>
          </w:sdt>
          <w:r>
            <w:rPr>
              <w:b w:val="0"/>
              <w:bCs w:val="0"/>
            </w:rPr>
            <w:tab/>
          </w:r>
          <w:r>
            <w:rPr>
              <w:rFonts w:hint="eastAsia"/>
              <w:b w:val="0"/>
              <w:bCs w:val="0"/>
              <w:lang w:val="en-US" w:eastAsia="zh-CN"/>
            </w:rPr>
            <w:t>5</w:t>
          </w:r>
          <w:r>
            <w:rPr>
              <w:rFonts w:hint="eastAsia" w:ascii="黑体" w:eastAsia="黑体" w:cs="Times New Roman"/>
              <w:b w:val="0"/>
              <w:bCs w:val="0"/>
            </w:rPr>
            <w:fldChar w:fldCharType="end"/>
          </w:r>
        </w:p>
        <w:p>
          <w:pPr>
            <w:pStyle w:val="29"/>
            <w:tabs>
              <w:tab w:val="right" w:leader="dot" w:pos="8306"/>
            </w:tabs>
            <w:rPr>
              <w:b w:val="0"/>
              <w:bCs w:val="0"/>
            </w:rPr>
          </w:pPr>
          <w:sdt>
            <w:sdtPr>
              <w:rPr>
                <w:rFonts w:ascii="Times New Roman" w:hAnsi="Times New Roman" w:eastAsia="宋体" w:cs="Times New Roman"/>
                <w:b w:val="0"/>
                <w:bCs w:val="0"/>
                <w:kern w:val="2"/>
                <w:sz w:val="21"/>
                <w:szCs w:val="24"/>
                <w:lang w:val="en-US" w:eastAsia="zh-CN" w:bidi="ar-SA"/>
              </w:rPr>
              <w:id w:val="-1469720167"/>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"_Toc1582202400_WPSOffice_Level2"</w:instrText>
              </w:r>
              <w:r>
                <w:rPr>
                  <w:rFonts w:hint="eastAsia" w:ascii="黑体" w:eastAsia="黑体" w:cs="Times New Roman"/>
                  <w:b w:val="0"/>
                  <w:bCs w:val="0"/>
                </w:rPr>
                <w:fldChar w:fldCharType="separate"/>
              </w:r>
              <w:r>
                <w:rPr>
                  <w:rFonts w:hint="eastAsia" w:ascii="黑体" w:eastAsia="黑体" w:cs="Times New Roman"/>
                  <w:b w:val="0"/>
                  <w:bCs w:val="0"/>
                </w:rPr>
                <w:t>二、收入决算情况说明</w:t>
              </w:r>
            </w:sdtContent>
          </w:sdt>
          <w:r>
            <w:rPr>
              <w:b w:val="0"/>
              <w:bCs w:val="0"/>
            </w:rPr>
            <w:tab/>
          </w:r>
          <w:r>
            <w:rPr>
              <w:rFonts w:hint="eastAsia"/>
              <w:b w:val="0"/>
              <w:bCs w:val="0"/>
              <w:lang w:val="en-US" w:eastAsia="zh-CN"/>
            </w:rPr>
            <w:t>5</w:t>
          </w:r>
          <w:r>
            <w:rPr>
              <w:rFonts w:hint="eastAsia" w:ascii="黑体" w:eastAsia="黑体" w:cs="Times New Roman"/>
              <w:b w:val="0"/>
              <w:bCs w:val="0"/>
            </w:rPr>
            <w:fldChar w:fldCharType="end"/>
          </w:r>
        </w:p>
        <w:p>
          <w:pPr>
            <w:pStyle w:val="29"/>
            <w:tabs>
              <w:tab w:val="right" w:leader="dot" w:pos="8306"/>
            </w:tabs>
            <w:rPr>
              <w:b w:val="0"/>
              <w:bCs w:val="0"/>
            </w:rPr>
          </w:pPr>
          <w:sdt>
            <w:sdtPr>
              <w:rPr>
                <w:rFonts w:ascii="Times New Roman" w:hAnsi="Times New Roman" w:eastAsia="宋体" w:cs="Times New Roman"/>
                <w:b w:val="0"/>
                <w:bCs w:val="0"/>
                <w:kern w:val="2"/>
                <w:sz w:val="21"/>
                <w:szCs w:val="24"/>
                <w:lang w:val="en-US" w:eastAsia="zh-CN" w:bidi="ar-SA"/>
              </w:rPr>
              <w:id w:val="-587214478"/>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"_Toc891416763_WPSOffice_Level2"</w:instrText>
              </w:r>
              <w:r>
                <w:rPr>
                  <w:rFonts w:hint="eastAsia" w:ascii="黑体" w:eastAsia="黑体" w:cs="Times New Roman"/>
                  <w:b w:val="0"/>
                  <w:bCs w:val="0"/>
                </w:rPr>
                <w:fldChar w:fldCharType="separate"/>
              </w:r>
              <w:r>
                <w:rPr>
                  <w:rFonts w:hint="eastAsia" w:ascii="黑体" w:eastAsia="黑体" w:cs="Times New Roman"/>
                  <w:b w:val="0"/>
                  <w:bCs w:val="0"/>
                </w:rPr>
                <w:t>三、支出决算情况说明</w:t>
              </w:r>
            </w:sdtContent>
          </w:sdt>
          <w:r>
            <w:rPr>
              <w:b w:val="0"/>
              <w:bCs w:val="0"/>
            </w:rPr>
            <w:tab/>
          </w:r>
          <w:r>
            <w:rPr>
              <w:rFonts w:hint="eastAsia"/>
              <w:b w:val="0"/>
              <w:bCs w:val="0"/>
              <w:lang w:val="en-US" w:eastAsia="zh-CN"/>
            </w:rPr>
            <w:t>6</w:t>
          </w:r>
          <w:r>
            <w:rPr>
              <w:rFonts w:hint="eastAsia" w:ascii="黑体" w:eastAsia="黑体" w:cs="Times New Roman"/>
              <w:b w:val="0"/>
              <w:bCs w:val="0"/>
            </w:rPr>
            <w:fldChar w:fldCharType="end"/>
          </w:r>
        </w:p>
        <w:p>
          <w:pPr>
            <w:pStyle w:val="29"/>
            <w:tabs>
              <w:tab w:val="right" w:leader="dot" w:pos="8306"/>
            </w:tabs>
            <w:rPr>
              <w:b w:val="0"/>
              <w:bCs w:val="0"/>
            </w:rPr>
          </w:pPr>
          <w:sdt>
            <w:sdtPr>
              <w:rPr>
                <w:rFonts w:ascii="Times New Roman" w:hAnsi="Times New Roman" w:eastAsia="宋体" w:cs="Times New Roman"/>
                <w:b w:val="0"/>
                <w:bCs w:val="0"/>
                <w:kern w:val="2"/>
                <w:sz w:val="21"/>
                <w:szCs w:val="24"/>
                <w:lang w:val="en-US" w:eastAsia="zh-CN" w:bidi="ar-SA"/>
              </w:rPr>
              <w:id w:val="-1609268692"/>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"_Toc1475579447_WPSOffice_Level2"</w:instrText>
              </w:r>
              <w:r>
                <w:rPr>
                  <w:rFonts w:hint="eastAsia" w:ascii="黑体" w:eastAsia="黑体" w:cs="Times New Roman"/>
                  <w:b w:val="0"/>
                  <w:bCs w:val="0"/>
                </w:rPr>
                <w:fldChar w:fldCharType="separate"/>
              </w:r>
              <w:r>
                <w:rPr>
                  <w:rFonts w:hint="eastAsia" w:ascii="黑体" w:eastAsia="黑体" w:cs="Times New Roman"/>
                  <w:b w:val="0"/>
                  <w:bCs w:val="0"/>
                </w:rPr>
                <w:t>四、财政拨款收入支出决算总体情况说明</w:t>
              </w:r>
            </w:sdtContent>
          </w:sdt>
          <w:r>
            <w:rPr>
              <w:b w:val="0"/>
              <w:bCs w:val="0"/>
            </w:rPr>
            <w:tab/>
          </w:r>
          <w:r>
            <w:rPr>
              <w:rFonts w:hint="eastAsia"/>
              <w:b w:val="0"/>
              <w:bCs w:val="0"/>
              <w:lang w:val="en-US" w:eastAsia="zh-CN"/>
            </w:rPr>
            <w:t>7</w:t>
          </w:r>
          <w:r>
            <w:rPr>
              <w:rFonts w:hint="eastAsia" w:ascii="黑体" w:eastAsia="黑体" w:cs="Times New Roman"/>
              <w:b w:val="0"/>
              <w:bCs w:val="0"/>
            </w:rPr>
            <w:fldChar w:fldCharType="end"/>
          </w:r>
        </w:p>
        <w:p>
          <w:pPr>
            <w:pStyle w:val="29"/>
            <w:tabs>
              <w:tab w:val="right" w:leader="dot" w:pos="8306"/>
            </w:tabs>
            <w:rPr>
              <w:rFonts w:hint="eastAsia" w:eastAsia="黑体"/>
              <w:b w:val="0"/>
              <w:bCs w:val="0"/>
              <w:lang w:val="en-US" w:eastAsia="zh-CN"/>
            </w:rPr>
          </w:pPr>
          <w:sdt>
            <w:sdtPr>
              <w:rPr>
                <w:rFonts w:ascii="Times New Roman" w:hAnsi="Times New Roman" w:eastAsia="宋体" w:cs="Times New Roman"/>
                <w:b w:val="0"/>
                <w:bCs w:val="0"/>
                <w:kern w:val="2"/>
                <w:sz w:val="21"/>
                <w:szCs w:val="24"/>
                <w:lang w:val="en-US" w:eastAsia="zh-CN" w:bidi="ar-SA"/>
              </w:rPr>
              <w:id w:val="-1468390853"/>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"_Toc2006518571_WPSOffice_Level2"</w:instrText>
              </w:r>
              <w:r>
                <w:rPr>
                  <w:rFonts w:hint="eastAsia" w:ascii="黑体" w:eastAsia="黑体" w:cs="Times New Roman"/>
                  <w:b w:val="0"/>
                  <w:bCs w:val="0"/>
                </w:rPr>
                <w:fldChar w:fldCharType="separate"/>
              </w:r>
              <w:r>
                <w:rPr>
                  <w:rFonts w:hint="eastAsia" w:ascii="黑体" w:eastAsia="黑体" w:cs="Times New Roman"/>
                  <w:b w:val="0"/>
                  <w:bCs w:val="0"/>
                </w:rPr>
                <w:t>五、一般公共预算财政拨款支出决算情况说明</w:t>
              </w:r>
            </w:sdtContent>
          </w:sdt>
          <w:r>
            <w:rPr>
              <w:b w:val="0"/>
              <w:bCs w:val="0"/>
            </w:rPr>
            <w:tab/>
          </w:r>
          <w:r>
            <w:rPr>
              <w:rFonts w:hint="eastAsia"/>
              <w:b w:val="0"/>
              <w:bCs w:val="0"/>
              <w:lang w:val="en-US" w:eastAsia="zh-CN"/>
            </w:rPr>
            <w:t>8</w:t>
          </w:r>
          <w:r>
            <w:rPr>
              <w:rFonts w:hint="eastAsia" w:ascii="黑体" w:eastAsia="黑体" w:cs="Times New Roman"/>
              <w:b w:val="0"/>
              <w:bCs w:val="0"/>
            </w:rPr>
            <w:fldChar w:fldCharType="end"/>
          </w:r>
          <w:r>
            <w:rPr>
              <w:rFonts w:hint="eastAsia" w:ascii="黑体" w:eastAsia="黑体" w:cs="Times New Roman"/>
              <w:b w:val="0"/>
              <w:bCs w:val="0"/>
              <w:lang w:val="en-US" w:eastAsia="zh-CN"/>
            </w:rPr>
            <w:t xml:space="preserve"> </w:t>
          </w:r>
        </w:p>
        <w:p>
          <w:pPr>
            <w:pStyle w:val="29"/>
            <w:tabs>
              <w:tab w:val="right" w:leader="dot" w:pos="8306"/>
            </w:tabs>
            <w:rPr>
              <w:rFonts w:hint="eastAsia" w:eastAsia="黑体"/>
              <w:b w:val="0"/>
              <w:bCs w:val="0"/>
              <w:lang w:val="en-US" w:eastAsia="zh-CN"/>
            </w:rPr>
          </w:pPr>
          <w:sdt>
            <w:sdtPr>
              <w:rPr>
                <w:rFonts w:ascii="Times New Roman" w:hAnsi="Times New Roman" w:eastAsia="宋体" w:cs="Times New Roman"/>
                <w:b w:val="0"/>
                <w:bCs w:val="0"/>
                <w:kern w:val="2"/>
                <w:sz w:val="21"/>
                <w:szCs w:val="24"/>
                <w:lang w:val="en-US" w:eastAsia="zh-CN" w:bidi="ar-SA"/>
              </w:rPr>
              <w:id w:val="1366522832"/>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"_Toc493600130_WPSOffice_Level2"</w:instrText>
              </w:r>
              <w:r>
                <w:rPr>
                  <w:rFonts w:hint="eastAsia" w:ascii="黑体" w:eastAsia="黑体" w:cs="Times New Roman"/>
                  <w:b w:val="0"/>
                  <w:bCs w:val="0"/>
                </w:rPr>
                <w:fldChar w:fldCharType="separate"/>
              </w:r>
              <w:r>
                <w:rPr>
                  <w:rFonts w:hint="eastAsia" w:ascii="黑体" w:eastAsia="黑体" w:cs="Times New Roman"/>
                  <w:b w:val="0"/>
                  <w:bCs w:val="0"/>
                </w:rPr>
                <w:t>六、一般公共预算财政拨款基本支出决算情况说明</w:t>
              </w:r>
            </w:sdtContent>
          </w:sdt>
          <w:r>
            <w:rPr>
              <w:b w:val="0"/>
              <w:bCs w:val="0"/>
            </w:rPr>
            <w:tab/>
          </w:r>
          <w:r>
            <w:rPr>
              <w:rFonts w:hint="eastAsia"/>
              <w:b w:val="0"/>
              <w:bCs w:val="0"/>
              <w:lang w:val="en-US" w:eastAsia="zh-CN"/>
            </w:rPr>
            <w:t>1</w:t>
          </w:r>
          <w:r>
            <w:rPr>
              <w:rFonts w:hint="eastAsia" w:ascii="黑体" w:eastAsia="黑体" w:cs="Times New Roman"/>
              <w:b w:val="0"/>
              <w:bCs w:val="0"/>
            </w:rPr>
            <w:fldChar w:fldCharType="end"/>
          </w:r>
          <w:r>
            <w:rPr>
              <w:rFonts w:hint="eastAsia" w:ascii="黑体" w:eastAsia="黑体" w:cs="Times New Roman"/>
              <w:b w:val="0"/>
              <w:bCs w:val="0"/>
              <w:lang w:val="en-US" w:eastAsia="zh-CN"/>
            </w:rPr>
            <w:t>1</w:t>
          </w:r>
        </w:p>
        <w:p>
          <w:pPr>
            <w:pStyle w:val="29"/>
            <w:tabs>
              <w:tab w:val="right" w:leader="dot" w:pos="8306"/>
            </w:tabs>
            <w:rPr>
              <w:rFonts w:hint="eastAsia" w:eastAsia="黑体"/>
              <w:b w:val="0"/>
              <w:bCs w:val="0"/>
              <w:lang w:val="en-US" w:eastAsia="zh-CN"/>
            </w:rPr>
          </w:pPr>
          <w:sdt>
            <w:sdtPr>
              <w:rPr>
                <w:rFonts w:ascii="Times New Roman" w:hAnsi="Times New Roman" w:eastAsia="宋体" w:cs="Times New Roman"/>
                <w:b w:val="0"/>
                <w:bCs w:val="0"/>
                <w:kern w:val="2"/>
                <w:sz w:val="21"/>
                <w:szCs w:val="24"/>
                <w:lang w:val="en-US" w:eastAsia="zh-CN" w:bidi="ar-SA"/>
              </w:rPr>
              <w:id w:val="-1495362302"/>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"_Toc466352382_WPSOffice_Level2"</w:instrText>
              </w:r>
              <w:r>
                <w:rPr>
                  <w:rFonts w:hint="eastAsia" w:ascii="黑体" w:eastAsia="黑体" w:cs="Times New Roman"/>
                  <w:b w:val="0"/>
                  <w:bCs w:val="0"/>
                </w:rPr>
                <w:fldChar w:fldCharType="separate"/>
              </w:r>
              <w:r>
                <w:rPr>
                  <w:rFonts w:hint="eastAsia" w:ascii="黑体" w:eastAsia="黑体" w:cs="Times New Roman"/>
                  <w:b w:val="0"/>
                  <w:bCs w:val="0"/>
                </w:rPr>
                <w:t>七、“三公”经费财政拨款支出决算情况说明</w:t>
              </w:r>
            </w:sdtContent>
          </w:sdt>
          <w:r>
            <w:rPr>
              <w:b w:val="0"/>
              <w:bCs w:val="0"/>
            </w:rPr>
            <w:tab/>
          </w:r>
          <w:r>
            <w:rPr>
              <w:rFonts w:hint="eastAsia"/>
              <w:b w:val="0"/>
              <w:bCs w:val="0"/>
              <w:lang w:val="en-US" w:eastAsia="zh-CN"/>
            </w:rPr>
            <w:t>1</w:t>
          </w:r>
          <w:r>
            <w:rPr>
              <w:rFonts w:hint="eastAsia" w:ascii="黑体" w:eastAsia="黑体" w:cs="Times New Roman"/>
              <w:b w:val="0"/>
              <w:bCs w:val="0"/>
            </w:rPr>
            <w:fldChar w:fldCharType="end"/>
          </w:r>
          <w:r>
            <w:rPr>
              <w:rFonts w:hint="eastAsia" w:ascii="黑体" w:eastAsia="黑体" w:cs="Times New Roman"/>
              <w:b w:val="0"/>
              <w:bCs w:val="0"/>
              <w:lang w:val="en-US" w:eastAsia="zh-CN"/>
            </w:rPr>
            <w:t>2</w:t>
          </w:r>
        </w:p>
        <w:p>
          <w:pPr>
            <w:pStyle w:val="29"/>
            <w:tabs>
              <w:tab w:val="right" w:leader="dot" w:pos="8306"/>
            </w:tabs>
            <w:rPr>
              <w:rFonts w:hint="eastAsia" w:eastAsia="宋体"/>
              <w:b w:val="0"/>
              <w:bCs w:val="0"/>
              <w:lang w:val="en-US" w:eastAsia="zh-CN"/>
            </w:rPr>
          </w:pPr>
          <w:sdt>
            <w:sdtPr>
              <w:rPr>
                <w:rFonts w:ascii="Times New Roman" w:hAnsi="Times New Roman" w:eastAsia="宋体" w:cs="Times New Roman"/>
                <w:b w:val="0"/>
                <w:bCs w:val="0"/>
                <w:kern w:val="2"/>
                <w:sz w:val="21"/>
                <w:szCs w:val="24"/>
                <w:lang w:val="en-US" w:eastAsia="zh-CN" w:bidi="ar-SA"/>
              </w:rPr>
              <w:id w:val="-1247850955"/>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"_Toc1037106583_WPSOffice_Level2"</w:instrText>
              </w:r>
              <w:r>
                <w:rPr>
                  <w:rFonts w:hint="eastAsia" w:ascii="黑体" w:eastAsia="黑体" w:cs="Times New Roman"/>
                  <w:b w:val="0"/>
                  <w:bCs w:val="0"/>
                </w:rPr>
                <w:fldChar w:fldCharType="separate"/>
              </w:r>
              <w:r>
                <w:rPr>
                  <w:rFonts w:hint="eastAsia" w:ascii="黑体" w:eastAsia="黑体" w:cs="Times New Roman"/>
                  <w:b w:val="0"/>
                  <w:bCs w:val="0"/>
                </w:rPr>
                <w:t>八、政府性基金预算支出决算情况说明</w:t>
              </w:r>
            </w:sdtContent>
          </w:sdt>
          <w:r>
            <w:rPr>
              <w:b w:val="0"/>
              <w:bCs w:val="0"/>
            </w:rPr>
            <w:tab/>
          </w:r>
          <w:r>
            <w:rPr>
              <w:rFonts w:hint="eastAsia"/>
              <w:b w:val="0"/>
              <w:bCs w:val="0"/>
              <w:lang w:val="en-US" w:eastAsia="zh-CN"/>
            </w:rPr>
            <w:t>1</w:t>
          </w:r>
          <w:r>
            <w:rPr>
              <w:rFonts w:hint="eastAsia" w:ascii="黑体" w:eastAsia="黑体" w:cs="Times New Roman"/>
              <w:b w:val="0"/>
              <w:bCs w:val="0"/>
            </w:rPr>
            <w:fldChar w:fldCharType="end"/>
          </w:r>
          <w:r>
            <w:rPr>
              <w:rFonts w:hint="eastAsia"/>
              <w:b w:val="0"/>
              <w:bCs w:val="0"/>
              <w:lang w:val="en-US" w:eastAsia="zh-CN"/>
            </w:rPr>
            <w:t>4</w:t>
          </w:r>
        </w:p>
        <w:p>
          <w:pPr>
            <w:pStyle w:val="29"/>
            <w:tabs>
              <w:tab w:val="right" w:leader="dot" w:pos="8306"/>
            </w:tabs>
            <w:rPr>
              <w:rFonts w:hint="eastAsia" w:eastAsia="宋体"/>
              <w:b w:val="0"/>
              <w:bCs w:val="0"/>
              <w:lang w:val="en-US" w:eastAsia="zh-CN"/>
            </w:rPr>
          </w:pPr>
          <w:sdt>
            <w:sdtPr>
              <w:rPr>
                <w:rFonts w:ascii="Times New Roman" w:hAnsi="Times New Roman" w:eastAsia="宋体" w:cs="Times New Roman"/>
                <w:b w:val="0"/>
                <w:bCs w:val="0"/>
                <w:kern w:val="2"/>
                <w:sz w:val="21"/>
                <w:szCs w:val="24"/>
                <w:lang w:val="en-US" w:eastAsia="zh-CN" w:bidi="ar-SA"/>
              </w:rPr>
              <w:id w:val="-920775838"/>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"_Toc1338872083_WPSOffice_Level2"</w:instrText>
              </w:r>
              <w:r>
                <w:rPr>
                  <w:rFonts w:hint="eastAsia" w:ascii="黑体" w:eastAsia="黑体" w:cs="Times New Roman"/>
                  <w:b w:val="0"/>
                  <w:bCs w:val="0"/>
                </w:rPr>
                <w:fldChar w:fldCharType="separate"/>
              </w:r>
              <w:r>
                <w:rPr>
                  <w:rFonts w:hint="eastAsia" w:ascii="黑体" w:eastAsia="黑体" w:cs="Times New Roman"/>
                  <w:b w:val="0"/>
                  <w:bCs w:val="0"/>
                </w:rPr>
                <w:t>九、 国有资本经营预算支出决算情况说明</w:t>
              </w:r>
            </w:sdtContent>
          </w:sdt>
          <w:r>
            <w:rPr>
              <w:b w:val="0"/>
              <w:bCs w:val="0"/>
            </w:rPr>
            <w:tab/>
          </w:r>
          <w:r>
            <w:rPr>
              <w:rFonts w:hint="eastAsia"/>
              <w:b w:val="0"/>
              <w:bCs w:val="0"/>
              <w:lang w:val="en-US" w:eastAsia="zh-CN"/>
            </w:rPr>
            <w:t>1</w:t>
          </w:r>
          <w:r>
            <w:rPr>
              <w:rFonts w:hint="eastAsia" w:ascii="黑体" w:eastAsia="黑体" w:cs="Times New Roman"/>
              <w:b w:val="0"/>
              <w:bCs w:val="0"/>
            </w:rPr>
            <w:fldChar w:fldCharType="end"/>
          </w:r>
          <w:r>
            <w:rPr>
              <w:rFonts w:hint="eastAsia"/>
              <w:b w:val="0"/>
              <w:bCs w:val="0"/>
              <w:lang w:val="en-US" w:eastAsia="zh-CN"/>
            </w:rPr>
            <w:t>4</w:t>
          </w:r>
        </w:p>
        <w:p>
          <w:pPr>
            <w:pStyle w:val="29"/>
            <w:tabs>
              <w:tab w:val="right" w:leader="dot" w:pos="8306"/>
            </w:tabs>
            <w:rPr>
              <w:rFonts w:hint="eastAsia" w:eastAsia="宋体"/>
              <w:b w:val="0"/>
              <w:bCs w:val="0"/>
              <w:lang w:val="en-US" w:eastAsia="zh-CN"/>
            </w:rPr>
          </w:pPr>
          <w:sdt>
            <w:sdtPr>
              <w:rPr>
                <w:rFonts w:ascii="Times New Roman" w:hAnsi="Times New Roman" w:eastAsia="宋体" w:cs="Times New Roman"/>
                <w:b w:val="0"/>
                <w:bCs w:val="0"/>
                <w:kern w:val="2"/>
                <w:sz w:val="21"/>
                <w:szCs w:val="24"/>
                <w:lang w:val="en-US" w:eastAsia="zh-CN" w:bidi="ar-SA"/>
              </w:rPr>
              <w:id w:val="-1769117649"/>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"_Toc1089675440_WPSOffice_Level2"</w:instrText>
              </w:r>
              <w:r>
                <w:rPr>
                  <w:rFonts w:hint="eastAsia" w:ascii="黑体" w:eastAsia="黑体" w:cs="Times New Roman"/>
                  <w:b w:val="0"/>
                  <w:bCs w:val="0"/>
                </w:rPr>
                <w:fldChar w:fldCharType="separate"/>
              </w:r>
              <w:r>
                <w:rPr>
                  <w:rFonts w:hint="eastAsia" w:ascii="黑体" w:eastAsia="黑体" w:cs="Times New Roman"/>
                  <w:b w:val="0"/>
                  <w:bCs w:val="0"/>
                </w:rPr>
                <w:t>十、 预算绩效管理情况</w:t>
              </w:r>
            </w:sdtContent>
          </w:sdt>
          <w:r>
            <w:rPr>
              <w:b w:val="0"/>
              <w:bCs w:val="0"/>
            </w:rPr>
            <w:tab/>
          </w:r>
          <w:r>
            <w:rPr>
              <w:rFonts w:hint="eastAsia"/>
              <w:b w:val="0"/>
              <w:bCs w:val="0"/>
              <w:lang w:val="en-US" w:eastAsia="zh-CN"/>
            </w:rPr>
            <w:t>1</w:t>
          </w:r>
          <w:r>
            <w:rPr>
              <w:rFonts w:hint="eastAsia" w:ascii="黑体" w:eastAsia="黑体" w:cs="Times New Roman"/>
              <w:b w:val="0"/>
              <w:bCs w:val="0"/>
            </w:rPr>
            <w:fldChar w:fldCharType="end"/>
          </w:r>
          <w:r>
            <w:rPr>
              <w:rFonts w:hint="eastAsia"/>
              <w:b w:val="0"/>
              <w:bCs w:val="0"/>
              <w:lang w:val="en-US" w:eastAsia="zh-CN"/>
            </w:rPr>
            <w:t>4</w:t>
          </w:r>
        </w:p>
        <w:p>
          <w:pPr>
            <w:pStyle w:val="29"/>
            <w:tabs>
              <w:tab w:val="right" w:leader="dot" w:pos="8306"/>
            </w:tabs>
            <w:rPr>
              <w:rFonts w:hint="eastAsia" w:eastAsia="宋体"/>
              <w:b w:val="0"/>
              <w:bCs w:val="0"/>
              <w:lang w:val="en-US" w:eastAsia="zh-CN"/>
            </w:rPr>
          </w:pPr>
          <w:sdt>
            <w:sdtPr>
              <w:rPr>
                <w:rFonts w:ascii="Times New Roman" w:hAnsi="Times New Roman" w:eastAsia="宋体" w:cs="Times New Roman"/>
                <w:b w:val="0"/>
                <w:bCs w:val="0"/>
                <w:kern w:val="2"/>
                <w:sz w:val="21"/>
                <w:szCs w:val="24"/>
                <w:lang w:val="en-US" w:eastAsia="zh-CN" w:bidi="ar-SA"/>
              </w:rPr>
              <w:id w:val="-1696977001"/>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"_Toc605402415_WPSOffice_Level2"</w:instrText>
              </w:r>
              <w:r>
                <w:rPr>
                  <w:rFonts w:hint="eastAsia" w:ascii="黑体" w:eastAsia="黑体" w:cs="Times New Roman"/>
                  <w:b w:val="0"/>
                  <w:bCs w:val="0"/>
                </w:rPr>
                <w:fldChar w:fldCharType="separate"/>
              </w:r>
              <w:r>
                <w:rPr>
                  <w:rFonts w:hint="eastAsia" w:ascii="黑体" w:eastAsia="黑体" w:cs="Times New Roman"/>
                  <w:b w:val="0"/>
                  <w:bCs w:val="0"/>
                </w:rPr>
                <w:t>十一、 其他重要事项的情况说明</w:t>
              </w:r>
            </w:sdtContent>
          </w:sdt>
          <w:r>
            <w:rPr>
              <w:b w:val="0"/>
              <w:bCs w:val="0"/>
            </w:rPr>
            <w:tab/>
          </w:r>
          <w:r>
            <w:rPr>
              <w:rFonts w:hint="eastAsia"/>
              <w:b w:val="0"/>
              <w:bCs w:val="0"/>
              <w:lang w:val="en-US" w:eastAsia="zh-CN"/>
            </w:rPr>
            <w:t>1</w:t>
          </w:r>
          <w:r>
            <w:rPr>
              <w:rFonts w:hint="eastAsia" w:ascii="黑体" w:eastAsia="黑体" w:cs="Times New Roman"/>
              <w:b w:val="0"/>
              <w:bCs w:val="0"/>
            </w:rPr>
            <w:fldChar w:fldCharType="end"/>
          </w:r>
          <w:r>
            <w:rPr>
              <w:rFonts w:hint="eastAsia"/>
              <w:b w:val="0"/>
              <w:bCs w:val="0"/>
              <w:lang w:val="en-US" w:eastAsia="zh-CN"/>
            </w:rPr>
            <w:t>4</w:t>
          </w:r>
        </w:p>
        <w:p>
          <w:pPr>
            <w:pStyle w:val="28"/>
            <w:tabs>
              <w:tab w:val="right" w:leader="dot" w:pos="8306"/>
            </w:tabs>
            <w:rPr>
              <w:rFonts w:hint="eastAsia" w:eastAsia="宋体"/>
              <w:b w:val="0"/>
              <w:bCs w:val="0"/>
              <w:lang w:val="en-US" w:eastAsia="zh-CN"/>
            </w:rPr>
          </w:pPr>
          <w:sdt>
            <w:sdtPr>
              <w:rPr>
                <w:rFonts w:ascii="Times New Roman" w:hAnsi="Times New Roman" w:eastAsia="宋体" w:cs="Times New Roman"/>
                <w:b w:val="0"/>
                <w:bCs w:val="0"/>
                <w:kern w:val="2"/>
                <w:sz w:val="21"/>
                <w:szCs w:val="24"/>
                <w:lang w:val="en-US" w:eastAsia="zh-CN" w:bidi="ar-SA"/>
              </w:rPr>
              <w:id w:val="-1989586669"/>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"_Toc1218320437_WPSOffice_Level1"</w:instrText>
              </w:r>
              <w:r>
                <w:rPr>
                  <w:rFonts w:hint="eastAsia" w:ascii="黑体" w:eastAsia="黑体" w:cs="Times New Roman"/>
                  <w:b w:val="0"/>
                  <w:bCs w:val="0"/>
                </w:rPr>
                <w:fldChar w:fldCharType="separate"/>
              </w:r>
              <w:r>
                <w:rPr>
                  <w:rFonts w:hint="eastAsia" w:ascii="黑体" w:eastAsia="黑体" w:cs="Times New Roman"/>
                  <w:b w:val="0"/>
                  <w:bCs w:val="0"/>
                </w:rPr>
                <w:t>第三部分 名词解释</w:t>
              </w:r>
            </w:sdtContent>
          </w:sdt>
          <w:r>
            <w:rPr>
              <w:b w:val="0"/>
              <w:bCs w:val="0"/>
            </w:rPr>
            <w:tab/>
          </w:r>
          <w:r>
            <w:rPr>
              <w:rFonts w:hint="eastAsia"/>
              <w:b w:val="0"/>
              <w:bCs w:val="0"/>
              <w:lang w:val="en-US" w:eastAsia="zh-CN"/>
            </w:rPr>
            <w:t>1</w:t>
          </w:r>
          <w:r>
            <w:rPr>
              <w:rFonts w:hint="eastAsia" w:ascii="黑体" w:eastAsia="黑体" w:cs="Times New Roman"/>
              <w:b w:val="0"/>
              <w:bCs w:val="0"/>
            </w:rPr>
            <w:fldChar w:fldCharType="end"/>
          </w:r>
          <w:r>
            <w:rPr>
              <w:rFonts w:hint="eastAsia"/>
              <w:b w:val="0"/>
              <w:bCs w:val="0"/>
              <w:lang w:val="en-US" w:eastAsia="zh-CN"/>
            </w:rPr>
            <w:t>5</w:t>
          </w:r>
        </w:p>
        <w:p>
          <w:pPr>
            <w:pStyle w:val="28"/>
            <w:tabs>
              <w:tab w:val="right" w:leader="dot" w:pos="8306"/>
            </w:tabs>
            <w:rPr>
              <w:rFonts w:eastAsia="宋体"/>
              <w:b w:val="0"/>
              <w:bCs w:val="0"/>
              <w:lang w:val="en-US" w:eastAsia="zh-CN"/>
            </w:rPr>
          </w:pPr>
          <w:sdt>
            <w:sdtPr>
              <w:rPr>
                <w:rFonts w:ascii="Times New Roman" w:hAnsi="Times New Roman" w:eastAsia="宋体" w:cs="Times New Roman"/>
                <w:b w:val="0"/>
                <w:bCs w:val="0"/>
                <w:kern w:val="2"/>
                <w:sz w:val="21"/>
                <w:szCs w:val="24"/>
                <w:lang w:val="en-US" w:eastAsia="zh-CN" w:bidi="ar-SA"/>
              </w:rPr>
              <w:id w:val="807563318"/>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Times New Roman"/>
                  <w:b w:val="0"/>
                  <w:bCs w:val="0"/>
                </w:rPr>
                <w:fldChar w:fldCharType="begin"/>
              </w:r>
              <w:r>
                <w:instrText xml:space="preserve">HYPERLINK  \l "_Toc131485666_WPSOffice_Level1"</w:instrText>
              </w:r>
              <w:r>
                <w:rPr>
                  <w:rFonts w:hint="eastAsia" w:ascii="黑体" w:eastAsia="黑体" w:cs="Times New Roman"/>
                  <w:b w:val="0"/>
                  <w:bCs w:val="0"/>
                </w:rPr>
                <w:fldChar w:fldCharType="separate"/>
              </w:r>
              <w:r>
                <w:rPr>
                  <w:rFonts w:hint="eastAsia" w:ascii="黑体" w:eastAsia="黑体" w:cs="Times New Roman"/>
                  <w:b w:val="0"/>
                  <w:bCs w:val="0"/>
                </w:rPr>
                <w:t>第四部分</w:t>
              </w:r>
              <w:r>
                <w:rPr>
                  <w:rFonts w:ascii="黑体" w:eastAsia="黑体" w:cs="Times New Roman"/>
                  <w:b w:val="0"/>
                  <w:bCs w:val="0"/>
                </w:rPr>
                <w:t xml:space="preserve"> </w:t>
              </w:r>
              <w:r>
                <w:rPr>
                  <w:rFonts w:hint="eastAsia" w:ascii="黑体" w:eastAsia="黑体" w:cs="Times New Roman"/>
                  <w:b w:val="0"/>
                  <w:bCs w:val="0"/>
                </w:rPr>
                <w:t>附件</w:t>
              </w:r>
            </w:sdtContent>
          </w:sdt>
          <w:r>
            <w:rPr>
              <w:b w:val="0"/>
              <w:bCs w:val="0"/>
            </w:rPr>
            <w:tab/>
          </w:r>
          <w:r>
            <w:rPr>
              <w:rFonts w:hint="eastAsia"/>
              <w:b w:val="0"/>
              <w:bCs w:val="0"/>
              <w:lang w:val="en-US" w:eastAsia="zh-CN"/>
            </w:rPr>
            <w:t>1</w:t>
          </w:r>
          <w:r>
            <w:rPr>
              <w:rFonts w:hint="eastAsia" w:ascii="黑体" w:eastAsia="黑体" w:cs="Times New Roman"/>
              <w:b w:val="0"/>
              <w:bCs w:val="0"/>
            </w:rPr>
            <w:fldChar w:fldCharType="end"/>
          </w:r>
          <w:r>
            <w:rPr>
              <w:rFonts w:hint="eastAsia"/>
              <w:b w:val="0"/>
              <w:bCs w:val="0"/>
              <w:lang w:val="en-US" w:eastAsia="zh-CN"/>
            </w:rPr>
            <w:t>7</w:t>
          </w:r>
        </w:p>
        <w:p>
          <w:pPr>
            <w:pStyle w:val="28"/>
            <w:tabs>
              <w:tab w:val="right" w:leader="dot" w:pos="8306"/>
            </w:tabs>
            <w:rPr>
              <w:rFonts w:hint="eastAsia" w:eastAsia="宋体"/>
              <w:lang w:val="en-US" w:eastAsia="zh-CN"/>
            </w:rPr>
          </w:pPr>
          <w:sdt>
            <w:sdtPr>
              <w:rPr>
                <w:rFonts w:ascii="Times New Roman" w:hAnsi="Times New Roman" w:eastAsia="宋体" w:cs="Times New Roman"/>
                <w:b w:val="0"/>
                <w:bCs w:val="0"/>
                <w:kern w:val="2"/>
                <w:sz w:val="21"/>
                <w:szCs w:val="24"/>
                <w:lang w:val="en-US" w:eastAsia="zh-CN" w:bidi="ar-SA"/>
              </w:rPr>
              <w:id w:val="550675561"/>
              <w:placeholder>
                <w:docPart w:val="3FE59FC9061641728A52A1216464C395"/>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eastAsia="黑体" w:cs="黑体"/>
                  <w:b w:val="0"/>
                  <w:bCs w:val="0"/>
                </w:rPr>
                <w:fldChar w:fldCharType="begin"/>
              </w:r>
              <w:r>
                <w:instrText xml:space="preserve">HYPERLINK  \l "_Toc1582202400_WPSOffice_Level1"</w:instrText>
              </w:r>
              <w:r>
                <w:rPr>
                  <w:rFonts w:hint="eastAsia" w:ascii="黑体" w:eastAsia="黑体" w:cs="黑体"/>
                  <w:b w:val="0"/>
                  <w:bCs w:val="0"/>
                </w:rPr>
                <w:fldChar w:fldCharType="separate"/>
              </w:r>
              <w:r>
                <w:rPr>
                  <w:rFonts w:hint="eastAsia" w:ascii="黑体" w:eastAsia="黑体" w:cs="黑体"/>
                  <w:b w:val="0"/>
                  <w:bCs w:val="0"/>
                </w:rPr>
                <w:t>第五部分 附表</w:t>
              </w:r>
            </w:sdtContent>
          </w:sdt>
          <w:r>
            <w:rPr>
              <w:b w:val="0"/>
              <w:bCs w:val="0"/>
            </w:rPr>
            <w:tab/>
          </w:r>
          <w:r>
            <w:rPr>
              <w:rFonts w:hint="eastAsia"/>
              <w:b w:val="0"/>
              <w:bCs w:val="0"/>
              <w:lang w:val="en-US" w:eastAsia="zh-CN"/>
            </w:rPr>
            <w:t>3</w:t>
          </w:r>
          <w:r>
            <w:rPr>
              <w:rFonts w:hint="eastAsia" w:ascii="黑体" w:eastAsia="黑体" w:cs="黑体"/>
              <w:b w:val="0"/>
              <w:bCs w:val="0"/>
            </w:rPr>
            <w:fldChar w:fldCharType="end"/>
          </w:r>
          <w:r>
            <w:rPr>
              <w:rFonts w:hint="eastAsia"/>
              <w:b w:val="0"/>
              <w:bCs w:val="0"/>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45254668"/>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"_Toc952855641_WPSOffice_Level2"</w:instrText>
              </w:r>
              <w:r>
                <w:rPr>
                  <w:rFonts w:hint="eastAsia" w:ascii="仿宋" w:eastAsia="仿宋" w:cs="Times New Roman"/>
                </w:rPr>
                <w:fldChar w:fldCharType="separate"/>
              </w:r>
              <w:r>
                <w:rPr>
                  <w:rFonts w:hint="eastAsia" w:ascii="仿宋" w:eastAsia="仿宋" w:cs="Times New Roman"/>
                </w:rPr>
                <w:t>一、收入支出决算总表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1695203480"/>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"_Toc291025270_WPSOffice_Level2"</w:instrText>
              </w:r>
              <w:r>
                <w:rPr>
                  <w:rFonts w:hint="eastAsia" w:ascii="仿宋" w:eastAsia="仿宋" w:cs="Times New Roman"/>
                </w:rPr>
                <w:fldChar w:fldCharType="separate"/>
              </w:r>
              <w:r>
                <w:rPr>
                  <w:rFonts w:hint="eastAsia" w:ascii="仿宋" w:eastAsia="仿宋" w:cs="Times New Roman"/>
                </w:rPr>
                <w:t>二、收入决算表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2052890257"/>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"_Toc1063058652_WPSOffice_Level2"</w:instrText>
              </w:r>
              <w:r>
                <w:rPr>
                  <w:rFonts w:hint="eastAsia" w:ascii="仿宋" w:eastAsia="仿宋" w:cs="Times New Roman"/>
                </w:rPr>
                <w:fldChar w:fldCharType="separate"/>
              </w:r>
              <w:r>
                <w:rPr>
                  <w:rFonts w:hint="eastAsia" w:ascii="仿宋" w:eastAsia="仿宋" w:cs="Times New Roman"/>
                </w:rPr>
                <w:t>三、支出决算表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1028778153"/>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"_Toc1446455772_WPSOffice_Level2"</w:instrText>
              </w:r>
              <w:r>
                <w:rPr>
                  <w:rFonts w:hint="eastAsia" w:ascii="仿宋" w:eastAsia="仿宋" w:cs="Times New Roman"/>
                </w:rPr>
                <w:fldChar w:fldCharType="separate"/>
              </w:r>
              <w:r>
                <w:rPr>
                  <w:rFonts w:hint="eastAsia" w:ascii="仿宋" w:eastAsia="仿宋" w:cs="Times New Roman"/>
                </w:rPr>
                <w:t>四、财政拨款收入支出决算总表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830033914"/>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"_Toc757377653_WPSOffice_Level2"</w:instrText>
              </w:r>
              <w:r>
                <w:rPr>
                  <w:rFonts w:hint="eastAsia" w:ascii="仿宋" w:eastAsia="仿宋" w:cs="Times New Roman"/>
                </w:rPr>
                <w:fldChar w:fldCharType="separate"/>
              </w:r>
              <w:r>
                <w:rPr>
                  <w:rFonts w:hint="eastAsia" w:ascii="仿宋" w:eastAsia="仿宋" w:cs="Times New Roman"/>
                </w:rPr>
                <w:t>五、财政拨款支出决算明细表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1933547483"/>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"_Toc2100165235_WPSOffice_Level2"</w:instrText>
              </w:r>
              <w:r>
                <w:rPr>
                  <w:rFonts w:hint="eastAsia" w:ascii="仿宋" w:eastAsia="仿宋" w:cs="Times New Roman"/>
                </w:rPr>
                <w:fldChar w:fldCharType="separate"/>
              </w:r>
              <w:r>
                <w:rPr>
                  <w:rFonts w:hint="eastAsia" w:ascii="仿宋" w:eastAsia="仿宋" w:cs="Times New Roman"/>
                </w:rPr>
                <w:t>六、一般公共预算财政拨款支出决算表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954599179"/>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"_Toc637844207_WPSOffice_Level2"</w:instrText>
              </w:r>
              <w:r>
                <w:rPr>
                  <w:rFonts w:hint="eastAsia" w:ascii="仿宋" w:eastAsia="仿宋" w:cs="Times New Roman"/>
                </w:rPr>
                <w:fldChar w:fldCharType="separate"/>
              </w:r>
              <w:r>
                <w:rPr>
                  <w:rFonts w:hint="eastAsia" w:ascii="仿宋" w:eastAsia="仿宋" w:cs="Times New Roman"/>
                </w:rPr>
                <w:t>七、一般公共预算财政拨款支出决算明细表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896623045"/>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"_Toc1847053093_WPSOffice_Level2"</w:instrText>
              </w:r>
              <w:r>
                <w:rPr>
                  <w:rFonts w:hint="eastAsia" w:ascii="仿宋" w:eastAsia="仿宋" w:cs="Times New Roman"/>
                </w:rPr>
                <w:fldChar w:fldCharType="separate"/>
              </w:r>
              <w:r>
                <w:rPr>
                  <w:rFonts w:hint="eastAsia" w:ascii="仿宋" w:eastAsia="仿宋" w:cs="Times New Roman"/>
                </w:rPr>
                <w:t>八、一般公共预算财政拨款基本支出决算表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494850946"/>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"_Toc558084003_WPSOffice_Level2"</w:instrText>
              </w:r>
              <w:r>
                <w:rPr>
                  <w:rFonts w:hint="eastAsia" w:ascii="仿宋" w:eastAsia="仿宋" w:cs="Times New Roman"/>
                </w:rPr>
                <w:fldChar w:fldCharType="separate"/>
              </w:r>
              <w:r>
                <w:rPr>
                  <w:rFonts w:hint="eastAsia" w:ascii="仿宋" w:eastAsia="仿宋" w:cs="Times New Roman"/>
                </w:rPr>
                <w:t>九、一般公共预算财政拨款项目支出决算表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589094648"/>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"_Toc1691979578_WPSOffice_Level2"</w:instrText>
              </w:r>
              <w:r>
                <w:rPr>
                  <w:rFonts w:hint="eastAsia" w:ascii="仿宋" w:eastAsia="仿宋" w:cs="Times New Roman"/>
                </w:rPr>
                <w:fldChar w:fldCharType="separate"/>
              </w:r>
              <w:r>
                <w:rPr>
                  <w:rFonts w:hint="eastAsia" w:ascii="仿宋" w:eastAsia="仿宋" w:cs="Times New Roman"/>
                </w:rPr>
                <w:t>十、一般公共预算财政拨款“三公”经费支出决算表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699677074"/>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"_Toc1439875977_WPSOffice_Level2"</w:instrText>
              </w:r>
              <w:r>
                <w:rPr>
                  <w:rFonts w:hint="eastAsia" w:ascii="仿宋" w:eastAsia="仿宋" w:cs="Times New Roman"/>
                </w:rPr>
                <w:fldChar w:fldCharType="separate"/>
              </w:r>
              <w:r>
                <w:rPr>
                  <w:rFonts w:hint="eastAsia" w:ascii="仿宋" w:eastAsia="仿宋" w:cs="Times New Roman"/>
                </w:rPr>
                <w:t>十一、政府性基金预算财政拨款收入支出决算表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666144708"/>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"_Toc222356406_WPSOffice_Level2"</w:instrText>
              </w:r>
              <w:r>
                <w:rPr>
                  <w:rFonts w:hint="eastAsia" w:ascii="仿宋" w:eastAsia="仿宋" w:cs="Times New Roman"/>
                </w:rPr>
                <w:fldChar w:fldCharType="separate"/>
              </w:r>
              <w:r>
                <w:rPr>
                  <w:rFonts w:hint="eastAsia" w:ascii="仿宋" w:eastAsia="仿宋" w:cs="Times New Roman"/>
                </w:rPr>
                <w:t>十二、政府性基金预算财政拨款“三公”经费支出决算表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rPr>
              <w:rFonts w:hint="eastAsia" w:eastAsia="宋体"/>
              <w:lang w:val="en-US" w:eastAsia="zh-CN"/>
            </w:rPr>
          </w:pPr>
          <w:sdt>
            <w:sdtPr>
              <w:rPr>
                <w:rFonts w:ascii="Times New Roman" w:hAnsi="Times New Roman" w:eastAsia="宋体" w:cs="Times New Roman"/>
                <w:kern w:val="2"/>
                <w:sz w:val="21"/>
                <w:szCs w:val="24"/>
                <w:lang w:val="en-US" w:eastAsia="zh-CN" w:bidi="ar-SA"/>
              </w:rPr>
              <w:id w:val="1327178380"/>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"_Toc1192454331_WPSOffice_Level2"</w:instrText>
              </w:r>
              <w:r>
                <w:rPr>
                  <w:rFonts w:hint="eastAsia" w:ascii="仿宋" w:eastAsia="仿宋" w:cs="Times New Roman"/>
                </w:rPr>
                <w:fldChar w:fldCharType="separate"/>
              </w:r>
              <w:r>
                <w:rPr>
                  <w:rFonts w:hint="eastAsia" w:ascii="仿宋" w:eastAsia="仿宋" w:cs="Times New Roman"/>
                </w:rPr>
                <w:t>十三、国有资本经营预算财政拨款收入支出决算表</w:t>
              </w:r>
            </w:sdtContent>
          </w:sdt>
          <w:r>
            <w:tab/>
          </w:r>
          <w:r>
            <w:rPr>
              <w:rFonts w:hint="eastAsia"/>
              <w:lang w:val="en-US" w:eastAsia="zh-CN"/>
            </w:rPr>
            <w:t>3</w:t>
          </w:r>
          <w:r>
            <w:rPr>
              <w:rFonts w:hint="eastAsia" w:ascii="仿宋" w:eastAsia="仿宋" w:cs="Times New Roman"/>
            </w:rPr>
            <w:fldChar w:fldCharType="end"/>
          </w:r>
          <w:r>
            <w:rPr>
              <w:rFonts w:hint="eastAsia"/>
              <w:lang w:val="en-US" w:eastAsia="zh-CN"/>
            </w:rPr>
            <w:t>4</w:t>
          </w:r>
        </w:p>
        <w:p>
          <w:pPr>
            <w:pStyle w:val="29"/>
            <w:tabs>
              <w:tab w:val="right" w:leader="dot" w:pos="8306"/>
            </w:tabs>
          </w:pPr>
          <w:sdt>
            <w:sdtPr>
              <w:rPr>
                <w:rFonts w:ascii="Times New Roman" w:hAnsi="Times New Roman" w:eastAsia="宋体" w:cs="Times New Roman"/>
                <w:kern w:val="2"/>
                <w:sz w:val="21"/>
                <w:szCs w:val="24"/>
                <w:lang w:val="en-US" w:eastAsia="zh-CN" w:bidi="ar-SA"/>
              </w:rPr>
              <w:id w:val="-1513236470"/>
              <w:placeholder>
                <w:docPart w:val="3FE59FC9061641728A52A1216464C395"/>
              </w:placeholder>
            </w:sdtPr>
            <w:sdtEndPr>
              <w:rPr>
                <w:rFonts w:ascii="Times New Roman" w:hAnsi="Times New Roman" w:eastAsia="宋体" w:cs="Times New Roman"/>
                <w:kern w:val="2"/>
                <w:sz w:val="21"/>
                <w:szCs w:val="24"/>
                <w:lang w:val="en-US" w:eastAsia="zh-CN" w:bidi="ar-SA"/>
              </w:rPr>
            </w:sdtEndPr>
            <w:sdtContent>
              <w:r>
                <w:rPr>
                  <w:rFonts w:hint="eastAsia" w:ascii="仿宋" w:eastAsia="仿宋" w:cs="Times New Roman"/>
                </w:rPr>
                <w:fldChar w:fldCharType="begin"/>
              </w:r>
              <w:r>
                <w:instrText xml:space="preserve">HYPERLINK  \l "_Toc1796443669_WPSOffice_Level2"</w:instrText>
              </w:r>
              <w:r>
                <w:rPr>
                  <w:rFonts w:hint="eastAsia" w:ascii="仿宋" w:eastAsia="仿宋" w:cs="Times New Roman"/>
                </w:rPr>
                <w:fldChar w:fldCharType="separate"/>
              </w:r>
              <w:r>
                <w:rPr>
                  <w:rFonts w:hint="eastAsia" w:ascii="仿宋" w:eastAsia="仿宋" w:cs="Times New Roman"/>
                </w:rPr>
                <w:t>十四、国有资本经营预算财政拨款支出决算表</w:t>
              </w:r>
            </w:sdtContent>
          </w:sdt>
          <w:r>
            <w:tab/>
          </w:r>
          <w:r>
            <w:rPr>
              <w:rFonts w:hint="eastAsia"/>
              <w:lang w:val="en-US" w:eastAsia="zh-CN"/>
            </w:rPr>
            <w:t>3</w:t>
          </w:r>
          <w:r>
            <w:rPr>
              <w:rFonts w:hint="eastAsia" w:ascii="仿宋" w:eastAsia="仿宋" w:cs="Times New Roman"/>
            </w:rPr>
            <w:fldChar w:fldCharType="end"/>
          </w:r>
          <w:bookmarkEnd w:id="12"/>
          <w:r>
            <w:rPr>
              <w:rFonts w:hint="eastAsia"/>
              <w:lang w:val="en-US" w:eastAsia="zh-CN"/>
            </w:rPr>
            <w:t>4</w:t>
          </w:r>
        </w:p>
      </w:sdtContent>
    </w:sdt>
    <w:p>
      <w:pPr>
        <w:rPr>
          <w:rFonts w:hint="eastAsia"/>
          <w:lang w:eastAsia="zh-CN"/>
        </w:rPr>
      </w:pPr>
    </w:p>
    <w:p>
      <w:pPr>
        <w:pStyle w:val="12"/>
        <w:adjustRightInd w:val="0"/>
        <w:snapToGrid w:val="0"/>
        <w:spacing w:line="440" w:lineRule="exact"/>
        <w:jc w:val="left"/>
        <w:rPr>
          <w:rFonts w:ascii="仿宋" w:eastAsia="仿宋"/>
          <w:bCs/>
          <w:color w:val="auto"/>
          <w:kern w:val="44"/>
          <w:sz w:val="24"/>
          <w:highlight w:val="none"/>
        </w:rPr>
      </w:pPr>
      <w:bookmarkStart w:id="13" w:name="_Toc15396599"/>
      <w:bookmarkStart w:id="14" w:name="_Toc15377196"/>
      <w:r>
        <w:rPr>
          <w:rFonts w:ascii="仿宋" w:eastAsia="仿宋"/>
          <w:b/>
          <w:color w:val="auto"/>
          <w:sz w:val="24"/>
          <w:highlight w:val="none"/>
        </w:rPr>
        <w:br w:type="page"/>
      </w:r>
      <w:bookmarkStart w:id="123" w:name="_GoBack"/>
      <w:bookmarkEnd w:id="123"/>
    </w:p>
    <w:p>
      <w:pPr>
        <w:pStyle w:val="4"/>
        <w:keepNext/>
        <w:keepLines/>
        <w:pageBreakBefore w:val="0"/>
        <w:widowControl w:val="0"/>
        <w:kinsoku/>
        <w:wordWrap/>
        <w:overflowPunct/>
        <w:topLinePunct w:val="0"/>
        <w:bidi w:val="0"/>
        <w:spacing w:before="0" w:after="0" w:line="576" w:lineRule="exact"/>
        <w:ind w:left="0" w:right="0"/>
        <w:jc w:val="center"/>
        <w:rPr>
          <w:rStyle w:val="19"/>
          <w:rFonts w:ascii="黑体" w:eastAsia="黑体"/>
          <w:b/>
          <w:bCs w:val="0"/>
          <w:color w:val="auto"/>
          <w:highlight w:val="none"/>
        </w:rPr>
      </w:pPr>
      <w:bookmarkStart w:id="15" w:name="_Toc1626780742_WPSOffice_Level1"/>
      <w:r>
        <w:rPr>
          <w:rFonts w:hint="eastAsia" w:ascii="黑体" w:eastAsia="黑体"/>
          <w:b w:val="0"/>
          <w:color w:val="auto"/>
          <w:highlight w:val="none"/>
        </w:rPr>
        <w:t xml:space="preserve">第一部分 </w:t>
      </w:r>
      <w:r>
        <w:rPr>
          <w:rFonts w:hint="eastAsia" w:ascii="黑体" w:eastAsia="黑体"/>
          <w:b w:val="0"/>
          <w:color w:val="auto"/>
          <w:highlight w:val="none"/>
          <w:lang w:eastAsia="zh-CN"/>
        </w:rPr>
        <w:t>单位</w:t>
      </w:r>
      <w:r>
        <w:rPr>
          <w:rStyle w:val="19"/>
          <w:rFonts w:hint="eastAsia" w:ascii="黑体" w:eastAsia="黑体"/>
          <w:b w:val="0"/>
          <w:bCs w:val="0"/>
          <w:color w:val="auto"/>
          <w:highlight w:val="none"/>
        </w:rPr>
        <w:t>概况</w:t>
      </w:r>
      <w:bookmarkEnd w:id="13"/>
      <w:bookmarkEnd w:id="14"/>
      <w:bookmarkEnd w:id="15"/>
    </w:p>
    <w:p>
      <w:pPr>
        <w:pageBreakBefore w:val="0"/>
        <w:widowControl/>
        <w:kinsoku/>
        <w:wordWrap/>
        <w:overflowPunct/>
        <w:topLinePunct w:val="0"/>
        <w:bidi w:val="0"/>
        <w:spacing w:line="576" w:lineRule="exact"/>
        <w:ind w:left="0" w:right="0"/>
        <w:jc w:val="left"/>
        <w:rPr>
          <w:rFonts w:ascii="黑体" w:eastAsia="黑体"/>
          <w:color w:val="auto"/>
          <w:sz w:val="32"/>
          <w:szCs w:val="32"/>
          <w:highlight w:val="none"/>
        </w:rPr>
      </w:pPr>
    </w:p>
    <w:p>
      <w:pPr>
        <w:pStyle w:val="5"/>
        <w:keepNext/>
        <w:keepLines/>
        <w:pageBreakBefore w:val="0"/>
        <w:widowControl w:val="0"/>
        <w:kinsoku/>
        <w:wordWrap/>
        <w:overflowPunct/>
        <w:topLinePunct w:val="0"/>
        <w:bidi w:val="0"/>
        <w:spacing w:before="0" w:after="0" w:line="576" w:lineRule="exact"/>
        <w:ind w:left="0" w:right="0" w:firstLine="640" w:firstLineChars="200"/>
        <w:rPr>
          <w:rStyle w:val="20"/>
          <w:rFonts w:hint="eastAsia" w:ascii="仿宋" w:hAnsi="仿宋" w:eastAsia="黑体"/>
          <w:b w:val="0"/>
          <w:bCs w:val="0"/>
          <w:color w:val="auto"/>
          <w:highlight w:val="none"/>
          <w:lang w:eastAsia="zh-CN"/>
        </w:rPr>
      </w:pPr>
      <w:bookmarkStart w:id="16" w:name="_Toc15396600"/>
      <w:bookmarkStart w:id="17" w:name="_Toc15377197"/>
      <w:bookmarkStart w:id="18" w:name="_Toc636536624_WPSOffice_Level2"/>
      <w:r>
        <w:rPr>
          <w:rFonts w:hint="eastAsia" w:ascii="黑体" w:eastAsia="黑体"/>
          <w:b w:val="0"/>
          <w:color w:val="auto"/>
          <w:highlight w:val="none"/>
        </w:rPr>
        <w:t>一、</w:t>
      </w:r>
      <w:bookmarkEnd w:id="16"/>
      <w:bookmarkEnd w:id="17"/>
      <w:r>
        <w:rPr>
          <w:rFonts w:hint="eastAsia" w:ascii="黑体" w:eastAsia="黑体"/>
          <w:b w:val="0"/>
          <w:color w:val="auto"/>
          <w:highlight w:val="none"/>
          <w:lang w:eastAsia="zh-CN"/>
        </w:rPr>
        <w:t>职能简介</w:t>
      </w:r>
      <w:bookmarkEnd w:id="18"/>
    </w:p>
    <w:p>
      <w:pPr>
        <w:pStyle w:val="2"/>
        <w:pageBreakBefore w:val="0"/>
        <w:widowControl w:val="0"/>
        <w:kinsoku/>
        <w:wordWrap/>
        <w:overflowPunct/>
        <w:topLinePunct w:val="0"/>
        <w:bidi w:val="0"/>
        <w:adjustRightInd w:val="0"/>
        <w:snapToGrid w:val="0"/>
        <w:spacing w:before="30" w:beforeLines="0" w:line="576" w:lineRule="exact"/>
        <w:ind w:left="0" w:right="0" w:firstLine="668" w:firstLineChars="209"/>
        <w:jc w:val="left"/>
        <w:outlineLvl w:val="2"/>
        <w:rPr>
          <w:rFonts w:hint="eastAsia" w:ascii="仿宋_GB2312" w:eastAsia="仿宋_GB2312" w:cs="仿宋_GB2312"/>
          <w:color w:val="auto"/>
          <w:kern w:val="2"/>
          <w:sz w:val="32"/>
          <w:szCs w:val="32"/>
          <w:highlight w:val="none"/>
          <w:lang w:val="en-US" w:eastAsia="zh-CN" w:bidi="ar-SA"/>
        </w:rPr>
      </w:pPr>
      <w:r>
        <w:rPr>
          <w:rFonts w:hint="eastAsia" w:ascii="仿宋_GB2312" w:eastAsia="仿宋_GB2312" w:cs="仿宋_GB2312"/>
          <w:color w:val="auto"/>
          <w:kern w:val="2"/>
          <w:sz w:val="32"/>
          <w:szCs w:val="32"/>
          <w:highlight w:val="none"/>
          <w:lang w:val="en-US" w:eastAsia="zh-CN" w:bidi="ar-SA"/>
        </w:rPr>
        <w:t>1.贯彻实施公共资源交易相关法律、法规和政策，为公共资源交易活动提供场所、设施和服务。2.制定公共资源交易现场管理规章制度、工作流程并组织实施，指导全市公共资源交易活动现场和管理工作。3.承担全市工程建设招投标现场服务和管理工作，负责政府采购活动现场服务和管理工作，负责国有产权、特许经营权出（转）让等现场服务和管理工作，负责国有土地、矿业权出（转）让提供交易服务。4.承担市公共资源交易中心信息技术平台建设和管理，按照有关规定发布场内交易信息，为交易各方提供交易资讯、鉴证等服务。5.查验进场交易项目相关手续和参与交易活动各方主体资格。6.建立公共资源交易从业者场内信誉评价制度，协助有关部门建立公共资源交易信用评价体系。7.负责项目交易现场监督管理工作，记录、制止和纠正违反交易现场管理制度的行为，接受有关咨询、投诉，并按职责分工及时处理。8.承办市政府交办的其他事项。</w:t>
      </w:r>
    </w:p>
    <w:p>
      <w:pPr>
        <w:pageBreakBefore w:val="0"/>
        <w:widowControl w:val="0"/>
        <w:kinsoku/>
        <w:wordWrap/>
        <w:overflowPunct/>
        <w:topLinePunct w:val="0"/>
        <w:bidi w:val="0"/>
        <w:snapToGrid w:val="0"/>
        <w:spacing w:line="576" w:lineRule="exact"/>
        <w:ind w:left="0" w:right="0" w:firstLine="640" w:firstLineChars="200"/>
        <w:rPr>
          <w:rFonts w:hint="eastAsia" w:ascii="黑体" w:eastAsia="黑体" w:cs="黑体"/>
          <w:bCs/>
          <w:color w:val="auto"/>
          <w:kern w:val="0"/>
          <w:sz w:val="32"/>
          <w:szCs w:val="32"/>
          <w:highlight w:val="none"/>
          <w:lang w:val="en-US" w:eastAsia="zh-CN" w:bidi="ar-SA"/>
        </w:rPr>
      </w:pPr>
      <w:bookmarkStart w:id="19" w:name="_Toc15378446"/>
      <w:bookmarkStart w:id="20" w:name="_Toc1218320437_WPSOffice_Level2"/>
      <w:bookmarkStart w:id="21" w:name="_Toc15377199"/>
      <w:r>
        <w:rPr>
          <w:rFonts w:hint="eastAsia" w:ascii="黑体" w:eastAsia="黑体" w:cs="黑体"/>
          <w:bCs/>
          <w:color w:val="auto"/>
          <w:kern w:val="0"/>
          <w:sz w:val="32"/>
          <w:szCs w:val="32"/>
          <w:highlight w:val="none"/>
          <w:lang w:val="en-US" w:eastAsia="zh-CN" w:bidi="ar-SA"/>
        </w:rPr>
        <w:t>二、2021年重点工作完成情况</w:t>
      </w:r>
      <w:bookmarkEnd w:id="19"/>
      <w:bookmarkEnd w:id="20"/>
      <w:bookmarkEnd w:id="21"/>
    </w:p>
    <w:p>
      <w:pPr>
        <w:pageBreakBefore w:val="0"/>
        <w:widowControl w:val="0"/>
        <w:kinsoku/>
        <w:wordWrap/>
        <w:overflowPunct/>
        <w:topLinePunct w:val="0"/>
        <w:bidi w:val="0"/>
        <w:snapToGrid w:val="0"/>
        <w:spacing w:line="576" w:lineRule="exact"/>
        <w:ind w:left="0" w:right="0" w:firstLine="640" w:firstLineChars="200"/>
        <w:rPr>
          <w:rFonts w:hint="eastAsia" w:ascii="仿宋_GB2312" w:eastAsia="仿宋_GB2312" w:cs="仿宋_GB2312"/>
          <w:color w:val="auto"/>
          <w:kern w:val="2"/>
          <w:sz w:val="32"/>
          <w:szCs w:val="32"/>
          <w:highlight w:val="none"/>
          <w:lang w:val="en-US" w:eastAsia="zh-CN" w:bidi="ar-SA"/>
        </w:rPr>
      </w:pPr>
      <w:r>
        <w:rPr>
          <w:rFonts w:hint="eastAsia" w:ascii="仿宋_GB2312" w:eastAsia="仿宋_GB2312" w:cs="仿宋_GB2312"/>
          <w:color w:val="auto"/>
          <w:kern w:val="2"/>
          <w:sz w:val="32"/>
          <w:szCs w:val="32"/>
          <w:highlight w:val="none"/>
          <w:lang w:val="en-US" w:eastAsia="zh-CN" w:bidi="ar-SA"/>
        </w:rPr>
        <w:t>2021年，广元市公共资源交易信息中心深入推进公共资源交易电子化。工程建设项目招投标、政府采购、土地矿权出让和国有产权交易全面推广电子化交易，完善了各类电子交易文件范本28套，实现了交易全流程电子化。建立了“不见面开标”平台，工程建设项目招投标、政府采购开标全过程网上进行，实现投标企业“不跑路”。全年共编制、发布采购公告共计90个。完成工程建设、政府采购项目不见面开标300标段，约15000余家投标人在线参与了投标，开出电子保函（保单）4730笔，涉及项目124余个，累计保额13亿元。推动市辖7个县区全面实现公共资源电子化交易，构建了市、县一体的公共资源交易电子化平台。</w:t>
      </w:r>
    </w:p>
    <w:p>
      <w:pPr>
        <w:pStyle w:val="5"/>
        <w:keepNext/>
        <w:keepLines/>
        <w:pageBreakBefore w:val="0"/>
        <w:widowControl w:val="0"/>
        <w:kinsoku/>
        <w:wordWrap/>
        <w:overflowPunct/>
        <w:topLinePunct w:val="0"/>
        <w:bidi w:val="0"/>
        <w:spacing w:before="0" w:after="0" w:line="576" w:lineRule="exact"/>
        <w:ind w:left="0" w:right="0" w:firstLine="643" w:firstLineChars="200"/>
        <w:rPr>
          <w:rFonts w:ascii="仿宋" w:eastAsia="仿宋"/>
          <w:color w:val="auto"/>
          <w:kern w:val="0"/>
          <w:sz w:val="32"/>
          <w:szCs w:val="32"/>
          <w:highlight w:val="none"/>
        </w:rPr>
      </w:pPr>
      <w:r>
        <w:rPr>
          <w:rFonts w:ascii="仿宋" w:eastAsia="仿宋"/>
          <w:color w:val="auto"/>
          <w:sz w:val="32"/>
          <w:szCs w:val="32"/>
          <w:highlight w:val="none"/>
        </w:rPr>
        <w:br w:type="page"/>
      </w:r>
    </w:p>
    <w:p>
      <w:pPr>
        <w:pStyle w:val="4"/>
        <w:keepNext/>
        <w:keepLines/>
        <w:pageBreakBefore w:val="0"/>
        <w:widowControl w:val="0"/>
        <w:kinsoku/>
        <w:wordWrap/>
        <w:overflowPunct/>
        <w:topLinePunct w:val="0"/>
        <w:bidi w:val="0"/>
        <w:spacing w:before="0" w:after="0" w:line="576" w:lineRule="exact"/>
        <w:ind w:left="0" w:right="0"/>
        <w:jc w:val="center"/>
        <w:rPr>
          <w:rStyle w:val="19"/>
          <w:rFonts w:ascii="黑体" w:eastAsia="黑体"/>
          <w:b w:val="0"/>
          <w:bCs/>
          <w:color w:val="auto"/>
          <w:sz w:val="32"/>
          <w:szCs w:val="32"/>
          <w:highlight w:val="none"/>
        </w:rPr>
      </w:pPr>
      <w:bookmarkStart w:id="22" w:name="_Toc636536624_WPSOffice_Level1"/>
      <w:bookmarkStart w:id="23" w:name="_Toc15396602"/>
      <w:bookmarkStart w:id="24" w:name="_Toc15377204"/>
      <w:bookmarkStart w:id="25" w:name="_Toc15377205"/>
      <w:bookmarkStart w:id="26" w:name="_Toc15396603"/>
      <w:r>
        <w:rPr>
          <w:rFonts w:hint="eastAsia" w:ascii="黑体" w:eastAsia="黑体"/>
          <w:b w:val="0"/>
          <w:bCs/>
          <w:color w:val="auto"/>
          <w:sz w:val="32"/>
          <w:szCs w:val="32"/>
          <w:highlight w:val="none"/>
        </w:rPr>
        <w:t xml:space="preserve">第二部分 </w:t>
      </w:r>
      <w:r>
        <w:rPr>
          <w:rFonts w:hint="eastAsia" w:ascii="黑体" w:eastAsia="黑体"/>
          <w:b w:val="0"/>
          <w:bCs/>
          <w:color w:val="auto"/>
          <w:sz w:val="32"/>
          <w:szCs w:val="32"/>
          <w:highlight w:val="none"/>
          <w:lang w:val="en-US" w:eastAsia="zh-CN"/>
        </w:rPr>
        <w:t>2021年度</w:t>
      </w:r>
      <w:r>
        <w:rPr>
          <w:rStyle w:val="19"/>
          <w:rFonts w:hint="eastAsia" w:ascii="黑体" w:eastAsia="黑体"/>
          <w:b w:val="0"/>
          <w:bCs/>
          <w:color w:val="auto"/>
          <w:sz w:val="32"/>
          <w:szCs w:val="32"/>
          <w:highlight w:val="none"/>
          <w:lang w:eastAsia="zh-CN"/>
        </w:rPr>
        <w:t>单位</w:t>
      </w:r>
      <w:r>
        <w:rPr>
          <w:rStyle w:val="19"/>
          <w:rFonts w:hint="eastAsia" w:ascii="黑体" w:eastAsia="黑体"/>
          <w:b w:val="0"/>
          <w:bCs/>
          <w:color w:val="auto"/>
          <w:sz w:val="32"/>
          <w:szCs w:val="32"/>
          <w:highlight w:val="none"/>
        </w:rPr>
        <w:t>决算情况说明</w:t>
      </w:r>
      <w:bookmarkEnd w:id="22"/>
      <w:bookmarkEnd w:id="23"/>
      <w:bookmarkEnd w:id="24"/>
    </w:p>
    <w:p>
      <w:pPr>
        <w:pStyle w:val="25"/>
        <w:pageBreakBefore w:val="0"/>
        <w:widowControl w:val="0"/>
        <w:kinsoku/>
        <w:wordWrap/>
        <w:overflowPunct/>
        <w:topLinePunct w:val="0"/>
        <w:bidi w:val="0"/>
        <w:spacing w:line="576" w:lineRule="exact"/>
        <w:ind w:left="-720" w:right="0" w:firstLine="1280" w:firstLineChars="400"/>
        <w:outlineLvl w:val="1"/>
        <w:rPr>
          <w:rFonts w:hint="eastAsia" w:ascii="黑体" w:eastAsia="黑体"/>
          <w:color w:val="auto"/>
          <w:sz w:val="32"/>
          <w:szCs w:val="32"/>
          <w:highlight w:val="none"/>
          <w:lang w:eastAsia="zh-CN"/>
        </w:rPr>
      </w:pPr>
    </w:p>
    <w:p>
      <w:pPr>
        <w:pStyle w:val="25"/>
        <w:pageBreakBefore w:val="0"/>
        <w:widowControl w:val="0"/>
        <w:kinsoku/>
        <w:wordWrap/>
        <w:overflowPunct/>
        <w:topLinePunct w:val="0"/>
        <w:bidi w:val="0"/>
        <w:spacing w:line="576" w:lineRule="exact"/>
        <w:ind w:left="-720" w:right="0" w:firstLine="1280" w:firstLineChars="400"/>
        <w:outlineLvl w:val="1"/>
        <w:rPr>
          <w:rStyle w:val="20"/>
          <w:rFonts w:ascii="黑体" w:eastAsia="黑体"/>
          <w:b w:val="0"/>
          <w:color w:val="auto"/>
          <w:highlight w:val="none"/>
        </w:rPr>
      </w:pPr>
      <w:bookmarkStart w:id="27" w:name="_Toc131485666_WPSOffice_Level2"/>
      <w:r>
        <w:rPr>
          <w:rFonts w:hint="eastAsia" w:ascii="黑体" w:eastAsia="黑体"/>
          <w:color w:val="auto"/>
          <w:sz w:val="32"/>
          <w:szCs w:val="32"/>
          <w:highlight w:val="none"/>
          <w:lang w:eastAsia="zh-CN"/>
        </w:rPr>
        <w:t>一、</w:t>
      </w:r>
      <w:r>
        <w:rPr>
          <w:rFonts w:hint="eastAsia" w:ascii="黑体" w:eastAsia="黑体"/>
          <w:color w:val="auto"/>
          <w:sz w:val="32"/>
          <w:szCs w:val="32"/>
          <w:highlight w:val="none"/>
        </w:rPr>
        <w:t>收</w:t>
      </w:r>
      <w:r>
        <w:rPr>
          <w:rStyle w:val="20"/>
          <w:rFonts w:hint="eastAsia" w:ascii="黑体" w:eastAsia="黑体"/>
          <w:b w:val="0"/>
          <w:color w:val="auto"/>
          <w:highlight w:val="none"/>
        </w:rPr>
        <w:t>入支出决算总体情况说明</w:t>
      </w:r>
      <w:bookmarkEnd w:id="25"/>
      <w:bookmarkEnd w:id="26"/>
      <w:bookmarkEnd w:id="27"/>
    </w:p>
    <w:p>
      <w:pPr>
        <w:pageBreakBefore w:val="0"/>
        <w:widowControl w:val="0"/>
        <w:kinsoku/>
        <w:wordWrap/>
        <w:overflowPunct/>
        <w:topLinePunct w:val="0"/>
        <w:bidi w:val="0"/>
        <w:snapToGrid w:val="0"/>
        <w:spacing w:line="576" w:lineRule="exact"/>
        <w:ind w:left="0" w:right="0" w:firstLine="640" w:firstLineChars="200"/>
        <w:contextualSpacing/>
        <w:rPr>
          <w:rFonts w:hint="eastAsia" w:ascii="宋体" w:hAnsi="宋体" w:eastAsia="仿宋_GB2312" w:cs="宋体"/>
          <w:sz w:val="30"/>
          <w:szCs w:val="30"/>
          <w:lang w:val="en-US" w:eastAsia="zh-CN"/>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年度收、支总计</w:t>
      </w:r>
      <w:r>
        <w:rPr>
          <w:rFonts w:hint="eastAsia" w:ascii="仿宋_GB2312" w:eastAsia="仿宋_GB2312" w:cs="仿宋_GB2312"/>
          <w:color w:val="auto"/>
          <w:sz w:val="32"/>
          <w:szCs w:val="32"/>
          <w:highlight w:val="none"/>
          <w:lang w:val="en-US" w:eastAsia="zh-CN"/>
        </w:rPr>
        <w:t>450.31</w:t>
      </w:r>
      <w:r>
        <w:rPr>
          <w:rFonts w:hint="eastAsia" w:ascii="仿宋_GB2312" w:eastAsia="仿宋_GB2312" w:cs="仿宋_GB2312"/>
          <w:color w:val="auto"/>
          <w:sz w:val="32"/>
          <w:szCs w:val="32"/>
          <w:highlight w:val="none"/>
        </w:rPr>
        <w:t>万元。与20</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年相比，收、支总计各减少</w:t>
      </w:r>
      <w:r>
        <w:rPr>
          <w:rFonts w:hint="eastAsia" w:ascii="仿宋_GB2312" w:eastAsia="仿宋_GB2312" w:cs="仿宋_GB2312"/>
          <w:color w:val="auto"/>
          <w:sz w:val="32"/>
          <w:szCs w:val="32"/>
          <w:highlight w:val="none"/>
          <w:lang w:val="en-US" w:eastAsia="zh-CN"/>
        </w:rPr>
        <w:t>32.5</w:t>
      </w:r>
      <w:r>
        <w:rPr>
          <w:rFonts w:hint="eastAsia" w:ascii="仿宋_GB2312" w:eastAsia="仿宋_GB2312" w:cs="仿宋_GB2312"/>
          <w:color w:val="auto"/>
          <w:sz w:val="32"/>
          <w:szCs w:val="32"/>
          <w:highlight w:val="none"/>
        </w:rPr>
        <w:t>万元，下降</w:t>
      </w:r>
      <w:r>
        <w:rPr>
          <w:rFonts w:hint="eastAsia" w:ascii="仿宋_GB2312" w:eastAsia="仿宋_GB2312" w:cs="仿宋_GB2312"/>
          <w:color w:val="auto"/>
          <w:sz w:val="32"/>
          <w:szCs w:val="32"/>
          <w:highlight w:val="none"/>
          <w:lang w:val="en-US" w:eastAsia="zh-CN"/>
        </w:rPr>
        <w:t>6.73</w:t>
      </w:r>
      <w:r>
        <w:rPr>
          <w:rFonts w:hint="eastAsia" w:ascii="仿宋_GB2312" w:eastAsia="仿宋_GB2312" w:cs="仿宋_GB2312"/>
          <w:color w:val="auto"/>
          <w:sz w:val="32"/>
          <w:szCs w:val="32"/>
          <w:highlight w:val="none"/>
        </w:rPr>
        <w:t>%。</w:t>
      </w:r>
      <w:r>
        <w:rPr>
          <w:rFonts w:hint="eastAsia" w:ascii="仿宋_GB2312" w:eastAsia="仿宋_GB2312" w:cs="仿宋_GB2312"/>
          <w:sz w:val="30"/>
          <w:szCs w:val="30"/>
        </w:rPr>
        <w:t>主要原因是减少在编在职人员两名及减少土地出让工作经费预算拨款</w:t>
      </w:r>
      <w:r>
        <w:rPr>
          <w:rFonts w:hint="eastAsia" w:ascii="仿宋_GB2312" w:eastAsia="仿宋_GB2312" w:cs="仿宋_GB2312"/>
          <w:sz w:val="30"/>
          <w:szCs w:val="30"/>
          <w:lang w:eastAsia="zh-CN"/>
        </w:rPr>
        <w:t>。</w:t>
      </w:r>
    </w:p>
    <w:p>
      <w:pPr>
        <w:pStyle w:val="2"/>
        <w:rPr>
          <w:rFonts w:hint="eastAsia" w:ascii="仿宋" w:eastAsia="仿宋"/>
          <w:color w:val="000000"/>
          <w:sz w:val="32"/>
          <w:szCs w:val="32"/>
          <w:lang w:eastAsia="zh-CN"/>
        </w:rPr>
      </w:pPr>
      <w:r>
        <w:rPr>
          <w:rFonts w:hint="eastAsia" w:ascii="仿宋" w:eastAsia="仿宋"/>
          <w:color w:val="000000"/>
          <w:sz w:val="32"/>
          <w:szCs w:val="32"/>
          <w:lang w:eastAsia="zh-CN"/>
        </w:rPr>
        <w:drawing>
          <wp:inline distT="0" distB="0" distL="114300" distR="114300">
            <wp:extent cx="5079365" cy="3810000"/>
            <wp:effectExtent l="0" t="0" r="0" b="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321" w:firstLineChars="100"/>
        <w:rPr>
          <w:rFonts w:ascii="仿宋" w:eastAsia="仿宋"/>
          <w:color w:val="auto"/>
          <w:sz w:val="32"/>
          <w:szCs w:val="32"/>
          <w:highlight w:val="none"/>
        </w:rPr>
      </w:pPr>
      <w:r>
        <w:rPr>
          <w:rFonts w:hint="eastAsia" w:ascii="楷体_GB2312" w:eastAsia="楷体_GB2312" w:cs="楷体_GB2312"/>
          <w:b/>
          <w:bCs/>
          <w:color w:val="auto"/>
          <w:sz w:val="32"/>
          <w:szCs w:val="32"/>
          <w:highlight w:val="none"/>
        </w:rPr>
        <w:t>（图1：收、支决算总计变动情况图）</w:t>
      </w:r>
    </w:p>
    <w:p>
      <w:pPr>
        <w:pStyle w:val="25"/>
        <w:spacing w:line="600" w:lineRule="exact"/>
        <w:ind w:left="0" w:firstLine="640" w:firstLineChars="200"/>
        <w:outlineLvl w:val="1"/>
        <w:rPr>
          <w:rStyle w:val="20"/>
          <w:rFonts w:ascii="黑体" w:eastAsia="黑体"/>
          <w:b w:val="0"/>
          <w:color w:val="auto"/>
          <w:highlight w:val="none"/>
        </w:rPr>
      </w:pPr>
      <w:bookmarkStart w:id="28" w:name="_Toc15396604"/>
      <w:bookmarkStart w:id="29" w:name="_Toc15377206"/>
      <w:bookmarkStart w:id="30" w:name="_Toc1582202400_WPSOffice_Level2"/>
      <w:r>
        <w:rPr>
          <w:rFonts w:hint="eastAsia" w:ascii="黑体" w:eastAsia="黑体"/>
          <w:color w:val="auto"/>
          <w:sz w:val="32"/>
          <w:szCs w:val="32"/>
          <w:highlight w:val="none"/>
          <w:lang w:eastAsia="zh-CN"/>
        </w:rPr>
        <w:t>二、</w:t>
      </w:r>
      <w:r>
        <w:rPr>
          <w:rFonts w:hint="eastAsia" w:ascii="黑体" w:eastAsia="黑体"/>
          <w:color w:val="auto"/>
          <w:sz w:val="32"/>
          <w:szCs w:val="32"/>
          <w:highlight w:val="none"/>
        </w:rPr>
        <w:t>收</w:t>
      </w:r>
      <w:r>
        <w:rPr>
          <w:rStyle w:val="20"/>
          <w:rFonts w:hint="eastAsia" w:ascii="黑体" w:eastAsia="黑体"/>
          <w:b w:val="0"/>
          <w:color w:val="auto"/>
          <w:highlight w:val="none"/>
        </w:rPr>
        <w:t>入决算情况说明</w:t>
      </w:r>
      <w:bookmarkEnd w:id="28"/>
      <w:bookmarkEnd w:id="29"/>
      <w:bookmarkEnd w:id="30"/>
    </w:p>
    <w:p>
      <w:pPr>
        <w:spacing w:line="600" w:lineRule="exact"/>
        <w:ind w:firstLine="640" w:firstLineChars="200"/>
        <w:outlineLvl w:val="1"/>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年本年收入合计</w:t>
      </w:r>
      <w:r>
        <w:rPr>
          <w:rFonts w:hint="eastAsia" w:ascii="仿宋_GB2312" w:eastAsia="仿宋_GB2312" w:cs="仿宋_GB2312"/>
          <w:color w:val="auto"/>
          <w:sz w:val="32"/>
          <w:szCs w:val="32"/>
          <w:highlight w:val="none"/>
          <w:lang w:val="en-US" w:eastAsia="zh-CN"/>
        </w:rPr>
        <w:t>386.45</w:t>
      </w:r>
      <w:r>
        <w:rPr>
          <w:rFonts w:hint="eastAsia" w:ascii="仿宋_GB2312" w:eastAsia="仿宋_GB2312" w:cs="仿宋_GB2312"/>
          <w:color w:val="auto"/>
          <w:sz w:val="32"/>
          <w:szCs w:val="32"/>
          <w:highlight w:val="none"/>
        </w:rPr>
        <w:t>万元，其中：一般公共预算财政拨款收入</w:t>
      </w:r>
      <w:r>
        <w:rPr>
          <w:rFonts w:hint="eastAsia" w:ascii="仿宋_GB2312" w:eastAsia="仿宋_GB2312" w:cs="仿宋_GB2312"/>
          <w:color w:val="auto"/>
          <w:sz w:val="32"/>
          <w:szCs w:val="32"/>
          <w:highlight w:val="none"/>
          <w:lang w:val="en-US" w:eastAsia="zh-CN"/>
        </w:rPr>
        <w:t>386.45</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100</w:t>
      </w:r>
      <w:r>
        <w:rPr>
          <w:rFonts w:hint="eastAsia" w:ascii="仿宋_GB2312" w:eastAsia="仿宋_GB2312" w:cs="仿宋_GB2312"/>
          <w:color w:val="auto"/>
          <w:sz w:val="32"/>
          <w:szCs w:val="32"/>
          <w:highlight w:val="none"/>
        </w:rPr>
        <w:t>%。</w:t>
      </w:r>
    </w:p>
    <w:p>
      <w:pPr>
        <w:pStyle w:val="2"/>
        <w:rPr>
          <w:rFonts w:hint="eastAsia" w:ascii="仿宋" w:eastAsia="仿宋"/>
          <w:color w:val="auto"/>
          <w:sz w:val="32"/>
          <w:szCs w:val="32"/>
          <w:highlight w:val="none"/>
        </w:rPr>
      </w:pPr>
    </w:p>
    <w:p>
      <w:pPr>
        <w:pStyle w:val="2"/>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drawing>
          <wp:inline distT="0" distB="0" distL="114300" distR="114300">
            <wp:extent cx="5079365" cy="3810000"/>
            <wp:effectExtent l="0" t="0" r="0" b="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rPr>
          <w:rFonts w:ascii="仿宋" w:eastAsia="仿宋"/>
          <w:color w:val="auto"/>
          <w:sz w:val="32"/>
          <w:szCs w:val="32"/>
          <w:highlight w:val="none"/>
        </w:rPr>
      </w:pPr>
      <w:r>
        <w:rPr>
          <w:rFonts w:hint="eastAsia" w:ascii="楷体_GB2312" w:eastAsia="楷体_GB2312" w:cs="楷体_GB2312"/>
          <w:b/>
          <w:bCs/>
          <w:color w:val="auto"/>
          <w:sz w:val="32"/>
          <w:szCs w:val="32"/>
          <w:highlight w:val="none"/>
        </w:rPr>
        <w:t>（图2：收入决算结构图）</w:t>
      </w:r>
    </w:p>
    <w:p>
      <w:pPr>
        <w:pStyle w:val="25"/>
        <w:spacing w:line="600" w:lineRule="exact"/>
        <w:ind w:left="640"/>
        <w:outlineLvl w:val="1"/>
        <w:rPr>
          <w:rStyle w:val="20"/>
          <w:rFonts w:ascii="黑体" w:eastAsia="黑体"/>
          <w:b w:val="0"/>
          <w:color w:val="auto"/>
          <w:highlight w:val="none"/>
        </w:rPr>
      </w:pPr>
      <w:bookmarkStart w:id="31" w:name="_Toc891416763_WPSOffice_Level2"/>
      <w:bookmarkStart w:id="32" w:name="_Toc15377207"/>
      <w:bookmarkStart w:id="33" w:name="_Toc15396605"/>
      <w:r>
        <w:rPr>
          <w:rFonts w:hint="eastAsia" w:ascii="黑体" w:eastAsia="黑体"/>
          <w:color w:val="auto"/>
          <w:sz w:val="32"/>
          <w:szCs w:val="32"/>
          <w:highlight w:val="none"/>
          <w:lang w:eastAsia="zh-CN"/>
        </w:rPr>
        <w:t>三、</w:t>
      </w:r>
      <w:r>
        <w:rPr>
          <w:rFonts w:hint="eastAsia" w:ascii="黑体" w:eastAsia="黑体"/>
          <w:color w:val="auto"/>
          <w:sz w:val="32"/>
          <w:szCs w:val="32"/>
          <w:highlight w:val="none"/>
        </w:rPr>
        <w:t>支</w:t>
      </w:r>
      <w:r>
        <w:rPr>
          <w:rStyle w:val="20"/>
          <w:rFonts w:hint="eastAsia" w:ascii="黑体" w:eastAsia="黑体"/>
          <w:b w:val="0"/>
          <w:color w:val="auto"/>
          <w:highlight w:val="none"/>
        </w:rPr>
        <w:t>出决算情况说明</w:t>
      </w:r>
      <w:bookmarkEnd w:id="31"/>
      <w:bookmarkEnd w:id="32"/>
      <w:bookmarkEnd w:id="33"/>
    </w:p>
    <w:p>
      <w:pPr>
        <w:spacing w:line="600" w:lineRule="exact"/>
        <w:ind w:firstLine="640" w:firstLineChars="200"/>
        <w:outlineLvl w:val="1"/>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年本年支出合计</w:t>
      </w:r>
      <w:r>
        <w:rPr>
          <w:rFonts w:hint="eastAsia" w:ascii="仿宋_GB2312" w:eastAsia="仿宋_GB2312" w:cs="仿宋_GB2312"/>
          <w:color w:val="auto"/>
          <w:sz w:val="32"/>
          <w:szCs w:val="32"/>
          <w:highlight w:val="none"/>
          <w:lang w:val="en-US" w:eastAsia="zh-CN"/>
        </w:rPr>
        <w:t>416.14</w:t>
      </w:r>
      <w:r>
        <w:rPr>
          <w:rFonts w:hint="eastAsia" w:ascii="仿宋_GB2312" w:eastAsia="仿宋_GB2312" w:cs="仿宋_GB2312"/>
          <w:color w:val="auto"/>
          <w:sz w:val="32"/>
          <w:szCs w:val="32"/>
          <w:highlight w:val="none"/>
        </w:rPr>
        <w:t>万元，其中：基本支出</w:t>
      </w:r>
      <w:r>
        <w:rPr>
          <w:rFonts w:hint="eastAsia" w:ascii="仿宋_GB2312" w:eastAsia="仿宋_GB2312" w:cs="仿宋_GB2312"/>
          <w:color w:val="auto"/>
          <w:sz w:val="32"/>
          <w:szCs w:val="32"/>
          <w:highlight w:val="none"/>
          <w:lang w:val="en-US" w:eastAsia="zh-CN"/>
        </w:rPr>
        <w:t>292.9</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70.38</w:t>
      </w:r>
      <w:r>
        <w:rPr>
          <w:rFonts w:hint="eastAsia" w:ascii="仿宋_GB2312" w:eastAsia="仿宋_GB2312" w:cs="仿宋_GB2312"/>
          <w:color w:val="auto"/>
          <w:sz w:val="32"/>
          <w:szCs w:val="32"/>
          <w:highlight w:val="none"/>
        </w:rPr>
        <w:t>%；项目支出</w:t>
      </w:r>
      <w:r>
        <w:rPr>
          <w:rFonts w:hint="eastAsia" w:ascii="仿宋_GB2312" w:eastAsia="仿宋_GB2312" w:cs="仿宋_GB2312"/>
          <w:color w:val="auto"/>
          <w:sz w:val="32"/>
          <w:szCs w:val="32"/>
          <w:highlight w:val="none"/>
          <w:lang w:val="en-US" w:eastAsia="zh-CN"/>
        </w:rPr>
        <w:t>123.24</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29.62</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w:t>
      </w:r>
    </w:p>
    <w:p>
      <w:pPr>
        <w:spacing w:line="600" w:lineRule="exact"/>
        <w:ind w:firstLine="643" w:firstLineChars="200"/>
        <w:outlineLvl w:val="1"/>
        <w:rPr>
          <w:rFonts w:hint="eastAsia" w:ascii="仿宋_GB2312" w:eastAsia="仿宋_GB2312" w:cs="仿宋_GB2312"/>
          <w:b/>
          <w:color w:val="auto"/>
          <w:sz w:val="32"/>
          <w:szCs w:val="32"/>
          <w:highlight w:val="none"/>
        </w:rPr>
      </w:pPr>
    </w:p>
    <w:p>
      <w:pPr>
        <w:spacing w:line="600" w:lineRule="exact"/>
        <w:ind w:firstLine="640"/>
        <w:rPr>
          <w:rFonts w:ascii="仿宋" w:eastAsia="仿宋"/>
          <w:color w:val="auto"/>
          <w:sz w:val="32"/>
          <w:szCs w:val="32"/>
          <w:highlight w:val="none"/>
          <w:shd w:val="pct10" w:color="auto" w:fill="FFFFFF"/>
        </w:rPr>
      </w:pPr>
    </w:p>
    <w:p>
      <w:pPr>
        <w:pStyle w:val="2"/>
      </w:pPr>
    </w:p>
    <w:p>
      <w:pPr>
        <w:pStyle w:val="2"/>
        <w:rPr>
          <w:rFonts w:hint="eastAsia" w:ascii="仿宋" w:eastAsia="仿宋"/>
          <w:color w:val="auto"/>
          <w:sz w:val="32"/>
          <w:szCs w:val="32"/>
          <w:highlight w:val="none"/>
          <w:shd w:val="pct10" w:color="auto" w:fill="FFFFFF"/>
          <w:lang w:eastAsia="zh-CN"/>
        </w:rPr>
      </w:pPr>
      <w:r>
        <w:rPr>
          <w:rFonts w:hint="eastAsia" w:ascii="仿宋" w:eastAsia="仿宋"/>
          <w:color w:val="auto"/>
          <w:sz w:val="32"/>
          <w:szCs w:val="32"/>
          <w:highlight w:val="none"/>
          <w:shd w:val="pct10" w:color="auto" w:fill="FFFFFF"/>
          <w:lang w:eastAsia="zh-CN"/>
        </w:rPr>
        <w:drawing>
          <wp:inline distT="0" distB="0" distL="114300" distR="114300">
            <wp:extent cx="5469890" cy="2800985"/>
            <wp:effectExtent l="0" t="0" r="0" b="0"/>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jc w:val="center"/>
        <w:rPr>
          <w:rFonts w:hint="eastAsia" w:ascii="楷体_GB2312" w:eastAsia="楷体_GB2312" w:cs="楷体_GB2312"/>
          <w:b/>
          <w:bCs/>
          <w:color w:val="auto"/>
          <w:sz w:val="32"/>
          <w:szCs w:val="32"/>
          <w:highlight w:val="none"/>
          <w:lang w:eastAsia="zh-CN"/>
        </w:rPr>
      </w:pPr>
      <w:r>
        <w:rPr>
          <w:rFonts w:hint="eastAsia" w:ascii="楷体_GB2312" w:eastAsia="楷体_GB2312" w:cs="楷体_GB2312"/>
          <w:b/>
          <w:bCs/>
          <w:color w:val="auto"/>
          <w:sz w:val="32"/>
          <w:szCs w:val="32"/>
          <w:highlight w:val="none"/>
        </w:rPr>
        <w:t>（图3：支出决算结构图）</w:t>
      </w:r>
      <w:r>
        <w:rPr>
          <w:rFonts w:hint="eastAsia" w:ascii="楷体_GB2312" w:eastAsia="楷体_GB2312" w:cs="楷体_GB2312"/>
          <w:b/>
          <w:bCs/>
          <w:color w:val="auto"/>
          <w:sz w:val="32"/>
          <w:szCs w:val="32"/>
          <w:highlight w:val="none"/>
          <w:lang w:eastAsia="zh-CN"/>
        </w:rPr>
        <w:t>、</w:t>
      </w:r>
    </w:p>
    <w:p>
      <w:pPr>
        <w:spacing w:line="600" w:lineRule="exact"/>
        <w:ind w:firstLine="640" w:firstLineChars="200"/>
        <w:outlineLvl w:val="1"/>
        <w:rPr>
          <w:rStyle w:val="20"/>
          <w:rFonts w:ascii="黑体" w:eastAsia="黑体"/>
          <w:b w:val="0"/>
          <w:color w:val="auto"/>
          <w:highlight w:val="none"/>
        </w:rPr>
      </w:pPr>
      <w:bookmarkStart w:id="34" w:name="_Toc15396606"/>
      <w:bookmarkStart w:id="35" w:name="_Toc15377208"/>
      <w:bookmarkStart w:id="36" w:name="_Toc1475579447_WPSOffice_Level2"/>
      <w:r>
        <w:rPr>
          <w:rFonts w:hint="eastAsia" w:ascii="黑体" w:eastAsia="黑体"/>
          <w:color w:val="auto"/>
          <w:sz w:val="32"/>
          <w:szCs w:val="32"/>
          <w:highlight w:val="none"/>
        </w:rPr>
        <w:t>四、财</w:t>
      </w:r>
      <w:r>
        <w:rPr>
          <w:rStyle w:val="20"/>
          <w:rFonts w:hint="eastAsia" w:ascii="黑体" w:eastAsia="黑体"/>
          <w:b w:val="0"/>
          <w:color w:val="auto"/>
          <w:highlight w:val="none"/>
        </w:rPr>
        <w:t>政拨款收入支出决算总体情况说明</w:t>
      </w:r>
      <w:bookmarkEnd w:id="34"/>
      <w:bookmarkEnd w:id="35"/>
      <w:bookmarkEnd w:id="36"/>
    </w:p>
    <w:p>
      <w:pPr>
        <w:snapToGrid w:val="0"/>
        <w:spacing w:line="640" w:lineRule="exact"/>
        <w:ind w:firstLine="640" w:firstLineChars="200"/>
        <w:contextualSpacing/>
        <w:rPr>
          <w:rFonts w:hint="eastAsia" w:ascii="仿宋_GB2312" w:eastAsia="仿宋_GB2312" w:cs="仿宋_GB2312"/>
          <w:sz w:val="30"/>
          <w:szCs w:val="30"/>
          <w:lang w:val="en-US" w:eastAsia="zh-CN"/>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年财政拨款收、支总计</w:t>
      </w:r>
      <w:r>
        <w:rPr>
          <w:rFonts w:hint="eastAsia" w:ascii="仿宋_GB2312" w:eastAsia="仿宋_GB2312" w:cs="仿宋_GB2312"/>
          <w:color w:val="auto"/>
          <w:sz w:val="32"/>
          <w:szCs w:val="32"/>
          <w:highlight w:val="none"/>
          <w:lang w:val="en-US" w:eastAsia="zh-CN"/>
        </w:rPr>
        <w:t>450.31</w:t>
      </w:r>
      <w:r>
        <w:rPr>
          <w:rFonts w:hint="eastAsia" w:ascii="仿宋_GB2312" w:eastAsia="仿宋_GB2312" w:cs="仿宋_GB2312"/>
          <w:color w:val="auto"/>
          <w:sz w:val="32"/>
          <w:szCs w:val="32"/>
          <w:highlight w:val="none"/>
        </w:rPr>
        <w:t>万元。与20</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年相比，财政拨款收、支总计各减少</w:t>
      </w:r>
      <w:r>
        <w:rPr>
          <w:rFonts w:hint="eastAsia" w:ascii="仿宋_GB2312" w:eastAsia="仿宋_GB2312" w:cs="仿宋_GB2312"/>
          <w:color w:val="auto"/>
          <w:sz w:val="32"/>
          <w:szCs w:val="32"/>
          <w:highlight w:val="none"/>
          <w:lang w:val="en-US" w:eastAsia="zh-CN"/>
        </w:rPr>
        <w:t>32.5</w:t>
      </w:r>
      <w:r>
        <w:rPr>
          <w:rFonts w:hint="eastAsia" w:ascii="仿宋_GB2312" w:eastAsia="仿宋_GB2312" w:cs="仿宋_GB2312"/>
          <w:color w:val="auto"/>
          <w:sz w:val="32"/>
          <w:szCs w:val="32"/>
          <w:highlight w:val="none"/>
        </w:rPr>
        <w:t>万元，下降</w:t>
      </w:r>
      <w:r>
        <w:rPr>
          <w:rFonts w:hint="eastAsia" w:ascii="仿宋_GB2312" w:eastAsia="仿宋_GB2312" w:cs="仿宋_GB2312"/>
          <w:color w:val="auto"/>
          <w:sz w:val="32"/>
          <w:szCs w:val="32"/>
          <w:highlight w:val="none"/>
          <w:lang w:val="en-US" w:eastAsia="zh-CN"/>
        </w:rPr>
        <w:t>6.73</w:t>
      </w:r>
      <w:r>
        <w:rPr>
          <w:rFonts w:hint="eastAsia" w:ascii="仿宋_GB2312" w:eastAsia="仿宋_GB2312" w:cs="仿宋_GB2312"/>
          <w:color w:val="auto"/>
          <w:sz w:val="32"/>
          <w:szCs w:val="32"/>
          <w:highlight w:val="none"/>
        </w:rPr>
        <w:t>%。</w:t>
      </w:r>
      <w:r>
        <w:rPr>
          <w:rFonts w:hint="eastAsia" w:ascii="仿宋_GB2312" w:eastAsia="仿宋_GB2312" w:cs="仿宋_GB2312"/>
          <w:color w:val="000000"/>
          <w:sz w:val="32"/>
          <w:szCs w:val="32"/>
        </w:rPr>
        <w:t>主要变动原因是：</w:t>
      </w:r>
      <w:r>
        <w:rPr>
          <w:rFonts w:hint="eastAsia" w:ascii="仿宋_GB2312" w:eastAsia="仿宋_GB2312" w:cs="仿宋_GB2312"/>
          <w:sz w:val="30"/>
          <w:szCs w:val="30"/>
        </w:rPr>
        <w:t>减少在编在职人员两名及减少土地出让工作经费预算拨款</w:t>
      </w:r>
      <w:r>
        <w:rPr>
          <w:rFonts w:hint="eastAsia" w:ascii="仿宋_GB2312" w:eastAsia="仿宋_GB2312" w:cs="仿宋_GB2312"/>
          <w:sz w:val="30"/>
          <w:szCs w:val="30"/>
          <w:lang w:eastAsia="zh-CN"/>
        </w:rPr>
        <w:t>。</w:t>
      </w:r>
    </w:p>
    <w:p>
      <w:pPr>
        <w:spacing w:line="600" w:lineRule="exact"/>
        <w:ind w:firstLine="640" w:firstLineChars="200"/>
        <w:rPr>
          <w:rFonts w:hint="eastAsia" w:ascii="仿宋" w:eastAsia="仿宋"/>
          <w:color w:val="000000"/>
          <w:sz w:val="32"/>
          <w:szCs w:val="32"/>
        </w:rPr>
      </w:pPr>
    </w:p>
    <w:p>
      <w:pPr>
        <w:spacing w:line="600" w:lineRule="exact"/>
        <w:rPr>
          <w:rFonts w:ascii="仿宋" w:eastAsia="仿宋"/>
          <w:color w:val="auto"/>
          <w:sz w:val="32"/>
          <w:szCs w:val="32"/>
          <w:highlight w:val="none"/>
        </w:rPr>
      </w:pPr>
    </w:p>
    <w:p>
      <w:pPr>
        <w:pStyle w:val="2"/>
        <w:rPr>
          <w:rFonts w:ascii="仿宋" w:eastAsia="仿宋"/>
          <w:color w:val="auto"/>
          <w:sz w:val="32"/>
          <w:szCs w:val="32"/>
          <w:highlight w:val="none"/>
        </w:rPr>
      </w:pPr>
      <w:r>
        <w:rPr>
          <w:rFonts w:hint="eastAsia" w:ascii="仿宋" w:eastAsia="仿宋"/>
          <w:color w:val="auto"/>
          <w:sz w:val="32"/>
          <w:szCs w:val="32"/>
          <w:highlight w:val="none"/>
          <w:lang w:eastAsia="zh-CN"/>
        </w:rPr>
        <w:drawing>
          <wp:inline distT="0" distB="0" distL="114300" distR="114300">
            <wp:extent cx="5079365" cy="2790190"/>
            <wp:effectExtent l="0" t="0" r="0" b="0"/>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321" w:firstLineChars="100"/>
        <w:jc w:val="center"/>
        <w:rPr>
          <w:rFonts w:hint="eastAsia" w:ascii="楷体_GB2312" w:eastAsia="楷体_GB2312" w:cs="楷体_GB2312"/>
          <w:b/>
          <w:bCs/>
          <w:color w:val="auto"/>
          <w:sz w:val="32"/>
          <w:szCs w:val="32"/>
          <w:highlight w:val="none"/>
        </w:rPr>
      </w:pPr>
      <w:r>
        <w:rPr>
          <w:rFonts w:hint="eastAsia" w:ascii="楷体_GB2312" w:eastAsia="楷体_GB2312" w:cs="楷体_GB2312"/>
          <w:b/>
          <w:bCs/>
          <w:color w:val="auto"/>
          <w:sz w:val="32"/>
          <w:szCs w:val="32"/>
          <w:highlight w:val="none"/>
        </w:rPr>
        <w:t>（图4：财政拨款收、支决算总计变动情况）</w:t>
      </w:r>
    </w:p>
    <w:p>
      <w:pPr>
        <w:spacing w:line="600" w:lineRule="exact"/>
        <w:ind w:firstLine="640" w:firstLineChars="200"/>
        <w:outlineLvl w:val="1"/>
        <w:rPr>
          <w:rStyle w:val="20"/>
          <w:rFonts w:ascii="黑体" w:eastAsia="黑体"/>
          <w:b w:val="0"/>
          <w:color w:val="auto"/>
          <w:highlight w:val="none"/>
        </w:rPr>
      </w:pPr>
      <w:bookmarkStart w:id="37" w:name="_Toc2006518571_WPSOffice_Level2"/>
      <w:bookmarkStart w:id="38" w:name="_Toc15377209"/>
      <w:bookmarkStart w:id="39" w:name="_Toc15396607"/>
      <w:r>
        <w:rPr>
          <w:rFonts w:hint="eastAsia" w:ascii="黑体" w:eastAsia="黑体"/>
          <w:color w:val="auto"/>
          <w:sz w:val="32"/>
          <w:szCs w:val="32"/>
          <w:highlight w:val="none"/>
        </w:rPr>
        <w:t>五、</w:t>
      </w:r>
      <w:r>
        <w:rPr>
          <w:rStyle w:val="20"/>
          <w:rFonts w:hint="eastAsia" w:ascii="黑体" w:eastAsia="黑体"/>
          <w:b w:val="0"/>
          <w:color w:val="auto"/>
          <w:highlight w:val="none"/>
        </w:rPr>
        <w:t>一般公共预算财政拨款支出决算情况说明</w:t>
      </w:r>
      <w:bookmarkEnd w:id="37"/>
      <w:bookmarkEnd w:id="38"/>
      <w:bookmarkEnd w:id="39"/>
    </w:p>
    <w:p>
      <w:pPr>
        <w:spacing w:line="600" w:lineRule="exact"/>
        <w:ind w:firstLine="643" w:firstLineChars="200"/>
        <w:outlineLvl w:val="2"/>
        <w:rPr>
          <w:rFonts w:hint="eastAsia" w:ascii="楷体_GB2312" w:eastAsia="楷体_GB2312" w:cs="楷体_GB2312"/>
          <w:b/>
          <w:color w:val="auto"/>
          <w:sz w:val="32"/>
          <w:szCs w:val="32"/>
          <w:highlight w:val="none"/>
        </w:rPr>
      </w:pPr>
      <w:bookmarkStart w:id="40" w:name="_Toc15377210"/>
      <w:r>
        <w:rPr>
          <w:rFonts w:hint="eastAsia" w:ascii="楷体_GB2312" w:eastAsia="楷体_GB2312" w:cs="楷体_GB2312"/>
          <w:b/>
          <w:color w:val="auto"/>
          <w:sz w:val="32"/>
          <w:szCs w:val="32"/>
          <w:highlight w:val="none"/>
        </w:rPr>
        <w:t>（一）一般公共预算财政拨款支出决算总体情况</w:t>
      </w:r>
      <w:bookmarkEnd w:id="40"/>
    </w:p>
    <w:p>
      <w:pPr>
        <w:snapToGrid w:val="0"/>
        <w:spacing w:line="640" w:lineRule="exact"/>
        <w:ind w:firstLine="640" w:firstLineChars="200"/>
        <w:contextualSpacing/>
        <w:rPr>
          <w:rFonts w:hint="eastAsia" w:ascii="宋体" w:eastAsia="宋体" w:cs="宋体"/>
          <w:sz w:val="30"/>
          <w:szCs w:val="30"/>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年一般公共预算财政拨款支出</w:t>
      </w:r>
      <w:r>
        <w:rPr>
          <w:rFonts w:hint="eastAsia" w:ascii="仿宋_GB2312" w:eastAsia="仿宋_GB2312" w:cs="仿宋_GB2312"/>
          <w:color w:val="auto"/>
          <w:sz w:val="32"/>
          <w:szCs w:val="32"/>
          <w:highlight w:val="none"/>
          <w:lang w:val="en-US" w:eastAsia="zh-CN"/>
        </w:rPr>
        <w:t>416.14</w:t>
      </w:r>
      <w:r>
        <w:rPr>
          <w:rFonts w:hint="eastAsia" w:ascii="仿宋_GB2312" w:eastAsia="仿宋_GB2312" w:cs="仿宋_GB2312"/>
          <w:color w:val="auto"/>
          <w:sz w:val="32"/>
          <w:szCs w:val="32"/>
          <w:highlight w:val="none"/>
        </w:rPr>
        <w:t>万元，占本年支出合计的</w:t>
      </w:r>
      <w:r>
        <w:rPr>
          <w:rFonts w:hint="eastAsia" w:ascii="仿宋_GB2312" w:eastAsia="仿宋_GB2312" w:cs="仿宋_GB2312"/>
          <w:color w:val="auto"/>
          <w:sz w:val="32"/>
          <w:szCs w:val="32"/>
          <w:highlight w:val="none"/>
          <w:lang w:val="en-US" w:eastAsia="zh-CN"/>
        </w:rPr>
        <w:t>100</w:t>
      </w:r>
      <w:r>
        <w:rPr>
          <w:rFonts w:hint="eastAsia" w:ascii="仿宋_GB2312" w:eastAsia="仿宋_GB2312" w:cs="仿宋_GB2312"/>
          <w:color w:val="auto"/>
          <w:sz w:val="32"/>
          <w:szCs w:val="32"/>
          <w:highlight w:val="none"/>
        </w:rPr>
        <w:t>%。与20</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年相比，一般公共预算财政拨款</w:t>
      </w:r>
      <w:r>
        <w:rPr>
          <w:rFonts w:hint="eastAsia" w:ascii="仿宋_GB2312" w:eastAsia="仿宋_GB2312" w:cs="仿宋_GB2312"/>
          <w:color w:val="auto"/>
          <w:sz w:val="32"/>
          <w:szCs w:val="32"/>
          <w:highlight w:val="none"/>
          <w:lang w:eastAsia="zh-CN"/>
        </w:rPr>
        <w:t>支出</w:t>
      </w:r>
      <w:r>
        <w:rPr>
          <w:rFonts w:hint="eastAsia" w:ascii="仿宋_GB2312" w:eastAsia="仿宋_GB2312" w:cs="仿宋_GB2312"/>
          <w:color w:val="auto"/>
          <w:sz w:val="32"/>
          <w:szCs w:val="32"/>
          <w:highlight w:val="none"/>
        </w:rPr>
        <w:t>增加</w:t>
      </w:r>
      <w:r>
        <w:rPr>
          <w:rFonts w:hint="eastAsia" w:ascii="仿宋_GB2312" w:eastAsia="仿宋_GB2312" w:cs="仿宋_GB2312"/>
          <w:color w:val="auto"/>
          <w:sz w:val="32"/>
          <w:szCs w:val="32"/>
          <w:highlight w:val="none"/>
          <w:lang w:val="en-US" w:eastAsia="zh-CN"/>
        </w:rPr>
        <w:t>22.8</w:t>
      </w:r>
      <w:r>
        <w:rPr>
          <w:rFonts w:hint="eastAsia" w:ascii="仿宋_GB2312" w:eastAsia="仿宋_GB2312" w:cs="仿宋_GB2312"/>
          <w:color w:val="auto"/>
          <w:sz w:val="32"/>
          <w:szCs w:val="32"/>
          <w:highlight w:val="none"/>
        </w:rPr>
        <w:t>万元，增长</w:t>
      </w:r>
      <w:r>
        <w:rPr>
          <w:rFonts w:hint="eastAsia" w:ascii="仿宋_GB2312" w:eastAsia="仿宋_GB2312" w:cs="仿宋_GB2312"/>
          <w:color w:val="auto"/>
          <w:sz w:val="32"/>
          <w:szCs w:val="32"/>
          <w:highlight w:val="none"/>
          <w:lang w:val="en-US" w:eastAsia="zh-CN"/>
        </w:rPr>
        <w:t>5.8</w:t>
      </w:r>
      <w:r>
        <w:rPr>
          <w:rFonts w:hint="eastAsia" w:ascii="仿宋_GB2312" w:eastAsia="仿宋_GB2312" w:cs="仿宋_GB2312"/>
          <w:color w:val="auto"/>
          <w:sz w:val="32"/>
          <w:szCs w:val="32"/>
          <w:highlight w:val="none"/>
        </w:rPr>
        <w:t>%。</w:t>
      </w:r>
      <w:r>
        <w:rPr>
          <w:rFonts w:hint="eastAsia" w:ascii="仿宋_GB2312" w:eastAsia="仿宋_GB2312" w:cs="仿宋_GB2312"/>
          <w:sz w:val="30"/>
          <w:szCs w:val="30"/>
        </w:rPr>
        <w:t>减少在编在职人员两名及减少土地出让工作经费预算拨款</w:t>
      </w:r>
      <w:r>
        <w:rPr>
          <w:rFonts w:hint="eastAsia" w:ascii="仿宋_GB2312" w:eastAsia="仿宋_GB2312" w:cs="仿宋_GB2312"/>
          <w:sz w:val="30"/>
          <w:szCs w:val="30"/>
          <w:lang w:eastAsia="zh-CN"/>
        </w:rPr>
        <w:t>。</w:t>
      </w:r>
    </w:p>
    <w:p>
      <w:pPr>
        <w:pStyle w:val="2"/>
        <w:rPr>
          <w:rFonts w:hint="eastAsia" w:ascii="宋体" w:eastAsia="宋体" w:cs="宋体"/>
          <w:sz w:val="30"/>
          <w:szCs w:val="30"/>
        </w:rPr>
      </w:pPr>
    </w:p>
    <w:p>
      <w:pPr>
        <w:pStyle w:val="2"/>
        <w:rPr>
          <w:rFonts w:hint="eastAsia" w:ascii="宋体" w:eastAsia="宋体" w:cs="宋体"/>
          <w:sz w:val="30"/>
          <w:szCs w:val="30"/>
          <w:lang w:eastAsia="zh-CN"/>
        </w:rPr>
      </w:pPr>
      <w:r>
        <w:rPr>
          <w:rFonts w:hint="eastAsia" w:ascii="宋体" w:eastAsia="宋体" w:cs="宋体"/>
          <w:sz w:val="30"/>
          <w:szCs w:val="30"/>
          <w:lang w:eastAsia="zh-CN"/>
        </w:rPr>
        <w:drawing>
          <wp:inline distT="0" distB="0" distL="114300" distR="114300">
            <wp:extent cx="5079365" cy="3810000"/>
            <wp:effectExtent l="0" t="0" r="0" b="0"/>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321" w:firstLineChars="100"/>
        <w:rPr>
          <w:rFonts w:hint="eastAsia" w:ascii="楷体_GB2312" w:eastAsia="楷体_GB2312" w:cs="楷体_GB2312"/>
          <w:b/>
          <w:bCs/>
          <w:color w:val="auto"/>
          <w:sz w:val="48"/>
          <w:szCs w:val="48"/>
          <w:highlight w:val="none"/>
        </w:rPr>
      </w:pPr>
      <w:r>
        <w:rPr>
          <w:rFonts w:hint="eastAsia" w:ascii="楷体_GB2312" w:eastAsia="楷体_GB2312" w:cs="楷体_GB2312"/>
          <w:b/>
          <w:bCs/>
          <w:color w:val="auto"/>
          <w:sz w:val="32"/>
          <w:szCs w:val="32"/>
          <w:highlight w:val="none"/>
        </w:rPr>
        <w:t>（图5：一般公共预算财政拨款支出决算变动情况）</w:t>
      </w:r>
    </w:p>
    <w:p>
      <w:pPr>
        <w:spacing w:line="600" w:lineRule="exact"/>
        <w:ind w:firstLine="640" w:firstLineChars="200"/>
        <w:rPr>
          <w:rFonts w:ascii="仿宋" w:eastAsia="仿宋"/>
          <w:color w:val="auto"/>
          <w:sz w:val="32"/>
          <w:szCs w:val="32"/>
          <w:highlight w:val="none"/>
        </w:rPr>
      </w:pPr>
    </w:p>
    <w:p>
      <w:pPr>
        <w:spacing w:line="600" w:lineRule="exact"/>
        <w:ind w:firstLine="643" w:firstLineChars="200"/>
        <w:outlineLvl w:val="2"/>
        <w:rPr>
          <w:rFonts w:hint="eastAsia" w:ascii="楷体_GB2312" w:eastAsia="楷体_GB2312" w:cs="楷体_GB2312"/>
          <w:b/>
          <w:color w:val="auto"/>
          <w:sz w:val="32"/>
          <w:szCs w:val="32"/>
          <w:highlight w:val="none"/>
        </w:rPr>
      </w:pPr>
      <w:bookmarkStart w:id="41" w:name="_Toc15377211"/>
      <w:r>
        <w:rPr>
          <w:rFonts w:hint="eastAsia" w:ascii="楷体_GB2312" w:eastAsia="楷体_GB2312" w:cs="楷体_GB2312"/>
          <w:b/>
          <w:color w:val="auto"/>
          <w:sz w:val="32"/>
          <w:szCs w:val="32"/>
          <w:highlight w:val="none"/>
        </w:rPr>
        <w:t>（二）一般公共预算财政拨款支出决算结构情况</w:t>
      </w:r>
      <w:bookmarkEnd w:id="41"/>
    </w:p>
    <w:p>
      <w:pPr>
        <w:spacing w:line="60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年一般公共预算财政拨款支出</w:t>
      </w:r>
      <w:r>
        <w:rPr>
          <w:rFonts w:hint="eastAsia" w:ascii="仿宋_GB2312" w:eastAsia="仿宋_GB2312" w:cs="仿宋_GB2312"/>
          <w:color w:val="auto"/>
          <w:sz w:val="32"/>
          <w:szCs w:val="32"/>
          <w:highlight w:val="none"/>
          <w:lang w:val="en-US" w:eastAsia="zh-CN"/>
        </w:rPr>
        <w:t>416.14</w:t>
      </w:r>
      <w:r>
        <w:rPr>
          <w:rFonts w:hint="eastAsia" w:ascii="仿宋_GB2312" w:eastAsia="仿宋_GB2312" w:cs="仿宋_GB2312"/>
          <w:color w:val="auto"/>
          <w:sz w:val="32"/>
          <w:szCs w:val="32"/>
          <w:highlight w:val="none"/>
        </w:rPr>
        <w:t>万元，主要用于以下方面:</w:t>
      </w:r>
      <w:r>
        <w:rPr>
          <w:rFonts w:hint="eastAsia" w:ascii="仿宋_GB2312" w:eastAsia="仿宋_GB2312" w:cs="仿宋_GB2312"/>
          <w:b/>
          <w:color w:val="auto"/>
          <w:sz w:val="32"/>
          <w:szCs w:val="32"/>
          <w:highlight w:val="none"/>
        </w:rPr>
        <w:t>一般公共服务（类）</w:t>
      </w:r>
      <w:r>
        <w:rPr>
          <w:rFonts w:hint="eastAsia" w:ascii="仿宋_GB2312" w:eastAsia="仿宋_GB2312" w:cs="仿宋_GB2312"/>
          <w:color w:val="auto"/>
          <w:sz w:val="32"/>
          <w:szCs w:val="32"/>
          <w:highlight w:val="none"/>
        </w:rPr>
        <w:t>支出</w:t>
      </w:r>
      <w:r>
        <w:rPr>
          <w:rFonts w:hint="eastAsia" w:ascii="仿宋_GB2312" w:eastAsia="仿宋_GB2312" w:cs="仿宋_GB2312"/>
          <w:color w:val="auto"/>
          <w:sz w:val="32"/>
          <w:szCs w:val="32"/>
          <w:highlight w:val="none"/>
          <w:lang w:val="en-US" w:eastAsia="zh-CN"/>
        </w:rPr>
        <w:t>359.11</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86.3</w:t>
      </w:r>
      <w:r>
        <w:rPr>
          <w:rFonts w:hint="eastAsia" w:ascii="仿宋_GB2312" w:eastAsia="仿宋_GB2312" w:cs="仿宋_GB2312"/>
          <w:color w:val="auto"/>
          <w:sz w:val="32"/>
          <w:szCs w:val="32"/>
          <w:highlight w:val="none"/>
        </w:rPr>
        <w:t>%；</w:t>
      </w:r>
      <w:r>
        <w:rPr>
          <w:rFonts w:hint="eastAsia" w:ascii="仿宋_GB2312" w:eastAsia="仿宋_GB2312" w:cs="仿宋_GB2312"/>
          <w:b/>
          <w:color w:val="auto"/>
          <w:sz w:val="32"/>
          <w:szCs w:val="32"/>
          <w:highlight w:val="none"/>
        </w:rPr>
        <w:t>社会保障和就业（类）</w:t>
      </w:r>
      <w:r>
        <w:rPr>
          <w:rFonts w:hint="eastAsia" w:ascii="仿宋_GB2312" w:eastAsia="仿宋_GB2312" w:cs="仿宋_GB2312"/>
          <w:color w:val="auto"/>
          <w:sz w:val="32"/>
          <w:szCs w:val="32"/>
          <w:highlight w:val="none"/>
        </w:rPr>
        <w:t>支出</w:t>
      </w:r>
      <w:r>
        <w:rPr>
          <w:rFonts w:hint="eastAsia" w:ascii="仿宋_GB2312" w:eastAsia="仿宋_GB2312" w:cs="仿宋_GB2312"/>
          <w:color w:val="auto"/>
          <w:sz w:val="32"/>
          <w:szCs w:val="32"/>
          <w:highlight w:val="none"/>
          <w:lang w:val="en-US" w:eastAsia="zh-CN"/>
        </w:rPr>
        <w:t>25.19</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6.05</w:t>
      </w:r>
      <w:r>
        <w:rPr>
          <w:rFonts w:hint="eastAsia" w:ascii="仿宋_GB2312" w:eastAsia="仿宋_GB2312" w:cs="仿宋_GB2312"/>
          <w:color w:val="auto"/>
          <w:sz w:val="32"/>
          <w:szCs w:val="32"/>
          <w:highlight w:val="none"/>
        </w:rPr>
        <w:t>%；</w:t>
      </w:r>
      <w:r>
        <w:rPr>
          <w:rFonts w:hint="eastAsia" w:ascii="仿宋_GB2312" w:eastAsia="仿宋_GB2312" w:cs="仿宋_GB2312"/>
          <w:b/>
          <w:bCs/>
          <w:color w:val="auto"/>
          <w:sz w:val="32"/>
          <w:szCs w:val="32"/>
          <w:highlight w:val="none"/>
        </w:rPr>
        <w:t>卫生健康支出</w:t>
      </w:r>
      <w:r>
        <w:rPr>
          <w:rFonts w:hint="eastAsia" w:ascii="仿宋_GB2312" w:eastAsia="仿宋_GB2312" w:cs="仿宋_GB2312"/>
          <w:color w:val="auto"/>
          <w:sz w:val="32"/>
          <w:szCs w:val="32"/>
          <w:highlight w:val="none"/>
          <w:lang w:val="en-US" w:eastAsia="zh-CN"/>
        </w:rPr>
        <w:t>11.49</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2.76</w:t>
      </w:r>
      <w:r>
        <w:rPr>
          <w:rFonts w:hint="eastAsia" w:ascii="仿宋_GB2312" w:eastAsia="仿宋_GB2312" w:cs="仿宋_GB2312"/>
          <w:color w:val="auto"/>
          <w:sz w:val="32"/>
          <w:szCs w:val="32"/>
          <w:highlight w:val="none"/>
        </w:rPr>
        <w:t>%；住房保障支出</w:t>
      </w:r>
      <w:r>
        <w:rPr>
          <w:rFonts w:hint="eastAsia" w:ascii="仿宋_GB2312" w:eastAsia="仿宋_GB2312" w:cs="仿宋_GB2312"/>
          <w:color w:val="auto"/>
          <w:sz w:val="32"/>
          <w:szCs w:val="32"/>
          <w:highlight w:val="none"/>
          <w:lang w:val="en-US" w:eastAsia="zh-CN"/>
        </w:rPr>
        <w:t>20.36</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4.89</w:t>
      </w:r>
      <w:r>
        <w:rPr>
          <w:rFonts w:hint="eastAsia" w:ascii="仿宋_GB2312" w:eastAsia="仿宋_GB2312" w:cs="仿宋_GB2312"/>
          <w:color w:val="auto"/>
          <w:sz w:val="32"/>
          <w:szCs w:val="32"/>
          <w:highlight w:val="none"/>
        </w:rPr>
        <w:t>%。</w:t>
      </w:r>
    </w:p>
    <w:p>
      <w:pPr>
        <w:spacing w:line="600" w:lineRule="exact"/>
        <w:ind w:firstLine="640"/>
        <w:rPr>
          <w:rFonts w:ascii="仿宋" w:eastAsia="仿宋"/>
          <w:color w:val="auto"/>
          <w:sz w:val="32"/>
          <w:szCs w:val="32"/>
          <w:highlight w:val="none"/>
        </w:rPr>
      </w:pPr>
    </w:p>
    <w:p>
      <w:pPr>
        <w:pStyle w:val="2"/>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drawing>
          <wp:inline distT="0" distB="0" distL="114300" distR="114300">
            <wp:extent cx="5079365" cy="3810000"/>
            <wp:effectExtent l="0" t="0" r="0" b="0"/>
            <wp:docPr id="1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321" w:firstLineChars="100"/>
        <w:rPr>
          <w:rFonts w:hint="eastAsia" w:ascii="楷体_GB2312" w:eastAsia="楷体_GB2312" w:cs="楷体_GB2312"/>
          <w:b/>
          <w:bCs/>
          <w:color w:val="auto"/>
          <w:sz w:val="32"/>
          <w:szCs w:val="32"/>
          <w:highlight w:val="none"/>
        </w:rPr>
      </w:pPr>
      <w:r>
        <w:rPr>
          <w:rFonts w:hint="eastAsia" w:ascii="楷体_GB2312" w:eastAsia="楷体_GB2312" w:cs="楷体_GB2312"/>
          <w:b/>
          <w:bCs/>
          <w:color w:val="auto"/>
          <w:sz w:val="32"/>
          <w:szCs w:val="32"/>
          <w:highlight w:val="none"/>
        </w:rPr>
        <w:t>（图6：一般公共预算财政拨款支出决算结构）</w:t>
      </w:r>
    </w:p>
    <w:p>
      <w:pPr>
        <w:spacing w:line="600" w:lineRule="exact"/>
        <w:ind w:firstLine="643" w:firstLineChars="200"/>
        <w:outlineLvl w:val="2"/>
        <w:rPr>
          <w:rFonts w:ascii="仿宋" w:eastAsia="仿宋"/>
          <w:b/>
          <w:color w:val="auto"/>
          <w:sz w:val="32"/>
          <w:szCs w:val="32"/>
          <w:highlight w:val="none"/>
        </w:rPr>
      </w:pPr>
      <w:bookmarkStart w:id="42" w:name="_Toc15377212"/>
      <w:r>
        <w:rPr>
          <w:rFonts w:hint="eastAsia" w:ascii="楷体_GB2312" w:eastAsia="楷体_GB2312" w:cs="楷体_GB2312"/>
          <w:b/>
          <w:color w:val="auto"/>
          <w:sz w:val="32"/>
          <w:szCs w:val="32"/>
          <w:highlight w:val="none"/>
        </w:rPr>
        <w:t>（三）一般公共预算财政拨款支出决算具体情况</w:t>
      </w:r>
      <w:bookmarkEnd w:id="42"/>
    </w:p>
    <w:p>
      <w:pPr>
        <w:spacing w:line="600" w:lineRule="exact"/>
        <w:ind w:firstLine="643" w:firstLineChars="200"/>
        <w:outlineLvl w:val="2"/>
        <w:rPr>
          <w:rFonts w:hint="eastAsia" w:ascii="仿宋_GB2312" w:eastAsia="仿宋_GB2312" w:cs="仿宋_GB2312"/>
          <w:color w:val="auto"/>
          <w:sz w:val="32"/>
          <w:szCs w:val="32"/>
          <w:highlight w:val="none"/>
        </w:rPr>
      </w:pPr>
      <w:bookmarkStart w:id="43" w:name="_Toc15378460"/>
      <w:bookmarkStart w:id="44" w:name="_Toc15377213"/>
      <w:bookmarkStart w:id="45" w:name="_Toc15377444"/>
      <w:r>
        <w:rPr>
          <w:rFonts w:hint="eastAsia" w:ascii="仿宋_GB2312" w:eastAsia="仿宋_GB2312" w:cs="仿宋_GB2312"/>
          <w:b/>
          <w:color w:val="auto"/>
          <w:sz w:val="32"/>
          <w:szCs w:val="32"/>
          <w:highlight w:val="none"/>
        </w:rPr>
        <w:t>20</w:t>
      </w:r>
      <w:r>
        <w:rPr>
          <w:rFonts w:hint="eastAsia" w:ascii="仿宋_GB2312" w:eastAsia="仿宋_GB2312" w:cs="仿宋_GB2312"/>
          <w:b/>
          <w:color w:val="auto"/>
          <w:sz w:val="32"/>
          <w:szCs w:val="32"/>
          <w:highlight w:val="none"/>
          <w:lang w:val="en-US" w:eastAsia="zh-CN"/>
        </w:rPr>
        <w:t>21</w:t>
      </w:r>
      <w:r>
        <w:rPr>
          <w:rFonts w:hint="eastAsia" w:ascii="仿宋_GB2312" w:eastAsia="仿宋_GB2312" w:cs="仿宋_GB2312"/>
          <w:b/>
          <w:color w:val="auto"/>
          <w:sz w:val="32"/>
          <w:szCs w:val="32"/>
          <w:highlight w:val="none"/>
        </w:rPr>
        <w:t>年</w:t>
      </w:r>
      <w:r>
        <w:rPr>
          <w:rFonts w:hint="eastAsia" w:ascii="仿宋_GB2312" w:eastAsia="仿宋_GB2312" w:cs="仿宋_GB2312"/>
          <w:b/>
          <w:color w:val="auto"/>
          <w:sz w:val="32"/>
          <w:szCs w:val="32"/>
          <w:highlight w:val="none"/>
          <w:lang w:eastAsia="zh-CN"/>
        </w:rPr>
        <w:t>一</w:t>
      </w:r>
      <w:r>
        <w:rPr>
          <w:rFonts w:hint="eastAsia" w:ascii="仿宋_GB2312" w:eastAsia="仿宋_GB2312" w:cs="仿宋_GB2312"/>
          <w:b/>
          <w:color w:val="auto"/>
          <w:sz w:val="32"/>
          <w:szCs w:val="32"/>
          <w:highlight w:val="none"/>
        </w:rPr>
        <w:t>般公共预算支出决算数为</w:t>
      </w:r>
      <w:r>
        <w:rPr>
          <w:rFonts w:hint="eastAsia" w:ascii="仿宋_GB2312" w:eastAsia="仿宋_GB2312" w:cs="仿宋_GB2312"/>
          <w:b/>
          <w:color w:val="auto"/>
          <w:sz w:val="32"/>
          <w:szCs w:val="32"/>
          <w:highlight w:val="none"/>
          <w:lang w:val="en-US" w:eastAsia="zh-CN"/>
        </w:rPr>
        <w:t>416.14万元</w:t>
      </w:r>
      <w:r>
        <w:rPr>
          <w:rFonts w:hint="eastAsia" w:ascii="仿宋_GB2312" w:eastAsia="仿宋_GB2312" w:cs="仿宋_GB2312"/>
          <w:color w:val="auto"/>
          <w:sz w:val="32"/>
          <w:szCs w:val="32"/>
          <w:highlight w:val="none"/>
        </w:rPr>
        <w:t>，</w:t>
      </w:r>
      <w:r>
        <w:rPr>
          <w:rStyle w:val="17"/>
          <w:rFonts w:hint="eastAsia" w:ascii="仿宋_GB2312" w:eastAsia="仿宋_GB2312" w:cs="仿宋_GB2312"/>
          <w:bCs/>
          <w:color w:val="auto"/>
          <w:sz w:val="32"/>
          <w:szCs w:val="32"/>
          <w:highlight w:val="none"/>
        </w:rPr>
        <w:t>完成预算</w:t>
      </w:r>
      <w:r>
        <w:rPr>
          <w:rStyle w:val="17"/>
          <w:rFonts w:hint="eastAsia" w:ascii="仿宋_GB2312" w:eastAsia="仿宋_GB2312" w:cs="仿宋_GB2312"/>
          <w:bCs/>
          <w:color w:val="auto"/>
          <w:sz w:val="32"/>
          <w:szCs w:val="32"/>
          <w:highlight w:val="none"/>
          <w:lang w:val="en-US" w:eastAsia="zh-CN"/>
        </w:rPr>
        <w:t>92.41</w:t>
      </w:r>
      <w:r>
        <w:rPr>
          <w:rStyle w:val="17"/>
          <w:rFonts w:hint="eastAsia" w:ascii="仿宋_GB2312" w:eastAsia="仿宋_GB2312" w:cs="仿宋_GB2312"/>
          <w:bCs/>
          <w:color w:val="auto"/>
          <w:sz w:val="32"/>
          <w:szCs w:val="32"/>
          <w:highlight w:val="none"/>
        </w:rPr>
        <w:t>%。其中：</w:t>
      </w:r>
      <w:bookmarkEnd w:id="43"/>
      <w:bookmarkEnd w:id="44"/>
      <w:bookmarkEnd w:id="45"/>
    </w:p>
    <w:p>
      <w:pPr>
        <w:widowControl/>
        <w:spacing w:line="560" w:lineRule="atLeast"/>
        <w:ind w:firstLine="640"/>
        <w:rPr>
          <w:rFonts w:hint="eastAsia" w:ascii="仿宋_GB2312" w:eastAsia="仿宋_GB2312" w:cs="仿宋_GB2312"/>
          <w:color w:val="030303"/>
          <w:kern w:val="0"/>
          <w:sz w:val="32"/>
          <w:szCs w:val="32"/>
        </w:rPr>
      </w:pPr>
      <w:r>
        <w:rPr>
          <w:rFonts w:hint="eastAsia" w:ascii="仿宋_GB2312" w:eastAsia="仿宋_GB2312" w:cs="仿宋_GB2312"/>
          <w:b/>
          <w:color w:val="030303"/>
          <w:kern w:val="0"/>
          <w:sz w:val="32"/>
          <w:szCs w:val="32"/>
        </w:rPr>
        <w:t>1.一般公共服务</w:t>
      </w:r>
      <w:r>
        <w:rPr>
          <w:rFonts w:hint="eastAsia" w:ascii="仿宋_GB2312" w:eastAsia="仿宋_GB2312" w:cs="仿宋_GB2312"/>
          <w:b/>
          <w:color w:val="030303"/>
          <w:kern w:val="0"/>
          <w:sz w:val="32"/>
          <w:szCs w:val="32"/>
          <w:lang w:eastAsia="zh-CN"/>
        </w:rPr>
        <w:t>支出</w:t>
      </w:r>
      <w:r>
        <w:rPr>
          <w:rFonts w:hint="eastAsia" w:ascii="仿宋_GB2312" w:eastAsia="仿宋_GB2312" w:cs="仿宋_GB2312"/>
          <w:b/>
          <w:color w:val="030303"/>
          <w:kern w:val="0"/>
          <w:sz w:val="32"/>
          <w:szCs w:val="32"/>
        </w:rPr>
        <w:t>（类）政府办公厅（室）及相关机构事务（款）事业运行（项）</w:t>
      </w:r>
      <w:r>
        <w:rPr>
          <w:rFonts w:hint="eastAsia" w:ascii="仿宋_GB2312" w:eastAsia="仿宋_GB2312" w:cs="仿宋_GB2312"/>
          <w:color w:val="030303"/>
          <w:kern w:val="0"/>
          <w:sz w:val="32"/>
          <w:szCs w:val="32"/>
        </w:rPr>
        <w:t>:支出决算为</w:t>
      </w:r>
      <w:r>
        <w:rPr>
          <w:rFonts w:hint="eastAsia" w:ascii="仿宋_GB2312" w:eastAsia="仿宋_GB2312" w:cs="仿宋_GB2312"/>
          <w:color w:val="030303"/>
          <w:kern w:val="0"/>
          <w:sz w:val="32"/>
          <w:szCs w:val="32"/>
          <w:lang w:val="en-US" w:eastAsia="zh-CN"/>
        </w:rPr>
        <w:t>235.87</w:t>
      </w:r>
      <w:r>
        <w:rPr>
          <w:rFonts w:hint="eastAsia" w:ascii="仿宋_GB2312" w:eastAsia="仿宋_GB2312" w:cs="仿宋_GB2312"/>
          <w:color w:val="030303"/>
          <w:kern w:val="0"/>
          <w:sz w:val="32"/>
          <w:szCs w:val="32"/>
        </w:rPr>
        <w:t>万元，完成预算</w:t>
      </w:r>
      <w:r>
        <w:rPr>
          <w:rFonts w:hint="eastAsia" w:ascii="仿宋_GB2312" w:eastAsia="仿宋_GB2312" w:cs="仿宋_GB2312"/>
          <w:color w:val="030303"/>
          <w:kern w:val="0"/>
          <w:sz w:val="32"/>
          <w:szCs w:val="32"/>
          <w:lang w:val="en-US" w:eastAsia="zh-CN"/>
        </w:rPr>
        <w:t>97.5</w:t>
      </w:r>
      <w:r>
        <w:rPr>
          <w:rFonts w:hint="eastAsia" w:ascii="仿宋_GB2312" w:eastAsia="仿宋_GB2312" w:cs="仿宋_GB2312"/>
          <w:color w:val="030303"/>
          <w:kern w:val="0"/>
          <w:sz w:val="32"/>
          <w:szCs w:val="32"/>
        </w:rPr>
        <w:t>%</w:t>
      </w:r>
      <w:r>
        <w:rPr>
          <w:rFonts w:hint="eastAsia" w:ascii="仿宋_GB2312" w:eastAsia="仿宋_GB2312" w:cs="仿宋_GB2312"/>
          <w:color w:val="030303"/>
          <w:kern w:val="0"/>
          <w:sz w:val="32"/>
          <w:szCs w:val="32"/>
          <w:lang w:eastAsia="zh-CN"/>
        </w:rPr>
        <w:t>，决算数小于预算数的原因主要是部分工资津补贴未及时支出。</w:t>
      </w:r>
    </w:p>
    <w:p>
      <w:pPr>
        <w:widowControl/>
        <w:spacing w:line="540" w:lineRule="exact"/>
        <w:ind w:firstLine="643" w:firstLineChars="200"/>
        <w:rPr>
          <w:rFonts w:hint="eastAsia" w:ascii="仿宋_GB2312" w:eastAsia="仿宋_GB2312" w:cs="仿宋_GB2312"/>
          <w:sz w:val="30"/>
          <w:szCs w:val="30"/>
          <w:lang w:val="en-US" w:eastAsia="zh-CN"/>
        </w:rPr>
      </w:pPr>
      <w:r>
        <w:rPr>
          <w:rFonts w:hint="eastAsia" w:ascii="仿宋_GB2312" w:eastAsia="仿宋_GB2312" w:cs="仿宋_GB2312"/>
          <w:b/>
          <w:color w:val="030303"/>
          <w:kern w:val="0"/>
          <w:sz w:val="32"/>
          <w:szCs w:val="32"/>
          <w:lang w:val="en-US" w:eastAsia="zh-CN"/>
        </w:rPr>
        <w:t>2</w:t>
      </w:r>
      <w:r>
        <w:rPr>
          <w:rFonts w:hint="eastAsia" w:ascii="仿宋_GB2312" w:eastAsia="仿宋_GB2312" w:cs="仿宋_GB2312"/>
          <w:b/>
          <w:color w:val="030303"/>
          <w:kern w:val="0"/>
          <w:sz w:val="32"/>
          <w:szCs w:val="32"/>
        </w:rPr>
        <w:t>.一般公共服务</w:t>
      </w:r>
      <w:r>
        <w:rPr>
          <w:rFonts w:hint="eastAsia" w:ascii="仿宋_GB2312" w:eastAsia="仿宋_GB2312" w:cs="仿宋_GB2312"/>
          <w:b/>
          <w:color w:val="030303"/>
          <w:kern w:val="0"/>
          <w:sz w:val="32"/>
          <w:szCs w:val="32"/>
          <w:lang w:eastAsia="zh-CN"/>
        </w:rPr>
        <w:t>支出</w:t>
      </w:r>
      <w:r>
        <w:rPr>
          <w:rFonts w:hint="eastAsia" w:ascii="仿宋_GB2312" w:eastAsia="仿宋_GB2312" w:cs="仿宋_GB2312"/>
          <w:b/>
          <w:color w:val="030303"/>
          <w:kern w:val="0"/>
          <w:sz w:val="32"/>
          <w:szCs w:val="32"/>
        </w:rPr>
        <w:t>（类）政府办公厅（室）及相关机构事务（款）</w:t>
      </w:r>
      <w:r>
        <w:rPr>
          <w:rFonts w:hint="eastAsia" w:ascii="仿宋_GB2312" w:eastAsia="仿宋_GB2312" w:cs="仿宋_GB2312"/>
          <w:b/>
          <w:color w:val="030303"/>
          <w:kern w:val="0"/>
          <w:sz w:val="32"/>
          <w:szCs w:val="32"/>
          <w:lang w:eastAsia="zh-CN"/>
        </w:rPr>
        <w:t>其他</w:t>
      </w:r>
      <w:r>
        <w:rPr>
          <w:rFonts w:hint="eastAsia" w:ascii="仿宋_GB2312" w:eastAsia="仿宋_GB2312" w:cs="仿宋_GB2312"/>
          <w:b/>
          <w:color w:val="030303"/>
          <w:kern w:val="0"/>
          <w:sz w:val="32"/>
          <w:szCs w:val="32"/>
        </w:rPr>
        <w:t>政府办公厅（室）及相关机构事务</w:t>
      </w:r>
      <w:r>
        <w:rPr>
          <w:rFonts w:hint="eastAsia" w:ascii="仿宋_GB2312" w:eastAsia="仿宋_GB2312" w:cs="仿宋_GB2312"/>
          <w:b/>
          <w:color w:val="030303"/>
          <w:kern w:val="0"/>
          <w:sz w:val="32"/>
          <w:szCs w:val="32"/>
          <w:lang w:eastAsia="zh-CN"/>
        </w:rPr>
        <w:t>支出</w:t>
      </w:r>
      <w:r>
        <w:rPr>
          <w:rFonts w:hint="eastAsia" w:ascii="仿宋_GB2312" w:eastAsia="仿宋_GB2312" w:cs="仿宋_GB2312"/>
          <w:b/>
          <w:color w:val="030303"/>
          <w:kern w:val="0"/>
          <w:sz w:val="32"/>
          <w:szCs w:val="32"/>
        </w:rPr>
        <w:t>（项）</w:t>
      </w:r>
      <w:r>
        <w:rPr>
          <w:rFonts w:hint="eastAsia" w:ascii="仿宋_GB2312" w:eastAsia="仿宋_GB2312" w:cs="仿宋_GB2312"/>
          <w:color w:val="030303"/>
          <w:kern w:val="0"/>
          <w:sz w:val="32"/>
          <w:szCs w:val="32"/>
        </w:rPr>
        <w:t>:</w:t>
      </w:r>
      <w:r>
        <w:rPr>
          <w:rFonts w:hint="eastAsia" w:ascii="仿宋_GB2312" w:eastAsia="仿宋_GB2312" w:cs="仿宋_GB2312"/>
          <w:b w:val="0"/>
          <w:bCs/>
          <w:color w:val="030303"/>
          <w:kern w:val="0"/>
          <w:sz w:val="32"/>
          <w:szCs w:val="32"/>
          <w:lang w:eastAsia="zh-CN"/>
        </w:rPr>
        <w:t>支出决算为</w:t>
      </w:r>
      <w:r>
        <w:rPr>
          <w:rFonts w:hint="eastAsia" w:ascii="仿宋_GB2312" w:eastAsia="仿宋_GB2312" w:cs="仿宋_GB2312"/>
          <w:b w:val="0"/>
          <w:bCs/>
          <w:color w:val="030303"/>
          <w:kern w:val="0"/>
          <w:sz w:val="32"/>
          <w:szCs w:val="32"/>
          <w:lang w:val="en-US" w:eastAsia="zh-CN"/>
        </w:rPr>
        <w:t>123.24万元，完成预算81.43%，决算数小于预算数的原因主要是交易场地设施设备维护费</w:t>
      </w:r>
      <w:r>
        <w:rPr>
          <w:rFonts w:hint="eastAsia" w:ascii="仿宋_GB2312" w:eastAsia="仿宋_GB2312" w:cs="仿宋_GB2312"/>
          <w:color w:val="000000"/>
          <w:kern w:val="0"/>
          <w:sz w:val="32"/>
          <w:szCs w:val="32"/>
          <w:lang w:eastAsia="zh-CN"/>
        </w:rPr>
        <w:t>按实际工作量支付资金，未实现完全支付；公共资源交易平台等保测评费按合同进度支付资金，结转</w:t>
      </w:r>
      <w:r>
        <w:rPr>
          <w:rFonts w:hint="eastAsia" w:ascii="仿宋_GB2312" w:eastAsia="仿宋_GB2312" w:cs="仿宋_GB2312"/>
          <w:color w:val="000000"/>
          <w:kern w:val="0"/>
          <w:sz w:val="32"/>
          <w:szCs w:val="32"/>
          <w:lang w:val="en-US" w:eastAsia="zh-CN"/>
        </w:rPr>
        <w:t>2022年继续使用；部分设备采购因政策限制未能实施，相关经费未支出。</w:t>
      </w:r>
    </w:p>
    <w:p>
      <w:pPr>
        <w:widowControl/>
        <w:spacing w:line="560" w:lineRule="atLeast"/>
        <w:ind w:firstLine="643" w:firstLineChars="200"/>
        <w:rPr>
          <w:rFonts w:hint="eastAsia" w:ascii="仿宋_GB2312" w:eastAsia="仿宋_GB2312" w:cs="仿宋_GB2312"/>
          <w:color w:val="030303"/>
          <w:kern w:val="0"/>
          <w:sz w:val="32"/>
          <w:szCs w:val="32"/>
        </w:rPr>
      </w:pPr>
      <w:r>
        <w:rPr>
          <w:rFonts w:hint="eastAsia" w:ascii="仿宋_GB2312" w:eastAsia="仿宋_GB2312" w:cs="仿宋_GB2312"/>
          <w:b/>
          <w:color w:val="030303"/>
          <w:kern w:val="0"/>
          <w:sz w:val="32"/>
          <w:szCs w:val="32"/>
          <w:lang w:val="en-US" w:eastAsia="zh-CN"/>
        </w:rPr>
        <w:t>3</w:t>
      </w:r>
      <w:r>
        <w:rPr>
          <w:rFonts w:hint="eastAsia" w:ascii="仿宋_GB2312" w:eastAsia="仿宋_GB2312" w:cs="仿宋_GB2312"/>
          <w:b/>
          <w:color w:val="030303"/>
          <w:kern w:val="0"/>
          <w:sz w:val="32"/>
          <w:szCs w:val="32"/>
        </w:rPr>
        <w:t>.社会保障和就业支出（类）行政事业单位养老支出（款）机关事业单位基本养老保险缴费支出（项）</w:t>
      </w:r>
      <w:r>
        <w:rPr>
          <w:rFonts w:hint="eastAsia" w:ascii="仿宋_GB2312" w:eastAsia="仿宋_GB2312" w:cs="仿宋_GB2312"/>
          <w:color w:val="030303"/>
          <w:kern w:val="0"/>
          <w:sz w:val="32"/>
          <w:szCs w:val="32"/>
        </w:rPr>
        <w:t>:支出决算为</w:t>
      </w:r>
      <w:r>
        <w:rPr>
          <w:rFonts w:hint="eastAsia" w:ascii="仿宋_GB2312" w:eastAsia="仿宋_GB2312" w:cs="仿宋_GB2312"/>
          <w:color w:val="030303"/>
          <w:kern w:val="0"/>
          <w:sz w:val="32"/>
          <w:szCs w:val="32"/>
          <w:lang w:val="en-US" w:eastAsia="zh-CN"/>
        </w:rPr>
        <w:t>21.44</w:t>
      </w:r>
      <w:r>
        <w:rPr>
          <w:rFonts w:hint="eastAsia" w:ascii="仿宋_GB2312" w:eastAsia="仿宋_GB2312" w:cs="仿宋_GB2312"/>
          <w:color w:val="030303"/>
          <w:kern w:val="0"/>
          <w:sz w:val="32"/>
          <w:szCs w:val="32"/>
        </w:rPr>
        <w:t>万元，完成预算100%。</w:t>
      </w:r>
    </w:p>
    <w:p>
      <w:pPr>
        <w:pStyle w:val="2"/>
        <w:ind w:firstLine="643" w:firstLineChars="200"/>
        <w:rPr>
          <w:rFonts w:eastAsia="仿宋_GB2312"/>
          <w:lang w:val="en-US" w:eastAsia="zh-CN"/>
        </w:rPr>
      </w:pPr>
      <w:r>
        <w:rPr>
          <w:rFonts w:hint="eastAsia" w:cs="仿宋_GB2312"/>
          <w:b/>
          <w:bCs/>
          <w:color w:val="030303"/>
          <w:kern w:val="0"/>
          <w:sz w:val="32"/>
          <w:szCs w:val="32"/>
          <w:lang w:val="en-US" w:eastAsia="zh-CN"/>
        </w:rPr>
        <w:t>4.</w:t>
      </w:r>
      <w:r>
        <w:rPr>
          <w:rFonts w:hint="eastAsia" w:ascii="仿宋_GB2312" w:eastAsia="仿宋_GB2312" w:cs="仿宋_GB2312"/>
          <w:b/>
          <w:color w:val="030303"/>
          <w:kern w:val="0"/>
          <w:sz w:val="32"/>
          <w:szCs w:val="32"/>
        </w:rPr>
        <w:t>社会保障和就业支出（类）行政事业单位养老支出（款）机关事业单位</w:t>
      </w:r>
      <w:r>
        <w:rPr>
          <w:rFonts w:hint="eastAsia" w:cs="仿宋_GB2312"/>
          <w:b/>
          <w:color w:val="030303"/>
          <w:kern w:val="0"/>
          <w:sz w:val="32"/>
          <w:szCs w:val="32"/>
          <w:lang w:eastAsia="zh-CN"/>
        </w:rPr>
        <w:t>职业年金缴费支出（项）：</w:t>
      </w:r>
      <w:r>
        <w:rPr>
          <w:rFonts w:hint="eastAsia" w:cs="仿宋_GB2312"/>
          <w:b w:val="0"/>
          <w:bCs/>
          <w:color w:val="030303"/>
          <w:kern w:val="0"/>
          <w:sz w:val="32"/>
          <w:szCs w:val="32"/>
          <w:lang w:eastAsia="zh-CN"/>
        </w:rPr>
        <w:t>支出决算为</w:t>
      </w:r>
      <w:r>
        <w:rPr>
          <w:rFonts w:hint="eastAsia" w:cs="仿宋_GB2312"/>
          <w:b w:val="0"/>
          <w:bCs/>
          <w:color w:val="030303"/>
          <w:kern w:val="0"/>
          <w:sz w:val="32"/>
          <w:szCs w:val="32"/>
          <w:lang w:val="en-US" w:eastAsia="zh-CN"/>
        </w:rPr>
        <w:t>3.75万元，完成预算100%。</w:t>
      </w:r>
    </w:p>
    <w:p>
      <w:pPr>
        <w:widowControl/>
        <w:spacing w:line="560" w:lineRule="atLeast"/>
        <w:ind w:firstLine="643" w:firstLineChars="200"/>
        <w:rPr>
          <w:rFonts w:hint="eastAsia" w:ascii="仿宋_GB2312" w:eastAsia="仿宋_GB2312" w:cs="仿宋_GB2312"/>
          <w:color w:val="030303"/>
          <w:kern w:val="0"/>
          <w:sz w:val="24"/>
        </w:rPr>
      </w:pPr>
      <w:r>
        <w:rPr>
          <w:rFonts w:hint="eastAsia" w:ascii="仿宋_GB2312" w:eastAsia="仿宋_GB2312" w:cs="仿宋_GB2312"/>
          <w:b/>
          <w:color w:val="030303"/>
          <w:kern w:val="0"/>
          <w:sz w:val="32"/>
          <w:szCs w:val="32"/>
          <w:lang w:val="en-US" w:eastAsia="zh-CN"/>
        </w:rPr>
        <w:t>5</w:t>
      </w:r>
      <w:r>
        <w:rPr>
          <w:rFonts w:hint="eastAsia" w:ascii="仿宋_GB2312" w:eastAsia="仿宋_GB2312" w:cs="仿宋_GB2312"/>
          <w:b/>
          <w:color w:val="030303"/>
          <w:kern w:val="0"/>
          <w:sz w:val="32"/>
          <w:szCs w:val="32"/>
        </w:rPr>
        <w:t>.卫生健康支出（类）行政事业单位医疗（款）事业单位医疗（项）</w:t>
      </w:r>
      <w:r>
        <w:rPr>
          <w:rFonts w:hint="eastAsia" w:ascii="仿宋_GB2312" w:eastAsia="仿宋_GB2312" w:cs="仿宋_GB2312"/>
          <w:color w:val="030303"/>
          <w:kern w:val="0"/>
          <w:sz w:val="32"/>
          <w:szCs w:val="32"/>
        </w:rPr>
        <w:t>:支出决算为</w:t>
      </w:r>
      <w:r>
        <w:rPr>
          <w:rFonts w:hint="eastAsia" w:ascii="仿宋_GB2312" w:eastAsia="仿宋_GB2312" w:cs="仿宋_GB2312"/>
          <w:color w:val="030303"/>
          <w:kern w:val="0"/>
          <w:sz w:val="32"/>
          <w:szCs w:val="32"/>
          <w:lang w:val="en-US" w:eastAsia="zh-CN"/>
        </w:rPr>
        <w:t>11.49</w:t>
      </w:r>
      <w:r>
        <w:rPr>
          <w:rFonts w:hint="eastAsia" w:ascii="仿宋_GB2312" w:eastAsia="仿宋_GB2312" w:cs="仿宋_GB2312"/>
          <w:color w:val="030303"/>
          <w:kern w:val="0"/>
          <w:sz w:val="32"/>
          <w:szCs w:val="32"/>
        </w:rPr>
        <w:t>万元，完成预算100%。</w:t>
      </w:r>
    </w:p>
    <w:p>
      <w:pPr>
        <w:spacing w:line="600" w:lineRule="exact"/>
        <w:ind w:firstLine="643" w:firstLineChars="200"/>
        <w:rPr>
          <w:rFonts w:hint="eastAsia" w:ascii="仿宋_GB2312" w:eastAsia="仿宋_GB2312" w:cs="仿宋_GB2312"/>
          <w:color w:val="030303"/>
          <w:kern w:val="0"/>
          <w:sz w:val="32"/>
          <w:szCs w:val="32"/>
        </w:rPr>
      </w:pPr>
      <w:r>
        <w:rPr>
          <w:rFonts w:hint="eastAsia" w:ascii="仿宋_GB2312" w:eastAsia="仿宋_GB2312" w:cs="仿宋_GB2312"/>
          <w:b/>
          <w:color w:val="030303"/>
          <w:kern w:val="0"/>
          <w:sz w:val="32"/>
          <w:szCs w:val="32"/>
          <w:lang w:val="en-US" w:eastAsia="zh-CN"/>
        </w:rPr>
        <w:t>6</w:t>
      </w:r>
      <w:r>
        <w:rPr>
          <w:rFonts w:hint="eastAsia" w:ascii="仿宋_GB2312" w:eastAsia="仿宋_GB2312" w:cs="仿宋_GB2312"/>
          <w:b/>
          <w:color w:val="030303"/>
          <w:kern w:val="0"/>
          <w:sz w:val="32"/>
          <w:szCs w:val="32"/>
        </w:rPr>
        <w:t>.住房保障支出（类）住房改革支出（款）住房公积金（项）</w:t>
      </w:r>
      <w:r>
        <w:rPr>
          <w:rFonts w:hint="eastAsia" w:ascii="仿宋_GB2312" w:eastAsia="仿宋_GB2312" w:cs="仿宋_GB2312"/>
          <w:b/>
          <w:bCs/>
          <w:color w:val="030303"/>
          <w:kern w:val="0"/>
          <w:sz w:val="32"/>
          <w:szCs w:val="32"/>
        </w:rPr>
        <w:t>:</w:t>
      </w:r>
      <w:r>
        <w:rPr>
          <w:rFonts w:hint="eastAsia" w:ascii="仿宋_GB2312" w:eastAsia="仿宋_GB2312" w:cs="仿宋_GB2312"/>
          <w:color w:val="030303"/>
          <w:kern w:val="0"/>
          <w:sz w:val="32"/>
          <w:szCs w:val="32"/>
        </w:rPr>
        <w:t>支出决算数</w:t>
      </w:r>
      <w:r>
        <w:rPr>
          <w:rFonts w:hint="eastAsia" w:ascii="仿宋_GB2312" w:eastAsia="仿宋_GB2312" w:cs="仿宋_GB2312"/>
          <w:color w:val="030303"/>
          <w:kern w:val="0"/>
          <w:sz w:val="32"/>
          <w:szCs w:val="32"/>
          <w:lang w:val="en-US" w:eastAsia="zh-CN"/>
        </w:rPr>
        <w:t>20.36</w:t>
      </w:r>
      <w:r>
        <w:rPr>
          <w:rFonts w:hint="eastAsia" w:ascii="仿宋_GB2312" w:eastAsia="仿宋_GB2312" w:cs="仿宋_GB2312"/>
          <w:color w:val="030303"/>
          <w:kern w:val="0"/>
          <w:sz w:val="32"/>
          <w:szCs w:val="32"/>
        </w:rPr>
        <w:t>万元，完成预算100%。</w:t>
      </w:r>
    </w:p>
    <w:p>
      <w:pPr>
        <w:tabs>
          <w:tab w:val="right" w:pos="8306"/>
        </w:tabs>
        <w:spacing w:line="600" w:lineRule="exact"/>
        <w:ind w:firstLine="640" w:firstLineChars="200"/>
        <w:outlineLvl w:val="1"/>
        <w:rPr>
          <w:rStyle w:val="20"/>
          <w:rFonts w:hint="eastAsia" w:ascii="黑体" w:eastAsia="黑体"/>
          <w:b w:val="0"/>
          <w:color w:val="auto"/>
          <w:highlight w:val="none"/>
        </w:rPr>
      </w:pPr>
      <w:bookmarkStart w:id="46" w:name="_Toc15377214"/>
      <w:bookmarkStart w:id="47" w:name="_Toc15396608"/>
      <w:bookmarkStart w:id="48" w:name="_Toc493600130_WPSOffice_Level2"/>
      <w:r>
        <w:rPr>
          <w:rStyle w:val="20"/>
          <w:rFonts w:hint="eastAsia" w:ascii="黑体" w:eastAsia="黑体"/>
          <w:b w:val="0"/>
          <w:color w:val="auto"/>
          <w:highlight w:val="none"/>
        </w:rPr>
        <w:t>六、</w:t>
      </w:r>
      <w:r>
        <w:rPr>
          <w:rStyle w:val="20"/>
          <w:rFonts w:hint="eastAsia" w:ascii="黑体" w:eastAsia="黑体"/>
          <w:b w:val="0"/>
          <w:color w:val="auto"/>
          <w:highlight w:val="none"/>
          <w:lang w:eastAsia="zh-CN"/>
        </w:rPr>
        <w:t>一</w:t>
      </w:r>
      <w:r>
        <w:rPr>
          <w:rStyle w:val="20"/>
          <w:rFonts w:hint="eastAsia" w:ascii="黑体" w:eastAsia="黑体"/>
          <w:b w:val="0"/>
          <w:color w:val="auto"/>
          <w:highlight w:val="none"/>
        </w:rPr>
        <w:t>般公共预算财政拨款基本支出决算情况说明</w:t>
      </w:r>
      <w:bookmarkEnd w:id="46"/>
      <w:bookmarkEnd w:id="47"/>
      <w:bookmarkEnd w:id="48"/>
      <w:r>
        <w:rPr>
          <w:rStyle w:val="20"/>
          <w:rFonts w:hint="eastAsia" w:ascii="黑体" w:eastAsia="黑体"/>
          <w:b w:val="0"/>
          <w:color w:val="auto"/>
          <w:highlight w:val="none"/>
        </w:rPr>
        <w:tab/>
      </w:r>
    </w:p>
    <w:p>
      <w:pPr>
        <w:spacing w:line="600" w:lineRule="exact"/>
        <w:ind w:firstLine="645"/>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年一般公共预算财政拨款基本支出</w:t>
      </w:r>
      <w:r>
        <w:rPr>
          <w:rFonts w:hint="eastAsia" w:ascii="仿宋_GB2312" w:eastAsia="仿宋_GB2312" w:cs="仿宋_GB2312"/>
          <w:color w:val="auto"/>
          <w:sz w:val="32"/>
          <w:szCs w:val="32"/>
          <w:highlight w:val="none"/>
          <w:lang w:val="en-US" w:eastAsia="zh-CN"/>
        </w:rPr>
        <w:t>292.91</w:t>
      </w:r>
      <w:r>
        <w:rPr>
          <w:rFonts w:hint="eastAsia" w:ascii="仿宋_GB2312" w:eastAsia="仿宋_GB2312" w:cs="仿宋_GB2312"/>
          <w:color w:val="auto"/>
          <w:sz w:val="32"/>
          <w:szCs w:val="32"/>
          <w:highlight w:val="none"/>
        </w:rPr>
        <w:t>万元，其中：</w:t>
      </w:r>
    </w:p>
    <w:p>
      <w:pPr>
        <w:spacing w:line="600" w:lineRule="exact"/>
        <w:ind w:firstLine="645"/>
        <w:rPr>
          <w:rFonts w:hint="eastAsia" w:ascii="仿宋_GB2312" w:eastAsia="仿宋_GB2312" w:cs="仿宋_GB2312"/>
          <w:color w:val="000000"/>
          <w:sz w:val="32"/>
          <w:szCs w:val="32"/>
          <w:lang w:eastAsia="zh-CN"/>
        </w:rPr>
      </w:pPr>
      <w:r>
        <w:rPr>
          <w:rFonts w:hint="eastAsia" w:ascii="仿宋_GB2312" w:eastAsia="仿宋_GB2312" w:cs="仿宋_GB2312"/>
          <w:color w:val="auto"/>
          <w:sz w:val="32"/>
          <w:szCs w:val="32"/>
          <w:highlight w:val="none"/>
        </w:rPr>
        <w:t>人员经费</w:t>
      </w:r>
      <w:r>
        <w:rPr>
          <w:rFonts w:hint="eastAsia" w:ascii="仿宋_GB2312" w:eastAsia="仿宋_GB2312" w:cs="仿宋_GB2312"/>
          <w:color w:val="auto"/>
          <w:sz w:val="32"/>
          <w:szCs w:val="32"/>
          <w:highlight w:val="none"/>
          <w:lang w:val="en-US" w:eastAsia="zh-CN"/>
        </w:rPr>
        <w:t>275.26</w:t>
      </w:r>
      <w:r>
        <w:rPr>
          <w:rFonts w:hint="eastAsia" w:ascii="仿宋_GB2312" w:eastAsia="仿宋_GB2312" w:cs="仿宋_GB2312"/>
          <w:color w:val="auto"/>
          <w:sz w:val="32"/>
          <w:szCs w:val="32"/>
          <w:highlight w:val="none"/>
        </w:rPr>
        <w:t>万元，</w:t>
      </w:r>
      <w:r>
        <w:rPr>
          <w:rFonts w:hint="eastAsia" w:ascii="仿宋_GB2312" w:eastAsia="仿宋_GB2312" w:cs="仿宋_GB2312"/>
          <w:color w:val="000000"/>
          <w:sz w:val="32"/>
          <w:szCs w:val="32"/>
        </w:rPr>
        <w:t>主要包括：基本工资、津贴补贴、</w:t>
      </w:r>
      <w:r>
        <w:rPr>
          <w:rFonts w:hint="eastAsia" w:ascii="仿宋_GB2312" w:eastAsia="仿宋_GB2312" w:cs="仿宋_GB2312"/>
          <w:color w:val="000000"/>
          <w:sz w:val="32"/>
          <w:szCs w:val="32"/>
          <w:lang w:eastAsia="zh-CN"/>
        </w:rPr>
        <w:t>奖金、</w:t>
      </w:r>
      <w:r>
        <w:rPr>
          <w:rFonts w:hint="eastAsia" w:ascii="仿宋_GB2312" w:eastAsia="仿宋_GB2312" w:cs="仿宋_GB2312"/>
          <w:color w:val="000000"/>
          <w:sz w:val="32"/>
          <w:szCs w:val="32"/>
        </w:rPr>
        <w:t>绩效工资、机关事业单位基本养老保险缴费、</w:t>
      </w:r>
      <w:r>
        <w:rPr>
          <w:rFonts w:hint="eastAsia" w:ascii="仿宋_GB2312" w:eastAsia="仿宋_GB2312" w:cs="仿宋_GB2312"/>
          <w:color w:val="000000"/>
          <w:sz w:val="32"/>
          <w:szCs w:val="32"/>
          <w:lang w:eastAsia="zh-CN"/>
        </w:rPr>
        <w:t>职业年金缴费、</w:t>
      </w:r>
      <w:r>
        <w:rPr>
          <w:rFonts w:hint="eastAsia" w:ascii="仿宋_GB2312" w:eastAsia="仿宋_GB2312" w:cs="仿宋_GB2312"/>
          <w:color w:val="000000"/>
          <w:sz w:val="32"/>
          <w:szCs w:val="32"/>
        </w:rPr>
        <w:t>职工基本医疗保险缴费、其他社会保障缴费、住房公积金、其他工资福利支出、生活补助</w:t>
      </w:r>
      <w:r>
        <w:rPr>
          <w:rFonts w:hint="eastAsia" w:ascii="仿宋_GB2312" w:eastAsia="仿宋_GB2312" w:cs="仿宋_GB2312"/>
          <w:color w:val="000000"/>
          <w:sz w:val="32"/>
          <w:szCs w:val="32"/>
          <w:lang w:eastAsia="zh-CN"/>
        </w:rPr>
        <w:t>、医疗费补助、奖励金</w:t>
      </w:r>
      <w:r>
        <w:rPr>
          <w:rFonts w:hint="eastAsia" w:ascii="仿宋_GB2312" w:eastAsia="仿宋_GB2312" w:cs="仿宋_GB2312"/>
          <w:color w:val="000000"/>
          <w:sz w:val="32"/>
          <w:szCs w:val="32"/>
        </w:rPr>
        <w:t>等。</w:t>
      </w:r>
    </w:p>
    <w:p>
      <w:pPr>
        <w:spacing w:line="600" w:lineRule="exact"/>
        <w:ind w:firstLine="645"/>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auto"/>
          <w:sz w:val="32"/>
          <w:szCs w:val="32"/>
          <w:highlight w:val="none"/>
        </w:rPr>
        <w:t>公用经费</w:t>
      </w:r>
      <w:r>
        <w:rPr>
          <w:rFonts w:hint="eastAsia" w:ascii="仿宋_GB2312" w:eastAsia="仿宋_GB2312" w:cs="仿宋_GB2312"/>
          <w:color w:val="auto"/>
          <w:sz w:val="32"/>
          <w:szCs w:val="32"/>
          <w:highlight w:val="none"/>
          <w:lang w:val="en-US" w:eastAsia="zh-CN"/>
        </w:rPr>
        <w:t>17.65</w:t>
      </w:r>
      <w:r>
        <w:rPr>
          <w:rFonts w:hint="eastAsia" w:ascii="仿宋_GB2312" w:eastAsia="仿宋_GB2312" w:cs="仿宋_GB2312"/>
          <w:color w:val="auto"/>
          <w:sz w:val="32"/>
          <w:szCs w:val="32"/>
          <w:highlight w:val="none"/>
        </w:rPr>
        <w:t>万元，</w:t>
      </w:r>
      <w:r>
        <w:rPr>
          <w:rFonts w:hint="eastAsia" w:ascii="仿宋_GB2312" w:eastAsia="仿宋_GB2312" w:cs="仿宋_GB2312"/>
          <w:color w:val="000000"/>
          <w:sz w:val="32"/>
          <w:szCs w:val="32"/>
        </w:rPr>
        <w:t>主要包括：办公费、手续费、水费、差旅费、</w:t>
      </w:r>
      <w:r>
        <w:rPr>
          <w:rFonts w:hint="eastAsia" w:ascii="仿宋_GB2312" w:eastAsia="仿宋_GB2312" w:cs="仿宋_GB2312"/>
          <w:color w:val="000000"/>
          <w:sz w:val="32"/>
          <w:szCs w:val="32"/>
          <w:lang w:eastAsia="zh-CN"/>
        </w:rPr>
        <w:t>租赁费、会议费、</w:t>
      </w:r>
      <w:r>
        <w:rPr>
          <w:rFonts w:hint="eastAsia" w:ascii="仿宋_GB2312" w:eastAsia="仿宋_GB2312" w:cs="仿宋_GB2312"/>
          <w:color w:val="000000"/>
          <w:sz w:val="32"/>
          <w:szCs w:val="32"/>
        </w:rPr>
        <w:t>公务接待费、工会经费、福利费、其他商品和服务支出等。</w:t>
      </w:r>
    </w:p>
    <w:p>
      <w:pPr>
        <w:spacing w:line="600" w:lineRule="exact"/>
        <w:ind w:firstLine="640" w:firstLineChars="200"/>
        <w:outlineLvl w:val="1"/>
        <w:rPr>
          <w:rStyle w:val="20"/>
          <w:rFonts w:hint="eastAsia" w:ascii="黑体" w:eastAsia="黑体"/>
          <w:b w:val="0"/>
          <w:color w:val="auto"/>
          <w:highlight w:val="none"/>
        </w:rPr>
      </w:pPr>
      <w:bookmarkStart w:id="49" w:name="_Toc15396609"/>
      <w:bookmarkStart w:id="50" w:name="_Toc466352382_WPSOffice_Level2"/>
      <w:bookmarkStart w:id="51" w:name="_Toc15377215"/>
      <w:r>
        <w:rPr>
          <w:rStyle w:val="20"/>
          <w:rFonts w:hint="eastAsia" w:ascii="黑体" w:eastAsia="黑体"/>
          <w:b w:val="0"/>
          <w:color w:val="auto"/>
          <w:highlight w:val="none"/>
        </w:rPr>
        <w:t>七、“三公”经费财政拨款支出决算情况说明</w:t>
      </w:r>
      <w:bookmarkEnd w:id="49"/>
      <w:bookmarkEnd w:id="50"/>
      <w:bookmarkEnd w:id="51"/>
    </w:p>
    <w:p>
      <w:pPr>
        <w:spacing w:line="600" w:lineRule="exact"/>
        <w:ind w:firstLine="640"/>
        <w:outlineLvl w:val="2"/>
        <w:rPr>
          <w:rFonts w:hint="eastAsia" w:ascii="楷体_GB2312" w:eastAsia="楷体_GB2312" w:cs="楷体_GB2312"/>
          <w:b/>
          <w:color w:val="auto"/>
          <w:sz w:val="32"/>
          <w:szCs w:val="32"/>
          <w:highlight w:val="none"/>
        </w:rPr>
      </w:pPr>
      <w:bookmarkStart w:id="52" w:name="_Toc15377216"/>
      <w:r>
        <w:rPr>
          <w:rFonts w:hint="eastAsia" w:ascii="楷体_GB2312" w:eastAsia="楷体_GB2312" w:cs="楷体_GB2312"/>
          <w:b/>
          <w:color w:val="auto"/>
          <w:sz w:val="32"/>
          <w:szCs w:val="32"/>
          <w:highlight w:val="none"/>
        </w:rPr>
        <w:t>（一）“三公”经费财政拨款支出决算总体情况说明</w:t>
      </w:r>
      <w:bookmarkEnd w:id="52"/>
    </w:p>
    <w:p>
      <w:pPr>
        <w:spacing w:line="600" w:lineRule="exact"/>
        <w:ind w:firstLine="640"/>
        <w:rPr>
          <w:rFonts w:ascii="仿宋_GB2312" w:eastAsia="仿宋_GB2312" w:cs="仿宋_GB2312"/>
          <w:color w:val="000000"/>
          <w:sz w:val="32"/>
          <w:szCs w:val="32"/>
          <w:lang w:val="en-US" w:eastAsia="zh-CN"/>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年“三公”经费财政拨款支出决算为</w:t>
      </w:r>
      <w:r>
        <w:rPr>
          <w:rFonts w:hint="eastAsia" w:ascii="仿宋_GB2312" w:eastAsia="仿宋_GB2312" w:cs="仿宋_GB2312"/>
          <w:color w:val="auto"/>
          <w:sz w:val="32"/>
          <w:szCs w:val="32"/>
          <w:highlight w:val="none"/>
          <w:lang w:val="en-US" w:eastAsia="zh-CN"/>
        </w:rPr>
        <w:t>0.52</w:t>
      </w:r>
      <w:r>
        <w:rPr>
          <w:rFonts w:hint="eastAsia" w:ascii="仿宋_GB2312" w:eastAsia="仿宋_GB2312" w:cs="仿宋_GB2312"/>
          <w:color w:val="auto"/>
          <w:sz w:val="32"/>
          <w:szCs w:val="32"/>
          <w:highlight w:val="none"/>
        </w:rPr>
        <w:t>万元，完成预算</w:t>
      </w:r>
      <w:r>
        <w:rPr>
          <w:rFonts w:hint="eastAsia" w:ascii="仿宋_GB2312" w:eastAsia="仿宋_GB2312" w:cs="仿宋_GB2312"/>
          <w:color w:val="auto"/>
          <w:sz w:val="32"/>
          <w:szCs w:val="32"/>
          <w:highlight w:val="none"/>
          <w:lang w:val="en-US" w:eastAsia="zh-CN"/>
        </w:rPr>
        <w:t>52</w:t>
      </w:r>
      <w:r>
        <w:rPr>
          <w:rFonts w:hint="eastAsia" w:ascii="仿宋_GB2312" w:eastAsia="仿宋_GB2312" w:cs="仿宋_GB2312"/>
          <w:color w:val="auto"/>
          <w:sz w:val="32"/>
          <w:szCs w:val="32"/>
          <w:highlight w:val="none"/>
        </w:rPr>
        <w:t>%，决算数小于预算数的主要原因是</w:t>
      </w:r>
      <w:r>
        <w:rPr>
          <w:rFonts w:hint="eastAsia" w:ascii="仿宋_GB2312" w:eastAsia="仿宋_GB2312" w:cs="仿宋_GB2312"/>
          <w:color w:val="000000"/>
          <w:sz w:val="32"/>
          <w:szCs w:val="32"/>
        </w:rPr>
        <w:t>厉行节俭</w:t>
      </w:r>
      <w:r>
        <w:rPr>
          <w:rFonts w:hint="eastAsia" w:ascii="仿宋_GB2312" w:eastAsia="仿宋_GB2312" w:cs="仿宋_GB2312"/>
          <w:color w:val="000000"/>
          <w:sz w:val="32"/>
          <w:szCs w:val="32"/>
          <w:lang w:eastAsia="zh-CN"/>
        </w:rPr>
        <w:t>，压缩“三公”经费支出。</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年“三公”经费财政拨款支出决算</w:t>
      </w:r>
      <w:r>
        <w:rPr>
          <w:rFonts w:hint="eastAsia" w:ascii="仿宋_GB2312" w:eastAsia="仿宋_GB2312" w:cs="仿宋_GB2312"/>
          <w:color w:val="auto"/>
          <w:sz w:val="32"/>
          <w:szCs w:val="32"/>
          <w:highlight w:val="none"/>
          <w:lang w:eastAsia="zh-CN"/>
        </w:rPr>
        <w:t>较</w:t>
      </w:r>
      <w:r>
        <w:rPr>
          <w:rFonts w:hint="eastAsia" w:ascii="仿宋_GB2312" w:eastAsia="仿宋_GB2312" w:cs="仿宋_GB2312"/>
          <w:color w:val="auto"/>
          <w:sz w:val="32"/>
          <w:szCs w:val="32"/>
          <w:highlight w:val="none"/>
          <w:lang w:val="en-US" w:eastAsia="zh-CN"/>
        </w:rPr>
        <w:t>2020年增加0.39万元，增长300%，主要原因是2020年受疫情影响，外市州来我中心考察调研次数较少，2020年“三公”经费决算基数低。</w:t>
      </w:r>
    </w:p>
    <w:p>
      <w:pPr>
        <w:spacing w:line="600" w:lineRule="exact"/>
        <w:ind w:firstLine="643" w:firstLineChars="200"/>
        <w:outlineLvl w:val="2"/>
        <w:rPr>
          <w:rFonts w:hint="eastAsia" w:ascii="楷体_GB2312" w:eastAsia="楷体_GB2312" w:cs="楷体_GB2312"/>
          <w:b/>
          <w:color w:val="auto"/>
          <w:sz w:val="32"/>
          <w:szCs w:val="32"/>
          <w:highlight w:val="none"/>
        </w:rPr>
      </w:pPr>
      <w:bookmarkStart w:id="53" w:name="_Toc15377217"/>
      <w:r>
        <w:rPr>
          <w:rFonts w:hint="eastAsia" w:ascii="楷体_GB2312" w:eastAsia="楷体_GB2312" w:cs="楷体_GB2312"/>
          <w:b/>
          <w:color w:val="auto"/>
          <w:sz w:val="32"/>
          <w:szCs w:val="32"/>
          <w:highlight w:val="none"/>
        </w:rPr>
        <w:t>（二）“三公”经费财政拨款支出决算具体情况说明</w:t>
      </w:r>
      <w:bookmarkEnd w:id="53"/>
    </w:p>
    <w:p>
      <w:pPr>
        <w:spacing w:line="60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年“三公”经费财政拨款支出决算中，因公出国（境）费支出决算</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%；公务用车购置及运行维护费支出决算</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%；公务接待费支出决算</w:t>
      </w:r>
      <w:r>
        <w:rPr>
          <w:rFonts w:hint="eastAsia" w:ascii="仿宋_GB2312" w:eastAsia="仿宋_GB2312" w:cs="仿宋_GB2312"/>
          <w:color w:val="auto"/>
          <w:sz w:val="32"/>
          <w:szCs w:val="32"/>
          <w:highlight w:val="none"/>
          <w:lang w:val="en-US" w:eastAsia="zh-CN"/>
        </w:rPr>
        <w:t>0.52</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100</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sz w:val="32"/>
          <w:szCs w:val="32"/>
        </w:rPr>
        <w:t>主要用于执行公务、开展业务活动开支的用餐费。国内公务接待</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62</w:t>
      </w:r>
      <w:r>
        <w:rPr>
          <w:rFonts w:hint="eastAsia" w:ascii="仿宋_GB2312" w:eastAsia="仿宋_GB2312" w:cs="仿宋_GB2312"/>
          <w:sz w:val="32"/>
          <w:szCs w:val="32"/>
        </w:rPr>
        <w:t>人次（不包括陪同人员）</w:t>
      </w:r>
      <w:r>
        <w:rPr>
          <w:rFonts w:hint="eastAsia" w:ascii="仿宋_GB2312" w:eastAsia="仿宋_GB2312" w:cs="仿宋_GB2312"/>
          <w:sz w:val="32"/>
          <w:szCs w:val="32"/>
          <w:lang w:eastAsia="zh-CN"/>
        </w:rPr>
        <w:t>。</w:t>
      </w:r>
      <w:r>
        <w:rPr>
          <w:rFonts w:hint="eastAsia" w:ascii="仿宋_GB2312" w:eastAsia="仿宋_GB2312" w:cs="仿宋_GB2312"/>
          <w:color w:val="auto"/>
          <w:sz w:val="32"/>
          <w:szCs w:val="32"/>
          <w:highlight w:val="none"/>
        </w:rPr>
        <w:t>具体情况如下：</w:t>
      </w:r>
    </w:p>
    <w:p>
      <w:pPr>
        <w:pStyle w:val="2"/>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drawing>
          <wp:inline distT="0" distB="0" distL="114300" distR="114300">
            <wp:extent cx="5079365" cy="3810000"/>
            <wp:effectExtent l="0" t="0" r="0" b="0"/>
            <wp:docPr id="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321" w:firstLineChars="100"/>
        <w:rPr>
          <w:rFonts w:hint="eastAsia" w:ascii="楷体_GB2312" w:eastAsia="楷体_GB2312" w:cs="楷体_GB2312"/>
          <w:b/>
          <w:bCs/>
          <w:color w:val="auto"/>
          <w:sz w:val="32"/>
          <w:szCs w:val="32"/>
          <w:highlight w:val="none"/>
        </w:rPr>
      </w:pPr>
      <w:r>
        <w:rPr>
          <w:rFonts w:hint="eastAsia" w:ascii="楷体_GB2312" w:eastAsia="楷体_GB2312" w:cs="楷体_GB2312"/>
          <w:b/>
          <w:bCs/>
          <w:color w:val="auto"/>
          <w:sz w:val="32"/>
          <w:szCs w:val="32"/>
          <w:highlight w:val="none"/>
        </w:rPr>
        <w:t>（图7：“三公”经费财政拨款支出结构）（饼状图）</w:t>
      </w:r>
    </w:p>
    <w:p>
      <w:pPr>
        <w:spacing w:line="600" w:lineRule="exact"/>
        <w:ind w:firstLine="640"/>
        <w:rPr>
          <w:rFonts w:hint="eastAsia" w:ascii="仿宋" w:hAnsi="仿宋" w:eastAsia="仿宋_GB2312"/>
          <w:color w:val="000000"/>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本年未安排因公出国（境）预算，支出决算数与上年相比无变化。</w:t>
      </w:r>
    </w:p>
    <w:p>
      <w:pPr>
        <w:spacing w:line="600" w:lineRule="exact"/>
        <w:ind w:firstLine="640"/>
        <w:rPr>
          <w:rFonts w:hint="eastAsia" w:ascii="仿宋_GB2312" w:eastAsia="仿宋_GB2312" w:cs="仿宋_GB2312"/>
          <w:b/>
          <w:color w:val="000000"/>
          <w:sz w:val="32"/>
          <w:szCs w:val="32"/>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eastAsia="仿宋"/>
          <w:b w:val="0"/>
          <w:bCs/>
          <w:color w:val="auto"/>
          <w:sz w:val="32"/>
          <w:szCs w:val="32"/>
          <w:highlight w:val="none"/>
          <w:lang w:eastAsia="zh-CN"/>
        </w:rPr>
        <w:t>本年未安排公务用车购置及运行维护费预算，</w:t>
      </w:r>
      <w:r>
        <w:rPr>
          <w:rFonts w:hint="eastAsia" w:ascii="仿宋_GB2312" w:eastAsia="仿宋_GB2312"/>
          <w:color w:val="auto"/>
          <w:sz w:val="32"/>
          <w:szCs w:val="32"/>
          <w:highlight w:val="none"/>
          <w:lang w:eastAsia="zh-CN"/>
        </w:rPr>
        <w:t>支出决算数与上年相比无变化。</w:t>
      </w:r>
      <w:r>
        <w:rPr>
          <w:rFonts w:hint="eastAsia" w:ascii="仿宋" w:eastAsia="仿宋"/>
          <w:color w:val="000000"/>
          <w:sz w:val="32"/>
          <w:szCs w:val="32"/>
          <w:lang w:eastAsia="zh-CN"/>
        </w:rPr>
        <w:t>本年无公务用车购置</w:t>
      </w:r>
      <w:r>
        <w:rPr>
          <w:rFonts w:hint="eastAsia" w:ascii="仿宋_GB2312" w:eastAsia="仿宋_GB2312" w:cs="仿宋_GB2312"/>
          <w:color w:val="000000"/>
          <w:sz w:val="32"/>
          <w:szCs w:val="32"/>
          <w:lang w:val="en-US" w:eastAsia="zh-CN"/>
        </w:rPr>
        <w:t>，截至2021年12月底单位保有公务用车0辆。</w:t>
      </w:r>
    </w:p>
    <w:p>
      <w:pPr>
        <w:spacing w:line="60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b/>
          <w:color w:val="auto"/>
          <w:sz w:val="32"/>
          <w:szCs w:val="32"/>
          <w:highlight w:val="none"/>
        </w:rPr>
        <w:t>3.公务接待费支出</w:t>
      </w:r>
      <w:r>
        <w:rPr>
          <w:rFonts w:hint="eastAsia" w:ascii="仿宋_GB2312" w:eastAsia="仿宋_GB2312" w:cs="仿宋_GB2312"/>
          <w:color w:val="auto"/>
          <w:sz w:val="32"/>
          <w:szCs w:val="32"/>
          <w:highlight w:val="none"/>
          <w:lang w:val="en-US" w:eastAsia="zh-CN"/>
        </w:rPr>
        <w:t>0.52</w:t>
      </w:r>
      <w:r>
        <w:rPr>
          <w:rFonts w:hint="eastAsia" w:ascii="仿宋_GB2312" w:eastAsia="仿宋_GB2312" w:cs="仿宋_GB2312"/>
          <w:color w:val="auto"/>
          <w:sz w:val="32"/>
          <w:szCs w:val="32"/>
          <w:highlight w:val="none"/>
        </w:rPr>
        <w:t>万元，</w:t>
      </w:r>
      <w:r>
        <w:rPr>
          <w:rStyle w:val="17"/>
          <w:rFonts w:hint="eastAsia" w:ascii="仿宋_GB2312" w:eastAsia="仿宋_GB2312" w:cs="仿宋_GB2312"/>
          <w:b w:val="0"/>
          <w:bCs/>
          <w:color w:val="auto"/>
          <w:sz w:val="32"/>
          <w:szCs w:val="32"/>
          <w:highlight w:val="none"/>
        </w:rPr>
        <w:t>完成预算</w:t>
      </w:r>
      <w:r>
        <w:rPr>
          <w:rStyle w:val="17"/>
          <w:rFonts w:hint="eastAsia" w:ascii="仿宋_GB2312" w:eastAsia="仿宋_GB2312" w:cs="仿宋_GB2312"/>
          <w:b w:val="0"/>
          <w:bCs/>
          <w:color w:val="auto"/>
          <w:sz w:val="32"/>
          <w:szCs w:val="32"/>
          <w:highlight w:val="none"/>
          <w:lang w:val="en-US" w:eastAsia="zh-CN"/>
        </w:rPr>
        <w:t>52</w:t>
      </w:r>
      <w:r>
        <w:rPr>
          <w:rStyle w:val="17"/>
          <w:rFonts w:hint="eastAsia" w:ascii="仿宋_GB2312" w:eastAsia="仿宋_GB2312" w:cs="仿宋_GB2312"/>
          <w:b w:val="0"/>
          <w:bCs/>
          <w:color w:val="auto"/>
          <w:sz w:val="32"/>
          <w:szCs w:val="32"/>
          <w:highlight w:val="none"/>
        </w:rPr>
        <w:t>%。</w:t>
      </w:r>
      <w:r>
        <w:rPr>
          <w:rFonts w:hint="eastAsia" w:ascii="仿宋_GB2312" w:eastAsia="仿宋_GB2312" w:cs="仿宋_GB2312"/>
          <w:color w:val="auto"/>
          <w:sz w:val="32"/>
          <w:szCs w:val="32"/>
          <w:highlight w:val="none"/>
        </w:rPr>
        <w:t>公务接待费支出决算比20</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年增加</w:t>
      </w:r>
      <w:r>
        <w:rPr>
          <w:rFonts w:hint="eastAsia" w:ascii="仿宋_GB2312" w:eastAsia="仿宋_GB2312" w:cs="仿宋_GB2312"/>
          <w:color w:val="auto"/>
          <w:sz w:val="32"/>
          <w:szCs w:val="32"/>
          <w:highlight w:val="none"/>
          <w:lang w:val="en-US" w:eastAsia="zh-CN"/>
        </w:rPr>
        <w:t>0.39</w:t>
      </w:r>
      <w:r>
        <w:rPr>
          <w:rFonts w:hint="eastAsia" w:ascii="仿宋_GB2312" w:eastAsia="仿宋_GB2312" w:cs="仿宋_GB2312"/>
          <w:color w:val="auto"/>
          <w:sz w:val="32"/>
          <w:szCs w:val="32"/>
          <w:highlight w:val="none"/>
        </w:rPr>
        <w:t>万元，增长</w:t>
      </w:r>
      <w:r>
        <w:rPr>
          <w:rFonts w:hint="eastAsia" w:ascii="仿宋_GB2312" w:eastAsia="仿宋_GB2312" w:cs="仿宋_GB2312"/>
          <w:color w:val="auto"/>
          <w:sz w:val="32"/>
          <w:szCs w:val="32"/>
          <w:highlight w:val="none"/>
          <w:lang w:val="en-US" w:eastAsia="zh-CN"/>
        </w:rPr>
        <w:t>300</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主要原因是2020年受疫情影响，外市州来我中心考察调研次数较少，2020年“三公”经费决算基数低。</w:t>
      </w:r>
      <w:r>
        <w:rPr>
          <w:rFonts w:hint="eastAsia" w:ascii="仿宋_GB2312" w:eastAsia="仿宋_GB2312" w:cs="仿宋_GB2312"/>
          <w:color w:val="auto"/>
          <w:sz w:val="32"/>
          <w:szCs w:val="32"/>
          <w:highlight w:val="none"/>
        </w:rPr>
        <w:t>其中：</w:t>
      </w:r>
      <w:bookmarkStart w:id="54" w:name="_Toc15377218"/>
      <w:bookmarkStart w:id="55" w:name="_Toc15396610"/>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b/>
          <w:bCs/>
          <w:sz w:val="32"/>
          <w:szCs w:val="32"/>
        </w:rPr>
        <w:t>国内公务接待</w:t>
      </w:r>
      <w:r>
        <w:rPr>
          <w:rFonts w:hint="eastAsia" w:ascii="仿宋_GB2312" w:eastAsia="仿宋_GB2312" w:cs="仿宋_GB2312"/>
          <w:sz w:val="32"/>
          <w:szCs w:val="32"/>
        </w:rPr>
        <w:t>支出</w:t>
      </w:r>
      <w:r>
        <w:rPr>
          <w:rFonts w:hint="eastAsia" w:ascii="仿宋_GB2312" w:eastAsia="仿宋_GB2312" w:cs="仿宋_GB2312"/>
          <w:sz w:val="32"/>
          <w:szCs w:val="32"/>
          <w:lang w:val="en-US" w:eastAsia="zh-CN"/>
        </w:rPr>
        <w:t>0.52</w:t>
      </w:r>
      <w:r>
        <w:rPr>
          <w:rFonts w:hint="eastAsia" w:ascii="仿宋_GB2312" w:eastAsia="仿宋_GB2312" w:cs="仿宋_GB2312"/>
          <w:sz w:val="32"/>
          <w:szCs w:val="32"/>
        </w:rPr>
        <w:t>万元，主要用于执行公务、开展业务活动开支的用餐费。国内公务接待</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62</w:t>
      </w:r>
      <w:r>
        <w:rPr>
          <w:rFonts w:hint="eastAsia" w:ascii="仿宋_GB2312" w:eastAsia="仿宋_GB2312" w:cs="仿宋_GB2312"/>
          <w:sz w:val="32"/>
          <w:szCs w:val="32"/>
        </w:rPr>
        <w:t>人次（不包括陪同人员），共计支出</w:t>
      </w:r>
      <w:r>
        <w:rPr>
          <w:rFonts w:hint="eastAsia" w:ascii="仿宋_GB2312" w:eastAsia="仿宋_GB2312" w:cs="仿宋_GB2312"/>
          <w:sz w:val="32"/>
          <w:szCs w:val="32"/>
          <w:lang w:val="en-US" w:eastAsia="zh-CN"/>
        </w:rPr>
        <w:t>0.52</w:t>
      </w:r>
      <w:r>
        <w:rPr>
          <w:rFonts w:hint="eastAsia" w:ascii="仿宋_GB2312" w:eastAsia="仿宋_GB2312" w:cs="仿宋_GB2312"/>
          <w:sz w:val="32"/>
          <w:szCs w:val="32"/>
        </w:rPr>
        <w:t>万元</w:t>
      </w:r>
      <w:r>
        <w:rPr>
          <w:rFonts w:hint="eastAsia" w:ascii="仿宋_GB2312" w:eastAsia="仿宋_GB2312" w:cs="仿宋_GB2312"/>
          <w:color w:val="000000"/>
          <w:sz w:val="32"/>
          <w:szCs w:val="32"/>
        </w:rPr>
        <w:t>。</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外事接待</w:t>
      </w:r>
      <w:r>
        <w:rPr>
          <w:rFonts w:hint="eastAsia" w:ascii="仿宋_GB2312" w:eastAsia="仿宋_GB2312" w:cs="仿宋_GB2312"/>
          <w:color w:val="000000"/>
          <w:sz w:val="32"/>
          <w:szCs w:val="32"/>
        </w:rPr>
        <w:t>支出0万元。</w:t>
      </w:r>
    </w:p>
    <w:p>
      <w:pPr>
        <w:spacing w:line="600" w:lineRule="exact"/>
        <w:ind w:firstLine="640" w:firstLineChars="200"/>
        <w:outlineLvl w:val="1"/>
        <w:rPr>
          <w:rStyle w:val="20"/>
          <w:rFonts w:ascii="黑体" w:eastAsia="黑体"/>
          <w:color w:val="auto"/>
          <w:highlight w:val="none"/>
        </w:rPr>
      </w:pPr>
      <w:bookmarkStart w:id="56" w:name="_Toc1037106583_WPSOffice_Level2"/>
      <w:r>
        <w:rPr>
          <w:rFonts w:hint="eastAsia" w:ascii="黑体" w:eastAsia="黑体"/>
          <w:color w:val="auto"/>
          <w:sz w:val="32"/>
          <w:szCs w:val="32"/>
          <w:highlight w:val="none"/>
        </w:rPr>
        <w:t>八、</w:t>
      </w:r>
      <w:r>
        <w:rPr>
          <w:rStyle w:val="20"/>
          <w:rFonts w:hint="eastAsia" w:ascii="黑体" w:eastAsia="黑体"/>
          <w:b w:val="0"/>
          <w:color w:val="auto"/>
          <w:highlight w:val="none"/>
        </w:rPr>
        <w:t>政府性基金预算支出决算情况说明</w:t>
      </w:r>
      <w:bookmarkEnd w:id="54"/>
      <w:bookmarkEnd w:id="55"/>
      <w:bookmarkEnd w:id="56"/>
    </w:p>
    <w:p>
      <w:pPr>
        <w:spacing w:line="600" w:lineRule="exact"/>
        <w:ind w:firstLine="640"/>
        <w:rPr>
          <w:rFonts w:hint="eastAsia" w:ascii="仿宋_GB2312" w:eastAsia="仿宋_GB2312" w:cs="仿宋_GB2312"/>
          <w:sz w:val="32"/>
          <w:szCs w:val="32"/>
        </w:rPr>
      </w:pPr>
      <w:r>
        <w:rPr>
          <w:rFonts w:hint="eastAsia" w:ascii="仿宋_GB2312" w:eastAsia="仿宋_GB2312" w:cs="仿宋_GB2312"/>
          <w:sz w:val="32"/>
          <w:szCs w:val="32"/>
          <w:lang w:val="en-US" w:eastAsia="zh-CN"/>
        </w:rPr>
        <w:t>2021年政府性基金预算财政拨款支出0万元，未在政府性基金预算支出拨款安排“三公经费”支出。</w:t>
      </w:r>
    </w:p>
    <w:p>
      <w:pPr>
        <w:numPr>
          <w:ilvl w:val="0"/>
          <w:numId w:val="1"/>
        </w:numPr>
        <w:spacing w:line="600" w:lineRule="exact"/>
        <w:ind w:left="0" w:firstLine="640"/>
        <w:outlineLvl w:val="1"/>
        <w:rPr>
          <w:rStyle w:val="20"/>
          <w:rFonts w:ascii="黑体" w:eastAsia="黑体"/>
          <w:b w:val="0"/>
          <w:color w:val="auto"/>
          <w:highlight w:val="none"/>
        </w:rPr>
      </w:pPr>
      <w:bookmarkStart w:id="57" w:name="_Toc15377219"/>
      <w:bookmarkStart w:id="58" w:name="_Toc1338872083_WPSOffice_Level2"/>
      <w:bookmarkStart w:id="59" w:name="_Toc15396611"/>
      <w:r>
        <w:rPr>
          <w:rStyle w:val="20"/>
          <w:rFonts w:hint="eastAsia" w:ascii="黑体" w:eastAsia="黑体"/>
          <w:b w:val="0"/>
          <w:color w:val="auto"/>
          <w:highlight w:val="none"/>
        </w:rPr>
        <w:t>国有资本经营预算支出决算情况说明</w:t>
      </w:r>
      <w:bookmarkEnd w:id="57"/>
      <w:bookmarkEnd w:id="58"/>
      <w:bookmarkEnd w:id="59"/>
    </w:p>
    <w:p>
      <w:pPr>
        <w:spacing w:line="600" w:lineRule="exact"/>
        <w:ind w:firstLine="64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2021年国有资本经营预算财政拨款支出0万元。</w:t>
      </w:r>
      <w:bookmarkStart w:id="60" w:name="_Toc15396612"/>
      <w:bookmarkStart w:id="61" w:name="_Toc15377221"/>
    </w:p>
    <w:p>
      <w:pPr>
        <w:numPr>
          <w:ilvl w:val="0"/>
          <w:numId w:val="1"/>
        </w:numPr>
        <w:spacing w:line="600" w:lineRule="exact"/>
        <w:ind w:left="0" w:firstLine="640"/>
        <w:outlineLvl w:val="1"/>
        <w:rPr>
          <w:rStyle w:val="20"/>
          <w:rFonts w:hint="eastAsia" w:ascii="黑体" w:eastAsia="黑体"/>
          <w:b w:val="0"/>
          <w:color w:val="auto"/>
          <w:highlight w:val="none"/>
        </w:rPr>
      </w:pPr>
      <w:bookmarkStart w:id="62" w:name="_Toc1089675440_WPSOffice_Level2"/>
      <w:r>
        <w:rPr>
          <w:rStyle w:val="20"/>
          <w:rFonts w:hint="eastAsia" w:ascii="黑体" w:eastAsia="黑体"/>
          <w:b w:val="0"/>
          <w:color w:val="auto"/>
          <w:highlight w:val="none"/>
          <w:lang w:val="en-US" w:eastAsia="zh-CN"/>
        </w:rPr>
        <w:t>预算绩效管理情况</w:t>
      </w:r>
      <w:bookmarkEnd w:id="62"/>
    </w:p>
    <w:p>
      <w:pPr>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auto"/>
          <w:sz w:val="32"/>
          <w:szCs w:val="32"/>
          <w:highlight w:val="none"/>
        </w:rPr>
        <w:t>根据预算绩效管理要求，本单位在</w:t>
      </w:r>
      <w:r>
        <w:rPr>
          <w:rFonts w:hint="eastAsia" w:ascii="仿宋_GB2312" w:eastAsia="仿宋_GB2312" w:cs="仿宋_GB2312"/>
          <w:color w:val="auto"/>
          <w:sz w:val="32"/>
          <w:szCs w:val="32"/>
          <w:highlight w:val="none"/>
          <w:lang w:val="en-US" w:eastAsia="zh-CN"/>
        </w:rPr>
        <w:t>2021年度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eastAsia="zh-CN"/>
        </w:rPr>
        <w:t>土地出让工作经费等</w:t>
      </w:r>
      <w:r>
        <w:rPr>
          <w:rFonts w:hint="eastAsia" w:ascii="仿宋_GB2312" w:eastAsia="仿宋_GB2312" w:cs="仿宋_GB2312"/>
          <w:color w:val="auto"/>
          <w:sz w:val="32"/>
          <w:szCs w:val="32"/>
          <w:highlight w:val="none"/>
          <w:lang w:val="en-US" w:eastAsia="zh-CN"/>
        </w:rPr>
        <w:t>3个项目</w:t>
      </w:r>
      <w:r>
        <w:rPr>
          <w:rFonts w:hint="eastAsia" w:ascii="仿宋_GB2312" w:eastAsia="仿宋_GB2312" w:cs="仿宋_GB2312"/>
          <w:color w:val="auto"/>
          <w:sz w:val="32"/>
          <w:szCs w:val="32"/>
          <w:highlight w:val="none"/>
        </w:rPr>
        <w:t>开展了预算事前绩效评估，对</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个项目开展绩效监控，年终执行完毕后，对</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个项目开展了绩效自评</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2021年部门预算项目绩效目标自评表见附件（第四部分）。</w:t>
      </w:r>
    </w:p>
    <w:p>
      <w:pPr>
        <w:numPr>
          <w:ilvl w:val="0"/>
          <w:numId w:val="1"/>
        </w:numPr>
        <w:spacing w:line="600" w:lineRule="exact"/>
        <w:ind w:left="0" w:firstLine="640"/>
        <w:outlineLvl w:val="1"/>
        <w:rPr>
          <w:rStyle w:val="20"/>
          <w:rFonts w:hint="eastAsia" w:ascii="黑体" w:eastAsia="黑体"/>
          <w:b w:val="0"/>
          <w:color w:val="auto"/>
          <w:highlight w:val="none"/>
        </w:rPr>
      </w:pPr>
      <w:bookmarkStart w:id="63" w:name="_Toc605402415_WPSOffice_Level2"/>
      <w:r>
        <w:rPr>
          <w:rStyle w:val="20"/>
          <w:rFonts w:hint="eastAsia" w:ascii="黑体" w:eastAsia="黑体"/>
          <w:b w:val="0"/>
          <w:color w:val="auto"/>
          <w:highlight w:val="none"/>
        </w:rPr>
        <w:t>其他重要事项的情况说明</w:t>
      </w:r>
      <w:bookmarkEnd w:id="60"/>
      <w:bookmarkEnd w:id="61"/>
      <w:bookmarkEnd w:id="63"/>
    </w:p>
    <w:p>
      <w:pPr>
        <w:spacing w:line="600" w:lineRule="exact"/>
        <w:ind w:firstLine="643" w:firstLineChars="200"/>
        <w:outlineLvl w:val="2"/>
        <w:rPr>
          <w:rFonts w:ascii="仿宋" w:eastAsia="仿宋"/>
          <w:color w:val="000000"/>
          <w:sz w:val="32"/>
          <w:szCs w:val="32"/>
        </w:rPr>
      </w:pPr>
      <w:r>
        <w:rPr>
          <w:rFonts w:hint="eastAsia" w:ascii="楷体_GB2312" w:eastAsia="楷体_GB2312" w:cs="楷体_GB2312"/>
          <w:b/>
          <w:color w:val="000000"/>
          <w:sz w:val="32"/>
          <w:szCs w:val="32"/>
        </w:rPr>
        <w:t>（一）机关运行经费支出情况</w:t>
      </w:r>
      <w:r>
        <w:rPr>
          <w:rFonts w:hint="eastAsia" w:ascii="楷体_GB2312" w:eastAsia="楷体_GB2312" w:cs="楷体_GB2312"/>
          <w:b/>
          <w:color w:val="000000"/>
          <w:sz w:val="32"/>
          <w:szCs w:val="32"/>
          <w:lang w:val="en-US" w:eastAsia="zh-CN"/>
        </w:rPr>
        <w:t>.</w:t>
      </w:r>
      <w:r>
        <w:rPr>
          <w:rFonts w:hint="eastAsia" w:ascii="仿宋_GB2312" w:eastAsia="仿宋_GB2312" w:cs="仿宋_GB2312"/>
          <w:color w:val="000000"/>
          <w:sz w:val="32"/>
          <w:szCs w:val="32"/>
        </w:rPr>
        <w:t>广元市公共资源交易信息中心为公益一类事业单位，无机关运行经费。</w:t>
      </w:r>
    </w:p>
    <w:p>
      <w:pPr>
        <w:spacing w:line="600" w:lineRule="exact"/>
        <w:ind w:firstLine="643" w:firstLineChars="200"/>
        <w:outlineLvl w:val="2"/>
        <w:rPr>
          <w:rFonts w:hint="eastAsia" w:ascii="楷体_GB2312" w:eastAsia="楷体_GB2312" w:cs="楷体_GB2312"/>
          <w:b/>
          <w:color w:val="000000"/>
          <w:sz w:val="32"/>
          <w:szCs w:val="32"/>
        </w:rPr>
      </w:pPr>
      <w:bookmarkStart w:id="64" w:name="_Toc15377223"/>
      <w:r>
        <w:rPr>
          <w:rFonts w:hint="eastAsia" w:ascii="楷体_GB2312" w:eastAsia="楷体_GB2312" w:cs="楷体_GB2312"/>
          <w:b/>
          <w:color w:val="000000"/>
          <w:sz w:val="32"/>
          <w:szCs w:val="32"/>
        </w:rPr>
        <w:t>（二）政府采购支出情况</w:t>
      </w:r>
      <w:bookmarkEnd w:id="64"/>
    </w:p>
    <w:p>
      <w:pPr>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年，广元市公共资源交易信息中心支出总额0万元。</w:t>
      </w:r>
    </w:p>
    <w:p>
      <w:pPr>
        <w:spacing w:line="600" w:lineRule="exact"/>
        <w:ind w:firstLine="643" w:firstLineChars="200"/>
        <w:outlineLvl w:val="2"/>
        <w:rPr>
          <w:rFonts w:hint="eastAsia" w:ascii="楷体_GB2312" w:eastAsia="楷体_GB2312" w:cs="楷体_GB2312"/>
          <w:b/>
          <w:color w:val="000000"/>
          <w:sz w:val="32"/>
          <w:szCs w:val="32"/>
        </w:rPr>
      </w:pPr>
      <w:bookmarkStart w:id="65" w:name="_Toc15377224"/>
      <w:r>
        <w:rPr>
          <w:rFonts w:hint="eastAsia" w:ascii="楷体_GB2312" w:eastAsia="楷体_GB2312" w:cs="楷体_GB2312"/>
          <w:b/>
          <w:color w:val="000000"/>
          <w:sz w:val="32"/>
          <w:szCs w:val="32"/>
        </w:rPr>
        <w:t>（三）国有资产占有使用情况</w:t>
      </w:r>
      <w:bookmarkEnd w:id="65"/>
    </w:p>
    <w:p>
      <w:pPr>
        <w:spacing w:line="580" w:lineRule="exact"/>
        <w:ind w:firstLine="504" w:firstLineChars="200"/>
        <w:rPr>
          <w:rFonts w:hint="eastAsia" w:ascii="仿宋_GB2312" w:eastAsia="仿宋_GB2312" w:cs="仿宋_GB2312"/>
          <w:color w:val="000000"/>
          <w:spacing w:val="-2"/>
          <w:w w:val="80"/>
          <w:sz w:val="32"/>
          <w:szCs w:val="32"/>
        </w:rPr>
      </w:pPr>
      <w:r>
        <w:rPr>
          <w:rFonts w:hint="eastAsia" w:ascii="仿宋_GB2312" w:eastAsia="仿宋_GB2312" w:cs="仿宋_GB2312"/>
          <w:color w:val="000000"/>
          <w:spacing w:val="-2"/>
          <w:w w:val="80"/>
          <w:sz w:val="32"/>
          <w:szCs w:val="32"/>
        </w:rPr>
        <w:t>截至202</w:t>
      </w:r>
      <w:r>
        <w:rPr>
          <w:rFonts w:hint="eastAsia" w:ascii="仿宋_GB2312" w:eastAsia="仿宋_GB2312" w:cs="仿宋_GB2312"/>
          <w:color w:val="000000"/>
          <w:spacing w:val="-2"/>
          <w:w w:val="80"/>
          <w:sz w:val="32"/>
          <w:szCs w:val="32"/>
          <w:lang w:val="en-US" w:eastAsia="zh-CN"/>
        </w:rPr>
        <w:t>1</w:t>
      </w:r>
      <w:r>
        <w:rPr>
          <w:rFonts w:hint="eastAsia" w:ascii="仿宋_GB2312" w:eastAsia="仿宋_GB2312" w:cs="仿宋_GB2312"/>
          <w:color w:val="000000"/>
          <w:spacing w:val="-2"/>
          <w:w w:val="80"/>
          <w:sz w:val="32"/>
          <w:szCs w:val="32"/>
        </w:rPr>
        <w:t>年12月31日，广元市公共资源交易信息中心共有车辆0辆。单价50万元以上通用设备</w:t>
      </w:r>
      <w:r>
        <w:rPr>
          <w:rFonts w:hint="eastAsia" w:ascii="仿宋_GB2312" w:eastAsia="仿宋_GB2312" w:cs="仿宋_GB2312"/>
          <w:color w:val="000000"/>
          <w:spacing w:val="-2"/>
          <w:w w:val="80"/>
          <w:sz w:val="32"/>
          <w:szCs w:val="32"/>
          <w:lang w:val="en-US" w:eastAsia="zh-CN"/>
        </w:rPr>
        <w:t>1</w:t>
      </w:r>
      <w:r>
        <w:rPr>
          <w:rFonts w:hint="eastAsia" w:ascii="仿宋_GB2312" w:eastAsia="仿宋_GB2312" w:cs="仿宋_GB2312"/>
          <w:color w:val="000000"/>
          <w:spacing w:val="-2"/>
          <w:w w:val="80"/>
          <w:sz w:val="32"/>
          <w:szCs w:val="32"/>
        </w:rPr>
        <w:t>套，单价100万元以上专用设备0台（套）。</w:t>
      </w:r>
    </w:p>
    <w:p>
      <w:pPr>
        <w:widowControl/>
        <w:jc w:val="left"/>
        <w:rPr>
          <w:rFonts w:ascii="仿宋_GB2312" w:eastAsia="仿宋_GB2312"/>
          <w:b/>
          <w:color w:val="auto"/>
          <w:spacing w:val="-2"/>
          <w:w w:val="80"/>
          <w:sz w:val="32"/>
          <w:szCs w:val="32"/>
          <w:highlight w:val="none"/>
          <w14:textFill>
            <w14:gradFill>
              <w14:gsLst>
                <w14:gs w14:pos="0">
                  <w14:srgbClr w14:val="FE4444"/>
                </w14:gs>
                <w14:gs w14:pos="100000">
                  <w14:srgbClr w14:val="832B2B"/>
                </w14:gs>
              </w14:gsLst>
              <w14:lin w14:scaled="0"/>
            </w14:gradFill>
          </w14:textFill>
        </w:rPr>
      </w:pPr>
      <w:r>
        <w:rPr>
          <w:rFonts w:ascii="仿宋_GB2312" w:eastAsia="仿宋_GB2312"/>
          <w:b/>
          <w:color w:val="auto"/>
          <w:spacing w:val="-2"/>
          <w:w w:val="80"/>
          <w:sz w:val="32"/>
          <w:szCs w:val="32"/>
          <w:highlight w:val="none"/>
          <w14:textFill>
            <w14:gradFill>
              <w14:gsLst>
                <w14:gs w14:pos="0">
                  <w14:srgbClr w14:val="FE4444"/>
                </w14:gs>
                <w14:gs w14:pos="100000">
                  <w14:srgbClr w14:val="832B2B"/>
                </w14:gs>
              </w14:gsLst>
              <w14:lin w14:scaled="0"/>
            </w14:gradFill>
          </w14:textFill>
        </w:rPr>
        <w:br w:type="page"/>
      </w:r>
    </w:p>
    <w:p>
      <w:pPr>
        <w:numPr>
          <w:ilvl w:val="0"/>
          <w:numId w:val="2"/>
        </w:numPr>
        <w:spacing w:line="600" w:lineRule="exact"/>
        <w:ind w:left="0" w:firstLine="480" w:firstLineChars="150"/>
        <w:jc w:val="center"/>
        <w:outlineLvl w:val="0"/>
        <w:rPr>
          <w:rFonts w:ascii="宋体"/>
          <w:b/>
          <w:color w:val="auto"/>
          <w:sz w:val="32"/>
          <w:szCs w:val="32"/>
          <w:highlight w:val="none"/>
        </w:rPr>
      </w:pPr>
      <w:bookmarkStart w:id="66" w:name="_Toc15377225"/>
      <w:bookmarkStart w:id="67" w:name="_Toc15396613"/>
      <w:bookmarkStart w:id="68" w:name="_Toc1218320437_WPSOffice_Level1"/>
      <w:r>
        <w:rPr>
          <w:rFonts w:hint="eastAsia" w:ascii="黑体" w:eastAsia="黑体"/>
          <w:color w:val="auto"/>
          <w:sz w:val="32"/>
          <w:szCs w:val="32"/>
          <w:highlight w:val="none"/>
        </w:rPr>
        <w:t>名</w:t>
      </w:r>
      <w:r>
        <w:rPr>
          <w:rStyle w:val="19"/>
          <w:rFonts w:hint="eastAsia" w:ascii="黑体" w:eastAsia="黑体"/>
          <w:b w:val="0"/>
          <w:color w:val="auto"/>
          <w:sz w:val="32"/>
          <w:szCs w:val="32"/>
          <w:highlight w:val="none"/>
        </w:rPr>
        <w:t>词解释</w:t>
      </w:r>
      <w:bookmarkEnd w:id="66"/>
      <w:bookmarkEnd w:id="67"/>
      <w:bookmarkEnd w:id="68"/>
    </w:p>
    <w:p>
      <w:pPr>
        <w:pStyle w:val="24"/>
        <w:spacing w:line="560" w:lineRule="exact"/>
        <w:ind w:firstLine="640" w:firstLineChars="200"/>
        <w:rPr>
          <w:rFonts w:ascii="仿宋_GB2312" w:eastAsia="仿宋_GB2312"/>
          <w:color w:val="auto"/>
          <w:sz w:val="32"/>
          <w:szCs w:val="32"/>
          <w:highlight w:val="none"/>
        </w:rPr>
      </w:pPr>
      <w:bookmarkStart w:id="69" w:name="_Toc15396614"/>
      <w:bookmarkStart w:id="70"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pStyle w:val="13"/>
        <w:keepNext w:val="0"/>
        <w:keepLines w:val="0"/>
        <w:widowControl/>
        <w:suppressLineNumbers w:val="0"/>
        <w:spacing w:before="75" w:beforeAutospacing="0" w:after="75" w:afterAutospacing="0"/>
        <w:ind w:right="0" w:firstLine="640" w:firstLineChars="200"/>
        <w:jc w:val="both"/>
        <w:rPr>
          <w:rFonts w:hint="eastAsia" w:ascii="仿宋" w:eastAsia="仿宋" w:cs="仿宋"/>
          <w:i w:val="0"/>
          <w:caps w:val="0"/>
          <w:smallCaps w:val="0"/>
          <w:color w:val="000000"/>
          <w:spacing w:val="0"/>
          <w:kern w:val="0"/>
          <w:sz w:val="32"/>
          <w:szCs w:val="32"/>
          <w:lang w:val="en-US" w:eastAsia="zh-CN"/>
        </w:rPr>
      </w:pPr>
      <w:r>
        <w:rPr>
          <w:rFonts w:hint="eastAsia" w:ascii="仿宋" w:eastAsia="仿宋" w:cs="仿宋"/>
          <w:i w:val="0"/>
          <w:caps w:val="0"/>
          <w:smallCaps w:val="0"/>
          <w:color w:val="000000"/>
          <w:spacing w:val="0"/>
          <w:kern w:val="0"/>
          <w:sz w:val="32"/>
          <w:szCs w:val="32"/>
          <w:lang w:val="en-US" w:eastAsia="zh-CN"/>
        </w:rPr>
        <w:t>4.一般公共服务支出（类）政府办公厅（室）及相关机构事务（款）事业运行（项）：反映事业单位的基本支出。</w:t>
      </w:r>
    </w:p>
    <w:p>
      <w:pPr>
        <w:pStyle w:val="13"/>
        <w:keepNext w:val="0"/>
        <w:keepLines w:val="0"/>
        <w:widowControl/>
        <w:suppressLineNumbers w:val="0"/>
        <w:spacing w:before="75" w:beforeAutospacing="0" w:after="75" w:afterAutospacing="0"/>
        <w:ind w:right="0" w:firstLine="640" w:firstLineChars="200"/>
        <w:jc w:val="both"/>
        <w:rPr>
          <w:rFonts w:ascii="仿宋" w:eastAsia="仿宋" w:cs="仿宋"/>
          <w:i w:val="0"/>
          <w:caps w:val="0"/>
          <w:smallCaps w:val="0"/>
          <w:color w:val="000000"/>
          <w:spacing w:val="0"/>
          <w:kern w:val="0"/>
          <w:sz w:val="32"/>
          <w:szCs w:val="32"/>
          <w:lang w:val="en-US" w:eastAsia="zh-CN"/>
        </w:rPr>
      </w:pPr>
      <w:r>
        <w:rPr>
          <w:rFonts w:hint="eastAsia" w:ascii="仿宋" w:eastAsia="仿宋" w:cs="仿宋"/>
          <w:i w:val="0"/>
          <w:caps w:val="0"/>
          <w:smallCaps w:val="0"/>
          <w:color w:val="000000"/>
          <w:spacing w:val="0"/>
          <w:kern w:val="0"/>
          <w:sz w:val="32"/>
          <w:szCs w:val="32"/>
          <w:lang w:val="en-US" w:eastAsia="zh-CN"/>
        </w:rPr>
        <w:t>5.一般公共服务支出（类）政府办公厅（室）及相关机构事务（款）其他政府办公厅（室）及相关机构事务支出（项）：反映其他用于政府办公厅（室）及相关机构事务的支出。</w:t>
      </w:r>
    </w:p>
    <w:p>
      <w:pPr>
        <w:pStyle w:val="13"/>
        <w:keepNext w:val="0"/>
        <w:keepLines w:val="0"/>
        <w:widowControl/>
        <w:suppressLineNumbers w:val="0"/>
        <w:spacing w:before="75" w:beforeAutospacing="0" w:after="75" w:afterAutospacing="0"/>
        <w:ind w:right="0" w:firstLine="640" w:firstLineChars="200"/>
        <w:jc w:val="both"/>
        <w:rPr>
          <w:rFonts w:hint="eastAsia" w:ascii="仿宋" w:eastAsia="仿宋" w:cs="仿宋"/>
          <w:i w:val="0"/>
          <w:caps w:val="0"/>
          <w:smallCaps w:val="0"/>
          <w:color w:val="000000"/>
          <w:spacing w:val="0"/>
          <w:kern w:val="0"/>
          <w:sz w:val="32"/>
          <w:szCs w:val="32"/>
          <w:lang w:val="en-US" w:eastAsia="zh-CN"/>
        </w:rPr>
      </w:pPr>
      <w:r>
        <w:rPr>
          <w:rFonts w:hint="eastAsia" w:ascii="仿宋" w:eastAsia="仿宋" w:cs="仿宋"/>
          <w:i w:val="0"/>
          <w:caps w:val="0"/>
          <w:smallCaps w:val="0"/>
          <w:color w:val="000000"/>
          <w:spacing w:val="0"/>
          <w:kern w:val="0"/>
          <w:sz w:val="32"/>
          <w:szCs w:val="32"/>
          <w:lang w:val="en-US" w:eastAsia="zh-CN"/>
        </w:rPr>
        <w:t>6.社会保障和就业支出（类）行政事业单位养老支出（款）机关事业单位基本养老保险缴费支出（项）：反映机关事业单位实施养老保险制度由单位实际缴纳的基本养老保险支出。</w:t>
      </w:r>
    </w:p>
    <w:p>
      <w:pPr>
        <w:pStyle w:val="13"/>
        <w:keepNext w:val="0"/>
        <w:keepLines w:val="0"/>
        <w:widowControl/>
        <w:suppressLineNumbers w:val="0"/>
        <w:spacing w:before="75" w:beforeAutospacing="0" w:after="75" w:afterAutospacing="0"/>
        <w:ind w:right="0" w:firstLine="640" w:firstLineChars="200"/>
        <w:jc w:val="both"/>
        <w:rPr>
          <w:rFonts w:hint="eastAsia" w:ascii="仿宋" w:eastAsia="仿宋" w:cs="仿宋"/>
          <w:i w:val="0"/>
          <w:caps w:val="0"/>
          <w:smallCaps w:val="0"/>
          <w:color w:val="000000"/>
          <w:spacing w:val="0"/>
          <w:kern w:val="0"/>
          <w:sz w:val="32"/>
          <w:szCs w:val="32"/>
          <w:lang w:val="en-US" w:eastAsia="zh-CN"/>
        </w:rPr>
      </w:pPr>
      <w:r>
        <w:rPr>
          <w:rFonts w:hint="eastAsia" w:ascii="仿宋" w:eastAsia="仿宋" w:cs="仿宋"/>
          <w:i w:val="0"/>
          <w:caps w:val="0"/>
          <w:smallCaps w:val="0"/>
          <w:color w:val="000000"/>
          <w:spacing w:val="0"/>
          <w:kern w:val="0"/>
          <w:sz w:val="32"/>
          <w:szCs w:val="32"/>
          <w:lang w:val="en-US" w:eastAsia="zh-CN"/>
        </w:rPr>
        <w:t>7.社会保障和就业支出（类）行政事业单位养老支出（款）机关事业单位职业年金缴费支出（项）：反映机关事业单位实施养老保险制度由单位实际缴纳的职业年金支出。</w:t>
      </w:r>
    </w:p>
    <w:p>
      <w:pPr>
        <w:pStyle w:val="13"/>
        <w:keepNext w:val="0"/>
        <w:keepLines w:val="0"/>
        <w:widowControl/>
        <w:suppressLineNumbers w:val="0"/>
        <w:spacing w:before="75" w:beforeAutospacing="0" w:after="75" w:afterAutospacing="0"/>
        <w:ind w:right="0" w:firstLine="640" w:firstLineChars="200"/>
        <w:jc w:val="both"/>
        <w:rPr>
          <w:rFonts w:hint="eastAsia" w:ascii="仿宋" w:eastAsia="仿宋" w:cs="仿宋"/>
          <w:i w:val="0"/>
          <w:caps w:val="0"/>
          <w:smallCaps w:val="0"/>
          <w:color w:val="000000"/>
          <w:spacing w:val="0"/>
          <w:kern w:val="0"/>
          <w:sz w:val="32"/>
          <w:szCs w:val="32"/>
          <w:lang w:val="en-US" w:eastAsia="zh-CN"/>
        </w:rPr>
      </w:pPr>
      <w:r>
        <w:rPr>
          <w:rFonts w:hint="eastAsia" w:ascii="仿宋" w:eastAsia="仿宋" w:cs="仿宋"/>
          <w:i w:val="0"/>
          <w:caps w:val="0"/>
          <w:smallCaps w:val="0"/>
          <w:color w:val="000000"/>
          <w:spacing w:val="0"/>
          <w:kern w:val="0"/>
          <w:sz w:val="32"/>
          <w:szCs w:val="32"/>
          <w:lang w:val="en-US" w:eastAsia="zh-CN"/>
        </w:rPr>
        <w:t>8.卫生健康支出（类）行政事业单位医疗（款）事业单位医疗（项）：反映财政部门安排的事业单位基本医疗保险缴费经费，未参加医疗保险的行政单位的公费医疗经费，按国家规定享受离休人员待遇人员的医疗经费。</w:t>
      </w:r>
    </w:p>
    <w:p>
      <w:pPr>
        <w:pStyle w:val="13"/>
        <w:keepNext w:val="0"/>
        <w:keepLines w:val="0"/>
        <w:widowControl/>
        <w:suppressLineNumbers w:val="0"/>
        <w:spacing w:before="75" w:beforeAutospacing="0" w:after="75" w:afterAutospacing="0"/>
        <w:ind w:right="0" w:firstLine="640" w:firstLineChars="200"/>
        <w:jc w:val="both"/>
        <w:rPr>
          <w:rFonts w:ascii="仿宋_GB2312" w:eastAsia="仿宋_GB2312"/>
          <w:color w:val="auto"/>
          <w:sz w:val="32"/>
          <w:szCs w:val="32"/>
          <w:highlight w:val="none"/>
        </w:rPr>
      </w:pPr>
      <w:r>
        <w:rPr>
          <w:rFonts w:hint="eastAsia" w:ascii="仿宋" w:eastAsia="仿宋" w:cs="仿宋"/>
          <w:i w:val="0"/>
          <w:caps w:val="0"/>
          <w:smallCaps w:val="0"/>
          <w:color w:val="000000"/>
          <w:spacing w:val="0"/>
          <w:kern w:val="0"/>
          <w:sz w:val="32"/>
          <w:szCs w:val="32"/>
          <w:lang w:val="en-US" w:eastAsia="zh-CN"/>
        </w:rPr>
        <w:t>9.住房保障支出（类）住房改革支出（款）住房公积金（项）：反映行政事业单位按人力资源和社会保障部、财政部规定的基本工资和津贴补贴以及规定比例为职工缴纳的住房公积金。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sz w:val="32"/>
          <w:szCs w:val="32"/>
        </w:rPr>
      </w:pPr>
    </w:p>
    <w:p>
      <w:pPr>
        <w:spacing w:line="600" w:lineRule="exact"/>
        <w:jc w:val="center"/>
        <w:outlineLvl w:val="0"/>
        <w:rPr>
          <w:rFonts w:hint="eastAsia" w:ascii="黑体" w:eastAsia="黑体"/>
          <w:color w:val="000000"/>
          <w:sz w:val="32"/>
          <w:szCs w:val="32"/>
        </w:rPr>
      </w:pPr>
      <w:bookmarkStart w:id="71" w:name="_Toc131485666_WPSOffice_Level1"/>
    </w:p>
    <w:p>
      <w:pPr>
        <w:spacing w:line="600" w:lineRule="exact"/>
        <w:jc w:val="center"/>
        <w:outlineLvl w:val="0"/>
        <w:rPr>
          <w:rFonts w:hint="eastAsia" w:ascii="黑体" w:eastAsia="黑体"/>
          <w:color w:val="000000"/>
          <w:sz w:val="32"/>
          <w:szCs w:val="32"/>
        </w:rPr>
      </w:pPr>
    </w:p>
    <w:p>
      <w:pPr>
        <w:spacing w:line="600" w:lineRule="exact"/>
        <w:jc w:val="center"/>
        <w:outlineLvl w:val="0"/>
        <w:rPr>
          <w:rFonts w:hint="eastAsia" w:ascii="黑体" w:eastAsia="黑体"/>
          <w:color w:val="000000"/>
          <w:sz w:val="32"/>
          <w:szCs w:val="32"/>
        </w:rPr>
      </w:pPr>
    </w:p>
    <w:p>
      <w:pPr>
        <w:spacing w:line="600" w:lineRule="exact"/>
        <w:jc w:val="center"/>
        <w:outlineLvl w:val="0"/>
        <w:rPr>
          <w:rFonts w:hint="eastAsia" w:ascii="黑体" w:eastAsia="黑体"/>
          <w:color w:val="000000"/>
          <w:sz w:val="32"/>
          <w:szCs w:val="32"/>
        </w:rPr>
      </w:pPr>
    </w:p>
    <w:p>
      <w:pPr>
        <w:spacing w:line="600" w:lineRule="exact"/>
        <w:jc w:val="center"/>
        <w:outlineLvl w:val="0"/>
        <w:rPr>
          <w:rStyle w:val="19"/>
          <w:rFonts w:ascii="黑体" w:eastAsia="黑体"/>
          <w:b w:val="0"/>
          <w:sz w:val="32"/>
          <w:szCs w:val="32"/>
        </w:rPr>
      </w:pPr>
      <w:r>
        <w:rPr>
          <w:rFonts w:hint="eastAsia" w:ascii="黑体" w:eastAsia="黑体"/>
          <w:color w:val="000000"/>
          <w:sz w:val="32"/>
          <w:szCs w:val="32"/>
        </w:rPr>
        <w:t>第</w:t>
      </w:r>
      <w:r>
        <w:rPr>
          <w:rStyle w:val="19"/>
          <w:rFonts w:hint="eastAsia" w:ascii="黑体" w:eastAsia="黑体"/>
          <w:b w:val="0"/>
          <w:sz w:val="32"/>
          <w:szCs w:val="32"/>
        </w:rPr>
        <w:t>四部分</w:t>
      </w:r>
      <w:r>
        <w:rPr>
          <w:rStyle w:val="19"/>
          <w:rFonts w:ascii="黑体" w:eastAsia="黑体"/>
          <w:b w:val="0"/>
          <w:sz w:val="32"/>
          <w:szCs w:val="32"/>
        </w:rPr>
        <w:t xml:space="preserve"> </w:t>
      </w:r>
      <w:r>
        <w:rPr>
          <w:rStyle w:val="19"/>
          <w:rFonts w:hint="eastAsia" w:ascii="黑体" w:eastAsia="黑体"/>
          <w:b w:val="0"/>
          <w:sz w:val="32"/>
          <w:szCs w:val="32"/>
        </w:rPr>
        <w:t>附件</w:t>
      </w:r>
      <w:bookmarkEnd w:id="69"/>
      <w:bookmarkEnd w:id="71"/>
    </w:p>
    <w:p>
      <w:pPr>
        <w:spacing w:line="600" w:lineRule="exact"/>
        <w:outlineLvl w:val="0"/>
        <w:rPr>
          <w:rFonts w:hint="eastAsia" w:ascii="黑体" w:eastAsia="黑体"/>
          <w:color w:val="000000"/>
          <w:sz w:val="44"/>
          <w:szCs w:val="44"/>
        </w:rPr>
      </w:pPr>
    </w:p>
    <w:p>
      <w:pPr>
        <w:pStyle w:val="2"/>
        <w:spacing w:before="30" w:beforeLines="0" w:line="576" w:lineRule="exact"/>
        <w:rPr>
          <w:rFonts w:hint="eastAsia" w:ascii="黑体" w:eastAsia="黑体" w:cs="黑体"/>
          <w:sz w:val="32"/>
          <w:szCs w:val="32"/>
          <w:lang w:val="en-US" w:eastAsia="zh-CN"/>
        </w:rPr>
      </w:pPr>
      <w:r>
        <w:rPr>
          <w:rFonts w:hint="eastAsia" w:ascii="黑体" w:eastAsia="黑体" w:cs="黑体"/>
          <w:sz w:val="32"/>
          <w:szCs w:val="32"/>
        </w:rPr>
        <w:t>附件</w:t>
      </w:r>
      <w:r>
        <w:rPr>
          <w:rFonts w:hint="eastAsia" w:ascii="黑体" w:eastAsia="黑体" w:cs="黑体"/>
          <w:sz w:val="32"/>
          <w:szCs w:val="32"/>
          <w:lang w:val="en-US" w:eastAsia="zh-CN"/>
        </w:rPr>
        <w:t>1</w:t>
      </w:r>
    </w:p>
    <w:p>
      <w:pPr>
        <w:pStyle w:val="2"/>
        <w:spacing w:before="30" w:beforeLines="0" w:line="576" w:lineRule="exact"/>
        <w:jc w:val="center"/>
        <w:rPr>
          <w:rFonts w:hint="eastAsia" w:ascii="方正小标宋简体" w:eastAsia="方正小标宋简体" w:cs="方正小标宋简体"/>
          <w:sz w:val="44"/>
          <w:szCs w:val="44"/>
        </w:rPr>
      </w:pPr>
      <w:bookmarkStart w:id="72" w:name="_Toc1054135370_WPSOffice_Level2"/>
      <w:r>
        <w:rPr>
          <w:rFonts w:hint="eastAsia" w:ascii="方正小标宋简体" w:eastAsia="方正小标宋简体" w:cs="方正小标宋简体"/>
          <w:sz w:val="44"/>
          <w:szCs w:val="44"/>
        </w:rPr>
        <w:t>网络运行维护费</w:t>
      </w:r>
      <w:bookmarkEnd w:id="72"/>
    </w:p>
    <w:p>
      <w:pPr>
        <w:pStyle w:val="3"/>
        <w:rPr>
          <w:rFonts w:hint="eastAsia"/>
          <w:lang w:val="zh-CN"/>
        </w:rPr>
      </w:pPr>
    </w:p>
    <w:p>
      <w:pPr>
        <w:spacing w:line="600" w:lineRule="exact"/>
        <w:jc w:val="center"/>
        <w:rPr>
          <w:rFonts w:ascii="方正小标宋简体" w:eastAsia="方正小标宋简体"/>
          <w:color w:val="000000"/>
          <w:kern w:val="0"/>
          <w:sz w:val="44"/>
          <w:szCs w:val="44"/>
        </w:rPr>
      </w:pPr>
      <w:bookmarkStart w:id="73" w:name="_Toc1740306532_WPSOffice_Level2"/>
      <w:r>
        <w:rPr>
          <w:rFonts w:ascii="方正小标宋简体" w:eastAsia="方正小标宋简体"/>
          <w:color w:val="000000"/>
          <w:kern w:val="0"/>
          <w:sz w:val="44"/>
          <w:szCs w:val="44"/>
        </w:rPr>
        <w:t>202</w:t>
      </w:r>
      <w:r>
        <w:rPr>
          <w:rFonts w:hint="eastAsia" w:ascii="方正小标宋简体" w:eastAsia="方正小标宋简体"/>
          <w:color w:val="000000"/>
          <w:kern w:val="0"/>
          <w:sz w:val="44"/>
          <w:szCs w:val="44"/>
          <w:lang w:val="en-US" w:eastAsia="zh-CN"/>
        </w:rPr>
        <w:t>1</w:t>
      </w:r>
      <w:r>
        <w:rPr>
          <w:rFonts w:hint="eastAsia" w:ascii="方正小标宋简体" w:eastAsia="方正小标宋简体"/>
          <w:color w:val="000000"/>
          <w:kern w:val="0"/>
          <w:sz w:val="44"/>
          <w:szCs w:val="44"/>
        </w:rPr>
        <w:t>年绩效评价报告</w:t>
      </w:r>
      <w:bookmarkEnd w:id="73"/>
    </w:p>
    <w:p>
      <w:pPr>
        <w:spacing w:line="576" w:lineRule="exact"/>
        <w:jc w:val="left"/>
        <w:rPr>
          <w:rFonts w:hint="eastAsia" w:ascii="黑体" w:eastAsia="黑体" w:cs="黑体"/>
          <w:sz w:val="32"/>
          <w:szCs w:val="32"/>
          <w:lang w:val="en-US" w:eastAsia="zh-CN"/>
        </w:rPr>
      </w:pPr>
    </w:p>
    <w:p>
      <w:pPr>
        <w:adjustRightInd w:val="0"/>
        <w:snapToGrid w:val="0"/>
        <w:spacing w:line="576" w:lineRule="exact"/>
        <w:ind w:left="48" w:leftChars="23" w:firstLine="736" w:firstLineChars="230"/>
        <w:rPr>
          <w:rFonts w:ascii="黑体" w:eastAsia="黑体"/>
          <w:sz w:val="32"/>
          <w:szCs w:val="32"/>
          <w:lang w:val="zh-CN"/>
        </w:rPr>
      </w:pPr>
      <w:bookmarkStart w:id="74" w:name="_Toc1811756051_WPSOffice_Level2"/>
      <w:r>
        <w:rPr>
          <w:rFonts w:hint="eastAsia" w:ascii="黑体" w:eastAsia="黑体"/>
          <w:sz w:val="32"/>
          <w:szCs w:val="32"/>
        </w:rPr>
        <w:t>一、</w:t>
      </w:r>
      <w:r>
        <w:rPr>
          <w:rFonts w:hint="eastAsia" w:ascii="黑体" w:eastAsia="黑体"/>
          <w:sz w:val="32"/>
          <w:szCs w:val="32"/>
          <w:lang w:val="zh-CN"/>
        </w:rPr>
        <w:t>项目概况</w:t>
      </w:r>
      <w:bookmarkEnd w:id="74"/>
    </w:p>
    <w:p>
      <w:pPr>
        <w:adjustRightInd w:val="0"/>
        <w:snapToGrid w:val="0"/>
        <w:spacing w:line="576" w:lineRule="exact"/>
        <w:ind w:left="105" w:firstLine="640" w:firstLineChars="200"/>
        <w:rPr>
          <w:rFonts w:ascii="楷体_GB2312" w:eastAsia="楷体_GB2312"/>
          <w:sz w:val="32"/>
          <w:szCs w:val="32"/>
          <w:lang w:val="zh-CN"/>
        </w:rPr>
      </w:pPr>
      <w:r>
        <w:rPr>
          <w:rFonts w:hint="eastAsia" w:ascii="楷体_GB2312" w:eastAsia="楷体_GB2312"/>
          <w:sz w:val="32"/>
          <w:szCs w:val="32"/>
          <w:lang w:val="zh-CN"/>
        </w:rPr>
        <w:t>（一）项目基本情况</w:t>
      </w:r>
    </w:p>
    <w:p>
      <w:pPr>
        <w:pStyle w:val="13"/>
        <w:widowControl/>
        <w:spacing w:before="0" w:beforeAutospacing="0" w:after="0" w:afterAutospacing="0" w:line="576" w:lineRule="exact"/>
        <w:ind w:firstLine="800" w:firstLineChars="250"/>
        <w:rPr>
          <w:rFonts w:ascii="仿宋_GB2312" w:eastAsia="仿宋_GB2312" w:cs="仿宋"/>
          <w:sz w:val="32"/>
          <w:szCs w:val="32"/>
        </w:rPr>
      </w:pPr>
      <w:r>
        <w:rPr>
          <w:rFonts w:hint="eastAsia" w:ascii="仿宋_GB2312" w:eastAsia="仿宋_GB2312" w:cs="宋体"/>
          <w:color w:val="000000"/>
          <w:sz w:val="32"/>
          <w:szCs w:val="32"/>
          <w:shd w:val="clear" w:color="auto" w:fill="FFFFFF"/>
          <w:lang w:val="zh-CN"/>
        </w:rPr>
        <w:t>广元市</w:t>
      </w:r>
      <w:r>
        <w:rPr>
          <w:rFonts w:hint="eastAsia" w:ascii="仿宋_GB2312" w:eastAsia="仿宋_GB2312"/>
          <w:color w:val="000000"/>
          <w:sz w:val="32"/>
          <w:szCs w:val="32"/>
        </w:rPr>
        <w:t>公共资源交易信息中心是经市委、市政府批准设立的公益一类事业单位，直属市政务服务和公共资源交易中心。</w:t>
      </w:r>
      <w:r>
        <w:rPr>
          <w:rFonts w:hint="eastAsia" w:ascii="仿宋_GB2312" w:eastAsia="仿宋_GB2312" w:cs="仿宋"/>
          <w:color w:val="000000"/>
          <w:sz w:val="32"/>
          <w:szCs w:val="32"/>
          <w:shd w:val="clear" w:color="auto" w:fill="FFFFFF"/>
        </w:rPr>
        <w:t>承担全市工程建设招投标现场服务和管理工作，负责政府采购活动现场服务和管理工作，负责国有产权、特许经营权出（转）让等现场服务和管理</w:t>
      </w:r>
      <w:r>
        <w:rPr>
          <w:rFonts w:hint="eastAsia" w:ascii="仿宋_GB2312" w:eastAsia="仿宋_GB2312" w:cs="微软雅黑"/>
          <w:color w:val="000000"/>
          <w:sz w:val="32"/>
          <w:szCs w:val="32"/>
          <w:shd w:val="clear" w:color="auto" w:fill="FFFFFF"/>
        </w:rPr>
        <w:t>工</w:t>
      </w:r>
      <w:r>
        <w:rPr>
          <w:rFonts w:hint="eastAsia" w:ascii="仿宋_GB2312" w:eastAsia="仿宋_GB2312" w:cs="仿宋"/>
          <w:color w:val="000000"/>
          <w:sz w:val="32"/>
          <w:szCs w:val="32"/>
        </w:rPr>
        <w:t>的职能，</w:t>
      </w:r>
      <w:r>
        <w:rPr>
          <w:rFonts w:hint="eastAsia" w:ascii="仿宋_GB2312" w:eastAsia="仿宋_GB2312" w:cs="仿宋"/>
          <w:sz w:val="32"/>
          <w:szCs w:val="32"/>
        </w:rPr>
        <w:t>为确保202</w:t>
      </w:r>
      <w:r>
        <w:rPr>
          <w:rFonts w:hint="eastAsia" w:ascii="仿宋_GB2312" w:eastAsia="仿宋_GB2312" w:cs="仿宋"/>
          <w:sz w:val="32"/>
          <w:szCs w:val="32"/>
          <w:lang w:val="en-US" w:eastAsia="zh-CN"/>
        </w:rPr>
        <w:t>1</w:t>
      </w:r>
      <w:r>
        <w:rPr>
          <w:rFonts w:hint="eastAsia" w:ascii="仿宋_GB2312" w:eastAsia="仿宋_GB2312" w:cs="仿宋"/>
          <w:sz w:val="32"/>
          <w:szCs w:val="32"/>
        </w:rPr>
        <w:t>年度市公共资源交易信息中心网络宽带及电话、应急抢险救灾施工队伍储备库信息系统、公共资源交易电子平台管理信息系统等网络系统稳定通畅运行</w:t>
      </w:r>
      <w:r>
        <w:rPr>
          <w:rFonts w:hint="eastAsia" w:ascii="仿宋_GB2312" w:eastAsia="仿宋_GB2312" w:cs="仿宋"/>
          <w:color w:val="000000"/>
          <w:sz w:val="32"/>
          <w:szCs w:val="32"/>
        </w:rPr>
        <w:t>，申请设立了“网络运行维护费”项目预算。</w:t>
      </w:r>
    </w:p>
    <w:p>
      <w:pPr>
        <w:adjustRightInd w:val="0"/>
        <w:snapToGrid w:val="0"/>
        <w:spacing w:line="576" w:lineRule="exact"/>
        <w:ind w:left="105" w:firstLine="640" w:firstLineChars="200"/>
        <w:rPr>
          <w:rFonts w:ascii="楷体_GB2312" w:eastAsia="楷体_GB2312"/>
          <w:sz w:val="32"/>
          <w:szCs w:val="32"/>
          <w:lang w:val="zh-CN"/>
        </w:rPr>
      </w:pPr>
      <w:r>
        <w:rPr>
          <w:rFonts w:hint="eastAsia" w:ascii="楷体_GB2312" w:eastAsia="楷体_GB2312"/>
          <w:sz w:val="32"/>
          <w:szCs w:val="32"/>
          <w:lang w:val="zh-CN"/>
        </w:rPr>
        <w:t>（二）项目绩效目标</w:t>
      </w:r>
    </w:p>
    <w:p>
      <w:pPr>
        <w:adjustRightInd w:val="0"/>
        <w:snapToGrid w:val="0"/>
        <w:spacing w:line="576" w:lineRule="exact"/>
        <w:ind w:left="105" w:firstLine="640" w:firstLineChars="200"/>
        <w:rPr>
          <w:rFonts w:hint="eastAsia" w:ascii="仿宋_GB2312" w:eastAsia="仿宋_GB2312" w:cs="仿宋"/>
          <w:kern w:val="0"/>
          <w:sz w:val="32"/>
          <w:szCs w:val="32"/>
          <w:lang w:val="zh-CN" w:eastAsia="zh-CN" w:bidi="ar-SA"/>
        </w:rPr>
      </w:pPr>
      <w:r>
        <w:rPr>
          <w:rFonts w:hint="eastAsia" w:ascii="仿宋_GB2312" w:eastAsia="仿宋_GB2312" w:cs="仿宋"/>
          <w:kern w:val="0"/>
          <w:sz w:val="32"/>
          <w:szCs w:val="32"/>
          <w:lang w:val="zh-CN" w:eastAsia="zh-CN" w:bidi="ar-SA"/>
        </w:rPr>
        <w:t>1</w:t>
      </w:r>
      <w:r>
        <w:rPr>
          <w:rFonts w:hint="eastAsia" w:ascii="仿宋_GB2312" w:eastAsia="仿宋_GB2312" w:cs="仿宋"/>
          <w:kern w:val="0"/>
          <w:sz w:val="32"/>
          <w:szCs w:val="32"/>
          <w:lang w:val="en-US" w:eastAsia="zh-CN" w:bidi="ar-SA"/>
        </w:rPr>
        <w:t>.</w:t>
      </w:r>
      <w:r>
        <w:rPr>
          <w:rFonts w:hint="eastAsia" w:ascii="仿宋_GB2312" w:eastAsia="仿宋_GB2312" w:cs="仿宋"/>
          <w:kern w:val="0"/>
          <w:sz w:val="32"/>
          <w:szCs w:val="32"/>
          <w:lang w:val="zh-CN" w:eastAsia="zh-CN" w:bidi="ar-SA"/>
        </w:rPr>
        <w:t>项目主要内容：</w:t>
      </w:r>
      <w:r>
        <w:rPr>
          <w:rFonts w:hint="eastAsia" w:ascii="仿宋_GB2312" w:eastAsia="仿宋_GB2312" w:cs="仿宋"/>
          <w:kern w:val="0"/>
          <w:sz w:val="32"/>
          <w:szCs w:val="32"/>
          <w:lang w:val="en-US" w:eastAsia="zh-CN" w:bidi="ar-SA"/>
        </w:rPr>
        <w:t>1、数量指标：新增防火墙病毒库授权服务一年；正常运行率≥95%。2、效益指标：确保网络设备、服务器安全有效；相关交易主体放心使用中心网站。定性：优。3.满意度指标：相关交易主体对公共资源电子化交易平台使用满意率≥90%。</w:t>
      </w:r>
    </w:p>
    <w:p>
      <w:pPr>
        <w:adjustRightInd w:val="0"/>
        <w:snapToGrid w:val="0"/>
        <w:spacing w:line="576" w:lineRule="exact"/>
        <w:ind w:left="105" w:firstLine="640" w:firstLineChars="200"/>
        <w:rPr>
          <w:rFonts w:hint="eastAsia" w:ascii="仿宋_GB2312" w:eastAsia="仿宋_GB2312" w:cs="仿宋"/>
          <w:kern w:val="0"/>
          <w:sz w:val="32"/>
          <w:szCs w:val="32"/>
          <w:lang w:val="en-US" w:eastAsia="zh-CN" w:bidi="ar-SA"/>
        </w:rPr>
      </w:pPr>
      <w:r>
        <w:rPr>
          <w:rFonts w:hint="eastAsia" w:ascii="仿宋_GB2312" w:eastAsia="仿宋_GB2312" w:cs="仿宋"/>
          <w:kern w:val="0"/>
          <w:sz w:val="32"/>
          <w:szCs w:val="32"/>
          <w:lang w:val="zh-CN" w:eastAsia="zh-CN" w:bidi="ar-SA"/>
        </w:rPr>
        <w:t>2．</w:t>
      </w:r>
      <w:r>
        <w:rPr>
          <w:rFonts w:hint="eastAsia" w:ascii="仿宋_GB2312" w:eastAsia="仿宋_GB2312" w:cs="仿宋"/>
          <w:kern w:val="0"/>
          <w:sz w:val="32"/>
          <w:szCs w:val="32"/>
          <w:lang w:val="en-US" w:eastAsia="zh-CN" w:bidi="ar-SA"/>
        </w:rPr>
        <w:t>2021年设定项目绩效目标： 使全市公共资源电子化交易活动顺利开展，实现公共资源交易活动全流程电子化，搭建全国统一的公共资源交易电子平台，优化营商环境，推动社会经济发展</w:t>
      </w:r>
    </w:p>
    <w:p>
      <w:pPr>
        <w:adjustRightInd w:val="0"/>
        <w:snapToGrid w:val="0"/>
        <w:spacing w:line="576" w:lineRule="exact"/>
        <w:ind w:left="48" w:leftChars="23" w:firstLine="576" w:firstLineChars="180"/>
        <w:rPr>
          <w:rFonts w:ascii="楷体_GB2312" w:eastAsia="楷体_GB2312"/>
          <w:sz w:val="32"/>
          <w:szCs w:val="32"/>
          <w:lang w:val="zh-CN"/>
        </w:rPr>
      </w:pPr>
      <w:r>
        <w:rPr>
          <w:rFonts w:hint="eastAsia" w:ascii="楷体_GB2312" w:eastAsia="楷体_GB2312"/>
          <w:sz w:val="32"/>
          <w:szCs w:val="32"/>
          <w:lang w:val="zh-CN"/>
        </w:rPr>
        <w:t>（三）项目自评步骤及方法。</w:t>
      </w:r>
    </w:p>
    <w:p>
      <w:pPr>
        <w:adjustRightInd w:val="0"/>
        <w:snapToGrid w:val="0"/>
        <w:spacing w:line="576" w:lineRule="exact"/>
        <w:ind w:firstLine="640" w:firstLineChars="200"/>
        <w:rPr>
          <w:rFonts w:hint="eastAsia" w:ascii="仿宋_GB2312" w:eastAsia="仿宋_GB2312" w:cs="仿宋"/>
          <w:kern w:val="0"/>
          <w:sz w:val="32"/>
          <w:szCs w:val="32"/>
          <w:lang w:val="zh-CN" w:eastAsia="zh-CN" w:bidi="ar-SA"/>
        </w:rPr>
      </w:pPr>
      <w:r>
        <w:rPr>
          <w:rFonts w:hint="eastAsia" w:ascii="仿宋_GB2312" w:eastAsia="仿宋_GB2312" w:cs="仿宋"/>
          <w:kern w:val="0"/>
          <w:sz w:val="32"/>
          <w:szCs w:val="32"/>
          <w:lang w:val="zh-CN" w:eastAsia="zh-CN" w:bidi="ar-SA"/>
        </w:rPr>
        <w:t>由涉及相关业务科室先自评，再由中心领导班子组织审评。</w:t>
      </w:r>
    </w:p>
    <w:p>
      <w:pPr>
        <w:adjustRightInd w:val="0"/>
        <w:snapToGrid w:val="0"/>
        <w:spacing w:line="576" w:lineRule="exact"/>
        <w:ind w:left="48" w:leftChars="23" w:firstLine="736" w:firstLineChars="230"/>
        <w:rPr>
          <w:rFonts w:ascii="黑体" w:eastAsia="黑体"/>
          <w:sz w:val="32"/>
          <w:szCs w:val="32"/>
        </w:rPr>
      </w:pPr>
      <w:bookmarkStart w:id="75" w:name="_Toc1647958401_WPSOffice_Level2"/>
      <w:r>
        <w:rPr>
          <w:rFonts w:hint="eastAsia" w:ascii="黑体" w:eastAsia="黑体"/>
          <w:sz w:val="32"/>
          <w:szCs w:val="32"/>
          <w:lang w:val="en-US" w:eastAsia="zh-CN"/>
        </w:rPr>
        <w:t>二</w:t>
      </w:r>
      <w:r>
        <w:rPr>
          <w:rFonts w:hint="eastAsia" w:ascii="仿宋_GB2312" w:eastAsia="仿宋_GB2312" w:cs="仿宋"/>
          <w:kern w:val="0"/>
          <w:sz w:val="32"/>
          <w:szCs w:val="32"/>
          <w:lang w:val="en-US" w:eastAsia="zh-CN" w:bidi="ar-SA"/>
        </w:rPr>
        <w:t>、</w:t>
      </w:r>
      <w:r>
        <w:rPr>
          <w:rFonts w:hint="eastAsia" w:ascii="黑体" w:eastAsia="黑体"/>
          <w:sz w:val="32"/>
          <w:szCs w:val="32"/>
        </w:rPr>
        <w:t>项目资金申报及使用情况</w:t>
      </w:r>
      <w:bookmarkEnd w:id="75"/>
    </w:p>
    <w:p>
      <w:pPr>
        <w:adjustRightInd w:val="0"/>
        <w:snapToGrid w:val="0"/>
        <w:spacing w:line="576" w:lineRule="exact"/>
        <w:ind w:left="48" w:leftChars="23" w:firstLine="736" w:firstLineChars="230"/>
        <w:rPr>
          <w:rFonts w:ascii="楷体_GB2312" w:eastAsia="楷体_GB2312"/>
          <w:sz w:val="32"/>
          <w:szCs w:val="32"/>
          <w:lang w:val="zh-CN"/>
        </w:rPr>
      </w:pPr>
      <w:r>
        <w:rPr>
          <w:rFonts w:hint="eastAsia" w:ascii="楷体_GB2312" w:eastAsia="楷体_GB2312"/>
          <w:sz w:val="32"/>
          <w:szCs w:val="32"/>
          <w:lang w:val="zh-CN"/>
        </w:rPr>
        <w:t>（一）项目资金申报及批复情况。</w:t>
      </w:r>
    </w:p>
    <w:p>
      <w:pPr>
        <w:adjustRightInd w:val="0"/>
        <w:snapToGrid w:val="0"/>
        <w:spacing w:line="576" w:lineRule="exact"/>
        <w:ind w:left="105" w:firstLine="640" w:firstLineChars="200"/>
        <w:rPr>
          <w:rFonts w:ascii="仿宋_GB2312" w:eastAsia="仿宋_GB2312"/>
          <w:sz w:val="32"/>
          <w:szCs w:val="32"/>
        </w:rPr>
      </w:pPr>
      <w:r>
        <w:rPr>
          <w:rFonts w:hint="eastAsia" w:ascii="仿宋_GB2312" w:eastAsia="仿宋_GB2312" w:cs="仿宋"/>
          <w:color w:val="000000"/>
          <w:sz w:val="32"/>
          <w:szCs w:val="32"/>
        </w:rPr>
        <w:t>网络运行维护费</w:t>
      </w:r>
      <w:r>
        <w:rPr>
          <w:rFonts w:hint="eastAsia" w:ascii="仿宋_GB2312" w:eastAsia="仿宋_GB2312" w:cs="仿宋"/>
          <w:color w:val="000000"/>
          <w:sz w:val="32"/>
          <w:szCs w:val="32"/>
          <w:lang w:val="zh-CN"/>
        </w:rPr>
        <w:t>项目</w:t>
      </w:r>
      <w:r>
        <w:rPr>
          <w:rFonts w:hint="eastAsia" w:ascii="仿宋_GB2312" w:eastAsia="仿宋_GB2312" w:cs="仿宋_GB2312"/>
          <w:sz w:val="32"/>
          <w:szCs w:val="32"/>
          <w:lang w:val="zh-CN"/>
        </w:rPr>
        <w:t>预算申报</w:t>
      </w:r>
      <w:r>
        <w:rPr>
          <w:rFonts w:hint="eastAsia" w:ascii="仿宋_GB2312" w:eastAsia="仿宋_GB2312" w:cs="仿宋_GB2312"/>
          <w:color w:val="000000"/>
          <w:sz w:val="32"/>
          <w:szCs w:val="32"/>
        </w:rPr>
        <w:t>10万元</w:t>
      </w:r>
      <w:r>
        <w:rPr>
          <w:rFonts w:hint="eastAsia" w:ascii="仿宋_GB2312" w:eastAsia="仿宋_GB2312" w:cs="仿宋_GB2312"/>
          <w:sz w:val="32"/>
          <w:szCs w:val="32"/>
        </w:rPr>
        <w:t>，财政下达预算批复</w:t>
      </w:r>
      <w:r>
        <w:rPr>
          <w:rFonts w:hint="eastAsia" w:ascii="仿宋_GB2312" w:eastAsia="仿宋_GB2312" w:cs="仿宋_GB2312"/>
          <w:color w:val="000000"/>
          <w:sz w:val="32"/>
          <w:szCs w:val="32"/>
        </w:rPr>
        <w:t>10万元。</w:t>
      </w:r>
    </w:p>
    <w:p>
      <w:pPr>
        <w:adjustRightInd w:val="0"/>
        <w:snapToGrid w:val="0"/>
        <w:spacing w:line="576" w:lineRule="exact"/>
        <w:ind w:left="105" w:firstLine="640" w:firstLineChars="200"/>
        <w:rPr>
          <w:rFonts w:ascii="仿宋_GB2312" w:eastAsia="仿宋_GB2312"/>
          <w:sz w:val="32"/>
          <w:szCs w:val="32"/>
        </w:rPr>
      </w:pPr>
      <w:r>
        <w:rPr>
          <w:rFonts w:hint="eastAsia" w:ascii="楷体_GB2312" w:eastAsia="楷体_GB2312"/>
          <w:sz w:val="32"/>
          <w:szCs w:val="32"/>
          <w:lang w:val="zh-CN"/>
        </w:rPr>
        <w:t>（二）资金计划、到位及使用情况（可用表格形式反映）。</w:t>
      </w:r>
    </w:p>
    <w:p>
      <w:pPr>
        <w:pStyle w:val="2"/>
        <w:spacing w:before="30" w:beforeLines="0" w:line="576" w:lineRule="exact"/>
        <w:ind w:firstLine="640" w:firstLineChars="200"/>
        <w:rPr>
          <w:rFonts w:hint="eastAsia" w:ascii="仿宋_GB2312" w:eastAsia="仿宋_GB2312" w:cs="仿宋_GB2312"/>
          <w:kern w:val="2"/>
          <w:sz w:val="32"/>
          <w:szCs w:val="32"/>
          <w:lang w:val="zh-CN" w:eastAsia="zh-CN" w:bidi="ar-SA"/>
        </w:rPr>
      </w:pPr>
      <w:r>
        <w:rPr>
          <w:rFonts w:hint="eastAsia" w:ascii="仿宋_GB2312" w:eastAsia="仿宋_GB2312" w:cs="仿宋_GB2312"/>
          <w:kern w:val="2"/>
          <w:sz w:val="32"/>
          <w:szCs w:val="32"/>
          <w:lang w:val="zh-CN" w:eastAsia="zh-CN" w:bidi="ar-SA"/>
        </w:rPr>
        <w:t>本项目安排经费10万元，全部来自财政局。资金到位率100%。</w:t>
      </w:r>
    </w:p>
    <w:tbl>
      <w:tblPr>
        <w:tblStyle w:val="15"/>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188"/>
        <w:gridCol w:w="2335"/>
        <w:gridCol w:w="3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63"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rFonts w:hint="eastAsia" w:ascii="黑体" w:eastAsia="黑体" w:cs="黑体"/>
                <w:kern w:val="2"/>
                <w:szCs w:val="24"/>
                <w:lang w:val="zh-CN"/>
              </w:rPr>
            </w:pPr>
          </w:p>
        </w:tc>
        <w:tc>
          <w:tcPr>
            <w:tcW w:w="2188"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rFonts w:hint="eastAsia" w:ascii="黑体" w:eastAsia="黑体" w:cs="黑体"/>
                <w:kern w:val="2"/>
                <w:szCs w:val="24"/>
              </w:rPr>
            </w:pPr>
            <w:r>
              <w:rPr>
                <w:rFonts w:hint="eastAsia" w:ascii="黑体" w:eastAsia="黑体" w:cs="黑体"/>
                <w:kern w:val="2"/>
                <w:szCs w:val="24"/>
              </w:rPr>
              <w:t>财政拨款</w:t>
            </w:r>
          </w:p>
        </w:tc>
        <w:tc>
          <w:tcPr>
            <w:tcW w:w="2335"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rFonts w:hint="eastAsia" w:ascii="黑体" w:eastAsia="黑体" w:cs="黑体"/>
                <w:kern w:val="2"/>
                <w:szCs w:val="24"/>
                <w:lang w:val="zh-CN"/>
              </w:rPr>
            </w:pPr>
            <w:r>
              <w:rPr>
                <w:rFonts w:hint="eastAsia" w:ascii="黑体" w:eastAsia="黑体" w:cs="黑体"/>
                <w:kern w:val="2"/>
                <w:szCs w:val="24"/>
                <w:lang w:val="zh-CN"/>
              </w:rPr>
              <w:t>来源渠道</w:t>
            </w:r>
          </w:p>
        </w:tc>
        <w:tc>
          <w:tcPr>
            <w:tcW w:w="3359"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rFonts w:hint="eastAsia" w:ascii="黑体" w:eastAsia="黑体" w:cs="黑体"/>
                <w:kern w:val="2"/>
                <w:szCs w:val="24"/>
                <w:lang w:val="zh-CN"/>
              </w:rPr>
            </w:pPr>
            <w:r>
              <w:rPr>
                <w:rFonts w:hint="eastAsia" w:ascii="黑体" w:eastAsia="黑体" w:cs="黑体"/>
                <w:kern w:val="2"/>
                <w:szCs w:val="24"/>
                <w:lang w:val="zh-CN"/>
              </w:rPr>
              <w:t>分析说明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663"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lang w:val="zh-CN"/>
              </w:rPr>
            </w:pPr>
            <w:r>
              <w:rPr>
                <w:rFonts w:hint="eastAsia"/>
                <w:kern w:val="2"/>
                <w:sz w:val="24"/>
                <w:szCs w:val="24"/>
                <w:lang w:val="zh-CN"/>
              </w:rPr>
              <w:t>资金计划</w:t>
            </w:r>
          </w:p>
        </w:tc>
        <w:tc>
          <w:tcPr>
            <w:tcW w:w="2188"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lang w:val="zh-CN"/>
              </w:rPr>
            </w:pPr>
            <w:r>
              <w:rPr>
                <w:rFonts w:hint="eastAsia"/>
                <w:kern w:val="2"/>
                <w:sz w:val="24"/>
                <w:szCs w:val="24"/>
              </w:rPr>
              <w:t>10万元</w:t>
            </w:r>
          </w:p>
        </w:tc>
        <w:tc>
          <w:tcPr>
            <w:tcW w:w="2335"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lang w:val="zh-CN"/>
              </w:rPr>
            </w:pPr>
            <w:r>
              <w:rPr>
                <w:rFonts w:hint="eastAsia"/>
                <w:kern w:val="2"/>
                <w:sz w:val="24"/>
                <w:szCs w:val="24"/>
                <w:lang w:val="zh-CN"/>
              </w:rPr>
              <w:t>财政拨款</w:t>
            </w:r>
          </w:p>
        </w:tc>
        <w:tc>
          <w:tcPr>
            <w:tcW w:w="3359"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both"/>
              <w:rPr>
                <w:rFonts w:hint="eastAsia" w:eastAsia="仿宋_GB2312"/>
                <w:kern w:val="2"/>
                <w:sz w:val="24"/>
                <w:szCs w:val="24"/>
                <w:lang w:eastAsia="zh-CN"/>
              </w:rPr>
            </w:pPr>
            <w:r>
              <w:rPr>
                <w:rFonts w:hint="eastAsia"/>
                <w:kern w:val="2"/>
                <w:sz w:val="24"/>
                <w:szCs w:val="24"/>
              </w:rPr>
              <w:t>根据上年度支出情况申报资金计划</w:t>
            </w:r>
            <w:r>
              <w:rPr>
                <w:rFonts w:hint="eastAsia"/>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trPr>
        <w:tc>
          <w:tcPr>
            <w:tcW w:w="1663"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lang w:val="zh-CN"/>
              </w:rPr>
              <w:t>资金到位</w:t>
            </w:r>
          </w:p>
        </w:tc>
        <w:tc>
          <w:tcPr>
            <w:tcW w:w="2188"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rPr>
              <w:t>10万元</w:t>
            </w:r>
          </w:p>
        </w:tc>
        <w:tc>
          <w:tcPr>
            <w:tcW w:w="2335"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lang w:val="zh-CN"/>
              </w:rPr>
              <w:t>财政拨款</w:t>
            </w:r>
          </w:p>
        </w:tc>
        <w:tc>
          <w:tcPr>
            <w:tcW w:w="3359"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both"/>
              <w:rPr>
                <w:rFonts w:hint="eastAsia" w:eastAsia="仿宋_GB2312"/>
                <w:kern w:val="2"/>
                <w:sz w:val="24"/>
                <w:szCs w:val="24"/>
                <w:lang w:val="zh-CN" w:eastAsia="zh-CN"/>
              </w:rPr>
            </w:pPr>
            <w:r>
              <w:rPr>
                <w:rFonts w:hint="eastAsia"/>
                <w:kern w:val="2"/>
                <w:sz w:val="24"/>
                <w:szCs w:val="24"/>
              </w:rPr>
              <w:t>根据上年度支出情况拨付资金计划</w:t>
            </w:r>
            <w:r>
              <w:rPr>
                <w:rFonts w:hint="eastAsia"/>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trPr>
        <w:tc>
          <w:tcPr>
            <w:tcW w:w="1663"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lang w:val="zh-CN"/>
              </w:rPr>
              <w:t>资金使用</w:t>
            </w:r>
          </w:p>
        </w:tc>
        <w:tc>
          <w:tcPr>
            <w:tcW w:w="2188"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rPr>
              <w:t>10万元</w:t>
            </w:r>
          </w:p>
        </w:tc>
        <w:tc>
          <w:tcPr>
            <w:tcW w:w="2335"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lang w:val="zh-CN"/>
              </w:rPr>
              <w:t>财政拨款</w:t>
            </w:r>
          </w:p>
        </w:tc>
        <w:tc>
          <w:tcPr>
            <w:tcW w:w="3359" w:type="dxa"/>
            <w:noWrap/>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both"/>
              <w:rPr>
                <w:kern w:val="2"/>
                <w:sz w:val="24"/>
                <w:szCs w:val="24"/>
                <w:lang w:val="zh-CN"/>
              </w:rPr>
            </w:pPr>
            <w:r>
              <w:rPr>
                <w:rFonts w:hint="eastAsia"/>
                <w:kern w:val="2"/>
                <w:sz w:val="24"/>
                <w:szCs w:val="24"/>
                <w:lang w:val="zh-CN"/>
              </w:rPr>
              <w:t>支付范围、支付标准、支付进度、支付依据等合规合法，与预算相符。</w:t>
            </w:r>
          </w:p>
        </w:tc>
      </w:tr>
    </w:tbl>
    <w:p>
      <w:pPr>
        <w:adjustRightInd w:val="0"/>
        <w:snapToGrid w:val="0"/>
        <w:spacing w:line="576" w:lineRule="exact"/>
        <w:ind w:left="105" w:firstLine="480" w:firstLineChars="150"/>
        <w:rPr>
          <w:rFonts w:ascii="楷体_GB2312" w:eastAsia="楷体_GB2312"/>
          <w:sz w:val="32"/>
          <w:szCs w:val="32"/>
          <w:lang w:val="zh-CN"/>
        </w:rPr>
      </w:pPr>
      <w:r>
        <w:rPr>
          <w:rFonts w:hint="eastAsia" w:ascii="楷体_GB2312" w:eastAsia="楷体_GB2312"/>
          <w:sz w:val="32"/>
          <w:szCs w:val="32"/>
          <w:lang w:val="zh-CN"/>
        </w:rPr>
        <w:t>（三）项目财务管理情况。</w:t>
      </w:r>
    </w:p>
    <w:p>
      <w:pPr>
        <w:adjustRightInd w:val="0"/>
        <w:snapToGrid w:val="0"/>
        <w:spacing w:line="576" w:lineRule="exact"/>
        <w:ind w:firstLine="640" w:firstLineChars="200"/>
        <w:rPr>
          <w:rFonts w:ascii="仿宋_GB2312" w:eastAsia="仿宋_GB2312" w:cs="仿宋"/>
          <w:sz w:val="32"/>
          <w:szCs w:val="32"/>
          <w:lang w:val="zh-CN"/>
        </w:rPr>
      </w:pPr>
      <w:r>
        <w:rPr>
          <w:rFonts w:hint="eastAsia" w:ascii="仿宋_GB2312" w:eastAsia="仿宋_GB2312" w:cs="仿宋"/>
          <w:kern w:val="0"/>
          <w:sz w:val="32"/>
          <w:szCs w:val="32"/>
        </w:rPr>
        <w:t>项目资金支付严格</w:t>
      </w:r>
      <w:r>
        <w:rPr>
          <w:rFonts w:hint="eastAsia" w:ascii="仿宋_GB2312" w:eastAsia="仿宋_GB2312" w:cs="仿宋"/>
          <w:sz w:val="32"/>
          <w:szCs w:val="32"/>
          <w:lang w:val="zh-CN"/>
        </w:rPr>
        <w:t>执行单位财务制度规定的报销流程，</w:t>
      </w:r>
      <w:r>
        <w:rPr>
          <w:rFonts w:hint="eastAsia" w:ascii="仿宋_GB2312" w:eastAsia="仿宋_GB2312" w:cs="仿宋"/>
          <w:kern w:val="0"/>
          <w:sz w:val="32"/>
          <w:szCs w:val="32"/>
        </w:rPr>
        <w:t>应附与经济业务事项相关的合法合规的原始凭证和附件，需经办人签字，科室负责人、业务分管领导及财务分管领导审批后才能进行支付。</w:t>
      </w:r>
      <w:r>
        <w:rPr>
          <w:rFonts w:hint="eastAsia" w:ascii="仿宋_GB2312" w:eastAsia="仿宋_GB2312" w:cs="仿宋"/>
          <w:sz w:val="32"/>
          <w:szCs w:val="32"/>
          <w:lang w:val="zh-CN"/>
        </w:rPr>
        <w:t>账务处理及时，会计核算规范有序。</w:t>
      </w:r>
    </w:p>
    <w:p>
      <w:pPr>
        <w:adjustRightInd w:val="0"/>
        <w:snapToGrid w:val="0"/>
        <w:spacing w:line="576" w:lineRule="exact"/>
        <w:ind w:left="105" w:firstLine="640" w:firstLineChars="200"/>
        <w:rPr>
          <w:rFonts w:ascii="黑体" w:eastAsia="黑体"/>
          <w:sz w:val="32"/>
          <w:szCs w:val="32"/>
          <w:lang w:val="zh-CN"/>
        </w:rPr>
      </w:pPr>
      <w:bookmarkStart w:id="76" w:name="_Toc356567692_WPSOffice_Level2"/>
      <w:r>
        <w:rPr>
          <w:rFonts w:hint="eastAsia" w:ascii="黑体" w:eastAsia="黑体"/>
          <w:sz w:val="32"/>
          <w:szCs w:val="32"/>
        </w:rPr>
        <w:t>三、项目实施及管理情况</w:t>
      </w:r>
      <w:bookmarkEnd w:id="76"/>
    </w:p>
    <w:p>
      <w:pPr>
        <w:pStyle w:val="13"/>
        <w:widowControl/>
        <w:shd w:val="clear" w:color="auto" w:fill="FFFFFF"/>
        <w:spacing w:before="0" w:beforeAutospacing="0" w:after="0" w:afterAutospacing="0" w:line="576" w:lineRule="exact"/>
        <w:ind w:firstLine="600"/>
        <w:textAlignment w:val="baseline"/>
        <w:rPr>
          <w:rFonts w:hint="eastAsia" w:ascii="仿宋_GB2312" w:eastAsia="仿宋_GB2312" w:cs="仿宋"/>
          <w:color w:val="000000"/>
          <w:sz w:val="32"/>
          <w:szCs w:val="32"/>
          <w:shd w:val="clear" w:color="auto" w:fill="FFFFFF"/>
        </w:rPr>
      </w:pPr>
      <w:r>
        <w:rPr>
          <w:rFonts w:hint="eastAsia" w:ascii="楷体_GB2312" w:eastAsia="楷体_GB2312"/>
          <w:kern w:val="2"/>
          <w:sz w:val="32"/>
          <w:szCs w:val="32"/>
          <w:lang w:val="zh-CN"/>
        </w:rPr>
        <w:t>（一）项目组织架构及实施流程。</w:t>
      </w:r>
      <w:r>
        <w:rPr>
          <w:rFonts w:hint="eastAsia" w:ascii="仿宋_GB2312" w:eastAsia="仿宋_GB2312" w:cs="仿宋"/>
          <w:color w:val="000000"/>
          <w:sz w:val="32"/>
          <w:szCs w:val="32"/>
          <w:shd w:val="clear" w:color="auto" w:fill="FFFFFF"/>
        </w:rPr>
        <w:t>我中心根据广元市财政局的工作指示精神，我中心有计划有步骤地开展了</w:t>
      </w:r>
      <w:r>
        <w:rPr>
          <w:rFonts w:hint="eastAsia" w:ascii="仿宋_GB2312" w:eastAsia="仿宋_GB2312" w:cs="仿宋"/>
          <w:color w:val="000000"/>
          <w:sz w:val="32"/>
          <w:szCs w:val="32"/>
          <w:shd w:val="clear" w:color="auto" w:fill="FFFFFF"/>
          <w:lang w:val="zh-CN"/>
        </w:rPr>
        <w:t>网络及信息系统运维费</w:t>
      </w:r>
      <w:r>
        <w:rPr>
          <w:rFonts w:hint="eastAsia" w:ascii="仿宋_GB2312" w:eastAsia="仿宋_GB2312" w:cs="仿宋"/>
          <w:color w:val="000000"/>
          <w:sz w:val="32"/>
          <w:szCs w:val="32"/>
          <w:shd w:val="clear" w:color="auto" w:fill="FFFFFF"/>
        </w:rPr>
        <w:t>项目工作。该项目资金具体用途如下：</w:t>
      </w:r>
    </w:p>
    <w:p>
      <w:pPr>
        <w:pStyle w:val="13"/>
        <w:widowControl/>
        <w:shd w:val="clear" w:color="auto" w:fill="FFFFFF"/>
        <w:spacing w:before="0" w:beforeAutospacing="0" w:after="0" w:afterAutospacing="0" w:line="576" w:lineRule="exact"/>
        <w:ind w:firstLine="600"/>
        <w:textAlignment w:val="baseline"/>
        <w:rPr>
          <w:rFonts w:hint="eastAsia" w:ascii="仿宋_GB2312" w:eastAsia="仿宋_GB2312" w:cs="仿宋"/>
          <w:color w:val="000000"/>
          <w:sz w:val="32"/>
          <w:szCs w:val="32"/>
          <w:shd w:val="clear" w:color="auto" w:fill="FFFFFF"/>
        </w:rPr>
      </w:pPr>
      <w:r>
        <w:rPr>
          <w:rFonts w:hint="eastAsia" w:ascii="仿宋_GB2312" w:eastAsia="仿宋_GB2312" w:cs="仿宋"/>
          <w:color w:val="000000"/>
          <w:sz w:val="32"/>
          <w:szCs w:val="32"/>
          <w:shd w:val="clear" w:color="auto" w:fill="FFFFFF"/>
        </w:rPr>
        <w:t>主要用于座机使用年费、金财网、光纤互联网及政务外网年费，电信托管设备托管费、其他网络运维费支出预算资金10万元，实际执行10万元，资金执行率100%。</w:t>
      </w:r>
    </w:p>
    <w:p>
      <w:pPr>
        <w:pStyle w:val="13"/>
        <w:widowControl/>
        <w:shd w:val="clear" w:color="auto" w:fill="FFFFFF"/>
        <w:spacing w:before="0" w:beforeAutospacing="0" w:after="0" w:afterAutospacing="0" w:line="576" w:lineRule="exact"/>
        <w:ind w:firstLine="600"/>
        <w:jc w:val="both"/>
        <w:textAlignment w:val="baseline"/>
        <w:rPr>
          <w:rFonts w:hint="eastAsia" w:ascii="仿宋_GB2312" w:eastAsia="仿宋_GB2312" w:cs="仿宋"/>
          <w:color w:val="000000"/>
          <w:sz w:val="32"/>
          <w:szCs w:val="32"/>
          <w:shd w:val="clear" w:color="auto" w:fill="FFFFFF"/>
          <w:lang w:val="zh-CN"/>
        </w:rPr>
      </w:pPr>
      <w:r>
        <w:rPr>
          <w:rFonts w:hint="eastAsia" w:ascii="楷体_GB2312" w:eastAsia="楷体_GB2312"/>
          <w:kern w:val="2"/>
          <w:sz w:val="32"/>
          <w:szCs w:val="32"/>
          <w:lang w:val="zh-CN"/>
        </w:rPr>
        <w:t>（二）项目管理情况。</w:t>
      </w:r>
      <w:r>
        <w:rPr>
          <w:rFonts w:hint="eastAsia" w:ascii="仿宋_GB2312" w:eastAsia="仿宋_GB2312" w:cs="仿宋"/>
          <w:color w:val="000000"/>
          <w:sz w:val="32"/>
          <w:szCs w:val="32"/>
          <w:shd w:val="clear" w:color="auto" w:fill="FFFFFF"/>
        </w:rPr>
        <w:t>项目经费严格按照单位的财务制度和预算支出范围的使用。由广元市财政局国库支付局统一核算，按照项目计划安排和实际工作情况开支，做到了专款专用，经费均按广元市财政局印发有关文件、通知精神执行。</w:t>
      </w:r>
    </w:p>
    <w:p>
      <w:pPr>
        <w:adjustRightInd w:val="0"/>
        <w:snapToGrid w:val="0"/>
        <w:spacing w:line="576" w:lineRule="exact"/>
        <w:ind w:left="105" w:firstLine="480" w:firstLineChars="150"/>
        <w:rPr>
          <w:rFonts w:ascii="仿宋_GB2312" w:eastAsia="仿宋_GB2312" w:cs="宋体"/>
          <w:color w:val="000000"/>
          <w:sz w:val="32"/>
          <w:szCs w:val="32"/>
          <w:shd w:val="clear" w:color="auto" w:fill="FFFFFF"/>
        </w:rPr>
      </w:pPr>
      <w:r>
        <w:rPr>
          <w:rFonts w:hint="eastAsia" w:ascii="楷体_GB2312" w:eastAsia="楷体_GB2312"/>
          <w:sz w:val="32"/>
          <w:szCs w:val="32"/>
          <w:lang w:val="zh-CN"/>
        </w:rPr>
        <w:t>（三）项目监管情况。</w:t>
      </w:r>
      <w:r>
        <w:rPr>
          <w:rFonts w:hint="eastAsia" w:ascii="仿宋_GB2312" w:eastAsia="仿宋_GB2312" w:cs="仿宋"/>
          <w:color w:val="000000"/>
          <w:sz w:val="32"/>
          <w:szCs w:val="32"/>
          <w:shd w:val="clear" w:color="auto" w:fill="FFFFFF"/>
        </w:rPr>
        <w:t>本项目支出均按照有关规章制度和项目实施完成情况进行支付。并建立相关的管理制度，</w:t>
      </w:r>
      <w:r>
        <w:rPr>
          <w:rFonts w:hint="eastAsia" w:ascii="仿宋_GB2312" w:eastAsia="仿宋_GB2312"/>
          <w:bCs/>
          <w:sz w:val="32"/>
          <w:szCs w:val="32"/>
          <w:lang w:val="zh-CN"/>
        </w:rPr>
        <w:t>单位</w:t>
      </w:r>
      <w:r>
        <w:rPr>
          <w:rFonts w:hint="eastAsia" w:ascii="仿宋_GB2312" w:eastAsia="仿宋_GB2312"/>
          <w:bCs/>
          <w:kern w:val="0"/>
          <w:sz w:val="32"/>
          <w:szCs w:val="32"/>
          <w:lang w:val="zh-CN"/>
        </w:rPr>
        <w:t>内控工作小组与现场监督科定期对项目的实施进度和支付情况进行监督检查。对进度较慢的项目进行督促指导，对不合规、不合理的情况进行指正并立要求即整改</w:t>
      </w:r>
      <w:r>
        <w:rPr>
          <w:rFonts w:hint="eastAsia" w:ascii="仿宋_GB2312" w:eastAsia="仿宋_GB2312" w:cs="宋体"/>
          <w:color w:val="000000"/>
          <w:sz w:val="32"/>
          <w:szCs w:val="32"/>
          <w:shd w:val="clear" w:color="auto" w:fill="FFFFFF"/>
        </w:rPr>
        <w:t>。</w:t>
      </w:r>
    </w:p>
    <w:p>
      <w:pPr>
        <w:adjustRightInd w:val="0"/>
        <w:snapToGrid w:val="0"/>
        <w:spacing w:line="576" w:lineRule="exact"/>
        <w:ind w:left="48" w:leftChars="23" w:firstLine="736" w:firstLineChars="230"/>
        <w:rPr>
          <w:rFonts w:ascii="黑体" w:eastAsia="黑体"/>
          <w:sz w:val="32"/>
          <w:szCs w:val="32"/>
          <w:lang w:val="zh-CN"/>
        </w:rPr>
      </w:pPr>
      <w:bookmarkStart w:id="77" w:name="_Toc848961018_WPSOffice_Level2"/>
      <w:r>
        <w:rPr>
          <w:rFonts w:hint="eastAsia" w:ascii="黑体" w:eastAsia="黑体"/>
          <w:sz w:val="32"/>
          <w:szCs w:val="32"/>
        </w:rPr>
        <w:t>四、项目绩效情况</w:t>
      </w:r>
      <w:bookmarkEnd w:id="77"/>
    </w:p>
    <w:p>
      <w:pPr>
        <w:adjustRightInd w:val="0"/>
        <w:snapToGrid w:val="0"/>
        <w:spacing w:line="576" w:lineRule="exact"/>
        <w:ind w:left="105" w:firstLine="480" w:firstLineChars="150"/>
        <w:rPr>
          <w:rFonts w:ascii="楷体_GB2312" w:eastAsia="楷体_GB2312"/>
          <w:sz w:val="32"/>
          <w:szCs w:val="32"/>
          <w:lang w:val="zh-CN"/>
        </w:rPr>
      </w:pPr>
      <w:r>
        <w:rPr>
          <w:rFonts w:hint="eastAsia" w:ascii="楷体_GB2312" w:eastAsia="楷体_GB2312"/>
          <w:sz w:val="32"/>
          <w:szCs w:val="32"/>
          <w:lang w:val="zh-CN"/>
        </w:rPr>
        <w:t>（一）项目完成情况</w:t>
      </w:r>
    </w:p>
    <w:p>
      <w:pPr>
        <w:adjustRightInd w:val="0"/>
        <w:snapToGrid w:val="0"/>
        <w:spacing w:line="576" w:lineRule="exact"/>
        <w:ind w:firstLine="640" w:firstLineChars="200"/>
        <w:rPr>
          <w:rFonts w:ascii="仿宋_GB2312" w:eastAsia="仿宋_GB2312"/>
          <w:b/>
          <w:sz w:val="32"/>
          <w:szCs w:val="32"/>
          <w:lang w:val="zh-CN"/>
        </w:rPr>
      </w:pPr>
      <w:r>
        <w:rPr>
          <w:rFonts w:hint="eastAsia" w:ascii="仿宋_GB2312" w:eastAsia="仿宋_GB2312"/>
          <w:sz w:val="32"/>
          <w:szCs w:val="32"/>
        </w:rPr>
        <w:t>年初下达</w:t>
      </w:r>
      <w:r>
        <w:rPr>
          <w:rFonts w:hint="eastAsia" w:ascii="仿宋_GB2312" w:eastAsia="仿宋_GB2312" w:cs="仿宋"/>
          <w:color w:val="000000"/>
          <w:sz w:val="32"/>
          <w:szCs w:val="32"/>
          <w:lang w:val="zh-CN"/>
        </w:rPr>
        <w:t>网络及信息系统运维费</w:t>
      </w:r>
      <w:r>
        <w:rPr>
          <w:rFonts w:hint="eastAsia" w:ascii="仿宋_GB2312" w:eastAsia="仿宋_GB2312"/>
          <w:sz w:val="32"/>
          <w:szCs w:val="32"/>
        </w:rPr>
        <w:t>10万元，实际支付10万元，执行率100%，完成情况好。</w:t>
      </w:r>
    </w:p>
    <w:p>
      <w:pPr>
        <w:adjustRightInd w:val="0"/>
        <w:snapToGrid w:val="0"/>
        <w:spacing w:line="576" w:lineRule="exact"/>
        <w:ind w:left="105" w:firstLine="480" w:firstLineChars="150"/>
        <w:rPr>
          <w:rFonts w:ascii="楷体_GB2312" w:eastAsia="楷体_GB2312"/>
          <w:sz w:val="32"/>
          <w:szCs w:val="32"/>
          <w:lang w:val="zh-CN"/>
        </w:rPr>
      </w:pPr>
      <w:r>
        <w:rPr>
          <w:rFonts w:hint="eastAsia" w:ascii="楷体_GB2312" w:eastAsia="楷体_GB2312"/>
          <w:sz w:val="32"/>
          <w:szCs w:val="32"/>
          <w:lang w:val="zh-CN"/>
        </w:rPr>
        <w:t>（二）项目效益情况</w:t>
      </w:r>
    </w:p>
    <w:p>
      <w:pPr>
        <w:adjustRightInd w:val="0"/>
        <w:snapToGrid w:val="0"/>
        <w:spacing w:line="576" w:lineRule="exact"/>
        <w:ind w:left="105" w:firstLine="640" w:firstLineChars="200"/>
        <w:rPr>
          <w:rFonts w:ascii="仿宋_GB2312" w:eastAsia="仿宋_GB2312"/>
          <w:sz w:val="32"/>
          <w:szCs w:val="32"/>
          <w:lang w:val="zh-CN"/>
        </w:rPr>
      </w:pPr>
      <w:r>
        <w:rPr>
          <w:rFonts w:hint="eastAsia" w:ascii="仿宋_GB2312" w:eastAsia="仿宋_GB2312"/>
          <w:sz w:val="32"/>
          <w:szCs w:val="32"/>
          <w:lang w:val="zh-CN"/>
        </w:rPr>
        <w:t>该项目顺利实施，使全市公共资源电子化交易活动顺利开展，实现公共资源交易活动全流程电子化，搭建全国统一的公共资源交易电子平台，优化营商环境，推动社会经济发展。</w:t>
      </w:r>
    </w:p>
    <w:p>
      <w:pPr>
        <w:adjustRightInd w:val="0"/>
        <w:snapToGrid w:val="0"/>
        <w:spacing w:line="576" w:lineRule="exact"/>
        <w:ind w:left="105" w:firstLine="640" w:firstLineChars="200"/>
        <w:rPr>
          <w:rFonts w:ascii="黑体" w:eastAsia="黑体"/>
          <w:sz w:val="32"/>
          <w:szCs w:val="32"/>
        </w:rPr>
      </w:pPr>
      <w:bookmarkStart w:id="78" w:name="_Toc1643837894_WPSOffice_Level2"/>
      <w:r>
        <w:rPr>
          <w:rFonts w:hint="eastAsia" w:ascii="黑体" w:eastAsia="黑体"/>
          <w:sz w:val="32"/>
          <w:szCs w:val="32"/>
        </w:rPr>
        <w:t>五、评价结论及建议</w:t>
      </w:r>
      <w:bookmarkEnd w:id="78"/>
    </w:p>
    <w:p>
      <w:pPr>
        <w:adjustRightInd w:val="0"/>
        <w:snapToGrid w:val="0"/>
        <w:spacing w:line="576" w:lineRule="exact"/>
        <w:ind w:left="105" w:firstLine="640" w:firstLineChars="200"/>
        <w:rPr>
          <w:rFonts w:hint="eastAsia" w:ascii="楷体_GB2312" w:eastAsia="楷体_GB2312"/>
          <w:sz w:val="32"/>
          <w:szCs w:val="32"/>
          <w:lang w:val="zh-CN"/>
        </w:rPr>
      </w:pPr>
      <w:r>
        <w:rPr>
          <w:rFonts w:hint="eastAsia" w:ascii="楷体_GB2312" w:eastAsia="楷体_GB2312"/>
          <w:sz w:val="32"/>
          <w:szCs w:val="32"/>
          <w:lang w:val="zh-CN"/>
        </w:rPr>
        <w:t>（一）评价结论</w:t>
      </w:r>
    </w:p>
    <w:p>
      <w:pPr>
        <w:adjustRightInd w:val="0"/>
        <w:snapToGrid w:val="0"/>
        <w:spacing w:line="576" w:lineRule="exact"/>
        <w:ind w:left="105" w:firstLine="640" w:firstLineChars="200"/>
        <w:rPr>
          <w:rFonts w:ascii="仿宋_GB2312" w:eastAsia="仿宋_GB2312" w:cs="仿宋"/>
          <w:sz w:val="32"/>
          <w:szCs w:val="32"/>
        </w:rPr>
      </w:pPr>
      <w:r>
        <w:rPr>
          <w:rFonts w:hint="eastAsia" w:ascii="仿宋_GB2312" w:eastAsia="仿宋_GB2312" w:cs="仿宋_GB2312"/>
          <w:sz w:val="32"/>
          <w:szCs w:val="32"/>
        </w:rPr>
        <w:t>结合中心工作实际情况，</w:t>
      </w:r>
      <w:r>
        <w:rPr>
          <w:rFonts w:hint="eastAsia" w:ascii="仿宋_GB2312" w:eastAsia="仿宋_GB2312" w:cs="仿宋_GB2312"/>
          <w:kern w:val="0"/>
          <w:sz w:val="32"/>
          <w:szCs w:val="32"/>
        </w:rPr>
        <w:t>对照《202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年市级财政项目支出绩效评价指标体系》进行自评</w:t>
      </w:r>
      <w:r>
        <w:rPr>
          <w:rFonts w:hint="eastAsia" w:ascii="仿宋_GB2312" w:eastAsia="仿宋_GB2312"/>
          <w:sz w:val="32"/>
          <w:szCs w:val="32"/>
        </w:rPr>
        <w:t>打分，综合得分97分，项目支出绩效为评价为“优”。</w:t>
      </w:r>
    </w:p>
    <w:p>
      <w:pPr>
        <w:adjustRightInd w:val="0"/>
        <w:snapToGrid w:val="0"/>
        <w:spacing w:line="576" w:lineRule="exact"/>
        <w:ind w:left="105" w:firstLine="640" w:firstLineChars="200"/>
        <w:rPr>
          <w:rFonts w:ascii="楷体_GB2312" w:eastAsia="楷体_GB2312"/>
          <w:sz w:val="32"/>
          <w:szCs w:val="32"/>
          <w:lang w:val="zh-CN"/>
        </w:rPr>
      </w:pPr>
      <w:r>
        <w:rPr>
          <w:rFonts w:hint="eastAsia" w:ascii="楷体_GB2312" w:eastAsia="楷体_GB2312"/>
          <w:sz w:val="32"/>
          <w:szCs w:val="32"/>
          <w:lang w:val="zh-CN"/>
        </w:rPr>
        <w:t>（二）存在的问题</w:t>
      </w:r>
    </w:p>
    <w:p>
      <w:pPr>
        <w:pStyle w:val="2"/>
        <w:spacing w:before="30" w:beforeLines="0" w:line="576" w:lineRule="exact"/>
        <w:ind w:firstLine="640" w:firstLineChars="200"/>
        <w:rPr>
          <w:rFonts w:hint="eastAsia"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1.由于项目申报时支出规划不是很完善，导致项目资金支付略有不足。</w:t>
      </w:r>
    </w:p>
    <w:p>
      <w:pPr>
        <w:pStyle w:val="2"/>
        <w:spacing w:before="30" w:beforeLines="0" w:line="576" w:lineRule="exact"/>
        <w:ind w:firstLine="640" w:firstLineChars="200"/>
        <w:rPr>
          <w:rFonts w:hint="eastAsia" w:cs="仿宋_GB2312"/>
          <w:kern w:val="0"/>
          <w:sz w:val="32"/>
          <w:szCs w:val="32"/>
          <w:lang w:val="en-US" w:eastAsia="zh-CN" w:bidi="ar-SA"/>
        </w:rPr>
      </w:pPr>
      <w:r>
        <w:rPr>
          <w:rFonts w:hint="eastAsia" w:ascii="仿宋_GB2312" w:eastAsia="仿宋_GB2312" w:cs="仿宋_GB2312"/>
          <w:kern w:val="0"/>
          <w:sz w:val="32"/>
          <w:szCs w:val="32"/>
          <w:lang w:val="en-US" w:eastAsia="zh-CN" w:bidi="ar-SA"/>
        </w:rPr>
        <w:t>2.项目经费使用严格按照相关规定执行，但仍存在支出进度缓慢，材料报送不及时等问题，针对项目执行时出现的问题，及时改进，加快材料报送与审核流程，确保项目经费支出符合相关规定并按时支出。</w:t>
      </w:r>
      <w:r>
        <w:rPr>
          <w:rFonts w:hint="eastAsia" w:cs="仿宋_GB2312"/>
          <w:kern w:val="0"/>
          <w:sz w:val="32"/>
          <w:szCs w:val="32"/>
          <w:lang w:val="en-US" w:eastAsia="zh-CN" w:bidi="ar-SA"/>
        </w:rPr>
        <w:t xml:space="preserve"> </w:t>
      </w:r>
    </w:p>
    <w:p>
      <w:pPr>
        <w:pStyle w:val="3"/>
        <w:rPr>
          <w:rFonts w:hint="eastAsia" w:cs="仿宋_GB2312"/>
          <w:kern w:val="0"/>
          <w:sz w:val="32"/>
          <w:szCs w:val="32"/>
          <w:lang w:val="en-US" w:eastAsia="zh-CN" w:bidi="ar-SA"/>
        </w:rPr>
      </w:pPr>
    </w:p>
    <w:p>
      <w:r>
        <w:br w:type="page"/>
      </w:r>
    </w:p>
    <w:p/>
    <w:tbl>
      <w:tblPr>
        <w:tblStyle w:val="15"/>
        <w:tblpPr w:leftFromText="180" w:rightFromText="180" w:vertAnchor="text" w:horzAnchor="page" w:tblpX="1347" w:tblpY="1540"/>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4"/>
        <w:gridCol w:w="936"/>
        <w:gridCol w:w="1122"/>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5" w:hRule="atLeast"/>
        </w:trPr>
        <w:tc>
          <w:tcPr>
            <w:tcW w:w="9960" w:type="dxa"/>
            <w:gridSpan w:val="6"/>
            <w:tcBorders>
              <w:top w:val="nil"/>
              <w:left w:val="nil"/>
              <w:bottom w:val="nil"/>
              <w:right w:val="nil"/>
            </w:tcBorders>
            <w:noWrap/>
            <w:tcMar>
              <w:top w:w="15" w:type="dxa"/>
              <w:left w:w="15" w:type="dxa"/>
              <w:right w:w="15" w:type="dxa"/>
            </w:tcMar>
            <w:vAlign w:val="center"/>
          </w:tcPr>
          <w:p>
            <w:pPr>
              <w:widowControl/>
              <w:spacing w:line="560" w:lineRule="exact"/>
              <w:ind w:left="0" w:firstLine="3740" w:firstLineChars="850"/>
              <w:jc w:val="both"/>
              <w:textAlignment w:val="center"/>
              <w:rPr>
                <w:rFonts w:hint="eastAsia" w:ascii="方正小标宋简体" w:eastAsia="方正小标宋简体" w:cs="宋体"/>
                <w:bCs/>
                <w:color w:val="000000"/>
                <w:kern w:val="0"/>
                <w:sz w:val="44"/>
                <w:szCs w:val="44"/>
              </w:rPr>
            </w:pPr>
            <w:r>
              <w:rPr>
                <w:rFonts w:hint="eastAsia" w:ascii="方正小标宋简体" w:eastAsia="方正小标宋简体" w:cs="宋体"/>
                <w:bCs/>
                <w:color w:val="000000"/>
                <w:kern w:val="0"/>
                <w:sz w:val="44"/>
                <w:szCs w:val="44"/>
              </w:rPr>
              <w:t>网络运行维护费</w:t>
            </w:r>
          </w:p>
          <w:p>
            <w:pPr>
              <w:widowControl/>
              <w:spacing w:line="560" w:lineRule="exact"/>
              <w:jc w:val="center"/>
              <w:textAlignment w:val="center"/>
              <w:rPr>
                <w:rFonts w:hint="eastAsia" w:ascii="方正小标宋简体" w:eastAsia="方正小标宋简体" w:cs="宋体"/>
                <w:bCs/>
                <w:color w:val="000000"/>
                <w:kern w:val="0"/>
                <w:sz w:val="44"/>
                <w:szCs w:val="44"/>
              </w:rPr>
            </w:pPr>
            <w:r>
              <w:rPr>
                <w:rFonts w:hint="eastAsia" w:ascii="方正小标宋简体" w:eastAsia="方正小标宋简体" w:cs="宋体"/>
                <w:bCs/>
                <w:color w:val="000000"/>
                <w:kern w:val="0"/>
                <w:sz w:val="44"/>
                <w:szCs w:val="44"/>
                <w:lang w:val="en-US" w:eastAsia="zh-CN"/>
              </w:rPr>
              <w:t xml:space="preserve">  </w:t>
            </w:r>
            <w:r>
              <w:rPr>
                <w:rFonts w:hint="eastAsia" w:ascii="方正小标宋简体" w:eastAsia="方正小标宋简体" w:cs="宋体"/>
                <w:bCs/>
                <w:color w:val="000000"/>
                <w:kern w:val="0"/>
                <w:sz w:val="44"/>
                <w:szCs w:val="44"/>
              </w:rPr>
              <w:t>项目绩效目标完成情况表</w:t>
            </w:r>
          </w:p>
          <w:p>
            <w:pPr>
              <w:widowControl/>
              <w:spacing w:line="560" w:lineRule="exact"/>
              <w:ind w:firstLine="4480" w:firstLineChars="1400"/>
              <w:jc w:val="both"/>
              <w:textAlignment w:val="center"/>
              <w:rPr>
                <w:rFonts w:hint="eastAsia" w:ascii="方正小标宋简体" w:eastAsia="方正小标宋简体" w:cs="方正小标宋简体"/>
                <w:sz w:val="32"/>
                <w:szCs w:val="32"/>
                <w:lang w:val="en-US" w:eastAsia="zh-CN"/>
              </w:rPr>
            </w:pPr>
            <w:r>
              <w:rPr>
                <w:rFonts w:hint="eastAsia" w:ascii="方正小标宋简体" w:eastAsia="方正小标宋简体" w:cs="方正小标宋简体"/>
                <w:sz w:val="32"/>
                <w:szCs w:val="32"/>
              </w:rPr>
              <w:t>(202</w:t>
            </w:r>
            <w:r>
              <w:rPr>
                <w:rFonts w:hint="eastAsia" w:ascii="方正小标宋简体" w:eastAsia="方正小标宋简体" w:cs="方正小标宋简体"/>
                <w:sz w:val="32"/>
                <w:szCs w:val="32"/>
                <w:lang w:val="en-US" w:eastAsia="zh-CN"/>
              </w:rPr>
              <w:t>1</w:t>
            </w:r>
            <w:r>
              <w:rPr>
                <w:rFonts w:hint="eastAsia" w:ascii="方正小标宋简体" w:eastAsia="方正小标宋简体" w:cs="方正小标宋简体"/>
                <w:sz w:val="32"/>
                <w:szCs w:val="32"/>
              </w:rPr>
              <w:t>年度)</w:t>
            </w:r>
          </w:p>
          <w:p>
            <w:pPr>
              <w:rPr>
                <w:rFonts w:hint="eastAsia"/>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cs="仿宋_GB2312"/>
                <w:sz w:val="24"/>
                <w:szCs w:val="24"/>
              </w:rPr>
            </w:pPr>
            <w:r>
              <w:rPr>
                <w:rFonts w:hint="eastAsia" w:ascii="仿宋_GB2312" w:eastAsia="仿宋_GB2312" w:cs="仿宋_GB2312"/>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cs="仿宋_GB2312"/>
                <w:sz w:val="24"/>
                <w:szCs w:val="24"/>
              </w:rPr>
            </w:pPr>
            <w:r>
              <w:rPr>
                <w:rFonts w:hint="eastAsia" w:ascii="仿宋_GB2312" w:eastAsia="仿宋_GB2312" w:cs="仿宋_GB2312"/>
                <w:sz w:val="24"/>
                <w:szCs w:val="24"/>
              </w:rPr>
              <w:t>网络运行维护费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cs="仿宋_GB2312"/>
                <w:sz w:val="24"/>
                <w:szCs w:val="24"/>
              </w:rPr>
            </w:pPr>
            <w:r>
              <w:rPr>
                <w:rFonts w:hint="eastAsia" w:ascii="仿宋_GB2312" w:eastAsia="仿宋_GB2312" w:cs="仿宋_GB2312"/>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cs="仿宋_GB2312"/>
                <w:sz w:val="24"/>
                <w:szCs w:val="24"/>
              </w:rPr>
            </w:pPr>
            <w:r>
              <w:rPr>
                <w:rFonts w:hint="eastAsia" w:ascii="仿宋_GB2312" w:eastAsia="仿宋_GB2312" w:cs="仿宋_GB2312"/>
                <w:sz w:val="24"/>
                <w:szCs w:val="24"/>
              </w:rPr>
              <w:t>广元公共资源交易信息中心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预算执行情况(万元)</w:t>
            </w:r>
          </w:p>
        </w:tc>
        <w:tc>
          <w:tcPr>
            <w:tcW w:w="20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10</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10</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2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0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10</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10</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0" w:hRule="atLeast"/>
        </w:trPr>
        <w:tc>
          <w:tcPr>
            <w:tcW w:w="72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0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72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4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确保2021年度市公共资源交易信息中心网络宽带及电话、应急抢险救灾施工队伍储备库信息系统、公共资源交易电子平台管理信息系统等网络系统稳定通畅运行。</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eastAsia="仿宋_GB2312" w:cs="仿宋_GB2312"/>
                <w:color w:val="000000"/>
                <w:sz w:val="24"/>
                <w:szCs w:val="24"/>
              </w:rPr>
            </w:pPr>
          </w:p>
          <w:p>
            <w:pPr>
              <w:widowControl/>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2021年度，市公共资源交易信息中心网络宽带及电话、应急抢险救灾施工队伍储备库信息系统、公共资源交易电子平台管理信息系统等网络系统稳定通畅运行。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trPr>
        <w:tc>
          <w:tcPr>
            <w:tcW w:w="72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绩效指标完成情况</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一级指标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 xml:space="preserve"> 新增防火墙病毒库授权服务</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1次</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6"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rPr>
              <w:t>办公场所及开评标区域网络宽带及座机电话稳定通畅运行</w:t>
            </w:r>
            <w:r>
              <w:rPr>
                <w:rFonts w:hint="eastAsia" w:ascii="仿宋_GB2312" w:eastAsia="仿宋_GB2312" w:cs="仿宋_GB2312"/>
                <w:color w:val="000000"/>
                <w:sz w:val="24"/>
                <w:szCs w:val="24"/>
                <w:lang w:val="en-US" w:eastAsia="zh-CN"/>
              </w:rPr>
              <w:t>,公共资源交易电子化平台网络网络设备、服务器安全有效；应急抢险救灾施工队伍储备库信息系统稳定通畅运行，需抽取时能立即抽取</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≥99.99%</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202</w:t>
            </w:r>
            <w:r>
              <w:rPr>
                <w:rFonts w:hint="eastAsia"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年度</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202</w:t>
            </w:r>
            <w:r>
              <w:rPr>
                <w:rFonts w:hint="eastAsia"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rPr>
              <w:t>金财网、光纤互联网及政务外网年费</w:t>
            </w:r>
            <w:r>
              <w:rPr>
                <w:rFonts w:hint="eastAsia" w:ascii="仿宋_GB2312" w:eastAsia="仿宋_GB2312" w:cs="仿宋_GB2312"/>
                <w:color w:val="000000"/>
                <w:sz w:val="24"/>
                <w:szCs w:val="24"/>
                <w:lang w:val="en-US" w:eastAsia="zh-CN"/>
              </w:rPr>
              <w:t>,其他网络运维费支出,座机使用年费</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效益指标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社会效益</w:t>
            </w:r>
          </w:p>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 xml:space="preserve"> 公共资源电子化交易活动正常运行</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≥99.99%</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724"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满意度指标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相关交易主体对公共资源电子化交易平台使用满意率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≥90%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≥90%</w:t>
            </w:r>
          </w:p>
        </w:tc>
      </w:tr>
    </w:tbl>
    <w:p>
      <w:pPr>
        <w:pStyle w:val="2"/>
        <w:rPr>
          <w:lang w:val="zh-CN"/>
        </w:rPr>
      </w:pPr>
    </w:p>
    <w:p>
      <w:pPr>
        <w:rPr>
          <w:rFonts w:hint="eastAsia"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br w:type="page"/>
      </w:r>
    </w:p>
    <w:p>
      <w:pPr>
        <w:spacing w:line="580" w:lineRule="exact"/>
        <w:rPr>
          <w:rFonts w:ascii="仿宋_GB2312" w:eastAsia="仿宋_GB2312" w:cs="仿宋_GB2312"/>
          <w:sz w:val="32"/>
          <w:szCs w:val="32"/>
        </w:rPr>
      </w:pPr>
      <w:r>
        <w:rPr>
          <w:rFonts w:hint="eastAsia" w:ascii="黑体" w:eastAsia="黑体" w:cs="黑体"/>
          <w:sz w:val="32"/>
          <w:szCs w:val="32"/>
        </w:rPr>
        <w:t>附件</w:t>
      </w:r>
      <w:r>
        <w:rPr>
          <w:rFonts w:ascii="黑体" w:eastAsia="黑体" w:cs="黑体"/>
          <w:sz w:val="32"/>
          <w:szCs w:val="32"/>
        </w:rPr>
        <w:t>2</w:t>
      </w:r>
    </w:p>
    <w:p>
      <w:pPr>
        <w:spacing w:line="600" w:lineRule="exact"/>
        <w:jc w:val="center"/>
        <w:rPr>
          <w:rFonts w:hint="eastAsia" w:ascii="方正小标宋简体" w:eastAsia="方正小标宋简体" w:cs="方正小标宋简体"/>
          <w:color w:val="000000"/>
          <w:spacing w:val="-20"/>
          <w:kern w:val="0"/>
          <w:sz w:val="44"/>
          <w:szCs w:val="44"/>
          <w:lang w:val="zh-CN"/>
        </w:rPr>
      </w:pPr>
      <w:bookmarkStart w:id="79" w:name="_Toc1433035696_WPSOffice_Level2"/>
      <w:r>
        <w:rPr>
          <w:rFonts w:hint="eastAsia" w:ascii="方正小标宋简体" w:eastAsia="方正小标宋简体" w:cs="方正小标宋简体"/>
          <w:color w:val="000000"/>
          <w:spacing w:val="-20"/>
          <w:kern w:val="0"/>
          <w:sz w:val="44"/>
          <w:szCs w:val="44"/>
        </w:rPr>
        <w:t>土地出让工作经费</w:t>
      </w:r>
      <w:r>
        <w:rPr>
          <w:rFonts w:hint="eastAsia" w:ascii="方正小标宋简体" w:eastAsia="方正小标宋简体" w:cs="方正小标宋简体"/>
          <w:color w:val="000000"/>
          <w:spacing w:val="-20"/>
          <w:kern w:val="0"/>
          <w:sz w:val="44"/>
          <w:szCs w:val="44"/>
          <w:lang w:val="zh-CN"/>
        </w:rPr>
        <w:t>项目</w:t>
      </w:r>
      <w:r>
        <w:rPr>
          <w:rFonts w:hint="eastAsia" w:ascii="方正小标宋简体" w:eastAsia="方正小标宋简体" w:cs="方正小标宋简体"/>
          <w:color w:val="000000"/>
          <w:spacing w:val="-20"/>
          <w:kern w:val="0"/>
          <w:sz w:val="44"/>
          <w:szCs w:val="44"/>
        </w:rPr>
        <w:t>2021年</w:t>
      </w:r>
      <w:r>
        <w:rPr>
          <w:rFonts w:hint="eastAsia" w:ascii="方正小标宋简体" w:eastAsia="方正小标宋简体" w:cs="方正小标宋简体"/>
          <w:color w:val="000000"/>
          <w:spacing w:val="-20"/>
          <w:kern w:val="0"/>
          <w:sz w:val="44"/>
          <w:szCs w:val="44"/>
          <w:lang w:val="zh-CN"/>
        </w:rPr>
        <w:t>绩效评价报告</w:t>
      </w:r>
      <w:bookmarkEnd w:id="79"/>
    </w:p>
    <w:p>
      <w:pPr>
        <w:spacing w:line="600" w:lineRule="exact"/>
        <w:rPr>
          <w:rFonts w:ascii="宋体"/>
          <w:sz w:val="32"/>
          <w:szCs w:val="32"/>
          <w:lang w:val="zh-CN"/>
        </w:rPr>
      </w:pPr>
    </w:p>
    <w:p>
      <w:pPr>
        <w:adjustRightInd w:val="0"/>
        <w:snapToGrid w:val="0"/>
        <w:spacing w:line="600" w:lineRule="exact"/>
        <w:ind w:firstLine="720"/>
        <w:rPr>
          <w:rFonts w:ascii="黑体" w:eastAsia="黑体"/>
          <w:sz w:val="32"/>
          <w:szCs w:val="32"/>
          <w:lang w:val="zh-CN"/>
        </w:rPr>
      </w:pPr>
      <w:bookmarkStart w:id="80" w:name="_Toc846370306_WPSOffice_Level2"/>
      <w:r>
        <w:rPr>
          <w:rFonts w:hint="eastAsia" w:ascii="黑体" w:eastAsia="黑体"/>
          <w:sz w:val="32"/>
          <w:szCs w:val="32"/>
        </w:rPr>
        <w:t>一、</w:t>
      </w:r>
      <w:r>
        <w:rPr>
          <w:rFonts w:hint="eastAsia" w:ascii="黑体" w:eastAsia="黑体"/>
          <w:sz w:val="32"/>
          <w:szCs w:val="32"/>
          <w:lang w:val="zh-CN"/>
        </w:rPr>
        <w:t>项目概况</w:t>
      </w:r>
      <w:bookmarkEnd w:id="80"/>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600" w:lineRule="exact"/>
        <w:ind w:firstLine="720"/>
        <w:rPr>
          <w:rFonts w:hint="eastAsia" w:ascii="仿宋_GB2312" w:eastAsia="仿宋_GB2312" w:cs="仿宋_GB2312"/>
          <w:color w:val="000000"/>
          <w:sz w:val="32"/>
          <w:szCs w:val="32"/>
        </w:rPr>
      </w:pPr>
      <w:r>
        <w:rPr>
          <w:rFonts w:ascii="仿宋_GB2312" w:eastAsia="仿宋_GB2312"/>
          <w:sz w:val="32"/>
          <w:szCs w:val="32"/>
          <w:lang w:val="zh-CN"/>
        </w:rPr>
        <w:t>1</w:t>
      </w:r>
      <w:r>
        <w:rPr>
          <w:rFonts w:hint="eastAsia" w:ascii="仿宋_GB2312" w:eastAsia="仿宋_GB2312"/>
          <w:sz w:val="32"/>
          <w:szCs w:val="32"/>
          <w:lang w:val="zh-CN"/>
        </w:rPr>
        <w:t>．</w:t>
      </w:r>
      <w:r>
        <w:rPr>
          <w:rFonts w:hint="eastAsia" w:ascii="仿宋_GB2312" w:eastAsia="仿宋_GB2312" w:cs="仿宋_GB2312"/>
          <w:color w:val="000000"/>
          <w:kern w:val="0"/>
          <w:sz w:val="32"/>
          <w:szCs w:val="32"/>
          <w:shd w:val="clear" w:color="auto" w:fill="FFFFFF"/>
          <w:lang w:val="zh-CN"/>
        </w:rPr>
        <w:t>广元市</w:t>
      </w:r>
      <w:r>
        <w:rPr>
          <w:rFonts w:hint="eastAsia" w:ascii="仿宋_GB2312" w:eastAsia="仿宋_GB2312" w:cs="仿宋_GB2312"/>
          <w:color w:val="000000"/>
          <w:sz w:val="32"/>
          <w:szCs w:val="32"/>
        </w:rPr>
        <w:t>公共资源交易信息中心是经市委、市政府批准设立的公益一类事业单位，直属市政务服务和公共资源交易中心。根据该部门“</w:t>
      </w:r>
      <w:r>
        <w:rPr>
          <w:rFonts w:hint="eastAsia" w:ascii="仿宋_GB2312" w:eastAsia="仿宋_GB2312" w:cs="仿宋_GB2312"/>
          <w:sz w:val="32"/>
          <w:szCs w:val="32"/>
        </w:rPr>
        <w:t>贯彻实施公共资源交易相关法律、法规和政策，为公共资源交易活动提供场所、设施和服务。”及</w:t>
      </w:r>
      <w:r>
        <w:rPr>
          <w:rFonts w:hint="eastAsia" w:ascii="仿宋_GB2312" w:eastAsia="仿宋_GB2312" w:cs="仿宋_GB2312"/>
          <w:color w:val="000000"/>
          <w:sz w:val="32"/>
          <w:szCs w:val="32"/>
        </w:rPr>
        <w:t>“</w:t>
      </w:r>
      <w:r>
        <w:rPr>
          <w:rFonts w:hint="eastAsia" w:ascii="仿宋_GB2312" w:eastAsia="仿宋_GB2312" w:cs="仿宋_GB2312"/>
          <w:sz w:val="32"/>
          <w:szCs w:val="32"/>
        </w:rPr>
        <w:t>承担全市工程建设招投标现场服务和管理工作，负责政府采购活动现场服务和管理工作，负责国有产权、特许经营权出（转）让等现场服务和管理工作，负责国有土地、矿业权出（转）让提供交易服务</w:t>
      </w:r>
      <w:r>
        <w:rPr>
          <w:rFonts w:hint="eastAsia" w:ascii="仿宋_GB2312" w:eastAsia="仿宋_GB2312" w:cs="仿宋_GB2312"/>
          <w:color w:val="000000"/>
          <w:sz w:val="32"/>
          <w:szCs w:val="32"/>
        </w:rPr>
        <w:t>”的职能申请设立了“土地出让工作经费”项目预算。</w:t>
      </w:r>
      <w:r>
        <w:rPr>
          <w:rFonts w:hint="eastAsia" w:ascii="仿宋_GB2312" w:eastAsia="仿宋_GB2312" w:cs="仿宋_GB2312"/>
          <w:sz w:val="32"/>
          <w:szCs w:val="32"/>
        </w:rPr>
        <w:t>作为开展土地出让工作必需的工作业务费。</w:t>
      </w:r>
    </w:p>
    <w:p>
      <w:pPr>
        <w:adjustRightInd w:val="0"/>
        <w:snapToGrid w:val="0"/>
        <w:spacing w:line="600" w:lineRule="exact"/>
        <w:ind w:firstLine="720"/>
        <w:rPr>
          <w:rFonts w:hint="eastAsia"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．土地出让工作经费项目是根据《中华人民共和国土地管理法》《中华人民共和国拍卖法》的相关规定及以前年度土地出让情况和市财政下达的2021年度非税征收任务申报年初项目预算38.76万元。</w:t>
      </w:r>
    </w:p>
    <w:p>
      <w:pPr>
        <w:adjustRightInd w:val="0"/>
        <w:snapToGrid w:val="0"/>
        <w:spacing w:line="600" w:lineRule="exact"/>
        <w:ind w:firstLine="720"/>
        <w:rPr>
          <w:rFonts w:hint="eastAsia"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lang w:val="zh-CN"/>
        </w:rPr>
        <w:t>．土地出让工作经费主要用于支付土地拍卖机构劳务费、土地出让公告费、以及其他为完成年度非税征收任务而进行的必要开支。支付标准为有关财务管理制度、规定以及中心与拍卖机构签订的费用支付协议等。</w:t>
      </w:r>
    </w:p>
    <w:p>
      <w:pPr>
        <w:adjustRightInd w:val="0"/>
        <w:snapToGrid w:val="0"/>
        <w:spacing w:line="600" w:lineRule="exact"/>
        <w:ind w:firstLine="720"/>
        <w:rPr>
          <w:rFonts w:hint="eastAsia" w:ascii="仿宋_GB2312" w:eastAsia="仿宋_GB2312"/>
          <w:sz w:val="32"/>
          <w:szCs w:val="32"/>
          <w:lang w:val="zh-CN"/>
        </w:rPr>
      </w:pPr>
      <w:r>
        <w:rPr>
          <w:rFonts w:hint="eastAsia" w:ascii="仿宋_GB2312" w:eastAsia="仿宋_GB2312"/>
          <w:sz w:val="32"/>
          <w:szCs w:val="32"/>
          <w:lang w:val="zh-CN"/>
        </w:rPr>
        <w:t>4．资金分配时根据重要性及及时性原则优先支付拍卖机构的劳务报酬，根据约定土地拍卖工作完成后及时支付。在资金充足情况下合理支付其他必要开支。</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600" w:lineRule="exact"/>
        <w:ind w:firstLine="720"/>
        <w:rPr>
          <w:rFonts w:hint="eastAsia" w:ascii="仿宋_GB2312"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lang w:val="zh-CN"/>
        </w:rPr>
        <w:t>．项目主要内容：完成2021年度土地（或矿权）出让17宗，完成年度非税征收任务700万元。</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．2021年设定项目绩效目标：预计完成2020年度土地（或矿权）出让10余宗；完成年度非税征收任务700万元；2020年12月31日前完成非税征收任务；拍卖机构满意度达100%。</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lang w:val="zh-CN"/>
        </w:rPr>
        <w:t>．经分析土地出让工作经费项目申报内容与实际相符，申报目标合理可行，能够保证全市土地出让活动的顺利进行，能按时完成财政下达的年度非税任务。</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由涉及相关业务科室先自评，再由中心领导班子组织审评。</w:t>
      </w:r>
    </w:p>
    <w:p>
      <w:pPr>
        <w:adjustRightInd w:val="0"/>
        <w:snapToGrid w:val="0"/>
        <w:spacing w:line="600" w:lineRule="exact"/>
        <w:ind w:firstLine="720"/>
        <w:rPr>
          <w:rFonts w:ascii="黑体" w:eastAsia="黑体"/>
          <w:sz w:val="32"/>
          <w:szCs w:val="32"/>
        </w:rPr>
      </w:pPr>
      <w:bookmarkStart w:id="81" w:name="_Toc1865740046_WPSOffice_Level2"/>
      <w:r>
        <w:rPr>
          <w:rFonts w:hint="eastAsia" w:ascii="黑体" w:eastAsia="黑体"/>
          <w:sz w:val="32"/>
          <w:szCs w:val="32"/>
        </w:rPr>
        <w:t>二、项目资金申报及使用情况</w:t>
      </w:r>
      <w:bookmarkEnd w:id="81"/>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lang w:val="zh-CN"/>
        </w:rPr>
        <w:t>土地出让工作经费预算申报</w:t>
      </w:r>
      <w:r>
        <w:rPr>
          <w:rFonts w:hint="eastAsia" w:ascii="仿宋_GB2312" w:eastAsia="仿宋_GB2312"/>
          <w:sz w:val="32"/>
          <w:szCs w:val="32"/>
        </w:rPr>
        <w:t>38.76万元，财政下达预算批复38.76万元。</w:t>
      </w:r>
    </w:p>
    <w:p>
      <w:pPr>
        <w:numPr>
          <w:ilvl w:val="0"/>
          <w:numId w:val="3"/>
        </w:numPr>
        <w:adjustRightInd w:val="0"/>
        <w:snapToGrid w:val="0"/>
        <w:spacing w:line="600" w:lineRule="exact"/>
        <w:ind w:left="0" w:firstLine="720"/>
        <w:rPr>
          <w:rFonts w:hint="eastAsia" w:ascii="楷体_GB2312" w:eastAsia="楷体_GB2312"/>
          <w:b/>
          <w:sz w:val="32"/>
          <w:szCs w:val="32"/>
          <w:lang w:val="zh-CN"/>
        </w:rPr>
      </w:pPr>
      <w:r>
        <w:rPr>
          <w:rFonts w:hint="eastAsia" w:ascii="楷体_GB2312" w:eastAsia="楷体_GB2312"/>
          <w:b/>
          <w:sz w:val="32"/>
          <w:szCs w:val="32"/>
          <w:lang w:val="zh-CN"/>
        </w:rPr>
        <w:t>资金计划、到位及使用情况（可用表格形式反映）</w:t>
      </w:r>
    </w:p>
    <w:p>
      <w:pPr>
        <w:pStyle w:val="2"/>
        <w:spacing w:before="93" w:beforeLines="0" w:line="576" w:lineRule="exact"/>
        <w:ind w:firstLine="640" w:firstLineChars="200"/>
        <w:rPr>
          <w:rFonts w:hint="eastAsia"/>
          <w:kern w:val="2"/>
          <w:sz w:val="32"/>
          <w:szCs w:val="32"/>
          <w:lang w:val="zh-CN"/>
        </w:rPr>
      </w:pPr>
      <w:r>
        <w:rPr>
          <w:rFonts w:hint="eastAsia"/>
          <w:kern w:val="2"/>
          <w:sz w:val="32"/>
          <w:szCs w:val="32"/>
          <w:lang w:val="zh-CN"/>
        </w:rPr>
        <w:t>在项目执行过程中，严格遵守相关法律法规和单位工作制度，项目基础业务信息资料齐全并及时归档，项目实施的人员条件、信息支撑等落实到位。</w:t>
      </w:r>
    </w:p>
    <w:tbl>
      <w:tblPr>
        <w:tblStyle w:val="15"/>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2145"/>
        <w:gridCol w:w="2289"/>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630" w:type="dxa"/>
            <w:noWrap/>
            <w:vAlign w:val="center"/>
          </w:tcPr>
          <w:p>
            <w:pPr>
              <w:pStyle w:val="2"/>
              <w:snapToGrid w:val="0"/>
              <w:spacing w:before="93" w:beforeLines="0"/>
              <w:jc w:val="center"/>
              <w:rPr>
                <w:rFonts w:hint="eastAsia" w:ascii="黑体" w:eastAsia="黑体" w:cs="黑体"/>
                <w:kern w:val="2"/>
                <w:sz w:val="32"/>
                <w:szCs w:val="32"/>
                <w:lang w:val="zh-CN"/>
              </w:rPr>
            </w:pPr>
          </w:p>
          <w:p>
            <w:pPr>
              <w:pStyle w:val="2"/>
              <w:spacing w:before="93" w:beforeLines="0" w:line="576" w:lineRule="exact"/>
              <w:jc w:val="center"/>
              <w:rPr>
                <w:rFonts w:hint="eastAsia" w:ascii="黑体" w:eastAsia="黑体" w:cs="黑体"/>
                <w:kern w:val="2"/>
                <w:sz w:val="32"/>
                <w:szCs w:val="32"/>
                <w:lang w:val="zh-CN"/>
              </w:rPr>
            </w:pPr>
          </w:p>
        </w:tc>
        <w:tc>
          <w:tcPr>
            <w:tcW w:w="2145" w:type="dxa"/>
            <w:noWrap/>
            <w:vAlign w:val="center"/>
          </w:tcPr>
          <w:p>
            <w:pPr>
              <w:pStyle w:val="2"/>
              <w:spacing w:before="93" w:beforeLines="0" w:line="576" w:lineRule="exact"/>
              <w:jc w:val="center"/>
              <w:rPr>
                <w:rFonts w:hint="eastAsia" w:ascii="黑体" w:eastAsia="黑体" w:cs="黑体"/>
                <w:kern w:val="2"/>
                <w:sz w:val="32"/>
                <w:szCs w:val="32"/>
              </w:rPr>
            </w:pPr>
            <w:r>
              <w:rPr>
                <w:rFonts w:hint="eastAsia" w:ascii="黑体" w:eastAsia="黑体" w:cs="黑体"/>
                <w:kern w:val="2"/>
                <w:sz w:val="32"/>
                <w:szCs w:val="32"/>
              </w:rPr>
              <w:t>财政拨款</w:t>
            </w:r>
          </w:p>
        </w:tc>
        <w:tc>
          <w:tcPr>
            <w:tcW w:w="2289" w:type="dxa"/>
            <w:noWrap/>
            <w:vAlign w:val="center"/>
          </w:tcPr>
          <w:p>
            <w:pPr>
              <w:pStyle w:val="2"/>
              <w:spacing w:before="93" w:beforeLines="0" w:line="576" w:lineRule="exact"/>
              <w:jc w:val="center"/>
              <w:rPr>
                <w:rFonts w:hint="eastAsia" w:ascii="黑体" w:eastAsia="黑体" w:cs="黑体"/>
                <w:kern w:val="2"/>
                <w:sz w:val="32"/>
                <w:szCs w:val="32"/>
                <w:lang w:val="zh-CN"/>
              </w:rPr>
            </w:pPr>
            <w:r>
              <w:rPr>
                <w:rFonts w:hint="eastAsia" w:ascii="黑体" w:eastAsia="黑体" w:cs="黑体"/>
                <w:kern w:val="2"/>
                <w:sz w:val="32"/>
                <w:szCs w:val="32"/>
                <w:lang w:val="zh-CN"/>
              </w:rPr>
              <w:t>来源渠道</w:t>
            </w:r>
          </w:p>
        </w:tc>
        <w:tc>
          <w:tcPr>
            <w:tcW w:w="3294" w:type="dxa"/>
            <w:noWrap/>
            <w:vAlign w:val="center"/>
          </w:tcPr>
          <w:p>
            <w:pPr>
              <w:pStyle w:val="2"/>
              <w:spacing w:before="93" w:beforeLines="0" w:line="576" w:lineRule="exact"/>
              <w:jc w:val="center"/>
              <w:rPr>
                <w:rFonts w:hint="eastAsia" w:ascii="黑体" w:eastAsia="黑体" w:cs="黑体"/>
                <w:kern w:val="2"/>
                <w:sz w:val="32"/>
                <w:szCs w:val="32"/>
                <w:lang w:val="zh-CN"/>
              </w:rPr>
            </w:pPr>
            <w:r>
              <w:rPr>
                <w:rFonts w:hint="eastAsia" w:ascii="黑体" w:eastAsia="黑体" w:cs="黑体"/>
                <w:kern w:val="2"/>
                <w:sz w:val="32"/>
                <w:szCs w:val="32"/>
                <w:lang w:val="zh-CN"/>
              </w:rPr>
              <w:t>分析说明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trPr>
        <w:tc>
          <w:tcPr>
            <w:tcW w:w="1630" w:type="dxa"/>
            <w:noWrap/>
            <w:vAlign w:val="center"/>
          </w:tcPr>
          <w:p>
            <w:pPr>
              <w:pStyle w:val="2"/>
              <w:spacing w:before="93" w:beforeLines="0" w:line="576" w:lineRule="exact"/>
              <w:jc w:val="center"/>
              <w:rPr>
                <w:rFonts w:hint="eastAsia"/>
                <w:kern w:val="2"/>
                <w:sz w:val="24"/>
                <w:szCs w:val="24"/>
                <w:lang w:val="zh-CN"/>
              </w:rPr>
            </w:pPr>
            <w:r>
              <w:rPr>
                <w:rFonts w:hint="eastAsia"/>
                <w:kern w:val="2"/>
                <w:sz w:val="24"/>
                <w:szCs w:val="24"/>
                <w:lang w:val="zh-CN"/>
              </w:rPr>
              <w:t>资金计划</w:t>
            </w:r>
          </w:p>
        </w:tc>
        <w:tc>
          <w:tcPr>
            <w:tcW w:w="2145" w:type="dxa"/>
            <w:noWrap/>
            <w:vAlign w:val="center"/>
          </w:tcPr>
          <w:p>
            <w:pPr>
              <w:pStyle w:val="2"/>
              <w:spacing w:before="93" w:beforeLines="0" w:line="576" w:lineRule="exact"/>
              <w:jc w:val="center"/>
              <w:rPr>
                <w:rFonts w:hint="eastAsia"/>
                <w:kern w:val="2"/>
                <w:sz w:val="24"/>
                <w:szCs w:val="24"/>
                <w:lang w:val="zh-CN"/>
              </w:rPr>
            </w:pPr>
            <w:r>
              <w:rPr>
                <w:rFonts w:hint="eastAsia"/>
                <w:kern w:val="2"/>
                <w:sz w:val="24"/>
                <w:szCs w:val="24"/>
              </w:rPr>
              <w:t>38.76万元</w:t>
            </w:r>
          </w:p>
        </w:tc>
        <w:tc>
          <w:tcPr>
            <w:tcW w:w="2289" w:type="dxa"/>
            <w:noWrap/>
            <w:vAlign w:val="center"/>
          </w:tcPr>
          <w:p>
            <w:pPr>
              <w:pStyle w:val="2"/>
              <w:spacing w:before="93" w:beforeLines="0" w:line="576" w:lineRule="exact"/>
              <w:jc w:val="center"/>
              <w:rPr>
                <w:rFonts w:hint="eastAsia"/>
                <w:kern w:val="2"/>
                <w:sz w:val="24"/>
                <w:szCs w:val="24"/>
                <w:lang w:val="zh-CN"/>
              </w:rPr>
            </w:pPr>
            <w:r>
              <w:rPr>
                <w:rFonts w:hint="eastAsia"/>
                <w:kern w:val="2"/>
                <w:sz w:val="24"/>
                <w:szCs w:val="24"/>
                <w:lang w:val="zh-CN"/>
              </w:rPr>
              <w:t>财政拨款</w:t>
            </w:r>
          </w:p>
        </w:tc>
        <w:tc>
          <w:tcPr>
            <w:tcW w:w="3294" w:type="dxa"/>
            <w:noWrap/>
            <w:vAlign w:val="center"/>
          </w:tcPr>
          <w:p>
            <w:pPr>
              <w:pStyle w:val="2"/>
              <w:spacing w:before="93" w:beforeLines="0" w:line="576" w:lineRule="exact"/>
              <w:jc w:val="both"/>
              <w:rPr>
                <w:kern w:val="2"/>
                <w:sz w:val="24"/>
                <w:szCs w:val="24"/>
              </w:rPr>
            </w:pPr>
            <w:r>
              <w:rPr>
                <w:rFonts w:hint="eastAsia"/>
                <w:kern w:val="2"/>
                <w:sz w:val="24"/>
                <w:szCs w:val="24"/>
              </w:rPr>
              <w:t>根据上年度支出情况申报资金计划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exact"/>
        </w:trPr>
        <w:tc>
          <w:tcPr>
            <w:tcW w:w="1630" w:type="dxa"/>
            <w:noWrap/>
            <w:vAlign w:val="center"/>
          </w:tcPr>
          <w:p>
            <w:pPr>
              <w:pStyle w:val="2"/>
              <w:spacing w:before="93" w:beforeLines="0" w:line="576" w:lineRule="exact"/>
              <w:jc w:val="center"/>
              <w:rPr>
                <w:rFonts w:hint="eastAsia"/>
                <w:kern w:val="2"/>
                <w:sz w:val="24"/>
                <w:szCs w:val="24"/>
              </w:rPr>
            </w:pPr>
            <w:r>
              <w:rPr>
                <w:rFonts w:hint="eastAsia"/>
                <w:kern w:val="2"/>
                <w:sz w:val="24"/>
                <w:szCs w:val="24"/>
                <w:lang w:val="zh-CN"/>
              </w:rPr>
              <w:t>资金使用</w:t>
            </w:r>
          </w:p>
        </w:tc>
        <w:tc>
          <w:tcPr>
            <w:tcW w:w="2145" w:type="dxa"/>
            <w:noWrap/>
            <w:vAlign w:val="center"/>
          </w:tcPr>
          <w:p>
            <w:pPr>
              <w:pStyle w:val="2"/>
              <w:spacing w:before="93" w:beforeLines="0" w:line="576" w:lineRule="exact"/>
              <w:jc w:val="center"/>
              <w:rPr>
                <w:rFonts w:hint="eastAsia"/>
                <w:kern w:val="2"/>
                <w:sz w:val="24"/>
                <w:szCs w:val="24"/>
              </w:rPr>
            </w:pPr>
            <w:r>
              <w:rPr>
                <w:rFonts w:hint="eastAsia"/>
                <w:kern w:val="2"/>
                <w:sz w:val="24"/>
                <w:szCs w:val="24"/>
              </w:rPr>
              <w:t>38.76万元</w:t>
            </w:r>
          </w:p>
        </w:tc>
        <w:tc>
          <w:tcPr>
            <w:tcW w:w="2289" w:type="dxa"/>
            <w:noWrap/>
            <w:vAlign w:val="center"/>
          </w:tcPr>
          <w:p>
            <w:pPr>
              <w:pStyle w:val="2"/>
              <w:spacing w:before="93" w:beforeLines="0" w:line="576" w:lineRule="exact"/>
              <w:jc w:val="center"/>
              <w:rPr>
                <w:rFonts w:hint="eastAsia"/>
                <w:kern w:val="2"/>
                <w:sz w:val="24"/>
                <w:szCs w:val="24"/>
              </w:rPr>
            </w:pPr>
            <w:r>
              <w:rPr>
                <w:rFonts w:hint="eastAsia"/>
                <w:kern w:val="2"/>
                <w:sz w:val="24"/>
                <w:szCs w:val="24"/>
                <w:lang w:val="zh-CN"/>
              </w:rPr>
              <w:t>财政拨款</w:t>
            </w:r>
          </w:p>
        </w:tc>
        <w:tc>
          <w:tcPr>
            <w:tcW w:w="3294" w:type="dxa"/>
            <w:noWrap/>
            <w:vAlign w:val="center"/>
          </w:tcPr>
          <w:p>
            <w:pPr>
              <w:pStyle w:val="2"/>
              <w:spacing w:before="93" w:beforeLines="0" w:line="576" w:lineRule="exact"/>
              <w:jc w:val="both"/>
              <w:rPr>
                <w:rFonts w:hint="eastAsia"/>
                <w:kern w:val="2"/>
                <w:sz w:val="24"/>
                <w:szCs w:val="24"/>
                <w:lang w:val="zh-CN"/>
              </w:rPr>
            </w:pPr>
            <w:r>
              <w:rPr>
                <w:rFonts w:hint="eastAsia"/>
                <w:kern w:val="2"/>
                <w:sz w:val="24"/>
                <w:szCs w:val="24"/>
                <w:lang w:val="zh-CN"/>
              </w:rPr>
              <w:t>支付范围、支付标准、支付进度、支付依据等合规合法、是与预算相符。</w:t>
            </w:r>
          </w:p>
        </w:tc>
      </w:tr>
    </w:tbl>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pPr>
        <w:adjustRightInd w:val="0"/>
        <w:snapToGrid w:val="0"/>
        <w:spacing w:line="576" w:lineRule="exact"/>
        <w:ind w:firstLine="600" w:firstLineChars="200"/>
        <w:rPr>
          <w:rFonts w:ascii="仿宋_GB2312" w:eastAsia="仿宋_GB2312"/>
          <w:sz w:val="32"/>
          <w:szCs w:val="32"/>
          <w:lang w:val="zh-CN"/>
        </w:rPr>
      </w:pPr>
      <w:r>
        <w:rPr>
          <w:rFonts w:hint="eastAsia" w:ascii="仿宋_GB2312" w:eastAsia="仿宋_GB2312"/>
          <w:kern w:val="0"/>
          <w:sz w:val="30"/>
        </w:rPr>
        <w:t>项目资金支付严格</w:t>
      </w:r>
      <w:r>
        <w:rPr>
          <w:rFonts w:hint="eastAsia" w:ascii="仿宋_GB2312" w:eastAsia="仿宋_GB2312"/>
          <w:sz w:val="32"/>
          <w:szCs w:val="32"/>
          <w:lang w:val="zh-CN"/>
        </w:rPr>
        <w:t>执行单位财务制度规定的报销流程，</w:t>
      </w:r>
      <w:r>
        <w:rPr>
          <w:rFonts w:hint="eastAsia" w:ascii="仿宋_GB2312" w:eastAsia="仿宋_GB2312"/>
          <w:kern w:val="0"/>
          <w:sz w:val="30"/>
        </w:rPr>
        <w:t>应附与经济业务事项相关的合法合规的原始凭证和附件，需经办人签字，科室负责人、业务分管领导及财务分管领导领导审批后才能进行支付。</w:t>
      </w:r>
      <w:r>
        <w:rPr>
          <w:rFonts w:hint="eastAsia" w:ascii="仿宋_GB2312" w:eastAsia="仿宋_GB2312"/>
          <w:sz w:val="32"/>
          <w:szCs w:val="32"/>
          <w:lang w:val="zh-CN"/>
        </w:rPr>
        <w:t>账务处理及时，会计核算规范有序。</w:t>
      </w:r>
    </w:p>
    <w:p>
      <w:pPr>
        <w:adjustRightInd w:val="0"/>
        <w:snapToGrid w:val="0"/>
        <w:spacing w:line="600" w:lineRule="exact"/>
        <w:ind w:firstLine="720"/>
        <w:rPr>
          <w:rFonts w:ascii="仿宋_GB2312" w:eastAsia="仿宋_GB2312"/>
          <w:sz w:val="32"/>
          <w:szCs w:val="32"/>
          <w:lang w:val="zh-CN"/>
        </w:rPr>
      </w:pPr>
      <w:bookmarkStart w:id="82" w:name="_Toc506898455_WPSOffice_Level2"/>
      <w:r>
        <w:rPr>
          <w:rFonts w:hint="eastAsia" w:ascii="黑体" w:eastAsia="黑体"/>
          <w:sz w:val="32"/>
          <w:szCs w:val="32"/>
        </w:rPr>
        <w:t>三、项目实施及管理情况</w:t>
      </w:r>
      <w:bookmarkEnd w:id="82"/>
    </w:p>
    <w:p>
      <w:pPr>
        <w:adjustRightInd w:val="0"/>
        <w:snapToGrid w:val="0"/>
        <w:spacing w:line="60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（一）项目组织架构及实施流程</w:t>
      </w:r>
    </w:p>
    <w:p>
      <w:pPr>
        <w:adjustRightInd w:val="0"/>
        <w:snapToGrid w:val="0"/>
        <w:spacing w:line="600" w:lineRule="exact"/>
        <w:ind w:firstLine="720"/>
        <w:rPr>
          <w:rFonts w:hint="eastAsia" w:ascii="仿宋_GB2312" w:eastAsia="仿宋_GB2312" w:cs="仿宋_GB2312"/>
          <w:b/>
          <w:sz w:val="32"/>
          <w:szCs w:val="32"/>
          <w:lang w:val="zh-CN"/>
        </w:rPr>
      </w:pPr>
      <w:r>
        <w:rPr>
          <w:rFonts w:hint="eastAsia" w:ascii="仿宋_GB2312" w:eastAsia="仿宋_GB2312" w:cs="仿宋_GB2312"/>
          <w:bCs/>
          <w:sz w:val="32"/>
          <w:szCs w:val="32"/>
          <w:lang w:val="zh-CN"/>
        </w:rPr>
        <w:t>根据我中心的职能职责及市委、市政府统一做出的年度供地安排，由我中心根据工作需要进行确定项目资金和安排实施进度。资金分配严格按照审批流程操作执行，符合相关管理办法，分配结果公平合理</w:t>
      </w:r>
      <w:r>
        <w:rPr>
          <w:rFonts w:hint="eastAsia" w:ascii="仿宋_GB2312" w:eastAsia="仿宋_GB2312" w:cs="仿宋_GB2312"/>
          <w:b/>
          <w:sz w:val="32"/>
          <w:szCs w:val="32"/>
          <w:lang w:val="zh-CN"/>
        </w:rPr>
        <w:t>。</w:t>
      </w:r>
    </w:p>
    <w:p>
      <w:pPr>
        <w:numPr>
          <w:ilvl w:val="0"/>
          <w:numId w:val="4"/>
        </w:numPr>
        <w:adjustRightInd w:val="0"/>
        <w:snapToGrid w:val="0"/>
        <w:spacing w:line="576" w:lineRule="exact"/>
        <w:ind w:left="0" w:firstLine="720"/>
        <w:rPr>
          <w:rFonts w:hint="eastAsia" w:ascii="楷体_GB2312" w:eastAsia="楷体_GB2312"/>
          <w:b/>
          <w:sz w:val="32"/>
          <w:szCs w:val="32"/>
          <w:lang w:val="zh-CN"/>
        </w:rPr>
      </w:pPr>
      <w:r>
        <w:rPr>
          <w:rFonts w:hint="eastAsia" w:ascii="楷体_GB2312" w:eastAsia="楷体_GB2312"/>
          <w:b/>
          <w:sz w:val="32"/>
          <w:szCs w:val="32"/>
          <w:lang w:val="zh-CN"/>
        </w:rPr>
        <w:t>项目管理情况</w:t>
      </w:r>
    </w:p>
    <w:p>
      <w:pPr>
        <w:adjustRightInd w:val="0"/>
        <w:snapToGrid w:val="0"/>
        <w:spacing w:line="576" w:lineRule="exact"/>
        <w:ind w:firstLine="640" w:firstLineChars="200"/>
        <w:rPr>
          <w:rFonts w:ascii="仿宋_GB2312" w:eastAsia="仿宋_GB2312"/>
          <w:bCs/>
          <w:sz w:val="32"/>
          <w:szCs w:val="32"/>
          <w:lang w:val="zh-CN"/>
        </w:rPr>
      </w:pPr>
      <w:r>
        <w:rPr>
          <w:rFonts w:hint="eastAsia" w:ascii="仿宋_GB2312" w:eastAsia="仿宋_GB2312" w:cs="仿宋_GB2312"/>
          <w:bCs/>
          <w:sz w:val="32"/>
          <w:szCs w:val="32"/>
          <w:lang w:val="zh-CN"/>
        </w:rPr>
        <w:t>本项目在实施过程中严格执行</w:t>
      </w:r>
      <w:r>
        <w:rPr>
          <w:rFonts w:hint="eastAsia" w:ascii="仿宋_GB2312" w:eastAsia="仿宋_GB2312"/>
          <w:bCs/>
          <w:sz w:val="32"/>
          <w:szCs w:val="32"/>
          <w:lang w:val="zh-CN"/>
        </w:rPr>
        <w:t>《中华人民共和国土地管理法》《中华人民共和国拍卖法》的规定和单位财务管理制度。</w:t>
      </w:r>
      <w:r>
        <w:rPr>
          <w:rFonts w:hint="eastAsia" w:ascii="仿宋_GB2312" w:eastAsia="仿宋_GB2312"/>
          <w:bCs/>
          <w:kern w:val="0"/>
          <w:sz w:val="30"/>
          <w:lang w:val="zh-CN"/>
        </w:rPr>
        <w:t>资金使用合规，财务核算规范，无虚列支出，无截留、挤占、挪用现象。</w:t>
      </w:r>
    </w:p>
    <w:p>
      <w:pPr>
        <w:numPr>
          <w:ilvl w:val="0"/>
          <w:numId w:val="4"/>
        </w:numPr>
        <w:adjustRightInd w:val="0"/>
        <w:snapToGrid w:val="0"/>
        <w:spacing w:line="600" w:lineRule="exact"/>
        <w:ind w:left="0" w:firstLine="720"/>
        <w:rPr>
          <w:rFonts w:hint="eastAsia" w:ascii="楷体_GB2312" w:eastAsia="楷体_GB2312"/>
          <w:b/>
          <w:sz w:val="32"/>
          <w:szCs w:val="32"/>
          <w:lang w:val="zh-CN"/>
        </w:rPr>
      </w:pPr>
      <w:r>
        <w:rPr>
          <w:rFonts w:hint="eastAsia" w:ascii="楷体_GB2312" w:eastAsia="楷体_GB2312"/>
          <w:b/>
          <w:sz w:val="32"/>
          <w:szCs w:val="32"/>
          <w:lang w:val="zh-CN"/>
        </w:rPr>
        <w:t>项目监管情况</w:t>
      </w:r>
    </w:p>
    <w:p>
      <w:pPr>
        <w:adjustRightInd w:val="0"/>
        <w:snapToGrid w:val="0"/>
        <w:spacing w:line="600" w:lineRule="exact"/>
        <w:ind w:firstLine="640" w:firstLineChars="200"/>
        <w:rPr>
          <w:rFonts w:hint="eastAsia" w:ascii="仿宋_GB2312" w:eastAsia="仿宋_GB2312"/>
          <w:bCs/>
          <w:kern w:val="0"/>
          <w:sz w:val="30"/>
          <w:lang w:val="zh-CN"/>
        </w:rPr>
      </w:pPr>
      <w:r>
        <w:rPr>
          <w:rFonts w:hint="eastAsia" w:ascii="仿宋_GB2312" w:eastAsia="仿宋_GB2312" w:cs="仿宋_GB2312"/>
          <w:bCs/>
          <w:sz w:val="32"/>
          <w:szCs w:val="32"/>
          <w:lang w:val="zh-CN"/>
        </w:rPr>
        <w:t>单位</w:t>
      </w:r>
      <w:r>
        <w:rPr>
          <w:rFonts w:hint="eastAsia" w:ascii="仿宋_GB2312" w:eastAsia="仿宋_GB2312"/>
          <w:bCs/>
          <w:kern w:val="0"/>
          <w:sz w:val="30"/>
          <w:lang w:val="zh-CN"/>
        </w:rPr>
        <w:t>内控工作小组与现场监督科定期对项目的实施进度和支付情况进行监督检查。对进度较慢的项目进行督促指导，对不合规、不合理的情况进行指正并立要求即整改。</w:t>
      </w:r>
    </w:p>
    <w:p>
      <w:pPr>
        <w:adjustRightInd w:val="0"/>
        <w:snapToGrid w:val="0"/>
        <w:spacing w:line="600" w:lineRule="exact"/>
        <w:ind w:firstLine="720"/>
        <w:rPr>
          <w:rFonts w:ascii="仿宋_GB2312" w:eastAsia="仿宋_GB2312"/>
          <w:sz w:val="32"/>
          <w:szCs w:val="32"/>
          <w:lang w:val="zh-CN"/>
        </w:rPr>
      </w:pPr>
      <w:bookmarkStart w:id="83" w:name="_Toc1916796486_WPSOffice_Level2"/>
      <w:r>
        <w:rPr>
          <w:rFonts w:hint="eastAsia" w:ascii="黑体" w:eastAsia="黑体"/>
          <w:sz w:val="32"/>
          <w:szCs w:val="32"/>
        </w:rPr>
        <w:t>四、项目绩效情况</w:t>
      </w:r>
      <w:bookmarkEnd w:id="83"/>
      <w:r>
        <w:rPr>
          <w:rFonts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600" w:lineRule="exact"/>
        <w:ind w:firstLine="720"/>
        <w:rPr>
          <w:rFonts w:hint="eastAsia" w:ascii="仿宋_GB2312" w:eastAsia="仿宋_GB2312"/>
          <w:sz w:val="32"/>
          <w:szCs w:val="32"/>
        </w:rPr>
      </w:pPr>
      <w:r>
        <w:rPr>
          <w:rFonts w:hint="eastAsia" w:ascii="仿宋_GB2312" w:eastAsia="仿宋_GB2312"/>
          <w:sz w:val="32"/>
          <w:szCs w:val="32"/>
        </w:rPr>
        <w:t>2021年完成土地出让17宗，上缴财政非税</w:t>
      </w:r>
      <w:r>
        <w:rPr>
          <w:rFonts w:hint="eastAsia" w:ascii="仿宋_GB2312" w:eastAsia="仿宋_GB2312"/>
          <w:color w:val="auto"/>
          <w:sz w:val="32"/>
          <w:szCs w:val="32"/>
        </w:rPr>
        <w:t>收入2200余万元，超额完成非税征收任务。下达年度土地出让工作经</w:t>
      </w:r>
      <w:r>
        <w:rPr>
          <w:rFonts w:hint="eastAsia" w:ascii="仿宋_GB2312" w:eastAsia="仿宋_GB2312"/>
          <w:sz w:val="32"/>
          <w:szCs w:val="32"/>
        </w:rPr>
        <w:t>费项目资金38.76万元，实际支付38.76万元，执行率100%，完成情况较好。</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lang w:val="zh-CN"/>
        </w:rPr>
        <w:t>该项目顺利实施，加大了全市土地出让力度，促进房地产市场活跃发展，为市本级财政增加收入，拍卖机构满意度达</w:t>
      </w:r>
      <w:r>
        <w:rPr>
          <w:rFonts w:hint="eastAsia" w:ascii="仿宋_GB2312" w:eastAsia="仿宋_GB2312"/>
          <w:sz w:val="32"/>
          <w:szCs w:val="32"/>
        </w:rPr>
        <w:t>100%。</w:t>
      </w:r>
    </w:p>
    <w:p>
      <w:pPr>
        <w:adjustRightInd w:val="0"/>
        <w:snapToGrid w:val="0"/>
        <w:spacing w:line="600" w:lineRule="exact"/>
        <w:ind w:firstLine="720"/>
        <w:rPr>
          <w:rFonts w:ascii="黑体" w:eastAsia="黑体"/>
          <w:sz w:val="32"/>
          <w:szCs w:val="32"/>
        </w:rPr>
      </w:pPr>
      <w:bookmarkStart w:id="84" w:name="_Toc281628665_WPSOffice_Level2"/>
      <w:r>
        <w:rPr>
          <w:rFonts w:hint="eastAsia" w:ascii="黑体" w:eastAsia="黑体"/>
          <w:sz w:val="32"/>
          <w:szCs w:val="32"/>
        </w:rPr>
        <w:t>五、评价结论及建议</w:t>
      </w:r>
      <w:bookmarkEnd w:id="84"/>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（一）评价结论</w:t>
      </w:r>
    </w:p>
    <w:p>
      <w:pPr>
        <w:adjustRightInd w:val="0"/>
        <w:snapToGrid w:val="0"/>
        <w:spacing w:line="580" w:lineRule="exact"/>
        <w:ind w:firstLine="640" w:firstLineChars="200"/>
        <w:contextualSpacing/>
        <w:jc w:val="left"/>
        <w:rPr>
          <w:rFonts w:ascii="仿宋_GB2312" w:eastAsia="仿宋_GB2312"/>
          <w:sz w:val="32"/>
          <w:szCs w:val="32"/>
          <w:bdr w:val="single" w:color="auto" w:sz="4" w:space="0"/>
          <w:lang w:val="zh-CN"/>
        </w:rPr>
      </w:pPr>
      <w:r>
        <w:rPr>
          <w:rFonts w:ascii="仿宋_GB2312" w:eastAsia="仿宋_GB2312"/>
          <w:sz w:val="32"/>
          <w:szCs w:val="32"/>
        </w:rPr>
        <w:t>结合中心工作实际情况，</w:t>
      </w:r>
      <w:r>
        <w:rPr>
          <w:rFonts w:hint="eastAsia" w:ascii="仿宋_GB2312" w:eastAsia="仿宋_GB2312" w:cs="仿宋_GB2312"/>
          <w:kern w:val="0"/>
          <w:sz w:val="32"/>
          <w:szCs w:val="32"/>
        </w:rPr>
        <w:t>对照《2020年市级财政项目支出绩效评价指标体系》进行自评</w:t>
      </w:r>
      <w:r>
        <w:rPr>
          <w:rFonts w:hint="eastAsia" w:ascii="仿宋_GB2312" w:eastAsia="仿宋_GB2312"/>
          <w:sz w:val="32"/>
          <w:szCs w:val="32"/>
        </w:rPr>
        <w:t>打</w:t>
      </w:r>
      <w:r>
        <w:rPr>
          <w:rFonts w:ascii="仿宋_GB2312" w:eastAsia="仿宋_GB2312"/>
          <w:sz w:val="32"/>
          <w:szCs w:val="32"/>
        </w:rPr>
        <w:t>分，综合得分</w:t>
      </w:r>
      <w:r>
        <w:rPr>
          <w:rFonts w:hint="eastAsia" w:ascii="仿宋_GB2312" w:eastAsia="仿宋_GB2312"/>
          <w:sz w:val="32"/>
          <w:szCs w:val="32"/>
        </w:rPr>
        <w:t>95</w:t>
      </w:r>
      <w:r>
        <w:rPr>
          <w:rFonts w:ascii="仿宋_GB2312" w:eastAsia="仿宋_GB2312"/>
          <w:sz w:val="32"/>
          <w:szCs w:val="32"/>
        </w:rPr>
        <w:t>分，</w:t>
      </w:r>
      <w:r>
        <w:rPr>
          <w:rFonts w:hint="eastAsia" w:ascii="仿宋_GB2312" w:eastAsia="仿宋_GB2312"/>
          <w:sz w:val="32"/>
          <w:szCs w:val="32"/>
        </w:rPr>
        <w:t>项目</w:t>
      </w:r>
      <w:r>
        <w:rPr>
          <w:rFonts w:ascii="仿宋_GB2312" w:eastAsia="仿宋_GB2312"/>
          <w:sz w:val="32"/>
          <w:szCs w:val="32"/>
        </w:rPr>
        <w:t>支出绩效为</w:t>
      </w:r>
      <w:r>
        <w:rPr>
          <w:rFonts w:hint="eastAsia" w:ascii="仿宋_GB2312" w:eastAsia="仿宋_GB2312"/>
          <w:sz w:val="32"/>
          <w:szCs w:val="32"/>
        </w:rPr>
        <w:t>评价为</w:t>
      </w:r>
      <w:r>
        <w:rPr>
          <w:rFonts w:ascii="仿宋_GB2312" w:eastAsia="仿宋_GB2312"/>
          <w:sz w:val="32"/>
          <w:szCs w:val="32"/>
        </w:rPr>
        <w:t>“</w:t>
      </w:r>
      <w:r>
        <w:rPr>
          <w:rFonts w:hint="eastAsia" w:ascii="仿宋_GB2312" w:eastAsia="仿宋_GB2312"/>
          <w:sz w:val="32"/>
          <w:szCs w:val="32"/>
        </w:rPr>
        <w:t>优</w:t>
      </w:r>
      <w:r>
        <w:rPr>
          <w:rFonts w:ascii="仿宋_GB2312" w:eastAsia="仿宋_GB2312"/>
          <w:sz w:val="32"/>
          <w:szCs w:val="32"/>
        </w:rPr>
        <w:t>”。</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（二）存在的问题</w:t>
      </w:r>
    </w:p>
    <w:p>
      <w:pPr>
        <w:spacing w:line="6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1.绩效目标还需要进一步细化、量化。</w:t>
      </w:r>
    </w:p>
    <w:p>
      <w:pPr>
        <w:spacing w:line="62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2.预算执行进度较慢，存在年末集中支付情况。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（三）相关建议</w:t>
      </w:r>
    </w:p>
    <w:p>
      <w:pPr>
        <w:spacing w:line="6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1.认真做好绩效目标的编制，与相关科室沟通，听取业务部门意见，根据工作实际合理设定年度绩效目标，并细化、量化指标设置，使项目预算安排与绩效目标合理匹配。</w:t>
      </w:r>
    </w:p>
    <w:p>
      <w:pPr>
        <w:spacing w:line="6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2.年初预算下达后，及时拟定相应的资金使用方案，督促相关科室及时执行，强化预算执行的日常管理，加快预算执行。</w:t>
      </w:r>
    </w:p>
    <w:p>
      <w:r>
        <w:br w:type="page"/>
      </w:r>
    </w:p>
    <w:tbl>
      <w:tblPr>
        <w:tblStyle w:val="15"/>
        <w:tblpPr w:leftFromText="180" w:rightFromText="180" w:vertAnchor="text" w:horzAnchor="page" w:tblpXSpec="center" w:tblpY="42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9"/>
        <w:gridCol w:w="961"/>
        <w:gridCol w:w="1122"/>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noWrap/>
            <w:tcMar>
              <w:top w:w="15" w:type="dxa"/>
              <w:left w:w="15" w:type="dxa"/>
              <w:right w:w="15" w:type="dxa"/>
            </w:tcMar>
            <w:vAlign w:val="center"/>
          </w:tcPr>
          <w:p>
            <w:pPr>
              <w:widowControl/>
              <w:spacing w:line="560" w:lineRule="exact"/>
              <w:jc w:val="center"/>
              <w:textAlignment w:val="center"/>
              <w:rPr>
                <w:rFonts w:hint="eastAsia" w:ascii="方正小标宋简体" w:eastAsia="方正小标宋简体" w:cs="宋体"/>
                <w:bCs/>
                <w:color w:val="000000"/>
                <w:kern w:val="0"/>
                <w:sz w:val="44"/>
                <w:szCs w:val="44"/>
              </w:rPr>
            </w:pPr>
            <w:r>
              <w:rPr>
                <w:rFonts w:hint="eastAsia" w:ascii="方正小标宋简体" w:eastAsia="方正小标宋简体" w:cs="宋体"/>
                <w:bCs/>
                <w:color w:val="000000"/>
                <w:kern w:val="0"/>
                <w:sz w:val="44"/>
                <w:szCs w:val="44"/>
              </w:rPr>
              <w:t>土地出让工作经费</w:t>
            </w:r>
          </w:p>
          <w:p>
            <w:pPr>
              <w:widowControl/>
              <w:spacing w:line="560" w:lineRule="exact"/>
              <w:jc w:val="center"/>
              <w:textAlignment w:val="center"/>
              <w:rPr>
                <w:rFonts w:hint="eastAsia" w:ascii="方正小标宋简体" w:eastAsia="方正小标宋简体" w:cs="宋体"/>
                <w:bCs/>
                <w:color w:val="000000"/>
                <w:kern w:val="0"/>
                <w:sz w:val="44"/>
                <w:szCs w:val="44"/>
                <w:lang w:eastAsia="zh-CN"/>
              </w:rPr>
            </w:pPr>
            <w:r>
              <w:rPr>
                <w:rFonts w:hint="eastAsia" w:ascii="方正小标宋简体" w:eastAsia="方正小标宋简体" w:cs="宋体"/>
                <w:bCs/>
                <w:color w:val="000000"/>
                <w:kern w:val="0"/>
                <w:sz w:val="44"/>
                <w:szCs w:val="44"/>
              </w:rPr>
              <w:t>项目绩效目标完成情况表</w:t>
            </w:r>
          </w:p>
          <w:p>
            <w:pPr>
              <w:widowControl/>
              <w:spacing w:line="560" w:lineRule="exact"/>
              <w:jc w:val="center"/>
              <w:textAlignment w:val="center"/>
              <w:rPr>
                <w:rFonts w:ascii="宋体" w:cs="宋体"/>
                <w:color w:val="000000"/>
                <w:sz w:val="36"/>
                <w:szCs w:val="36"/>
              </w:rPr>
            </w:pPr>
            <w:r>
              <w:rPr>
                <w:rFonts w:hint="eastAsia" w:ascii="楷体_GB2312" w:eastAsia="楷体_GB2312" w:cs="宋体"/>
                <w:color w:val="000000"/>
                <w:kern w:val="0"/>
                <w:sz w:val="32"/>
                <w:szCs w:val="32"/>
              </w:rPr>
              <w:t>(202</w:t>
            </w:r>
            <w:r>
              <w:rPr>
                <w:rFonts w:hint="eastAsia" w:ascii="楷体_GB2312" w:eastAsia="楷体_GB2312" w:cs="宋体"/>
                <w:color w:val="000000"/>
                <w:kern w:val="0"/>
                <w:sz w:val="32"/>
                <w:szCs w:val="32"/>
                <w:lang w:val="en-US" w:eastAsia="zh-CN"/>
              </w:rPr>
              <w:t>1</w:t>
            </w:r>
            <w:r>
              <w:rPr>
                <w:rFonts w:hint="eastAsia" w:ascii="楷体_GB2312" w:eastAsia="楷体_GB2312" w:cs="宋体"/>
                <w:color w:val="000000"/>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土地出让工作经费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广元市公共资源交易信息中心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0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30.26</w:t>
            </w:r>
            <w:r>
              <w:rPr>
                <w:rFonts w:hint="eastAsia" w:asci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30.26</w:t>
            </w:r>
            <w:r>
              <w:rPr>
                <w:rFonts w:hint="eastAsia" w:ascii="仿宋_GB2312" w:eastAsia="仿宋_GB2312" w:cs="仿宋_GB2312"/>
                <w:color w:val="00000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0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30.26</w:t>
            </w:r>
            <w:r>
              <w:rPr>
                <w:rFonts w:hint="eastAsia" w:asci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30.26</w:t>
            </w:r>
            <w:r>
              <w:rPr>
                <w:rFonts w:hint="eastAsia" w:ascii="仿宋_GB2312" w:eastAsia="仿宋_GB2312" w:cs="仿宋_GB2312"/>
                <w:color w:val="00000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trPr>
        <w:tc>
          <w:tcPr>
            <w:tcW w:w="6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0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4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6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4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预计完成2021年度土地（或矿权）出让10余宗，完成年度非税征收任务2000万元。</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预计完成2021年度土地（或矿权）出让17宗，完成年度非税征收任务2273万元。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6" w:hRule="atLeast"/>
        </w:trPr>
        <w:tc>
          <w:tcPr>
            <w:tcW w:w="6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699" w:type="dxa"/>
            <w:vMerge w:val="continue"/>
            <w:tcBorders>
              <w:left w:val="single" w:color="000000" w:sz="4" w:space="0"/>
              <w:right w:val="single" w:color="000000" w:sz="4" w:space="0"/>
            </w:tcBorders>
            <w:noWrap/>
            <w:tcMar>
              <w:top w:w="15" w:type="dxa"/>
              <w:left w:w="15" w:type="dxa"/>
              <w:right w:w="15" w:type="dxa"/>
            </w:tcMar>
            <w:vAlign w:val="center"/>
          </w:tcP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预计完成年度土地（或矿权）出让数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10余宗</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17宗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699" w:type="dxa"/>
            <w:vMerge w:val="continue"/>
            <w:tcBorders>
              <w:left w:val="single" w:color="000000" w:sz="4" w:space="0"/>
              <w:right w:val="single" w:color="000000" w:sz="4" w:space="0"/>
            </w:tcBorders>
            <w:noWrap/>
            <w:tcMar>
              <w:top w:w="15" w:type="dxa"/>
              <w:left w:w="15" w:type="dxa"/>
              <w:right w:w="15" w:type="dxa"/>
            </w:tcMar>
            <w:vAlign w:val="center"/>
          </w:tcP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按时完成年度非税征收任务并上交财政</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按时完成年度非税征收任务并上交财政</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202</w:t>
            </w:r>
            <w:r>
              <w:rPr>
                <w:rFonts w:hint="eastAsia" w:ascii="仿宋_GB2312" w:eastAsia="仿宋_GB2312" w:cs="仿宋_GB2312"/>
                <w:color w:val="000000"/>
                <w:sz w:val="24"/>
                <w:lang w:val="en-US" w:eastAsia="zh-CN"/>
              </w:rPr>
              <w:t>1</w:t>
            </w:r>
            <w:r>
              <w:rPr>
                <w:rFonts w:hint="eastAsia" w:ascii="仿宋_GB2312" w:eastAsia="仿宋_GB2312" w:cs="仿宋_GB2312"/>
                <w:color w:val="000000"/>
                <w:sz w:val="24"/>
              </w:rPr>
              <w:t>年12月31日之前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4" w:hRule="atLeast"/>
        </w:trPr>
        <w:tc>
          <w:tcPr>
            <w:tcW w:w="699" w:type="dxa"/>
            <w:vMerge w:val="continue"/>
            <w:tcBorders>
              <w:left w:val="single" w:color="000000" w:sz="4" w:space="0"/>
              <w:right w:val="single" w:color="000000" w:sz="4" w:space="0"/>
            </w:tcBorders>
            <w:noWrap/>
            <w:tcMar>
              <w:top w:w="15" w:type="dxa"/>
              <w:left w:w="15" w:type="dxa"/>
              <w:right w:w="15" w:type="dxa"/>
            </w:tcMar>
            <w:vAlign w:val="center"/>
          </w:tcP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eastAsia="zh-CN"/>
              </w:rPr>
            </w:pPr>
            <w:r>
              <w:rPr>
                <w:rFonts w:hint="eastAsia" w:ascii="仿宋_GB2312" w:eastAsia="仿宋_GB2312" w:cs="仿宋_GB2312"/>
                <w:color w:val="000000"/>
                <w:sz w:val="24"/>
              </w:rPr>
              <w:t>土地（矿权）出让公告费.土地拍卖机构佣金,其他非税征收成本支出</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30.26</w:t>
            </w:r>
            <w:r>
              <w:rPr>
                <w:rFonts w:hint="eastAsia" w:asci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30.26</w:t>
            </w:r>
            <w:r>
              <w:rPr>
                <w:rFonts w:hint="eastAsia" w:ascii="仿宋_GB2312" w:eastAsia="仿宋_GB2312" w:cs="仿宋_GB2312"/>
                <w:color w:val="00000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699" w:type="dxa"/>
            <w:vMerge w:val="continue"/>
            <w:tcBorders>
              <w:left w:val="single" w:color="000000" w:sz="4" w:space="0"/>
              <w:right w:val="single" w:color="000000" w:sz="4" w:space="0"/>
            </w:tcBorders>
            <w:noWrap/>
            <w:tcMar>
              <w:top w:w="15" w:type="dxa"/>
              <w:left w:w="15" w:type="dxa"/>
              <w:right w:w="15" w:type="dxa"/>
            </w:tcMar>
            <w:vAlign w:val="center"/>
          </w:tcP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经济效益</w:t>
            </w:r>
          </w:p>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促进财政增收</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2000万元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为市财政年度增收2200余万元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699" w:type="dxa"/>
            <w:vMerge w:val="continue"/>
            <w:tcBorders>
              <w:left w:val="single" w:color="000000" w:sz="4" w:space="0"/>
              <w:right w:val="single" w:color="000000" w:sz="4" w:space="0"/>
            </w:tcBorders>
            <w:noWrap/>
            <w:tcMar>
              <w:top w:w="15" w:type="dxa"/>
              <w:left w:w="15" w:type="dxa"/>
              <w:right w:w="15" w:type="dxa"/>
            </w:tcMar>
            <w:vAlign w:val="center"/>
          </w:tcP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效益指标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社会效益</w:t>
            </w:r>
          </w:p>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eastAsia="zh-CN"/>
              </w:rPr>
            </w:pPr>
            <w:r>
              <w:rPr>
                <w:rFonts w:hint="eastAsia" w:ascii="仿宋_GB2312" w:eastAsia="仿宋_GB2312" w:cs="仿宋_GB2312"/>
                <w:color w:val="000000"/>
                <w:sz w:val="24"/>
              </w:rPr>
              <w:t>加大全市土地出让力度，促进房地产市场的发展</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加大全市土地出让力度，促进房地产市场的发展</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eastAsia="zh-CN"/>
              </w:rPr>
            </w:pPr>
            <w:r>
              <w:rPr>
                <w:rFonts w:hint="eastAsia" w:ascii="仿宋_GB2312" w:eastAsia="仿宋_GB2312" w:cs="仿宋_GB2312"/>
                <w:color w:val="000000"/>
                <w:sz w:val="24"/>
              </w:rPr>
              <w:t>加大全市土地出让力度，促进房地产市场的发展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6" w:hRule="atLeast"/>
        </w:trPr>
        <w:tc>
          <w:tcPr>
            <w:tcW w:w="699"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tc>
        <w:tc>
          <w:tcPr>
            <w:tcW w:w="96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拍卖机构满意度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100%</w:t>
            </w:r>
          </w:p>
        </w:tc>
      </w:tr>
    </w:tbl>
    <w:p>
      <w:pPr>
        <w:rPr>
          <w:rFonts w:ascii="方正小标宋简体" w:eastAsia="方正小标宋简体"/>
          <w:color w:val="000000"/>
          <w:kern w:val="0"/>
          <w:sz w:val="44"/>
          <w:szCs w:val="44"/>
        </w:rPr>
      </w:pPr>
      <w:bookmarkStart w:id="85" w:name="_Toc1370633635_WPSOffice_Level2"/>
      <w:r>
        <w:rPr>
          <w:rFonts w:ascii="方正小标宋简体" w:eastAsia="方正小标宋简体"/>
          <w:color w:val="000000"/>
          <w:kern w:val="0"/>
          <w:sz w:val="44"/>
          <w:szCs w:val="44"/>
        </w:rPr>
        <w:br w:type="page"/>
      </w:r>
    </w:p>
    <w:p>
      <w:pPr>
        <w:spacing w:line="60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交易场地设施设备维护费</w:t>
      </w:r>
      <w:bookmarkEnd w:id="85"/>
    </w:p>
    <w:p>
      <w:pPr>
        <w:spacing w:line="600" w:lineRule="exact"/>
        <w:jc w:val="center"/>
        <w:rPr>
          <w:rFonts w:ascii="方正小标宋简体" w:eastAsia="方正小标宋简体"/>
          <w:color w:val="000000"/>
          <w:kern w:val="0"/>
          <w:sz w:val="44"/>
          <w:szCs w:val="44"/>
        </w:rPr>
      </w:pPr>
      <w:bookmarkStart w:id="86" w:name="_Toc966855030_WPSOffice_Level2"/>
      <w:r>
        <w:rPr>
          <w:rFonts w:ascii="方正小标宋简体" w:eastAsia="方正小标宋简体"/>
          <w:color w:val="000000"/>
          <w:kern w:val="0"/>
          <w:sz w:val="44"/>
          <w:szCs w:val="44"/>
        </w:rPr>
        <w:t>202</w:t>
      </w:r>
      <w:r>
        <w:rPr>
          <w:rFonts w:hint="eastAsia" w:ascii="方正小标宋简体" w:eastAsia="方正小标宋简体"/>
          <w:color w:val="000000"/>
          <w:kern w:val="0"/>
          <w:sz w:val="44"/>
          <w:szCs w:val="44"/>
        </w:rPr>
        <w:t>1年绩效评价报告</w:t>
      </w:r>
      <w:bookmarkEnd w:id="86"/>
    </w:p>
    <w:p>
      <w:pPr>
        <w:spacing w:line="576" w:lineRule="exact"/>
        <w:ind w:left="48" w:leftChars="23" w:firstLine="729" w:firstLineChars="228"/>
        <w:jc w:val="left"/>
        <w:rPr>
          <w:rFonts w:ascii="黑体" w:eastAsia="黑体"/>
          <w:kern w:val="0"/>
          <w:sz w:val="32"/>
          <w:szCs w:val="32"/>
        </w:rPr>
      </w:pPr>
    </w:p>
    <w:p>
      <w:pPr>
        <w:adjustRightInd w:val="0"/>
        <w:snapToGrid w:val="0"/>
        <w:spacing w:line="576" w:lineRule="exact"/>
        <w:ind w:left="50" w:leftChars="24" w:firstLine="736" w:firstLineChars="230"/>
        <w:rPr>
          <w:rFonts w:ascii="黑体" w:eastAsia="黑体"/>
          <w:sz w:val="32"/>
          <w:szCs w:val="32"/>
          <w:lang w:val="zh-CN"/>
        </w:rPr>
      </w:pPr>
      <w:bookmarkStart w:id="87" w:name="_Toc1132768352_WPSOffice_Level2"/>
      <w:r>
        <w:rPr>
          <w:rFonts w:hint="eastAsia" w:ascii="黑体" w:eastAsia="黑体"/>
          <w:sz w:val="32"/>
          <w:szCs w:val="32"/>
        </w:rPr>
        <w:t>一、</w:t>
      </w:r>
      <w:r>
        <w:rPr>
          <w:rFonts w:hint="eastAsia" w:ascii="黑体" w:eastAsia="黑体"/>
          <w:sz w:val="32"/>
          <w:szCs w:val="32"/>
          <w:lang w:val="zh-CN"/>
        </w:rPr>
        <w:t>项目概况</w:t>
      </w:r>
      <w:bookmarkEnd w:id="87"/>
    </w:p>
    <w:p>
      <w:pPr>
        <w:pStyle w:val="2"/>
        <w:spacing w:before="30" w:beforeLines="0" w:line="576" w:lineRule="exact"/>
        <w:ind w:firstLine="640" w:firstLineChars="200"/>
        <w:rPr>
          <w:rFonts w:ascii="楷体_GB2312" w:eastAsia="楷体_GB2312"/>
          <w:kern w:val="2"/>
          <w:sz w:val="32"/>
          <w:szCs w:val="32"/>
          <w:lang w:val="zh-CN"/>
        </w:rPr>
      </w:pPr>
      <w:r>
        <w:rPr>
          <w:rFonts w:hint="eastAsia" w:ascii="楷体_GB2312" w:eastAsia="楷体_GB2312"/>
          <w:kern w:val="2"/>
          <w:sz w:val="32"/>
          <w:szCs w:val="32"/>
          <w:lang w:val="zh-CN"/>
        </w:rPr>
        <w:t>（一）项目基本情况</w:t>
      </w:r>
    </w:p>
    <w:p>
      <w:pPr>
        <w:adjustRightInd w:val="0"/>
        <w:snapToGrid w:val="0"/>
        <w:spacing w:line="576" w:lineRule="exact"/>
        <w:ind w:left="105" w:firstLine="640" w:firstLineChars="200"/>
        <w:rPr>
          <w:rFonts w:ascii="仿宋_GB2312" w:eastAsia="仿宋_GB2312"/>
          <w:color w:val="000000"/>
          <w:sz w:val="32"/>
          <w:szCs w:val="32"/>
        </w:rPr>
      </w:pPr>
      <w:r>
        <w:rPr>
          <w:rFonts w:hint="eastAsia" w:ascii="仿宋_GB2312" w:eastAsia="仿宋_GB2312"/>
          <w:sz w:val="32"/>
          <w:szCs w:val="32"/>
          <w:lang w:val="zh-CN"/>
        </w:rPr>
        <w:t>1．</w:t>
      </w:r>
      <w:r>
        <w:rPr>
          <w:rFonts w:hint="eastAsia" w:ascii="仿宋_GB2312" w:eastAsia="仿宋_GB2312" w:cs="宋体"/>
          <w:color w:val="000000"/>
          <w:kern w:val="0"/>
          <w:sz w:val="32"/>
          <w:szCs w:val="32"/>
          <w:shd w:val="clear" w:color="auto" w:fill="FFFFFF"/>
          <w:lang w:val="zh-CN"/>
        </w:rPr>
        <w:t>广元市</w:t>
      </w:r>
      <w:r>
        <w:rPr>
          <w:rFonts w:hint="eastAsia" w:ascii="仿宋_GB2312" w:eastAsia="仿宋_GB2312"/>
          <w:color w:val="000000"/>
          <w:sz w:val="32"/>
          <w:szCs w:val="32"/>
        </w:rPr>
        <w:t>公共资源交易信息中心是经市委、市政府批准设立的公益一类事业单位，直属市政务服务和公共资源交易中心。根据该部门“</w:t>
      </w:r>
      <w:r>
        <w:rPr>
          <w:rFonts w:hint="eastAsia" w:ascii="仿宋_GB2312" w:eastAsia="仿宋_GB2312"/>
          <w:sz w:val="32"/>
          <w:szCs w:val="32"/>
        </w:rPr>
        <w:t>贯彻实施公共资源交易相关法律、法规和政策，为公共资源交易活动提供场所、设施和服务。”及“制定公共资源交易现场管理规章制度、工作流程并组织实施，指导全市公共资源交易活动现场和管理工作”</w:t>
      </w:r>
      <w:r>
        <w:rPr>
          <w:rFonts w:hint="eastAsia" w:ascii="仿宋_GB2312" w:eastAsia="仿宋_GB2312"/>
          <w:color w:val="000000"/>
          <w:sz w:val="32"/>
          <w:szCs w:val="32"/>
        </w:rPr>
        <w:t>的职能申请设立了“交易场地设施设备维护费”项目预算。</w:t>
      </w:r>
      <w:r>
        <w:rPr>
          <w:rFonts w:hint="eastAsia" w:ascii="仿宋_GB2312" w:eastAsia="仿宋_GB2312" w:cs="仿宋_GB2312"/>
          <w:sz w:val="32"/>
          <w:szCs w:val="32"/>
        </w:rPr>
        <w:t>作为建设和维护公共资源交易场所软硬件环境所必须的工作经费。</w:t>
      </w:r>
    </w:p>
    <w:p>
      <w:pPr>
        <w:adjustRightInd w:val="0"/>
        <w:snapToGrid w:val="0"/>
        <w:spacing w:line="576" w:lineRule="exact"/>
        <w:ind w:left="105" w:firstLine="640" w:firstLineChars="200"/>
        <w:rPr>
          <w:rFonts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color w:val="000000"/>
          <w:sz w:val="32"/>
          <w:szCs w:val="32"/>
        </w:rPr>
        <w:t>交易场地设施设备维护费</w:t>
      </w:r>
      <w:r>
        <w:rPr>
          <w:rFonts w:hint="eastAsia" w:ascii="仿宋_GB2312" w:eastAsia="仿宋_GB2312" w:cs="仿宋"/>
          <w:color w:val="000000"/>
          <w:sz w:val="32"/>
          <w:szCs w:val="32"/>
        </w:rPr>
        <w:t>主要是对开标室、评标室、监控室、机房、开评标区外围大厅等交易场所的设施设备进行维修维护，确保各项设备正常使用；对照省中心对各市州建设规范化、标准化、示范化交易中心的要求，对交易中心相关制度、公示牌、环境布置等进行维护改造升级。</w:t>
      </w:r>
      <w:r>
        <w:rPr>
          <w:rFonts w:hint="eastAsia" w:ascii="仿宋_GB2312" w:eastAsia="仿宋_GB2312" w:cs="仿宋"/>
          <w:sz w:val="32"/>
          <w:szCs w:val="32"/>
          <w:lang w:val="zh-CN"/>
        </w:rPr>
        <w:t>申报年初项目预算</w:t>
      </w:r>
      <w:r>
        <w:rPr>
          <w:rFonts w:hint="eastAsia" w:ascii="仿宋_GB2312" w:eastAsia="仿宋_GB2312" w:cs="仿宋"/>
          <w:sz w:val="32"/>
          <w:szCs w:val="32"/>
        </w:rPr>
        <w:t>5.24万元</w:t>
      </w:r>
      <w:r>
        <w:rPr>
          <w:rFonts w:hint="eastAsia" w:ascii="仿宋_GB2312" w:eastAsia="仿宋_GB2312" w:cs="仿宋"/>
          <w:color w:val="333333"/>
          <w:sz w:val="32"/>
          <w:szCs w:val="32"/>
          <w:shd w:val="clear" w:color="auto" w:fill="FFFFFF"/>
        </w:rPr>
        <w:t>，</w:t>
      </w:r>
      <w:r>
        <w:rPr>
          <w:rFonts w:hint="eastAsia" w:ascii="仿宋_GB2312" w:eastAsia="仿宋_GB2312" w:cs="仿宋"/>
          <w:sz w:val="32"/>
          <w:szCs w:val="32"/>
          <w:shd w:val="clear" w:color="auto" w:fill="FFFFFF"/>
        </w:rPr>
        <w:t>旨在为交易活动主体提供良好的交易环境。</w:t>
      </w:r>
      <w:r>
        <w:rPr>
          <w:rFonts w:hint="eastAsia" w:ascii="仿宋_GB2312" w:eastAsia="仿宋_GB2312"/>
          <w:color w:val="000000"/>
          <w:sz w:val="32"/>
          <w:szCs w:val="32"/>
        </w:rPr>
        <w:t>支付标准依据中心制度的资产管理办法、财务规章制度及相关合同等。</w:t>
      </w:r>
    </w:p>
    <w:p>
      <w:pPr>
        <w:pStyle w:val="2"/>
        <w:spacing w:before="30" w:beforeLines="0" w:line="576" w:lineRule="exact"/>
        <w:ind w:firstLine="640" w:firstLineChars="200"/>
        <w:rPr>
          <w:rFonts w:ascii="楷体_GB2312" w:eastAsia="楷体_GB2312"/>
          <w:kern w:val="2"/>
          <w:sz w:val="32"/>
          <w:szCs w:val="32"/>
          <w:lang w:val="zh-CN"/>
        </w:rPr>
      </w:pPr>
      <w:r>
        <w:rPr>
          <w:rFonts w:hint="eastAsia" w:ascii="楷体_GB2312" w:eastAsia="楷体_GB2312"/>
          <w:kern w:val="2"/>
          <w:sz w:val="32"/>
          <w:szCs w:val="32"/>
          <w:lang w:val="zh-CN"/>
        </w:rPr>
        <w:t>（二）项目绩效目标。</w:t>
      </w:r>
    </w:p>
    <w:p>
      <w:pPr>
        <w:adjustRightInd w:val="0"/>
        <w:snapToGrid w:val="0"/>
        <w:spacing w:line="576" w:lineRule="exact"/>
        <w:ind w:left="105" w:firstLine="640" w:firstLineChars="200"/>
        <w:rPr>
          <w:rFonts w:ascii="仿宋_GB2312" w:eastAsia="仿宋_GB2312"/>
          <w:sz w:val="32"/>
          <w:szCs w:val="32"/>
          <w:lang w:val="zh-CN"/>
        </w:rPr>
      </w:pPr>
      <w:r>
        <w:rPr>
          <w:rFonts w:hint="eastAsia" w:ascii="仿宋_GB2312" w:eastAsia="仿宋_GB2312"/>
          <w:sz w:val="32"/>
          <w:szCs w:val="32"/>
          <w:lang w:val="zh-CN"/>
        </w:rPr>
        <w:t>1．项目主要内容：交易场地设施设备购置及维护若干；根据需要更换或新建一批标识牌、制度牌等；公共资源交易活动现场设施设备能正常使用；公共资源电子化交易活动顺利开展；相关交易主体使用公共资源交易中心相关设施设备的满意率≥90%。</w:t>
      </w:r>
    </w:p>
    <w:p>
      <w:pPr>
        <w:adjustRightInd w:val="0"/>
        <w:snapToGrid w:val="0"/>
        <w:spacing w:line="576" w:lineRule="exact"/>
        <w:ind w:left="105" w:firstLine="640" w:firstLineChars="200"/>
        <w:rPr>
          <w:rFonts w:ascii="仿宋_GB2312" w:eastAsia="仿宋_GB2312"/>
          <w:sz w:val="32"/>
          <w:szCs w:val="32"/>
        </w:rPr>
      </w:pPr>
      <w:r>
        <w:rPr>
          <w:rFonts w:hint="eastAsia" w:ascii="仿宋_GB2312" w:eastAsia="仿宋_GB2312"/>
          <w:sz w:val="32"/>
          <w:szCs w:val="32"/>
          <w:lang w:val="zh-CN"/>
        </w:rPr>
        <w:t>2．</w:t>
      </w:r>
      <w:r>
        <w:rPr>
          <w:rFonts w:hint="eastAsia" w:ascii="仿宋_GB2312" w:eastAsia="仿宋_GB2312" w:cs="仿宋_GB2312"/>
          <w:sz w:val="32"/>
          <w:szCs w:val="32"/>
        </w:rPr>
        <w:t>2021年设定项目绩效目标：</w:t>
      </w:r>
      <w:r>
        <w:rPr>
          <w:rFonts w:hint="eastAsia" w:ascii="仿宋_GB2312" w:eastAsia="仿宋_GB2312"/>
          <w:sz w:val="32"/>
          <w:szCs w:val="32"/>
          <w:lang w:val="zh-CN"/>
        </w:rPr>
        <w:t>对市公共资源交易信息中心开标室、评标室、监控室、机房、开评标区外围大厅等交易场所的设施设备进行维修维护，确保各项设备正常使用；对照省中心对各市州建设规范化、标准化、示范化交易中心的要求，对交易中心相关制度、公示牌、环境布置等进行维护改造升级。</w:t>
      </w:r>
    </w:p>
    <w:p>
      <w:pPr>
        <w:numPr>
          <w:ilvl w:val="0"/>
          <w:numId w:val="5"/>
        </w:numPr>
        <w:adjustRightInd w:val="0"/>
        <w:snapToGrid w:val="0"/>
        <w:spacing w:line="576" w:lineRule="exact"/>
        <w:ind w:left="0" w:firstLine="720"/>
        <w:rPr>
          <w:rFonts w:ascii="仿宋_GB2312" w:eastAsia="仿宋_GB2312"/>
          <w:sz w:val="32"/>
          <w:szCs w:val="32"/>
          <w:lang w:val="zh-CN"/>
        </w:rPr>
      </w:pPr>
      <w:r>
        <w:rPr>
          <w:rFonts w:hint="eastAsia" w:ascii="仿宋_GB2312" w:eastAsia="仿宋_GB2312"/>
          <w:sz w:val="32"/>
          <w:szCs w:val="32"/>
          <w:lang w:val="zh-CN"/>
        </w:rPr>
        <w:t>经分析政府采购</w:t>
      </w:r>
      <w:r>
        <w:rPr>
          <w:rFonts w:hint="eastAsia" w:ascii="仿宋_GB2312" w:eastAsia="仿宋_GB2312"/>
          <w:color w:val="000000"/>
          <w:sz w:val="32"/>
          <w:szCs w:val="32"/>
        </w:rPr>
        <w:t>交易场地设施设备维护费</w:t>
      </w:r>
      <w:r>
        <w:rPr>
          <w:rFonts w:hint="eastAsia" w:ascii="仿宋_GB2312" w:eastAsia="仿宋_GB2312"/>
          <w:sz w:val="32"/>
          <w:szCs w:val="32"/>
          <w:lang w:val="zh-CN"/>
        </w:rPr>
        <w:t>项目申报内容与实际相符，申报目标合理可行，能够保证公共资源交易活动正常有序进行。</w:t>
      </w:r>
    </w:p>
    <w:p>
      <w:pPr>
        <w:pStyle w:val="2"/>
        <w:spacing w:before="30" w:beforeLines="0" w:line="576" w:lineRule="exact"/>
        <w:ind w:firstLine="640" w:firstLineChars="200"/>
        <w:rPr>
          <w:rFonts w:ascii="楷体_GB2312" w:eastAsia="楷体_GB2312"/>
          <w:kern w:val="2"/>
          <w:sz w:val="32"/>
          <w:szCs w:val="32"/>
          <w:lang w:val="zh-CN"/>
        </w:rPr>
      </w:pPr>
      <w:r>
        <w:rPr>
          <w:rFonts w:hint="eastAsia" w:ascii="楷体_GB2312" w:eastAsia="楷体_GB2312"/>
          <w:kern w:val="2"/>
          <w:sz w:val="32"/>
          <w:szCs w:val="32"/>
          <w:lang w:val="zh-CN"/>
        </w:rPr>
        <w:t>（三）项目自评步骤及方法。</w:t>
      </w:r>
    </w:p>
    <w:p>
      <w:pPr>
        <w:pStyle w:val="2"/>
        <w:spacing w:before="30" w:beforeLines="0" w:line="576" w:lineRule="exact"/>
        <w:ind w:firstLine="640" w:firstLineChars="200"/>
        <w:rPr>
          <w:sz w:val="32"/>
          <w:szCs w:val="32"/>
          <w:lang w:val="zh-CN"/>
        </w:rPr>
      </w:pPr>
      <w:r>
        <w:rPr>
          <w:rFonts w:hint="eastAsia"/>
          <w:sz w:val="32"/>
          <w:szCs w:val="32"/>
          <w:lang w:val="zh-CN"/>
        </w:rPr>
        <w:t>由涉及相关业务科室先自评，再由中心领导班子组织审评。</w:t>
      </w:r>
    </w:p>
    <w:p>
      <w:pPr>
        <w:pStyle w:val="2"/>
        <w:spacing w:before="30" w:beforeLines="0" w:line="576" w:lineRule="exact"/>
        <w:ind w:firstLine="640" w:firstLineChars="200"/>
        <w:rPr>
          <w:rFonts w:ascii="楷体_GB2312" w:eastAsia="楷体_GB2312"/>
          <w:kern w:val="2"/>
          <w:sz w:val="32"/>
          <w:szCs w:val="32"/>
          <w:lang w:val="zh-CN"/>
        </w:rPr>
      </w:pPr>
      <w:bookmarkStart w:id="88" w:name="_Toc990602089_WPSOffice_Level2"/>
      <w:r>
        <w:rPr>
          <w:rFonts w:hint="eastAsia" w:ascii="黑体" w:eastAsia="黑体"/>
          <w:sz w:val="32"/>
          <w:szCs w:val="32"/>
        </w:rPr>
        <w:t>二、项目资金申报及使用情况</w:t>
      </w:r>
      <w:bookmarkEnd w:id="88"/>
    </w:p>
    <w:p>
      <w:pPr>
        <w:adjustRightInd w:val="0"/>
        <w:snapToGrid w:val="0"/>
        <w:spacing w:line="576" w:lineRule="exact"/>
        <w:ind w:left="105" w:firstLine="480" w:firstLineChars="150"/>
        <w:rPr>
          <w:rFonts w:ascii="黑体" w:eastAsia="黑体"/>
          <w:sz w:val="32"/>
          <w:szCs w:val="32"/>
          <w:lang w:val="zh-CN"/>
        </w:rPr>
      </w:pPr>
      <w:r>
        <w:rPr>
          <w:rFonts w:hint="eastAsia" w:ascii="楷体_GB2312" w:eastAsia="楷体_GB2312"/>
          <w:sz w:val="32"/>
          <w:szCs w:val="32"/>
          <w:lang w:val="zh-CN"/>
        </w:rPr>
        <w:t>（一）项目资金申报及批复情况</w:t>
      </w:r>
    </w:p>
    <w:p>
      <w:pPr>
        <w:adjustRightInd w:val="0"/>
        <w:snapToGrid w:val="0"/>
        <w:spacing w:line="576" w:lineRule="exact"/>
        <w:ind w:left="105" w:firstLine="640" w:firstLineChars="200"/>
        <w:rPr>
          <w:rFonts w:ascii="仿宋_GB2312" w:eastAsia="仿宋_GB2312"/>
          <w:sz w:val="32"/>
          <w:szCs w:val="32"/>
        </w:rPr>
      </w:pPr>
      <w:r>
        <w:rPr>
          <w:rFonts w:hint="eastAsia" w:ascii="仿宋_GB2312" w:eastAsia="仿宋_GB2312"/>
          <w:sz w:val="32"/>
          <w:szCs w:val="32"/>
          <w:lang w:val="zh-CN"/>
        </w:rPr>
        <w:t>政府采购专家评审费预算申报</w:t>
      </w:r>
      <w:r>
        <w:rPr>
          <w:rFonts w:hint="eastAsia" w:ascii="仿宋_GB2312" w:eastAsia="仿宋_GB2312"/>
          <w:sz w:val="32"/>
          <w:szCs w:val="32"/>
        </w:rPr>
        <w:t>5.24万元，财政下达预算批复5.24万元。</w:t>
      </w:r>
    </w:p>
    <w:p>
      <w:pPr>
        <w:adjustRightInd w:val="0"/>
        <w:snapToGrid w:val="0"/>
        <w:spacing w:line="576" w:lineRule="exact"/>
        <w:ind w:firstLine="640" w:firstLineChars="200"/>
        <w:rPr>
          <w:rFonts w:ascii="楷体_GB2312" w:eastAsia="楷体_GB2312"/>
          <w:sz w:val="32"/>
          <w:szCs w:val="32"/>
          <w:lang w:val="zh-CN"/>
        </w:rPr>
      </w:pPr>
      <w:r>
        <w:rPr>
          <w:rFonts w:hint="eastAsia" w:ascii="楷体_GB2312" w:eastAsia="楷体_GB2312"/>
          <w:sz w:val="32"/>
          <w:szCs w:val="32"/>
          <w:lang w:val="zh-CN"/>
        </w:rPr>
        <w:t>（二）资金计划、到位及使用情况</w:t>
      </w:r>
    </w:p>
    <w:p>
      <w:pPr>
        <w:pStyle w:val="2"/>
        <w:spacing w:before="30" w:beforeLines="0" w:line="576" w:lineRule="exact"/>
        <w:ind w:firstLine="640" w:firstLineChars="200"/>
        <w:rPr>
          <w:kern w:val="2"/>
          <w:sz w:val="32"/>
          <w:szCs w:val="32"/>
          <w:lang w:val="zh-CN"/>
        </w:rPr>
      </w:pPr>
      <w:r>
        <w:rPr>
          <w:rFonts w:hint="eastAsia"/>
          <w:kern w:val="2"/>
          <w:sz w:val="32"/>
          <w:szCs w:val="32"/>
          <w:lang w:val="zh-CN"/>
        </w:rPr>
        <w:t>在项目执行过程中，严格遵守相关法律法规和单位工作制度，项目基础业务信息资料齐全并及时归档，项目实施的人员条件、信息支撑等落实到位。</w:t>
      </w:r>
    </w:p>
    <w:tbl>
      <w:tblPr>
        <w:tblStyle w:val="15"/>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188"/>
        <w:gridCol w:w="2335"/>
        <w:gridCol w:w="3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663"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Cs w:val="24"/>
                <w:lang w:val="zh-CN"/>
              </w:rPr>
            </w:pPr>
          </w:p>
        </w:tc>
        <w:tc>
          <w:tcPr>
            <w:tcW w:w="2188"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rFonts w:hint="eastAsia" w:ascii="黑体" w:eastAsia="黑体" w:cs="黑体"/>
                <w:kern w:val="2"/>
                <w:szCs w:val="24"/>
              </w:rPr>
            </w:pPr>
            <w:r>
              <w:rPr>
                <w:rFonts w:hint="eastAsia" w:ascii="黑体" w:eastAsia="黑体" w:cs="黑体"/>
                <w:kern w:val="2"/>
                <w:szCs w:val="24"/>
              </w:rPr>
              <w:t>财政拨款</w:t>
            </w:r>
          </w:p>
        </w:tc>
        <w:tc>
          <w:tcPr>
            <w:tcW w:w="2335"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rFonts w:hint="eastAsia" w:ascii="黑体" w:eastAsia="黑体" w:cs="黑体"/>
                <w:kern w:val="2"/>
                <w:szCs w:val="24"/>
                <w:lang w:val="zh-CN"/>
              </w:rPr>
            </w:pPr>
            <w:r>
              <w:rPr>
                <w:rFonts w:hint="eastAsia" w:ascii="黑体" w:eastAsia="黑体" w:cs="黑体"/>
                <w:kern w:val="2"/>
                <w:szCs w:val="24"/>
                <w:lang w:val="zh-CN"/>
              </w:rPr>
              <w:t>来源渠道</w:t>
            </w:r>
          </w:p>
        </w:tc>
        <w:tc>
          <w:tcPr>
            <w:tcW w:w="3359"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rFonts w:hint="eastAsia" w:ascii="黑体" w:eastAsia="黑体" w:cs="黑体"/>
                <w:kern w:val="2"/>
                <w:szCs w:val="24"/>
                <w:lang w:val="zh-CN"/>
              </w:rPr>
            </w:pPr>
            <w:r>
              <w:rPr>
                <w:rFonts w:hint="eastAsia" w:ascii="黑体" w:eastAsia="黑体" w:cs="黑体"/>
                <w:kern w:val="2"/>
                <w:szCs w:val="24"/>
                <w:lang w:val="zh-CN"/>
              </w:rPr>
              <w:t>分析说明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1663"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lang w:val="zh-CN"/>
              </w:rPr>
            </w:pPr>
            <w:r>
              <w:rPr>
                <w:rFonts w:hint="eastAsia"/>
                <w:kern w:val="2"/>
                <w:sz w:val="24"/>
                <w:szCs w:val="24"/>
                <w:lang w:val="zh-CN"/>
              </w:rPr>
              <w:t>资金计划</w:t>
            </w:r>
          </w:p>
        </w:tc>
        <w:tc>
          <w:tcPr>
            <w:tcW w:w="2188"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lang w:val="zh-CN"/>
              </w:rPr>
            </w:pPr>
            <w:r>
              <w:rPr>
                <w:rFonts w:hint="eastAsia"/>
                <w:kern w:val="2"/>
                <w:sz w:val="24"/>
                <w:szCs w:val="24"/>
              </w:rPr>
              <w:t>5.24万元</w:t>
            </w:r>
          </w:p>
        </w:tc>
        <w:tc>
          <w:tcPr>
            <w:tcW w:w="2335"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lang w:val="zh-CN"/>
              </w:rPr>
            </w:pPr>
            <w:r>
              <w:rPr>
                <w:rFonts w:hint="eastAsia"/>
                <w:kern w:val="2"/>
                <w:sz w:val="24"/>
                <w:szCs w:val="24"/>
                <w:lang w:val="zh-CN"/>
              </w:rPr>
              <w:t>财政拨款</w:t>
            </w:r>
          </w:p>
        </w:tc>
        <w:tc>
          <w:tcPr>
            <w:tcW w:w="3359"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both"/>
              <w:rPr>
                <w:kern w:val="2"/>
                <w:sz w:val="24"/>
                <w:szCs w:val="24"/>
              </w:rPr>
            </w:pPr>
            <w:r>
              <w:rPr>
                <w:rFonts w:hint="eastAsia"/>
                <w:kern w:val="2"/>
                <w:sz w:val="24"/>
                <w:szCs w:val="24"/>
              </w:rPr>
              <w:t>根据上年度支出情况申报资金计划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1663"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lang w:val="zh-CN"/>
              </w:rPr>
              <w:t>资金到位</w:t>
            </w:r>
          </w:p>
        </w:tc>
        <w:tc>
          <w:tcPr>
            <w:tcW w:w="2188"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rPr>
              <w:t>5.24万元</w:t>
            </w:r>
          </w:p>
        </w:tc>
        <w:tc>
          <w:tcPr>
            <w:tcW w:w="2335"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lang w:val="zh-CN"/>
              </w:rPr>
              <w:t>财政拨款</w:t>
            </w:r>
          </w:p>
        </w:tc>
        <w:tc>
          <w:tcPr>
            <w:tcW w:w="3359"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both"/>
              <w:rPr>
                <w:kern w:val="2"/>
                <w:sz w:val="24"/>
                <w:szCs w:val="24"/>
                <w:lang w:val="zh-CN"/>
              </w:rPr>
            </w:pPr>
            <w:r>
              <w:rPr>
                <w:rFonts w:hint="eastAsia"/>
                <w:kern w:val="2"/>
                <w:sz w:val="24"/>
                <w:szCs w:val="24"/>
              </w:rPr>
              <w:t>全部到位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663"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lang w:val="zh-CN"/>
              </w:rPr>
              <w:t>资金使用</w:t>
            </w:r>
          </w:p>
        </w:tc>
        <w:tc>
          <w:tcPr>
            <w:tcW w:w="2188"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rPr>
              <w:t>5.03万元</w:t>
            </w:r>
          </w:p>
        </w:tc>
        <w:tc>
          <w:tcPr>
            <w:tcW w:w="2335" w:type="dxa"/>
            <w:noWrap/>
            <w:vAlign w:val="center"/>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center"/>
              <w:rPr>
                <w:kern w:val="2"/>
                <w:sz w:val="24"/>
                <w:szCs w:val="24"/>
              </w:rPr>
            </w:pPr>
            <w:r>
              <w:rPr>
                <w:rFonts w:hint="eastAsia"/>
                <w:kern w:val="2"/>
                <w:sz w:val="24"/>
                <w:szCs w:val="24"/>
                <w:lang w:val="zh-CN"/>
              </w:rPr>
              <w:t>财政拨款</w:t>
            </w:r>
          </w:p>
        </w:tc>
        <w:tc>
          <w:tcPr>
            <w:tcW w:w="3359" w:type="dxa"/>
            <w:noWrap/>
          </w:tcPr>
          <w:p>
            <w:pPr>
              <w:pStyle w:val="2"/>
              <w:pBdr>
                <w:top w:val="none" w:color="auto" w:sz="0" w:space="0"/>
                <w:left w:val="none" w:color="auto" w:sz="0" w:space="0"/>
                <w:bottom w:val="none" w:color="auto" w:sz="0" w:space="0"/>
                <w:right w:val="none" w:color="auto" w:sz="0" w:space="0"/>
              </w:pBdr>
              <w:tabs>
                <w:tab w:val="center" w:pos="4153"/>
                <w:tab w:val="right" w:pos="8306"/>
              </w:tabs>
              <w:snapToGrid w:val="0"/>
              <w:spacing w:before="30" w:beforeLines="0" w:line="400" w:lineRule="exact"/>
              <w:jc w:val="both"/>
              <w:rPr>
                <w:kern w:val="2"/>
                <w:sz w:val="24"/>
                <w:szCs w:val="24"/>
                <w:lang w:val="zh-CN"/>
              </w:rPr>
            </w:pPr>
            <w:r>
              <w:rPr>
                <w:rFonts w:hint="eastAsia"/>
                <w:kern w:val="2"/>
                <w:sz w:val="24"/>
                <w:szCs w:val="24"/>
                <w:lang w:val="zh-CN"/>
              </w:rPr>
              <w:t>支付范围、支付标准、支付进度、支付依据等合规合法，与预算相符。</w:t>
            </w:r>
          </w:p>
        </w:tc>
      </w:tr>
    </w:tbl>
    <w:p>
      <w:pPr>
        <w:adjustRightInd w:val="0"/>
        <w:snapToGrid w:val="0"/>
        <w:spacing w:line="576" w:lineRule="exact"/>
        <w:ind w:firstLine="640" w:firstLineChars="200"/>
        <w:rPr>
          <w:rFonts w:ascii="楷体_GB2312" w:eastAsia="楷体_GB2312"/>
          <w:sz w:val="32"/>
          <w:szCs w:val="32"/>
          <w:lang w:val="zh-CN"/>
        </w:rPr>
      </w:pPr>
      <w:r>
        <w:rPr>
          <w:rFonts w:hint="eastAsia" w:ascii="楷体_GB2312" w:eastAsia="楷体_GB2312"/>
          <w:sz w:val="32"/>
          <w:szCs w:val="32"/>
          <w:lang w:val="zh-CN"/>
        </w:rPr>
        <w:t>（三）项目财务管理情况</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kern w:val="0"/>
          <w:sz w:val="32"/>
          <w:szCs w:val="32"/>
        </w:rPr>
        <w:t>项目资金支付严格</w:t>
      </w:r>
      <w:r>
        <w:rPr>
          <w:rFonts w:hint="eastAsia" w:ascii="仿宋_GB2312" w:eastAsia="仿宋_GB2312"/>
          <w:sz w:val="32"/>
          <w:szCs w:val="32"/>
          <w:lang w:val="zh-CN"/>
        </w:rPr>
        <w:t>执行单位财务制度规定的报销流程，</w:t>
      </w:r>
      <w:r>
        <w:rPr>
          <w:rFonts w:hint="eastAsia" w:ascii="仿宋_GB2312" w:eastAsia="仿宋_GB2312"/>
          <w:kern w:val="0"/>
          <w:sz w:val="32"/>
          <w:szCs w:val="32"/>
        </w:rPr>
        <w:t>应附与经济业务事项相关的合法合规的原始凭证和附件，需经办人签字，科室负责人、业务分管领导及财务分管领导审批后才能进行支付。</w:t>
      </w:r>
      <w:r>
        <w:rPr>
          <w:rFonts w:hint="eastAsia" w:ascii="仿宋_GB2312" w:eastAsia="仿宋_GB2312"/>
          <w:sz w:val="32"/>
          <w:szCs w:val="32"/>
          <w:lang w:val="zh-CN"/>
        </w:rPr>
        <w:t>账务处理及时，会计核算规范有序。</w:t>
      </w:r>
    </w:p>
    <w:p>
      <w:pPr>
        <w:adjustRightInd w:val="0"/>
        <w:snapToGrid w:val="0"/>
        <w:spacing w:line="576" w:lineRule="exact"/>
        <w:ind w:firstLine="640" w:firstLineChars="200"/>
        <w:rPr>
          <w:rFonts w:ascii="黑体" w:eastAsia="黑体"/>
          <w:sz w:val="32"/>
          <w:szCs w:val="32"/>
          <w:lang w:val="zh-CN"/>
        </w:rPr>
      </w:pPr>
      <w:bookmarkStart w:id="89" w:name="_Toc831443804_WPSOffice_Level2"/>
      <w:r>
        <w:rPr>
          <w:rFonts w:hint="eastAsia" w:ascii="黑体" w:eastAsia="黑体"/>
          <w:sz w:val="32"/>
          <w:szCs w:val="32"/>
        </w:rPr>
        <w:t>三、项目实施及管理情况</w:t>
      </w:r>
      <w:bookmarkEnd w:id="89"/>
    </w:p>
    <w:p>
      <w:pPr>
        <w:adjustRightInd w:val="0"/>
        <w:snapToGrid w:val="0"/>
        <w:spacing w:line="576" w:lineRule="exact"/>
        <w:ind w:left="105" w:leftChars="50" w:firstLine="640" w:firstLineChars="200"/>
        <w:rPr>
          <w:rFonts w:ascii="仿宋_GB2312" w:eastAsia="仿宋_GB2312"/>
          <w:sz w:val="32"/>
          <w:szCs w:val="32"/>
          <w:lang w:val="zh-CN"/>
        </w:rPr>
      </w:pPr>
      <w:r>
        <w:rPr>
          <w:rFonts w:hint="eastAsia" w:ascii="楷体_GB2312" w:eastAsia="楷体_GB2312"/>
          <w:sz w:val="32"/>
          <w:szCs w:val="32"/>
          <w:lang w:val="zh-CN"/>
        </w:rPr>
        <w:t>（一）项目组织架构及实施流程。</w:t>
      </w:r>
      <w:r>
        <w:rPr>
          <w:rFonts w:hint="eastAsia" w:ascii="仿宋_GB2312" w:eastAsia="仿宋_GB2312"/>
          <w:sz w:val="32"/>
          <w:szCs w:val="32"/>
          <w:lang w:val="zh-CN"/>
        </w:rPr>
        <w:t>根据责任分工，由我中心交易现场管理业务科室根据工作需要向综合科提出设施设备购置及维修申请，综合科统一安排项目实施进度，财务科负责资金结算。资金分配严格按照审批流程操作执行，符合相关管理办法，分配结果公平合理。</w:t>
      </w:r>
    </w:p>
    <w:p>
      <w:pPr>
        <w:adjustRightInd w:val="0"/>
        <w:snapToGrid w:val="0"/>
        <w:spacing w:line="576" w:lineRule="exact"/>
        <w:ind w:left="105" w:firstLine="640" w:firstLineChars="200"/>
        <w:rPr>
          <w:rFonts w:ascii="仿宋_GB2312" w:eastAsia="仿宋_GB2312"/>
          <w:sz w:val="32"/>
          <w:szCs w:val="32"/>
          <w:lang w:val="zh-CN"/>
        </w:rPr>
      </w:pPr>
      <w:r>
        <w:rPr>
          <w:rFonts w:hint="eastAsia" w:ascii="楷体_GB2312" w:eastAsia="楷体_GB2312"/>
          <w:sz w:val="32"/>
          <w:szCs w:val="32"/>
          <w:lang w:val="zh-CN"/>
        </w:rPr>
        <w:t>（二）项目管理情况。</w:t>
      </w:r>
      <w:r>
        <w:rPr>
          <w:rFonts w:hint="eastAsia" w:ascii="仿宋_GB2312" w:eastAsia="仿宋_GB2312"/>
          <w:sz w:val="32"/>
          <w:szCs w:val="32"/>
          <w:lang w:val="zh-CN"/>
        </w:rPr>
        <w:t>本项目在实施过程中严格执行合同约定及单位财务管理制度。资金使用合规，财务核算规范，无虚列支出，无截留、挤占、挪用现象。</w:t>
      </w:r>
    </w:p>
    <w:p>
      <w:pPr>
        <w:adjustRightInd w:val="0"/>
        <w:snapToGrid w:val="0"/>
        <w:spacing w:line="576" w:lineRule="exact"/>
        <w:ind w:left="105" w:firstLine="640" w:firstLineChars="200"/>
        <w:rPr>
          <w:rFonts w:ascii="仿宋_GB2312" w:eastAsia="仿宋_GB2312"/>
          <w:bCs/>
          <w:kern w:val="0"/>
          <w:sz w:val="32"/>
          <w:szCs w:val="32"/>
          <w:lang w:val="zh-CN"/>
        </w:rPr>
      </w:pPr>
      <w:r>
        <w:rPr>
          <w:rFonts w:hint="eastAsia" w:ascii="楷体_GB2312" w:eastAsia="楷体_GB2312"/>
          <w:sz w:val="32"/>
          <w:szCs w:val="32"/>
          <w:lang w:val="zh-CN"/>
        </w:rPr>
        <w:t>（三）项目监管情况。</w:t>
      </w:r>
      <w:r>
        <w:rPr>
          <w:rFonts w:hint="eastAsia" w:ascii="仿宋_GB2312" w:eastAsia="仿宋_GB2312"/>
          <w:bCs/>
          <w:sz w:val="32"/>
          <w:szCs w:val="32"/>
          <w:lang w:val="zh-CN"/>
        </w:rPr>
        <w:t>单位</w:t>
      </w:r>
      <w:r>
        <w:rPr>
          <w:rFonts w:hint="eastAsia" w:ascii="仿宋_GB2312" w:eastAsia="仿宋_GB2312"/>
          <w:bCs/>
          <w:kern w:val="0"/>
          <w:sz w:val="32"/>
          <w:szCs w:val="32"/>
          <w:lang w:val="zh-CN"/>
        </w:rPr>
        <w:t>内控工作小组与现场监督科定期对项目的实施进度和支付情况进行监督检查。对进度较慢的项目进行督促指导，对不合规、不合理的情况进行指正并立要求即整改。</w:t>
      </w:r>
    </w:p>
    <w:p>
      <w:pPr>
        <w:adjustRightInd w:val="0"/>
        <w:snapToGrid w:val="0"/>
        <w:spacing w:line="576" w:lineRule="exact"/>
        <w:ind w:left="105" w:firstLine="640" w:firstLineChars="200"/>
        <w:rPr>
          <w:rFonts w:ascii="黑体" w:eastAsia="黑体"/>
          <w:bCs/>
          <w:kern w:val="0"/>
          <w:sz w:val="32"/>
          <w:szCs w:val="32"/>
          <w:lang w:val="zh-CN"/>
        </w:rPr>
      </w:pPr>
      <w:bookmarkStart w:id="90" w:name="_Toc1769304977_WPSOffice_Level2"/>
      <w:r>
        <w:rPr>
          <w:rFonts w:hint="eastAsia" w:ascii="黑体" w:eastAsia="黑体"/>
          <w:sz w:val="32"/>
          <w:szCs w:val="32"/>
        </w:rPr>
        <w:t>四、项目绩效情况</w:t>
      </w:r>
      <w:bookmarkEnd w:id="90"/>
      <w:r>
        <w:rPr>
          <w:rFonts w:hint="eastAsia" w:ascii="黑体" w:eastAsia="黑体"/>
          <w:sz w:val="32"/>
          <w:szCs w:val="32"/>
          <w:lang w:val="zh-CN"/>
        </w:rPr>
        <w:tab/>
      </w:r>
    </w:p>
    <w:p>
      <w:pPr>
        <w:adjustRightInd w:val="0"/>
        <w:snapToGrid w:val="0"/>
        <w:spacing w:line="576" w:lineRule="exact"/>
        <w:ind w:left="105" w:firstLine="640" w:firstLineChars="200"/>
        <w:rPr>
          <w:rFonts w:ascii="楷体_GB2312" w:eastAsia="楷体_GB2312"/>
          <w:sz w:val="32"/>
          <w:szCs w:val="32"/>
          <w:lang w:val="zh-CN"/>
        </w:rPr>
      </w:pPr>
      <w:r>
        <w:rPr>
          <w:rFonts w:hint="eastAsia" w:ascii="楷体_GB2312" w:eastAsia="楷体_GB2312"/>
          <w:sz w:val="32"/>
          <w:szCs w:val="32"/>
          <w:lang w:val="zh-CN"/>
        </w:rPr>
        <w:t>（一）项目完成情况</w:t>
      </w:r>
    </w:p>
    <w:p>
      <w:pPr>
        <w:adjustRightInd w:val="0"/>
        <w:snapToGrid w:val="0"/>
        <w:spacing w:line="576" w:lineRule="exact"/>
        <w:ind w:left="48" w:leftChars="23" w:firstLine="736" w:firstLineChars="230"/>
        <w:rPr>
          <w:rFonts w:ascii="仿宋_GB2312" w:eastAsia="仿宋_GB2312"/>
          <w:sz w:val="32"/>
          <w:szCs w:val="32"/>
        </w:rPr>
      </w:pPr>
      <w:r>
        <w:rPr>
          <w:rFonts w:hint="eastAsia" w:ascii="仿宋_GB2312" w:eastAsia="仿宋_GB2312"/>
          <w:sz w:val="32"/>
          <w:szCs w:val="32"/>
        </w:rPr>
        <w:t>2021年度开标室、评标室、监控室、机房、开评标区外围大厅等交易场所的设施设备能正常使用，规范化、标准化、示范交易中心“回头看”的要求达标。下达年度交易场地设施设备维护费项目资金5.24万元，实际支付5.24万元，执行率100%，完成情况较好。</w:t>
      </w:r>
    </w:p>
    <w:p>
      <w:pPr>
        <w:adjustRightInd w:val="0"/>
        <w:snapToGrid w:val="0"/>
        <w:spacing w:line="576" w:lineRule="exact"/>
        <w:ind w:left="48" w:leftChars="23" w:firstLine="736" w:firstLineChars="230"/>
        <w:rPr>
          <w:rFonts w:ascii="仿宋_GB2312" w:eastAsia="仿宋_GB2312"/>
          <w:sz w:val="32"/>
          <w:szCs w:val="32"/>
        </w:rPr>
      </w:pPr>
      <w:r>
        <w:rPr>
          <w:rFonts w:hint="eastAsia" w:ascii="楷体_GB2312" w:eastAsia="楷体_GB2312"/>
          <w:sz w:val="32"/>
          <w:szCs w:val="32"/>
          <w:lang w:val="zh-CN"/>
        </w:rPr>
        <w:t>（二）项目效益情况</w:t>
      </w:r>
    </w:p>
    <w:p>
      <w:pPr>
        <w:adjustRightInd w:val="0"/>
        <w:snapToGrid w:val="0"/>
        <w:spacing w:line="576" w:lineRule="exact"/>
        <w:ind w:left="48" w:leftChars="23" w:firstLine="736" w:firstLineChars="230"/>
        <w:rPr>
          <w:rFonts w:ascii="仿宋_GB2312" w:eastAsia="仿宋_GB2312"/>
          <w:sz w:val="32"/>
          <w:szCs w:val="32"/>
        </w:rPr>
      </w:pPr>
      <w:r>
        <w:rPr>
          <w:rFonts w:hint="eastAsia" w:ascii="仿宋_GB2312" w:eastAsia="仿宋_GB2312"/>
          <w:sz w:val="32"/>
          <w:szCs w:val="32"/>
          <w:lang w:val="zh-CN"/>
        </w:rPr>
        <w:t>该项目顺利实施，保障了公共资源交易活动正常、有序开展，推动了社会经济发展，相关交易主体使用公共资源交易中心相关设施设备的满意率≥90%</w:t>
      </w:r>
      <w:r>
        <w:rPr>
          <w:rFonts w:hint="eastAsia" w:ascii="仿宋_GB2312" w:eastAsia="仿宋_GB2312"/>
          <w:sz w:val="32"/>
          <w:szCs w:val="32"/>
        </w:rPr>
        <w:t>。</w:t>
      </w:r>
    </w:p>
    <w:p>
      <w:pPr>
        <w:adjustRightInd w:val="0"/>
        <w:snapToGrid w:val="0"/>
        <w:spacing w:line="576" w:lineRule="exact"/>
        <w:ind w:left="48" w:leftChars="23" w:firstLine="736" w:firstLineChars="230"/>
        <w:rPr>
          <w:rFonts w:ascii="仿宋_GB2312" w:eastAsia="仿宋_GB2312"/>
          <w:sz w:val="32"/>
          <w:szCs w:val="32"/>
        </w:rPr>
      </w:pPr>
      <w:bookmarkStart w:id="91" w:name="_Toc61438878_WPSOffice_Level2"/>
      <w:r>
        <w:rPr>
          <w:rFonts w:hint="eastAsia" w:ascii="黑体" w:eastAsia="黑体"/>
          <w:sz w:val="32"/>
          <w:szCs w:val="32"/>
        </w:rPr>
        <w:t>五、评价结论及建议</w:t>
      </w:r>
      <w:bookmarkEnd w:id="91"/>
    </w:p>
    <w:p>
      <w:pPr>
        <w:adjustRightInd w:val="0"/>
        <w:snapToGrid w:val="0"/>
        <w:spacing w:line="576" w:lineRule="exact"/>
        <w:ind w:left="48" w:leftChars="23" w:firstLine="736" w:firstLineChars="230"/>
        <w:rPr>
          <w:rFonts w:ascii="仿宋_GB2312" w:eastAsia="仿宋_GB2312"/>
          <w:sz w:val="32"/>
          <w:szCs w:val="32"/>
        </w:rPr>
      </w:pPr>
      <w:r>
        <w:rPr>
          <w:rFonts w:hint="eastAsia" w:ascii="楷体_GB2312" w:eastAsia="楷体_GB2312"/>
          <w:sz w:val="32"/>
          <w:szCs w:val="32"/>
          <w:lang w:val="zh-CN"/>
        </w:rPr>
        <w:t>（一）评价结论</w:t>
      </w:r>
    </w:p>
    <w:p>
      <w:pPr>
        <w:widowControl/>
        <w:adjustRightInd w:val="0"/>
        <w:snapToGrid w:val="0"/>
        <w:spacing w:line="576" w:lineRule="exact"/>
        <w:ind w:left="105" w:firstLine="640" w:firstLineChars="200"/>
        <w:contextualSpacing/>
        <w:jc w:val="left"/>
        <w:rPr>
          <w:rFonts w:ascii="仿宋_GB2312" w:eastAsia="仿宋_GB2312"/>
          <w:sz w:val="32"/>
          <w:szCs w:val="32"/>
          <w:bdr w:val="single" w:color="auto" w:sz="4" w:space="0"/>
          <w:lang w:val="zh-CN"/>
        </w:rPr>
      </w:pPr>
      <w:r>
        <w:rPr>
          <w:rFonts w:hint="eastAsia" w:ascii="仿宋_GB2312" w:eastAsia="仿宋_GB2312"/>
          <w:sz w:val="32"/>
          <w:szCs w:val="32"/>
        </w:rPr>
        <w:t>结合中心工作实际情况，</w:t>
      </w:r>
      <w:r>
        <w:rPr>
          <w:rFonts w:hint="eastAsia" w:ascii="仿宋_GB2312" w:eastAsia="仿宋_GB2312" w:cs="仿宋_GB2312"/>
          <w:kern w:val="0"/>
          <w:sz w:val="32"/>
          <w:szCs w:val="32"/>
        </w:rPr>
        <w:t>对照《2021年市级财政项目支出绩效评价指标体系》进行自评</w:t>
      </w:r>
      <w:r>
        <w:rPr>
          <w:rFonts w:hint="eastAsia" w:ascii="仿宋_GB2312" w:eastAsia="仿宋_GB2312"/>
          <w:sz w:val="32"/>
          <w:szCs w:val="32"/>
        </w:rPr>
        <w:t>打分，综合得分90分，项目支出绩效为评价为“优”。</w:t>
      </w:r>
    </w:p>
    <w:p>
      <w:pPr>
        <w:adjustRightInd w:val="0"/>
        <w:snapToGrid w:val="0"/>
        <w:spacing w:line="576" w:lineRule="exact"/>
        <w:ind w:left="105" w:firstLine="640" w:firstLineChars="200"/>
        <w:rPr>
          <w:rFonts w:ascii="楷体_GB2312" w:eastAsia="楷体_GB2312"/>
          <w:sz w:val="32"/>
          <w:szCs w:val="32"/>
          <w:lang w:val="zh-CN"/>
        </w:rPr>
      </w:pPr>
      <w:r>
        <w:rPr>
          <w:rFonts w:hint="eastAsia" w:ascii="楷体_GB2312" w:eastAsia="楷体_GB2312"/>
          <w:sz w:val="32"/>
          <w:szCs w:val="32"/>
          <w:lang w:val="zh-CN"/>
        </w:rPr>
        <w:t>（二）存在的问题。</w:t>
      </w:r>
    </w:p>
    <w:p>
      <w:pPr>
        <w:spacing w:line="576" w:lineRule="exact"/>
        <w:ind w:firstLine="800" w:firstLineChars="250"/>
        <w:rPr>
          <w:rFonts w:ascii="仿宋_GB2312" w:eastAsia="仿宋_GB2312" w:cs="仿宋_GB2312"/>
          <w:sz w:val="32"/>
          <w:szCs w:val="32"/>
        </w:rPr>
      </w:pPr>
      <w:r>
        <w:rPr>
          <w:rFonts w:hint="eastAsia" w:ascii="仿宋_GB2312" w:eastAsia="仿宋_GB2312" w:cs="仿宋_GB2312"/>
          <w:sz w:val="32"/>
          <w:szCs w:val="32"/>
        </w:rPr>
        <w:t>1.绩效目标还需要进一步细化、量化。</w:t>
      </w:r>
    </w:p>
    <w:p>
      <w:pPr>
        <w:adjustRightInd w:val="0"/>
        <w:snapToGrid w:val="0"/>
        <w:spacing w:line="576" w:lineRule="exact"/>
        <w:ind w:left="105" w:firstLine="640" w:firstLineChars="200"/>
        <w:rPr>
          <w:rFonts w:ascii="仿宋_GB2312" w:eastAsia="仿宋_GB2312" w:cs="仿宋"/>
          <w:color w:val="000000"/>
          <w:sz w:val="32"/>
          <w:szCs w:val="32"/>
          <w:shd w:val="clear" w:color="auto" w:fill="FFFFFF"/>
        </w:rPr>
      </w:pPr>
      <w:r>
        <w:rPr>
          <w:rFonts w:hint="eastAsia" w:ascii="仿宋_GB2312" w:eastAsia="仿宋_GB2312" w:cs="仿宋_GB2312"/>
          <w:sz w:val="32"/>
          <w:szCs w:val="32"/>
        </w:rPr>
        <w:t>2.</w:t>
      </w:r>
      <w:r>
        <w:rPr>
          <w:rFonts w:hint="eastAsia" w:ascii="仿宋_GB2312" w:eastAsia="仿宋_GB2312" w:cs="仿宋"/>
          <w:color w:val="000000"/>
          <w:sz w:val="32"/>
          <w:szCs w:val="32"/>
          <w:shd w:val="clear" w:color="auto" w:fill="FFFFFF"/>
        </w:rPr>
        <w:t>由于项目申报时支出规划不是很完善，导致项目资金支付略有不足。</w:t>
      </w:r>
    </w:p>
    <w:p>
      <w:pPr>
        <w:ind w:firstLine="640" w:firstLineChars="200"/>
        <w:rPr>
          <w:rFonts w:hint="eastAsia" w:ascii="仿宋_GB2312" w:eastAsia="仿宋_GB2312" w:cs="仿宋"/>
          <w:color w:val="000000"/>
          <w:sz w:val="32"/>
          <w:szCs w:val="32"/>
          <w:shd w:val="clear" w:color="auto" w:fill="FFFFFF"/>
        </w:rPr>
      </w:pPr>
      <w:r>
        <w:rPr>
          <w:rFonts w:hint="eastAsia" w:ascii="仿宋_GB2312" w:eastAsia="仿宋_GB2312" w:cs="仿宋"/>
          <w:color w:val="000000"/>
          <w:sz w:val="32"/>
          <w:szCs w:val="32"/>
          <w:shd w:val="clear" w:color="auto" w:fill="FFFFFF"/>
        </w:rPr>
        <w:t>3.预算执行进度较慢。</w:t>
      </w:r>
    </w:p>
    <w:p>
      <w:pPr>
        <w:jc w:val="center"/>
        <w:rPr>
          <w:rFonts w:hint="eastAsia" w:ascii="方正小标宋简体" w:eastAsia="方正小标宋简体" w:cs="方正小标宋简体"/>
          <w:sz w:val="44"/>
          <w:szCs w:val="44"/>
        </w:rPr>
      </w:pPr>
    </w:p>
    <w:p>
      <w:pPr>
        <w:jc w:val="center"/>
        <w:rPr>
          <w:rFonts w:hint="eastAsia" w:ascii="方正小标宋简体" w:eastAsia="方正小标宋简体" w:cs="方正小标宋简体"/>
          <w:sz w:val="44"/>
          <w:szCs w:val="44"/>
        </w:rPr>
      </w:pPr>
      <w:bookmarkStart w:id="92" w:name="_Toc962929471_WPSOffice_Level2"/>
      <w:r>
        <w:rPr>
          <w:rFonts w:hint="eastAsia" w:ascii="方正小标宋简体" w:eastAsia="方正小标宋简体" w:cs="方正小标宋简体"/>
          <w:sz w:val="44"/>
          <w:szCs w:val="44"/>
        </w:rPr>
        <w:t>设施设备日常维护运行费用</w:t>
      </w:r>
      <w:bookmarkEnd w:id="92"/>
    </w:p>
    <w:tbl>
      <w:tblPr>
        <w:tblStyle w:val="15"/>
        <w:tblpPr w:leftFromText="180" w:rightFromText="180" w:vertAnchor="text" w:horzAnchor="page" w:tblpX="957" w:tblpY="1169"/>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4"/>
        <w:gridCol w:w="936"/>
        <w:gridCol w:w="1122"/>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设施设备日常维护运行费用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广元公共资源交易信息中心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0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5.24</w:t>
            </w:r>
            <w:r>
              <w:rPr>
                <w:rFonts w:hint="eastAsia" w:asci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5.24</w:t>
            </w:r>
            <w:r>
              <w:rPr>
                <w:rFonts w:hint="eastAsia" w:ascii="仿宋_GB2312" w:eastAsia="仿宋_GB2312" w:cs="仿宋_GB2312"/>
                <w:color w:val="00000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2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0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5.24</w:t>
            </w:r>
            <w:r>
              <w:rPr>
                <w:rFonts w:hint="eastAsia" w:asci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5.24</w:t>
            </w:r>
            <w:r>
              <w:rPr>
                <w:rFonts w:hint="eastAsia" w:ascii="仿宋_GB2312" w:eastAsia="仿宋_GB2312" w:cs="仿宋_GB2312"/>
                <w:color w:val="00000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0" w:hRule="atLeast"/>
        </w:trPr>
        <w:tc>
          <w:tcPr>
            <w:tcW w:w="72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0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72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4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对市公共资源交易信息中心开标室、评标室、监控室、机房、开评标区外围大厅等交易场所的设施设备进行维修维护，确保各项设备正常使用；对照省中心对各市州建设规范化、标准化、示范化交易中心的要求，对交易中心相关制度、公示牌、环境布置等进行维护改造升级</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p>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保障开标室、评标室、监控室、机房、开评标区外围大厅等交易场所的设施设备正常运行，基本达到省中心对各市州建设规范化、标准化、示范化交易中心的要求。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trPr>
        <w:tc>
          <w:tcPr>
            <w:tcW w:w="72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LED显示屏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eastAsia="zh-CN"/>
              </w:rPr>
            </w:pPr>
            <w:r>
              <w:rPr>
                <w:rFonts w:hint="eastAsia" w:ascii="仿宋_GB2312" w:eastAsia="仿宋_GB2312" w:cs="仿宋_GB2312"/>
                <w:color w:val="000000"/>
                <w:sz w:val="24"/>
                <w:lang w:val="en-US" w:eastAsia="zh-CN"/>
              </w:rPr>
              <w:t>3</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eastAsia="zh-CN"/>
              </w:rPr>
            </w:pPr>
            <w:r>
              <w:rPr>
                <w:rFonts w:hint="eastAsia" w:ascii="仿宋_GB2312" w:eastAsia="仿宋_GB2312" w:cs="仿宋_GB2312"/>
                <w:color w:val="000000"/>
                <w:sz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6"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val="en-US" w:eastAsia="zh-CN"/>
              </w:rPr>
            </w:pPr>
            <w:r>
              <w:rPr>
                <w:rFonts w:hint="eastAsia" w:ascii="仿宋_GB2312" w:eastAsia="仿宋_GB2312" w:cs="仿宋_GB2312"/>
                <w:color w:val="000000"/>
                <w:sz w:val="24"/>
              </w:rPr>
              <w:t>设备正常运行率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≥99.99%</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val="en-US" w:eastAsia="zh-CN"/>
              </w:rPr>
            </w:pPr>
            <w:r>
              <w:rPr>
                <w:rFonts w:hint="eastAsia" w:ascii="仿宋_GB2312" w:eastAsia="仿宋_GB2312" w:cs="仿宋_GB2312"/>
                <w:color w:val="000000"/>
                <w:sz w:val="24"/>
              </w:rPr>
              <w:t>≥99.99%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维护完成率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项目完成指标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val="en-US" w:eastAsia="zh-CN"/>
              </w:rPr>
            </w:pPr>
            <w:r>
              <w:rPr>
                <w:rFonts w:hint="eastAsia" w:ascii="仿宋_GB2312" w:eastAsia="仿宋_GB2312" w:cs="仿宋_GB2312"/>
                <w:color w:val="000000"/>
                <w:sz w:val="24"/>
              </w:rPr>
              <w:t>设备耗材, 工作按时完成率,其他设施设备维护维修</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5.24万元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trPr>
        <w:tc>
          <w:tcPr>
            <w:tcW w:w="724" w:type="dxa"/>
            <w:vMerge w:val="continue"/>
            <w:tcBorders>
              <w:left w:val="single" w:color="000000"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社会效益</w:t>
            </w:r>
          </w:p>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工作按时完成率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≥9</w:t>
            </w:r>
            <w:r>
              <w:rPr>
                <w:rFonts w:hint="eastAsia" w:ascii="仿宋_GB2312" w:eastAsia="仿宋_GB2312" w:cs="仿宋_GB2312"/>
                <w:color w:val="000000"/>
                <w:sz w:val="24"/>
                <w:lang w:val="en-US" w:eastAsia="zh-CN"/>
              </w:rPr>
              <w:t>8</w:t>
            </w:r>
            <w:r>
              <w:rPr>
                <w:rFonts w:hint="eastAsia" w:asci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724"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≥90%</w:t>
            </w:r>
          </w:p>
        </w:tc>
      </w:tr>
    </w:tbl>
    <w:p>
      <w:pPr>
        <w:adjustRightInd w:val="0"/>
        <w:snapToGrid w:val="0"/>
        <w:spacing w:line="576" w:lineRule="exact"/>
        <w:jc w:val="center"/>
        <w:rPr>
          <w:rFonts w:hint="eastAsia" w:ascii="方正小标宋简体" w:eastAsia="方正小标宋简体" w:cs="方正小标宋简体"/>
          <w:color w:val="000000"/>
          <w:sz w:val="44"/>
          <w:szCs w:val="44"/>
          <w:shd w:val="clear" w:color="auto" w:fill="FFFFFF"/>
        </w:rPr>
      </w:pPr>
      <w:bookmarkStart w:id="93" w:name="_Toc1204023729_WPSOffice_Level2"/>
      <w:r>
        <w:rPr>
          <w:rFonts w:hint="eastAsia"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1</w:t>
      </w:r>
      <w:r>
        <w:rPr>
          <w:rFonts w:hint="eastAsia" w:ascii="方正小标宋简体" w:eastAsia="方正小标宋简体" w:cs="方正小标宋简体"/>
          <w:sz w:val="44"/>
          <w:szCs w:val="44"/>
        </w:rPr>
        <w:t>年度)</w:t>
      </w:r>
      <w:bookmarkEnd w:id="93"/>
    </w:p>
    <w:p>
      <w:pPr>
        <w:rPr>
          <w:rFonts w:hint="eastAsia" w:ascii="仿宋_GB2312" w:eastAsia="仿宋_GB2312" w:cs="仿宋_GB2312"/>
        </w:rPr>
      </w:pPr>
    </w:p>
    <w:p>
      <w:pPr>
        <w:spacing w:line="540" w:lineRule="exact"/>
        <w:jc w:val="center"/>
        <w:rPr>
          <w:rFonts w:hint="eastAsia" w:ascii="方正小标宋简体" w:eastAsia="方正小标宋简体"/>
          <w:color w:val="000000"/>
          <w:kern w:val="0"/>
          <w:sz w:val="44"/>
          <w:szCs w:val="44"/>
          <w:lang w:val="zh-CN"/>
        </w:rPr>
      </w:pPr>
    </w:p>
    <w:p>
      <w:pPr>
        <w:spacing w:line="600" w:lineRule="exact"/>
        <w:jc w:val="center"/>
        <w:outlineLvl w:val="0"/>
        <w:rPr>
          <w:rFonts w:hint="eastAsia" w:ascii="黑体" w:eastAsia="黑体" w:cs="黑体"/>
          <w:b w:val="0"/>
          <w:color w:val="auto"/>
          <w:sz w:val="32"/>
          <w:szCs w:val="32"/>
          <w:highlight w:val="none"/>
        </w:rPr>
      </w:pPr>
      <w:bookmarkStart w:id="94" w:name="_Toc15396618"/>
      <w:bookmarkStart w:id="95" w:name="_Toc1582202400_WPSOffice_Level1"/>
      <w:r>
        <w:rPr>
          <w:rFonts w:hint="eastAsia" w:ascii="黑体" w:eastAsia="黑体" w:cs="黑体"/>
          <w:color w:val="auto"/>
          <w:sz w:val="32"/>
          <w:szCs w:val="32"/>
          <w:highlight w:val="none"/>
        </w:rPr>
        <w:t>第</w:t>
      </w:r>
      <w:r>
        <w:rPr>
          <w:rStyle w:val="19"/>
          <w:rFonts w:hint="eastAsia" w:ascii="黑体" w:eastAsia="黑体" w:cs="黑体"/>
          <w:b w:val="0"/>
          <w:color w:val="auto"/>
          <w:sz w:val="32"/>
          <w:szCs w:val="32"/>
          <w:highlight w:val="none"/>
        </w:rPr>
        <w:t>五部分 附表</w:t>
      </w:r>
      <w:bookmarkEnd w:id="70"/>
      <w:bookmarkEnd w:id="94"/>
      <w:bookmarkEnd w:id="95"/>
      <w:bookmarkStart w:id="96" w:name="_Toc15396619"/>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97" w:name="_Toc952855641_WPSOffice_Level2"/>
      <w:r>
        <w:rPr>
          <w:rFonts w:hint="eastAsia" w:ascii="仿宋" w:eastAsia="仿宋"/>
          <w:b w:val="0"/>
          <w:color w:val="auto"/>
          <w:highlight w:val="none"/>
        </w:rPr>
        <w:t>一、收</w:t>
      </w:r>
      <w:r>
        <w:rPr>
          <w:rStyle w:val="20"/>
          <w:rFonts w:hint="eastAsia" w:ascii="仿宋" w:eastAsia="仿宋"/>
          <w:b w:val="0"/>
          <w:bCs w:val="0"/>
          <w:color w:val="auto"/>
          <w:highlight w:val="none"/>
        </w:rPr>
        <w:t>入支出决算总表</w:t>
      </w:r>
      <w:bookmarkEnd w:id="96"/>
      <w:bookmarkEnd w:id="97"/>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98" w:name="_Toc15396620"/>
      <w:bookmarkStart w:id="99" w:name="_Toc291025270_WPSOffice_Level2"/>
      <w:r>
        <w:rPr>
          <w:rFonts w:hint="eastAsia" w:ascii="仿宋" w:eastAsia="仿宋"/>
          <w:b w:val="0"/>
          <w:color w:val="auto"/>
          <w:highlight w:val="none"/>
        </w:rPr>
        <w:t>二、收</w:t>
      </w:r>
      <w:r>
        <w:rPr>
          <w:rStyle w:val="20"/>
          <w:rFonts w:hint="eastAsia" w:ascii="仿宋" w:eastAsia="仿宋"/>
          <w:b w:val="0"/>
          <w:bCs w:val="0"/>
          <w:color w:val="auto"/>
          <w:highlight w:val="none"/>
        </w:rPr>
        <w:t>入决算表</w:t>
      </w:r>
      <w:bookmarkEnd w:id="98"/>
      <w:bookmarkEnd w:id="99"/>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100" w:name="_Toc15396621"/>
      <w:bookmarkStart w:id="101" w:name="_Toc1063058652_WPSOffice_Level2"/>
      <w:r>
        <w:rPr>
          <w:rStyle w:val="20"/>
          <w:rFonts w:hint="eastAsia" w:ascii="仿宋" w:eastAsia="仿宋"/>
          <w:b w:val="0"/>
          <w:bCs w:val="0"/>
          <w:color w:val="auto"/>
          <w:highlight w:val="none"/>
        </w:rPr>
        <w:t>三、</w:t>
      </w:r>
      <w:r>
        <w:rPr>
          <w:rFonts w:hint="eastAsia" w:ascii="仿宋" w:eastAsia="仿宋"/>
          <w:b w:val="0"/>
          <w:color w:val="auto"/>
          <w:highlight w:val="none"/>
        </w:rPr>
        <w:t>支</w:t>
      </w:r>
      <w:r>
        <w:rPr>
          <w:rStyle w:val="20"/>
          <w:rFonts w:hint="eastAsia" w:ascii="仿宋" w:eastAsia="仿宋"/>
          <w:b w:val="0"/>
          <w:bCs w:val="0"/>
          <w:color w:val="auto"/>
          <w:highlight w:val="none"/>
        </w:rPr>
        <w:t>出决算表</w:t>
      </w:r>
      <w:bookmarkEnd w:id="100"/>
      <w:bookmarkEnd w:id="101"/>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b w:val="0"/>
          <w:color w:val="auto"/>
          <w:highlight w:val="none"/>
        </w:rPr>
      </w:pPr>
      <w:bookmarkStart w:id="102" w:name="_Toc15396622"/>
      <w:bookmarkStart w:id="103" w:name="_Toc1446455772_WPSOffice_Level2"/>
      <w:r>
        <w:rPr>
          <w:rStyle w:val="20"/>
          <w:rFonts w:hint="eastAsia" w:ascii="仿宋" w:eastAsia="仿宋"/>
          <w:b w:val="0"/>
          <w:bCs w:val="0"/>
          <w:color w:val="auto"/>
          <w:highlight w:val="none"/>
        </w:rPr>
        <w:t>四、</w:t>
      </w:r>
      <w:r>
        <w:rPr>
          <w:rFonts w:hint="eastAsia" w:ascii="仿宋" w:eastAsia="仿宋"/>
          <w:b w:val="0"/>
          <w:color w:val="auto"/>
          <w:highlight w:val="none"/>
        </w:rPr>
        <w:t>财</w:t>
      </w:r>
      <w:r>
        <w:rPr>
          <w:rStyle w:val="20"/>
          <w:rFonts w:hint="eastAsia" w:ascii="仿宋" w:eastAsia="仿宋"/>
          <w:b w:val="0"/>
          <w:bCs w:val="0"/>
          <w:color w:val="auto"/>
          <w:highlight w:val="none"/>
        </w:rPr>
        <w:t>政拨款收入支出决算总表</w:t>
      </w:r>
      <w:bookmarkEnd w:id="102"/>
      <w:bookmarkEnd w:id="103"/>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Style w:val="20"/>
          <w:rFonts w:ascii="仿宋" w:eastAsia="仿宋"/>
          <w:b w:val="0"/>
          <w:bCs w:val="0"/>
          <w:color w:val="auto"/>
          <w:highlight w:val="none"/>
        </w:rPr>
      </w:pPr>
      <w:bookmarkStart w:id="104" w:name="_Toc15396623"/>
      <w:bookmarkStart w:id="105" w:name="_Toc757377653_WPSOffice_Level2"/>
      <w:r>
        <w:rPr>
          <w:rStyle w:val="20"/>
          <w:rFonts w:hint="eastAsia" w:ascii="仿宋" w:eastAsia="仿宋"/>
          <w:b w:val="0"/>
          <w:bCs w:val="0"/>
          <w:color w:val="auto"/>
          <w:highlight w:val="none"/>
        </w:rPr>
        <w:t>五、</w:t>
      </w:r>
      <w:r>
        <w:rPr>
          <w:rFonts w:hint="eastAsia" w:ascii="仿宋" w:eastAsia="仿宋"/>
          <w:b w:val="0"/>
          <w:color w:val="auto"/>
          <w:highlight w:val="none"/>
        </w:rPr>
        <w:t>财</w:t>
      </w:r>
      <w:r>
        <w:rPr>
          <w:rStyle w:val="20"/>
          <w:rFonts w:hint="eastAsia" w:ascii="仿宋" w:eastAsia="仿宋"/>
          <w:b w:val="0"/>
          <w:bCs w:val="0"/>
          <w:color w:val="auto"/>
          <w:highlight w:val="none"/>
        </w:rPr>
        <w:t>政拨款支出决算明细表</w:t>
      </w:r>
      <w:bookmarkEnd w:id="104"/>
      <w:bookmarkEnd w:id="105"/>
      <w:bookmarkStart w:id="106" w:name="_Toc15396624"/>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107" w:name="_Toc2100165235_WPSOffice_Level2"/>
      <w:r>
        <w:rPr>
          <w:rStyle w:val="20"/>
          <w:rFonts w:hint="eastAsia" w:ascii="仿宋" w:eastAsia="仿宋"/>
          <w:b w:val="0"/>
          <w:bCs w:val="0"/>
          <w:color w:val="auto"/>
          <w:highlight w:val="none"/>
        </w:rPr>
        <w:t>六、</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般公共预算财政拨款支出决算表</w:t>
      </w:r>
      <w:bookmarkEnd w:id="106"/>
      <w:bookmarkEnd w:id="107"/>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108" w:name="_Toc15396625"/>
      <w:bookmarkStart w:id="109" w:name="_Toc637844207_WPSOffice_Level2"/>
      <w:r>
        <w:rPr>
          <w:rStyle w:val="20"/>
          <w:rFonts w:hint="eastAsia" w:ascii="仿宋" w:eastAsia="仿宋"/>
          <w:b w:val="0"/>
          <w:bCs w:val="0"/>
          <w:color w:val="auto"/>
          <w:highlight w:val="none"/>
        </w:rPr>
        <w:t>七、</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般公共预算财政拨款支出决算明细表</w:t>
      </w:r>
      <w:bookmarkEnd w:id="108"/>
      <w:bookmarkEnd w:id="109"/>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110" w:name="_Toc15396626"/>
      <w:bookmarkStart w:id="111" w:name="_Toc1847053093_WPSOffice_Level2"/>
      <w:r>
        <w:rPr>
          <w:rStyle w:val="20"/>
          <w:rFonts w:hint="eastAsia" w:ascii="仿宋" w:eastAsia="仿宋"/>
          <w:b w:val="0"/>
          <w:bCs w:val="0"/>
          <w:color w:val="auto"/>
          <w:highlight w:val="none"/>
        </w:rPr>
        <w:t>八、</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般公共预算财政拨款基本支出决算表</w:t>
      </w:r>
      <w:bookmarkEnd w:id="110"/>
      <w:bookmarkEnd w:id="111"/>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112" w:name="_Toc15396627"/>
      <w:bookmarkStart w:id="113" w:name="_Toc558084003_WPSOffice_Level2"/>
      <w:r>
        <w:rPr>
          <w:rStyle w:val="20"/>
          <w:rFonts w:hint="eastAsia" w:ascii="仿宋" w:eastAsia="仿宋"/>
          <w:b w:val="0"/>
          <w:bCs w:val="0"/>
          <w:color w:val="auto"/>
          <w:highlight w:val="none"/>
        </w:rPr>
        <w:t>九、</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般公共预算财政拨款项目支出决算表</w:t>
      </w:r>
      <w:bookmarkEnd w:id="112"/>
      <w:bookmarkEnd w:id="113"/>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114" w:name="_Toc15396628"/>
      <w:bookmarkStart w:id="115" w:name="_Toc1691979578_WPSOffice_Level2"/>
      <w:r>
        <w:rPr>
          <w:rStyle w:val="20"/>
          <w:rFonts w:hint="eastAsia" w:ascii="仿宋" w:eastAsia="仿宋"/>
          <w:b w:val="0"/>
          <w:bCs w:val="0"/>
          <w:color w:val="auto"/>
          <w:highlight w:val="none"/>
        </w:rPr>
        <w:t>十、</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般公共预算财政拨款“三公”经费支出决算表</w:t>
      </w:r>
      <w:bookmarkEnd w:id="114"/>
      <w:bookmarkEnd w:id="115"/>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116" w:name="_Toc15396629"/>
      <w:bookmarkStart w:id="117" w:name="_Toc1439875977_WPSOffice_Level2"/>
      <w:r>
        <w:rPr>
          <w:rStyle w:val="20"/>
          <w:rFonts w:hint="eastAsia" w:ascii="仿宋" w:eastAsia="仿宋"/>
          <w:b w:val="0"/>
          <w:bCs w:val="0"/>
          <w:color w:val="auto"/>
          <w:highlight w:val="none"/>
        </w:rPr>
        <w:t>十一、</w:t>
      </w:r>
      <w:r>
        <w:rPr>
          <w:rFonts w:hint="eastAsia" w:ascii="仿宋" w:eastAsia="仿宋"/>
          <w:b w:val="0"/>
          <w:color w:val="auto"/>
          <w:highlight w:val="none"/>
        </w:rPr>
        <w:t>政</w:t>
      </w:r>
      <w:r>
        <w:rPr>
          <w:rStyle w:val="20"/>
          <w:rFonts w:hint="eastAsia" w:ascii="仿宋" w:eastAsia="仿宋"/>
          <w:b w:val="0"/>
          <w:bCs w:val="0"/>
          <w:color w:val="auto"/>
          <w:highlight w:val="none"/>
        </w:rPr>
        <w:t>府性基金预算财政拨款收入支出决算表</w:t>
      </w:r>
      <w:bookmarkEnd w:id="116"/>
      <w:bookmarkEnd w:id="117"/>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eastAsia="仿宋"/>
          <w:color w:val="auto"/>
          <w:highlight w:val="none"/>
        </w:rPr>
      </w:pPr>
      <w:bookmarkStart w:id="118" w:name="_Toc15396630"/>
      <w:bookmarkStart w:id="119" w:name="_Toc222356406_WPSOffice_Level2"/>
      <w:r>
        <w:rPr>
          <w:rStyle w:val="20"/>
          <w:rFonts w:hint="eastAsia" w:ascii="仿宋" w:eastAsia="仿宋"/>
          <w:b w:val="0"/>
          <w:bCs w:val="0"/>
          <w:color w:val="auto"/>
          <w:highlight w:val="none"/>
        </w:rPr>
        <w:t>十二、</w:t>
      </w:r>
      <w:r>
        <w:rPr>
          <w:rFonts w:hint="eastAsia" w:ascii="仿宋" w:eastAsia="仿宋"/>
          <w:b w:val="0"/>
          <w:color w:val="auto"/>
          <w:highlight w:val="none"/>
        </w:rPr>
        <w:t>政</w:t>
      </w:r>
      <w:r>
        <w:rPr>
          <w:rStyle w:val="20"/>
          <w:rFonts w:hint="eastAsia" w:ascii="仿宋" w:eastAsia="仿宋"/>
          <w:b w:val="0"/>
          <w:bCs w:val="0"/>
          <w:color w:val="auto"/>
          <w:highlight w:val="none"/>
        </w:rPr>
        <w:t>府性基金预算财政拨款“三公”经费支出决算表</w:t>
      </w:r>
      <w:bookmarkEnd w:id="118"/>
      <w:bookmarkEnd w:id="119"/>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Style w:val="20"/>
          <w:rFonts w:hint="eastAsia" w:ascii="仿宋" w:eastAsia="仿宋"/>
          <w:b w:val="0"/>
          <w:bCs w:val="0"/>
          <w:color w:val="auto"/>
          <w:highlight w:val="none"/>
        </w:rPr>
      </w:pPr>
      <w:bookmarkStart w:id="120" w:name="_Toc15396631"/>
      <w:bookmarkStart w:id="121" w:name="_Toc1192454331_WPSOffice_Level2"/>
      <w:r>
        <w:rPr>
          <w:rStyle w:val="20"/>
          <w:rFonts w:hint="eastAsia" w:ascii="仿宋" w:eastAsia="仿宋"/>
          <w:b w:val="0"/>
          <w:bCs w:val="0"/>
          <w:color w:val="auto"/>
          <w:highlight w:val="none"/>
        </w:rPr>
        <w:t>十三、</w:t>
      </w:r>
      <w:r>
        <w:rPr>
          <w:rFonts w:hint="eastAsia" w:ascii="仿宋" w:eastAsia="仿宋"/>
          <w:b w:val="0"/>
          <w:color w:val="auto"/>
          <w:highlight w:val="none"/>
        </w:rPr>
        <w:t>国</w:t>
      </w:r>
      <w:r>
        <w:rPr>
          <w:rStyle w:val="20"/>
          <w:rFonts w:hint="eastAsia" w:ascii="仿宋" w:eastAsia="仿宋"/>
          <w:b w:val="0"/>
          <w:bCs w:val="0"/>
          <w:color w:val="auto"/>
          <w:highlight w:val="none"/>
        </w:rPr>
        <w:t>有资本经营预算</w:t>
      </w:r>
      <w:r>
        <w:rPr>
          <w:rStyle w:val="20"/>
          <w:rFonts w:hint="eastAsia" w:ascii="仿宋" w:eastAsia="仿宋"/>
          <w:b w:val="0"/>
          <w:bCs w:val="0"/>
          <w:color w:val="auto"/>
          <w:highlight w:val="none"/>
          <w:lang w:eastAsia="zh-CN"/>
        </w:rPr>
        <w:t>财政拨款收入</w:t>
      </w:r>
      <w:r>
        <w:rPr>
          <w:rStyle w:val="20"/>
          <w:rFonts w:hint="eastAsia" w:ascii="仿宋" w:eastAsia="仿宋"/>
          <w:b w:val="0"/>
          <w:bCs w:val="0"/>
          <w:color w:val="auto"/>
          <w:highlight w:val="none"/>
        </w:rPr>
        <w:t>支出决算表</w:t>
      </w:r>
      <w:bookmarkEnd w:id="120"/>
      <w:bookmarkEnd w:id="121"/>
    </w:p>
    <w:p>
      <w:pPr>
        <w:pageBreakBefore w:val="0"/>
        <w:widowControl w:val="0"/>
        <w:kinsoku/>
        <w:wordWrap/>
        <w:overflowPunct/>
        <w:topLinePunct w:val="0"/>
        <w:autoSpaceDE/>
        <w:autoSpaceDN/>
        <w:bidi w:val="0"/>
        <w:adjustRightInd/>
        <w:snapToGrid/>
        <w:spacing w:line="576" w:lineRule="exact"/>
        <w:textAlignment w:val="auto"/>
        <w:rPr>
          <w:rFonts w:hint="eastAsia" w:eastAsia="仿宋"/>
          <w:color w:val="auto"/>
          <w:highlight w:val="none"/>
          <w:lang w:eastAsia="zh-CN"/>
        </w:rPr>
      </w:pPr>
      <w:bookmarkStart w:id="122" w:name="_Toc1796443669_WPSOffice_Level2"/>
      <w:r>
        <w:rPr>
          <w:rStyle w:val="20"/>
          <w:rFonts w:hint="eastAsia" w:ascii="仿宋" w:eastAsia="仿宋"/>
          <w:b w:val="0"/>
          <w:bCs w:val="0"/>
          <w:color w:val="auto"/>
          <w:highlight w:val="none"/>
          <w:lang w:eastAsia="zh-CN"/>
        </w:rPr>
        <w:t>十四、国有资本经营预算财政拨款支出决算表</w:t>
      </w:r>
      <w:bookmarkEnd w:id="122"/>
    </w:p>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altName w:val="Lucida Sans Unicode"/>
    <w:panose1 w:val="00000000000000000000"/>
    <w:charset w:val="01"/>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0005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400050" cy="131559"/>
                      </a:xfrm>
                      <a:prstGeom prst="rect">
                        <a:avLst/>
                      </a:prstGeom>
                      <a:noFill/>
                      <a:ln w="6350" cap="flat" cmpd="sng">
                        <a:noFill/>
                        <a:prstDash val="solid"/>
                        <a:round/>
                      </a:ln>
                    </wps:spPr>
                    <wps:txbx>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0.35pt;width:31.5pt;mso-position-horizontal:center;mso-position-horizontal-relative:margin;mso-wrap-style:none;z-index:251659264;mso-width-relative:page;mso-height-relative:page;" filled="f" stroked="f" coordsize="21600,21600" o:gfxdata="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lozI01gAAAAMBAAAPAAAAAAAAAAEAIAAAACIAAABkcnMvZG93&#10;bnJldi54bWxQSwECFAAUAAAACACHTuJAIrg+9QICAAD0AwAADgAAAAAAAAABACAAAAAlAQAAZHJz&#10;L2Uyb0RvYy54bWxQSwUGAAAAAAYABgBZAQAAmQUAAAAA&#10;">
              <v:fill on="f" focussize="0,0"/>
              <v:stroke on="f" weight="0.5pt" joinstyle="round"/>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000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400050" cy="131559"/>
                      </a:xfrm>
                      <a:prstGeom prst="rect">
                        <a:avLst/>
                      </a:prstGeom>
                      <a:noFill/>
                      <a:ln w="6350" cap="flat" cmpd="sng">
                        <a:noFill/>
                        <a:prstDash val="solid"/>
                        <a:round/>
                      </a:ln>
                    </wps:spPr>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0.35pt;width:31.5pt;mso-position-horizontal:center;mso-position-horizontal-relative:margin;mso-wrap-style:none;z-index:251659264;mso-width-relative:page;mso-height-relative:page;" filled="f" stroked="f" coordsize="21600,21600" o:gfxdata="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aMyNNYAAAADAQAADwAAAAAAAAABACAAAAAiAAAAZHJzL2Rv&#10;d25yZXYueG1sUEsBAhQAFAAAAAgAh07iQI2d+vgDAgAA9AMAAA4AAAAAAAAAAQAgAAAAJQEAAGRy&#10;cy9lMm9Eb2MueG1sUEsFBgAAAAAGAAYAWQEAAJoFAAAAAA==&#10;">
              <v:fill on="f" focussize="0,0"/>
              <v:stroke on="f" weight="0.5pt" joinstyle="round"/>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4476F"/>
    <w:multiLevelType w:val="singleLevel"/>
    <w:tmpl w:val="85F4476F"/>
    <w:lvl w:ilvl="0" w:tentative="0">
      <w:start w:val="2"/>
      <w:numFmt w:val="chineseCounting"/>
      <w:suff w:val="nothing"/>
      <w:lvlText w:val="（%1）"/>
      <w:lvlJc w:val="left"/>
      <w:pPr>
        <w:tabs>
          <w:tab w:val="left" w:pos="0"/>
        </w:tabs>
        <w:ind w:left="0" w:firstLine="0"/>
      </w:pPr>
      <w:rPr>
        <w:rFonts w:hint="eastAsia"/>
      </w:rPr>
    </w:lvl>
  </w:abstractNum>
  <w:abstractNum w:abstractNumId="1">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rPr>
    </w:lvl>
  </w:abstractNum>
  <w:abstractNum w:abstractNumId="3">
    <w:nsid w:val="625B8B42"/>
    <w:multiLevelType w:val="singleLevel"/>
    <w:tmpl w:val="625B8B42"/>
    <w:lvl w:ilvl="0" w:tentative="0">
      <w:start w:val="2"/>
      <w:numFmt w:val="chineseCounting"/>
      <w:suff w:val="nothing"/>
      <w:lvlText w:val="（%1）"/>
      <w:lvlJc w:val="left"/>
      <w:pPr>
        <w:tabs>
          <w:tab w:val="left" w:pos="0"/>
        </w:tabs>
        <w:ind w:left="0" w:firstLine="0"/>
      </w:pPr>
    </w:lvl>
  </w:abstractNum>
  <w:abstractNum w:abstractNumId="4">
    <w:nsid w:val="6992A4B6"/>
    <w:multiLevelType w:val="singleLevel"/>
    <w:tmpl w:val="6992A4B6"/>
    <w:lvl w:ilvl="0" w:tentative="0">
      <w:start w:val="3"/>
      <w:numFmt w:val="decimal"/>
      <w:suff w:val="nothing"/>
      <w:lvlText w:val="%1．"/>
      <w:lvlJc w:val="left"/>
      <w:pPr>
        <w:tabs>
          <w:tab w:val="left" w:pos="0"/>
        </w:tabs>
        <w:ind w:left="0" w:firstLine="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mNmYzY5Y2FkZTMwZDc3YTU0YjlmZDVmNWRjODljNWUifQ=="/>
  </w:docVars>
  <w:rsids>
    <w:rsidRoot w:val="00000000"/>
    <w:rsid w:val="01DD3C4D"/>
    <w:rsid w:val="0D8B27AF"/>
    <w:rsid w:val="0DD04666"/>
    <w:rsid w:val="10093E5F"/>
    <w:rsid w:val="147815B3"/>
    <w:rsid w:val="235F406A"/>
    <w:rsid w:val="25090731"/>
    <w:rsid w:val="267A740D"/>
    <w:rsid w:val="30607673"/>
    <w:rsid w:val="37906A90"/>
    <w:rsid w:val="38526CB0"/>
    <w:rsid w:val="3CED04E1"/>
    <w:rsid w:val="49861AA1"/>
    <w:rsid w:val="5079410E"/>
    <w:rsid w:val="531E0F9C"/>
    <w:rsid w:val="58CD4FF7"/>
    <w:rsid w:val="602F11BE"/>
    <w:rsid w:val="63BA479C"/>
    <w:rsid w:val="6CC15B5D"/>
    <w:rsid w:val="763224E5"/>
    <w:rsid w:val="7AAA4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20"/>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6">
    <w:name w:val="heading 3"/>
    <w:basedOn w:val="1"/>
    <w:next w:val="1"/>
    <w:uiPriority w:val="0"/>
    <w:pPr>
      <w:keepNext/>
      <w:keepLines/>
      <w:widowControl w:val="0"/>
      <w:spacing w:before="260" w:after="260" w:line="415" w:lineRule="auto"/>
      <w:outlineLvl w:val="2"/>
    </w:pPr>
    <w:rPr>
      <w:b/>
      <w:bCs/>
      <w:sz w:val="32"/>
      <w:szCs w:val="32"/>
    </w:rPr>
  </w:style>
  <w:style w:type="character" w:default="1" w:styleId="16">
    <w:name w:val="Default Paragraph Fon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before="30" w:beforeLines="30"/>
    </w:pPr>
    <w:rPr>
      <w:rFonts w:ascii="仿宋_GB2312" w:eastAsia="仿宋_GB2312"/>
      <w:kern w:val="0"/>
      <w:sz w:val="30"/>
    </w:rPr>
  </w:style>
  <w:style w:type="paragraph" w:styleId="3">
    <w:name w:val="index 8"/>
    <w:basedOn w:val="1"/>
    <w:next w:val="1"/>
    <w:uiPriority w:val="0"/>
    <w:pPr>
      <w:ind w:left="2940"/>
    </w:pPr>
  </w:style>
  <w:style w:type="paragraph" w:styleId="7">
    <w:name w:val="toc 3"/>
    <w:basedOn w:val="1"/>
    <w:next w:val="1"/>
    <w:uiPriority w:val="0"/>
    <w:pPr>
      <w:tabs>
        <w:tab w:val="right" w:leader="dot" w:pos="8296"/>
      </w:tabs>
      <w:ind w:left="400" w:leftChars="400"/>
    </w:pPr>
  </w:style>
  <w:style w:type="paragraph" w:styleId="8">
    <w:name w:val="Balloon Text"/>
    <w:basedOn w:val="1"/>
    <w:uiPriority w:val="0"/>
    <w:rPr>
      <w:sz w:val="18"/>
      <w:szCs w:val="18"/>
    </w:rPr>
  </w:style>
  <w:style w:type="paragraph" w:styleId="9">
    <w:name w:val="footer"/>
    <w:basedOn w:val="1"/>
    <w:uiPriority w:val="0"/>
    <w:pPr>
      <w:tabs>
        <w:tab w:val="center" w:pos="4153"/>
        <w:tab w:val="right" w:pos="8306"/>
      </w:tabs>
      <w:snapToGrid w:val="0"/>
      <w:jc w:val="left"/>
    </w:pPr>
    <w:rPr>
      <w:rFonts w:ascii="Calibri" w:hAnsi="Calibri"/>
      <w:kern w:val="0"/>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iPriority w:val="0"/>
    <w:pPr>
      <w:tabs>
        <w:tab w:val="right" w:leader="dot" w:pos="8296"/>
      </w:tabs>
      <w:spacing w:before="93"/>
      <w:jc w:val="center"/>
    </w:pPr>
    <w:rPr>
      <w:rFonts w:ascii="仿宋" w:eastAsia="仿宋"/>
      <w:sz w:val="28"/>
      <w:szCs w:val="28"/>
    </w:rPr>
  </w:style>
  <w:style w:type="paragraph" w:styleId="12">
    <w:name w:val="toc 2"/>
    <w:basedOn w:val="1"/>
    <w:next w:val="1"/>
    <w:uiPriority w:val="0"/>
    <w:pPr>
      <w:tabs>
        <w:tab w:val="right" w:leader="dot" w:pos="8296"/>
      </w:tabs>
      <w:ind w:left="200" w:leftChars="200"/>
    </w:pPr>
  </w:style>
  <w:style w:type="paragraph" w:styleId="13">
    <w:name w:val="Normal (Web)"/>
    <w:basedOn w:val="1"/>
    <w:uiPriority w:val="0"/>
    <w:pPr>
      <w:widowControl/>
      <w:spacing w:before="100" w:beforeAutospacing="1" w:after="100" w:afterAutospacing="1"/>
      <w:jc w:val="left"/>
    </w:pPr>
    <w:rPr>
      <w:rFonts w:ascii="宋体" w:cs="宋体"/>
      <w:kern w:val="0"/>
      <w:sz w:val="24"/>
    </w:rPr>
  </w:style>
  <w:style w:type="paragraph" w:styleId="14">
    <w:name w:val="Body Text First Indent"/>
    <w:basedOn w:val="2"/>
    <w:uiPriority w:val="0"/>
    <w:pPr>
      <w:spacing w:after="120"/>
      <w:ind w:firstLine="100" w:firstLineChars="100"/>
    </w:pPr>
  </w:style>
  <w:style w:type="character" w:styleId="17">
    <w:name w:val="Strong"/>
    <w:basedOn w:val="16"/>
    <w:uiPriority w:val="0"/>
    <w:rPr>
      <w:b/>
    </w:rPr>
  </w:style>
  <w:style w:type="character" w:styleId="18">
    <w:name w:val="Hyperlink"/>
    <w:basedOn w:val="16"/>
    <w:uiPriority w:val="0"/>
    <w:rPr>
      <w:color w:val="0000FF"/>
      <w:u w:val="single"/>
    </w:rPr>
  </w:style>
  <w:style w:type="character" w:customStyle="1" w:styleId="19">
    <w:name w:val="heading 1 Char"/>
    <w:basedOn w:val="16"/>
    <w:link w:val="4"/>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6"/>
    <w:link w:val="5"/>
    <w:uiPriority w:val="0"/>
    <w:rPr>
      <w:rFonts w:ascii="Cambria" w:hAnsi="Cambria" w:eastAsia="宋体" w:cs="Times New Roman"/>
      <w:b/>
      <w:bCs/>
      <w:kern w:val="2"/>
      <w:sz w:val="32"/>
      <w:szCs w:val="32"/>
      <w:lang w:val="en-US" w:eastAsia="zh-CN" w:bidi="ar-SA"/>
    </w:rPr>
  </w:style>
  <w:style w:type="character" w:customStyle="1" w:styleId="21">
    <w:name w:val="Header Char"/>
    <w:basedOn w:val="16"/>
    <w:uiPriority w:val="0"/>
    <w:rPr>
      <w:rFonts w:ascii="Times New Roman" w:hAnsi="Times New Roman"/>
      <w:sz w:val="18"/>
      <w:szCs w:val="18"/>
    </w:rPr>
  </w:style>
  <w:style w:type="character" w:customStyle="1" w:styleId="22">
    <w:name w:val="Footer Char"/>
    <w:basedOn w:val="16"/>
    <w:uiPriority w:val="0"/>
    <w:rPr>
      <w:rFonts w:ascii="Times New Roman" w:hAnsi="Times New Roman"/>
      <w:sz w:val="18"/>
      <w:szCs w:val="18"/>
    </w:rPr>
  </w:style>
  <w:style w:type="character" w:customStyle="1" w:styleId="23">
    <w:name w:val="Body Text Char"/>
    <w:basedOn w:val="16"/>
    <w:uiPriority w:val="0"/>
    <w:rPr>
      <w:rFonts w:ascii="Times New Roman" w:hAnsi="Times New Roman"/>
      <w:szCs w:val="24"/>
    </w:rPr>
  </w:style>
  <w:style w:type="paragraph" w:customStyle="1" w:styleId="24">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uiPriority w:val="0"/>
    <w:pPr>
      <w:ind w:firstLine="200" w:firstLineChars="200"/>
    </w:pPr>
  </w:style>
  <w:style w:type="paragraph" w:customStyle="1" w:styleId="26">
    <w:name w:val="TOC 标题1"/>
    <w:basedOn w:val="4"/>
    <w:next w:val="1"/>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7">
    <w:name w:val="TOC Heading"/>
    <w:basedOn w:val="4"/>
    <w:next w:val="1"/>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8">
    <w:name w:val="WPSOffice手动目录 1"/>
    <w:uiPriority w:val="0"/>
    <w:rPr>
      <w:rFonts w:ascii="Times New Roman" w:hAnsi="Times New Roman" w:eastAsia="宋体" w:cs="Times New Roman"/>
      <w:sz w:val="20"/>
      <w:szCs w:val="20"/>
      <w:lang w:val="en-US" w:eastAsia="zh-CN" w:bidi="ar-SA"/>
    </w:rPr>
  </w:style>
  <w:style w:type="paragraph" w:customStyle="1" w:styleId="29">
    <w:name w:val="WPSOffice手动目录 2"/>
    <w:uiPriority w:val="0"/>
    <w:pPr>
      <w:ind w:left="200" w:leftChars="2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	</a:t>
            </a:r>
            <a:endParaRPr lang="zh-CN"/>
          </a:p>
        </c:rich>
      </c:tx>
      <c:layout/>
      <c:overlay val="0"/>
      <c:spPr>
        <a:noFill/>
        <a:ln>
          <a:noFill/>
        </a:ln>
      </c:spPr>
    </c:title>
    <c:autoTitleDeleted val="0"/>
    <c:plotArea>
      <c:layout>
        <c:manualLayout>
          <c:layoutTarget val="inner"/>
          <c:xMode val="edge"/>
          <c:yMode val="edge"/>
          <c:x val="0.059825"/>
          <c:y val="0.0935"/>
          <c:w val="0.912675"/>
          <c:h val="0.8309"/>
        </c:manualLayout>
      </c:layout>
      <c:barChart>
        <c:barDir val="col"/>
        <c:grouping val="stacked"/>
        <c:varyColors val="0"/>
        <c:ser>
          <c:idx val="0"/>
          <c:order val="0"/>
          <c:tx>
            <c:strRef>
              <c:f>'Sheet1'!$B$1</c:f>
              <c:strCache>
                <c:ptCount val="1"/>
                <c:pt idx="0">
                  <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2020年收、支总计</c:v>
                </c:pt>
                <c:pt idx="1">
                  <c:v>2021年收、支总计</c:v>
                </c:pt>
              </c:strCache>
            </c:strRef>
          </c:cat>
          <c:val>
            <c:numRef>
              <c:f>'Sheet1'!$B$2:$B$3</c:f>
              <c:numCache>
                <c:formatCode>General</c:formatCode>
                <c:ptCount val="2"/>
                <c:pt idx="0">
                  <c:v>482.81</c:v>
                </c:pt>
                <c:pt idx="1">
                  <c:v>450.31</c:v>
                </c:pt>
              </c:numCache>
            </c:numRef>
          </c:val>
        </c:ser>
        <c:dLbls>
          <c:showLegendKey val="0"/>
          <c:showVal val="1"/>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2021年收入合计</a:t>
            </a:r>
            <a:endParaRPr lang="zh-CN"/>
          </a:p>
        </c:rich>
      </c:tx>
      <c:layout/>
      <c:overlay val="0"/>
      <c:spPr>
        <a:noFill/>
        <a:ln>
          <a:noFill/>
        </a:ln>
      </c:spPr>
    </c:title>
    <c:autoTitleDeleted val="0"/>
    <c:plotArea>
      <c:layout/>
      <c:pieChart>
        <c:varyColors val="1"/>
        <c:ser>
          <c:idx val="0"/>
          <c:order val="0"/>
          <c:tx>
            <c:strRef>
              <c:f>'Sheet1 (2)'!$B$1</c:f>
              <c:strCache>
                <c:ptCount val="1"/>
                <c:pt idx="0">
                  <c:v>2021年收入合计</c:v>
                </c:pt>
              </c:strCache>
            </c:strRef>
          </c:tx>
          <c:spPr>
            <a:ln>
              <a:noFill/>
            </a:ln>
          </c:spPr>
          <c:explosion val="0"/>
          <c:dPt>
            <c:idx val="0"/>
            <c:bubble3D val="0"/>
            <c:spPr>
              <a:solidFill>
                <a:srgbClr val="4F81BD"/>
              </a:solidFill>
              <a:ln w="19050">
                <a:solidFill>
                  <a:srgbClr val="FFFFFF"/>
                </a:solidFill>
                <a:prstDash val="solid"/>
              </a:ln>
            </c:spPr>
          </c:dPt>
          <c:dLbls>
            <c:dLbl>
              <c:idx val="0"/>
              <c:layout>
                <c:manualLayout>
                  <c:x val="-0.0018759109"/>
                  <c:y val="-0.2107271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(2)'!$A$2</c:f>
              <c:strCache>
                <c:ptCount val="1"/>
                <c:pt idx="0">
                  <c:v>2021年一般公共预算财政拨款收入</c:v>
                </c:pt>
              </c:strCache>
            </c:strRef>
          </c:cat>
          <c:val>
            <c:numRef>
              <c:f>Sheet1 (2)!$B$2</c:f>
              <c:numCache>
                <c:formatCode>General</c:formatCode>
                <c:ptCount val="1"/>
                <c:pt idx="0">
                  <c:v>386.45</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manualLayout>
          <c:xMode val="edge"/>
          <c:yMode val="edge"/>
          <c:x val="0.2575625"/>
          <c:y val="0.922"/>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202年支出</a:t>
            </a:r>
            <a:endParaRPr lang="zh-CN"/>
          </a:p>
        </c:rich>
      </c:tx>
      <c:layout/>
      <c:overlay val="0"/>
      <c:spPr>
        <a:noFill/>
        <a:ln>
          <a:noFill/>
        </a:ln>
      </c:spPr>
    </c:title>
    <c:autoTitleDeleted val="0"/>
    <c:plotArea>
      <c:layout/>
      <c:pieChart>
        <c:varyColors val="1"/>
        <c:ser>
          <c:idx val="0"/>
          <c:order val="0"/>
          <c:tx>
            <c:strRef>
              <c:f>'Sheet1 (3)'!$B$1</c:f>
              <c:strCache>
                <c:ptCount val="1"/>
                <c:pt idx="0">
                  <c:v>202年支出</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(3)'!$A$2:$A$3</c:f>
              <c:strCache>
                <c:ptCount val="2"/>
                <c:pt idx="0">
                  <c:v>2021年基本支出</c:v>
                </c:pt>
                <c:pt idx="1">
                  <c:v>2021年项目支出</c:v>
                </c:pt>
              </c:strCache>
            </c:strRef>
          </c:cat>
          <c:val>
            <c:numRef>
              <c:f>'Sheet1 (3)'!$B$2:$B$3</c:f>
              <c:numCache>
                <c:formatCode>General</c:formatCode>
                <c:ptCount val="2"/>
                <c:pt idx="0">
                  <c:v>292.9</c:v>
                </c:pt>
                <c:pt idx="1">
                  <c:v>123.24</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	</a:t>
            </a:r>
            <a:endParaRPr lang="zh-CN"/>
          </a:p>
        </c:rich>
      </c:tx>
      <c:layout/>
      <c:overlay val="0"/>
      <c:spPr>
        <a:noFill/>
        <a:ln>
          <a:noFill/>
        </a:ln>
      </c:spPr>
    </c:title>
    <c:autoTitleDeleted val="0"/>
    <c:plotArea>
      <c:layout/>
      <c:barChart>
        <c:barDir val="col"/>
        <c:grouping val="stacked"/>
        <c:varyColors val="0"/>
        <c:ser>
          <c:idx val="0"/>
          <c:order val="0"/>
          <c:tx>
            <c:strRef>
              <c:f>'Sheet1 (4)'!$B$1</c:f>
              <c:strCache>
                <c:ptCount val="1"/>
                <c:pt idx="0">
                  <c:v/>
                </c:pt>
              </c:strCache>
            </c:strRef>
          </c:tx>
          <c:spPr>
            <a:solidFill>
              <a:srgbClr val="C0504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(4)'!$A$2:$A$3</c:f>
              <c:strCache>
                <c:ptCount val="2"/>
                <c:pt idx="0">
                  <c:v>2020年财政拨款收、支总计</c:v>
                </c:pt>
                <c:pt idx="1">
                  <c:v>2021年财政拨款收、支总计</c:v>
                </c:pt>
              </c:strCache>
            </c:strRef>
          </c:cat>
          <c:val>
            <c:numRef>
              <c:f>'Sheet1 (4)'!$B$2:$B$3</c:f>
              <c:numCache>
                <c:formatCode>General</c:formatCode>
                <c:ptCount val="2"/>
                <c:pt idx="0">
                  <c:v>482.81</c:v>
                </c:pt>
                <c:pt idx="1">
                  <c:v>450.31</c:v>
                </c:pt>
              </c:numCache>
            </c:numRef>
          </c:val>
        </c:ser>
        <c:dLbls>
          <c:showLegendKey val="0"/>
          <c:showVal val="1"/>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	</a:t>
            </a:r>
            <a:endParaRPr lang="zh-CN"/>
          </a:p>
        </c:rich>
      </c:tx>
      <c:layout/>
      <c:overlay val="0"/>
      <c:spPr>
        <a:noFill/>
        <a:ln>
          <a:noFill/>
        </a:ln>
      </c:spPr>
    </c:title>
    <c:autoTitleDeleted val="0"/>
    <c:plotArea>
      <c:layout/>
      <c:barChart>
        <c:barDir val="col"/>
        <c:grouping val="stacked"/>
        <c:varyColors val="0"/>
        <c:ser>
          <c:idx val="0"/>
          <c:order val="0"/>
          <c:tx>
            <c:strRef>
              <c:f>'Sheet1 (5)'!$B$1</c:f>
              <c:strCache>
                <c:ptCount val="1"/>
                <c:pt idx="0">
                  <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(5)'!$A$2:$A$3</c:f>
              <c:strCache>
                <c:ptCount val="2"/>
                <c:pt idx="0">
                  <c:v>2020年一般公共预算财政拨款支出</c:v>
                </c:pt>
                <c:pt idx="1">
                  <c:v>2021年一般公共预算财政拨款支出</c:v>
                </c:pt>
              </c:strCache>
            </c:strRef>
          </c:cat>
          <c:val>
            <c:numRef>
              <c:f>'Sheet1 (5)'!$B$2:$B$3</c:f>
              <c:numCache>
                <c:formatCode>General</c:formatCode>
                <c:ptCount val="2"/>
                <c:pt idx="0">
                  <c:v>393.34</c:v>
                </c:pt>
                <c:pt idx="1">
                  <c:v>416.14</c:v>
                </c:pt>
              </c:numCache>
            </c:numRef>
          </c:val>
        </c:ser>
        <c:dLbls>
          <c:showLegendKey val="0"/>
          <c:showVal val="1"/>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2021年一般公共预算财政拨款支出</a:t>
            </a:r>
            <a:endParaRPr lang="zh-CN"/>
          </a:p>
        </c:rich>
      </c:tx>
      <c:layout/>
      <c:overlay val="0"/>
      <c:spPr>
        <a:noFill/>
        <a:ln>
          <a:noFill/>
        </a:ln>
      </c:spPr>
    </c:title>
    <c:autoTitleDeleted val="0"/>
    <c:plotArea>
      <c:layout/>
      <c:pieChart>
        <c:varyColors val="1"/>
        <c:ser>
          <c:idx val="0"/>
          <c:order val="0"/>
          <c:tx>
            <c:strRef>
              <c:f>'Sheet1 (6)'!$B$1</c:f>
              <c:strCache>
                <c:ptCount val="1"/>
                <c:pt idx="0">
                  <c:v>2021年一般公共预算财政拨款支出</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(6)'!$A$2:$A$5</c:f>
              <c:strCache>
                <c:ptCount val="4"/>
                <c:pt idx="0">
                  <c:v>一般公共服务类支出</c:v>
                </c:pt>
                <c:pt idx="1">
                  <c:v>社会保障和就业类支出</c:v>
                </c:pt>
                <c:pt idx="2">
                  <c:v>卫生健康支出</c:v>
                </c:pt>
                <c:pt idx="3">
                  <c:v>住房保障支出</c:v>
                </c:pt>
              </c:strCache>
            </c:strRef>
          </c:cat>
          <c:val>
            <c:numRef>
              <c:f>'Sheet1 (6)'!$B$2:$B$5</c:f>
              <c:numCache>
                <c:formatCode>General</c:formatCode>
                <c:ptCount val="4"/>
                <c:pt idx="0">
                  <c:v>359.11</c:v>
                </c:pt>
                <c:pt idx="1">
                  <c:v>25.19</c:v>
                </c:pt>
                <c:pt idx="2">
                  <c:v>11.48</c:v>
                </c:pt>
                <c:pt idx="3">
                  <c:v>20.36</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2021年三公经费财政拨款支出决算</a:t>
            </a:r>
            <a:endParaRPr lang="zh-CN"/>
          </a:p>
        </c:rich>
      </c:tx>
      <c:layout/>
      <c:overlay val="0"/>
      <c:spPr>
        <a:noFill/>
        <a:ln>
          <a:noFill/>
        </a:ln>
      </c:spPr>
    </c:title>
    <c:autoTitleDeleted val="0"/>
    <c:plotArea>
      <c:layout/>
      <c:pieChart>
        <c:varyColors val="1"/>
        <c:ser>
          <c:idx val="0"/>
          <c:order val="0"/>
          <c:tx>
            <c:strRef>
              <c:f>'Sheet1 (7)'!$B$1</c:f>
              <c:strCache>
                <c:ptCount val="1"/>
                <c:pt idx="0">
                  <c:v>2021年三公经费财政拨款支出决算</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因公出国（境）费支出决算</c:v>
                </c:pt>
                <c:pt idx="1">
                  <c:v>公务用车购置及运行维护费支出决算</c:v>
                </c:pt>
                <c:pt idx="2">
                  <c:v>公务接待费支出决算</c:v>
                </c:pt>
              </c:strCache>
            </c:strRef>
          </c:cat>
          <c:val>
            <c:numRef>
              <c:f>'Sheet1 (7)'!$B$2:$B$4</c:f>
              <c:numCache>
                <c:formatCode>General</c:formatCode>
                <c:ptCount val="3"/>
                <c:pt idx="0">
                  <c:v>0</c:v>
                </c:pt>
                <c:pt idx="1">
                  <c:v>0</c:v>
                </c:pt>
                <c:pt idx="2">
                  <c:v>0.52</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manualLayout>
          <c:xMode val="edge"/>
          <c:yMode val="edge"/>
          <c:x val="0.210125"/>
          <c:y val="0.8236667"/>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FE59FC9061641728A52A1216464C395"/>
        <w:style w:val=""/>
        <w:category>
          <w:name w:val="常规"/>
          <w:gallery w:val="placeholder"/>
        </w:category>
        <w:types>
          <w:type w:val="bbPlcHdr"/>
        </w:types>
        <w:behaviors>
          <w:behavior w:val="content"/>
        </w:behaviors>
        <w:description w:val=""/>
        <w:guid w:val="{3ECCA739-01E8-4555-B67C-5B0BA278B116}"/>
      </w:docPartPr>
      <w:docPartBody>
        <w:p>
          <w:r>
            <w:rPr>
              <w:rStyle w:val="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Default Paragraph Font"/>
    <w:lsdException w:qFormat="1" w:unhideWhenUsed="0" w:uiPriority="0" w:semiHidden="0" w:name="Placeholder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qFormat/>
    <w:uiPriority w:val="0"/>
  </w:style>
  <w:style w:type="character" w:styleId="3">
    <w:name w:val="Placeholder Text"/>
    <w:basedOn w:val="2"/>
    <w:qFormat/>
    <w:uiPriority w:val="0"/>
    <w:rPr>
      <w:color w:val="808080"/>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34</Pages>
  <Words>11336</Words>
  <Characters>12054</Characters>
  <Lines>894</Lines>
  <Paragraphs>458</Paragraphs>
  <TotalTime>34</TotalTime>
  <ScaleCrop>false</ScaleCrop>
  <LinksUpToDate>false</LinksUpToDate>
  <CharactersWithSpaces>12114</CharactersWithSpaces>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zwzx001</cp:lastModifiedBy>
  <cp:lastPrinted>2022-08-09T09:11:00Z</cp:lastPrinted>
  <dcterms:modified xsi:type="dcterms:W3CDTF">2023-09-08T07:13:53Z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8D44CF903B034DA18EA45D9EBBCBCFE9_13</vt:lpwstr>
  </property>
</Properties>
</file>