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eastAsia" w:ascii="方正小标宋简体" w:hAnsi="宋体" w:eastAsia="方正小标宋简体"/>
          <w:color w:val="000000"/>
          <w:sz w:val="72"/>
          <w:szCs w:val="72"/>
          <w:lang w:eastAsia="zh-CN"/>
        </w:rPr>
      </w:pPr>
      <w:bookmarkStart w:id="0" w:name="_Toc15306267"/>
    </w:p>
    <w:p>
      <w:pPr>
        <w:spacing w:line="600" w:lineRule="exact"/>
        <w:jc w:val="center"/>
        <w:outlineLvl w:val="9"/>
        <w:rPr>
          <w:rFonts w:ascii="方正小标宋简体" w:hAnsi="宋体" w:eastAsia="方正小标宋简体"/>
          <w:color w:val="000000"/>
          <w:sz w:val="72"/>
          <w:szCs w:val="72"/>
        </w:rPr>
      </w:pPr>
    </w:p>
    <w:p>
      <w:pPr>
        <w:spacing w:line="600" w:lineRule="exact"/>
        <w:jc w:val="center"/>
        <w:outlineLvl w:val="9"/>
        <w:rPr>
          <w:rFonts w:ascii="方正小标宋简体" w:hAnsi="宋体" w:eastAsia="方正小标宋简体"/>
          <w:color w:val="000000"/>
          <w:sz w:val="72"/>
          <w:szCs w:val="72"/>
        </w:rPr>
      </w:pPr>
    </w:p>
    <w:bookmarkEnd w:id="0"/>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1" w:name="_Toc30724"/>
      <w:bookmarkStart w:id="2" w:name="_Toc4846"/>
      <w:r>
        <w:rPr>
          <w:rFonts w:hint="eastAsia" w:ascii="方正小标宋简体" w:hAnsi="宋体" w:eastAsia="方正小标宋简体"/>
          <w:color w:val="000000"/>
          <w:sz w:val="72"/>
          <w:szCs w:val="72"/>
          <w:lang w:eastAsia="zh-CN"/>
        </w:rPr>
        <w:t>2021年</w:t>
      </w:r>
      <w:r>
        <w:rPr>
          <w:rFonts w:hint="eastAsia" w:ascii="方正小标宋简体" w:hAnsi="宋体" w:eastAsia="方正小标宋简体"/>
          <w:color w:val="000000"/>
          <w:sz w:val="72"/>
          <w:szCs w:val="72"/>
        </w:rPr>
        <w:t>度</w:t>
      </w:r>
      <w:bookmarkEnd w:id="1"/>
      <w:bookmarkEnd w:id="2"/>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3" w:name="_Toc24908"/>
      <w:bookmarkStart w:id="4" w:name="_Toc22511"/>
      <w:r>
        <w:rPr>
          <w:rFonts w:hint="eastAsia" w:ascii="方正小标宋简体" w:hAnsi="宋体" w:eastAsia="方正小标宋简体"/>
          <w:color w:val="000000"/>
          <w:sz w:val="72"/>
          <w:szCs w:val="72"/>
        </w:rPr>
        <w:t>四川省广元市人才交流</w:t>
      </w:r>
      <w:bookmarkEnd w:id="3"/>
      <w:bookmarkEnd w:id="4"/>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5" w:name="_Toc1663"/>
      <w:bookmarkStart w:id="6" w:name="_Toc32305"/>
      <w:r>
        <w:rPr>
          <w:rFonts w:hint="eastAsia" w:ascii="方正小标宋简体" w:hAnsi="宋体" w:eastAsia="方正小标宋简体"/>
          <w:color w:val="000000"/>
          <w:sz w:val="72"/>
          <w:szCs w:val="72"/>
        </w:rPr>
        <w:t>中心</w:t>
      </w:r>
      <w:r>
        <w:rPr>
          <w:rFonts w:hint="eastAsia" w:ascii="方正小标宋简体" w:hAnsi="宋体" w:eastAsia="方正小标宋简体"/>
          <w:color w:val="000000"/>
          <w:sz w:val="72"/>
          <w:szCs w:val="72"/>
          <w:lang w:val="en-US" w:eastAsia="zh-CN"/>
        </w:rPr>
        <w:t>单位</w:t>
      </w:r>
      <w:r>
        <w:rPr>
          <w:rFonts w:hint="eastAsia" w:ascii="方正小标宋简体" w:hAnsi="宋体" w:eastAsia="方正小标宋简体"/>
          <w:color w:val="000000"/>
          <w:sz w:val="72"/>
          <w:szCs w:val="72"/>
        </w:rPr>
        <w:t>决算</w:t>
      </w:r>
      <w:bookmarkEnd w:id="5"/>
      <w:bookmarkEnd w:id="6"/>
    </w:p>
    <w:p>
      <w:pPr>
        <w:adjustRightInd w:val="0"/>
        <w:snapToGrid w:val="0"/>
        <w:spacing w:line="360" w:lineRule="auto"/>
        <w:jc w:val="center"/>
        <w:outlineLvl w:val="9"/>
        <w:rPr>
          <w:rFonts w:ascii="方正小标宋简体" w:hAnsi="宋体" w:eastAsia="方正小标宋简体"/>
          <w:color w:val="000000"/>
          <w:sz w:val="72"/>
          <w:szCs w:val="72"/>
        </w:rPr>
      </w:pPr>
    </w:p>
    <w:p>
      <w:pPr>
        <w:widowControl/>
        <w:spacing w:line="560" w:lineRule="exact"/>
        <w:ind w:firstLine="960" w:firstLineChars="200"/>
        <w:jc w:val="center"/>
        <w:rPr>
          <w:rFonts w:hint="eastAsia" w:ascii="黑体" w:eastAsia="黑体"/>
          <w:sz w:val="48"/>
          <w:szCs w:val="48"/>
        </w:rPr>
        <w:sectPr>
          <w:footerReference r:id="rId4" w:type="first"/>
          <w:headerReference r:id="rId3" w:type="default"/>
          <w:pgSz w:w="11906" w:h="16838"/>
          <w:pgMar w:top="1440" w:right="1800" w:bottom="1440" w:left="1800" w:header="851" w:footer="992" w:gutter="0"/>
          <w:pgNumType w:fmt="decimal" w:start="1"/>
          <w:cols w:space="720" w:num="1"/>
          <w:docGrid w:type="lines" w:linePitch="312" w:charSpace="0"/>
        </w:sectPr>
      </w:pPr>
    </w:p>
    <w:p>
      <w:pPr>
        <w:widowControl/>
        <w:spacing w:line="560" w:lineRule="exact"/>
        <w:ind w:firstLine="960" w:firstLineChars="200"/>
        <w:jc w:val="center"/>
        <w:rPr>
          <w:rFonts w:ascii="黑体" w:eastAsia="黑体"/>
          <w:sz w:val="48"/>
          <w:szCs w:val="48"/>
        </w:rPr>
      </w:pPr>
      <w:r>
        <w:rPr>
          <w:rFonts w:hint="eastAsia" w:ascii="黑体" w:eastAsia="黑体"/>
          <w:sz w:val="48"/>
          <w:szCs w:val="48"/>
        </w:rPr>
        <w:t>目录</w:t>
      </w:r>
    </w:p>
    <w:p>
      <w:pPr>
        <w:widowControl/>
        <w:spacing w:line="560" w:lineRule="exact"/>
        <w:ind w:firstLine="560" w:firstLineChars="200"/>
        <w:jc w:val="center"/>
        <w:rPr>
          <w:rFonts w:ascii="黑体" w:eastAsia="黑体" w:cs="Arial"/>
          <w:sz w:val="28"/>
          <w:szCs w:val="28"/>
        </w:rPr>
      </w:pPr>
    </w:p>
    <w:p>
      <w:pPr>
        <w:widowControl w:val="0"/>
        <w:spacing w:before="93" w:line="560" w:lineRule="exact"/>
        <w:ind w:firstLine="560" w:firstLineChars="200"/>
        <w:jc w:val="center"/>
        <w:rPr>
          <w:rFonts w:hint="eastAsia" w:ascii="仿宋" w:hAnsi="Times New Roman" w:eastAsia="仿宋" w:cs="Times New Roman"/>
          <w:kern w:val="2"/>
          <w:sz w:val="28"/>
          <w:szCs w:val="28"/>
          <w:lang w:val="en-US" w:eastAsia="zh-CN" w:bidi="ar-SA"/>
        </w:rPr>
      </w:pPr>
      <w:r>
        <w:rPr>
          <w:rFonts w:hint="eastAsia" w:ascii="仿宋" w:hAnsi="Times New Roman" w:eastAsia="仿宋" w:cs="Times New Roman"/>
          <w:kern w:val="2"/>
          <w:sz w:val="28"/>
          <w:szCs w:val="28"/>
          <w:lang w:val="en-US" w:eastAsia="zh-CN" w:bidi="ar-SA"/>
        </w:rPr>
        <w:t>公开时间：2022年9月30日</w:t>
      </w:r>
    </w:p>
    <w:sdt>
      <w:sdtPr>
        <w:rPr>
          <w:rFonts w:ascii="宋体" w:hAnsi="宋体" w:eastAsia="宋体" w:cs="Times New Roman"/>
          <w:kern w:val="2"/>
          <w:sz w:val="21"/>
          <w:szCs w:val="24"/>
          <w:lang w:val="en-US" w:eastAsia="zh-CN" w:bidi="ar-SA"/>
        </w:rPr>
        <w:id w:val="147464571"/>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pPr>
          <w:r>
            <w:rPr>
              <w:rFonts w:ascii="宋体" w:hAnsi="宋体" w:eastAsia="宋体"/>
              <w:sz w:val="21"/>
            </w:rPr>
            <w:t>目</w:t>
          </w:r>
          <w:r>
            <w:rPr>
              <w:rFonts w:hint="eastAsia" w:ascii="宋体" w:hAnsi="宋体"/>
              <w:sz w:val="21"/>
              <w:lang w:val="en-US" w:eastAsia="zh-CN"/>
            </w:rPr>
            <w:t xml:space="preserve">      </w:t>
          </w:r>
          <w:r>
            <w:rPr>
              <w:rFonts w:ascii="宋体" w:hAnsi="宋体" w:eastAsia="宋体"/>
              <w:sz w:val="21"/>
            </w:rPr>
            <w:t>录</w:t>
          </w:r>
        </w:p>
        <w:p>
          <w:pPr>
            <w:pStyle w:val="40"/>
            <w:tabs>
              <w:tab w:val="right" w:leader="dot" w:pos="8306"/>
            </w:tabs>
            <w:rPr>
              <w:b/>
            </w:rPr>
          </w:pPr>
          <w:r>
            <w:fldChar w:fldCharType="begin"/>
          </w:r>
          <w:r>
            <w:instrText xml:space="preserve">TOC \o "1-2" \h \u </w:instrText>
          </w:r>
          <w:r>
            <w:fldChar w:fldCharType="separate"/>
          </w:r>
        </w:p>
        <w:p>
          <w:pPr>
            <w:pStyle w:val="40"/>
            <w:tabs>
              <w:tab w:val="right" w:leader="dot" w:pos="8306"/>
            </w:tabs>
            <w:rPr>
              <w:b/>
            </w:rPr>
          </w:pPr>
          <w:r>
            <w:rPr>
              <w:b/>
            </w:rPr>
            <w:fldChar w:fldCharType="begin"/>
          </w:r>
          <w:r>
            <w:rPr>
              <w:b/>
            </w:rPr>
            <w:instrText xml:space="preserve"> HYPERLINK \l _Toc16499 </w:instrText>
          </w:r>
          <w:r>
            <w:rPr>
              <w:b/>
            </w:rPr>
            <w:fldChar w:fldCharType="separate"/>
          </w:r>
          <w:r>
            <w:rPr>
              <w:rFonts w:hint="eastAsia" w:ascii="黑体" w:hAnsi="黑体" w:eastAsia="黑体"/>
              <w:b/>
              <w:bCs w:val="0"/>
            </w:rPr>
            <w:t xml:space="preserve">第一部分 </w:t>
          </w:r>
          <w:r>
            <w:rPr>
              <w:rFonts w:hint="eastAsia" w:ascii="黑体" w:hAnsi="黑体" w:eastAsia="黑体"/>
              <w:b/>
              <w:bCs w:val="0"/>
              <w:lang w:val="en-US" w:eastAsia="zh-CN"/>
            </w:rPr>
            <w:t>单位</w:t>
          </w:r>
          <w:r>
            <w:rPr>
              <w:rFonts w:hint="eastAsia" w:ascii="黑体" w:hAnsi="黑体" w:eastAsia="黑体"/>
              <w:b/>
              <w:bCs w:val="0"/>
            </w:rPr>
            <w:t>概况</w:t>
          </w:r>
          <w:r>
            <w:rPr>
              <w:b/>
            </w:rPr>
            <w:tab/>
          </w:r>
          <w:r>
            <w:rPr>
              <w:b/>
            </w:rPr>
            <w:fldChar w:fldCharType="begin"/>
          </w:r>
          <w:r>
            <w:rPr>
              <w:b/>
            </w:rPr>
            <w:instrText xml:space="preserve"> PAGEREF _Toc16499 \h </w:instrText>
          </w:r>
          <w:r>
            <w:rPr>
              <w:b/>
            </w:rPr>
            <w:fldChar w:fldCharType="separate"/>
          </w:r>
          <w:r>
            <w:rPr>
              <w:b/>
            </w:rPr>
            <w:t>1</w:t>
          </w:r>
          <w:r>
            <w:rPr>
              <w:b/>
            </w:rPr>
            <w:fldChar w:fldCharType="end"/>
          </w:r>
          <w:r>
            <w:rPr>
              <w:b/>
            </w:rPr>
            <w:fldChar w:fldCharType="end"/>
          </w:r>
        </w:p>
        <w:p>
          <w:pPr>
            <w:pStyle w:val="41"/>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_Toc28637 </w:instrText>
          </w:r>
          <w:r>
            <w:rPr>
              <w:rFonts w:hint="eastAsia" w:ascii="仿宋" w:hAnsi="仿宋" w:eastAsia="仿宋" w:cs="仿宋"/>
            </w:rPr>
            <w:fldChar w:fldCharType="separate"/>
          </w:r>
          <w:r>
            <w:rPr>
              <w:rFonts w:hint="eastAsia" w:ascii="仿宋" w:hAnsi="仿宋" w:eastAsia="仿宋" w:cs="仿宋"/>
            </w:rPr>
            <w:t>一、职能简介</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_Toc28637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end"/>
          </w:r>
        </w:p>
        <w:p>
          <w:pPr>
            <w:pStyle w:val="41"/>
            <w:tabs>
              <w:tab w:val="right" w:leader="dot" w:pos="8306"/>
            </w:tabs>
          </w:pPr>
          <w:r>
            <w:rPr>
              <w:rFonts w:hint="eastAsia" w:ascii="仿宋" w:hAnsi="仿宋" w:eastAsia="仿宋" w:cs="仿宋"/>
            </w:rPr>
            <w:fldChar w:fldCharType="begin"/>
          </w:r>
          <w:r>
            <w:rPr>
              <w:rFonts w:hint="eastAsia" w:ascii="仿宋" w:hAnsi="仿宋" w:eastAsia="仿宋" w:cs="仿宋"/>
            </w:rPr>
            <w:instrText xml:space="preserve"> HYPERLINK \l _Toc31738 </w:instrText>
          </w:r>
          <w:r>
            <w:rPr>
              <w:rFonts w:hint="eastAsia" w:ascii="仿宋" w:hAnsi="仿宋" w:eastAsia="仿宋" w:cs="仿宋"/>
            </w:rPr>
            <w:fldChar w:fldCharType="separate"/>
          </w:r>
          <w:r>
            <w:rPr>
              <w:rFonts w:hint="eastAsia" w:ascii="仿宋" w:hAnsi="仿宋" w:eastAsia="仿宋" w:cs="仿宋"/>
            </w:rPr>
            <w:t>二、2021年重点工作完成情况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_Toc31738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end"/>
          </w:r>
        </w:p>
        <w:p>
          <w:pPr>
            <w:pStyle w:val="40"/>
            <w:tabs>
              <w:tab w:val="right" w:leader="dot" w:pos="8306"/>
            </w:tabs>
            <w:rPr>
              <w:b/>
            </w:rPr>
          </w:pPr>
          <w:r>
            <w:rPr>
              <w:b/>
            </w:rPr>
            <w:fldChar w:fldCharType="begin"/>
          </w:r>
          <w:r>
            <w:rPr>
              <w:b/>
            </w:rPr>
            <w:instrText xml:space="preserve"> HYPERLINK \l _Toc12801 </w:instrText>
          </w:r>
          <w:r>
            <w:rPr>
              <w:b/>
            </w:rPr>
            <w:fldChar w:fldCharType="separate"/>
          </w:r>
          <w:r>
            <w:rPr>
              <w:rFonts w:hint="eastAsia" w:ascii="黑体" w:hAnsi="黑体" w:eastAsia="黑体"/>
              <w:b/>
            </w:rPr>
            <w:t>第二部分</w:t>
          </w:r>
          <w:r>
            <w:rPr>
              <w:rFonts w:ascii="黑体" w:hAnsi="黑体" w:eastAsia="黑体"/>
              <w:b/>
            </w:rPr>
            <w:t xml:space="preserve"> </w:t>
          </w:r>
          <w:r>
            <w:rPr>
              <w:rFonts w:ascii="黑体" w:hAnsi="黑体" w:eastAsia="黑体"/>
              <w:b/>
              <w:bCs w:val="0"/>
            </w:rPr>
            <w:t>202</w:t>
          </w:r>
          <w:r>
            <w:rPr>
              <w:rFonts w:hint="eastAsia" w:ascii="黑体" w:hAnsi="黑体" w:eastAsia="黑体"/>
              <w:b/>
              <w:bCs w:val="0"/>
              <w:lang w:val="en-US" w:eastAsia="zh-CN"/>
            </w:rPr>
            <w:t>1</w:t>
          </w:r>
          <w:r>
            <w:rPr>
              <w:rFonts w:hint="eastAsia" w:ascii="黑体" w:hAnsi="黑体" w:eastAsia="黑体"/>
              <w:b/>
              <w:bCs w:val="0"/>
            </w:rPr>
            <w:t>年度</w:t>
          </w:r>
          <w:r>
            <w:rPr>
              <w:rFonts w:hint="eastAsia" w:ascii="黑体" w:hAnsi="黑体" w:eastAsia="黑体"/>
              <w:b/>
              <w:bCs w:val="0"/>
              <w:lang w:val="en-US" w:eastAsia="zh-CN"/>
            </w:rPr>
            <w:t>单位</w:t>
          </w:r>
          <w:r>
            <w:rPr>
              <w:rFonts w:hint="eastAsia" w:ascii="黑体" w:hAnsi="黑体" w:eastAsia="黑体"/>
              <w:b/>
              <w:bCs w:val="0"/>
            </w:rPr>
            <w:t>决算情况说明</w:t>
          </w:r>
          <w:r>
            <w:rPr>
              <w:b/>
            </w:rPr>
            <w:tab/>
          </w:r>
          <w:r>
            <w:rPr>
              <w:b/>
            </w:rPr>
            <w:fldChar w:fldCharType="begin"/>
          </w:r>
          <w:r>
            <w:rPr>
              <w:b/>
            </w:rPr>
            <w:instrText xml:space="preserve"> PAGEREF _Toc12801 \h </w:instrText>
          </w:r>
          <w:r>
            <w:rPr>
              <w:b/>
            </w:rPr>
            <w:fldChar w:fldCharType="separate"/>
          </w:r>
          <w:r>
            <w:rPr>
              <w:b/>
            </w:rPr>
            <w:t>4</w:t>
          </w:r>
          <w:r>
            <w:rPr>
              <w:b/>
            </w:rPr>
            <w:fldChar w:fldCharType="end"/>
          </w:r>
          <w:r>
            <w:rPr>
              <w:b/>
            </w:rPr>
            <w:fldChar w:fldCharType="end"/>
          </w:r>
        </w:p>
        <w:p>
          <w:pPr>
            <w:pStyle w:val="41"/>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_Toc17541 </w:instrText>
          </w:r>
          <w:r>
            <w:rPr>
              <w:rFonts w:hint="eastAsia" w:ascii="仿宋" w:hAnsi="仿宋" w:eastAsia="仿宋" w:cs="仿宋"/>
            </w:rPr>
            <w:fldChar w:fldCharType="separate"/>
          </w:r>
          <w:r>
            <w:rPr>
              <w:rFonts w:hint="eastAsia" w:ascii="仿宋" w:hAnsi="仿宋" w:eastAsia="仿宋" w:cs="仿宋"/>
            </w:rPr>
            <w:t>一、 收入支出决算总体情况说明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_Toc17541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pPr>
            <w:pStyle w:val="41"/>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_Toc25632 </w:instrText>
          </w:r>
          <w:r>
            <w:rPr>
              <w:rFonts w:hint="eastAsia" w:ascii="仿宋" w:hAnsi="仿宋" w:eastAsia="仿宋" w:cs="仿宋"/>
            </w:rPr>
            <w:fldChar w:fldCharType="separate"/>
          </w:r>
          <w:r>
            <w:rPr>
              <w:rFonts w:hint="eastAsia" w:ascii="仿宋" w:hAnsi="仿宋" w:eastAsia="仿宋" w:cs="仿宋"/>
            </w:rPr>
            <w:t>二、 收入决算情况说明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_Toc25632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pPr>
            <w:pStyle w:val="41"/>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_Toc29577 </w:instrText>
          </w:r>
          <w:r>
            <w:rPr>
              <w:rFonts w:hint="eastAsia" w:ascii="仿宋" w:hAnsi="仿宋" w:eastAsia="仿宋" w:cs="仿宋"/>
            </w:rPr>
            <w:fldChar w:fldCharType="separate"/>
          </w:r>
          <w:r>
            <w:rPr>
              <w:rFonts w:hint="eastAsia" w:ascii="仿宋" w:hAnsi="仿宋" w:eastAsia="仿宋" w:cs="仿宋"/>
            </w:rPr>
            <w:t>三、 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_Toc29577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pPr>
            <w:pStyle w:val="41"/>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_Toc2827 </w:instrText>
          </w:r>
          <w:r>
            <w:rPr>
              <w:rFonts w:hint="eastAsia" w:ascii="仿宋" w:hAnsi="仿宋" w:eastAsia="仿宋" w:cs="仿宋"/>
            </w:rPr>
            <w:fldChar w:fldCharType="separate"/>
          </w:r>
          <w:r>
            <w:rPr>
              <w:rFonts w:hint="eastAsia" w:ascii="仿宋" w:hAnsi="仿宋" w:eastAsia="仿宋" w:cs="仿宋"/>
            </w:rPr>
            <w:t>四、财政拨款收入支出决算总体情况说明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_Toc2827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pPr>
            <w:pStyle w:val="41"/>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_Toc22390 </w:instrText>
          </w:r>
          <w:r>
            <w:rPr>
              <w:rFonts w:hint="eastAsia" w:ascii="仿宋" w:hAnsi="仿宋" w:eastAsia="仿宋" w:cs="仿宋"/>
            </w:rPr>
            <w:fldChar w:fldCharType="separate"/>
          </w:r>
          <w:r>
            <w:rPr>
              <w:rFonts w:hint="eastAsia" w:ascii="仿宋" w:hAnsi="仿宋" w:eastAsia="仿宋" w:cs="仿宋"/>
            </w:rPr>
            <w:t>五、一般公共预算财政拨款支出决算情况说明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_Toc22390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pPr>
            <w:pStyle w:val="41"/>
            <w:tabs>
              <w:tab w:val="right" w:leader="dot" w:pos="8306"/>
            </w:tabs>
            <w:ind w:left="0" w:leftChars="0" w:firstLine="400" w:firstLineChars="200"/>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_Toc31911 </w:instrText>
          </w:r>
          <w:r>
            <w:rPr>
              <w:rFonts w:hint="eastAsia" w:ascii="仿宋" w:hAnsi="仿宋" w:eastAsia="仿宋" w:cs="仿宋"/>
            </w:rPr>
            <w:fldChar w:fldCharType="separate"/>
          </w:r>
          <w:r>
            <w:rPr>
              <w:rFonts w:hint="eastAsia" w:ascii="仿宋" w:hAnsi="仿宋" w:eastAsia="仿宋" w:cs="仿宋"/>
            </w:rPr>
            <w:t>六、一般公共预算财政拨款基本支出决算情况说明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_Toc31911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pPr>
            <w:pStyle w:val="41"/>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_Toc30947 </w:instrText>
          </w:r>
          <w:r>
            <w:rPr>
              <w:rFonts w:hint="eastAsia" w:ascii="仿宋" w:hAnsi="仿宋" w:eastAsia="仿宋" w:cs="仿宋"/>
            </w:rPr>
            <w:fldChar w:fldCharType="separate"/>
          </w:r>
          <w:r>
            <w:rPr>
              <w:rFonts w:hint="eastAsia" w:ascii="仿宋" w:hAnsi="仿宋" w:eastAsia="仿宋" w:cs="仿宋"/>
            </w:rPr>
            <w:t>七、“三公”经费财政拨款支出决算情况说明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_Toc30947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pPr>
            <w:pStyle w:val="41"/>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_Toc28312 </w:instrText>
          </w:r>
          <w:r>
            <w:rPr>
              <w:rFonts w:hint="eastAsia" w:ascii="仿宋" w:hAnsi="仿宋" w:eastAsia="仿宋" w:cs="仿宋"/>
            </w:rPr>
            <w:fldChar w:fldCharType="separate"/>
          </w:r>
          <w:r>
            <w:rPr>
              <w:rFonts w:hint="eastAsia" w:ascii="仿宋" w:hAnsi="仿宋" w:eastAsia="仿宋" w:cs="仿宋"/>
            </w:rPr>
            <w:t>八、政府性基金预算支出决算情况说明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_Toc28312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rPr>
            <w:fldChar w:fldCharType="end"/>
          </w:r>
        </w:p>
        <w:p>
          <w:pPr>
            <w:pStyle w:val="41"/>
            <w:tabs>
              <w:tab w:val="right" w:leader="dot" w:pos="830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_Toc7533 </w:instrText>
          </w:r>
          <w:r>
            <w:rPr>
              <w:rFonts w:hint="eastAsia" w:ascii="仿宋" w:hAnsi="仿宋" w:eastAsia="仿宋" w:cs="仿宋"/>
            </w:rPr>
            <w:fldChar w:fldCharType="separate"/>
          </w:r>
          <w:r>
            <w:rPr>
              <w:rFonts w:hint="eastAsia" w:ascii="仿宋" w:hAnsi="仿宋" w:eastAsia="仿宋" w:cs="仿宋"/>
            </w:rPr>
            <w:t>九、 国有资本经营预算支出决算情况说明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_Toc7533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pPr>
            <w:pStyle w:val="41"/>
            <w:tabs>
              <w:tab w:val="right" w:leader="dot" w:pos="8306"/>
            </w:tabs>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预算绩效管理情况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_Toc7533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p>
        <w:p>
          <w:pPr>
            <w:pStyle w:val="41"/>
            <w:tabs>
              <w:tab w:val="right" w:leader="dot" w:pos="8306"/>
            </w:tabs>
          </w:pPr>
          <w:r>
            <w:rPr>
              <w:rFonts w:hint="eastAsia" w:ascii="仿宋" w:hAnsi="仿宋" w:eastAsia="仿宋" w:cs="仿宋"/>
            </w:rPr>
            <w:fldChar w:fldCharType="begin"/>
          </w:r>
          <w:r>
            <w:rPr>
              <w:rFonts w:hint="eastAsia" w:ascii="仿宋" w:hAnsi="仿宋" w:eastAsia="仿宋" w:cs="仿宋"/>
            </w:rPr>
            <w:instrText xml:space="preserve"> HYPERLINK \l _Toc13192 </w:instrText>
          </w:r>
          <w:r>
            <w:rPr>
              <w:rFonts w:hint="eastAsia" w:ascii="仿宋" w:hAnsi="仿宋" w:eastAsia="仿宋" w:cs="仿宋"/>
            </w:rPr>
            <w:fldChar w:fldCharType="separate"/>
          </w:r>
          <w:r>
            <w:rPr>
              <w:rFonts w:hint="eastAsia" w:ascii="仿宋" w:hAnsi="仿宋" w:eastAsia="仿宋" w:cs="仿宋"/>
            </w:rPr>
            <w:t>十、其他重要事项的情况说明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_Toc13192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pPr>
            <w:pStyle w:val="40"/>
            <w:tabs>
              <w:tab w:val="right" w:leader="dot" w:pos="8306"/>
            </w:tabs>
            <w:rPr>
              <w:b/>
            </w:rPr>
          </w:pPr>
          <w:r>
            <w:rPr>
              <w:b/>
            </w:rPr>
            <w:fldChar w:fldCharType="begin"/>
          </w:r>
          <w:r>
            <w:rPr>
              <w:b/>
            </w:rPr>
            <w:instrText xml:space="preserve"> HYPERLINK \l _Toc21016 </w:instrText>
          </w:r>
          <w:r>
            <w:rPr>
              <w:b/>
            </w:rPr>
            <w:fldChar w:fldCharType="separate"/>
          </w:r>
          <w:r>
            <w:rPr>
              <w:rFonts w:hint="eastAsia" w:ascii="宋体" w:cs="Times New Roman"/>
              <w:b/>
              <w:szCs w:val="44"/>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_Toc21016 \h </w:instrText>
          </w:r>
          <w:r>
            <w:rPr>
              <w:b/>
            </w:rPr>
            <w:fldChar w:fldCharType="separate"/>
          </w:r>
          <w:r>
            <w:rPr>
              <w:b/>
            </w:rPr>
            <w:t>17</w:t>
          </w:r>
          <w:r>
            <w:rPr>
              <w:b/>
            </w:rPr>
            <w:fldChar w:fldCharType="end"/>
          </w:r>
          <w:r>
            <w:rPr>
              <w:b/>
            </w:rPr>
            <w:fldChar w:fldCharType="end"/>
          </w:r>
        </w:p>
        <w:p>
          <w:pPr>
            <w:pStyle w:val="40"/>
            <w:tabs>
              <w:tab w:val="right" w:leader="dot" w:pos="8306"/>
            </w:tabs>
            <w:rPr>
              <w:b/>
            </w:rPr>
          </w:pPr>
          <w:r>
            <w:rPr>
              <w:b/>
            </w:rPr>
            <w:fldChar w:fldCharType="begin"/>
          </w:r>
          <w:r>
            <w:rPr>
              <w:b/>
            </w:rPr>
            <w:instrText xml:space="preserve"> HYPERLINK \l _Toc18211 </w:instrText>
          </w:r>
          <w:r>
            <w:rPr>
              <w:b/>
            </w:rPr>
            <w:fldChar w:fldCharType="separate"/>
          </w:r>
          <w:r>
            <w:rPr>
              <w:rFonts w:hint="eastAsia" w:ascii="黑体" w:hAnsi="黑体" w:eastAsia="黑体"/>
              <w:b/>
              <w:szCs w:val="44"/>
            </w:rPr>
            <w:t>第</w:t>
          </w:r>
          <w:r>
            <w:rPr>
              <w:rFonts w:hint="eastAsia" w:ascii="黑体" w:hAnsi="黑体" w:eastAsia="黑体"/>
              <w:b/>
            </w:rPr>
            <w:t>四部分</w:t>
          </w:r>
          <w:r>
            <w:rPr>
              <w:rFonts w:ascii="黑体" w:hAnsi="黑体" w:eastAsia="黑体"/>
              <w:b/>
            </w:rPr>
            <w:t xml:space="preserve"> </w:t>
          </w:r>
          <w:r>
            <w:rPr>
              <w:rFonts w:hint="eastAsia" w:ascii="黑体" w:hAnsi="黑体" w:eastAsia="黑体"/>
              <w:b/>
            </w:rPr>
            <w:t>附件</w:t>
          </w:r>
          <w:r>
            <w:rPr>
              <w:b/>
            </w:rPr>
            <w:tab/>
          </w:r>
          <w:r>
            <w:rPr>
              <w:b/>
            </w:rPr>
            <w:fldChar w:fldCharType="begin"/>
          </w:r>
          <w:r>
            <w:rPr>
              <w:b/>
            </w:rPr>
            <w:instrText xml:space="preserve"> PAGEREF _Toc18211 \h </w:instrText>
          </w:r>
          <w:r>
            <w:rPr>
              <w:b/>
            </w:rPr>
            <w:fldChar w:fldCharType="separate"/>
          </w:r>
          <w:r>
            <w:rPr>
              <w:b/>
            </w:rPr>
            <w:t>20</w:t>
          </w:r>
          <w:r>
            <w:rPr>
              <w:b/>
            </w:rPr>
            <w:fldChar w:fldCharType="end"/>
          </w:r>
          <w:r>
            <w:rPr>
              <w:b/>
            </w:rPr>
            <w:fldChar w:fldCharType="end"/>
          </w:r>
        </w:p>
        <w:p>
          <w:pPr>
            <w:pStyle w:val="40"/>
            <w:tabs>
              <w:tab w:val="right" w:leader="dot" w:pos="8306"/>
            </w:tabs>
            <w:rPr>
              <w:b/>
            </w:rPr>
          </w:pPr>
          <w:r>
            <w:rPr>
              <w:b/>
            </w:rPr>
            <w:fldChar w:fldCharType="begin"/>
          </w:r>
          <w:r>
            <w:rPr>
              <w:b/>
            </w:rPr>
            <w:instrText xml:space="preserve"> HYPERLINK \l _Toc3334 </w:instrText>
          </w:r>
          <w:r>
            <w:rPr>
              <w:b/>
            </w:rPr>
            <w:fldChar w:fldCharType="separate"/>
          </w:r>
          <w:r>
            <w:rPr>
              <w:rFonts w:hint="eastAsia" w:ascii="黑体" w:hAnsi="黑体" w:eastAsia="黑体"/>
              <w:b/>
              <w:szCs w:val="44"/>
            </w:rPr>
            <w:t>第</w:t>
          </w:r>
          <w:r>
            <w:rPr>
              <w:rFonts w:hint="eastAsia" w:ascii="黑体" w:hAnsi="黑体" w:eastAsia="黑体"/>
              <w:b/>
            </w:rPr>
            <w:t>五部分</w:t>
          </w:r>
          <w:r>
            <w:rPr>
              <w:rFonts w:ascii="黑体" w:hAnsi="黑体" w:eastAsia="黑体"/>
              <w:b/>
            </w:rPr>
            <w:t xml:space="preserve"> </w:t>
          </w:r>
          <w:r>
            <w:rPr>
              <w:rFonts w:hint="eastAsia" w:ascii="黑体" w:hAnsi="黑体" w:eastAsia="黑体"/>
              <w:b/>
            </w:rPr>
            <w:t>附表</w:t>
          </w:r>
          <w:r>
            <w:rPr>
              <w:b/>
            </w:rPr>
            <w:tab/>
          </w:r>
          <w:r>
            <w:rPr>
              <w:b/>
            </w:rPr>
            <w:fldChar w:fldCharType="begin"/>
          </w:r>
          <w:r>
            <w:rPr>
              <w:b/>
            </w:rPr>
            <w:instrText xml:space="preserve"> PAGEREF _Toc3334 \h </w:instrText>
          </w:r>
          <w:r>
            <w:rPr>
              <w:b/>
            </w:rPr>
            <w:fldChar w:fldCharType="separate"/>
          </w:r>
          <w:r>
            <w:rPr>
              <w:b/>
            </w:rPr>
            <w:t>25</w:t>
          </w:r>
          <w:r>
            <w:rPr>
              <w:b/>
            </w:rPr>
            <w:fldChar w:fldCharType="end"/>
          </w:r>
          <w:r>
            <w:rPr>
              <w:b/>
            </w:rPr>
            <w:fldChar w:fldCharType="end"/>
          </w:r>
        </w:p>
        <w:p>
          <w:pPr>
            <w:pStyle w:val="41"/>
            <w:tabs>
              <w:tab w:val="right" w:leader="dot" w:pos="8306"/>
            </w:tabs>
          </w:pPr>
          <w:r>
            <w:fldChar w:fldCharType="begin"/>
          </w:r>
          <w:r>
            <w:instrText xml:space="preserve"> HYPERLINK \l _Toc19960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_Toc19960 \h </w:instrText>
          </w:r>
          <w:r>
            <w:fldChar w:fldCharType="separate"/>
          </w:r>
          <w:r>
            <w:t>25</w:t>
          </w:r>
          <w:r>
            <w:fldChar w:fldCharType="end"/>
          </w:r>
          <w:r>
            <w:fldChar w:fldCharType="end"/>
          </w:r>
        </w:p>
        <w:p>
          <w:pPr>
            <w:pStyle w:val="41"/>
            <w:tabs>
              <w:tab w:val="right" w:leader="dot" w:pos="8306"/>
            </w:tabs>
          </w:pPr>
          <w:r>
            <w:fldChar w:fldCharType="begin"/>
          </w:r>
          <w:r>
            <w:instrText xml:space="preserve"> HYPERLINK \l _Toc20772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_Toc20772 \h </w:instrText>
          </w:r>
          <w:r>
            <w:fldChar w:fldCharType="separate"/>
          </w:r>
          <w:r>
            <w:t>25</w:t>
          </w:r>
          <w:r>
            <w:fldChar w:fldCharType="end"/>
          </w:r>
          <w:r>
            <w:fldChar w:fldCharType="end"/>
          </w:r>
        </w:p>
        <w:p>
          <w:pPr>
            <w:pStyle w:val="41"/>
            <w:tabs>
              <w:tab w:val="right" w:leader="dot" w:pos="8306"/>
            </w:tabs>
          </w:pPr>
          <w:r>
            <w:fldChar w:fldCharType="begin"/>
          </w:r>
          <w:r>
            <w:instrText xml:space="preserve"> HYPERLINK \l _Toc29508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_Toc29508 \h </w:instrText>
          </w:r>
          <w:r>
            <w:fldChar w:fldCharType="separate"/>
          </w:r>
          <w:r>
            <w:t>25</w:t>
          </w:r>
          <w:r>
            <w:fldChar w:fldCharType="end"/>
          </w:r>
          <w:r>
            <w:fldChar w:fldCharType="end"/>
          </w:r>
        </w:p>
        <w:p>
          <w:pPr>
            <w:pStyle w:val="41"/>
            <w:tabs>
              <w:tab w:val="right" w:leader="dot" w:pos="8306"/>
            </w:tabs>
          </w:pPr>
          <w:r>
            <w:fldChar w:fldCharType="begin"/>
          </w:r>
          <w:r>
            <w:instrText xml:space="preserve"> HYPERLINK \l _Toc20709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_Toc20709 \h </w:instrText>
          </w:r>
          <w:r>
            <w:fldChar w:fldCharType="separate"/>
          </w:r>
          <w:r>
            <w:t>25</w:t>
          </w:r>
          <w:r>
            <w:fldChar w:fldCharType="end"/>
          </w:r>
          <w:r>
            <w:fldChar w:fldCharType="end"/>
          </w:r>
        </w:p>
        <w:p>
          <w:pPr>
            <w:pStyle w:val="41"/>
            <w:tabs>
              <w:tab w:val="right" w:leader="dot" w:pos="8306"/>
            </w:tabs>
          </w:pPr>
          <w:r>
            <w:fldChar w:fldCharType="begin"/>
          </w:r>
          <w:r>
            <w:instrText xml:space="preserve"> HYPERLINK \l _Toc22320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_Toc22320 \h </w:instrText>
          </w:r>
          <w:r>
            <w:fldChar w:fldCharType="separate"/>
          </w:r>
          <w:r>
            <w:t>25</w:t>
          </w:r>
          <w:r>
            <w:fldChar w:fldCharType="end"/>
          </w:r>
          <w:r>
            <w:fldChar w:fldCharType="end"/>
          </w:r>
        </w:p>
        <w:p>
          <w:pPr>
            <w:pStyle w:val="41"/>
            <w:tabs>
              <w:tab w:val="right" w:leader="dot" w:pos="8306"/>
            </w:tabs>
          </w:pPr>
          <w:r>
            <w:fldChar w:fldCharType="begin"/>
          </w:r>
          <w:r>
            <w:instrText xml:space="preserve"> HYPERLINK \l _Toc25914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_Toc25914 \h </w:instrText>
          </w:r>
          <w:r>
            <w:fldChar w:fldCharType="separate"/>
          </w:r>
          <w:r>
            <w:t>25</w:t>
          </w:r>
          <w:r>
            <w:fldChar w:fldCharType="end"/>
          </w:r>
          <w:r>
            <w:fldChar w:fldCharType="end"/>
          </w:r>
        </w:p>
        <w:p>
          <w:pPr>
            <w:pStyle w:val="41"/>
            <w:tabs>
              <w:tab w:val="right" w:leader="dot" w:pos="8306"/>
            </w:tabs>
          </w:pPr>
          <w:r>
            <w:fldChar w:fldCharType="begin"/>
          </w:r>
          <w:r>
            <w:instrText xml:space="preserve"> HYPERLINK \l _Toc7439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_Toc7439 \h </w:instrText>
          </w:r>
          <w:r>
            <w:fldChar w:fldCharType="separate"/>
          </w:r>
          <w:r>
            <w:t>25</w:t>
          </w:r>
          <w:r>
            <w:fldChar w:fldCharType="end"/>
          </w:r>
          <w:r>
            <w:fldChar w:fldCharType="end"/>
          </w:r>
        </w:p>
        <w:p>
          <w:pPr>
            <w:pStyle w:val="41"/>
            <w:tabs>
              <w:tab w:val="right" w:leader="dot" w:pos="8306"/>
            </w:tabs>
          </w:pPr>
          <w:r>
            <w:fldChar w:fldCharType="begin"/>
          </w:r>
          <w:r>
            <w:instrText xml:space="preserve"> HYPERLINK \l _Toc16804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_Toc16804 \h </w:instrText>
          </w:r>
          <w:r>
            <w:fldChar w:fldCharType="separate"/>
          </w:r>
          <w:r>
            <w:t>25</w:t>
          </w:r>
          <w:r>
            <w:fldChar w:fldCharType="end"/>
          </w:r>
          <w:r>
            <w:fldChar w:fldCharType="end"/>
          </w:r>
        </w:p>
        <w:p>
          <w:pPr>
            <w:pStyle w:val="41"/>
            <w:tabs>
              <w:tab w:val="right" w:leader="dot" w:pos="8306"/>
            </w:tabs>
          </w:pPr>
          <w:r>
            <w:fldChar w:fldCharType="begin"/>
          </w:r>
          <w:r>
            <w:instrText xml:space="preserve"> HYPERLINK \l _Toc23000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_Toc23000 \h </w:instrText>
          </w:r>
          <w:r>
            <w:fldChar w:fldCharType="separate"/>
          </w:r>
          <w:r>
            <w:t>25</w:t>
          </w:r>
          <w:r>
            <w:fldChar w:fldCharType="end"/>
          </w:r>
          <w:r>
            <w:fldChar w:fldCharType="end"/>
          </w:r>
        </w:p>
        <w:p>
          <w:pPr>
            <w:pStyle w:val="41"/>
            <w:tabs>
              <w:tab w:val="right" w:leader="dot" w:pos="8306"/>
            </w:tabs>
          </w:pPr>
          <w:r>
            <w:fldChar w:fldCharType="begin"/>
          </w:r>
          <w:r>
            <w:instrText xml:space="preserve"> HYPERLINK \l _Toc213 </w:instrText>
          </w:r>
          <w:r>
            <w:fldChar w:fldCharType="separate"/>
          </w:r>
          <w:r>
            <w:rPr>
              <w:rFonts w:hint="eastAsia" w:ascii="仿宋" w:hAnsi="仿宋" w:eastAsia="仿宋"/>
              <w:bCs w:val="0"/>
            </w:rPr>
            <w:t>十、</w:t>
          </w:r>
          <w:r>
            <w:rPr>
              <w:rFonts w:hint="eastAsia" w:ascii="仿宋" w:hAnsi="仿宋" w:eastAsia="仿宋"/>
            </w:rPr>
            <w:t>一</w:t>
          </w:r>
          <w:r>
            <w:rPr>
              <w:rFonts w:hint="eastAsia" w:ascii="仿宋" w:hAnsi="仿宋" w:eastAsia="仿宋"/>
              <w:bCs w:val="0"/>
            </w:rPr>
            <w:t>般公共预算财政拨款“三公”经费支出决算表</w:t>
          </w:r>
          <w:r>
            <w:tab/>
          </w:r>
          <w:r>
            <w:fldChar w:fldCharType="begin"/>
          </w:r>
          <w:r>
            <w:instrText xml:space="preserve"> PAGEREF _Toc213 \h </w:instrText>
          </w:r>
          <w:r>
            <w:fldChar w:fldCharType="separate"/>
          </w:r>
          <w:r>
            <w:t>25</w:t>
          </w:r>
          <w:r>
            <w:fldChar w:fldCharType="end"/>
          </w:r>
          <w:r>
            <w:fldChar w:fldCharType="end"/>
          </w:r>
        </w:p>
        <w:p>
          <w:pPr>
            <w:pStyle w:val="41"/>
            <w:tabs>
              <w:tab w:val="right" w:leader="dot" w:pos="8306"/>
            </w:tabs>
          </w:pPr>
          <w:r>
            <w:fldChar w:fldCharType="begin"/>
          </w:r>
          <w:r>
            <w:instrText xml:space="preserve"> HYPERLINK \l _Toc30910 </w:instrText>
          </w:r>
          <w:r>
            <w:fldChar w:fldCharType="separate"/>
          </w:r>
          <w:r>
            <w:rPr>
              <w:rFonts w:hint="eastAsia" w:ascii="仿宋" w:hAnsi="仿宋" w:eastAsia="仿宋"/>
              <w:bCs w:val="0"/>
            </w:rPr>
            <w:t>十一、</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_Toc30910 \h </w:instrText>
          </w:r>
          <w:r>
            <w:fldChar w:fldCharType="separate"/>
          </w:r>
          <w:r>
            <w:t>25</w:t>
          </w:r>
          <w:r>
            <w:fldChar w:fldCharType="end"/>
          </w:r>
          <w:r>
            <w:fldChar w:fldCharType="end"/>
          </w:r>
        </w:p>
        <w:p>
          <w:pPr>
            <w:pStyle w:val="41"/>
            <w:tabs>
              <w:tab w:val="right" w:leader="dot" w:pos="8306"/>
            </w:tabs>
          </w:pPr>
          <w:r>
            <w:fldChar w:fldCharType="begin"/>
          </w:r>
          <w:r>
            <w:instrText xml:space="preserve"> HYPERLINK \l _Toc22358 </w:instrText>
          </w:r>
          <w:r>
            <w:fldChar w:fldCharType="separate"/>
          </w:r>
          <w:r>
            <w:rPr>
              <w:rFonts w:hint="eastAsia" w:ascii="仿宋" w:hAnsi="仿宋" w:eastAsia="仿宋"/>
              <w:bCs w:val="0"/>
            </w:rPr>
            <w:t>十二、</w:t>
          </w:r>
          <w:r>
            <w:rPr>
              <w:rFonts w:hint="eastAsia" w:ascii="仿宋" w:hAnsi="仿宋" w:eastAsia="仿宋"/>
            </w:rPr>
            <w:t>政</w:t>
          </w:r>
          <w:r>
            <w:rPr>
              <w:rFonts w:hint="eastAsia" w:ascii="仿宋" w:hAnsi="仿宋" w:eastAsia="仿宋"/>
              <w:bCs w:val="0"/>
            </w:rPr>
            <w:t>府性基金预算财政拨款“三公”经费支出决算表</w:t>
          </w:r>
          <w:r>
            <w:tab/>
          </w:r>
          <w:r>
            <w:fldChar w:fldCharType="begin"/>
          </w:r>
          <w:r>
            <w:instrText xml:space="preserve"> PAGEREF _Toc22358 \h </w:instrText>
          </w:r>
          <w:r>
            <w:fldChar w:fldCharType="separate"/>
          </w:r>
          <w:r>
            <w:t>25</w:t>
          </w:r>
          <w:r>
            <w:fldChar w:fldCharType="end"/>
          </w:r>
          <w:r>
            <w:fldChar w:fldCharType="end"/>
          </w:r>
        </w:p>
        <w:p>
          <w:pPr>
            <w:pStyle w:val="41"/>
            <w:tabs>
              <w:tab w:val="right" w:leader="dot" w:pos="8306"/>
            </w:tabs>
          </w:pPr>
          <w:r>
            <w:fldChar w:fldCharType="begin"/>
          </w:r>
          <w:r>
            <w:instrText xml:space="preserve"> HYPERLINK \l _Toc449 </w:instrText>
          </w:r>
          <w:r>
            <w:fldChar w:fldCharType="separate"/>
          </w:r>
          <w:r>
            <w:rPr>
              <w:rFonts w:hint="eastAsia" w:ascii="仿宋" w:hAnsi="仿宋" w:eastAsia="仿宋"/>
              <w:bCs w:val="0"/>
            </w:rPr>
            <w:t>十三、</w:t>
          </w:r>
          <w:r>
            <w:rPr>
              <w:rFonts w:hint="eastAsia" w:ascii="仿宋" w:hAnsi="仿宋" w:eastAsia="仿宋"/>
            </w:rPr>
            <w:t>国</w:t>
          </w:r>
          <w:r>
            <w:rPr>
              <w:rFonts w:hint="eastAsia" w:ascii="仿宋" w:hAnsi="仿宋" w:eastAsia="仿宋"/>
              <w:bCs w:val="0"/>
            </w:rPr>
            <w:t>有资本经营预算财政拨款</w:t>
          </w:r>
          <w:r>
            <w:rPr>
              <w:rFonts w:hint="eastAsia" w:ascii="仿宋" w:hAnsi="仿宋" w:eastAsia="仿宋"/>
              <w:bCs w:val="0"/>
              <w:lang w:eastAsia="zh-CN"/>
            </w:rPr>
            <w:t>收入</w:t>
          </w:r>
          <w:r>
            <w:rPr>
              <w:rFonts w:hint="eastAsia" w:ascii="仿宋" w:hAnsi="仿宋" w:eastAsia="仿宋"/>
              <w:bCs w:val="0"/>
            </w:rPr>
            <w:t>支出决算表</w:t>
          </w:r>
          <w:r>
            <w:tab/>
          </w:r>
          <w:r>
            <w:fldChar w:fldCharType="begin"/>
          </w:r>
          <w:r>
            <w:instrText xml:space="preserve"> PAGEREF _Toc449 \h </w:instrText>
          </w:r>
          <w:r>
            <w:fldChar w:fldCharType="separate"/>
          </w:r>
          <w:r>
            <w:t>25</w:t>
          </w:r>
          <w:r>
            <w:fldChar w:fldCharType="end"/>
          </w:r>
          <w:r>
            <w:fldChar w:fldCharType="end"/>
          </w:r>
        </w:p>
        <w:p>
          <w:pPr>
            <w:pStyle w:val="41"/>
            <w:tabs>
              <w:tab w:val="right" w:leader="dot" w:pos="8306"/>
            </w:tabs>
          </w:pPr>
          <w:r>
            <w:fldChar w:fldCharType="begin"/>
          </w:r>
          <w:r>
            <w:instrText xml:space="preserve"> HYPERLINK \l _Toc9305 </w:instrText>
          </w:r>
          <w:r>
            <w:fldChar w:fldCharType="separate"/>
          </w:r>
          <w:r>
            <w:rPr>
              <w:rFonts w:hint="eastAsia" w:ascii="仿宋" w:hAnsi="仿宋" w:eastAsia="仿宋" w:cs="Times New Roman"/>
              <w:bCs w:val="0"/>
              <w:lang w:val="en-US" w:eastAsia="zh-CN" w:bidi="ar-SA"/>
            </w:rPr>
            <w:t>十四、国有资本经营预算财政拨款支出决算表</w:t>
          </w:r>
          <w:r>
            <w:tab/>
          </w:r>
          <w:r>
            <w:fldChar w:fldCharType="begin"/>
          </w:r>
          <w:r>
            <w:instrText xml:space="preserve"> PAGEREF _Toc9305 \h </w:instrText>
          </w:r>
          <w:r>
            <w:fldChar w:fldCharType="separate"/>
          </w:r>
          <w:r>
            <w:t>25</w:t>
          </w:r>
          <w:r>
            <w:fldChar w:fldCharType="end"/>
          </w:r>
          <w:r>
            <w:fldChar w:fldCharType="end"/>
          </w:r>
        </w:p>
        <w:p>
          <w:r>
            <w:rPr>
              <w:b/>
            </w:rPr>
            <w:fldChar w:fldCharType="end"/>
          </w:r>
        </w:p>
      </w:sdtContent>
    </w:sdt>
    <w:p>
      <w:pPr>
        <w:pStyle w:val="3"/>
        <w:numPr>
          <w:ilvl w:val="0"/>
          <w:numId w:val="1"/>
        </w:numPr>
        <w:jc w:val="center"/>
        <w:rPr>
          <w:rStyle w:val="18"/>
          <w:rFonts w:hint="eastAsia" w:ascii="黑体" w:hAnsi="黑体" w:eastAsia="黑体"/>
          <w:b w:val="0"/>
          <w:bCs w:val="0"/>
        </w:rPr>
        <w:sectPr>
          <w:footerReference r:id="rId5" w:type="default"/>
          <w:pgSz w:w="11906" w:h="16838"/>
          <w:pgMar w:top="1440" w:right="1800" w:bottom="1440" w:left="1800" w:header="851" w:footer="992" w:gutter="0"/>
          <w:pgNumType w:fmt="decimal" w:start="1"/>
          <w:cols w:space="720" w:num="1"/>
          <w:docGrid w:type="lines" w:linePitch="312" w:charSpace="0"/>
        </w:sectPr>
      </w:pPr>
      <w:bookmarkStart w:id="7" w:name="_Toc16499"/>
    </w:p>
    <w:p>
      <w:pPr>
        <w:pStyle w:val="3"/>
        <w:numPr>
          <w:ilvl w:val="0"/>
          <w:numId w:val="1"/>
        </w:numPr>
        <w:jc w:val="center"/>
        <w:rPr>
          <w:rStyle w:val="18"/>
          <w:rFonts w:hint="eastAsia" w:ascii="黑体" w:hAnsi="黑体" w:eastAsia="黑体"/>
          <w:b w:val="0"/>
          <w:bCs w:val="0"/>
        </w:rPr>
      </w:pPr>
      <w:r>
        <w:rPr>
          <w:rStyle w:val="18"/>
          <w:rFonts w:hint="eastAsia" w:ascii="黑体" w:hAnsi="黑体" w:eastAsia="黑体"/>
          <w:b w:val="0"/>
          <w:bCs w:val="0"/>
          <w:lang w:val="en-US" w:eastAsia="zh-CN"/>
        </w:rPr>
        <w:t>单位</w:t>
      </w:r>
      <w:r>
        <w:rPr>
          <w:rStyle w:val="18"/>
          <w:rFonts w:hint="eastAsia" w:ascii="黑体" w:hAnsi="黑体" w:eastAsia="黑体"/>
          <w:b w:val="0"/>
          <w:bCs w:val="0"/>
        </w:rPr>
        <w:t>概况</w:t>
      </w:r>
      <w:bookmarkEnd w:id="7"/>
      <w:bookmarkStart w:id="8" w:name="_Toc97403164"/>
      <w:bookmarkStart w:id="9" w:name="_Toc97403290"/>
    </w:p>
    <w:bookmarkEnd w:id="8"/>
    <w:bookmarkEnd w:id="9"/>
    <w:p>
      <w:pPr>
        <w:pStyle w:val="4"/>
        <w:ind w:firstLine="640"/>
        <w:rPr>
          <w:rFonts w:hint="eastAsia" w:ascii="仿宋" w:hAnsi="仿宋" w:eastAsia="仿宋"/>
          <w:bCs/>
          <w:color w:val="000000"/>
          <w:sz w:val="32"/>
          <w:szCs w:val="32"/>
        </w:rPr>
      </w:pPr>
      <w:bookmarkStart w:id="10" w:name="_Toc28637"/>
      <w:r>
        <w:t>一、职能简介</w:t>
      </w:r>
      <w:bookmarkEnd w:id="10"/>
    </w:p>
    <w:p>
      <w:pPr>
        <w:pStyle w:val="6"/>
        <w:adjustRightInd w:val="0"/>
        <w:snapToGrid w:val="0"/>
        <w:spacing w:before="93" w:line="600" w:lineRule="exact"/>
        <w:ind w:firstLine="672" w:firstLineChars="210"/>
        <w:outlineLvl w:val="3"/>
        <w:rPr>
          <w:rFonts w:hint="eastAsia" w:ascii="仿宋" w:hAnsi="仿宋" w:eastAsia="仿宋"/>
          <w:bCs/>
          <w:color w:val="000000"/>
          <w:sz w:val="32"/>
          <w:szCs w:val="32"/>
        </w:rPr>
      </w:pPr>
      <w:r>
        <w:rPr>
          <w:rFonts w:hint="eastAsia" w:ascii="仿宋" w:hAnsi="仿宋" w:eastAsia="仿宋"/>
          <w:bCs/>
          <w:color w:val="000000"/>
          <w:sz w:val="32"/>
          <w:szCs w:val="32"/>
        </w:rPr>
        <w:t>主要负责宣传贯彻人才和就业工作方针、政策和法规，提供公共人才和就业服务。</w:t>
      </w:r>
    </w:p>
    <w:p>
      <w:pPr>
        <w:pStyle w:val="6"/>
        <w:adjustRightInd w:val="0"/>
        <w:snapToGrid w:val="0"/>
        <w:spacing w:before="93" w:line="600" w:lineRule="exact"/>
        <w:ind w:firstLine="672" w:firstLineChars="210"/>
        <w:outlineLvl w:val="3"/>
        <w:rPr>
          <w:rFonts w:hint="eastAsia" w:ascii="仿宋" w:hAnsi="仿宋" w:eastAsia="仿宋"/>
          <w:bCs/>
          <w:color w:val="000000"/>
          <w:sz w:val="32"/>
          <w:szCs w:val="32"/>
        </w:rPr>
      </w:pPr>
      <w:r>
        <w:rPr>
          <w:rFonts w:hint="eastAsia" w:ascii="仿宋" w:hAnsi="仿宋" w:eastAsia="仿宋"/>
          <w:bCs/>
          <w:color w:val="000000"/>
          <w:sz w:val="32"/>
          <w:szCs w:val="32"/>
        </w:rPr>
        <w:t xml:space="preserve">1.负责高校毕业生和流动人员人事档案接收、管理； </w:t>
      </w:r>
    </w:p>
    <w:p>
      <w:pPr>
        <w:pStyle w:val="6"/>
        <w:adjustRightInd w:val="0"/>
        <w:snapToGrid w:val="0"/>
        <w:spacing w:before="93" w:line="600" w:lineRule="exact"/>
        <w:ind w:firstLine="672" w:firstLineChars="210"/>
        <w:outlineLvl w:val="3"/>
        <w:rPr>
          <w:rFonts w:hint="eastAsia" w:ascii="仿宋" w:hAnsi="仿宋" w:eastAsia="仿宋"/>
          <w:bCs/>
          <w:color w:val="000000"/>
          <w:sz w:val="32"/>
          <w:szCs w:val="32"/>
        </w:rPr>
      </w:pPr>
      <w:r>
        <w:rPr>
          <w:rFonts w:hint="eastAsia" w:ascii="仿宋" w:hAnsi="仿宋" w:eastAsia="仿宋"/>
          <w:bCs/>
          <w:color w:val="000000"/>
          <w:sz w:val="32"/>
          <w:szCs w:val="32"/>
        </w:rPr>
        <w:t xml:space="preserve">2.负责流动人员人事档案信息化和网上业务平台的建设工作； </w:t>
      </w:r>
    </w:p>
    <w:p>
      <w:pPr>
        <w:pStyle w:val="6"/>
        <w:adjustRightInd w:val="0"/>
        <w:snapToGrid w:val="0"/>
        <w:spacing w:before="93" w:line="600" w:lineRule="exact"/>
        <w:ind w:firstLine="672" w:firstLineChars="210"/>
        <w:outlineLvl w:val="3"/>
        <w:rPr>
          <w:rFonts w:hint="eastAsia" w:ascii="仿宋" w:hAnsi="仿宋" w:eastAsia="仿宋"/>
          <w:bCs/>
          <w:color w:val="000000"/>
          <w:sz w:val="32"/>
          <w:szCs w:val="32"/>
        </w:rPr>
      </w:pPr>
      <w:r>
        <w:rPr>
          <w:rFonts w:hint="eastAsia" w:ascii="仿宋" w:hAnsi="仿宋" w:eastAsia="仿宋"/>
          <w:bCs/>
          <w:color w:val="000000"/>
          <w:sz w:val="32"/>
          <w:szCs w:val="32"/>
        </w:rPr>
        <w:t>3.负责高校毕业生创业就业指导和就业服务管理工作；</w:t>
      </w:r>
    </w:p>
    <w:p>
      <w:pPr>
        <w:pStyle w:val="6"/>
        <w:adjustRightInd w:val="0"/>
        <w:snapToGrid w:val="0"/>
        <w:spacing w:before="93" w:line="600" w:lineRule="exact"/>
        <w:ind w:firstLine="672" w:firstLineChars="210"/>
        <w:outlineLvl w:val="3"/>
        <w:rPr>
          <w:rFonts w:hint="eastAsia" w:ascii="仿宋" w:hAnsi="仿宋" w:eastAsia="仿宋"/>
          <w:bCs/>
          <w:color w:val="000000"/>
          <w:sz w:val="32"/>
          <w:szCs w:val="32"/>
        </w:rPr>
      </w:pPr>
      <w:r>
        <w:rPr>
          <w:rFonts w:hint="eastAsia" w:ascii="仿宋" w:hAnsi="仿宋" w:eastAsia="仿宋"/>
          <w:bCs/>
          <w:color w:val="000000"/>
          <w:sz w:val="32"/>
          <w:szCs w:val="32"/>
        </w:rPr>
        <w:t>4.开展现场和网上人才市场的培育、发展和管理；</w:t>
      </w:r>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1" w:name="_Toc27591"/>
      <w:r>
        <w:rPr>
          <w:rFonts w:hint="eastAsia" w:ascii="仿宋" w:hAnsi="仿宋" w:eastAsia="仿宋"/>
          <w:bCs/>
          <w:color w:val="000000"/>
          <w:sz w:val="32"/>
          <w:szCs w:val="32"/>
        </w:rPr>
        <w:t>5.提供人才和劳动力资源供求信息，为各类人才提供就业服务、综合性职业介绍用工指导、就业政策咨询，组织举办公益性人才和就业招聘会；</w:t>
      </w:r>
      <w:bookmarkEnd w:id="11"/>
    </w:p>
    <w:p>
      <w:pPr>
        <w:pStyle w:val="6"/>
        <w:adjustRightInd w:val="0"/>
        <w:snapToGrid w:val="0"/>
        <w:spacing w:before="93" w:line="600" w:lineRule="exact"/>
        <w:ind w:firstLine="672" w:firstLineChars="210"/>
        <w:outlineLvl w:val="3"/>
        <w:rPr>
          <w:rFonts w:hint="eastAsia" w:ascii="仿宋" w:hAnsi="仿宋" w:eastAsia="仿宋"/>
          <w:bCs/>
          <w:color w:val="000000"/>
          <w:sz w:val="32"/>
          <w:szCs w:val="32"/>
        </w:rPr>
      </w:pPr>
      <w:r>
        <w:rPr>
          <w:rFonts w:hint="eastAsia" w:ascii="仿宋" w:hAnsi="仿宋" w:eastAsia="仿宋"/>
          <w:bCs/>
          <w:color w:val="000000"/>
          <w:sz w:val="32"/>
          <w:szCs w:val="32"/>
        </w:rPr>
        <w:t>6.负责保障本级企业用工服务工作；</w:t>
      </w:r>
    </w:p>
    <w:p>
      <w:pPr>
        <w:pStyle w:val="6"/>
        <w:adjustRightInd w:val="0"/>
        <w:snapToGrid w:val="0"/>
        <w:spacing w:before="93" w:line="600" w:lineRule="exact"/>
        <w:ind w:firstLine="672" w:firstLineChars="210"/>
        <w:outlineLvl w:val="3"/>
        <w:rPr>
          <w:rFonts w:hint="eastAsia" w:ascii="仿宋" w:hAnsi="仿宋" w:eastAsia="仿宋"/>
          <w:bCs/>
          <w:color w:val="000000"/>
          <w:sz w:val="32"/>
          <w:szCs w:val="32"/>
        </w:rPr>
      </w:pPr>
      <w:r>
        <w:rPr>
          <w:rFonts w:hint="eastAsia" w:ascii="仿宋" w:hAnsi="仿宋" w:eastAsia="仿宋"/>
          <w:bCs/>
          <w:color w:val="000000"/>
          <w:sz w:val="32"/>
          <w:szCs w:val="32"/>
        </w:rPr>
        <w:t>7.承担本级非公经济组织等体制外专业技术人才职称申报、评审工作；</w:t>
      </w:r>
    </w:p>
    <w:p>
      <w:pPr>
        <w:pStyle w:val="6"/>
        <w:adjustRightInd w:val="0"/>
        <w:snapToGrid w:val="0"/>
        <w:spacing w:before="93" w:line="600" w:lineRule="exact"/>
        <w:ind w:firstLine="672" w:firstLineChars="210"/>
        <w:outlineLvl w:val="3"/>
        <w:rPr>
          <w:rFonts w:hint="eastAsia" w:ascii="仿宋" w:hAnsi="仿宋" w:eastAsia="仿宋"/>
          <w:bCs/>
          <w:color w:val="000000"/>
          <w:sz w:val="32"/>
          <w:szCs w:val="32"/>
        </w:rPr>
      </w:pPr>
      <w:r>
        <w:rPr>
          <w:rFonts w:hint="eastAsia" w:ascii="仿宋" w:hAnsi="仿宋" w:eastAsia="仿宋"/>
          <w:bCs/>
          <w:color w:val="000000"/>
          <w:sz w:val="32"/>
          <w:szCs w:val="32"/>
        </w:rPr>
        <w:t>8.承办上级交办的其它工作。</w:t>
      </w:r>
    </w:p>
    <w:p>
      <w:pPr>
        <w:pStyle w:val="4"/>
        <w:ind w:firstLine="640"/>
      </w:pPr>
      <w:bookmarkStart w:id="12" w:name="_Toc31738"/>
      <w:bookmarkStart w:id="13" w:name="_Toc15396601"/>
      <w:bookmarkStart w:id="14" w:name="_Toc15377200"/>
      <w:r>
        <w:t>二、2021年重点工作完成情况</w:t>
      </w:r>
      <w:bookmarkEnd w:id="12"/>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_GB2312" w:hAnsi="Times New Roman" w:eastAsia="仿宋_GB2312" w:cs="Times New Roman"/>
          <w:sz w:val="32"/>
          <w:szCs w:val="32"/>
          <w:lang w:val="en-US" w:eastAsia="zh-CN"/>
        </w:rPr>
      </w:pPr>
      <w:r>
        <w:rPr>
          <w:rFonts w:hint="eastAsia" w:ascii="楷体" w:hAnsi="楷体" w:eastAsia="楷体" w:cs="楷体"/>
          <w:b/>
          <w:bCs/>
          <w:kern w:val="0"/>
          <w:sz w:val="32"/>
          <w:szCs w:val="32"/>
          <w:lang w:val="en-US" w:eastAsia="zh-CN"/>
        </w:rPr>
        <w:t>1.</w:t>
      </w:r>
      <w:r>
        <w:rPr>
          <w:rFonts w:hint="eastAsia" w:ascii="楷体" w:hAnsi="楷体" w:eastAsia="楷体" w:cs="楷体"/>
          <w:b/>
          <w:bCs/>
          <w:kern w:val="0"/>
          <w:sz w:val="32"/>
          <w:szCs w:val="32"/>
          <w:lang w:eastAsia="zh-CN"/>
        </w:rPr>
        <w:t>搭建供需平台，拓宽就业渠道。</w:t>
      </w:r>
      <w:r>
        <w:rPr>
          <w:rFonts w:hint="eastAsia" w:ascii="仿宋_GB2312" w:hAnsi="Times New Roman" w:eastAsia="仿宋_GB2312" w:cs="Times New Roman"/>
          <w:sz w:val="32"/>
          <w:szCs w:val="32"/>
          <w:lang w:val="en-US" w:eastAsia="zh-CN"/>
        </w:rPr>
        <w:t>今年以来，组织开展了“就业援助月”“民营企业招聘月”“春风行动”等大型公益招聘服务活动；同步举办“百日千万网络招聘”“大中城市联合招聘”等各类网络招聘活动。同时紧密围绕“东西部劳务协作”“成渝双城经济圈建设”，大力实施跨区域合作，依托广元公共招聘网、广元人才网，利用互联网平台优势，不断提升企业招聘、人才求职的信息化水平，充分发挥市场在人才资源配置中的决定性作用。全年共举办招聘会450余场，其中现场招聘会280余场，网络招聘会160余场。参会单位2550余家，提供就业岗位9.4万余个，达成就业意向1.1万余人次，累计为3400余家企业发布3.4万条岗位信息。</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bCs/>
          <w:kern w:val="0"/>
          <w:sz w:val="32"/>
          <w:szCs w:val="32"/>
          <w:lang w:val="en-US" w:eastAsia="zh-CN"/>
        </w:rPr>
        <w:t>2.构建响应机制，精准用工监测。</w:t>
      </w:r>
      <w:r>
        <w:rPr>
          <w:rFonts w:hint="eastAsia" w:ascii="仿宋_GB2312" w:hAnsi="Times New Roman" w:eastAsia="仿宋_GB2312" w:cs="Times New Roman"/>
          <w:sz w:val="32"/>
          <w:szCs w:val="32"/>
          <w:lang w:val="en-US" w:eastAsia="zh-CN"/>
        </w:rPr>
        <w:t>主动研究谋划，创新工作方法，积极探索解决企业“招工难、用工难”问题。</w:t>
      </w:r>
      <w:r>
        <w:rPr>
          <w:rFonts w:hint="eastAsia" w:ascii="仿宋" w:hAnsi="仿宋" w:eastAsia="仿宋" w:cs="仿宋"/>
          <w:b/>
          <w:bCs/>
          <w:sz w:val="32"/>
          <w:szCs w:val="32"/>
          <w:lang w:eastAsia="zh-CN"/>
        </w:rPr>
        <w:t>一是明确监测企业范围。</w:t>
      </w:r>
      <w:r>
        <w:rPr>
          <w:rFonts w:hint="eastAsia" w:ascii="仿宋" w:hAnsi="仿宋" w:eastAsia="仿宋" w:cs="宋体"/>
          <w:kern w:val="0"/>
          <w:sz w:val="32"/>
          <w:szCs w:val="32"/>
          <w:lang w:eastAsia="zh-CN"/>
        </w:rPr>
        <w:t>联动发改、经信、商务等单位，将</w:t>
      </w:r>
      <w:r>
        <w:rPr>
          <w:rFonts w:hint="eastAsia" w:ascii="仿宋" w:hAnsi="仿宋" w:eastAsia="仿宋" w:cs="宋体"/>
          <w:kern w:val="0"/>
          <w:sz w:val="32"/>
          <w:szCs w:val="32"/>
          <w:lang w:val="en-US" w:eastAsia="zh-CN"/>
        </w:rPr>
        <w:t>全市424家企业、4.01万余名企业员工纳入监测范围，</w:t>
      </w:r>
      <w:r>
        <w:rPr>
          <w:rFonts w:hint="eastAsia" w:ascii="仿宋" w:hAnsi="仿宋" w:eastAsia="仿宋" w:cs="宋体"/>
          <w:kern w:val="0"/>
          <w:sz w:val="32"/>
          <w:szCs w:val="32"/>
          <w:lang w:eastAsia="zh-CN"/>
        </w:rPr>
        <w:t>进一步明确了重点企业、确定了监测清单，建立了监测用工情况台账动态更新制度，实现了产能清、员工总数清、缺工人数清、空岗结构清、问题困难清</w:t>
      </w:r>
      <w:r>
        <w:rPr>
          <w:rFonts w:hint="eastAsia" w:ascii="仿宋" w:hAnsi="仿宋" w:eastAsia="仿宋" w:cs="宋体"/>
          <w:kern w:val="0"/>
          <w:sz w:val="32"/>
          <w:szCs w:val="32"/>
          <w:lang w:val="en-US" w:eastAsia="zh-CN"/>
        </w:rPr>
        <w:t>。</w:t>
      </w:r>
      <w:r>
        <w:rPr>
          <w:rFonts w:hint="eastAsia" w:ascii="仿宋" w:hAnsi="仿宋" w:eastAsia="仿宋" w:cs="仿宋"/>
          <w:b/>
          <w:bCs/>
          <w:sz w:val="32"/>
          <w:szCs w:val="32"/>
          <w:lang w:val="en-US" w:eastAsia="zh-CN"/>
        </w:rPr>
        <w:t>二是强化日常监测。</w:t>
      </w:r>
      <w:r>
        <w:rPr>
          <w:rFonts w:hint="eastAsia" w:ascii="仿宋" w:hAnsi="仿宋" w:eastAsia="仿宋" w:cs="宋体"/>
          <w:kern w:val="0"/>
          <w:sz w:val="32"/>
          <w:szCs w:val="32"/>
          <w:lang w:eastAsia="zh-CN"/>
        </w:rPr>
        <w:t>按照“1+N”模式设立企业用工服务专员和用工监测专员，常态化联系监测企业用工情况。全市设立了1</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lang w:eastAsia="zh-CN"/>
        </w:rPr>
        <w:t>名用工服务专员、</w:t>
      </w:r>
      <w:r>
        <w:rPr>
          <w:rFonts w:hint="eastAsia" w:ascii="仿宋" w:hAnsi="仿宋" w:eastAsia="仿宋" w:cs="宋体"/>
          <w:kern w:val="0"/>
          <w:sz w:val="32"/>
          <w:szCs w:val="32"/>
          <w:lang w:val="en-US" w:eastAsia="zh-CN"/>
        </w:rPr>
        <w:t>121名</w:t>
      </w:r>
      <w:r>
        <w:rPr>
          <w:rFonts w:hint="eastAsia" w:ascii="仿宋" w:hAnsi="仿宋" w:eastAsia="仿宋" w:cs="宋体"/>
          <w:kern w:val="0"/>
          <w:sz w:val="32"/>
          <w:szCs w:val="32"/>
          <w:lang w:eastAsia="zh-CN"/>
        </w:rPr>
        <w:t>企业用工监测专员，加强了对企业用工规模、空岗缺工等情况的日常监测。按照“一企一策”原则，对</w:t>
      </w:r>
      <w:r>
        <w:rPr>
          <w:rFonts w:hint="eastAsia" w:ascii="仿宋" w:hAnsi="仿宋" w:eastAsia="仿宋" w:cs="宋体"/>
          <w:kern w:val="0"/>
          <w:sz w:val="32"/>
          <w:szCs w:val="32"/>
          <w:lang w:val="en-US" w:eastAsia="zh-CN"/>
        </w:rPr>
        <w:t>144家</w:t>
      </w:r>
      <w:r>
        <w:rPr>
          <w:rFonts w:hint="eastAsia" w:ascii="仿宋" w:hAnsi="仿宋" w:eastAsia="仿宋" w:cs="宋体"/>
          <w:kern w:val="0"/>
          <w:sz w:val="32"/>
          <w:szCs w:val="32"/>
          <w:lang w:eastAsia="zh-CN"/>
        </w:rPr>
        <w:t>监测的缺工企业建立问题清单予以化解。</w:t>
      </w:r>
      <w:r>
        <w:rPr>
          <w:rFonts w:hint="eastAsia" w:ascii="仿宋" w:hAnsi="仿宋" w:eastAsia="仿宋" w:cs="仿宋"/>
          <w:b/>
          <w:bCs/>
          <w:sz w:val="32"/>
          <w:szCs w:val="32"/>
          <w:lang w:val="en-US" w:eastAsia="zh-CN"/>
        </w:rPr>
        <w:t>三是建立应急响应机制。</w:t>
      </w:r>
      <w:r>
        <w:rPr>
          <w:rFonts w:hint="eastAsia" w:ascii="仿宋" w:hAnsi="仿宋" w:eastAsia="仿宋" w:cs="仿宋"/>
          <w:sz w:val="32"/>
          <w:szCs w:val="32"/>
          <w:lang w:val="en-US" w:eastAsia="zh-CN"/>
        </w:rPr>
        <w:t>按照“企业吹哨、单位报到、市县联动”的方式，实行了分层级上门服务、限期解决责任制。同时开设企业用工服务热线，畅通应急反馈渠道。2021年，全市热线接听767次，上门服务企业224家，822次，帮助企业解决缺工1299人次。</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bCs/>
          <w:kern w:val="0"/>
          <w:sz w:val="32"/>
          <w:szCs w:val="32"/>
          <w:lang w:val="en-US" w:eastAsia="zh-CN"/>
        </w:rPr>
        <w:t>3.创建优质服务，提升工作质效。</w:t>
      </w:r>
      <w:r>
        <w:rPr>
          <w:rFonts w:hint="eastAsia" w:ascii="仿宋" w:hAnsi="仿宋" w:eastAsia="仿宋" w:cs="仿宋"/>
          <w:sz w:val="32"/>
          <w:szCs w:val="32"/>
          <w:lang w:val="en-US" w:eastAsia="zh-CN"/>
        </w:rPr>
        <w:t>结合“温暖人社”“练兵比武”等系统行风建设活动，我们全面梳理办事流程、简化办事手续，持续加强政策理论知识学习，</w:t>
      </w:r>
      <w:r>
        <w:rPr>
          <w:rFonts w:hint="eastAsia" w:ascii="仿宋" w:hAnsi="仿宋" w:eastAsia="仿宋" w:cs="仿宋"/>
          <w:spacing w:val="0"/>
          <w:sz w:val="32"/>
          <w:szCs w:val="32"/>
          <w:lang w:val="en-US" w:eastAsia="zh-CN"/>
        </w:rPr>
        <w:t>提升工作人员业务能力和综合素养，</w:t>
      </w:r>
      <w:r>
        <w:rPr>
          <w:rFonts w:hint="eastAsia" w:ascii="仿宋" w:hAnsi="仿宋" w:eastAsia="仿宋" w:cs="仿宋"/>
          <w:sz w:val="32"/>
          <w:szCs w:val="32"/>
          <w:lang w:val="en-US" w:eastAsia="zh-CN"/>
        </w:rPr>
        <w:t>不断优化以档案管理服务为基础的公共人才服务工作。截至12月10日，共接收流动人员人事档案档案11693余份，转出档案2105份、开具各类证明376份，办理初级职称评定48人、申报中级职称356人。政务服务大厅综合服务窗口和劳动大厦人才服务窗口提供各类咨询服务5400余人次、求职登记4500余人。</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bCs/>
          <w:kern w:val="0"/>
          <w:sz w:val="32"/>
          <w:szCs w:val="32"/>
          <w:lang w:val="en-US" w:eastAsia="zh-CN"/>
        </w:rPr>
        <w:t>4.探索“分工厂”模式，破解用工就业“两难”。</w:t>
      </w:r>
      <w:r>
        <w:rPr>
          <w:rFonts w:hint="eastAsia" w:ascii="仿宋" w:hAnsi="仿宋" w:eastAsia="仿宋" w:cs="仿宋"/>
          <w:sz w:val="32"/>
          <w:szCs w:val="32"/>
          <w:lang w:val="en-US" w:eastAsia="zh-CN"/>
        </w:rPr>
        <w:t>立足于我市企业用工“招不来”、劳动者就业“去不了”的实际，我们积极引导劳动密集型企业因地制宜、“一厂一策”创建“分工厂”，并</w:t>
      </w:r>
      <w:r>
        <w:rPr>
          <w:rFonts w:hint="eastAsia" w:ascii="仿宋_GB2312" w:eastAsia="仿宋_GB2312"/>
          <w:sz w:val="32"/>
          <w:szCs w:val="32"/>
          <w:lang w:eastAsia="zh-CN"/>
        </w:rPr>
        <w:t>加强</w:t>
      </w:r>
      <w:r>
        <w:rPr>
          <w:rFonts w:hint="eastAsia" w:ascii="仿宋_GB2312" w:eastAsia="仿宋_GB2312"/>
          <w:sz w:val="32"/>
          <w:szCs w:val="32"/>
        </w:rPr>
        <w:t>跟踪服务，总结经验做法，形成示范带动效应。</w:t>
      </w:r>
      <w:r>
        <w:rPr>
          <w:rFonts w:hint="eastAsia" w:ascii="仿宋" w:hAnsi="仿宋" w:eastAsia="仿宋" w:cs="仿宋"/>
          <w:sz w:val="32"/>
          <w:szCs w:val="32"/>
          <w:lang w:val="en-US" w:eastAsia="zh-CN"/>
        </w:rPr>
        <w:t>全市目前已打造服装生产“居民工厂”1个、创设鞋业制造“社区工厂”3个、设立食品加工“乡镇工厂”2个，共吸纳脱贫人口、进城“陪读妈妈”、</w:t>
      </w:r>
      <w:r>
        <w:rPr>
          <w:rFonts w:hint="eastAsia" w:ascii="仿宋" w:hAnsi="仿宋" w:eastAsia="仿宋" w:cs="仿宋"/>
          <w:sz w:val="32"/>
          <w:szCs w:val="32"/>
        </w:rPr>
        <w:t>身体残疾、年龄偏大或超龄</w:t>
      </w:r>
      <w:r>
        <w:rPr>
          <w:rFonts w:hint="eastAsia" w:ascii="仿宋" w:hAnsi="仿宋" w:eastAsia="仿宋" w:cs="仿宋"/>
          <w:sz w:val="32"/>
          <w:szCs w:val="32"/>
          <w:lang w:eastAsia="zh-CN"/>
        </w:rPr>
        <w:t>等就业困难群体</w:t>
      </w:r>
      <w:r>
        <w:rPr>
          <w:rFonts w:hint="eastAsia" w:ascii="仿宋" w:hAnsi="仿宋" w:eastAsia="仿宋" w:cs="仿宋"/>
          <w:sz w:val="32"/>
          <w:szCs w:val="32"/>
          <w:lang w:val="en-US" w:eastAsia="zh-CN"/>
        </w:rPr>
        <w:t>200余人。另有四川俊业农业科技有限公司等8家企业共意向开办“分工厂”11个，预计将提供就业岗位300余个。</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jc w:val="both"/>
        <w:textAlignment w:val="auto"/>
        <w:rPr>
          <w:rFonts w:hint="default" w:ascii="仿宋" w:hAnsi="仿宋" w:eastAsia="仿宋" w:cs="仿宋"/>
          <w:sz w:val="32"/>
          <w:szCs w:val="32"/>
          <w:lang w:val="en-US" w:eastAsia="zh-CN"/>
        </w:rPr>
      </w:pPr>
      <w:r>
        <w:rPr>
          <w:rFonts w:hint="eastAsia" w:ascii="楷体" w:hAnsi="楷体" w:eastAsia="楷体" w:cs="楷体"/>
          <w:b/>
          <w:bCs/>
          <w:kern w:val="0"/>
          <w:sz w:val="32"/>
          <w:szCs w:val="32"/>
          <w:lang w:val="en-US" w:eastAsia="zh-CN"/>
        </w:rPr>
        <w:t>5.督导信访维稳，包案化解积案。牵头</w:t>
      </w:r>
      <w:r>
        <w:rPr>
          <w:rFonts w:hint="eastAsia" w:ascii="仿宋" w:hAnsi="仿宋" w:eastAsia="仿宋" w:cs="仿宋"/>
          <w:sz w:val="32"/>
          <w:szCs w:val="32"/>
          <w:lang w:val="en-US" w:eastAsia="zh-CN"/>
        </w:rPr>
        <w:t>负责对全市90年代末部分大中专毕业生群体信访维稳督导工作。确保重点信访群体平稳、可控。</w:t>
      </w:r>
    </w:p>
    <w:bookmarkEnd w:id="13"/>
    <w:bookmarkEnd w:id="14"/>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3"/>
        <w:ind w:right="440"/>
        <w:jc w:val="right"/>
        <w:rPr>
          <w:rStyle w:val="18"/>
          <w:rFonts w:ascii="黑体" w:hAnsi="黑体" w:eastAsia="黑体"/>
          <w:b w:val="0"/>
          <w:bCs w:val="0"/>
        </w:rPr>
      </w:pPr>
      <w:bookmarkStart w:id="15" w:name="_Toc15772"/>
      <w:bookmarkStart w:id="16" w:name="_Toc15396602"/>
      <w:bookmarkStart w:id="17" w:name="_Toc15377204"/>
      <w:bookmarkStart w:id="18" w:name="_Toc12801"/>
      <w:r>
        <w:rPr>
          <w:rFonts w:hint="eastAsia" w:ascii="黑体" w:hAnsi="黑体" w:eastAsia="黑体"/>
          <w:b w:val="0"/>
          <w:color w:val="000000"/>
        </w:rPr>
        <w:t>第二部分</w:t>
      </w:r>
      <w:r>
        <w:rPr>
          <w:rFonts w:ascii="黑体" w:hAnsi="黑体" w:eastAsia="黑体"/>
          <w:color w:val="000000"/>
        </w:rPr>
        <w:t xml:space="preserve"> </w:t>
      </w:r>
      <w:r>
        <w:rPr>
          <w:rStyle w:val="18"/>
          <w:rFonts w:ascii="黑体" w:hAnsi="黑体" w:eastAsia="黑体"/>
          <w:b w:val="0"/>
          <w:bCs w:val="0"/>
        </w:rPr>
        <w:t>202</w:t>
      </w:r>
      <w:r>
        <w:rPr>
          <w:rStyle w:val="18"/>
          <w:rFonts w:hint="eastAsia" w:ascii="黑体" w:hAnsi="黑体" w:eastAsia="黑体"/>
          <w:b w:val="0"/>
          <w:bCs w:val="0"/>
          <w:lang w:val="en-US" w:eastAsia="zh-CN"/>
        </w:rPr>
        <w:t>1</w:t>
      </w:r>
      <w:r>
        <w:rPr>
          <w:rStyle w:val="18"/>
          <w:rFonts w:hint="eastAsia" w:ascii="黑体" w:hAnsi="黑体" w:eastAsia="黑体"/>
          <w:b w:val="0"/>
          <w:bCs w:val="0"/>
        </w:rPr>
        <w:t>年度</w:t>
      </w:r>
      <w:r>
        <w:rPr>
          <w:rStyle w:val="18"/>
          <w:rFonts w:hint="eastAsia" w:ascii="黑体" w:hAnsi="黑体" w:eastAsia="黑体"/>
          <w:b w:val="0"/>
          <w:bCs w:val="0"/>
          <w:lang w:val="en-US" w:eastAsia="zh-CN"/>
        </w:rPr>
        <w:t>单位</w:t>
      </w:r>
      <w:r>
        <w:rPr>
          <w:rStyle w:val="18"/>
          <w:rFonts w:hint="eastAsia" w:ascii="黑体" w:hAnsi="黑体" w:eastAsia="黑体"/>
          <w:b w:val="0"/>
          <w:bCs w:val="0"/>
        </w:rPr>
        <w:t>决算情况说明</w:t>
      </w:r>
      <w:bookmarkEnd w:id="15"/>
      <w:bookmarkEnd w:id="16"/>
      <w:bookmarkEnd w:id="17"/>
      <w:bookmarkEnd w:id="18"/>
    </w:p>
    <w:p/>
    <w:p>
      <w:pPr>
        <w:pStyle w:val="29"/>
        <w:numPr>
          <w:ilvl w:val="0"/>
          <w:numId w:val="2"/>
        </w:numPr>
        <w:spacing w:line="600" w:lineRule="exact"/>
        <w:ind w:firstLineChars="0"/>
        <w:outlineLvl w:val="1"/>
        <w:rPr>
          <w:rStyle w:val="19"/>
          <w:rFonts w:ascii="黑体" w:hAnsi="黑体" w:eastAsia="黑体"/>
          <w:b w:val="0"/>
        </w:rPr>
      </w:pPr>
      <w:bookmarkStart w:id="19" w:name="_Toc17541"/>
      <w:bookmarkStart w:id="20" w:name="_Toc15377205"/>
      <w:bookmarkStart w:id="21" w:name="_Toc31980"/>
      <w:bookmarkStart w:id="22" w:name="_Toc15396603"/>
      <w:r>
        <w:rPr>
          <w:rFonts w:hint="eastAsia" w:ascii="黑体" w:hAnsi="黑体" w:eastAsia="黑体"/>
          <w:color w:val="000000"/>
          <w:sz w:val="32"/>
          <w:szCs w:val="32"/>
        </w:rPr>
        <w:t>收</w:t>
      </w:r>
      <w:r>
        <w:rPr>
          <w:rStyle w:val="19"/>
          <w:rFonts w:hint="eastAsia" w:ascii="黑体" w:hAnsi="黑体" w:eastAsia="黑体"/>
          <w:b w:val="0"/>
        </w:rPr>
        <w:t>入支出决算总体情况说明</w:t>
      </w:r>
      <w:bookmarkEnd w:id="19"/>
      <w:bookmarkEnd w:id="20"/>
      <w:bookmarkEnd w:id="21"/>
      <w:bookmarkEnd w:id="22"/>
    </w:p>
    <w:p>
      <w:pPr>
        <w:spacing w:line="600" w:lineRule="exact"/>
        <w:ind w:firstLine="640" w:firstLineChars="200"/>
        <w:rPr>
          <w:rFonts w:hint="eastAsia" w:ascii="仿宋" w:eastAsia="仿宋"/>
          <w:color w:val="000000"/>
          <w:sz w:val="32"/>
          <w:szCs w:val="32"/>
          <w:lang w:eastAsia="zh-CN"/>
        </w:rPr>
      </w:pPr>
      <w:bookmarkStart w:id="23" w:name="_Toc15396604"/>
      <w:bookmarkStart w:id="24" w:name="_Toc15377206"/>
      <w:r>
        <w:rPr>
          <w:rFonts w:hint="eastAsia" w:ascii="仿宋" w:eastAsia="仿宋"/>
          <w:color w:val="000000"/>
          <w:sz w:val="32"/>
          <w:szCs w:val="32"/>
        </w:rPr>
        <w:t>202</w:t>
      </w:r>
      <w:r>
        <w:rPr>
          <w:rFonts w:hint="eastAsia" w:ascii="仿宋" w:eastAsia="仿宋"/>
          <w:color w:val="000000"/>
          <w:sz w:val="32"/>
          <w:szCs w:val="32"/>
          <w:lang w:val="en-US" w:eastAsia="zh-CN"/>
        </w:rPr>
        <w:t>1</w:t>
      </w:r>
      <w:r>
        <w:rPr>
          <w:rFonts w:hint="eastAsia" w:ascii="仿宋" w:eastAsia="仿宋"/>
          <w:color w:val="000000"/>
          <w:sz w:val="32"/>
          <w:szCs w:val="32"/>
        </w:rPr>
        <w:t>年度收、支总计</w:t>
      </w:r>
      <w:r>
        <w:rPr>
          <w:rFonts w:hint="eastAsia" w:ascii="仿宋" w:eastAsia="仿宋"/>
          <w:color w:val="000000"/>
          <w:sz w:val="32"/>
          <w:szCs w:val="32"/>
          <w:lang w:eastAsia="zh-CN"/>
        </w:rPr>
        <w:t>343.81</w:t>
      </w:r>
      <w:r>
        <w:rPr>
          <w:rFonts w:hint="eastAsia" w:ascii="仿宋" w:eastAsia="仿宋"/>
          <w:color w:val="000000"/>
          <w:sz w:val="32"/>
          <w:szCs w:val="32"/>
        </w:rPr>
        <w:t>万元。与</w:t>
      </w:r>
      <w:r>
        <w:rPr>
          <w:rFonts w:hint="eastAsia" w:ascii="仿宋" w:eastAsia="仿宋"/>
          <w:color w:val="000000"/>
          <w:sz w:val="32"/>
          <w:szCs w:val="32"/>
          <w:lang w:eastAsia="zh-CN"/>
        </w:rPr>
        <w:t>202</w:t>
      </w:r>
      <w:r>
        <w:rPr>
          <w:rFonts w:hint="eastAsia" w:ascii="仿宋" w:eastAsia="仿宋"/>
          <w:color w:val="000000"/>
          <w:sz w:val="32"/>
          <w:szCs w:val="32"/>
          <w:lang w:val="en-US" w:eastAsia="zh-CN"/>
        </w:rPr>
        <w:t>0</w:t>
      </w:r>
      <w:r>
        <w:rPr>
          <w:rFonts w:hint="eastAsia" w:ascii="仿宋" w:eastAsia="仿宋"/>
          <w:color w:val="000000"/>
          <w:sz w:val="32"/>
          <w:szCs w:val="32"/>
          <w:lang w:eastAsia="zh-CN"/>
        </w:rPr>
        <w:t>年</w:t>
      </w:r>
      <w:r>
        <w:rPr>
          <w:rFonts w:hint="eastAsia" w:ascii="仿宋" w:eastAsia="仿宋"/>
          <w:color w:val="000000"/>
          <w:sz w:val="32"/>
          <w:szCs w:val="32"/>
        </w:rPr>
        <w:t>相比，收、支总计各减少</w:t>
      </w:r>
      <w:r>
        <w:rPr>
          <w:rFonts w:hint="eastAsia" w:ascii="仿宋" w:eastAsia="仿宋"/>
          <w:color w:val="000000"/>
          <w:sz w:val="32"/>
          <w:szCs w:val="32"/>
          <w:lang w:val="en-US" w:eastAsia="zh-CN"/>
        </w:rPr>
        <w:t>14.24</w:t>
      </w:r>
      <w:r>
        <w:rPr>
          <w:rFonts w:hint="eastAsia" w:ascii="仿宋" w:eastAsia="仿宋"/>
          <w:color w:val="000000"/>
          <w:sz w:val="32"/>
          <w:szCs w:val="32"/>
        </w:rPr>
        <w:t>万元，下降</w:t>
      </w:r>
      <w:r>
        <w:rPr>
          <w:rFonts w:hint="eastAsia" w:ascii="仿宋" w:eastAsia="仿宋"/>
          <w:color w:val="000000"/>
          <w:sz w:val="32"/>
          <w:szCs w:val="32"/>
          <w:lang w:val="en-US" w:eastAsia="zh-CN"/>
        </w:rPr>
        <w:t>3.97</w:t>
      </w:r>
      <w:r>
        <w:rPr>
          <w:rFonts w:hint="eastAsia" w:ascii="仿宋" w:eastAsia="仿宋"/>
          <w:color w:val="000000"/>
          <w:sz w:val="32"/>
          <w:szCs w:val="32"/>
        </w:rPr>
        <w:t>%。主要变动原因相应的人员经费、公用经费减少；落实“过紧日子十三条措施”</w:t>
      </w:r>
      <w:r>
        <w:rPr>
          <w:rFonts w:hint="eastAsia" w:ascii="仿宋" w:eastAsia="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仿宋_GB2312" w:eastAsia="仿宋_GB2312"/>
          <w:color w:val="000000"/>
          <w:sz w:val="30"/>
          <w:szCs w:val="30"/>
        </w:rPr>
      </w:pPr>
      <w:r>
        <w:drawing>
          <wp:inline distT="0" distB="0" distL="114300" distR="114300">
            <wp:extent cx="4572000" cy="2743200"/>
            <wp:effectExtent l="4445" t="4445" r="10795" b="1079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00" w:firstLineChars="200"/>
        <w:jc w:val="center"/>
        <w:rPr>
          <w:rFonts w:hint="eastAsia" w:ascii="仿宋" w:eastAsia="仿宋"/>
          <w:color w:val="000000"/>
          <w:sz w:val="30"/>
          <w:szCs w:val="30"/>
        </w:rPr>
      </w:pPr>
      <w:r>
        <w:rPr>
          <w:rFonts w:hint="eastAsia" w:ascii="仿宋" w:eastAsia="仿宋"/>
          <w:color w:val="000000"/>
          <w:sz w:val="30"/>
          <w:szCs w:val="30"/>
          <w:lang w:eastAsia="zh-CN"/>
        </w:rPr>
        <w:t>（</w:t>
      </w:r>
      <w:r>
        <w:rPr>
          <w:rFonts w:hint="eastAsia" w:ascii="仿宋" w:eastAsia="仿宋"/>
          <w:color w:val="000000"/>
          <w:sz w:val="30"/>
          <w:szCs w:val="30"/>
          <w:lang w:val="en-US" w:eastAsia="zh-CN"/>
        </w:rPr>
        <w:t>图1：</w:t>
      </w:r>
      <w:r>
        <w:rPr>
          <w:rFonts w:hint="eastAsia" w:ascii="仿宋" w:eastAsia="仿宋"/>
          <w:color w:val="000000"/>
          <w:sz w:val="30"/>
          <w:szCs w:val="30"/>
        </w:rPr>
        <w:t>收、支决算总计变动情况图）</w:t>
      </w:r>
    </w:p>
    <w:p>
      <w:pPr>
        <w:pStyle w:val="29"/>
        <w:numPr>
          <w:ilvl w:val="0"/>
          <w:numId w:val="2"/>
        </w:numPr>
        <w:spacing w:line="600" w:lineRule="exact"/>
        <w:ind w:firstLineChars="0"/>
        <w:outlineLvl w:val="1"/>
        <w:rPr>
          <w:rStyle w:val="19"/>
          <w:rFonts w:ascii="黑体" w:hAnsi="黑体" w:eastAsia="黑体"/>
          <w:b w:val="0"/>
        </w:rPr>
      </w:pPr>
      <w:bookmarkStart w:id="25" w:name="_Toc25632"/>
      <w:bookmarkStart w:id="26" w:name="_Toc29780"/>
      <w:r>
        <w:rPr>
          <w:rFonts w:hint="eastAsia" w:ascii="黑体" w:hAnsi="黑体" w:eastAsia="黑体"/>
          <w:color w:val="000000"/>
          <w:sz w:val="32"/>
          <w:szCs w:val="32"/>
        </w:rPr>
        <w:t>收</w:t>
      </w:r>
      <w:r>
        <w:rPr>
          <w:rStyle w:val="19"/>
          <w:rFonts w:hint="eastAsia" w:ascii="黑体" w:hAnsi="黑体" w:eastAsia="黑体"/>
          <w:b w:val="0"/>
        </w:rPr>
        <w:t>入决算情况说明</w:t>
      </w:r>
      <w:bookmarkEnd w:id="23"/>
      <w:bookmarkEnd w:id="24"/>
      <w:bookmarkEnd w:id="25"/>
      <w:bookmarkEnd w:id="26"/>
    </w:p>
    <w:p>
      <w:pPr>
        <w:spacing w:line="600" w:lineRule="exact"/>
        <w:ind w:firstLine="640" w:firstLineChars="200"/>
        <w:outlineLvl w:val="1"/>
        <w:rPr>
          <w:rFonts w:hint="eastAsia" w:ascii="仿宋" w:eastAsia="仿宋"/>
          <w:color w:val="000000"/>
          <w:sz w:val="32"/>
          <w:szCs w:val="32"/>
        </w:rPr>
      </w:pPr>
      <w:bookmarkStart w:id="27" w:name="_Toc24842"/>
      <w:bookmarkStart w:id="28" w:name="_Toc25346"/>
      <w:r>
        <w:rPr>
          <w:rFonts w:hint="eastAsia" w:ascii="仿宋" w:eastAsia="仿宋"/>
          <w:color w:val="000000"/>
          <w:sz w:val="32"/>
          <w:szCs w:val="32"/>
        </w:rPr>
        <w:t>202</w:t>
      </w:r>
      <w:r>
        <w:rPr>
          <w:rFonts w:hint="eastAsia" w:ascii="仿宋" w:eastAsia="仿宋"/>
          <w:color w:val="000000"/>
          <w:sz w:val="32"/>
          <w:szCs w:val="32"/>
          <w:lang w:val="en-US" w:eastAsia="zh-CN"/>
        </w:rPr>
        <w:t>1</w:t>
      </w:r>
      <w:r>
        <w:rPr>
          <w:rFonts w:hint="eastAsia" w:ascii="仿宋" w:eastAsia="仿宋"/>
          <w:color w:val="000000"/>
          <w:sz w:val="32"/>
          <w:szCs w:val="32"/>
        </w:rPr>
        <w:t>年本年收入合计342.43万元，其中：一般公共预算财政拨款收入342.43万元，占100%。</w:t>
      </w:r>
      <w:bookmarkEnd w:id="27"/>
      <w:bookmarkEnd w:id="28"/>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olor w:val="000000"/>
          <w:sz w:val="32"/>
          <w:szCs w:val="32"/>
        </w:rPr>
      </w:pPr>
      <w:r>
        <w:rPr>
          <w:rFonts w:hint="eastAsia"/>
          <w:lang w:val="en-US" w:eastAsia="zh-CN"/>
        </w:rPr>
        <w:t xml:space="preserve">      </w:t>
      </w:r>
      <w:r>
        <w:drawing>
          <wp:inline distT="0" distB="0" distL="114300" distR="114300">
            <wp:extent cx="4859020" cy="2837815"/>
            <wp:effectExtent l="4445" t="4445" r="13335" b="7620"/>
            <wp:docPr id="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p>
    <w:p>
      <w:pPr>
        <w:pStyle w:val="29"/>
        <w:numPr>
          <w:ilvl w:val="0"/>
          <w:numId w:val="2"/>
        </w:numPr>
        <w:spacing w:line="600" w:lineRule="exact"/>
        <w:ind w:firstLineChars="0"/>
        <w:outlineLvl w:val="1"/>
        <w:rPr>
          <w:rStyle w:val="19"/>
          <w:rFonts w:ascii="黑体" w:hAnsi="黑体" w:eastAsia="黑体"/>
          <w:b w:val="0"/>
        </w:rPr>
      </w:pPr>
      <w:bookmarkStart w:id="29" w:name="_Toc31092"/>
      <w:bookmarkStart w:id="30" w:name="_Toc29577"/>
      <w:bookmarkStart w:id="31" w:name="_Toc15396605"/>
      <w:bookmarkStart w:id="32" w:name="_Toc15377207"/>
      <w:r>
        <w:rPr>
          <w:rFonts w:hint="eastAsia" w:ascii="黑体" w:hAnsi="黑体" w:eastAsia="黑体"/>
          <w:color w:val="000000"/>
          <w:sz w:val="32"/>
          <w:szCs w:val="32"/>
        </w:rPr>
        <w:t>支</w:t>
      </w:r>
      <w:r>
        <w:rPr>
          <w:rStyle w:val="19"/>
          <w:rFonts w:hint="eastAsia" w:ascii="黑体" w:hAnsi="黑体" w:eastAsia="黑体"/>
          <w:b w:val="0"/>
        </w:rPr>
        <w:t>出决算情况说明</w:t>
      </w:r>
      <w:bookmarkEnd w:id="29"/>
      <w:bookmarkEnd w:id="30"/>
      <w:bookmarkEnd w:id="31"/>
      <w:bookmarkEnd w:id="32"/>
    </w:p>
    <w:p>
      <w:pPr>
        <w:spacing w:line="600" w:lineRule="exact"/>
        <w:ind w:firstLine="640"/>
        <w:rPr>
          <w:rFonts w:hint="eastAsia" w:ascii="仿宋" w:eastAsia="仿宋"/>
          <w:color w:val="000000"/>
          <w:sz w:val="32"/>
          <w:szCs w:val="32"/>
        </w:rPr>
      </w:pPr>
      <w:r>
        <w:rPr>
          <w:rFonts w:hint="eastAsia" w:ascii="仿宋" w:eastAsia="仿宋"/>
          <w:color w:val="000000"/>
          <w:sz w:val="32"/>
          <w:szCs w:val="32"/>
        </w:rPr>
        <w:t>202</w:t>
      </w:r>
      <w:r>
        <w:rPr>
          <w:rFonts w:hint="eastAsia" w:ascii="仿宋" w:eastAsia="仿宋"/>
          <w:color w:val="000000"/>
          <w:sz w:val="32"/>
          <w:szCs w:val="32"/>
          <w:lang w:val="en-US" w:eastAsia="zh-CN"/>
        </w:rPr>
        <w:t>1</w:t>
      </w:r>
      <w:r>
        <w:rPr>
          <w:rFonts w:hint="eastAsia" w:ascii="仿宋" w:eastAsia="仿宋"/>
          <w:color w:val="000000"/>
          <w:sz w:val="32"/>
          <w:szCs w:val="32"/>
        </w:rPr>
        <w:t>年本年支出合计</w:t>
      </w:r>
      <w:r>
        <w:rPr>
          <w:rFonts w:hint="eastAsia" w:ascii="仿宋" w:eastAsia="仿宋"/>
          <w:color w:val="000000"/>
          <w:sz w:val="32"/>
          <w:szCs w:val="32"/>
          <w:lang w:eastAsia="zh-CN"/>
        </w:rPr>
        <w:t>341.8</w:t>
      </w:r>
      <w:r>
        <w:rPr>
          <w:rFonts w:hint="eastAsia" w:ascii="仿宋" w:eastAsia="仿宋"/>
          <w:color w:val="000000"/>
          <w:sz w:val="32"/>
          <w:szCs w:val="32"/>
        </w:rPr>
        <w:t>万元，其中：基本支出325.89万元，占</w:t>
      </w:r>
      <w:r>
        <w:rPr>
          <w:rFonts w:hint="eastAsia" w:ascii="仿宋" w:eastAsia="仿宋"/>
          <w:color w:val="000000"/>
          <w:sz w:val="32"/>
          <w:szCs w:val="32"/>
          <w:lang w:val="en-US" w:eastAsia="zh-CN"/>
        </w:rPr>
        <w:t>95%</w:t>
      </w:r>
      <w:r>
        <w:rPr>
          <w:rFonts w:hint="eastAsia" w:ascii="仿宋" w:eastAsia="仿宋"/>
          <w:color w:val="000000"/>
          <w:sz w:val="32"/>
          <w:szCs w:val="32"/>
        </w:rPr>
        <w:t>；项目支出</w:t>
      </w:r>
      <w:r>
        <w:rPr>
          <w:rFonts w:hint="eastAsia" w:ascii="仿宋" w:eastAsia="仿宋"/>
          <w:color w:val="000000"/>
          <w:sz w:val="32"/>
          <w:szCs w:val="32"/>
          <w:lang w:val="en-US" w:eastAsia="zh-CN"/>
        </w:rPr>
        <w:t>15.91</w:t>
      </w:r>
      <w:r>
        <w:rPr>
          <w:rFonts w:hint="eastAsia" w:ascii="仿宋" w:eastAsia="仿宋"/>
          <w:color w:val="000000"/>
          <w:sz w:val="32"/>
          <w:szCs w:val="32"/>
        </w:rPr>
        <w:t>万元，占</w:t>
      </w:r>
      <w:r>
        <w:rPr>
          <w:rFonts w:hint="eastAsia" w:ascii="仿宋" w:eastAsia="仿宋"/>
          <w:color w:val="000000"/>
          <w:sz w:val="32"/>
          <w:szCs w:val="32"/>
          <w:lang w:val="en-US" w:eastAsia="zh-CN"/>
        </w:rPr>
        <w:t>5</w:t>
      </w:r>
      <w:r>
        <w:rPr>
          <w:rFonts w:hint="eastAsia" w:ascii="仿宋" w:eastAsia="仿宋"/>
          <w:color w:val="000000"/>
          <w:sz w:val="32"/>
          <w:szCs w:val="32"/>
        </w:rPr>
        <w:t>%。</w:t>
      </w:r>
    </w:p>
    <w:p>
      <w:pPr>
        <w:pStyle w:val="1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drawing>
          <wp:inline distT="0" distB="0" distL="114300" distR="114300">
            <wp:extent cx="4572000" cy="2743200"/>
            <wp:effectExtent l="4445" t="4445" r="10795" b="10795"/>
            <wp:docPr id="3"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jc w:val="center"/>
        <w:rPr>
          <w:rFonts w:ascii="仿宋_GB2312" w:eastAsia="仿宋_GB2312"/>
          <w:color w:val="FF0000"/>
          <w:sz w:val="32"/>
          <w:szCs w:val="32"/>
        </w:rPr>
      </w:pPr>
      <w:r>
        <w:rPr>
          <w:rFonts w:hint="eastAsia" w:ascii="仿宋" w:eastAsia="仿宋"/>
          <w:color w:val="000000"/>
          <w:sz w:val="32"/>
          <w:szCs w:val="32"/>
        </w:rPr>
        <w:t>（图3：支出决算结构图）</w:t>
      </w:r>
    </w:p>
    <w:p>
      <w:pPr>
        <w:spacing w:line="600" w:lineRule="exact"/>
        <w:ind w:firstLine="640" w:firstLineChars="200"/>
        <w:outlineLvl w:val="1"/>
        <w:rPr>
          <w:rStyle w:val="19"/>
          <w:rFonts w:ascii="黑体" w:hAnsi="黑体" w:eastAsia="黑体"/>
          <w:b w:val="0"/>
        </w:rPr>
      </w:pPr>
      <w:bookmarkStart w:id="33" w:name="_Toc2827"/>
      <w:bookmarkStart w:id="34" w:name="_Toc15377208"/>
      <w:bookmarkStart w:id="35" w:name="_Toc15396606"/>
      <w:bookmarkStart w:id="36" w:name="_Toc11035"/>
      <w:r>
        <w:rPr>
          <w:rFonts w:hint="eastAsia" w:ascii="黑体" w:hAnsi="黑体" w:eastAsia="黑体"/>
          <w:color w:val="000000"/>
          <w:sz w:val="32"/>
          <w:szCs w:val="32"/>
        </w:rPr>
        <w:t>四、财</w:t>
      </w:r>
      <w:r>
        <w:rPr>
          <w:rStyle w:val="19"/>
          <w:rFonts w:hint="eastAsia" w:ascii="黑体" w:hAnsi="黑体" w:eastAsia="黑体"/>
          <w:b w:val="0"/>
        </w:rPr>
        <w:t>政拨款收入支出决算总体情况说明</w:t>
      </w:r>
      <w:bookmarkEnd w:id="33"/>
      <w:bookmarkEnd w:id="34"/>
      <w:bookmarkEnd w:id="35"/>
      <w:bookmarkEnd w:id="36"/>
    </w:p>
    <w:p>
      <w:pPr>
        <w:spacing w:line="600" w:lineRule="exact"/>
        <w:ind w:firstLine="640" w:firstLineChars="200"/>
        <w:rPr>
          <w:rFonts w:hint="eastAsia" w:ascii="仿宋" w:eastAsia="仿宋"/>
          <w:color w:val="000000"/>
          <w:sz w:val="32"/>
          <w:szCs w:val="32"/>
        </w:rPr>
      </w:pPr>
      <w:r>
        <w:rPr>
          <w:rFonts w:hint="eastAsia" w:ascii="仿宋" w:eastAsia="仿宋"/>
          <w:color w:val="000000"/>
          <w:sz w:val="32"/>
          <w:szCs w:val="32"/>
          <w:lang w:eastAsia="zh-CN"/>
        </w:rPr>
        <w:t>2021年</w:t>
      </w:r>
      <w:r>
        <w:rPr>
          <w:rFonts w:hint="eastAsia" w:ascii="仿宋" w:eastAsia="仿宋"/>
          <w:color w:val="000000"/>
          <w:sz w:val="32"/>
          <w:szCs w:val="32"/>
        </w:rPr>
        <w:t>财政拨款收支总计</w:t>
      </w:r>
      <w:r>
        <w:rPr>
          <w:rFonts w:hint="eastAsia" w:ascii="仿宋" w:eastAsia="仿宋"/>
          <w:color w:val="000000"/>
          <w:sz w:val="32"/>
          <w:szCs w:val="32"/>
          <w:lang w:eastAsia="zh-CN"/>
        </w:rPr>
        <w:t>343.81</w:t>
      </w:r>
      <w:r>
        <w:rPr>
          <w:rFonts w:hint="eastAsia" w:ascii="仿宋" w:eastAsia="仿宋"/>
          <w:color w:val="000000"/>
          <w:sz w:val="32"/>
          <w:szCs w:val="32"/>
        </w:rPr>
        <w:t>万元，</w:t>
      </w:r>
      <w:r>
        <w:rPr>
          <w:rFonts w:hint="eastAsia" w:ascii="仿宋" w:eastAsia="仿宋"/>
          <w:color w:val="000000"/>
          <w:sz w:val="32"/>
          <w:szCs w:val="32"/>
          <w:lang w:eastAsia="zh-CN"/>
        </w:rPr>
        <w:t>2020年</w:t>
      </w:r>
      <w:r>
        <w:rPr>
          <w:rFonts w:hint="eastAsia" w:ascii="仿宋" w:eastAsia="仿宋"/>
          <w:color w:val="000000"/>
          <w:sz w:val="32"/>
          <w:szCs w:val="32"/>
        </w:rPr>
        <w:t>财政拨款收支总计</w:t>
      </w:r>
      <w:r>
        <w:rPr>
          <w:rFonts w:hint="eastAsia" w:ascii="仿宋" w:eastAsia="仿宋"/>
          <w:color w:val="000000"/>
          <w:sz w:val="32"/>
          <w:szCs w:val="32"/>
          <w:lang w:val="en-US" w:eastAsia="zh-CN"/>
        </w:rPr>
        <w:t>358.05</w:t>
      </w:r>
      <w:r>
        <w:rPr>
          <w:rFonts w:hint="eastAsia" w:ascii="仿宋" w:eastAsia="仿宋"/>
          <w:color w:val="000000"/>
          <w:sz w:val="32"/>
          <w:szCs w:val="32"/>
        </w:rPr>
        <w:t>万元，与</w:t>
      </w:r>
      <w:r>
        <w:rPr>
          <w:rFonts w:hint="eastAsia" w:ascii="仿宋" w:eastAsia="仿宋"/>
          <w:color w:val="000000"/>
          <w:sz w:val="32"/>
          <w:szCs w:val="32"/>
          <w:lang w:eastAsia="zh-CN"/>
        </w:rPr>
        <w:t>2020年</w:t>
      </w:r>
      <w:r>
        <w:rPr>
          <w:rFonts w:hint="eastAsia" w:ascii="仿宋" w:eastAsia="仿宋"/>
          <w:color w:val="000000"/>
          <w:sz w:val="32"/>
          <w:szCs w:val="32"/>
        </w:rPr>
        <w:t>相比，</w:t>
      </w:r>
      <w:r>
        <w:rPr>
          <w:rFonts w:hint="eastAsia" w:ascii="仿宋" w:eastAsia="仿宋"/>
          <w:color w:val="000000"/>
          <w:sz w:val="32"/>
          <w:szCs w:val="32"/>
          <w:lang w:eastAsia="zh-CN"/>
        </w:rPr>
        <w:t>2021年</w:t>
      </w:r>
      <w:r>
        <w:rPr>
          <w:rFonts w:hint="eastAsia" w:ascii="仿宋" w:eastAsia="仿宋"/>
          <w:color w:val="000000"/>
          <w:sz w:val="32"/>
          <w:szCs w:val="32"/>
        </w:rPr>
        <w:t>财政拨款收支总计减少</w:t>
      </w:r>
      <w:r>
        <w:rPr>
          <w:rFonts w:hint="eastAsia" w:ascii="仿宋" w:eastAsia="仿宋"/>
          <w:color w:val="000000"/>
          <w:sz w:val="32"/>
          <w:szCs w:val="32"/>
          <w:lang w:val="en-US" w:eastAsia="zh-CN"/>
        </w:rPr>
        <w:t>14.24</w:t>
      </w:r>
      <w:r>
        <w:rPr>
          <w:rFonts w:hint="eastAsia" w:ascii="仿宋" w:eastAsia="仿宋"/>
          <w:color w:val="000000"/>
          <w:sz w:val="32"/>
          <w:szCs w:val="32"/>
        </w:rPr>
        <w:t>万元，下降</w:t>
      </w:r>
      <w:r>
        <w:rPr>
          <w:rFonts w:hint="eastAsia" w:ascii="仿宋" w:eastAsia="仿宋"/>
          <w:color w:val="000000"/>
          <w:sz w:val="32"/>
          <w:szCs w:val="32"/>
          <w:lang w:val="en-US" w:eastAsia="zh-CN"/>
        </w:rPr>
        <w:t>3.97</w:t>
      </w:r>
      <w:r>
        <w:rPr>
          <w:rFonts w:hint="eastAsia" w:ascii="仿宋" w:eastAsia="仿宋"/>
          <w:color w:val="000000"/>
          <w:sz w:val="32"/>
          <w:szCs w:val="32"/>
        </w:rPr>
        <w:t>%。主要变动原因一是较</w:t>
      </w:r>
      <w:r>
        <w:rPr>
          <w:rFonts w:hint="eastAsia" w:ascii="仿宋" w:eastAsia="仿宋"/>
          <w:color w:val="000000"/>
          <w:sz w:val="32"/>
          <w:szCs w:val="32"/>
          <w:lang w:eastAsia="zh-CN"/>
        </w:rPr>
        <w:t>202</w:t>
      </w:r>
      <w:r>
        <w:rPr>
          <w:rFonts w:hint="eastAsia" w:ascii="仿宋" w:eastAsia="仿宋"/>
          <w:color w:val="000000"/>
          <w:sz w:val="32"/>
          <w:szCs w:val="32"/>
          <w:lang w:val="en-US" w:eastAsia="zh-CN"/>
        </w:rPr>
        <w:t>1</w:t>
      </w:r>
      <w:r>
        <w:rPr>
          <w:rFonts w:hint="eastAsia" w:ascii="仿宋" w:eastAsia="仿宋"/>
          <w:color w:val="000000"/>
          <w:sz w:val="32"/>
          <w:szCs w:val="32"/>
          <w:lang w:eastAsia="zh-CN"/>
        </w:rPr>
        <w:t>年</w:t>
      </w:r>
      <w:r>
        <w:rPr>
          <w:rFonts w:hint="eastAsia" w:ascii="仿宋" w:eastAsia="仿宋"/>
          <w:color w:val="000000"/>
          <w:sz w:val="32"/>
          <w:szCs w:val="32"/>
        </w:rPr>
        <w:t>比在编人员减少，相应的人员经费、公用经费减少；二是落实“过紧日子十三条措施”经费压减，公用经费预算减少。</w:t>
      </w:r>
    </w:p>
    <w:p>
      <w:pPr>
        <w:pStyle w:val="1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drawing>
          <wp:inline distT="0" distB="0" distL="114300" distR="114300">
            <wp:extent cx="4572000" cy="2743200"/>
            <wp:effectExtent l="4445" t="4445" r="10795" b="10795"/>
            <wp:docPr id="4"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b/>
          <w:color w:val="00B05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：财政拨款收、支决算总计变动情况图）</w:t>
      </w:r>
    </w:p>
    <w:p>
      <w:pPr>
        <w:spacing w:line="600" w:lineRule="exact"/>
        <w:ind w:firstLine="640" w:firstLineChars="200"/>
        <w:outlineLvl w:val="1"/>
        <w:rPr>
          <w:rStyle w:val="19"/>
          <w:rFonts w:ascii="黑体" w:hAnsi="黑体" w:eastAsia="黑体"/>
          <w:b w:val="0"/>
        </w:rPr>
      </w:pPr>
      <w:bookmarkStart w:id="37" w:name="_Toc15396607"/>
      <w:bookmarkStart w:id="38" w:name="_Toc22390"/>
      <w:bookmarkStart w:id="39" w:name="_Toc15377209"/>
      <w:bookmarkStart w:id="40" w:name="_Toc867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9"/>
          <w:rFonts w:hint="eastAsia" w:ascii="黑体" w:hAnsi="黑体" w:eastAsia="黑体"/>
          <w:b w:val="0"/>
        </w:rPr>
        <w:t>般公共预算财政拨款支出决算情况说明</w:t>
      </w:r>
      <w:bookmarkEnd w:id="37"/>
      <w:bookmarkEnd w:id="38"/>
      <w:bookmarkEnd w:id="39"/>
      <w:bookmarkEnd w:id="40"/>
    </w:p>
    <w:p>
      <w:pPr>
        <w:spacing w:line="600" w:lineRule="exact"/>
        <w:ind w:firstLine="642" w:firstLineChars="200"/>
        <w:outlineLvl w:val="2"/>
        <w:rPr>
          <w:rFonts w:hint="eastAsia" w:ascii="仿宋" w:eastAsia="仿宋"/>
          <w:b/>
          <w:color w:val="000000"/>
          <w:sz w:val="32"/>
          <w:szCs w:val="32"/>
        </w:rPr>
      </w:pPr>
      <w:bookmarkStart w:id="41" w:name="_Toc6713"/>
      <w:bookmarkStart w:id="42" w:name="_Toc15377210"/>
      <w:r>
        <w:rPr>
          <w:rFonts w:hint="eastAsia" w:ascii="仿宋" w:eastAsia="仿宋"/>
          <w:b/>
          <w:color w:val="000000"/>
          <w:sz w:val="32"/>
          <w:szCs w:val="32"/>
        </w:rPr>
        <w:t>（一）一般公共预算财政拨款支出决算总体情况</w:t>
      </w:r>
      <w:bookmarkEnd w:id="41"/>
      <w:bookmarkEnd w:id="42"/>
    </w:p>
    <w:p>
      <w:pPr>
        <w:spacing w:line="600" w:lineRule="exact"/>
        <w:ind w:firstLine="640" w:firstLineChars="200"/>
        <w:rPr>
          <w:rFonts w:hint="eastAsia" w:ascii="仿宋" w:eastAsia="仿宋"/>
          <w:color w:val="000000"/>
          <w:sz w:val="32"/>
          <w:szCs w:val="32"/>
        </w:rPr>
      </w:pPr>
      <w:r>
        <w:rPr>
          <w:rFonts w:hint="eastAsia" w:ascii="仿宋" w:eastAsia="仿宋"/>
          <w:color w:val="000000"/>
          <w:sz w:val="32"/>
          <w:szCs w:val="32"/>
          <w:lang w:eastAsia="zh-CN"/>
        </w:rPr>
        <w:t>2021年</w:t>
      </w:r>
      <w:r>
        <w:rPr>
          <w:rFonts w:hint="eastAsia" w:ascii="仿宋" w:eastAsia="仿宋"/>
          <w:color w:val="000000"/>
          <w:sz w:val="32"/>
          <w:szCs w:val="32"/>
        </w:rPr>
        <w:t>一般公共预算财政拨款支出341.8</w:t>
      </w:r>
      <w:r>
        <w:rPr>
          <w:rFonts w:hint="eastAsia" w:ascii="仿宋" w:eastAsia="仿宋"/>
          <w:color w:val="000000"/>
          <w:sz w:val="32"/>
          <w:szCs w:val="32"/>
          <w:lang w:val="en-US" w:eastAsia="zh-CN"/>
        </w:rPr>
        <w:t>0</w:t>
      </w:r>
      <w:r>
        <w:rPr>
          <w:rFonts w:hint="eastAsia" w:ascii="仿宋" w:eastAsia="仿宋"/>
          <w:color w:val="000000"/>
          <w:sz w:val="32"/>
          <w:szCs w:val="32"/>
        </w:rPr>
        <w:t>万元，占本年支出合计的100%。与</w:t>
      </w:r>
      <w:r>
        <w:rPr>
          <w:rFonts w:hint="eastAsia" w:ascii="仿宋" w:eastAsia="仿宋"/>
          <w:color w:val="000000"/>
          <w:sz w:val="32"/>
          <w:szCs w:val="32"/>
          <w:lang w:eastAsia="zh-CN"/>
        </w:rPr>
        <w:t>2020年</w:t>
      </w:r>
      <w:r>
        <w:rPr>
          <w:rFonts w:hint="eastAsia" w:ascii="仿宋" w:eastAsia="仿宋"/>
          <w:color w:val="000000"/>
          <w:sz w:val="32"/>
          <w:szCs w:val="32"/>
          <w:lang w:val="en-US" w:eastAsia="zh-CN"/>
        </w:rPr>
        <w:t>355.14</w:t>
      </w:r>
      <w:r>
        <w:rPr>
          <w:rFonts w:hint="eastAsia" w:ascii="仿宋" w:eastAsia="仿宋"/>
          <w:color w:val="000000"/>
          <w:sz w:val="32"/>
          <w:szCs w:val="32"/>
        </w:rPr>
        <w:t>万元相比，一般公共预算财政拨款支出减少</w:t>
      </w:r>
      <w:r>
        <w:rPr>
          <w:rFonts w:hint="eastAsia" w:ascii="仿宋" w:eastAsia="仿宋"/>
          <w:color w:val="000000"/>
          <w:sz w:val="32"/>
          <w:szCs w:val="32"/>
          <w:lang w:val="en-US" w:eastAsia="zh-CN"/>
        </w:rPr>
        <w:t>13.34</w:t>
      </w:r>
      <w:r>
        <w:rPr>
          <w:rFonts w:hint="eastAsia" w:ascii="仿宋" w:eastAsia="仿宋"/>
          <w:color w:val="000000"/>
          <w:sz w:val="32"/>
          <w:szCs w:val="32"/>
        </w:rPr>
        <w:t>万元，下降</w:t>
      </w:r>
      <w:r>
        <w:rPr>
          <w:rFonts w:hint="eastAsia" w:ascii="仿宋" w:eastAsia="仿宋"/>
          <w:color w:val="000000"/>
          <w:sz w:val="32"/>
          <w:szCs w:val="32"/>
          <w:lang w:val="en-US" w:eastAsia="zh-CN"/>
        </w:rPr>
        <w:t>3.75</w:t>
      </w:r>
      <w:r>
        <w:rPr>
          <w:rFonts w:hint="eastAsia" w:ascii="仿宋" w:eastAsia="仿宋"/>
          <w:color w:val="000000"/>
          <w:sz w:val="32"/>
          <w:szCs w:val="32"/>
        </w:rPr>
        <w:t>%。主要变动原因一是较</w:t>
      </w:r>
      <w:r>
        <w:rPr>
          <w:rFonts w:hint="eastAsia" w:ascii="仿宋" w:eastAsia="仿宋"/>
          <w:color w:val="000000"/>
          <w:sz w:val="32"/>
          <w:szCs w:val="32"/>
          <w:lang w:eastAsia="zh-CN"/>
        </w:rPr>
        <w:t>2020年</w:t>
      </w:r>
      <w:r>
        <w:rPr>
          <w:rFonts w:hint="eastAsia" w:ascii="仿宋" w:eastAsia="仿宋"/>
          <w:color w:val="000000"/>
          <w:sz w:val="32"/>
          <w:szCs w:val="32"/>
        </w:rPr>
        <w:t>比在编人员减少，相应的人员经费、公用经费减少；二是落实“过紧日子十三条措施”经费压减，公用经费预算减少。</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eastAsia="仿宋"/>
          <w:color w:val="000000"/>
          <w:sz w:val="30"/>
          <w:szCs w:val="30"/>
        </w:rPr>
      </w:pPr>
      <w:r>
        <w:drawing>
          <wp:inline distT="0" distB="0" distL="114300" distR="114300">
            <wp:extent cx="4572000" cy="2743200"/>
            <wp:effectExtent l="4445" t="4445" r="10795" b="10795"/>
            <wp:docPr id="5"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00" w:firstLineChars="200"/>
        <w:rPr>
          <w:rFonts w:ascii="仿宋" w:hAnsi="仿宋" w:eastAsia="仿宋"/>
          <w:color w:val="000000"/>
          <w:sz w:val="32"/>
          <w:szCs w:val="32"/>
        </w:rPr>
      </w:pPr>
      <w:r>
        <w:rPr>
          <w:rFonts w:hint="eastAsia" w:ascii="仿宋" w:eastAsia="仿宋"/>
          <w:color w:val="000000"/>
          <w:sz w:val="30"/>
          <w:szCs w:val="30"/>
        </w:rPr>
        <w:t>图5：一般公共预算财政拨款支出决算变动情况图）</w:t>
      </w:r>
    </w:p>
    <w:p>
      <w:pPr>
        <w:spacing w:line="600" w:lineRule="exact"/>
        <w:ind w:firstLine="642" w:firstLineChars="200"/>
        <w:outlineLvl w:val="2"/>
        <w:rPr>
          <w:rFonts w:ascii="仿宋" w:hAnsi="仿宋" w:eastAsia="仿宋"/>
          <w:b/>
          <w:color w:val="000000"/>
          <w:sz w:val="32"/>
          <w:szCs w:val="32"/>
        </w:rPr>
      </w:pPr>
      <w:bookmarkStart w:id="43" w:name="_Toc23382"/>
      <w:bookmarkStart w:id="44" w:name="_Toc15377211"/>
      <w:r>
        <w:rPr>
          <w:rFonts w:hint="eastAsia" w:ascii="仿宋" w:hAnsi="仿宋" w:eastAsia="仿宋"/>
          <w:b/>
          <w:color w:val="000000"/>
          <w:sz w:val="32"/>
          <w:szCs w:val="32"/>
        </w:rPr>
        <w:t>（二）一般公共预算财政拨款支出决算结构情况</w:t>
      </w:r>
      <w:bookmarkEnd w:id="43"/>
      <w:bookmarkEnd w:id="44"/>
    </w:p>
    <w:p>
      <w:pPr>
        <w:adjustRightInd w:val="0"/>
        <w:ind w:firstLine="640" w:firstLineChars="200"/>
        <w:rPr>
          <w:rFonts w:hint="eastAsia" w:ascii="仿宋" w:eastAsia="仿宋"/>
          <w:color w:val="000000"/>
          <w:sz w:val="32"/>
          <w:szCs w:val="32"/>
        </w:rPr>
      </w:pPr>
      <w:r>
        <w:rPr>
          <w:rFonts w:hint="eastAsia" w:ascii="仿宋" w:eastAsia="仿宋"/>
          <w:color w:val="000000"/>
          <w:sz w:val="32"/>
          <w:szCs w:val="32"/>
          <w:lang w:eastAsia="zh-CN"/>
        </w:rPr>
        <w:t>2021年</w:t>
      </w:r>
      <w:r>
        <w:rPr>
          <w:rFonts w:hint="eastAsia" w:ascii="仿宋" w:eastAsia="仿宋"/>
          <w:color w:val="000000"/>
          <w:sz w:val="32"/>
          <w:szCs w:val="32"/>
        </w:rPr>
        <w:t>一般公共预算财政拨款支出</w:t>
      </w:r>
      <w:r>
        <w:rPr>
          <w:rFonts w:hint="eastAsia" w:ascii="仿宋" w:eastAsia="仿宋"/>
          <w:color w:val="000000"/>
          <w:sz w:val="32"/>
          <w:szCs w:val="32"/>
          <w:lang w:val="en-US" w:eastAsia="zh-CN"/>
        </w:rPr>
        <w:t>341.80</w:t>
      </w:r>
      <w:r>
        <w:rPr>
          <w:rFonts w:hint="eastAsia" w:ascii="仿宋" w:eastAsia="仿宋"/>
          <w:color w:val="000000"/>
          <w:sz w:val="32"/>
          <w:szCs w:val="32"/>
        </w:rPr>
        <w:t>万元，主要用于以下方面:</w:t>
      </w:r>
      <w:r>
        <w:rPr>
          <w:rFonts w:hint="eastAsia" w:ascii="仿宋" w:eastAsia="仿宋"/>
          <w:b/>
          <w:color w:val="000000"/>
          <w:sz w:val="32"/>
          <w:szCs w:val="32"/>
        </w:rPr>
        <w:t>社会保障和就业（类）</w:t>
      </w:r>
      <w:r>
        <w:rPr>
          <w:rFonts w:hint="eastAsia" w:ascii="仿宋" w:eastAsia="仿宋"/>
          <w:color w:val="000000"/>
          <w:sz w:val="32"/>
          <w:szCs w:val="32"/>
        </w:rPr>
        <w:t>支出301.97万元，占88%；</w:t>
      </w:r>
      <w:r>
        <w:rPr>
          <w:rFonts w:hint="eastAsia" w:ascii="仿宋" w:eastAsia="仿宋"/>
          <w:b/>
          <w:sz w:val="32"/>
          <w:szCs w:val="32"/>
        </w:rPr>
        <w:t>卫生健康支出(类)</w:t>
      </w:r>
      <w:r>
        <w:rPr>
          <w:rFonts w:hint="eastAsia" w:ascii="仿宋" w:eastAsia="仿宋"/>
          <w:sz w:val="32"/>
          <w:szCs w:val="32"/>
        </w:rPr>
        <w:t>支出12.84万元，占4%</w:t>
      </w:r>
      <w:r>
        <w:rPr>
          <w:rFonts w:hint="eastAsia" w:ascii="仿宋" w:eastAsia="仿宋"/>
          <w:color w:val="000000"/>
          <w:sz w:val="32"/>
          <w:szCs w:val="32"/>
        </w:rPr>
        <w:t>；</w:t>
      </w:r>
      <w:r>
        <w:rPr>
          <w:rFonts w:hint="eastAsia" w:ascii="仿宋" w:eastAsia="仿宋"/>
          <w:b/>
          <w:color w:val="000000"/>
          <w:sz w:val="32"/>
          <w:szCs w:val="32"/>
        </w:rPr>
        <w:t>住房保障（类）</w:t>
      </w:r>
      <w:r>
        <w:rPr>
          <w:rFonts w:hint="eastAsia" w:ascii="仿宋" w:eastAsia="仿宋"/>
          <w:color w:val="000000"/>
          <w:sz w:val="32"/>
          <w:szCs w:val="32"/>
        </w:rPr>
        <w:t>支出26.99万元，占</w:t>
      </w:r>
      <w:r>
        <w:rPr>
          <w:rFonts w:hint="eastAsia" w:ascii="仿宋" w:eastAsia="仿宋"/>
          <w:color w:val="000000"/>
          <w:sz w:val="32"/>
          <w:szCs w:val="32"/>
          <w:lang w:val="en-US" w:eastAsia="zh-CN"/>
        </w:rPr>
        <w:t>8</w:t>
      </w:r>
      <w:r>
        <w:rPr>
          <w:rFonts w:hint="eastAsia" w:ascii="仿宋" w:eastAsia="仿宋"/>
          <w:color w:val="000000"/>
          <w:sz w:val="32"/>
          <w:szCs w:val="32"/>
        </w:rPr>
        <w:t>%。</w:t>
      </w:r>
    </w:p>
    <w:p>
      <w:pPr>
        <w:pStyle w:val="1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drawing>
          <wp:inline distT="0" distB="0" distL="114300" distR="114300">
            <wp:extent cx="4572000" cy="2743200"/>
            <wp:effectExtent l="4445" t="4445" r="10795" b="10795"/>
            <wp:docPr id="6"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960" w:firstLineChars="300"/>
        <w:jc w:val="center"/>
        <w:rPr>
          <w:rFonts w:ascii="仿宋" w:hAnsi="仿宋" w:eastAsia="仿宋"/>
          <w:color w:val="000000"/>
          <w:sz w:val="32"/>
          <w:szCs w:val="32"/>
        </w:rPr>
      </w:pPr>
      <w:r>
        <w:rPr>
          <w:rFonts w:hint="eastAsia" w:ascii="仿宋" w:eastAsia="仿宋"/>
          <w:color w:val="000000"/>
          <w:sz w:val="32"/>
          <w:szCs w:val="32"/>
        </w:rPr>
        <w:t>（图6：一般公共预算财政拨款支出决算结构图）</w:t>
      </w:r>
    </w:p>
    <w:p>
      <w:pPr>
        <w:spacing w:line="600" w:lineRule="exact"/>
        <w:ind w:firstLine="642" w:firstLineChars="200"/>
        <w:outlineLvl w:val="2"/>
        <w:rPr>
          <w:rFonts w:ascii="仿宋" w:hAnsi="仿宋" w:eastAsia="仿宋"/>
          <w:b/>
          <w:color w:val="000000"/>
          <w:sz w:val="32"/>
          <w:szCs w:val="32"/>
        </w:rPr>
      </w:pPr>
      <w:bookmarkStart w:id="45" w:name="_Toc6436"/>
      <w:bookmarkStart w:id="46" w:name="_Toc15377212"/>
      <w:r>
        <w:rPr>
          <w:rFonts w:hint="eastAsia" w:ascii="仿宋" w:hAnsi="仿宋" w:eastAsia="仿宋"/>
          <w:b/>
          <w:color w:val="000000"/>
          <w:sz w:val="32"/>
          <w:szCs w:val="32"/>
        </w:rPr>
        <w:t>（三）一般公共预算财政拨款支出决算具体情况</w:t>
      </w:r>
      <w:bookmarkEnd w:id="45"/>
      <w:bookmarkEnd w:id="46"/>
    </w:p>
    <w:p>
      <w:pPr>
        <w:spacing w:line="560" w:lineRule="exact"/>
        <w:ind w:firstLine="642" w:firstLineChars="200"/>
        <w:outlineLvl w:val="1"/>
        <w:rPr>
          <w:rFonts w:hint="eastAsia" w:ascii="仿宋" w:eastAsia="仿宋"/>
          <w:color w:val="FF0000"/>
          <w:sz w:val="32"/>
          <w:szCs w:val="32"/>
        </w:rPr>
      </w:pPr>
      <w:bookmarkStart w:id="47" w:name="_Toc15377213"/>
      <w:bookmarkStart w:id="48" w:name="_Toc31120"/>
      <w:bookmarkStart w:id="49" w:name="_Toc15378460"/>
      <w:bookmarkStart w:id="50" w:name="_Toc7675"/>
      <w:bookmarkStart w:id="51" w:name="_Toc15377444"/>
      <w:bookmarkStart w:id="52" w:name="_Toc15396608"/>
      <w:bookmarkStart w:id="53" w:name="_Toc15377214"/>
      <w:r>
        <w:rPr>
          <w:rFonts w:hint="eastAsia" w:ascii="仿宋" w:eastAsia="仿宋"/>
          <w:b/>
          <w:color w:val="000000"/>
          <w:sz w:val="32"/>
          <w:szCs w:val="32"/>
          <w:lang w:eastAsia="zh-CN"/>
        </w:rPr>
        <w:t>2021年</w:t>
      </w:r>
      <w:r>
        <w:rPr>
          <w:rFonts w:hint="eastAsia" w:ascii="仿宋" w:eastAsia="仿宋"/>
          <w:b/>
          <w:color w:val="000000"/>
          <w:sz w:val="32"/>
          <w:szCs w:val="32"/>
        </w:rPr>
        <w:t>一般公共预算支出决算数为</w:t>
      </w:r>
      <w:r>
        <w:rPr>
          <w:rFonts w:hint="eastAsia" w:ascii="仿宋" w:eastAsia="仿宋"/>
          <w:color w:val="000000"/>
          <w:sz w:val="32"/>
          <w:szCs w:val="32"/>
          <w:lang w:val="en-US" w:eastAsia="zh-CN"/>
        </w:rPr>
        <w:t>341.80</w:t>
      </w:r>
      <w:r>
        <w:rPr>
          <w:rFonts w:hint="eastAsia" w:ascii="仿宋" w:eastAsia="仿宋"/>
          <w:b/>
          <w:color w:val="000000"/>
          <w:sz w:val="32"/>
          <w:szCs w:val="32"/>
        </w:rPr>
        <w:t>万元</w:t>
      </w:r>
      <w:r>
        <w:rPr>
          <w:rFonts w:hint="eastAsia" w:ascii="仿宋" w:eastAsia="仿宋"/>
          <w:color w:val="000000"/>
          <w:sz w:val="32"/>
          <w:szCs w:val="32"/>
        </w:rPr>
        <w:t>，</w:t>
      </w:r>
      <w:r>
        <w:rPr>
          <w:rStyle w:val="15"/>
          <w:rFonts w:hint="eastAsia" w:ascii="仿宋" w:eastAsia="仿宋"/>
          <w:bCs/>
          <w:color w:val="000000"/>
          <w:sz w:val="32"/>
          <w:szCs w:val="32"/>
        </w:rPr>
        <w:t>完成预算</w:t>
      </w:r>
      <w:r>
        <w:rPr>
          <w:rStyle w:val="15"/>
          <w:rFonts w:hint="eastAsia" w:ascii="仿宋" w:eastAsia="仿宋"/>
          <w:bCs/>
          <w:color w:val="000000"/>
          <w:sz w:val="32"/>
          <w:szCs w:val="32"/>
          <w:lang w:val="en-US" w:eastAsia="zh-CN"/>
        </w:rPr>
        <w:t>100</w:t>
      </w:r>
      <w:r>
        <w:rPr>
          <w:rStyle w:val="15"/>
          <w:rFonts w:hint="eastAsia" w:ascii="仿宋" w:eastAsia="仿宋"/>
          <w:bCs/>
          <w:color w:val="000000"/>
          <w:sz w:val="32"/>
          <w:szCs w:val="32"/>
        </w:rPr>
        <w:t>%,其中：</w:t>
      </w:r>
      <w:bookmarkEnd w:id="47"/>
      <w:bookmarkEnd w:id="48"/>
      <w:bookmarkEnd w:id="49"/>
      <w:bookmarkEnd w:id="50"/>
      <w:bookmarkEnd w:id="51"/>
    </w:p>
    <w:p>
      <w:pPr>
        <w:numPr>
          <w:ilvl w:val="0"/>
          <w:numId w:val="3"/>
        </w:numPr>
        <w:spacing w:line="560" w:lineRule="exact"/>
        <w:ind w:firstLine="642" w:firstLineChars="200"/>
        <w:rPr>
          <w:rStyle w:val="15"/>
          <w:rFonts w:hint="eastAsia" w:ascii="仿宋" w:eastAsia="仿宋"/>
          <w:b w:val="0"/>
          <w:bCs/>
          <w:sz w:val="32"/>
          <w:szCs w:val="32"/>
          <w:lang w:eastAsia="zh-CN"/>
        </w:rPr>
      </w:pPr>
      <w:r>
        <w:rPr>
          <w:rStyle w:val="15"/>
          <w:rFonts w:hint="eastAsia" w:ascii="仿宋" w:hAnsi="仿宋" w:eastAsia="仿宋"/>
          <w:bCs/>
          <w:color w:val="000000"/>
          <w:sz w:val="32"/>
          <w:szCs w:val="32"/>
        </w:rPr>
        <w:t>社会保障和就业（类）人力资源和社会保障管理事务（款）就业管理事务（项）</w:t>
      </w:r>
      <w:r>
        <w:rPr>
          <w:rStyle w:val="15"/>
          <w:rFonts w:hint="eastAsia" w:ascii="仿宋" w:eastAsia="仿宋"/>
          <w:bCs/>
          <w:color w:val="000000"/>
          <w:sz w:val="32"/>
          <w:szCs w:val="32"/>
        </w:rPr>
        <w:t>：支出决算</w:t>
      </w:r>
      <w:r>
        <w:rPr>
          <w:rFonts w:hint="eastAsia" w:ascii="仿宋" w:eastAsia="仿宋"/>
          <w:color w:val="000000"/>
          <w:sz w:val="32"/>
          <w:szCs w:val="32"/>
          <w:lang w:val="en-US" w:eastAsia="zh-CN"/>
        </w:rPr>
        <w:t>2.0</w:t>
      </w:r>
      <w:r>
        <w:rPr>
          <w:rStyle w:val="15"/>
          <w:rFonts w:hint="eastAsia" w:ascii="仿宋" w:eastAsia="仿宋"/>
          <w:bCs/>
          <w:color w:val="000000"/>
          <w:sz w:val="32"/>
          <w:szCs w:val="32"/>
        </w:rPr>
        <w:t>万元，完成</w:t>
      </w:r>
      <w:r>
        <w:rPr>
          <w:rStyle w:val="15"/>
          <w:rFonts w:hint="eastAsia" w:ascii="仿宋" w:eastAsia="仿宋"/>
          <w:b w:val="0"/>
          <w:bCs/>
          <w:sz w:val="32"/>
          <w:szCs w:val="32"/>
        </w:rPr>
        <w:t>预算</w:t>
      </w:r>
      <w:r>
        <w:rPr>
          <w:rStyle w:val="15"/>
          <w:rFonts w:hint="eastAsia" w:ascii="仿宋" w:eastAsia="仿宋"/>
          <w:b w:val="0"/>
          <w:bCs/>
          <w:sz w:val="32"/>
          <w:szCs w:val="32"/>
          <w:lang w:val="en-US" w:eastAsia="zh-CN"/>
        </w:rPr>
        <w:t>100</w:t>
      </w:r>
      <w:r>
        <w:rPr>
          <w:rStyle w:val="15"/>
          <w:rFonts w:hint="eastAsia" w:ascii="仿宋" w:eastAsia="仿宋"/>
          <w:b w:val="0"/>
          <w:bCs/>
          <w:sz w:val="32"/>
          <w:szCs w:val="32"/>
        </w:rPr>
        <w:t>%</w:t>
      </w:r>
      <w:r>
        <w:rPr>
          <w:rStyle w:val="15"/>
          <w:rFonts w:hint="eastAsia" w:ascii="仿宋" w:eastAsia="仿宋"/>
          <w:b w:val="0"/>
          <w:bCs/>
          <w:sz w:val="32"/>
          <w:szCs w:val="32"/>
          <w:lang w:eastAsia="zh-CN"/>
        </w:rPr>
        <w:t>。</w:t>
      </w:r>
    </w:p>
    <w:p>
      <w:pPr>
        <w:numPr>
          <w:ilvl w:val="0"/>
          <w:numId w:val="3"/>
        </w:numPr>
        <w:spacing w:line="560" w:lineRule="exact"/>
        <w:ind w:left="0" w:leftChars="0" w:firstLine="642" w:firstLineChars="200"/>
        <w:rPr>
          <w:rStyle w:val="15"/>
          <w:rFonts w:hint="eastAsia" w:ascii="仿宋" w:eastAsia="仿宋"/>
          <w:b w:val="0"/>
          <w:bCs/>
          <w:sz w:val="32"/>
          <w:szCs w:val="32"/>
          <w:lang w:eastAsia="zh-CN"/>
        </w:rPr>
      </w:pPr>
      <w:r>
        <w:rPr>
          <w:rStyle w:val="15"/>
          <w:rFonts w:hint="eastAsia" w:ascii="仿宋" w:hAnsi="仿宋" w:eastAsia="仿宋"/>
          <w:bCs/>
          <w:color w:val="000000"/>
          <w:sz w:val="32"/>
          <w:szCs w:val="32"/>
        </w:rPr>
        <w:t>社会保障和就业（类）人力资源和社会保障管理事务（款）信息化建设（项）</w:t>
      </w:r>
      <w:r>
        <w:rPr>
          <w:rStyle w:val="15"/>
          <w:rFonts w:hint="eastAsia" w:ascii="仿宋" w:eastAsia="仿宋"/>
          <w:bCs/>
          <w:color w:val="000000"/>
          <w:sz w:val="32"/>
          <w:szCs w:val="32"/>
        </w:rPr>
        <w:t>：支出决算</w:t>
      </w:r>
      <w:r>
        <w:rPr>
          <w:rFonts w:hint="eastAsia" w:ascii="仿宋" w:eastAsia="仿宋"/>
          <w:color w:val="000000"/>
          <w:sz w:val="32"/>
          <w:szCs w:val="32"/>
          <w:lang w:val="en-US" w:eastAsia="zh-CN"/>
        </w:rPr>
        <w:t>262.21</w:t>
      </w:r>
      <w:r>
        <w:rPr>
          <w:rStyle w:val="15"/>
          <w:rFonts w:hint="eastAsia" w:ascii="仿宋" w:eastAsia="仿宋"/>
          <w:bCs/>
          <w:color w:val="000000"/>
          <w:sz w:val="32"/>
          <w:szCs w:val="32"/>
        </w:rPr>
        <w:t>万元，完成</w:t>
      </w:r>
      <w:r>
        <w:rPr>
          <w:rStyle w:val="15"/>
          <w:rFonts w:hint="eastAsia" w:ascii="仿宋" w:eastAsia="仿宋"/>
          <w:b w:val="0"/>
          <w:bCs/>
          <w:sz w:val="32"/>
          <w:szCs w:val="32"/>
        </w:rPr>
        <w:t>预算</w:t>
      </w:r>
      <w:r>
        <w:rPr>
          <w:rStyle w:val="15"/>
          <w:rFonts w:hint="eastAsia" w:ascii="仿宋" w:eastAsia="仿宋"/>
          <w:b w:val="0"/>
          <w:bCs/>
          <w:sz w:val="32"/>
          <w:szCs w:val="32"/>
          <w:lang w:val="en-US" w:eastAsia="zh-CN"/>
        </w:rPr>
        <w:t>100</w:t>
      </w:r>
      <w:r>
        <w:rPr>
          <w:rStyle w:val="15"/>
          <w:rFonts w:hint="eastAsia" w:ascii="仿宋" w:eastAsia="仿宋"/>
          <w:b w:val="0"/>
          <w:bCs/>
          <w:sz w:val="32"/>
          <w:szCs w:val="32"/>
        </w:rPr>
        <w:t>%</w:t>
      </w:r>
      <w:r>
        <w:rPr>
          <w:rStyle w:val="15"/>
          <w:rFonts w:hint="eastAsia" w:ascii="仿宋" w:eastAsia="仿宋"/>
          <w:b w:val="0"/>
          <w:bCs/>
          <w:sz w:val="32"/>
          <w:szCs w:val="32"/>
          <w:lang w:eastAsia="zh-CN"/>
        </w:rPr>
        <w:t>。</w:t>
      </w:r>
    </w:p>
    <w:p>
      <w:pPr>
        <w:numPr>
          <w:ilvl w:val="0"/>
          <w:numId w:val="0"/>
        </w:numPr>
        <w:spacing w:line="560" w:lineRule="exact"/>
        <w:ind w:firstLine="642" w:firstLineChars="200"/>
        <w:rPr>
          <w:rStyle w:val="15"/>
          <w:rFonts w:hint="eastAsia" w:ascii="仿宋" w:eastAsia="仿宋"/>
          <w:b w:val="0"/>
          <w:bCs/>
          <w:sz w:val="32"/>
          <w:szCs w:val="32"/>
          <w:lang w:eastAsia="zh-CN"/>
        </w:rPr>
      </w:pPr>
      <w:r>
        <w:rPr>
          <w:rStyle w:val="15"/>
          <w:rFonts w:hint="eastAsia" w:ascii="仿宋" w:eastAsia="仿宋"/>
          <w:bCs/>
          <w:color w:val="000000"/>
          <w:sz w:val="32"/>
          <w:szCs w:val="32"/>
          <w:lang w:val="en-US" w:eastAsia="zh-CN"/>
        </w:rPr>
        <w:t>3</w:t>
      </w:r>
      <w:r>
        <w:rPr>
          <w:rStyle w:val="15"/>
          <w:rFonts w:hint="eastAsia" w:ascii="仿宋" w:eastAsia="仿宋"/>
          <w:bCs/>
          <w:color w:val="000000"/>
          <w:sz w:val="32"/>
          <w:szCs w:val="32"/>
        </w:rPr>
        <w:t>.</w:t>
      </w:r>
      <w:r>
        <w:rPr>
          <w:rStyle w:val="15"/>
          <w:rFonts w:hint="eastAsia" w:ascii="仿宋" w:hAnsi="仿宋" w:eastAsia="仿宋"/>
          <w:bCs/>
          <w:color w:val="000000"/>
          <w:sz w:val="32"/>
          <w:szCs w:val="32"/>
        </w:rPr>
        <w:t>社会保障和就业（类）人力资源和社会保障管理事务（款）事业运行（项）</w:t>
      </w:r>
      <w:r>
        <w:rPr>
          <w:rStyle w:val="15"/>
          <w:rFonts w:hint="eastAsia" w:ascii="仿宋" w:eastAsia="仿宋"/>
          <w:bCs/>
          <w:color w:val="000000"/>
          <w:sz w:val="32"/>
          <w:szCs w:val="32"/>
        </w:rPr>
        <w:t>：支出决算</w:t>
      </w:r>
      <w:r>
        <w:rPr>
          <w:rFonts w:hint="eastAsia" w:ascii="仿宋" w:eastAsia="仿宋"/>
          <w:color w:val="000000"/>
          <w:sz w:val="32"/>
          <w:szCs w:val="32"/>
          <w:lang w:val="en-US" w:eastAsia="zh-CN"/>
        </w:rPr>
        <w:t>1.57</w:t>
      </w:r>
      <w:r>
        <w:rPr>
          <w:rStyle w:val="15"/>
          <w:rFonts w:hint="eastAsia" w:ascii="仿宋" w:eastAsia="仿宋"/>
          <w:bCs/>
          <w:color w:val="000000"/>
          <w:sz w:val="32"/>
          <w:szCs w:val="32"/>
        </w:rPr>
        <w:t>万元，完成</w:t>
      </w:r>
      <w:r>
        <w:rPr>
          <w:rStyle w:val="15"/>
          <w:rFonts w:hint="eastAsia" w:ascii="仿宋" w:eastAsia="仿宋"/>
          <w:b w:val="0"/>
          <w:bCs/>
          <w:sz w:val="32"/>
          <w:szCs w:val="32"/>
        </w:rPr>
        <w:t>预算</w:t>
      </w:r>
      <w:r>
        <w:rPr>
          <w:rStyle w:val="15"/>
          <w:rFonts w:hint="eastAsia" w:ascii="仿宋" w:eastAsia="仿宋"/>
          <w:b w:val="0"/>
          <w:bCs/>
          <w:sz w:val="32"/>
          <w:szCs w:val="32"/>
          <w:lang w:val="en-US" w:eastAsia="zh-CN"/>
        </w:rPr>
        <w:t>100</w:t>
      </w:r>
      <w:r>
        <w:rPr>
          <w:rStyle w:val="15"/>
          <w:rFonts w:hint="eastAsia" w:ascii="仿宋" w:eastAsia="仿宋"/>
          <w:b w:val="0"/>
          <w:bCs/>
          <w:sz w:val="32"/>
          <w:szCs w:val="32"/>
        </w:rPr>
        <w:t>%</w:t>
      </w:r>
      <w:r>
        <w:rPr>
          <w:rStyle w:val="15"/>
          <w:rFonts w:hint="eastAsia" w:ascii="仿宋" w:eastAsia="仿宋"/>
          <w:b w:val="0"/>
          <w:bCs/>
          <w:sz w:val="32"/>
          <w:szCs w:val="32"/>
          <w:lang w:eastAsia="zh-CN"/>
        </w:rPr>
        <w:t>。</w:t>
      </w:r>
    </w:p>
    <w:p>
      <w:pPr>
        <w:pStyle w:val="2"/>
        <w:numPr>
          <w:ilvl w:val="0"/>
          <w:numId w:val="0"/>
        </w:numPr>
        <w:ind w:leftChars="200"/>
        <w:rPr>
          <w:rFonts w:hint="eastAsia"/>
          <w:lang w:eastAsia="zh-CN"/>
        </w:rPr>
      </w:pPr>
    </w:p>
    <w:p>
      <w:pPr>
        <w:spacing w:line="560" w:lineRule="exact"/>
        <w:ind w:firstLine="642" w:firstLineChars="200"/>
        <w:rPr>
          <w:rStyle w:val="15"/>
          <w:rFonts w:hint="eastAsia" w:ascii="仿宋" w:eastAsia="仿宋"/>
          <w:b w:val="0"/>
          <w:bCs/>
          <w:sz w:val="32"/>
          <w:szCs w:val="32"/>
          <w:lang w:eastAsia="zh-CN"/>
        </w:rPr>
      </w:pPr>
      <w:r>
        <w:rPr>
          <w:rStyle w:val="15"/>
          <w:rFonts w:hint="eastAsia" w:ascii="仿宋" w:eastAsia="仿宋"/>
          <w:bCs/>
          <w:color w:val="000000"/>
          <w:sz w:val="32"/>
          <w:szCs w:val="32"/>
          <w:lang w:val="en-US" w:eastAsia="zh-CN"/>
        </w:rPr>
        <w:t>4</w:t>
      </w:r>
      <w:r>
        <w:rPr>
          <w:rStyle w:val="15"/>
          <w:rFonts w:hint="eastAsia" w:ascii="仿宋" w:eastAsia="仿宋"/>
          <w:bCs/>
          <w:color w:val="000000"/>
          <w:sz w:val="32"/>
          <w:szCs w:val="32"/>
        </w:rPr>
        <w:t>.</w:t>
      </w:r>
      <w:r>
        <w:rPr>
          <w:rStyle w:val="15"/>
          <w:rFonts w:hint="eastAsia" w:ascii="仿宋" w:hAnsi="仿宋" w:eastAsia="仿宋"/>
          <w:bCs/>
          <w:color w:val="000000"/>
          <w:sz w:val="32"/>
          <w:szCs w:val="32"/>
        </w:rPr>
        <w:t>社会保障和就业（类）行政事业单位养老支出（款） 机关事业单位基本养老保险缴费支出（项）</w:t>
      </w:r>
      <w:r>
        <w:rPr>
          <w:rStyle w:val="15"/>
          <w:rFonts w:hint="eastAsia" w:ascii="仿宋" w:eastAsia="仿宋"/>
          <w:bCs/>
          <w:color w:val="000000"/>
          <w:sz w:val="32"/>
          <w:szCs w:val="32"/>
        </w:rPr>
        <w:t>：支出决算</w:t>
      </w:r>
      <w:r>
        <w:rPr>
          <w:rFonts w:hint="eastAsia" w:ascii="仿宋" w:eastAsia="仿宋"/>
          <w:color w:val="000000"/>
          <w:sz w:val="32"/>
          <w:szCs w:val="32"/>
          <w:lang w:val="en-US" w:eastAsia="zh-CN"/>
        </w:rPr>
        <w:t>23.86</w:t>
      </w:r>
      <w:r>
        <w:rPr>
          <w:rStyle w:val="15"/>
          <w:rFonts w:hint="eastAsia" w:ascii="仿宋" w:eastAsia="仿宋"/>
          <w:bCs/>
          <w:color w:val="000000"/>
          <w:sz w:val="32"/>
          <w:szCs w:val="32"/>
        </w:rPr>
        <w:t>万元，完成</w:t>
      </w:r>
      <w:r>
        <w:rPr>
          <w:rStyle w:val="15"/>
          <w:rFonts w:hint="eastAsia" w:ascii="仿宋" w:eastAsia="仿宋"/>
          <w:b w:val="0"/>
          <w:bCs/>
          <w:sz w:val="32"/>
          <w:szCs w:val="32"/>
        </w:rPr>
        <w:t>预算</w:t>
      </w:r>
      <w:r>
        <w:rPr>
          <w:rStyle w:val="15"/>
          <w:rFonts w:hint="eastAsia" w:ascii="仿宋" w:eastAsia="仿宋"/>
          <w:b w:val="0"/>
          <w:bCs/>
          <w:sz w:val="32"/>
          <w:szCs w:val="32"/>
          <w:lang w:val="en-US" w:eastAsia="zh-CN"/>
        </w:rPr>
        <w:t>100</w:t>
      </w:r>
      <w:r>
        <w:rPr>
          <w:rStyle w:val="15"/>
          <w:rFonts w:hint="eastAsia" w:ascii="仿宋" w:eastAsia="仿宋"/>
          <w:b w:val="0"/>
          <w:bCs/>
          <w:sz w:val="32"/>
          <w:szCs w:val="32"/>
        </w:rPr>
        <w:t>%</w:t>
      </w:r>
      <w:r>
        <w:rPr>
          <w:rStyle w:val="15"/>
          <w:rFonts w:hint="eastAsia" w:ascii="仿宋" w:eastAsia="仿宋"/>
          <w:b w:val="0"/>
          <w:bCs/>
          <w:sz w:val="32"/>
          <w:szCs w:val="32"/>
          <w:lang w:eastAsia="zh-CN"/>
        </w:rPr>
        <w:t>。</w:t>
      </w:r>
    </w:p>
    <w:p>
      <w:pPr>
        <w:spacing w:line="600" w:lineRule="exact"/>
        <w:ind w:firstLine="642" w:firstLineChars="200"/>
        <w:rPr>
          <w:rStyle w:val="15"/>
          <w:rFonts w:hint="eastAsia" w:ascii="仿宋" w:eastAsia="仿宋"/>
          <w:b w:val="0"/>
          <w:bCs/>
          <w:color w:val="000000"/>
          <w:sz w:val="32"/>
          <w:szCs w:val="32"/>
        </w:rPr>
      </w:pPr>
      <w:r>
        <w:rPr>
          <w:rStyle w:val="15"/>
          <w:rFonts w:hint="eastAsia" w:ascii="仿宋" w:eastAsia="仿宋"/>
          <w:bCs/>
          <w:color w:val="000000"/>
          <w:sz w:val="32"/>
          <w:szCs w:val="32"/>
          <w:lang w:val="en-US" w:eastAsia="zh-CN"/>
        </w:rPr>
        <w:t>5</w:t>
      </w:r>
      <w:r>
        <w:rPr>
          <w:rStyle w:val="15"/>
          <w:rFonts w:hint="eastAsia" w:ascii="仿宋" w:eastAsia="仿宋"/>
          <w:bCs/>
          <w:color w:val="000000"/>
          <w:sz w:val="32"/>
          <w:szCs w:val="32"/>
        </w:rPr>
        <w:t>.卫生健康支出（类）：行政事业单位医疗（款）行政单位医疗（项）:</w:t>
      </w:r>
      <w:r>
        <w:rPr>
          <w:rStyle w:val="15"/>
          <w:rFonts w:hint="eastAsia" w:ascii="仿宋" w:eastAsia="仿宋"/>
          <w:b w:val="0"/>
          <w:bCs/>
          <w:color w:val="000000"/>
          <w:sz w:val="32"/>
          <w:szCs w:val="32"/>
        </w:rPr>
        <w:t>支出决算为</w:t>
      </w:r>
      <w:r>
        <w:rPr>
          <w:rFonts w:hint="eastAsia" w:ascii="仿宋" w:eastAsia="仿宋"/>
          <w:sz w:val="32"/>
          <w:szCs w:val="32"/>
        </w:rPr>
        <w:t>12.84</w:t>
      </w:r>
      <w:r>
        <w:rPr>
          <w:rStyle w:val="15"/>
          <w:rFonts w:hint="eastAsia" w:ascii="仿宋" w:eastAsia="仿宋"/>
          <w:b w:val="0"/>
          <w:bCs/>
          <w:color w:val="000000"/>
          <w:sz w:val="32"/>
          <w:szCs w:val="32"/>
        </w:rPr>
        <w:t>万元，完成预算100%。</w:t>
      </w:r>
    </w:p>
    <w:p>
      <w:pPr>
        <w:spacing w:line="600" w:lineRule="exact"/>
        <w:ind w:firstLine="642" w:firstLineChars="200"/>
        <w:rPr>
          <w:rStyle w:val="15"/>
          <w:rFonts w:hint="eastAsia" w:ascii="仿宋" w:eastAsia="仿宋"/>
          <w:b w:val="0"/>
          <w:bCs/>
          <w:color w:val="000000"/>
          <w:sz w:val="32"/>
          <w:szCs w:val="32"/>
        </w:rPr>
      </w:pPr>
      <w:r>
        <w:rPr>
          <w:rStyle w:val="15"/>
          <w:rFonts w:hint="eastAsia" w:ascii="仿宋" w:eastAsia="仿宋"/>
          <w:bCs/>
          <w:color w:val="000000"/>
          <w:sz w:val="32"/>
          <w:szCs w:val="32"/>
          <w:lang w:val="en-US" w:eastAsia="zh-CN"/>
        </w:rPr>
        <w:t>6</w:t>
      </w:r>
      <w:r>
        <w:rPr>
          <w:rStyle w:val="15"/>
          <w:rFonts w:hint="eastAsia" w:ascii="仿宋" w:eastAsia="仿宋"/>
          <w:bCs/>
          <w:color w:val="000000"/>
          <w:sz w:val="32"/>
          <w:szCs w:val="32"/>
        </w:rPr>
        <w:t>.住房保障支出（类）住房改革支出（款）住房公积金（项）：</w:t>
      </w:r>
      <w:r>
        <w:rPr>
          <w:rStyle w:val="15"/>
          <w:rFonts w:hint="eastAsia" w:ascii="仿宋" w:eastAsia="仿宋"/>
          <w:b w:val="0"/>
          <w:bCs/>
          <w:color w:val="000000"/>
          <w:sz w:val="32"/>
          <w:szCs w:val="32"/>
        </w:rPr>
        <w:t>支出决算为</w:t>
      </w:r>
      <w:r>
        <w:rPr>
          <w:rFonts w:hint="eastAsia" w:ascii="仿宋" w:eastAsia="仿宋"/>
          <w:color w:val="000000"/>
          <w:sz w:val="32"/>
          <w:szCs w:val="32"/>
        </w:rPr>
        <w:t>26.99</w:t>
      </w:r>
      <w:r>
        <w:rPr>
          <w:rStyle w:val="15"/>
          <w:rFonts w:hint="eastAsia" w:ascii="仿宋" w:eastAsia="仿宋"/>
          <w:b w:val="0"/>
          <w:bCs/>
          <w:color w:val="000000"/>
          <w:sz w:val="32"/>
          <w:szCs w:val="32"/>
        </w:rPr>
        <w:t>万元，完成预算100%。</w:t>
      </w:r>
    </w:p>
    <w:p>
      <w:pPr>
        <w:spacing w:line="600" w:lineRule="exact"/>
        <w:ind w:firstLine="642" w:firstLineChars="200"/>
        <w:rPr>
          <w:rStyle w:val="15"/>
          <w:rFonts w:hint="default" w:ascii="仿宋" w:eastAsia="仿宋"/>
          <w:b w:val="0"/>
          <w:bCs/>
          <w:color w:val="000000"/>
          <w:sz w:val="32"/>
          <w:szCs w:val="32"/>
          <w:lang w:val="en-US" w:eastAsia="zh-CN"/>
        </w:rPr>
      </w:pPr>
      <w:r>
        <w:rPr>
          <w:rStyle w:val="15"/>
          <w:rFonts w:hint="eastAsia" w:ascii="仿宋" w:eastAsia="仿宋"/>
          <w:bCs/>
          <w:color w:val="000000"/>
          <w:sz w:val="32"/>
          <w:szCs w:val="32"/>
          <w:lang w:val="en-US" w:eastAsia="zh-CN"/>
        </w:rPr>
        <w:t>7.社会保障和就业（类）人力资源和社会保障管理事务（款）事业运行（项）：</w:t>
      </w:r>
      <w:r>
        <w:rPr>
          <w:rStyle w:val="15"/>
          <w:rFonts w:hint="eastAsia" w:ascii="仿宋" w:eastAsia="仿宋"/>
          <w:b w:val="0"/>
          <w:bCs/>
          <w:color w:val="000000"/>
          <w:sz w:val="32"/>
          <w:szCs w:val="32"/>
          <w:lang w:val="en-US" w:eastAsia="zh-CN"/>
        </w:rPr>
        <w:t>支出决算12.34万元，完成预算100%。</w:t>
      </w:r>
    </w:p>
    <w:p>
      <w:pPr>
        <w:tabs>
          <w:tab w:val="right" w:pos="8306"/>
        </w:tabs>
        <w:spacing w:line="600" w:lineRule="exact"/>
        <w:ind w:firstLine="640"/>
        <w:outlineLvl w:val="1"/>
        <w:rPr>
          <w:rStyle w:val="19"/>
        </w:rPr>
      </w:pPr>
      <w:bookmarkStart w:id="54" w:name="_Toc20384"/>
      <w:bookmarkStart w:id="55" w:name="_Toc31911"/>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9"/>
          <w:rFonts w:hint="eastAsia" w:ascii="黑体" w:hAnsi="黑体" w:eastAsia="黑体"/>
          <w:b w:val="0"/>
        </w:rPr>
        <w:t>般公共预算财政拨款基本支出决算情况说明</w:t>
      </w:r>
      <w:bookmarkEnd w:id="52"/>
      <w:bookmarkEnd w:id="53"/>
      <w:bookmarkEnd w:id="54"/>
      <w:bookmarkEnd w:id="55"/>
      <w:r>
        <w:rPr>
          <w:rStyle w:val="19"/>
          <w:rFonts w:ascii="黑体" w:hAnsi="黑体" w:eastAsia="黑体"/>
          <w:b w:val="0"/>
        </w:rPr>
        <w:tab/>
      </w:r>
    </w:p>
    <w:p>
      <w:pPr>
        <w:spacing w:line="600" w:lineRule="exact"/>
        <w:ind w:firstLine="645"/>
        <w:rPr>
          <w:rFonts w:hint="eastAsia" w:ascii="仿宋" w:eastAsia="仿宋"/>
          <w:color w:val="000000"/>
          <w:sz w:val="32"/>
          <w:szCs w:val="32"/>
        </w:rPr>
      </w:pPr>
      <w:r>
        <w:rPr>
          <w:rFonts w:hint="eastAsia" w:ascii="仿宋" w:eastAsia="仿宋"/>
          <w:color w:val="000000"/>
          <w:sz w:val="32"/>
          <w:szCs w:val="32"/>
          <w:lang w:eastAsia="zh-CN"/>
        </w:rPr>
        <w:t>2021年</w:t>
      </w:r>
      <w:r>
        <w:rPr>
          <w:rFonts w:hint="eastAsia" w:ascii="仿宋" w:eastAsia="仿宋"/>
          <w:color w:val="000000"/>
          <w:sz w:val="32"/>
          <w:szCs w:val="32"/>
        </w:rPr>
        <w:t>一般公共预算财政拨款基本支出</w:t>
      </w:r>
      <w:r>
        <w:rPr>
          <w:rFonts w:hint="eastAsia" w:ascii="仿宋" w:eastAsia="仿宋"/>
          <w:color w:val="000000"/>
          <w:sz w:val="32"/>
          <w:szCs w:val="32"/>
          <w:lang w:eastAsia="zh-CN"/>
        </w:rPr>
        <w:t>325.89</w:t>
      </w:r>
      <w:r>
        <w:rPr>
          <w:rFonts w:hint="eastAsia" w:ascii="仿宋" w:eastAsia="仿宋"/>
          <w:color w:val="000000"/>
          <w:sz w:val="32"/>
          <w:szCs w:val="32"/>
        </w:rPr>
        <w:t>万元，其中：</w:t>
      </w:r>
    </w:p>
    <w:p>
      <w:pPr>
        <w:numPr>
          <w:ilvl w:val="0"/>
          <w:numId w:val="4"/>
        </w:numPr>
        <w:spacing w:line="600" w:lineRule="exact"/>
        <w:ind w:firstLine="645"/>
        <w:rPr>
          <w:rFonts w:hint="eastAsia" w:ascii="仿宋" w:hAnsi="Times New Roman" w:eastAsia="仿宋" w:cs="Times New Roman"/>
          <w:color w:val="000000"/>
          <w:sz w:val="32"/>
          <w:szCs w:val="32"/>
        </w:rPr>
      </w:pPr>
      <w:r>
        <w:rPr>
          <w:rFonts w:hint="eastAsia" w:ascii="仿宋" w:eastAsia="仿宋"/>
          <w:color w:val="000000"/>
          <w:sz w:val="32"/>
          <w:szCs w:val="32"/>
        </w:rPr>
        <w:t>人员经费296.86万元，主要包括：</w:t>
      </w:r>
      <w:r>
        <w:rPr>
          <w:rFonts w:hint="eastAsia" w:ascii="仿宋" w:hAnsi="Times New Roman" w:eastAsia="仿宋" w:cs="Times New Roman"/>
          <w:color w:val="000000"/>
          <w:sz w:val="32"/>
          <w:szCs w:val="32"/>
        </w:rPr>
        <w:t>基本工资、津贴补贴、奖金、</w:t>
      </w:r>
      <w:r>
        <w:rPr>
          <w:rFonts w:hint="eastAsia" w:ascii="仿宋" w:eastAsia="仿宋" w:cs="Times New Roman"/>
          <w:color w:val="000000"/>
          <w:sz w:val="32"/>
          <w:szCs w:val="32"/>
          <w:lang w:eastAsia="zh-CN"/>
        </w:rPr>
        <w:t>伙食补助费、</w:t>
      </w:r>
      <w:r>
        <w:rPr>
          <w:rFonts w:hint="eastAsia" w:ascii="仿宋" w:hAnsi="Times New Roman" w:eastAsia="仿宋" w:cs="Times New Roman"/>
          <w:color w:val="000000"/>
          <w:sz w:val="32"/>
          <w:szCs w:val="32"/>
        </w:rPr>
        <w:t>绩效工资、</w:t>
      </w:r>
      <w:r>
        <w:rPr>
          <w:rFonts w:hint="eastAsia" w:ascii="仿宋" w:eastAsia="仿宋" w:cs="Times New Roman"/>
          <w:color w:val="000000"/>
          <w:sz w:val="32"/>
          <w:szCs w:val="32"/>
          <w:lang w:eastAsia="zh-CN"/>
        </w:rPr>
        <w:t>机关事业单位基本养老保险费、职工基本医疗保险缴费、其他</w:t>
      </w:r>
      <w:r>
        <w:rPr>
          <w:rFonts w:hint="eastAsia" w:ascii="仿宋" w:hAnsi="Times New Roman" w:eastAsia="仿宋" w:cs="Times New Roman"/>
          <w:color w:val="000000"/>
          <w:sz w:val="32"/>
          <w:szCs w:val="32"/>
        </w:rPr>
        <w:t>社会保障缴费、住房公积金、其他工资福利支出、生活补助、</w:t>
      </w:r>
      <w:bookmarkStart w:id="156" w:name="_GoBack"/>
      <w:bookmarkEnd w:id="156"/>
      <w:r>
        <w:rPr>
          <w:rFonts w:hint="eastAsia" w:ascii="仿宋" w:hAnsi="Times New Roman" w:eastAsia="仿宋" w:cs="Times New Roman"/>
          <w:color w:val="000000"/>
          <w:sz w:val="32"/>
          <w:szCs w:val="32"/>
        </w:rPr>
        <w:t>其他个人和家庭的补助支出。</w:t>
      </w:r>
    </w:p>
    <w:p>
      <w:pPr>
        <w:spacing w:line="600" w:lineRule="exact"/>
        <w:ind w:firstLine="645"/>
        <w:rPr>
          <w:rFonts w:ascii="仿宋" w:hAnsi="仿宋" w:eastAsia="仿宋"/>
          <w:b/>
          <w:color w:val="FF0000"/>
          <w:sz w:val="32"/>
          <w:szCs w:val="32"/>
        </w:rPr>
      </w:pPr>
      <w:r>
        <w:rPr>
          <w:rFonts w:hint="eastAsia" w:ascii="仿宋" w:eastAsia="仿宋"/>
          <w:color w:val="000000"/>
          <w:sz w:val="32"/>
          <w:szCs w:val="32"/>
        </w:rPr>
        <w:t>（二）公用经费19.99万元，主要包括：办公费、印刷费、</w:t>
      </w:r>
      <w:r>
        <w:rPr>
          <w:rFonts w:hint="eastAsia" w:ascii="仿宋" w:eastAsia="仿宋"/>
          <w:color w:val="000000"/>
          <w:sz w:val="32"/>
          <w:szCs w:val="32"/>
          <w:lang w:val="en-US" w:eastAsia="zh-CN"/>
        </w:rPr>
        <w:t>手续费、邮电费、差旅费、</w:t>
      </w:r>
      <w:r>
        <w:rPr>
          <w:rFonts w:hint="eastAsia" w:ascii="仿宋" w:eastAsia="仿宋"/>
          <w:color w:val="000000"/>
          <w:sz w:val="32"/>
          <w:szCs w:val="32"/>
        </w:rPr>
        <w:t>维修（护）费、专用材料费</w:t>
      </w:r>
      <w:r>
        <w:rPr>
          <w:rFonts w:hint="eastAsia" w:ascii="仿宋" w:eastAsia="仿宋"/>
          <w:color w:val="000000"/>
          <w:sz w:val="32"/>
          <w:szCs w:val="32"/>
          <w:lang w:eastAsia="zh-CN"/>
        </w:rPr>
        <w:t>、</w:t>
      </w:r>
      <w:r>
        <w:rPr>
          <w:rFonts w:hint="eastAsia" w:ascii="仿宋" w:eastAsia="仿宋"/>
          <w:color w:val="000000"/>
          <w:sz w:val="32"/>
          <w:szCs w:val="32"/>
        </w:rPr>
        <w:t>劳务费、工会经费、福利费、</w:t>
      </w:r>
      <w:r>
        <w:rPr>
          <w:rFonts w:hint="eastAsia" w:ascii="仿宋" w:eastAsia="仿宋"/>
          <w:color w:val="000000"/>
          <w:spacing w:val="-10"/>
          <w:sz w:val="32"/>
          <w:szCs w:val="32"/>
        </w:rPr>
        <w:t>其他商品和服务支出。</w:t>
      </w:r>
    </w:p>
    <w:p>
      <w:pPr>
        <w:spacing w:line="600" w:lineRule="exact"/>
        <w:ind w:firstLine="640"/>
        <w:outlineLvl w:val="1"/>
        <w:rPr>
          <w:rStyle w:val="19"/>
          <w:rFonts w:ascii="黑体" w:hAnsi="黑体" w:eastAsia="黑体"/>
          <w:b w:val="0"/>
        </w:rPr>
      </w:pPr>
      <w:bookmarkStart w:id="56" w:name="_Toc15377215"/>
      <w:bookmarkStart w:id="57" w:name="_Toc15396609"/>
      <w:bookmarkStart w:id="58" w:name="_Toc18787"/>
      <w:bookmarkStart w:id="59" w:name="_Toc30947"/>
      <w:r>
        <w:rPr>
          <w:rFonts w:hint="eastAsia" w:ascii="黑体" w:eastAsia="黑体"/>
          <w:color w:val="000000"/>
          <w:sz w:val="32"/>
          <w:szCs w:val="32"/>
        </w:rPr>
        <w:t>七、</w:t>
      </w:r>
      <w:r>
        <w:rPr>
          <w:rStyle w:val="19"/>
          <w:rFonts w:hint="eastAsia" w:ascii="黑体" w:hAnsi="黑体" w:eastAsia="黑体"/>
        </w:rPr>
        <w:t>“</w:t>
      </w:r>
      <w:r>
        <w:rPr>
          <w:rStyle w:val="19"/>
          <w:rFonts w:hint="eastAsia" w:ascii="黑体" w:hAnsi="黑体" w:eastAsia="黑体"/>
          <w:b w:val="0"/>
        </w:rPr>
        <w:t>三公”经费财政拨款支出决算情况说明</w:t>
      </w:r>
      <w:bookmarkEnd w:id="56"/>
      <w:bookmarkEnd w:id="57"/>
      <w:bookmarkEnd w:id="58"/>
      <w:bookmarkEnd w:id="59"/>
    </w:p>
    <w:p>
      <w:pPr>
        <w:spacing w:line="600" w:lineRule="exact"/>
        <w:ind w:firstLine="640"/>
        <w:outlineLvl w:val="2"/>
        <w:rPr>
          <w:rFonts w:hint="eastAsia" w:ascii="仿宋" w:eastAsia="仿宋"/>
          <w:b/>
          <w:color w:val="000000"/>
          <w:sz w:val="32"/>
          <w:szCs w:val="32"/>
        </w:rPr>
      </w:pPr>
      <w:bookmarkStart w:id="60" w:name="_Toc628"/>
      <w:bookmarkStart w:id="61" w:name="_Toc15377216"/>
      <w:bookmarkStart w:id="62" w:name="_Toc15396610"/>
      <w:bookmarkStart w:id="63" w:name="_Toc15377218"/>
      <w:r>
        <w:rPr>
          <w:rFonts w:hint="eastAsia" w:ascii="仿宋" w:eastAsia="仿宋"/>
          <w:b/>
          <w:color w:val="000000"/>
          <w:sz w:val="32"/>
          <w:szCs w:val="32"/>
        </w:rPr>
        <w:t>（一）“三公”经费财政拨款支出决算总体情况说明</w:t>
      </w:r>
      <w:bookmarkEnd w:id="60"/>
      <w:bookmarkEnd w:id="61"/>
    </w:p>
    <w:p>
      <w:pPr>
        <w:spacing w:line="600" w:lineRule="exact"/>
        <w:ind w:firstLine="640"/>
        <w:rPr>
          <w:rFonts w:hint="default" w:ascii="仿宋" w:eastAsia="仿宋"/>
          <w:b/>
          <w:color w:val="000000"/>
          <w:sz w:val="32"/>
          <w:szCs w:val="32"/>
          <w:lang w:val="en-US" w:eastAsia="zh-CN"/>
        </w:rPr>
      </w:pPr>
      <w:r>
        <w:rPr>
          <w:rFonts w:hint="eastAsia" w:ascii="仿宋" w:eastAsia="仿宋"/>
          <w:color w:val="000000"/>
          <w:sz w:val="32"/>
          <w:szCs w:val="32"/>
          <w:lang w:eastAsia="zh-CN"/>
        </w:rPr>
        <w:t>2021年</w:t>
      </w:r>
      <w:r>
        <w:rPr>
          <w:rFonts w:hint="eastAsia" w:ascii="仿宋" w:eastAsia="仿宋"/>
          <w:color w:val="000000"/>
          <w:sz w:val="32"/>
          <w:szCs w:val="32"/>
        </w:rPr>
        <w:t>“三公”经费财政拨款支出决算为0.25万元，完成预算</w:t>
      </w:r>
      <w:r>
        <w:rPr>
          <w:rFonts w:hint="default" w:ascii="仿宋" w:eastAsia="仿宋"/>
          <w:color w:val="000000"/>
          <w:sz w:val="32"/>
          <w:szCs w:val="32"/>
          <w:lang w:val="en-US"/>
        </w:rPr>
        <w:t>0</w:t>
      </w:r>
      <w:r>
        <w:rPr>
          <w:rFonts w:hint="eastAsia" w:ascii="仿宋" w:eastAsia="仿宋"/>
          <w:color w:val="000000"/>
          <w:sz w:val="32"/>
          <w:szCs w:val="32"/>
        </w:rPr>
        <w:t>%，</w:t>
      </w:r>
      <w:r>
        <w:rPr>
          <w:rFonts w:hint="default" w:ascii="仿宋" w:eastAsia="仿宋"/>
          <w:color w:val="000000"/>
          <w:sz w:val="32"/>
          <w:szCs w:val="32"/>
          <w:lang w:val="en-US"/>
        </w:rPr>
        <w:t>2021</w:t>
      </w:r>
      <w:r>
        <w:rPr>
          <w:rFonts w:hint="eastAsia" w:ascii="仿宋" w:eastAsia="仿宋"/>
          <w:color w:val="000000"/>
          <w:sz w:val="32"/>
          <w:szCs w:val="32"/>
          <w:lang w:val="en-US" w:eastAsia="zh-CN"/>
        </w:rPr>
        <w:t>年无三公经费支出。</w:t>
      </w:r>
    </w:p>
    <w:p>
      <w:pPr>
        <w:spacing w:line="600" w:lineRule="exact"/>
        <w:ind w:firstLine="640"/>
        <w:outlineLvl w:val="2"/>
        <w:rPr>
          <w:rFonts w:hint="eastAsia" w:ascii="仿宋" w:eastAsia="仿宋"/>
          <w:b/>
          <w:color w:val="000000"/>
          <w:sz w:val="32"/>
          <w:szCs w:val="32"/>
        </w:rPr>
      </w:pPr>
      <w:bookmarkStart w:id="64" w:name="_Toc11490"/>
      <w:bookmarkStart w:id="65" w:name="_Toc15377217"/>
      <w:r>
        <w:rPr>
          <w:rFonts w:hint="eastAsia" w:ascii="仿宋" w:eastAsia="仿宋"/>
          <w:b/>
          <w:color w:val="000000"/>
          <w:sz w:val="32"/>
          <w:szCs w:val="32"/>
        </w:rPr>
        <w:t>（二）“三公”经费财政拨款支出决算具体情况说明</w:t>
      </w:r>
      <w:bookmarkEnd w:id="64"/>
      <w:bookmarkEnd w:id="65"/>
    </w:p>
    <w:p>
      <w:pPr>
        <w:spacing w:line="560" w:lineRule="exact"/>
        <w:ind w:firstLine="641"/>
        <w:rPr>
          <w:rFonts w:hint="eastAsia" w:ascii="仿宋_GB2312" w:eastAsia="仿宋_GB2312"/>
          <w:sz w:val="32"/>
          <w:szCs w:val="32"/>
        </w:rPr>
      </w:pPr>
      <w:r>
        <w:rPr>
          <w:rFonts w:hint="eastAsia" w:ascii="仿宋" w:eastAsia="仿宋"/>
          <w:color w:val="000000"/>
          <w:spacing w:val="-20"/>
          <w:sz w:val="32"/>
          <w:szCs w:val="32"/>
          <w:lang w:eastAsia="zh-CN"/>
        </w:rPr>
        <w:t>2021年</w:t>
      </w:r>
      <w:r>
        <w:rPr>
          <w:rFonts w:hint="eastAsia" w:ascii="仿宋_GB2312" w:eastAsia="仿宋_GB2312"/>
          <w:sz w:val="32"/>
          <w:szCs w:val="32"/>
        </w:rPr>
        <w:t>“三公”经费财政拨款支出决算中，因公出国（境）费支出决算0万元；公务用车购置及运行维护费支出决算0万元；公务接待费支出决算0万元，占</w:t>
      </w:r>
      <w:r>
        <w:rPr>
          <w:rFonts w:hint="eastAsia" w:ascii="仿宋_GB2312" w:eastAsia="仿宋_GB2312"/>
          <w:sz w:val="32"/>
          <w:szCs w:val="32"/>
          <w:lang w:val="en-US" w:eastAsia="zh-CN"/>
        </w:rPr>
        <w:t>0</w:t>
      </w:r>
      <w:r>
        <w:rPr>
          <w:rFonts w:hint="eastAsia" w:ascii="仿宋_GB2312" w:eastAsia="仿宋_GB2312"/>
          <w:sz w:val="32"/>
          <w:szCs w:val="32"/>
        </w:rPr>
        <w:t>%。具体情况如下：</w:t>
      </w:r>
    </w:p>
    <w:p>
      <w:pPr>
        <w:spacing w:line="600" w:lineRule="exact"/>
        <w:jc w:val="center"/>
        <w:rPr>
          <w:rFonts w:hint="eastAsia" w:ascii="仿宋" w:eastAsia="仿宋"/>
          <w:color w:val="000000"/>
          <w:sz w:val="30"/>
          <w:szCs w:val="30"/>
        </w:rPr>
      </w:pPr>
      <w:r>
        <w:rPr>
          <w:rFonts w:hint="eastAsia" w:ascii="仿宋" w:eastAsia="仿宋"/>
          <w:color w:val="000000"/>
          <w:sz w:val="30"/>
          <w:szCs w:val="30"/>
        </w:rPr>
        <w:t>（图6：“三公”经费财政拨款支出结构图）</w:t>
      </w:r>
    </w:p>
    <w:p>
      <w:pPr>
        <w:pStyle w:val="1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drawing>
          <wp:inline distT="0" distB="0" distL="114300" distR="114300">
            <wp:extent cx="4572000" cy="2743200"/>
            <wp:effectExtent l="4445" t="4445" r="10795" b="10795"/>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rPr>
          <w:rFonts w:ascii="仿宋" w:hAnsi="仿宋" w:eastAsia="仿宋"/>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lang w:eastAsia="zh-CN"/>
        </w:rPr>
        <w:t>年初未安排预算，与上年数无变化</w:t>
      </w:r>
      <w:r>
        <w:rPr>
          <w:rFonts w:hint="eastAsia" w:ascii="仿宋" w:hAnsi="仿宋" w:eastAsia="仿宋"/>
          <w:color w:val="000000"/>
          <w:sz w:val="32"/>
          <w:szCs w:val="32"/>
        </w:rPr>
        <w:t>。</w:t>
      </w:r>
    </w:p>
    <w:p>
      <w:pPr>
        <w:spacing w:line="560" w:lineRule="exact"/>
        <w:ind w:firstLine="640"/>
        <w:rPr>
          <w:rFonts w:hint="eastAsia" w:ascii="仿宋_GB2312" w:eastAsia="仿宋_GB2312"/>
          <w:sz w:val="32"/>
          <w:szCs w:val="32"/>
          <w:lang w:eastAsia="zh-CN"/>
        </w:rPr>
      </w:pPr>
      <w:r>
        <w:rPr>
          <w:rFonts w:hint="eastAsia" w:ascii="仿宋_GB2312" w:eastAsia="仿宋_GB2312"/>
          <w:b/>
          <w:sz w:val="32"/>
          <w:szCs w:val="32"/>
          <w:lang w:val="en-US" w:eastAsia="zh-CN"/>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Fonts w:hint="eastAsia" w:ascii="仿宋_GB2312" w:eastAsia="仿宋_GB2312"/>
          <w:sz w:val="32"/>
          <w:szCs w:val="32"/>
          <w:lang w:eastAsia="zh-CN"/>
        </w:rPr>
        <w:t>，年初未安排预算</w:t>
      </w:r>
      <w:r>
        <w:rPr>
          <w:rStyle w:val="15"/>
          <w:rFonts w:hint="eastAsia" w:ascii="仿宋" w:eastAsia="仿宋"/>
          <w:b w:val="0"/>
          <w:bCs/>
          <w:sz w:val="32"/>
          <w:szCs w:val="32"/>
          <w:lang w:eastAsia="zh-CN"/>
        </w:rPr>
        <w:t>，</w:t>
      </w:r>
      <w:r>
        <w:rPr>
          <w:rFonts w:hint="eastAsia" w:ascii="仿宋_GB2312" w:eastAsia="仿宋_GB2312"/>
          <w:sz w:val="32"/>
          <w:szCs w:val="32"/>
        </w:rPr>
        <w:t>本单位无公务车</w:t>
      </w:r>
      <w:r>
        <w:rPr>
          <w:rFonts w:hint="eastAsia" w:ascii="仿宋_GB2312" w:eastAsia="仿宋_GB2312"/>
          <w:sz w:val="32"/>
          <w:szCs w:val="32"/>
          <w:lang w:eastAsia="zh-CN"/>
        </w:rPr>
        <w:t>。</w:t>
      </w:r>
    </w:p>
    <w:p>
      <w:pPr>
        <w:spacing w:line="600" w:lineRule="exact"/>
        <w:ind w:firstLine="640"/>
        <w:outlineLvl w:val="3"/>
        <w:rPr>
          <w:rFonts w:hint="eastAsia" w:ascii="仿宋_GB2312" w:eastAsia="仿宋_GB2312"/>
          <w:sz w:val="32"/>
          <w:szCs w:val="32"/>
        </w:rPr>
      </w:pPr>
      <w:r>
        <w:rPr>
          <w:rFonts w:hint="eastAsia" w:ascii="仿宋_GB2312" w:eastAsia="仿宋_GB2312"/>
          <w:b/>
          <w:color w:val="000000"/>
          <w:sz w:val="32"/>
          <w:szCs w:val="32"/>
          <w:lang w:val="en-US" w:eastAsia="zh-CN"/>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5"/>
          <w:rFonts w:hint="eastAsia" w:ascii="仿宋" w:eastAsia="仿宋"/>
          <w:b w:val="0"/>
          <w:bCs/>
          <w:color w:val="000000"/>
          <w:sz w:val="32"/>
          <w:szCs w:val="32"/>
        </w:rPr>
        <w:t>完成预算</w:t>
      </w:r>
      <w:r>
        <w:rPr>
          <w:rStyle w:val="15"/>
          <w:rFonts w:hint="eastAsia" w:ascii="仿宋" w:eastAsia="仿宋"/>
          <w:b w:val="0"/>
          <w:bCs/>
          <w:color w:val="000000"/>
          <w:sz w:val="32"/>
          <w:szCs w:val="32"/>
          <w:lang w:val="en-US" w:eastAsia="zh-CN"/>
        </w:rPr>
        <w:t>0</w:t>
      </w:r>
      <w:r>
        <w:rPr>
          <w:rStyle w:val="15"/>
          <w:rFonts w:hint="eastAsia" w:ascii="仿宋" w:eastAsia="仿宋"/>
          <w:b w:val="0"/>
          <w:bCs/>
          <w:color w:val="000000"/>
          <w:sz w:val="32"/>
          <w:szCs w:val="32"/>
        </w:rPr>
        <w:t>%。</w:t>
      </w:r>
    </w:p>
    <w:p>
      <w:pPr>
        <w:spacing w:line="576" w:lineRule="exact"/>
        <w:ind w:firstLine="640" w:firstLineChars="200"/>
        <w:rPr>
          <w:rFonts w:hint="eastAsia"/>
        </w:rPr>
      </w:pPr>
      <w:r>
        <w:rPr>
          <w:rFonts w:hint="eastAsia" w:ascii="仿宋" w:hAnsi="仿宋" w:eastAsia="仿宋"/>
          <w:color w:val="000000"/>
          <w:sz w:val="32"/>
          <w:szCs w:val="32"/>
        </w:rPr>
        <w:t>外事接待支出0万元，全年未发生外事接待支出。</w:t>
      </w:r>
    </w:p>
    <w:p>
      <w:pPr>
        <w:spacing w:line="576" w:lineRule="exact"/>
        <w:ind w:firstLine="642" w:firstLineChars="200"/>
        <w:outlineLvl w:val="3"/>
        <w:rPr>
          <w:rFonts w:ascii="黑体" w:eastAsia="黑体"/>
          <w:color w:val="000000"/>
          <w:sz w:val="32"/>
          <w:szCs w:val="32"/>
        </w:rPr>
      </w:pPr>
      <w:r>
        <w:rPr>
          <w:rFonts w:hint="eastAsia" w:ascii="仿宋" w:eastAsia="仿宋"/>
          <w:b/>
          <w:color w:val="000000"/>
          <w:sz w:val="32"/>
          <w:szCs w:val="32"/>
        </w:rPr>
        <w:t>3.因公出国（境）支出</w:t>
      </w:r>
      <w:r>
        <w:rPr>
          <w:rFonts w:hint="eastAsia" w:ascii="仿宋" w:eastAsia="仿宋"/>
          <w:color w:val="000000"/>
          <w:sz w:val="32"/>
          <w:szCs w:val="32"/>
        </w:rPr>
        <w:t>0</w:t>
      </w:r>
      <w:r>
        <w:rPr>
          <w:rFonts w:hint="eastAsia" w:ascii="仿宋_GB2312" w:eastAsia="仿宋_GB2312"/>
          <w:color w:val="000000"/>
          <w:sz w:val="32"/>
          <w:szCs w:val="32"/>
        </w:rPr>
        <w:t>万，本单位</w:t>
      </w:r>
      <w:r>
        <w:rPr>
          <w:rFonts w:hint="eastAsia" w:ascii="仿宋_GB2312" w:eastAsia="仿宋_GB2312"/>
          <w:color w:val="000000"/>
          <w:sz w:val="32"/>
          <w:szCs w:val="32"/>
          <w:lang w:eastAsia="zh-CN"/>
        </w:rPr>
        <w:t>2021年</w:t>
      </w:r>
      <w:r>
        <w:rPr>
          <w:rFonts w:hint="eastAsia" w:ascii="仿宋_GB2312" w:eastAsia="仿宋_GB2312"/>
          <w:color w:val="000000"/>
          <w:sz w:val="32"/>
          <w:szCs w:val="32"/>
        </w:rPr>
        <w:t>无因公出国支出。</w:t>
      </w:r>
    </w:p>
    <w:p>
      <w:pPr>
        <w:spacing w:line="600" w:lineRule="exact"/>
        <w:ind w:firstLine="640"/>
        <w:outlineLvl w:val="1"/>
        <w:rPr>
          <w:rStyle w:val="19"/>
          <w:rFonts w:ascii="黑体" w:hAnsi="黑体" w:eastAsia="黑体"/>
        </w:rPr>
      </w:pPr>
      <w:bookmarkStart w:id="66" w:name="_Toc28312"/>
      <w:bookmarkStart w:id="67" w:name="_Toc4775"/>
      <w:r>
        <w:rPr>
          <w:rFonts w:hint="eastAsia" w:ascii="黑体" w:eastAsia="黑体"/>
          <w:color w:val="000000"/>
          <w:sz w:val="32"/>
          <w:szCs w:val="32"/>
        </w:rPr>
        <w:t>八、</w:t>
      </w:r>
      <w:r>
        <w:rPr>
          <w:rStyle w:val="19"/>
          <w:rFonts w:hint="eastAsia" w:ascii="黑体" w:hAnsi="黑体" w:eastAsia="黑体"/>
          <w:b w:val="0"/>
        </w:rPr>
        <w:t>政府性基金预算支出决算情况说明</w:t>
      </w:r>
      <w:bookmarkEnd w:id="62"/>
      <w:bookmarkEnd w:id="63"/>
      <w:bookmarkEnd w:id="66"/>
      <w:bookmarkEnd w:id="67"/>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2021年</w:t>
      </w:r>
      <w:r>
        <w:rPr>
          <w:rFonts w:hint="eastAsia" w:ascii="仿宋_GB2312" w:eastAsia="仿宋_GB2312"/>
          <w:color w:val="000000"/>
          <w:sz w:val="32"/>
          <w:szCs w:val="32"/>
        </w:rPr>
        <w:t>广元市人才交流中心</w:t>
      </w:r>
      <w:r>
        <w:rPr>
          <w:rFonts w:hint="eastAsia" w:ascii="仿宋_GB2312" w:eastAsia="仿宋_GB2312"/>
          <w:sz w:val="32"/>
          <w:szCs w:val="32"/>
          <w:lang w:eastAsia="zh-CN"/>
        </w:rPr>
        <w:t>2021年</w:t>
      </w:r>
      <w:r>
        <w:rPr>
          <w:rFonts w:hint="eastAsia" w:ascii="仿宋_GB2312" w:eastAsia="仿宋_GB2312"/>
          <w:sz w:val="32"/>
          <w:szCs w:val="32"/>
        </w:rPr>
        <w:t>无政府性基金预算财政拨款支出</w:t>
      </w:r>
      <w:r>
        <w:rPr>
          <w:rFonts w:hint="eastAsia" w:ascii="仿宋_GB2312" w:eastAsia="仿宋_GB2312"/>
          <w:sz w:val="32"/>
          <w:szCs w:val="32"/>
          <w:lang w:eastAsia="zh-CN"/>
        </w:rPr>
        <w:t>，</w:t>
      </w:r>
      <w:r>
        <w:rPr>
          <w:rFonts w:hint="eastAsia" w:ascii="仿宋_GB2312" w:eastAsia="仿宋_GB2312"/>
          <w:sz w:val="32"/>
          <w:szCs w:val="32"/>
          <w:lang w:val="en-US" w:eastAsia="zh-CN"/>
        </w:rPr>
        <w:t>未在政府性基金预算拨款安排“三公经费”支出</w:t>
      </w:r>
      <w:r>
        <w:rPr>
          <w:rFonts w:hint="eastAsia" w:ascii="仿宋_GB2312" w:eastAsia="仿宋_GB2312"/>
          <w:sz w:val="32"/>
          <w:szCs w:val="32"/>
        </w:rPr>
        <w:t>。</w:t>
      </w:r>
    </w:p>
    <w:p>
      <w:pPr>
        <w:numPr>
          <w:ilvl w:val="0"/>
          <w:numId w:val="5"/>
        </w:numPr>
        <w:spacing w:line="600" w:lineRule="exact"/>
        <w:ind w:firstLine="640"/>
        <w:outlineLvl w:val="1"/>
        <w:rPr>
          <w:rStyle w:val="19"/>
          <w:rFonts w:ascii="黑体" w:hAnsi="黑体" w:eastAsia="黑体"/>
          <w:b w:val="0"/>
        </w:rPr>
      </w:pPr>
      <w:bookmarkStart w:id="68" w:name="_Toc15377219"/>
      <w:bookmarkStart w:id="69" w:name="_Toc15396611"/>
      <w:bookmarkStart w:id="70" w:name="_Toc7533"/>
      <w:bookmarkStart w:id="71" w:name="_Toc16477"/>
      <w:r>
        <w:rPr>
          <w:rStyle w:val="19"/>
          <w:rFonts w:hint="eastAsia" w:ascii="黑体" w:hAnsi="黑体" w:eastAsia="黑体"/>
          <w:b w:val="0"/>
        </w:rPr>
        <w:t>国有资本经营预算支出决算情况说明</w:t>
      </w:r>
      <w:bookmarkEnd w:id="68"/>
      <w:bookmarkEnd w:id="69"/>
      <w:bookmarkEnd w:id="70"/>
      <w:bookmarkEnd w:id="71"/>
    </w:p>
    <w:p>
      <w:pPr>
        <w:spacing w:line="600" w:lineRule="exact"/>
        <w:ind w:firstLine="640"/>
        <w:rPr>
          <w:rFonts w:hint="eastAsia" w:ascii="仿宋_GB2312" w:eastAsia="仿宋_GB2312"/>
          <w:color w:val="000000"/>
          <w:sz w:val="32"/>
          <w:szCs w:val="32"/>
        </w:rPr>
      </w:pPr>
      <w:bookmarkStart w:id="72" w:name="_Toc15377221"/>
      <w:bookmarkStart w:id="73" w:name="_Toc15396612"/>
      <w:r>
        <w:rPr>
          <w:rFonts w:hint="eastAsia" w:ascii="仿宋_GB2312" w:eastAsia="仿宋_GB2312"/>
          <w:color w:val="000000"/>
          <w:sz w:val="32"/>
          <w:szCs w:val="32"/>
          <w:lang w:eastAsia="zh-CN"/>
        </w:rPr>
        <w:t>2021年</w:t>
      </w:r>
      <w:r>
        <w:rPr>
          <w:rFonts w:hint="eastAsia" w:ascii="仿宋_GB2312" w:eastAsia="仿宋_GB2312"/>
          <w:color w:val="000000"/>
          <w:sz w:val="32"/>
          <w:szCs w:val="32"/>
        </w:rPr>
        <w:t>广元市人才交流中心</w:t>
      </w:r>
      <w:r>
        <w:rPr>
          <w:rFonts w:hint="eastAsia" w:ascii="仿宋_GB2312" w:eastAsia="仿宋_GB2312"/>
          <w:sz w:val="32"/>
          <w:szCs w:val="32"/>
          <w:lang w:eastAsia="zh-CN"/>
        </w:rPr>
        <w:t>2021年</w:t>
      </w:r>
      <w:r>
        <w:rPr>
          <w:rFonts w:hint="eastAsia" w:ascii="仿宋_GB2312" w:eastAsia="仿宋_GB2312"/>
          <w:sz w:val="32"/>
          <w:szCs w:val="32"/>
        </w:rPr>
        <w:t>无</w:t>
      </w:r>
      <w:r>
        <w:rPr>
          <w:rFonts w:hint="eastAsia" w:ascii="仿宋_GB2312" w:eastAsia="仿宋_GB2312"/>
          <w:color w:val="000000"/>
          <w:sz w:val="32"/>
          <w:szCs w:val="32"/>
        </w:rPr>
        <w:t>国有资本经营预算拨款支出。</w:t>
      </w:r>
    </w:p>
    <w:p>
      <w:pPr>
        <w:spacing w:line="600" w:lineRule="exact"/>
        <w:ind w:firstLine="800" w:firstLineChars="250"/>
        <w:outlineLvl w:val="1"/>
        <w:rPr>
          <w:rStyle w:val="19"/>
          <w:rFonts w:ascii="黑体" w:hAnsi="黑体" w:eastAsia="黑体"/>
        </w:rPr>
      </w:pPr>
      <w:bookmarkStart w:id="74" w:name="_Toc12183"/>
      <w:bookmarkStart w:id="75" w:name="_Toc13192"/>
      <w:r>
        <w:rPr>
          <w:rFonts w:hint="eastAsia" w:ascii="黑体" w:hAnsi="黑体" w:eastAsia="黑体"/>
          <w:color w:val="000000"/>
          <w:sz w:val="32"/>
          <w:szCs w:val="32"/>
        </w:rPr>
        <w:t>十</w:t>
      </w:r>
      <w:r>
        <w:rPr>
          <w:rStyle w:val="19"/>
          <w:rFonts w:hint="eastAsia" w:ascii="黑体" w:hAnsi="黑体" w:eastAsia="黑体"/>
        </w:rPr>
        <w:t>、</w:t>
      </w:r>
      <w:r>
        <w:rPr>
          <w:rStyle w:val="19"/>
          <w:rFonts w:hint="eastAsia" w:ascii="黑体" w:hAnsi="黑体" w:eastAsia="黑体"/>
          <w:b w:val="0"/>
        </w:rPr>
        <w:t>其他重要事项的情况说明</w:t>
      </w:r>
      <w:bookmarkEnd w:id="72"/>
      <w:bookmarkEnd w:id="73"/>
      <w:bookmarkEnd w:id="74"/>
      <w:bookmarkEnd w:id="75"/>
    </w:p>
    <w:p>
      <w:pPr>
        <w:spacing w:line="600" w:lineRule="exact"/>
        <w:ind w:firstLine="642" w:firstLineChars="200"/>
        <w:outlineLvl w:val="2"/>
        <w:rPr>
          <w:rFonts w:hint="eastAsia" w:ascii="仿宋" w:eastAsia="仿宋"/>
          <w:color w:val="000000"/>
          <w:sz w:val="32"/>
          <w:szCs w:val="32"/>
        </w:rPr>
      </w:pPr>
      <w:bookmarkStart w:id="76" w:name="_Toc30854"/>
      <w:r>
        <w:rPr>
          <w:rFonts w:hint="eastAsia" w:ascii="仿宋" w:eastAsia="仿宋"/>
          <w:b/>
          <w:color w:val="000000"/>
          <w:sz w:val="32"/>
          <w:szCs w:val="32"/>
        </w:rPr>
        <w:t>（一）机关运行经费支出情况</w:t>
      </w:r>
      <w:bookmarkEnd w:id="76"/>
    </w:p>
    <w:p>
      <w:pPr>
        <w:autoSpaceDE w:val="0"/>
        <w:autoSpaceDN w:val="0"/>
        <w:adjustRightInd w:val="0"/>
        <w:spacing w:line="600" w:lineRule="exact"/>
        <w:ind w:firstLine="640" w:firstLineChars="200"/>
        <w:jc w:val="left"/>
        <w:outlineLvl w:val="3"/>
        <w:rPr>
          <w:rFonts w:hint="eastAsia" w:ascii="仿宋_GB2312" w:eastAsia="仿宋"/>
          <w:color w:val="000000"/>
          <w:sz w:val="32"/>
          <w:szCs w:val="32"/>
        </w:rPr>
      </w:pPr>
      <w:r>
        <w:rPr>
          <w:rFonts w:hint="eastAsia" w:ascii="仿宋_GB2312" w:eastAsia="仿宋_GB2312"/>
          <w:color w:val="000000"/>
          <w:sz w:val="32"/>
          <w:szCs w:val="32"/>
          <w:lang w:eastAsia="zh-CN"/>
        </w:rPr>
        <w:t>2021年</w:t>
      </w:r>
      <w:r>
        <w:rPr>
          <w:rFonts w:hint="eastAsia" w:ascii="仿宋_GB2312" w:eastAsia="仿宋_GB2312"/>
          <w:color w:val="000000"/>
          <w:sz w:val="32"/>
          <w:szCs w:val="32"/>
        </w:rPr>
        <w:t>广元市人才交流中心无机关运行经费支出。</w:t>
      </w:r>
    </w:p>
    <w:p>
      <w:pPr>
        <w:spacing w:line="600" w:lineRule="exact"/>
        <w:ind w:firstLine="642" w:firstLineChars="200"/>
        <w:outlineLvl w:val="2"/>
        <w:rPr>
          <w:rFonts w:hint="eastAsia" w:ascii="仿宋" w:eastAsia="仿宋"/>
          <w:b/>
          <w:color w:val="000000"/>
          <w:sz w:val="32"/>
          <w:szCs w:val="32"/>
        </w:rPr>
      </w:pPr>
      <w:bookmarkStart w:id="77" w:name="_Toc6871"/>
      <w:r>
        <w:rPr>
          <w:rFonts w:hint="eastAsia" w:ascii="仿宋" w:eastAsia="仿宋"/>
          <w:b/>
          <w:color w:val="000000"/>
          <w:sz w:val="32"/>
          <w:szCs w:val="32"/>
        </w:rPr>
        <w:t>（二）政府采购支出情况</w:t>
      </w:r>
      <w:bookmarkEnd w:id="77"/>
    </w:p>
    <w:p>
      <w:pPr>
        <w:autoSpaceDE w:val="0"/>
        <w:autoSpaceDN w:val="0"/>
        <w:adjustRightInd w:val="0"/>
        <w:spacing w:line="600" w:lineRule="exact"/>
        <w:ind w:firstLine="640" w:firstLineChars="200"/>
        <w:jc w:val="left"/>
        <w:outlineLvl w:val="3"/>
        <w:rPr>
          <w:rFonts w:hint="eastAsia" w:ascii="仿宋_GB2312" w:eastAsia="仿宋"/>
          <w:color w:val="000000"/>
          <w:sz w:val="32"/>
          <w:szCs w:val="32"/>
        </w:rPr>
      </w:pPr>
      <w:r>
        <w:rPr>
          <w:rFonts w:hint="eastAsia" w:ascii="仿宋_GB2312" w:eastAsia="仿宋_GB2312"/>
          <w:color w:val="000000"/>
          <w:sz w:val="32"/>
          <w:szCs w:val="32"/>
          <w:lang w:eastAsia="zh-CN"/>
        </w:rPr>
        <w:t>2021年</w:t>
      </w:r>
      <w:r>
        <w:rPr>
          <w:rFonts w:hint="eastAsia" w:ascii="仿宋_GB2312" w:eastAsia="仿宋_GB2312"/>
          <w:color w:val="000000"/>
          <w:sz w:val="32"/>
          <w:szCs w:val="32"/>
        </w:rPr>
        <w:t>广元市人才交流中心无政府采购支出支出。</w:t>
      </w:r>
    </w:p>
    <w:p>
      <w:pPr>
        <w:autoSpaceDE w:val="0"/>
        <w:autoSpaceDN w:val="0"/>
        <w:adjustRightInd w:val="0"/>
        <w:spacing w:line="600" w:lineRule="exact"/>
        <w:ind w:firstLine="642" w:firstLineChars="200"/>
        <w:jc w:val="left"/>
        <w:outlineLvl w:val="2"/>
        <w:rPr>
          <w:rFonts w:hint="eastAsia" w:ascii="仿宋" w:eastAsia="仿宋"/>
          <w:b/>
          <w:color w:val="000000"/>
          <w:sz w:val="32"/>
          <w:szCs w:val="32"/>
        </w:rPr>
      </w:pPr>
      <w:bookmarkStart w:id="78" w:name="_Toc14778"/>
      <w:r>
        <w:rPr>
          <w:rFonts w:hint="eastAsia" w:ascii="仿宋" w:eastAsia="仿宋"/>
          <w:b/>
          <w:color w:val="000000"/>
          <w:sz w:val="32"/>
          <w:szCs w:val="32"/>
        </w:rPr>
        <w:t>（三）国有资产占有使用情况</w:t>
      </w:r>
      <w:bookmarkEnd w:id="78"/>
    </w:p>
    <w:p>
      <w:pPr>
        <w:autoSpaceDE w:val="0"/>
        <w:autoSpaceDN w:val="0"/>
        <w:adjustRightInd w:val="0"/>
        <w:spacing w:line="600" w:lineRule="exact"/>
        <w:ind w:firstLine="640" w:firstLineChars="200"/>
        <w:jc w:val="left"/>
        <w:outlineLvl w:val="2"/>
        <w:rPr>
          <w:rFonts w:hint="eastAsia" w:ascii="仿宋_GB2312" w:eastAsia="仿宋"/>
          <w:color w:val="000000"/>
          <w:sz w:val="32"/>
          <w:szCs w:val="32"/>
        </w:rPr>
      </w:pPr>
      <w:bookmarkStart w:id="79" w:name="_Toc5115"/>
      <w:r>
        <w:rPr>
          <w:rFonts w:hint="eastAsia" w:ascii="仿宋" w:hAnsi="仿宋" w:eastAsia="仿宋"/>
          <w:color w:val="000000"/>
          <w:sz w:val="32"/>
          <w:szCs w:val="32"/>
        </w:rPr>
        <w:t>截至</w:t>
      </w:r>
      <w:r>
        <w:rPr>
          <w:rFonts w:hint="eastAsia" w:ascii="仿宋" w:hAnsi="仿宋" w:eastAsia="仿宋"/>
          <w:color w:val="000000"/>
          <w:sz w:val="32"/>
          <w:szCs w:val="32"/>
          <w:lang w:eastAsia="zh-CN"/>
        </w:rPr>
        <w:t>2021年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w:t>
      </w:r>
      <w:r>
        <w:rPr>
          <w:rFonts w:hint="eastAsia" w:ascii="仿宋_GB2312" w:eastAsia="仿宋_GB2312"/>
          <w:color w:val="000000"/>
          <w:sz w:val="32"/>
          <w:szCs w:val="32"/>
        </w:rPr>
        <w:t>广元市人才交流中心</w:t>
      </w:r>
      <w:r>
        <w:rPr>
          <w:rFonts w:hint="eastAsia" w:ascii="仿宋" w:hAnsi="仿宋" w:eastAsia="仿宋"/>
          <w:color w:val="000000"/>
          <w:sz w:val="32"/>
          <w:szCs w:val="32"/>
        </w:rPr>
        <w:t>共有车辆</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辆，其中：主要领导干部用车</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辆、机要通信用车</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辆、应急保障用车</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辆、其他用车</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辆</w:t>
      </w:r>
      <w:r>
        <w:rPr>
          <w:rFonts w:hint="eastAsia" w:ascii="仿宋" w:hAnsi="仿宋" w:eastAsia="仿宋"/>
          <w:color w:val="000000"/>
          <w:sz w:val="32"/>
          <w:szCs w:val="32"/>
          <w:lang w:eastAsia="zh-CN"/>
        </w:rPr>
        <w:t>；</w:t>
      </w:r>
      <w:r>
        <w:rPr>
          <w:rFonts w:hint="eastAsia" w:ascii="仿宋" w:hAnsi="仿宋" w:eastAsia="仿宋"/>
          <w:color w:val="000000"/>
          <w:sz w:val="32"/>
          <w:szCs w:val="32"/>
        </w:rPr>
        <w:t>单价</w:t>
      </w:r>
      <w:r>
        <w:rPr>
          <w:rFonts w:ascii="仿宋" w:hAnsi="仿宋" w:eastAsia="仿宋"/>
          <w:color w:val="000000"/>
          <w:sz w:val="32"/>
          <w:szCs w:val="32"/>
        </w:rPr>
        <w:t>50</w:t>
      </w:r>
      <w:r>
        <w:rPr>
          <w:rFonts w:hint="eastAsia" w:ascii="仿宋" w:hAnsi="仿宋" w:eastAsia="仿宋"/>
          <w:color w:val="000000"/>
          <w:sz w:val="32"/>
          <w:szCs w:val="32"/>
        </w:rPr>
        <w:t>万元以上通用设备</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台（套），单价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台（套）。</w:t>
      </w:r>
      <w:bookmarkEnd w:id="79"/>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80" w:name="_Toc18218"/>
      <w:r>
        <w:rPr>
          <w:rFonts w:hint="eastAsia" w:ascii="仿宋" w:hAnsi="仿宋" w:eastAsia="仿宋"/>
          <w:b/>
          <w:color w:val="000000"/>
          <w:sz w:val="32"/>
          <w:szCs w:val="32"/>
        </w:rPr>
        <w:t>（四）预算绩效管理情况。</w:t>
      </w:r>
      <w:bookmarkEnd w:id="80"/>
    </w:p>
    <w:p>
      <w:pPr>
        <w:spacing w:line="51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w:t>
      </w:r>
      <w:r>
        <w:rPr>
          <w:rFonts w:hint="eastAsia" w:ascii="仿宋" w:hAnsi="仿宋" w:eastAsia="仿宋"/>
          <w:color w:val="000000"/>
          <w:sz w:val="32"/>
          <w:szCs w:val="32"/>
          <w:lang w:eastAsia="zh-CN"/>
        </w:rPr>
        <w:t>单位</w:t>
      </w:r>
      <w:r>
        <w:rPr>
          <w:rFonts w:hint="eastAsia" w:ascii="仿宋" w:hAnsi="仿宋" w:eastAsia="仿宋"/>
          <w:color w:val="000000"/>
          <w:sz w:val="32"/>
          <w:szCs w:val="32"/>
        </w:rPr>
        <w:t>按预算绩效管理要求对</w:t>
      </w:r>
      <w:r>
        <w:rPr>
          <w:rFonts w:hint="eastAsia" w:ascii="仿宋" w:hAnsi="仿宋" w:eastAsia="仿宋"/>
          <w:color w:val="000000"/>
          <w:sz w:val="32"/>
          <w:szCs w:val="32"/>
          <w:lang w:eastAsia="zh-CN"/>
        </w:rPr>
        <w:t>2021年单位</w:t>
      </w:r>
      <w:r>
        <w:rPr>
          <w:rFonts w:hint="eastAsia" w:ascii="仿宋" w:hAnsi="仿宋" w:eastAsia="仿宋"/>
          <w:color w:val="000000"/>
          <w:sz w:val="32"/>
          <w:szCs w:val="32"/>
        </w:rPr>
        <w:t>整体支出开展绩效自评，从评价情况来看，中心高度重视财政绩效管理工作，科学化精细化管理</w:t>
      </w:r>
      <w:r>
        <w:rPr>
          <w:rFonts w:hint="eastAsia" w:ascii="仿宋" w:hAnsi="仿宋" w:eastAsia="仿宋"/>
          <w:color w:val="000000"/>
          <w:sz w:val="32"/>
          <w:szCs w:val="32"/>
          <w:lang w:eastAsia="zh-CN"/>
        </w:rPr>
        <w:t>单位</w:t>
      </w:r>
      <w:r>
        <w:rPr>
          <w:rFonts w:hint="eastAsia" w:ascii="仿宋" w:hAnsi="仿宋" w:eastAsia="仿宋"/>
          <w:color w:val="000000"/>
          <w:sz w:val="32"/>
          <w:szCs w:val="32"/>
        </w:rPr>
        <w:t>预算，</w:t>
      </w:r>
      <w:r>
        <w:rPr>
          <w:rFonts w:ascii="仿宋" w:hAnsi="仿宋" w:eastAsia="仿宋"/>
          <w:color w:val="000000"/>
          <w:sz w:val="32"/>
          <w:szCs w:val="32"/>
        </w:rPr>
        <w:t>预算执行刚性</w:t>
      </w:r>
      <w:r>
        <w:rPr>
          <w:rFonts w:hint="eastAsia" w:ascii="仿宋" w:hAnsi="仿宋" w:eastAsia="仿宋"/>
          <w:color w:val="000000"/>
          <w:sz w:val="32"/>
          <w:szCs w:val="32"/>
        </w:rPr>
        <w:t>、平衡，决算编制真实准确。进一步强化财务管理，会计核算规范，严格执行国库集中支付、公务卡改革、政府采购、非税收入征管等各项政策规定。坚持厉行节约，从严控制支出，主动接受财政、审计</w:t>
      </w:r>
      <w:r>
        <w:rPr>
          <w:rFonts w:hint="eastAsia" w:ascii="仿宋" w:hAnsi="仿宋" w:eastAsia="仿宋"/>
          <w:color w:val="000000"/>
          <w:sz w:val="32"/>
          <w:szCs w:val="32"/>
          <w:lang w:eastAsia="zh-CN"/>
        </w:rPr>
        <w:t>单位</w:t>
      </w:r>
      <w:r>
        <w:rPr>
          <w:rFonts w:hint="eastAsia" w:ascii="仿宋" w:hAnsi="仿宋" w:eastAsia="仿宋"/>
          <w:color w:val="000000"/>
          <w:sz w:val="32"/>
          <w:szCs w:val="32"/>
        </w:rPr>
        <w:t>监督检查，项目支出</w:t>
      </w:r>
      <w:r>
        <w:rPr>
          <w:rFonts w:ascii="仿宋" w:hAnsi="仿宋" w:eastAsia="仿宋"/>
          <w:color w:val="000000"/>
          <w:sz w:val="32"/>
          <w:szCs w:val="32"/>
        </w:rPr>
        <w:t>立项科学、管理规范、注重绩效</w:t>
      </w:r>
      <w:r>
        <w:rPr>
          <w:rFonts w:hint="eastAsia" w:ascii="仿宋" w:hAnsi="仿宋" w:eastAsia="仿宋"/>
          <w:color w:val="000000"/>
          <w:sz w:val="32"/>
          <w:szCs w:val="32"/>
        </w:rPr>
        <w:t>，实现了财政资金管理的精细化、科学化和规范化。</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根据预算绩效管理要求，本</w:t>
      </w:r>
      <w:r>
        <w:rPr>
          <w:rFonts w:hint="eastAsia" w:ascii="仿宋" w:hAnsi="仿宋" w:eastAsia="仿宋"/>
          <w:color w:val="000000"/>
          <w:sz w:val="32"/>
          <w:szCs w:val="32"/>
          <w:lang w:eastAsia="zh-CN"/>
        </w:rPr>
        <w:t>单位</w:t>
      </w:r>
      <w:r>
        <w:rPr>
          <w:rFonts w:hint="eastAsia" w:ascii="仿宋" w:hAnsi="仿宋" w:eastAsia="仿宋"/>
          <w:color w:val="000000"/>
          <w:sz w:val="32"/>
          <w:szCs w:val="32"/>
        </w:rPr>
        <w:t>（单位）在年初预算编制阶段，对6个项目编制了绩效目标，预算执行过程中，选取5个项目开展绩效监控。</w:t>
      </w:r>
    </w:p>
    <w:p>
      <w:pPr>
        <w:spacing w:line="580" w:lineRule="exact"/>
        <w:ind w:firstLine="640" w:firstLineChars="200"/>
        <w:outlineLvl w:val="3"/>
        <w:rPr>
          <w:rFonts w:hint="eastAsia" w:ascii="仿宋" w:hAnsi="仿宋" w:eastAsia="仿宋"/>
          <w:color w:val="000000"/>
          <w:sz w:val="32"/>
          <w:szCs w:val="32"/>
          <w:lang w:eastAsia="zh-CN"/>
        </w:rPr>
      </w:pPr>
      <w:r>
        <w:rPr>
          <w:rFonts w:ascii="仿宋" w:hAnsi="仿宋" w:eastAsia="仿宋"/>
          <w:color w:val="000000"/>
          <w:sz w:val="32"/>
          <w:szCs w:val="32"/>
        </w:rPr>
        <w:t>1.</w:t>
      </w:r>
      <w:r>
        <w:rPr>
          <w:rFonts w:hint="eastAsia" w:ascii="仿宋" w:hAnsi="仿宋" w:eastAsia="仿宋"/>
          <w:color w:val="000000"/>
          <w:sz w:val="32"/>
          <w:szCs w:val="32"/>
        </w:rPr>
        <w:t>项目绩效目标完成情况。</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本</w:t>
      </w:r>
      <w:r>
        <w:rPr>
          <w:rFonts w:hint="eastAsia" w:ascii="仿宋" w:hAnsi="仿宋" w:eastAsia="仿宋"/>
          <w:color w:val="000000"/>
          <w:sz w:val="32"/>
          <w:szCs w:val="32"/>
          <w:lang w:eastAsia="zh-CN"/>
        </w:rPr>
        <w:t>单位</w:t>
      </w:r>
      <w:r>
        <w:rPr>
          <w:rFonts w:hint="eastAsia" w:ascii="仿宋" w:hAnsi="仿宋" w:eastAsia="仿宋"/>
          <w:color w:val="000000"/>
          <w:sz w:val="32"/>
          <w:szCs w:val="32"/>
        </w:rPr>
        <w:t>在</w:t>
      </w:r>
      <w:r>
        <w:rPr>
          <w:rFonts w:hint="eastAsia" w:ascii="仿宋" w:hAnsi="仿宋" w:eastAsia="仿宋"/>
          <w:color w:val="000000"/>
          <w:sz w:val="32"/>
          <w:szCs w:val="32"/>
          <w:lang w:eastAsia="zh-CN"/>
        </w:rPr>
        <w:t>2021年</w:t>
      </w:r>
      <w:r>
        <w:rPr>
          <w:rFonts w:hint="eastAsia" w:ascii="仿宋" w:hAnsi="仿宋" w:eastAsia="仿宋"/>
          <w:color w:val="000000"/>
          <w:sz w:val="32"/>
          <w:szCs w:val="32"/>
        </w:rPr>
        <w:t>度</w:t>
      </w:r>
      <w:r>
        <w:rPr>
          <w:rFonts w:hint="eastAsia" w:ascii="仿宋" w:hAnsi="仿宋" w:eastAsia="仿宋"/>
          <w:color w:val="000000"/>
          <w:sz w:val="32"/>
          <w:szCs w:val="32"/>
          <w:lang w:eastAsia="zh-CN"/>
        </w:rPr>
        <w:t>单位</w:t>
      </w:r>
      <w:r>
        <w:rPr>
          <w:rFonts w:hint="eastAsia" w:ascii="仿宋" w:hAnsi="仿宋" w:eastAsia="仿宋"/>
          <w:color w:val="000000"/>
          <w:sz w:val="32"/>
          <w:szCs w:val="32"/>
        </w:rPr>
        <w:t>决算公开中反映“就业援助活动工作经费</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2021年</w:t>
      </w:r>
      <w:r>
        <w:rPr>
          <w:rFonts w:hint="eastAsia" w:ascii="仿宋" w:hAnsi="仿宋" w:eastAsia="仿宋"/>
          <w:color w:val="000000"/>
          <w:sz w:val="32"/>
          <w:szCs w:val="32"/>
        </w:rPr>
        <w:t>广元公益性人才网站运行”“</w:t>
      </w:r>
      <w:r>
        <w:rPr>
          <w:rFonts w:hint="eastAsia" w:ascii="仿宋" w:hAnsi="仿宋" w:eastAsia="仿宋"/>
          <w:color w:val="000000"/>
          <w:sz w:val="32"/>
          <w:szCs w:val="32"/>
          <w:lang w:eastAsia="zh-CN"/>
        </w:rPr>
        <w:t>2021年</w:t>
      </w:r>
      <w:r>
        <w:rPr>
          <w:rFonts w:hint="eastAsia" w:ascii="仿宋" w:hAnsi="仿宋" w:eastAsia="仿宋"/>
          <w:color w:val="000000"/>
          <w:sz w:val="32"/>
          <w:szCs w:val="32"/>
        </w:rPr>
        <w:t>高校毕业生创业就业服务”“</w:t>
      </w:r>
      <w:r>
        <w:rPr>
          <w:rFonts w:hint="eastAsia" w:ascii="仿宋" w:hAnsi="仿宋" w:eastAsia="仿宋"/>
          <w:color w:val="000000"/>
          <w:sz w:val="32"/>
          <w:szCs w:val="32"/>
          <w:lang w:eastAsia="zh-CN"/>
        </w:rPr>
        <w:t>2021年</w:t>
      </w:r>
      <w:r>
        <w:rPr>
          <w:rFonts w:hint="eastAsia" w:ascii="仿宋" w:hAnsi="仿宋" w:eastAsia="仿宋"/>
          <w:color w:val="000000"/>
          <w:sz w:val="32"/>
          <w:szCs w:val="32"/>
        </w:rPr>
        <w:t>高校毕业生人事档案管理”“</w:t>
      </w:r>
      <w:r>
        <w:rPr>
          <w:rFonts w:hint="eastAsia" w:ascii="仿宋" w:hAnsi="仿宋" w:eastAsia="仿宋"/>
          <w:color w:val="000000"/>
          <w:sz w:val="32"/>
          <w:szCs w:val="32"/>
          <w:lang w:eastAsia="zh-CN"/>
        </w:rPr>
        <w:t>2021年</w:t>
      </w:r>
      <w:r>
        <w:rPr>
          <w:rFonts w:hint="eastAsia" w:ascii="仿宋" w:hAnsi="仿宋" w:eastAsia="仿宋"/>
          <w:color w:val="000000"/>
          <w:sz w:val="32"/>
          <w:szCs w:val="32"/>
        </w:rPr>
        <w:t>广元公共招聘网运行维护”</w:t>
      </w:r>
      <w:r>
        <w:rPr>
          <w:rFonts w:ascii="仿宋" w:hAnsi="仿宋" w:eastAsia="仿宋"/>
          <w:color w:val="000000"/>
          <w:sz w:val="32"/>
          <w:szCs w:val="32"/>
        </w:rPr>
        <w:t xml:space="preserve"> </w:t>
      </w:r>
      <w:r>
        <w:rPr>
          <w:rFonts w:hint="eastAsia" w:ascii="仿宋" w:hAnsi="仿宋" w:eastAsia="仿宋"/>
          <w:color w:val="000000"/>
          <w:sz w:val="32"/>
          <w:szCs w:val="32"/>
        </w:rPr>
        <w:t>5个项目绩效目标实际完成情况。</w:t>
      </w:r>
    </w:p>
    <w:p>
      <w:pPr>
        <w:spacing w:line="580" w:lineRule="exact"/>
        <w:ind w:firstLine="640" w:firstLineChars="200"/>
        <w:rPr>
          <w:rFonts w:ascii="仿宋" w:hAnsi="仿宋" w:eastAsia="仿宋"/>
          <w:color w:val="000000"/>
          <w:sz w:val="32"/>
          <w:szCs w:val="32"/>
        </w:rPr>
      </w:pPr>
    </w:p>
    <w:tbl>
      <w:tblPr>
        <w:tblStyle w:val="13"/>
        <w:tblW w:w="5000" w:type="pct"/>
        <w:tblInd w:w="0" w:type="dxa"/>
        <w:tblLayout w:type="autofit"/>
        <w:tblCellMar>
          <w:top w:w="0" w:type="dxa"/>
          <w:left w:w="108" w:type="dxa"/>
          <w:bottom w:w="0" w:type="dxa"/>
          <w:right w:w="108" w:type="dxa"/>
        </w:tblCellMar>
      </w:tblPr>
      <w:tblGrid>
        <w:gridCol w:w="456"/>
        <w:gridCol w:w="1287"/>
        <w:gridCol w:w="412"/>
        <w:gridCol w:w="1321"/>
        <w:gridCol w:w="1028"/>
        <w:gridCol w:w="556"/>
        <w:gridCol w:w="456"/>
        <w:gridCol w:w="546"/>
        <w:gridCol w:w="936"/>
        <w:gridCol w:w="876"/>
        <w:gridCol w:w="648"/>
      </w:tblGrid>
      <w:tr>
        <w:tblPrEx>
          <w:tblCellMar>
            <w:top w:w="0" w:type="dxa"/>
            <w:left w:w="108" w:type="dxa"/>
            <w:bottom w:w="0" w:type="dxa"/>
            <w:right w:w="108" w:type="dxa"/>
          </w:tblCellMar>
        </w:tblPrEx>
        <w:trPr>
          <w:trHeight w:val="405" w:hRule="atLeast"/>
        </w:trPr>
        <w:tc>
          <w:tcPr>
            <w:tcW w:w="8522" w:type="dxa"/>
            <w:gridSpan w:val="11"/>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cs="宋体"/>
                <w:b/>
                <w:bCs/>
                <w:color w:val="000000"/>
                <w:sz w:val="32"/>
                <w:szCs w:val="32"/>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单位</w:t>
            </w:r>
            <w:r>
              <w:rPr>
                <w:rFonts w:hint="default" w:ascii="方正小标宋简体" w:hAnsi="方正小标宋简体" w:eastAsia="方正小标宋简体" w:cs="方正小标宋简体"/>
                <w:i w:val="0"/>
                <w:iCs w:val="0"/>
                <w:color w:val="000000"/>
                <w:kern w:val="0"/>
                <w:sz w:val="44"/>
                <w:szCs w:val="44"/>
                <w:u w:val="none"/>
                <w:lang w:val="en-US" w:eastAsia="zh-CN" w:bidi="ar"/>
              </w:rPr>
              <w:t>（单位）整体支出绩效</w:t>
            </w:r>
            <w:r>
              <w:rPr>
                <w:rFonts w:hint="eastAsia" w:ascii="方正小标宋简体" w:hAnsi="方正小标宋简体" w:eastAsia="方正小标宋简体" w:cs="方正小标宋简体"/>
                <w:i w:val="0"/>
                <w:iCs w:val="0"/>
                <w:color w:val="000000"/>
                <w:kern w:val="0"/>
                <w:sz w:val="44"/>
                <w:szCs w:val="44"/>
                <w:u w:val="none"/>
                <w:lang w:val="en-US" w:eastAsia="zh-CN" w:bidi="ar"/>
              </w:rPr>
              <w:t>完成情况</w:t>
            </w:r>
            <w:r>
              <w:rPr>
                <w:rFonts w:hint="default" w:ascii="方正小标宋简体" w:hAnsi="方正小标宋简体" w:eastAsia="方正小标宋简体" w:cs="方正小标宋简体"/>
                <w:i w:val="0"/>
                <w:iCs w:val="0"/>
                <w:color w:val="000000"/>
                <w:kern w:val="0"/>
                <w:sz w:val="44"/>
                <w:szCs w:val="44"/>
                <w:u w:val="none"/>
                <w:lang w:val="en-US" w:eastAsia="zh-CN" w:bidi="ar"/>
              </w:rPr>
              <w:t>表</w:t>
            </w:r>
          </w:p>
        </w:tc>
      </w:tr>
      <w:tr>
        <w:tblPrEx>
          <w:tblCellMar>
            <w:top w:w="0" w:type="dxa"/>
            <w:left w:w="108" w:type="dxa"/>
            <w:bottom w:w="0" w:type="dxa"/>
            <w:right w:w="108" w:type="dxa"/>
          </w:tblCellMar>
        </w:tblPrEx>
        <w:trPr>
          <w:trHeight w:val="285" w:hRule="atLeast"/>
        </w:trPr>
        <w:tc>
          <w:tcPr>
            <w:tcW w:w="8522" w:type="dxa"/>
            <w:gridSpan w:val="11"/>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cs="宋体"/>
                <w:color w:val="000000"/>
                <w:sz w:val="24"/>
              </w:rPr>
            </w:pPr>
            <w:r>
              <w:rPr>
                <w:rStyle w:val="33"/>
                <w:lang w:val="en-US" w:eastAsia="zh-CN" w:bidi="ar"/>
              </w:rPr>
              <w:t>（</w:t>
            </w:r>
            <w:r>
              <w:rPr>
                <w:rStyle w:val="39"/>
                <w:rFonts w:eastAsia="宋体"/>
                <w:lang w:val="en-US" w:eastAsia="zh-CN" w:bidi="ar"/>
              </w:rPr>
              <w:t xml:space="preserve"> 2021</w:t>
            </w:r>
            <w:r>
              <w:rPr>
                <w:rStyle w:val="33"/>
                <w:lang w:val="en-US" w:eastAsia="zh-CN" w:bidi="ar"/>
              </w:rPr>
              <w:t>年度）</w:t>
            </w:r>
          </w:p>
        </w:tc>
      </w:tr>
      <w:tr>
        <w:tblPrEx>
          <w:tblCellMar>
            <w:top w:w="0" w:type="dxa"/>
            <w:left w:w="108" w:type="dxa"/>
            <w:bottom w:w="0" w:type="dxa"/>
            <w:right w:w="108" w:type="dxa"/>
          </w:tblCellMar>
        </w:tblPrEx>
        <w:trPr>
          <w:trHeight w:val="285" w:hRule="atLeast"/>
        </w:trPr>
        <w:tc>
          <w:tcPr>
            <w:tcW w:w="373" w:type="dxa"/>
            <w:tcBorders>
              <w:top w:val="single" w:color="000000" w:sz="4" w:space="0"/>
              <w:left w:val="single" w:color="000000" w:sz="4" w:space="0"/>
              <w:bottom w:val="single" w:color="000000" w:sz="4" w:space="0"/>
              <w:right w:val="nil"/>
            </w:tcBorders>
            <w:noWrap w:val="0"/>
            <w:vAlign w:val="center"/>
          </w:tcPr>
          <w:p>
            <w:pPr>
              <w:rPr>
                <w:rFonts w:hint="eastAsia" w:ascii="宋体" w:hAnsi="宋体" w:cs="宋体"/>
                <w:color w:val="000000"/>
                <w:sz w:val="22"/>
                <w:szCs w:val="22"/>
              </w:rPr>
            </w:pPr>
          </w:p>
        </w:tc>
        <w:tc>
          <w:tcPr>
            <w:tcW w:w="1287" w:type="dxa"/>
            <w:tcBorders>
              <w:top w:val="single" w:color="000000" w:sz="4" w:space="0"/>
              <w:left w:val="single" w:color="000000" w:sz="4" w:space="0"/>
              <w:bottom w:val="single" w:color="000000" w:sz="4" w:space="0"/>
              <w:right w:val="nil"/>
            </w:tcBorders>
            <w:noWrap w:val="0"/>
            <w:vAlign w:val="center"/>
          </w:tcPr>
          <w:p/>
        </w:tc>
        <w:tc>
          <w:tcPr>
            <w:tcW w:w="41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p>
        </w:tc>
        <w:tc>
          <w:tcPr>
            <w:tcW w:w="1321" w:type="dxa"/>
            <w:tcBorders>
              <w:top w:val="single" w:color="000000" w:sz="4" w:space="0"/>
              <w:left w:val="single" w:color="000000" w:sz="4" w:space="0"/>
              <w:bottom w:val="single" w:color="000000" w:sz="4" w:space="0"/>
              <w:right w:val="single" w:color="000000" w:sz="4" w:space="0"/>
            </w:tcBorders>
            <w:noWrap w:val="0"/>
            <w:vAlign w:val="center"/>
          </w:tc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tc>
        <w:tc>
          <w:tcPr>
            <w:tcW w:w="612" w:type="dxa"/>
            <w:tcBorders>
              <w:top w:val="single" w:color="000000" w:sz="4" w:space="0"/>
              <w:left w:val="single" w:color="000000" w:sz="4" w:space="0"/>
              <w:bottom w:val="single" w:color="000000" w:sz="4" w:space="0"/>
              <w:right w:val="single" w:color="000000" w:sz="4" w:space="0"/>
            </w:tcBorders>
            <w:noWrap w:val="0"/>
            <w:vAlign w:val="center"/>
          </w:tcPr>
          <w:p/>
        </w:tc>
        <w:tc>
          <w:tcPr>
            <w:tcW w:w="329" w:type="dxa"/>
            <w:tcBorders>
              <w:top w:val="single" w:color="000000" w:sz="4" w:space="0"/>
              <w:left w:val="single" w:color="000000" w:sz="4" w:space="0"/>
              <w:bottom w:val="single" w:color="000000" w:sz="4" w:space="0"/>
              <w:right w:val="single" w:color="000000" w:sz="4" w:space="0"/>
            </w:tcBorders>
            <w:noWrap w:val="0"/>
            <w:vAlign w:val="center"/>
          </w:tcPr>
          <w:p/>
        </w:tc>
        <w:tc>
          <w:tcPr>
            <w:tcW w:w="614" w:type="dxa"/>
            <w:tcBorders>
              <w:top w:val="single" w:color="000000" w:sz="4" w:space="0"/>
              <w:left w:val="single" w:color="000000" w:sz="4" w:space="0"/>
              <w:bottom w:val="single" w:color="000000" w:sz="4" w:space="0"/>
              <w:right w:val="single" w:color="000000" w:sz="4" w:space="0"/>
            </w:tcBorders>
            <w:noWrap w:val="0"/>
            <w:vAlign w:val="center"/>
          </w:tcPr>
          <w:p/>
        </w:tc>
        <w:tc>
          <w:tcPr>
            <w:tcW w:w="861" w:type="dxa"/>
            <w:tcBorders>
              <w:top w:val="single" w:color="000000" w:sz="4" w:space="0"/>
              <w:left w:val="single" w:color="000000" w:sz="4" w:space="0"/>
              <w:bottom w:val="single" w:color="000000" w:sz="4" w:space="0"/>
              <w:right w:val="single" w:color="000000" w:sz="4" w:space="0"/>
            </w:tcBorders>
            <w:noWrap w:val="0"/>
            <w:vAlign w:val="center"/>
          </w:tcPr>
          <w:p/>
        </w:tc>
        <w:tc>
          <w:tcPr>
            <w:tcW w:w="825" w:type="dxa"/>
            <w:tcBorders>
              <w:top w:val="single" w:color="000000" w:sz="4" w:space="0"/>
              <w:left w:val="single" w:color="000000" w:sz="4" w:space="0"/>
              <w:bottom w:val="single" w:color="000000" w:sz="4" w:space="0"/>
              <w:right w:val="single" w:color="000000" w:sz="4" w:space="0"/>
            </w:tcBorders>
            <w:noWrap w:val="0"/>
            <w:vAlign w:val="center"/>
          </w:tcPr>
          <w:p/>
        </w:tc>
        <w:tc>
          <w:tcPr>
            <w:tcW w:w="792" w:type="dxa"/>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285" w:hRule="atLeast"/>
        </w:trPr>
        <w:tc>
          <w:tcPr>
            <w:tcW w:w="2072" w:type="dxa"/>
            <w:gridSpan w:val="3"/>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cs="宋体"/>
                <w:i w:val="0"/>
                <w:iCs w:val="0"/>
                <w:color w:val="000000"/>
                <w:kern w:val="0"/>
                <w:sz w:val="24"/>
                <w:szCs w:val="24"/>
                <w:u w:val="none"/>
                <w:lang w:val="en-US" w:eastAsia="zh-CN" w:bidi="ar"/>
              </w:rPr>
              <w:t>单位</w:t>
            </w:r>
            <w:r>
              <w:rPr>
                <w:rFonts w:hint="eastAsia" w:ascii="宋体" w:hAnsi="宋体" w:eastAsia="宋体" w:cs="宋体"/>
                <w:i w:val="0"/>
                <w:iCs w:val="0"/>
                <w:color w:val="000000"/>
                <w:kern w:val="0"/>
                <w:sz w:val="24"/>
                <w:szCs w:val="24"/>
                <w:u w:val="none"/>
                <w:lang w:val="en-US" w:eastAsia="zh-CN" w:bidi="ar"/>
              </w:rPr>
              <w:t>名称</w:t>
            </w:r>
          </w:p>
        </w:tc>
        <w:tc>
          <w:tcPr>
            <w:tcW w:w="6450"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90" w:hRule="atLeast"/>
        </w:trPr>
        <w:tc>
          <w:tcPr>
            <w:tcW w:w="3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主要</w:t>
            </w:r>
          </w:p>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4"/>
                <w:szCs w:val="24"/>
                <w:u w:val="none"/>
                <w:lang w:val="en-US" w:eastAsia="zh-CN" w:bidi="ar"/>
              </w:rPr>
              <w:t>任务</w:t>
            </w:r>
          </w:p>
        </w:tc>
        <w:tc>
          <w:tcPr>
            <w:tcW w:w="169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4"/>
                <w:szCs w:val="24"/>
                <w:u w:val="none"/>
                <w:lang w:val="en-US" w:eastAsia="zh-CN" w:bidi="ar"/>
              </w:rPr>
              <w:t>任务名称</w:t>
            </w:r>
          </w:p>
        </w:tc>
        <w:tc>
          <w:tcPr>
            <w:tcW w:w="13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4"/>
                <w:szCs w:val="24"/>
                <w:u w:val="none"/>
                <w:lang w:val="en-US" w:eastAsia="zh-CN" w:bidi="ar"/>
              </w:rPr>
              <w:t>主要内容</w:t>
            </w:r>
          </w:p>
        </w:tc>
        <w:tc>
          <w:tcPr>
            <w:tcW w:w="265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4"/>
                <w:szCs w:val="24"/>
                <w:u w:val="none"/>
                <w:lang w:val="en-US" w:eastAsia="zh-CN" w:bidi="ar"/>
              </w:rPr>
              <w:t>预算金额（万元）</w:t>
            </w:r>
          </w:p>
        </w:tc>
        <w:tc>
          <w:tcPr>
            <w:tcW w:w="247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实际执行（万元）</w:t>
            </w:r>
          </w:p>
        </w:tc>
      </w:tr>
      <w:tr>
        <w:tblPrEx>
          <w:tblCellMar>
            <w:top w:w="0" w:type="dxa"/>
            <w:left w:w="108" w:type="dxa"/>
            <w:bottom w:w="0" w:type="dxa"/>
            <w:right w:w="108" w:type="dxa"/>
          </w:tblCellMar>
        </w:tblPrEx>
        <w:trPr>
          <w:trHeight w:val="540"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69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2"/>
                <w:szCs w:val="22"/>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4"/>
                <w:szCs w:val="24"/>
                <w:u w:val="none"/>
                <w:lang w:val="en-US" w:eastAsia="zh-CN" w:bidi="ar"/>
              </w:rPr>
              <w:t>总额</w:t>
            </w:r>
          </w:p>
        </w:tc>
        <w:tc>
          <w:tcPr>
            <w:tcW w:w="9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财政拨</w:t>
            </w:r>
          </w:p>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  款</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4"/>
                <w:szCs w:val="24"/>
                <w:u w:val="none"/>
                <w:lang w:val="en-US" w:eastAsia="zh-CN" w:bidi="ar"/>
              </w:rPr>
              <w:t>其他资金</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总额</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财政拨款</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其他资金</w:t>
            </w:r>
          </w:p>
        </w:tc>
      </w:tr>
      <w:tr>
        <w:tblPrEx>
          <w:tblCellMar>
            <w:top w:w="0" w:type="dxa"/>
            <w:left w:w="108" w:type="dxa"/>
            <w:bottom w:w="0" w:type="dxa"/>
            <w:right w:w="108" w:type="dxa"/>
          </w:tblCellMar>
        </w:tblPrEx>
        <w:trPr>
          <w:trHeight w:val="270"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6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eastAsia" w:ascii="仿宋" w:hAnsi="仿宋" w:eastAsia="仿宋" w:cs="仿宋"/>
                <w:i w:val="0"/>
                <w:iCs w:val="0"/>
                <w:color w:val="000000"/>
                <w:kern w:val="0"/>
                <w:sz w:val="16"/>
                <w:szCs w:val="16"/>
                <w:u w:val="none"/>
                <w:lang w:val="en-US" w:eastAsia="zh-CN" w:bidi="ar"/>
              </w:rPr>
              <w:t>其他人力资源和社会保障管理事务支出</w:t>
            </w:r>
          </w:p>
        </w:tc>
        <w:tc>
          <w:tcPr>
            <w:tcW w:w="13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仿宋" w:hAnsi="仿宋" w:eastAsia="仿宋" w:cs="仿宋"/>
                <w:i w:val="0"/>
                <w:iCs w:val="0"/>
                <w:color w:val="000000"/>
                <w:kern w:val="0"/>
                <w:sz w:val="16"/>
                <w:szCs w:val="16"/>
                <w:u w:val="none"/>
                <w:lang w:val="en-US" w:eastAsia="zh-CN" w:bidi="ar"/>
              </w:rPr>
              <w:t>单位在职工全年工资福利支出、津贴补贴、 五险一金、退休人员活动经费及单位日常公用支出，保证单位正常运行等</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2"/>
                <w:szCs w:val="22"/>
              </w:rPr>
            </w:pPr>
            <w:r>
              <w:rPr>
                <w:rFonts w:hint="default" w:ascii="Times New Roman" w:hAnsi="Times New Roman" w:eastAsia="宋体" w:cs="Times New Roman"/>
                <w:i w:val="0"/>
                <w:iCs w:val="0"/>
                <w:color w:val="000000"/>
                <w:kern w:val="0"/>
                <w:sz w:val="24"/>
                <w:szCs w:val="24"/>
                <w:u w:val="none"/>
                <w:lang w:val="en-US" w:eastAsia="zh-CN" w:bidi="ar"/>
              </w:rPr>
              <w:t>306.27</w:t>
            </w:r>
          </w:p>
        </w:tc>
        <w:tc>
          <w:tcPr>
            <w:tcW w:w="9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4"/>
                <w:szCs w:val="24"/>
                <w:u w:val="none"/>
                <w:lang w:val="en-US" w:eastAsia="zh-CN" w:bidi="ar"/>
              </w:rPr>
              <w:t>306.27</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2"/>
                <w:szCs w:val="22"/>
              </w:rP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4"/>
                <w:szCs w:val="24"/>
                <w:u w:val="none"/>
                <w:lang w:val="en-US" w:eastAsia="zh-CN" w:bidi="ar"/>
              </w:rPr>
              <w:t>306.27</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4"/>
                <w:szCs w:val="24"/>
                <w:u w:val="none"/>
                <w:lang w:val="en-US" w:eastAsia="zh-CN" w:bidi="ar"/>
              </w:rPr>
              <w:t>306.27</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240"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69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仿宋" w:hAnsi="仿宋" w:eastAsia="仿宋" w:cs="仿宋"/>
                <w:i w:val="0"/>
                <w:iCs w:val="0"/>
                <w:color w:val="000000"/>
                <w:kern w:val="0"/>
                <w:sz w:val="16"/>
                <w:szCs w:val="16"/>
                <w:u w:val="none"/>
                <w:lang w:val="en-US" w:eastAsia="zh-CN" w:bidi="ar"/>
              </w:rPr>
              <w:t>2021年就业援助活动工作经费</w:t>
            </w:r>
          </w:p>
        </w:tc>
        <w:tc>
          <w:tcPr>
            <w:tcW w:w="13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pPr>
            <w:r>
              <w:rPr>
                <w:rFonts w:hint="eastAsia" w:ascii="仿宋" w:hAnsi="仿宋" w:eastAsia="仿宋" w:cs="仿宋"/>
                <w:i w:val="0"/>
                <w:iCs w:val="0"/>
                <w:color w:val="000000"/>
                <w:kern w:val="0"/>
                <w:sz w:val="16"/>
                <w:szCs w:val="16"/>
                <w:u w:val="none"/>
                <w:lang w:val="en-US" w:eastAsia="zh-CN" w:bidi="ar"/>
              </w:rPr>
              <w:t>2021年就业援助活动工作经费</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9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4"/>
                <w:szCs w:val="24"/>
                <w:u w:val="none"/>
                <w:lang w:val="en-US" w:eastAsia="zh-CN" w:bidi="ar"/>
              </w:rPr>
              <w:t>2</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4"/>
                <w:szCs w:val="24"/>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4"/>
                <w:szCs w:val="24"/>
                <w:u w:val="none"/>
                <w:lang w:val="en-US" w:eastAsia="zh-CN" w:bidi="ar"/>
              </w:rPr>
              <w:t>2</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2460"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6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仿宋" w:hAnsi="仿宋" w:eastAsia="仿宋" w:cs="仿宋"/>
                <w:i w:val="0"/>
                <w:iCs w:val="0"/>
                <w:color w:val="000000"/>
                <w:kern w:val="0"/>
                <w:sz w:val="16"/>
                <w:szCs w:val="16"/>
                <w:u w:val="none"/>
                <w:lang w:val="en-US" w:eastAsia="zh-CN" w:bidi="ar"/>
              </w:rPr>
              <w:t>2021年广元公益性人才网站运行（指标调剂后剩余指标1.57万元）</w:t>
            </w:r>
          </w:p>
        </w:tc>
        <w:tc>
          <w:tcPr>
            <w:tcW w:w="13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pPr>
            <w:r>
              <w:rPr>
                <w:rFonts w:hint="eastAsia" w:ascii="仿宋" w:hAnsi="仿宋" w:eastAsia="仿宋" w:cs="仿宋"/>
                <w:i w:val="0"/>
                <w:iCs w:val="0"/>
                <w:color w:val="000000"/>
                <w:kern w:val="0"/>
                <w:sz w:val="16"/>
                <w:szCs w:val="16"/>
                <w:u w:val="none"/>
                <w:lang w:val="en-US" w:eastAsia="zh-CN" w:bidi="ar"/>
              </w:rPr>
              <w:t>2021年广元公益性人才网站运行</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9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4"/>
                <w:szCs w:val="24"/>
                <w:u w:val="none"/>
                <w:lang w:val="en-US" w:eastAsia="zh-CN" w:bidi="ar"/>
              </w:rPr>
              <w:t>2</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4"/>
                <w:szCs w:val="24"/>
                <w:u w:val="none"/>
                <w:lang w:val="en-US" w:eastAsia="zh-CN" w:bidi="ar"/>
              </w:rPr>
              <w:t>2</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4"/>
                <w:szCs w:val="24"/>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4"/>
                <w:szCs w:val="24"/>
                <w:u w:val="none"/>
                <w:lang w:val="en-US" w:eastAsia="zh-CN" w:bidi="ar"/>
              </w:rPr>
              <w:t>2</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480"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6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仿宋" w:hAnsi="仿宋" w:eastAsia="仿宋" w:cs="仿宋"/>
                <w:i w:val="0"/>
                <w:iCs w:val="0"/>
                <w:color w:val="000000"/>
                <w:kern w:val="0"/>
                <w:sz w:val="16"/>
                <w:szCs w:val="16"/>
                <w:u w:val="none"/>
                <w:lang w:val="en-US" w:eastAsia="zh-CN" w:bidi="ar"/>
              </w:rPr>
              <w:t>2021年高校毕业生人事档案管理</w:t>
            </w:r>
          </w:p>
        </w:tc>
        <w:tc>
          <w:tcPr>
            <w:tcW w:w="13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仿宋" w:hAnsi="仿宋" w:eastAsia="仿宋" w:cs="仿宋"/>
                <w:i w:val="0"/>
                <w:iCs w:val="0"/>
                <w:color w:val="000000"/>
                <w:kern w:val="0"/>
                <w:sz w:val="16"/>
                <w:szCs w:val="16"/>
                <w:u w:val="none"/>
                <w:lang w:val="en-US" w:eastAsia="zh-CN" w:bidi="ar"/>
              </w:rPr>
              <w:t>2021年高校毕业生人事档案管理</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default" w:ascii="Times New Roman" w:hAnsi="Times New Roman" w:eastAsia="宋体" w:cs="Times New Roman"/>
                <w:i w:val="0"/>
                <w:iCs w:val="0"/>
                <w:color w:val="000000"/>
                <w:kern w:val="0"/>
                <w:sz w:val="24"/>
                <w:szCs w:val="24"/>
                <w:u w:val="none"/>
                <w:lang w:val="en-US" w:eastAsia="zh-CN" w:bidi="ar"/>
              </w:rPr>
              <w:t>7.34</w:t>
            </w:r>
          </w:p>
        </w:tc>
        <w:tc>
          <w:tcPr>
            <w:tcW w:w="9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4"/>
                <w:szCs w:val="24"/>
                <w:u w:val="none"/>
                <w:lang w:val="en-US" w:eastAsia="zh-CN" w:bidi="ar"/>
              </w:rPr>
              <w:t>7.34</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default" w:ascii="Times New Roman" w:hAnsi="Times New Roman" w:eastAsia="宋体" w:cs="Times New Roman"/>
                <w:i w:val="0"/>
                <w:iCs w:val="0"/>
                <w:color w:val="000000"/>
                <w:kern w:val="0"/>
                <w:sz w:val="24"/>
                <w:szCs w:val="24"/>
                <w:u w:val="none"/>
                <w:lang w:val="en-US" w:eastAsia="zh-CN" w:bidi="ar"/>
              </w:rPr>
              <w:t>7.34</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4"/>
                <w:szCs w:val="24"/>
                <w:u w:val="none"/>
                <w:lang w:val="en-US" w:eastAsia="zh-CN" w:bidi="ar"/>
              </w:rPr>
              <w:t>7.34</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480"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699"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仿宋" w:hAnsi="仿宋" w:eastAsia="仿宋" w:cs="仿宋"/>
                <w:i w:val="0"/>
                <w:iCs w:val="0"/>
                <w:color w:val="000000"/>
                <w:kern w:val="0"/>
                <w:sz w:val="16"/>
                <w:szCs w:val="16"/>
                <w:u w:val="none"/>
                <w:lang w:val="en-US" w:eastAsia="zh-CN" w:bidi="ar"/>
              </w:rPr>
              <w:t>2021年高校毕业生创业就业服务</w:t>
            </w:r>
          </w:p>
        </w:tc>
        <w:tc>
          <w:tcPr>
            <w:tcW w:w="13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仿宋" w:hAnsi="仿宋" w:eastAsia="仿宋" w:cs="仿宋"/>
                <w:i w:val="0"/>
                <w:iCs w:val="0"/>
                <w:color w:val="000000"/>
                <w:kern w:val="0"/>
                <w:sz w:val="16"/>
                <w:szCs w:val="16"/>
                <w:u w:val="none"/>
                <w:lang w:val="en-US" w:eastAsia="zh-CN" w:bidi="ar"/>
              </w:rPr>
              <w:t>2021年高校毕业生创业就业服务</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9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4"/>
                <w:szCs w:val="24"/>
                <w:u w:val="none"/>
                <w:lang w:val="en-US" w:eastAsia="zh-CN" w:bidi="ar"/>
              </w:rPr>
              <w:t>2</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4"/>
                <w:szCs w:val="24"/>
                <w:u w:val="none"/>
                <w:lang w:val="en-US" w:eastAsia="zh-CN" w:bidi="ar"/>
              </w:rPr>
              <w:t>2</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480"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699"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仿宋" w:hAnsi="仿宋" w:eastAsia="仿宋" w:cs="仿宋"/>
                <w:i w:val="0"/>
                <w:iCs w:val="0"/>
                <w:color w:val="000000"/>
                <w:kern w:val="0"/>
                <w:sz w:val="16"/>
                <w:szCs w:val="16"/>
                <w:u w:val="none"/>
                <w:lang w:val="en-US" w:eastAsia="zh-CN" w:bidi="ar"/>
              </w:rPr>
              <w:t>2021年广元公共招聘网运行维护</w:t>
            </w:r>
          </w:p>
        </w:tc>
        <w:tc>
          <w:tcPr>
            <w:tcW w:w="13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仿宋" w:hAnsi="仿宋" w:eastAsia="仿宋" w:cs="仿宋"/>
                <w:i w:val="0"/>
                <w:iCs w:val="0"/>
                <w:color w:val="000000"/>
                <w:kern w:val="0"/>
                <w:sz w:val="16"/>
                <w:szCs w:val="16"/>
                <w:u w:val="none"/>
                <w:lang w:val="en-US" w:eastAsia="zh-CN" w:bidi="ar"/>
              </w:rPr>
              <w:t>2021年广元公共招聘网运行维护</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9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4"/>
                <w:szCs w:val="24"/>
                <w:u w:val="none"/>
                <w:lang w:val="en-US" w:eastAsia="zh-CN" w:bidi="ar"/>
              </w:rPr>
              <w:t>3</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4"/>
                <w:szCs w:val="24"/>
                <w:u w:val="none"/>
                <w:lang w:val="en-US" w:eastAsia="zh-CN" w:bidi="ar"/>
              </w:rPr>
              <w:t>3</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480"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3020" w:type="dxa"/>
            <w:gridSpan w:val="3"/>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4"/>
                <w:szCs w:val="24"/>
                <w:u w:val="none"/>
                <w:lang w:val="en-US" w:eastAsia="zh-CN" w:bidi="ar"/>
              </w:rPr>
              <w:t>金额合计</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4"/>
                <w:szCs w:val="24"/>
                <w:u w:val="none"/>
                <w:lang w:val="en-US" w:eastAsia="zh-CN" w:bidi="ar"/>
              </w:rPr>
              <w:t>322.61</w:t>
            </w:r>
          </w:p>
        </w:tc>
        <w:tc>
          <w:tcPr>
            <w:tcW w:w="9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4"/>
                <w:szCs w:val="24"/>
                <w:u w:val="none"/>
                <w:lang w:val="en-US" w:eastAsia="zh-CN" w:bidi="ar"/>
              </w:rPr>
              <w:t>322.61</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4"/>
                <w:szCs w:val="24"/>
                <w:u w:val="none"/>
                <w:lang w:val="en-US" w:eastAsia="zh-CN" w:bidi="ar"/>
              </w:rPr>
              <w:t>322.61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322.61</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480" w:hRule="atLeast"/>
        </w:trPr>
        <w:tc>
          <w:tcPr>
            <w:tcW w:w="3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116" w:type="dxa"/>
            <w:gridSpan w:val="4"/>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4"/>
                <w:szCs w:val="24"/>
                <w:u w:val="none"/>
                <w:lang w:val="en-US" w:eastAsia="zh-CN" w:bidi="ar"/>
              </w:rPr>
              <w:t>预期目标</w:t>
            </w:r>
          </w:p>
        </w:tc>
        <w:tc>
          <w:tcPr>
            <w:tcW w:w="403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4"/>
                <w:szCs w:val="24"/>
                <w:u w:val="none"/>
                <w:lang w:val="en-US" w:eastAsia="zh-CN" w:bidi="ar"/>
              </w:rPr>
              <w:t>实际完成目标</w:t>
            </w:r>
          </w:p>
        </w:tc>
      </w:tr>
      <w:tr>
        <w:tblPrEx>
          <w:tblCellMar>
            <w:top w:w="0" w:type="dxa"/>
            <w:left w:w="108" w:type="dxa"/>
            <w:bottom w:w="0" w:type="dxa"/>
            <w:right w:w="108" w:type="dxa"/>
          </w:tblCellMar>
        </w:tblPrEx>
        <w:trPr>
          <w:trHeight w:val="240" w:hRule="atLeast"/>
        </w:trPr>
        <w:tc>
          <w:tcPr>
            <w:tcW w:w="3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总体</w:t>
            </w:r>
          </w:p>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4"/>
                <w:szCs w:val="24"/>
                <w:u w:val="none"/>
                <w:lang w:val="en-US" w:eastAsia="zh-CN" w:bidi="ar"/>
              </w:rPr>
              <w:t>目标</w:t>
            </w:r>
          </w:p>
        </w:tc>
        <w:tc>
          <w:tcPr>
            <w:tcW w:w="4116" w:type="dxa"/>
            <w:gridSpan w:val="4"/>
            <w:tcBorders>
              <w:top w:val="single" w:color="000000" w:sz="4" w:space="0"/>
              <w:left w:val="single" w:color="000000" w:sz="4" w:space="0"/>
              <w:bottom w:val="nil"/>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1、2021年及历年来高校毕业生和流动人员档案管理；</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2、管理各类人事档案和提供人事代理等公共服务；</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3、录入整理新增的毕业生和流动人员人事档案，建立和规范流动人才档案库；</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4、高校毕业生档案入库高峰期增配人员；</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5、定期开展档案室防潮、防火、防蛀等工作</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2、承办（协办）东西部扶贫劳务协作招聘活动1场；</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3、承办（协办）西广战略合作招聘活动1场；</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4、承办（协办）成广战略合作招聘活动1场；</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5、赴相邻城市参加保障企业用工专场招聘活动1场；</w:t>
            </w:r>
          </w:p>
          <w:p>
            <w:pPr>
              <w:keepNext w:val="0"/>
              <w:keepLines w:val="0"/>
              <w:widowControl/>
              <w:suppressLineNumbers w:val="0"/>
              <w:jc w:val="left"/>
              <w:textAlignment w:val="top"/>
              <w:rPr>
                <w:rFonts w:hint="eastAsia" w:ascii="宋体" w:hAnsi="宋体" w:cs="宋体"/>
                <w:color w:val="000000"/>
                <w:sz w:val="20"/>
                <w:szCs w:val="20"/>
              </w:rPr>
            </w:pPr>
            <w:r>
              <w:rPr>
                <w:rFonts w:hint="eastAsia" w:ascii="宋体" w:hAnsi="宋体" w:eastAsia="宋体" w:cs="宋体"/>
                <w:i w:val="0"/>
                <w:iCs w:val="0"/>
                <w:color w:val="000000"/>
                <w:kern w:val="0"/>
                <w:sz w:val="24"/>
                <w:szCs w:val="24"/>
                <w:u w:val="none"/>
                <w:lang w:val="en-US" w:eastAsia="zh-CN" w:bidi="ar"/>
              </w:rPr>
              <w:t xml:space="preserve">    6、广元市人力资源市场管理维护工作</w:t>
            </w:r>
          </w:p>
        </w:tc>
        <w:tc>
          <w:tcPr>
            <w:tcW w:w="4033" w:type="dxa"/>
            <w:gridSpan w:val="6"/>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p>
          <w:p>
            <w:pPr>
              <w:pStyle w:val="17"/>
              <w:rPr>
                <w:rFonts w:hint="eastAsia"/>
                <w:lang w:val="en-US" w:eastAsia="zh-CN"/>
              </w:rPr>
            </w:pP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1、2021年及历年来高校毕业生和流动人员档案管理；</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2、管理各类人事档案和提供人事代理等公共服务；</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3、录入整理新增的毕业生和流动人员人事档案，建立和规范流动人才档案库；</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4、高校毕业生档案入库高峰期增配人员；</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5、定期开展档案室防潮、防火、防蛀等工作</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2、承办（协办）东西部扶贫劳务协作招聘活动1场；</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3、承办（协办）西广战略合作招聘活动1场；</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4、承办（协办）成广战略合作招聘活动1场；</w:t>
            </w:r>
          </w:p>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5、赴相邻城市参加保障企业用工专场招聘活动1场；</w:t>
            </w:r>
          </w:p>
          <w:p>
            <w:pPr>
              <w:keepNext w:val="0"/>
              <w:keepLines w:val="0"/>
              <w:widowControl/>
              <w:suppressLineNumbers w:val="0"/>
              <w:jc w:val="left"/>
              <w:textAlignment w:val="top"/>
              <w:rPr>
                <w:rFonts w:hint="eastAsia" w:ascii="宋体" w:hAnsi="宋体" w:cs="宋体"/>
                <w:color w:val="000000"/>
                <w:sz w:val="20"/>
                <w:szCs w:val="20"/>
              </w:rPr>
            </w:pPr>
            <w:r>
              <w:rPr>
                <w:rFonts w:hint="eastAsia" w:ascii="宋体" w:hAnsi="宋体" w:eastAsia="宋体" w:cs="宋体"/>
                <w:i w:val="0"/>
                <w:iCs w:val="0"/>
                <w:color w:val="000000"/>
                <w:kern w:val="0"/>
                <w:sz w:val="24"/>
                <w:szCs w:val="24"/>
                <w:u w:val="none"/>
                <w:lang w:val="en-US" w:eastAsia="zh-CN" w:bidi="ar"/>
              </w:rPr>
              <w:t xml:space="preserve">    6、广元市人力资源市场管理维护工作</w:t>
            </w:r>
          </w:p>
        </w:tc>
      </w:tr>
      <w:tr>
        <w:tblPrEx>
          <w:tblCellMar>
            <w:top w:w="0" w:type="dxa"/>
            <w:left w:w="108" w:type="dxa"/>
            <w:bottom w:w="0" w:type="dxa"/>
            <w:right w:w="108" w:type="dxa"/>
          </w:tblCellMar>
        </w:tblPrEx>
        <w:trPr>
          <w:trHeight w:val="480" w:hRule="atLeast"/>
        </w:trPr>
        <w:tc>
          <w:tcPr>
            <w:tcW w:w="3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年度</w:t>
            </w:r>
          </w:p>
          <w:p>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绩效</w:t>
            </w:r>
          </w:p>
          <w:p>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指标</w:t>
            </w:r>
          </w:p>
          <w:p>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完成</w:t>
            </w:r>
          </w:p>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情况</w:t>
            </w:r>
          </w:p>
        </w:tc>
        <w:tc>
          <w:tcPr>
            <w:tcW w:w="1287"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一级指标</w:t>
            </w:r>
          </w:p>
        </w:tc>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二级指标</w:t>
            </w:r>
          </w:p>
        </w:tc>
        <w:tc>
          <w:tcPr>
            <w:tcW w:w="2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三级指标</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指标值（包含数字及文字描述）</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2"/>
                <w:szCs w:val="12"/>
                <w:u w:val="none"/>
                <w:lang w:val="en-US" w:eastAsia="zh-CN" w:bidi="ar"/>
              </w:rPr>
              <w:t>实际完成指标值（包含数字及文字描述）</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2"/>
                <w:szCs w:val="12"/>
                <w:u w:val="none"/>
                <w:lang w:val="en-US" w:eastAsia="zh-CN" w:bidi="ar"/>
              </w:rPr>
              <w:t>未完成原因及改进措施</w:t>
            </w: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tc>
        <w:tc>
          <w:tcPr>
            <w:tcW w:w="792" w:type="dxa"/>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240"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287"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项目完成指标</w:t>
            </w:r>
          </w:p>
        </w:tc>
        <w:tc>
          <w:tcPr>
            <w:tcW w:w="4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数量指标</w:t>
            </w:r>
          </w:p>
        </w:tc>
        <w:tc>
          <w:tcPr>
            <w:tcW w:w="2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承办保障本地企业用工专场招聘活动</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4场</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2"/>
                <w:szCs w:val="12"/>
                <w:u w:val="none"/>
                <w:lang w:val="en-US" w:eastAsia="zh-CN" w:bidi="ar"/>
              </w:rPr>
              <w:t>完成</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tc>
        <w:tc>
          <w:tcPr>
            <w:tcW w:w="792" w:type="dxa"/>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240"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28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cs="宋体"/>
                <w:color w:val="000000"/>
                <w:sz w:val="20"/>
                <w:szCs w:val="20"/>
              </w:rPr>
            </w:pPr>
          </w:p>
        </w:tc>
        <w:tc>
          <w:tcPr>
            <w:tcW w:w="41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2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承(协)办东西部扶贫、成(都)广、西(安)广、渝(重庆)广战略合作之劳务协作招聘活动</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2场</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2"/>
                <w:szCs w:val="12"/>
                <w:u w:val="none"/>
                <w:lang w:val="en-US" w:eastAsia="zh-CN" w:bidi="ar"/>
              </w:rPr>
              <w:t>完成</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tc>
        <w:tc>
          <w:tcPr>
            <w:tcW w:w="792" w:type="dxa"/>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240"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28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cs="宋体"/>
                <w:color w:val="000000"/>
                <w:sz w:val="20"/>
                <w:szCs w:val="20"/>
              </w:rPr>
            </w:pPr>
          </w:p>
        </w:tc>
        <w:tc>
          <w:tcPr>
            <w:tcW w:w="41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2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承办保障本地企业用工专场招聘活动</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2场</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2"/>
                <w:szCs w:val="12"/>
                <w:u w:val="none"/>
                <w:lang w:val="en-US" w:eastAsia="zh-CN" w:bidi="ar"/>
              </w:rPr>
              <w:t>完成</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tc>
        <w:tc>
          <w:tcPr>
            <w:tcW w:w="792" w:type="dxa"/>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240"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28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cs="宋体"/>
                <w:color w:val="000000"/>
                <w:sz w:val="20"/>
                <w:szCs w:val="20"/>
              </w:rPr>
            </w:pPr>
          </w:p>
        </w:tc>
        <w:tc>
          <w:tcPr>
            <w:tcW w:w="41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2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市场每周四定期举办招聘活动管理和人员维护</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每周四（法定假日除外）定期举办招聘会、入驻市场的民营人力资源服务机构不低于20家</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2"/>
                <w:szCs w:val="12"/>
                <w:u w:val="none"/>
                <w:lang w:val="en-US" w:eastAsia="zh-CN" w:bidi="ar"/>
              </w:rPr>
              <w:t>完成</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tc>
        <w:tc>
          <w:tcPr>
            <w:tcW w:w="792" w:type="dxa"/>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240"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28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cs="宋体"/>
                <w:color w:val="000000"/>
                <w:sz w:val="20"/>
                <w:szCs w:val="20"/>
              </w:rPr>
            </w:pPr>
          </w:p>
        </w:tc>
        <w:tc>
          <w:tcPr>
            <w:tcW w:w="41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质量指标</w:t>
            </w:r>
          </w:p>
        </w:tc>
        <w:tc>
          <w:tcPr>
            <w:tcW w:w="2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各类专场招聘会</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按招聘会标准、规模组织举办（协办）</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2"/>
                <w:szCs w:val="12"/>
                <w:u w:val="none"/>
                <w:lang w:val="en-US" w:eastAsia="zh-CN" w:bidi="ar"/>
              </w:rPr>
              <w:t>完成</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tc>
        <w:tc>
          <w:tcPr>
            <w:tcW w:w="792" w:type="dxa"/>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960"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28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cs="宋体"/>
                <w:color w:val="000000"/>
                <w:sz w:val="20"/>
                <w:szCs w:val="20"/>
              </w:rPr>
            </w:pPr>
          </w:p>
        </w:tc>
        <w:tc>
          <w:tcPr>
            <w:tcW w:w="4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2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广元市人力资源市场规范管理</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完善市场硬件设施，规范管理，提高人力资源服务机构的服务水平</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2"/>
                <w:szCs w:val="12"/>
                <w:u w:val="none"/>
                <w:lang w:val="en-US" w:eastAsia="zh-CN" w:bidi="ar"/>
              </w:rPr>
              <w:t>完成</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tc>
        <w:tc>
          <w:tcPr>
            <w:tcW w:w="792" w:type="dxa"/>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480"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28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cs="宋体"/>
                <w:color w:val="000000"/>
                <w:sz w:val="20"/>
                <w:szCs w:val="20"/>
              </w:rPr>
            </w:pPr>
          </w:p>
        </w:tc>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时效指标</w:t>
            </w:r>
          </w:p>
        </w:tc>
        <w:tc>
          <w:tcPr>
            <w:tcW w:w="2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各类专场招聘会</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按计划举办（协办）各类招聘会，完成率≧100%</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2"/>
                <w:szCs w:val="12"/>
                <w:u w:val="none"/>
                <w:lang w:val="en-US" w:eastAsia="zh-CN" w:bidi="ar"/>
              </w:rPr>
              <w:t>完成</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tc>
        <w:tc>
          <w:tcPr>
            <w:tcW w:w="792" w:type="dxa"/>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480"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28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cs="宋体"/>
                <w:color w:val="000000"/>
                <w:sz w:val="20"/>
                <w:szCs w:val="20"/>
              </w:rPr>
            </w:pPr>
          </w:p>
        </w:tc>
        <w:tc>
          <w:tcPr>
            <w:tcW w:w="4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成本指标</w:t>
            </w:r>
          </w:p>
        </w:tc>
        <w:tc>
          <w:tcPr>
            <w:tcW w:w="2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人力资源市场、就业公共服务平台、招聘活动、就业政策推广宣传资料印刷费</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控制人员经费，根据实际需求印制宣传资料0.5万</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2"/>
                <w:szCs w:val="12"/>
                <w:u w:val="none"/>
                <w:lang w:val="en-US" w:eastAsia="zh-CN" w:bidi="ar"/>
              </w:rPr>
              <w:t>成本控制达标</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tc>
        <w:tc>
          <w:tcPr>
            <w:tcW w:w="792" w:type="dxa"/>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480"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28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cs="宋体"/>
                <w:color w:val="000000"/>
                <w:sz w:val="20"/>
                <w:szCs w:val="20"/>
              </w:rPr>
            </w:pPr>
          </w:p>
        </w:tc>
        <w:tc>
          <w:tcPr>
            <w:tcW w:w="4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2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承(协)办东西部扶贫、成(都)广、西(安)广、渝(重庆)广战略合作之劳务协作</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人员经费保障0.5万，招聘会硬件设施妥善保管</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2"/>
                <w:szCs w:val="12"/>
                <w:u w:val="none"/>
                <w:lang w:val="en-US" w:eastAsia="zh-CN" w:bidi="ar"/>
              </w:rPr>
              <w:t>成本控制达标</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tc>
        <w:tc>
          <w:tcPr>
            <w:tcW w:w="792" w:type="dxa"/>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720"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28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cs="宋体"/>
                <w:color w:val="000000"/>
                <w:sz w:val="20"/>
                <w:szCs w:val="20"/>
              </w:rPr>
            </w:pPr>
          </w:p>
        </w:tc>
        <w:tc>
          <w:tcPr>
            <w:tcW w:w="4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2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人力资源市场、就业公共服务平台维护正常运作保障经费、招聘会活动人员保障经费</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现场布置、市场硬件设置的维护和置换，人员经费保障0.5万</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2"/>
                <w:szCs w:val="12"/>
                <w:u w:val="none"/>
                <w:lang w:val="en-US" w:eastAsia="zh-CN" w:bidi="ar"/>
              </w:rPr>
              <w:t>成本控制达标</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tc>
        <w:tc>
          <w:tcPr>
            <w:tcW w:w="792" w:type="dxa"/>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480"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287"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项目效果指标</w:t>
            </w:r>
          </w:p>
        </w:tc>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经济效益</w:t>
            </w:r>
          </w:p>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指标</w:t>
            </w:r>
          </w:p>
        </w:tc>
        <w:tc>
          <w:tcPr>
            <w:tcW w:w="2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各项就业援助活动</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促进重点群体就业增收，企业健康平移发展</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2"/>
                <w:szCs w:val="12"/>
                <w:u w:val="none"/>
                <w:lang w:val="en-US" w:eastAsia="zh-CN" w:bidi="ar"/>
              </w:rPr>
              <w:t>达到既定目标</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tc>
        <w:tc>
          <w:tcPr>
            <w:tcW w:w="792" w:type="dxa"/>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720"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28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cs="宋体"/>
                <w:color w:val="000000"/>
                <w:sz w:val="20"/>
                <w:szCs w:val="20"/>
              </w:rPr>
            </w:pPr>
          </w:p>
        </w:tc>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社会效益</w:t>
            </w:r>
          </w:p>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指标</w:t>
            </w:r>
          </w:p>
        </w:tc>
        <w:tc>
          <w:tcPr>
            <w:tcW w:w="2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各项就业援助活动</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促进就业，维护社会稳定</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2"/>
                <w:szCs w:val="12"/>
                <w:u w:val="none"/>
                <w:lang w:val="en-US" w:eastAsia="zh-CN" w:bidi="ar"/>
              </w:rPr>
              <w:t>达到既定目标</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tc>
        <w:tc>
          <w:tcPr>
            <w:tcW w:w="792" w:type="dxa"/>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480"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28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1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生态效益</w:t>
            </w:r>
          </w:p>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指标</w:t>
            </w:r>
          </w:p>
        </w:tc>
        <w:tc>
          <w:tcPr>
            <w:tcW w:w="2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各项就业援助活动</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充分就业，减小失业率</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2"/>
                <w:szCs w:val="12"/>
                <w:u w:val="none"/>
                <w:lang w:val="en-US" w:eastAsia="zh-CN" w:bidi="ar"/>
              </w:rPr>
              <w:t>达到既定目标</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tc>
        <w:tc>
          <w:tcPr>
            <w:tcW w:w="792" w:type="dxa"/>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480"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28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1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可持续影响</w:t>
            </w:r>
          </w:p>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指标</w:t>
            </w:r>
          </w:p>
        </w:tc>
        <w:tc>
          <w:tcPr>
            <w:tcW w:w="2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各项就业援助活动</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项目持续发挥作用</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2"/>
                <w:szCs w:val="12"/>
                <w:u w:val="none"/>
                <w:lang w:val="en-US" w:eastAsia="zh-CN" w:bidi="ar"/>
              </w:rPr>
              <w:t>达到既定目标</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tc>
        <w:tc>
          <w:tcPr>
            <w:tcW w:w="792" w:type="dxa"/>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480"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28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满意度</w:t>
            </w:r>
          </w:p>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指标</w:t>
            </w:r>
          </w:p>
        </w:tc>
        <w:tc>
          <w:tcPr>
            <w:tcW w:w="412"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满意度指标</w:t>
            </w:r>
          </w:p>
        </w:tc>
        <w:tc>
          <w:tcPr>
            <w:tcW w:w="2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各类招聘活动</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100%</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2"/>
                <w:szCs w:val="12"/>
                <w:u w:val="none"/>
                <w:lang w:val="en-US" w:eastAsia="zh-CN" w:bidi="ar"/>
              </w:rPr>
              <w:t>满意度达标</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tc>
        <w:tc>
          <w:tcPr>
            <w:tcW w:w="792" w:type="dxa"/>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480"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28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1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cs="宋体"/>
                <w:color w:val="000000"/>
                <w:sz w:val="20"/>
                <w:szCs w:val="20"/>
              </w:rPr>
            </w:pPr>
          </w:p>
        </w:tc>
        <w:tc>
          <w:tcPr>
            <w:tcW w:w="2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广元人力资源市场管理维护</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100%</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2"/>
                <w:szCs w:val="12"/>
                <w:u w:val="none"/>
                <w:lang w:val="en-US" w:eastAsia="zh-CN" w:bidi="ar"/>
              </w:rPr>
              <w:t>满意度达标</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tc>
        <w:tc>
          <w:tcPr>
            <w:tcW w:w="792" w:type="dxa"/>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240"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2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项目完成指标</w:t>
            </w:r>
          </w:p>
        </w:tc>
        <w:tc>
          <w:tcPr>
            <w:tcW w:w="4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数量指标</w:t>
            </w:r>
          </w:p>
        </w:tc>
        <w:tc>
          <w:tcPr>
            <w:tcW w:w="2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完成建立毕业生人才数据库，建设广元人才网</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完成建立毕业生人才数据库，建设广元人才网</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2"/>
                <w:szCs w:val="12"/>
                <w:u w:val="none"/>
                <w:lang w:val="en-US" w:eastAsia="zh-CN" w:bidi="ar"/>
              </w:rPr>
              <w:t>完成既定目标</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tc>
        <w:tc>
          <w:tcPr>
            <w:tcW w:w="792" w:type="dxa"/>
            <w:tcBorders>
              <w:top w:val="single" w:color="000000" w:sz="4" w:space="0"/>
              <w:left w:val="single" w:color="000000" w:sz="4" w:space="0"/>
              <w:bottom w:val="single" w:color="000000" w:sz="4" w:space="0"/>
              <w:right w:val="single" w:color="000000" w:sz="4" w:space="0"/>
            </w:tcBorders>
            <w:noWrap w:val="0"/>
            <w:vAlign w:val="center"/>
          </w:tcPr>
          <w:p/>
        </w:tc>
      </w:tr>
      <w:tr>
        <w:tblPrEx>
          <w:tblCellMar>
            <w:top w:w="0" w:type="dxa"/>
            <w:left w:w="108" w:type="dxa"/>
            <w:bottom w:w="0" w:type="dxa"/>
            <w:right w:w="108" w:type="dxa"/>
          </w:tblCellMar>
        </w:tblPrEx>
        <w:trPr>
          <w:trHeight w:val="240"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2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4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24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进一步完善毕业生报到创业就业服务系统、档案查询系统、网上招聘会系统，网上档案转移系统等数据库，高层次人才网上报名系统；</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12"/>
                <w:szCs w:val="12"/>
                <w:u w:val="none"/>
                <w:lang w:val="en-US" w:eastAsia="zh-CN" w:bidi="ar"/>
              </w:rPr>
              <w:t>进一步完善毕业生报到创业就业服务系统、档案查询系统、网上招聘会系统，网上档案转移系统等数据库，高层次人才网上报名系统；</w:t>
            </w:r>
          </w:p>
        </w:tc>
        <w:tc>
          <w:tcPr>
            <w:tcW w:w="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2"/>
                <w:szCs w:val="12"/>
                <w:u w:val="none"/>
                <w:lang w:val="en-US" w:eastAsia="zh-CN" w:bidi="ar"/>
              </w:rPr>
              <w:t>完成既定目标</w:t>
            </w:r>
          </w:p>
        </w:tc>
        <w:tc>
          <w:tcPr>
            <w:tcW w:w="614" w:type="dxa"/>
            <w:tcBorders>
              <w:top w:val="single" w:color="000000" w:sz="4" w:space="0"/>
              <w:left w:val="single" w:color="000000" w:sz="4" w:space="0"/>
              <w:bottom w:val="single" w:color="000000" w:sz="4" w:space="0"/>
              <w:right w:val="single" w:color="000000" w:sz="4" w:space="0"/>
            </w:tcBorders>
            <w:noWrap w:val="0"/>
            <w:vAlign w:val="center"/>
          </w:tcPr>
          <w:p/>
        </w:tc>
        <w:tc>
          <w:tcPr>
            <w:tcW w:w="8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tc>
        <w:tc>
          <w:tcPr>
            <w:tcW w:w="792" w:type="dxa"/>
            <w:tcBorders>
              <w:top w:val="single" w:color="000000" w:sz="4" w:space="0"/>
              <w:left w:val="single" w:color="000000" w:sz="4" w:space="0"/>
              <w:bottom w:val="single" w:color="000000" w:sz="4" w:space="0"/>
              <w:right w:val="single" w:color="000000" w:sz="4" w:space="0"/>
            </w:tcBorders>
            <w:noWrap w:val="0"/>
            <w:vAlign w:val="center"/>
          </w:tcPr>
          <w:p/>
        </w:tc>
      </w:tr>
    </w:tbl>
    <w:p>
      <w:pPr>
        <w:spacing w:line="580" w:lineRule="exact"/>
        <w:ind w:firstLine="640" w:firstLineChars="200"/>
        <w:rPr>
          <w:rFonts w:ascii="仿宋" w:hAnsi="仿宋" w:eastAsia="仿宋"/>
          <w:color w:val="000000"/>
          <w:sz w:val="32"/>
          <w:szCs w:val="32"/>
        </w:rPr>
      </w:pPr>
    </w:p>
    <w:p>
      <w:pPr>
        <w:spacing w:line="580" w:lineRule="exact"/>
        <w:ind w:left="630"/>
        <w:outlineLvl w:val="3"/>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lang w:eastAsia="zh-CN"/>
        </w:rPr>
        <w:t>单位</w:t>
      </w:r>
      <w:r>
        <w:rPr>
          <w:rFonts w:hint="eastAsia" w:ascii="楷体_GB2312" w:hAnsi="楷体_GB2312" w:eastAsia="楷体_GB2312" w:cs="楷体_GB2312"/>
          <w:sz w:val="32"/>
          <w:szCs w:val="32"/>
        </w:rPr>
        <w:t>绩效评价结果。</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本中心按要求对</w:t>
      </w:r>
      <w:r>
        <w:rPr>
          <w:rFonts w:hint="eastAsia" w:ascii="仿宋" w:hAnsi="仿宋" w:eastAsia="仿宋"/>
          <w:color w:val="000000"/>
          <w:sz w:val="32"/>
          <w:szCs w:val="32"/>
          <w:lang w:eastAsia="zh-CN"/>
        </w:rPr>
        <w:t>2021年单位</w:t>
      </w:r>
      <w:r>
        <w:rPr>
          <w:rFonts w:hint="eastAsia" w:ascii="仿宋" w:hAnsi="仿宋" w:eastAsia="仿宋"/>
          <w:color w:val="000000"/>
          <w:sz w:val="32"/>
          <w:szCs w:val="32"/>
        </w:rPr>
        <w:t>整体支出绩效评价情况开展自评，《广元市人才交流中心</w:t>
      </w:r>
      <w:r>
        <w:rPr>
          <w:rFonts w:hint="eastAsia" w:ascii="仿宋" w:hAnsi="仿宋" w:eastAsia="仿宋"/>
          <w:color w:val="000000"/>
          <w:sz w:val="32"/>
          <w:szCs w:val="32"/>
          <w:lang w:eastAsia="zh-CN"/>
        </w:rPr>
        <w:t>2021年单位</w:t>
      </w:r>
      <w:r>
        <w:rPr>
          <w:rFonts w:hint="eastAsia" w:ascii="仿宋" w:hAnsi="仿宋" w:eastAsia="仿宋"/>
          <w:color w:val="000000"/>
          <w:sz w:val="32"/>
          <w:szCs w:val="32"/>
        </w:rPr>
        <w:t>整体支出绩效评价报告》见附件。</w:t>
      </w:r>
    </w:p>
    <w:p>
      <w:pPr>
        <w:spacing w:line="580" w:lineRule="exact"/>
        <w:ind w:firstLine="640" w:firstLineChars="200"/>
        <w:rPr>
          <w:rFonts w:ascii="仿宋" w:hAnsi="仿宋" w:eastAsia="仿宋"/>
          <w:color w:val="000000"/>
          <w:sz w:val="32"/>
          <w:szCs w:val="32"/>
        </w:rPr>
      </w:pPr>
      <w:r>
        <w:rPr>
          <w:rFonts w:ascii="仿宋" w:hAnsi="仿宋" w:eastAsia="仿宋"/>
          <w:color w:val="000000"/>
          <w:sz w:val="32"/>
          <w:szCs w:val="32"/>
        </w:rPr>
        <w:br w:type="page"/>
      </w:r>
    </w:p>
    <w:p>
      <w:pPr>
        <w:numPr>
          <w:ilvl w:val="0"/>
          <w:numId w:val="6"/>
        </w:numPr>
        <w:spacing w:line="600" w:lineRule="exact"/>
        <w:ind w:firstLine="660" w:firstLineChars="150"/>
        <w:jc w:val="center"/>
        <w:outlineLvl w:val="0"/>
        <w:rPr>
          <w:rFonts w:ascii="宋体"/>
          <w:b/>
          <w:color w:val="000000"/>
          <w:sz w:val="44"/>
          <w:szCs w:val="44"/>
        </w:rPr>
      </w:pPr>
      <w:bookmarkStart w:id="81" w:name="_Toc21016"/>
      <w:bookmarkStart w:id="82" w:name="_Toc15396613"/>
      <w:bookmarkStart w:id="83" w:name="_Toc15377225"/>
      <w:bookmarkStart w:id="84" w:name="_Toc29622"/>
      <w:r>
        <w:rPr>
          <w:rFonts w:hint="eastAsia" w:ascii="黑体" w:hAnsi="黑体" w:eastAsia="黑体"/>
          <w:color w:val="000000"/>
          <w:sz w:val="44"/>
          <w:szCs w:val="44"/>
        </w:rPr>
        <w:t>名</w:t>
      </w:r>
      <w:r>
        <w:rPr>
          <w:rStyle w:val="18"/>
          <w:rFonts w:hint="eastAsia" w:ascii="黑体" w:hAnsi="黑体" w:eastAsia="黑体"/>
          <w:b w:val="0"/>
        </w:rPr>
        <w:t>词解释</w:t>
      </w:r>
      <w:bookmarkEnd w:id="81"/>
      <w:bookmarkEnd w:id="82"/>
      <w:bookmarkEnd w:id="83"/>
      <w:bookmarkEnd w:id="84"/>
    </w:p>
    <w:p>
      <w:pPr>
        <w:pStyle w:val="28"/>
        <w:spacing w:line="560" w:lineRule="exact"/>
        <w:ind w:firstLine="640" w:firstLineChars="200"/>
        <w:outlineLvl w:val="1"/>
        <w:rPr>
          <w:rFonts w:ascii="仿宋_GB2312" w:eastAsia="仿宋_GB2312"/>
          <w:sz w:val="32"/>
          <w:szCs w:val="32"/>
        </w:rPr>
      </w:pPr>
      <w:bookmarkStart w:id="85" w:name="_Toc14327"/>
      <w:bookmarkStart w:id="86" w:name="_Toc14773"/>
      <w:bookmarkStart w:id="87" w:name="_Toc15396614"/>
      <w:bookmarkStart w:id="88" w:name="_Toc15377226"/>
      <w:r>
        <w:rPr>
          <w:rFonts w:ascii="仿宋_GB2312" w:eastAsia="仿宋_GB2312"/>
          <w:sz w:val="32"/>
          <w:szCs w:val="32"/>
        </w:rPr>
        <w:t>1.</w:t>
      </w:r>
      <w:r>
        <w:rPr>
          <w:rFonts w:hint="eastAsia" w:ascii="仿宋_GB2312" w:eastAsia="仿宋_GB2312"/>
          <w:sz w:val="32"/>
          <w:szCs w:val="32"/>
        </w:rPr>
        <w:t>财政拨款收入：反映单位从同级财政</w:t>
      </w:r>
      <w:r>
        <w:rPr>
          <w:rFonts w:hint="eastAsia" w:ascii="仿宋_GB2312" w:eastAsia="仿宋_GB2312"/>
          <w:sz w:val="32"/>
          <w:szCs w:val="32"/>
          <w:lang w:eastAsia="zh-CN"/>
        </w:rPr>
        <w:t>单位</w:t>
      </w:r>
      <w:r>
        <w:rPr>
          <w:rFonts w:hint="eastAsia" w:ascii="仿宋_GB2312" w:eastAsia="仿宋_GB2312"/>
          <w:sz w:val="32"/>
          <w:szCs w:val="32"/>
        </w:rPr>
        <w:t>取得的财政预算资金。</w:t>
      </w:r>
      <w:bookmarkEnd w:id="85"/>
      <w:bookmarkEnd w:id="86"/>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年初结转和结余：反映以前年度尚未完成、结转到本年按有关规定继续使用的资金。</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.年末结转和结余：反映单位按有关规定结转到下年或以后年度继续使用的资金。</w:t>
      </w:r>
    </w:p>
    <w:p>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 社会保障和就业支出（类）人力资源和社会保障管理事务（款）就业管理事务（项）：反映就业</w:t>
      </w:r>
      <w:r>
        <w:rPr>
          <w:rFonts w:ascii="仿宋_GB2312" w:eastAsia="仿宋_GB2312"/>
          <w:sz w:val="32"/>
          <w:szCs w:val="32"/>
        </w:rPr>
        <w:t>和职业技能鉴定管理方面的支出</w:t>
      </w:r>
      <w:r>
        <w:rPr>
          <w:rFonts w:hint="eastAsia" w:ascii="仿宋_GB2312" w:eastAsia="仿宋_GB2312"/>
          <w:sz w:val="32"/>
          <w:szCs w:val="32"/>
        </w:rPr>
        <w:t>。</w:t>
      </w:r>
    </w:p>
    <w:p>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 社会保障和就业支出（类）人力资源和社会保障管理事务（款）信息化建设（项）：反映人力资源和社会保障</w:t>
      </w:r>
      <w:r>
        <w:rPr>
          <w:rFonts w:hint="eastAsia" w:ascii="仿宋_GB2312" w:eastAsia="仿宋_GB2312"/>
          <w:sz w:val="32"/>
          <w:szCs w:val="32"/>
          <w:lang w:eastAsia="zh-CN"/>
        </w:rPr>
        <w:t>单位</w:t>
      </w:r>
      <w:r>
        <w:rPr>
          <w:rFonts w:hint="eastAsia" w:ascii="仿宋_GB2312" w:eastAsia="仿宋_GB2312"/>
          <w:sz w:val="32"/>
          <w:szCs w:val="32"/>
        </w:rPr>
        <w:t>用于信息化建设、运行维护和数据分析等方面的支出，如：金保工程、社会保障卡建设和运行维护、人力资源市场信息化等支出。</w:t>
      </w:r>
    </w:p>
    <w:p>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 社会保障和就业支出（类）人力资源和社会保障管理事务（款）其他人力资源和社会保障管理事务支出（项）：反映除上述项目以外其他人力资源和社会保障管理事务方面的支出。</w:t>
      </w:r>
    </w:p>
    <w:p>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7</w:t>
      </w:r>
      <w:r>
        <w:rPr>
          <w:rFonts w:hint="eastAsia" w:ascii="仿宋_GB2312" w:eastAsia="仿宋_GB2312"/>
          <w:sz w:val="32"/>
          <w:szCs w:val="32"/>
        </w:rPr>
        <w:t>. 社会保障和就业支出（类）行政事业单位离退休（款）机关事业单位基本养老保险缴费支出（项）：反映机关事业单位实施养老保险制度有单位缴纳的基本养老保险费支出。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 医疗卫生与计划生育支出（类）行政事业单位医疗（款）行政单位医疗（项）：反映财政</w:t>
      </w:r>
      <w:r>
        <w:rPr>
          <w:rFonts w:hint="eastAsia" w:ascii="仿宋_GB2312" w:eastAsia="仿宋_GB2312"/>
          <w:sz w:val="32"/>
          <w:szCs w:val="32"/>
          <w:lang w:eastAsia="zh-CN"/>
        </w:rPr>
        <w:t>单位</w:t>
      </w:r>
      <w:r>
        <w:rPr>
          <w:rFonts w:hint="eastAsia" w:ascii="仿宋_GB2312" w:eastAsia="仿宋_GB2312"/>
          <w:sz w:val="32"/>
          <w:szCs w:val="32"/>
        </w:rPr>
        <w:t>集中安排的行政单位基本医疗保险缴费经费、未参加医疗保险的行政单位公费医疗经费，按国家规定享受离退休人员、红军老战士待遇人员的医疗经费。</w:t>
      </w:r>
    </w:p>
    <w:p>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 住房保障支出（类）住房改革支出（款）住房公积金（项）：反映行政事业单位按人力资源和社会保障部、财政部规定的基本工资和津贴补贴以及规定比例为职工缴纳的住房公积金。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“三公”经费：指</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8"/>
          <w:rFonts w:ascii="黑体" w:hAnsi="黑体" w:eastAsia="黑体"/>
          <w:b w:val="0"/>
        </w:rPr>
      </w:pPr>
      <w:r>
        <w:rPr>
          <w:rFonts w:hint="eastAsia" w:ascii="黑体" w:hAnsi="黑体" w:eastAsia="黑体"/>
          <w:color w:val="000000"/>
          <w:sz w:val="44"/>
          <w:szCs w:val="44"/>
        </w:rPr>
        <w:br w:type="page"/>
      </w:r>
      <w:bookmarkStart w:id="89" w:name="_Toc30967"/>
      <w:bookmarkStart w:id="90" w:name="_Toc18211"/>
      <w:r>
        <w:rPr>
          <w:rFonts w:hint="eastAsia" w:ascii="黑体" w:hAnsi="黑体" w:eastAsia="黑体"/>
          <w:color w:val="000000"/>
          <w:sz w:val="44"/>
          <w:szCs w:val="44"/>
        </w:rPr>
        <w:t>第</w:t>
      </w:r>
      <w:r>
        <w:rPr>
          <w:rStyle w:val="18"/>
          <w:rFonts w:hint="eastAsia" w:ascii="黑体" w:hAnsi="黑体" w:eastAsia="黑体"/>
          <w:b w:val="0"/>
        </w:rPr>
        <w:t>四部分</w:t>
      </w:r>
      <w:r>
        <w:rPr>
          <w:rStyle w:val="18"/>
          <w:rFonts w:ascii="黑体" w:hAnsi="黑体" w:eastAsia="黑体"/>
          <w:b w:val="0"/>
        </w:rPr>
        <w:t xml:space="preserve"> </w:t>
      </w:r>
      <w:r>
        <w:rPr>
          <w:rStyle w:val="18"/>
          <w:rFonts w:hint="eastAsia" w:ascii="黑体" w:hAnsi="黑体" w:eastAsia="黑体"/>
          <w:b w:val="0"/>
        </w:rPr>
        <w:t>附件</w:t>
      </w:r>
      <w:bookmarkEnd w:id="87"/>
      <w:bookmarkEnd w:id="89"/>
      <w:bookmarkEnd w:id="90"/>
    </w:p>
    <w:p>
      <w:pPr>
        <w:spacing w:line="600" w:lineRule="exact"/>
        <w:jc w:val="left"/>
        <w:outlineLvl w:val="1"/>
        <w:rPr>
          <w:rFonts w:ascii="方正小标宋简体" w:hAnsi="方正小标宋简体" w:eastAsia="方正小标宋简体" w:cs="方正小标宋简体"/>
          <w:sz w:val="32"/>
          <w:szCs w:val="32"/>
        </w:rPr>
      </w:pPr>
      <w:bookmarkStart w:id="91" w:name="_Toc26487"/>
      <w:bookmarkStart w:id="92" w:name="_Toc2653"/>
      <w:r>
        <w:rPr>
          <w:rFonts w:hint="eastAsia" w:ascii="黑体" w:hAnsi="黑体" w:eastAsia="黑体" w:cs="黑体"/>
          <w:sz w:val="32"/>
          <w:szCs w:val="32"/>
        </w:rPr>
        <w:t>附件</w:t>
      </w:r>
      <w:r>
        <w:rPr>
          <w:rFonts w:ascii="黑体" w:hAnsi="黑体" w:eastAsia="黑体" w:cs="黑体"/>
          <w:sz w:val="32"/>
          <w:szCs w:val="32"/>
        </w:rPr>
        <w:t>1</w:t>
      </w:r>
      <w:bookmarkEnd w:id="91"/>
      <w:bookmarkEnd w:id="92"/>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hint="eastAsia"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广元市人才交流中心</w:t>
      </w: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eastAsia="zh-CN"/>
        </w:rPr>
        <w:t>2021年单位</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outlineLvl w:val="1"/>
        <w:rPr>
          <w:rFonts w:ascii="黑体" w:hAnsi="宋体" w:eastAsia="黑体" w:cs="宋体"/>
          <w:color w:val="000000"/>
          <w:kern w:val="0"/>
          <w:sz w:val="32"/>
          <w:szCs w:val="32"/>
          <w:shd w:val="clear" w:color="auto" w:fill="FFFFFF"/>
          <w:lang w:val="zh-CN"/>
        </w:rPr>
      </w:pPr>
      <w:bookmarkStart w:id="93" w:name="_Toc11349"/>
      <w:bookmarkStart w:id="94" w:name="_Toc8171"/>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单位概况</w:t>
      </w:r>
      <w:bookmarkEnd w:id="93"/>
      <w:bookmarkEnd w:id="94"/>
    </w:p>
    <w:p>
      <w:pPr>
        <w:spacing w:line="576" w:lineRule="exact"/>
        <w:ind w:firstLine="640" w:firstLineChars="200"/>
        <w:outlineLvl w:val="2"/>
        <w:rPr>
          <w:rFonts w:ascii="楷体_GB2312" w:eastAsia="楷体_GB2312"/>
          <w:sz w:val="32"/>
          <w:szCs w:val="32"/>
        </w:rPr>
      </w:pPr>
      <w:bookmarkStart w:id="95" w:name="_Toc27951"/>
      <w:r>
        <w:rPr>
          <w:rFonts w:hint="eastAsia" w:ascii="楷体_GB2312" w:eastAsia="楷体_GB2312"/>
          <w:sz w:val="32"/>
          <w:szCs w:val="32"/>
        </w:rPr>
        <w:t>（一）基本情况</w:t>
      </w:r>
      <w:bookmarkEnd w:id="95"/>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广元市人才交流中心隶属广元市人力资源和社会保障局下属二级财政全额拨款事业单位。</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截至</w:t>
      </w:r>
      <w:r>
        <w:rPr>
          <w:rFonts w:hint="eastAsia" w:ascii="仿宋_GB2312" w:eastAsia="仿宋_GB2312"/>
          <w:sz w:val="32"/>
          <w:szCs w:val="32"/>
          <w:lang w:eastAsia="zh-CN"/>
        </w:rPr>
        <w:t>2021年</w:t>
      </w:r>
      <w:r>
        <w:rPr>
          <w:rFonts w:hint="eastAsia" w:ascii="仿宋_GB2312" w:eastAsia="仿宋_GB2312"/>
          <w:sz w:val="32"/>
          <w:szCs w:val="32"/>
        </w:rPr>
        <w:t>末，核定编制总数29名，在职人员23人，离退休人员 5人。</w:t>
      </w:r>
    </w:p>
    <w:p>
      <w:pPr>
        <w:numPr>
          <w:ilvl w:val="0"/>
          <w:numId w:val="7"/>
        </w:numPr>
        <w:spacing w:line="576" w:lineRule="exact"/>
        <w:ind w:firstLine="640" w:firstLineChars="200"/>
        <w:outlineLvl w:val="2"/>
        <w:rPr>
          <w:rFonts w:hint="eastAsia" w:ascii="楷体_GB2312" w:eastAsia="楷体_GB2312"/>
          <w:sz w:val="32"/>
          <w:szCs w:val="32"/>
        </w:rPr>
      </w:pPr>
      <w:bookmarkStart w:id="96" w:name="_Toc23051"/>
      <w:r>
        <w:rPr>
          <w:rFonts w:hint="eastAsia" w:ascii="楷体_GB2312" w:eastAsia="楷体_GB2312"/>
          <w:sz w:val="32"/>
          <w:szCs w:val="32"/>
        </w:rPr>
        <w:t>机构主要职能</w:t>
      </w:r>
      <w:bookmarkEnd w:id="96"/>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市人才交流中心主要负责宣传贯彻人才和就业工作方针、政策和法规，提供公共人才和就业服务。</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 xml:space="preserve">1.负责高校毕业生和流动人员人事档案接收、管理； </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 xml:space="preserve">2.负责流动人员人事档案信息化和网上业务平台的建设工作； </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3.负责高校毕业生创业就业指导和就业服务管理工作；</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4.开展现场和网上人才市场的培育、发展和管理；</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5.提供人才和劳动力资源供求信息，为各类人才提供就业服务、综合性职业介绍用工指导、就业政策咨询，组织举办公益性人才和就业招聘会；</w:t>
      </w:r>
    </w:p>
    <w:p>
      <w:pPr>
        <w:spacing w:line="576" w:lineRule="exact"/>
        <w:ind w:firstLine="640" w:firstLineChars="200"/>
        <w:outlineLvl w:val="3"/>
        <w:rPr>
          <w:rFonts w:hint="eastAsia" w:ascii="仿宋_GB2312" w:eastAsia="仿宋_GB2312"/>
          <w:sz w:val="32"/>
          <w:szCs w:val="32"/>
        </w:rPr>
      </w:pPr>
      <w:r>
        <w:rPr>
          <w:rFonts w:hint="eastAsia" w:ascii="仿宋_GB2312" w:eastAsia="仿宋_GB2312"/>
          <w:sz w:val="32"/>
          <w:szCs w:val="32"/>
        </w:rPr>
        <w:t>6.负责保障本级企业用工服务工作；</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7.承担本级非公经济组织等体制外专业技术人才职称申报、评审工作；</w:t>
      </w:r>
    </w:p>
    <w:p>
      <w:pPr>
        <w:widowControl/>
        <w:adjustRightInd w:val="0"/>
        <w:snapToGrid w:val="0"/>
        <w:spacing w:line="580" w:lineRule="exact"/>
        <w:ind w:firstLine="640" w:firstLineChars="200"/>
        <w:contextualSpacing/>
        <w:jc w:val="left"/>
        <w:outlineLvl w:val="1"/>
        <w:rPr>
          <w:rFonts w:ascii="黑体" w:hAnsi="宋体" w:eastAsia="黑体" w:cs="宋体"/>
          <w:color w:val="000000"/>
          <w:kern w:val="0"/>
          <w:sz w:val="32"/>
          <w:szCs w:val="32"/>
          <w:shd w:val="clear" w:color="auto" w:fill="FFFFFF"/>
        </w:rPr>
      </w:pPr>
      <w:bookmarkStart w:id="97" w:name="_Toc23082"/>
      <w:bookmarkStart w:id="98" w:name="_Toc11544"/>
      <w:r>
        <w:rPr>
          <w:rFonts w:hint="eastAsia" w:ascii="黑体" w:hAnsi="宋体" w:eastAsia="黑体" w:cs="宋体"/>
          <w:color w:val="000000"/>
          <w:kern w:val="0"/>
          <w:sz w:val="32"/>
          <w:szCs w:val="32"/>
          <w:shd w:val="clear" w:color="auto" w:fill="FFFFFF"/>
        </w:rPr>
        <w:t>二、</w:t>
      </w:r>
      <w:r>
        <w:rPr>
          <w:rFonts w:hint="eastAsia" w:ascii="黑体" w:hAnsi="宋体" w:eastAsia="黑体" w:cs="宋体"/>
          <w:color w:val="000000"/>
          <w:kern w:val="0"/>
          <w:sz w:val="32"/>
          <w:szCs w:val="32"/>
          <w:shd w:val="clear" w:color="auto" w:fill="FFFFFF"/>
          <w:lang w:eastAsia="zh-CN"/>
        </w:rPr>
        <w:t>单位</w:t>
      </w:r>
      <w:r>
        <w:rPr>
          <w:rFonts w:hint="eastAsia" w:ascii="黑体" w:hAnsi="宋体" w:eastAsia="黑体" w:cs="宋体"/>
          <w:color w:val="000000"/>
          <w:kern w:val="0"/>
          <w:sz w:val="32"/>
          <w:szCs w:val="32"/>
          <w:shd w:val="clear" w:color="auto" w:fill="FFFFFF"/>
        </w:rPr>
        <w:t>财政资金收支情况</w:t>
      </w:r>
      <w:bookmarkEnd w:id="97"/>
      <w:bookmarkEnd w:id="98"/>
    </w:p>
    <w:p>
      <w:pPr>
        <w:widowControl/>
        <w:adjustRightInd w:val="0"/>
        <w:snapToGrid w:val="0"/>
        <w:spacing w:line="580" w:lineRule="exact"/>
        <w:ind w:firstLine="640" w:firstLineChars="200"/>
        <w:contextualSpacing/>
        <w:jc w:val="left"/>
        <w:outlineLvl w:val="2"/>
        <w:rPr>
          <w:rFonts w:hint="eastAsia" w:ascii="仿宋_GB2312" w:hAnsi="宋体" w:eastAsia="仿宋_GB2312" w:cs="宋体"/>
          <w:color w:val="000000"/>
          <w:kern w:val="0"/>
          <w:sz w:val="32"/>
          <w:szCs w:val="32"/>
          <w:shd w:val="clear" w:color="auto" w:fill="FFFFFF"/>
          <w:lang w:val="zh-CN"/>
        </w:rPr>
      </w:pPr>
      <w:bookmarkStart w:id="99" w:name="_Toc30626"/>
      <w:r>
        <w:rPr>
          <w:rFonts w:hint="eastAsia" w:ascii="仿宋_GB2312" w:hAnsi="宋体" w:eastAsia="仿宋_GB2312" w:cs="宋体"/>
          <w:color w:val="000000"/>
          <w:kern w:val="0"/>
          <w:sz w:val="32"/>
          <w:szCs w:val="32"/>
          <w:shd w:val="clear" w:color="auto" w:fill="FFFFFF"/>
          <w:lang w:val="zh-CN"/>
        </w:rPr>
        <w:t>（一）单位财政资金收入情况。</w:t>
      </w:r>
      <w:bookmarkEnd w:id="99"/>
    </w:p>
    <w:p>
      <w:pPr>
        <w:spacing w:line="600" w:lineRule="exact"/>
        <w:ind w:firstLine="640" w:firstLineChars="200"/>
        <w:outlineLvl w:val="3"/>
        <w:rPr>
          <w:lang w:val="zh-CN"/>
        </w:rPr>
      </w:pPr>
      <w:r>
        <w:rPr>
          <w:rFonts w:hint="eastAsia" w:ascii="仿宋" w:eastAsia="仿宋"/>
          <w:color w:val="000000"/>
          <w:sz w:val="32"/>
          <w:szCs w:val="32"/>
          <w:lang w:eastAsia="zh-CN"/>
        </w:rPr>
        <w:t>2021年</w:t>
      </w:r>
      <w:r>
        <w:rPr>
          <w:rFonts w:hint="eastAsia" w:ascii="仿宋" w:eastAsia="仿宋"/>
          <w:color w:val="000000"/>
          <w:sz w:val="32"/>
          <w:szCs w:val="32"/>
        </w:rPr>
        <w:t>本中心收入合计342.43万元，全部为一般公共预算财政拨款收入。</w:t>
      </w:r>
    </w:p>
    <w:p>
      <w:pPr>
        <w:widowControl/>
        <w:numPr>
          <w:ilvl w:val="0"/>
          <w:numId w:val="7"/>
        </w:numPr>
        <w:adjustRightInd w:val="0"/>
        <w:snapToGrid w:val="0"/>
        <w:spacing w:line="580" w:lineRule="exact"/>
        <w:ind w:firstLine="640" w:firstLineChars="200"/>
        <w:contextualSpacing/>
        <w:jc w:val="left"/>
        <w:outlineLvl w:val="2"/>
        <w:rPr>
          <w:rFonts w:hint="eastAsia" w:ascii="仿宋_GB2312" w:hAnsi="宋体" w:eastAsia="仿宋_GB2312" w:cs="宋体"/>
          <w:color w:val="000000"/>
          <w:kern w:val="0"/>
          <w:sz w:val="32"/>
          <w:szCs w:val="32"/>
          <w:shd w:val="clear" w:color="auto" w:fill="FFFFFF"/>
          <w:lang w:val="zh-CN"/>
        </w:rPr>
      </w:pPr>
      <w:bookmarkStart w:id="100" w:name="_Toc12268"/>
      <w:r>
        <w:rPr>
          <w:rFonts w:hint="eastAsia" w:ascii="仿宋_GB2312" w:hAnsi="宋体" w:eastAsia="仿宋_GB2312" w:cs="宋体"/>
          <w:color w:val="000000"/>
          <w:kern w:val="0"/>
          <w:sz w:val="32"/>
          <w:szCs w:val="32"/>
          <w:shd w:val="clear" w:color="auto" w:fill="FFFFFF"/>
          <w:lang w:val="zh-CN"/>
        </w:rPr>
        <w:t>单位财政资金支出情况。</w:t>
      </w:r>
      <w:bookmarkEnd w:id="100"/>
    </w:p>
    <w:p>
      <w:pPr>
        <w:pStyle w:val="17"/>
        <w:ind w:firstLine="640" w:firstLineChars="200"/>
        <w:rPr>
          <w:rFonts w:ascii="仿宋" w:eastAsia="仿宋" w:cs="Times New Roman"/>
          <w:color w:val="000000"/>
          <w:sz w:val="32"/>
          <w:szCs w:val="32"/>
        </w:rPr>
      </w:pPr>
      <w:r>
        <w:rPr>
          <w:rFonts w:hint="eastAsia" w:ascii="仿宋" w:eastAsia="仿宋" w:cs="Times New Roman"/>
          <w:color w:val="000000"/>
          <w:sz w:val="32"/>
          <w:szCs w:val="32"/>
          <w:lang w:eastAsia="zh-CN"/>
        </w:rPr>
        <w:t>2021年</w:t>
      </w:r>
      <w:r>
        <w:rPr>
          <w:rFonts w:hint="eastAsia" w:ascii="仿宋" w:eastAsia="仿宋" w:cs="Times New Roman"/>
          <w:color w:val="000000"/>
          <w:sz w:val="32"/>
          <w:szCs w:val="32"/>
        </w:rPr>
        <w:t>本中心支出</w:t>
      </w:r>
      <w:r>
        <w:rPr>
          <w:rFonts w:hint="eastAsia" w:ascii="仿宋" w:eastAsia="仿宋" w:cs="Times New Roman"/>
          <w:color w:val="000000"/>
          <w:sz w:val="32"/>
          <w:szCs w:val="32"/>
          <w:lang w:eastAsia="zh-CN"/>
        </w:rPr>
        <w:t>325.89</w:t>
      </w:r>
      <w:r>
        <w:rPr>
          <w:rFonts w:hint="eastAsia" w:ascii="仿宋" w:eastAsia="仿宋" w:cs="Times New Roman"/>
          <w:color w:val="000000"/>
          <w:sz w:val="32"/>
          <w:szCs w:val="32"/>
        </w:rPr>
        <w:t>万元，全部为一般公共预算财政拨款支出。其中人员类支出305.9万元，占比89%；公用类支出19.99万元，占比6%，项目类支出15.91万元，占比</w:t>
      </w:r>
      <w:r>
        <w:rPr>
          <w:rFonts w:hint="eastAsia" w:ascii="仿宋" w:eastAsia="仿宋" w:cs="Times New Roman"/>
          <w:color w:val="000000"/>
          <w:sz w:val="32"/>
          <w:szCs w:val="32"/>
          <w:lang w:val="en-US" w:eastAsia="zh-CN"/>
        </w:rPr>
        <w:t>5</w:t>
      </w:r>
      <w:r>
        <w:rPr>
          <w:rFonts w:hint="eastAsia" w:ascii="仿宋" w:eastAsia="仿宋" w:cs="Times New Roman"/>
          <w:color w:val="000000"/>
          <w:sz w:val="32"/>
          <w:szCs w:val="32"/>
        </w:rPr>
        <w:t>%。</w:t>
      </w:r>
    </w:p>
    <w:p>
      <w:pPr>
        <w:widowControl/>
        <w:adjustRightInd w:val="0"/>
        <w:snapToGrid w:val="0"/>
        <w:spacing w:line="580" w:lineRule="exact"/>
        <w:ind w:firstLine="640" w:firstLineChars="200"/>
        <w:contextualSpacing/>
        <w:jc w:val="left"/>
        <w:outlineLvl w:val="1"/>
        <w:rPr>
          <w:rFonts w:ascii="黑体" w:hAnsi="宋体" w:eastAsia="黑体" w:cs="宋体"/>
          <w:color w:val="000000"/>
          <w:kern w:val="0"/>
          <w:sz w:val="32"/>
          <w:szCs w:val="32"/>
          <w:shd w:val="clear" w:color="auto" w:fill="FFFFFF"/>
        </w:rPr>
      </w:pPr>
      <w:bookmarkStart w:id="101" w:name="_Toc22122"/>
      <w:bookmarkStart w:id="102" w:name="_Toc14823"/>
      <w:r>
        <w:rPr>
          <w:rFonts w:hint="eastAsia" w:ascii="黑体" w:hAnsi="宋体" w:eastAsia="黑体" w:cs="宋体"/>
          <w:color w:val="000000"/>
          <w:kern w:val="0"/>
          <w:sz w:val="32"/>
          <w:szCs w:val="32"/>
          <w:shd w:val="clear" w:color="auto" w:fill="FFFFFF"/>
        </w:rPr>
        <w:t>三、</w:t>
      </w:r>
      <w:r>
        <w:rPr>
          <w:rFonts w:hint="eastAsia" w:ascii="黑体" w:hAnsi="宋体" w:eastAsia="黑体" w:cs="宋体"/>
          <w:color w:val="000000"/>
          <w:kern w:val="0"/>
          <w:sz w:val="32"/>
          <w:szCs w:val="32"/>
          <w:shd w:val="clear" w:color="auto" w:fill="FFFFFF"/>
          <w:lang w:eastAsia="zh-CN"/>
        </w:rPr>
        <w:t>单位</w:t>
      </w:r>
      <w:r>
        <w:rPr>
          <w:rFonts w:hint="eastAsia" w:ascii="黑体" w:hAnsi="宋体" w:eastAsia="黑体" w:cs="宋体"/>
          <w:color w:val="000000"/>
          <w:kern w:val="0"/>
          <w:sz w:val="32"/>
          <w:szCs w:val="32"/>
          <w:shd w:val="clear" w:color="auto" w:fill="FFFFFF"/>
        </w:rPr>
        <w:t>整体预算绩效管理情况</w:t>
      </w:r>
      <w:bookmarkEnd w:id="101"/>
      <w:bookmarkEnd w:id="102"/>
    </w:p>
    <w:p>
      <w:pPr>
        <w:widowControl/>
        <w:adjustRightInd w:val="0"/>
        <w:snapToGrid w:val="0"/>
        <w:spacing w:line="580" w:lineRule="exact"/>
        <w:ind w:firstLine="640" w:firstLineChars="200"/>
        <w:contextualSpacing/>
        <w:jc w:val="left"/>
        <w:outlineLvl w:val="2"/>
        <w:rPr>
          <w:rFonts w:ascii="仿宋_GB2312" w:hAnsi="宋体" w:eastAsia="仿宋_GB2312" w:cs="宋体"/>
          <w:color w:val="000000"/>
          <w:kern w:val="0"/>
          <w:sz w:val="32"/>
          <w:szCs w:val="32"/>
          <w:shd w:val="clear" w:color="auto" w:fill="FFFFFF"/>
          <w:lang w:val="zh-CN"/>
        </w:rPr>
      </w:pPr>
      <w:bookmarkStart w:id="103" w:name="_Toc12432"/>
      <w:r>
        <w:rPr>
          <w:rFonts w:hint="eastAsia" w:ascii="仿宋_GB2312" w:hAnsi="宋体" w:eastAsia="仿宋_GB2312" w:cs="宋体"/>
          <w:color w:val="000000"/>
          <w:kern w:val="0"/>
          <w:sz w:val="32"/>
          <w:szCs w:val="32"/>
          <w:shd w:val="clear" w:color="auto" w:fill="FFFFFF"/>
          <w:lang w:val="zh-CN"/>
        </w:rPr>
        <w:t>（一）单位预算管理。</w:t>
      </w:r>
      <w:bookmarkEnd w:id="103"/>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本中心严格按照《预算法》、《关于编制2021年市级单位预算通知》等预算编制的法律、法规和有关制度，汇总编报了本单位预算。制定了单位整体绩效目标，预算编制详细、准确，严格按照项目资金的用途和使用范围执行预算，严格按项目和进度执行预算，合理安排资金支出，预算执行进度较快，预算完成情况较好，无违规记录等情况。</w:t>
      </w:r>
    </w:p>
    <w:p>
      <w:pPr>
        <w:widowControl/>
        <w:adjustRightInd w:val="0"/>
        <w:snapToGrid w:val="0"/>
        <w:spacing w:line="580" w:lineRule="exact"/>
        <w:ind w:firstLine="640" w:firstLineChars="200"/>
        <w:contextualSpacing/>
        <w:jc w:val="left"/>
        <w:outlineLvl w:val="2"/>
        <w:rPr>
          <w:rFonts w:ascii="仿宋_GB2312" w:hAnsi="宋体" w:eastAsia="仿宋_GB2312" w:cs="宋体"/>
          <w:color w:val="000000"/>
          <w:kern w:val="0"/>
          <w:sz w:val="32"/>
          <w:szCs w:val="32"/>
          <w:shd w:val="clear" w:color="auto" w:fill="FFFFFF"/>
          <w:lang w:val="zh-CN"/>
        </w:rPr>
      </w:pPr>
      <w:bookmarkStart w:id="104" w:name="_Toc17970"/>
      <w:r>
        <w:rPr>
          <w:rFonts w:hint="eastAsia" w:ascii="仿宋_GB2312" w:hAnsi="宋体" w:eastAsia="仿宋_GB2312" w:cs="宋体"/>
          <w:color w:val="000000"/>
          <w:kern w:val="0"/>
          <w:sz w:val="32"/>
          <w:szCs w:val="32"/>
          <w:shd w:val="clear" w:color="auto" w:fill="FFFFFF"/>
          <w:lang w:val="zh-CN"/>
        </w:rPr>
        <w:t>（二）结果应用情况。</w:t>
      </w:r>
      <w:bookmarkEnd w:id="104"/>
    </w:p>
    <w:p>
      <w:pPr>
        <w:spacing w:line="576" w:lineRule="exact"/>
        <w:ind w:firstLine="640" w:firstLineChars="200"/>
        <w:rPr>
          <w:rFonts w:hint="eastAsia" w:ascii="仿宋_GB2312" w:eastAsia="仿宋_GB2312"/>
          <w:spacing w:val="10"/>
          <w:sz w:val="32"/>
          <w:szCs w:val="32"/>
        </w:rPr>
      </w:pPr>
      <w:r>
        <w:rPr>
          <w:rFonts w:hint="eastAsia" w:ascii="仿宋_GB2312" w:eastAsia="仿宋_GB2312"/>
          <w:sz w:val="32"/>
          <w:szCs w:val="32"/>
        </w:rPr>
        <w:t>我中心</w:t>
      </w:r>
      <w:r>
        <w:rPr>
          <w:rFonts w:hint="eastAsia" w:ascii="仿宋_GB2312" w:eastAsia="仿宋_GB2312"/>
          <w:spacing w:val="-6"/>
          <w:sz w:val="32"/>
          <w:szCs w:val="32"/>
        </w:rPr>
        <w:t>按照</w:t>
      </w:r>
      <w:r>
        <w:rPr>
          <w:rFonts w:hint="eastAsia" w:ascii="仿宋_GB2312" w:eastAsia="仿宋_GB2312"/>
          <w:spacing w:val="-6"/>
          <w:sz w:val="32"/>
          <w:szCs w:val="32"/>
          <w:lang w:eastAsia="zh-CN"/>
        </w:rPr>
        <w:t>单位</w:t>
      </w:r>
      <w:r>
        <w:rPr>
          <w:rFonts w:hint="eastAsia" w:ascii="仿宋_GB2312" w:eastAsia="仿宋_GB2312"/>
          <w:spacing w:val="-6"/>
          <w:sz w:val="32"/>
          <w:szCs w:val="32"/>
        </w:rPr>
        <w:t>支出绩效评价指标体系，全面收集整理各类基础资料，包括</w:t>
      </w:r>
      <w:r>
        <w:rPr>
          <w:rFonts w:hint="eastAsia" w:ascii="仿宋_GB2312" w:eastAsia="仿宋_GB2312"/>
          <w:spacing w:val="-6"/>
          <w:sz w:val="32"/>
          <w:szCs w:val="32"/>
          <w:lang w:eastAsia="zh-CN"/>
        </w:rPr>
        <w:t>单位</w:t>
      </w:r>
      <w:r>
        <w:rPr>
          <w:rFonts w:hint="eastAsia" w:ascii="仿宋_GB2312" w:eastAsia="仿宋_GB2312"/>
          <w:spacing w:val="-6"/>
          <w:sz w:val="32"/>
          <w:szCs w:val="32"/>
        </w:rPr>
        <w:t>预算、决算编制，财务管理，财政政策执行，财经纪律监督执行，项目申报、批复、实施等相关文件资料。对照</w:t>
      </w:r>
      <w:r>
        <w:rPr>
          <w:rFonts w:hint="eastAsia" w:ascii="仿宋_GB2312" w:eastAsia="仿宋_GB2312"/>
          <w:spacing w:val="-6"/>
          <w:sz w:val="32"/>
          <w:szCs w:val="32"/>
          <w:lang w:eastAsia="zh-CN"/>
        </w:rPr>
        <w:t>单位</w:t>
      </w:r>
      <w:r>
        <w:rPr>
          <w:rFonts w:hint="eastAsia" w:ascii="仿宋_GB2312" w:eastAsia="仿宋_GB2312"/>
          <w:spacing w:val="-6"/>
          <w:sz w:val="32"/>
          <w:szCs w:val="32"/>
        </w:rPr>
        <w:t>绩效评价指标及评分标准，进行科学分析，客观评价打分，形成自评报告。</w:t>
      </w:r>
      <w:r>
        <w:rPr>
          <w:rFonts w:hint="eastAsia" w:ascii="仿宋_GB2312" w:eastAsia="仿宋_GB2312"/>
          <w:sz w:val="32"/>
          <w:szCs w:val="32"/>
        </w:rPr>
        <w:t>根据绩效自评结果，对自评</w:t>
      </w:r>
      <w:r>
        <w:rPr>
          <w:rFonts w:hint="eastAsia" w:ascii="仿宋_GB2312" w:eastAsia="仿宋_GB2312"/>
          <w:spacing w:val="10"/>
          <w:sz w:val="32"/>
          <w:szCs w:val="32"/>
        </w:rPr>
        <w:t>发现的问题积极落实整改，查漏补缺，精益求精，切实提高财政资金使用绩效。</w:t>
      </w:r>
      <w:r>
        <w:rPr>
          <w:rFonts w:hint="eastAsia" w:ascii="仿宋_GB2312" w:eastAsia="仿宋_GB2312"/>
          <w:spacing w:val="10"/>
          <w:sz w:val="32"/>
          <w:szCs w:val="32"/>
          <w:lang w:eastAsia="zh-CN"/>
        </w:rPr>
        <w:t>单位</w:t>
      </w:r>
      <w:r>
        <w:rPr>
          <w:rFonts w:hint="eastAsia" w:ascii="仿宋_GB2312" w:eastAsia="仿宋_GB2312"/>
          <w:spacing w:val="10"/>
          <w:sz w:val="32"/>
          <w:szCs w:val="32"/>
        </w:rPr>
        <w:t>支出绩效评价自评得分情况如下：</w:t>
      </w:r>
    </w:p>
    <w:p>
      <w:pPr>
        <w:spacing w:line="576" w:lineRule="exact"/>
        <w:ind w:firstLine="642" w:firstLineChars="200"/>
        <w:jc w:val="center"/>
        <w:outlineLvl w:val="1"/>
        <w:rPr>
          <w:rFonts w:ascii="楷体_GB2312" w:eastAsia="楷体_GB2312"/>
          <w:b/>
          <w:sz w:val="32"/>
          <w:szCs w:val="32"/>
        </w:rPr>
      </w:pPr>
      <w:bookmarkStart w:id="105" w:name="_Toc11940"/>
      <w:bookmarkStart w:id="106" w:name="_Toc12861"/>
      <w:r>
        <w:rPr>
          <w:rFonts w:hint="eastAsia" w:ascii="楷体_GB2312" w:eastAsia="楷体_GB2312"/>
          <w:b/>
          <w:sz w:val="32"/>
          <w:szCs w:val="32"/>
          <w:lang w:eastAsia="zh-CN"/>
        </w:rPr>
        <w:t>单位</w:t>
      </w:r>
      <w:r>
        <w:rPr>
          <w:rFonts w:hint="eastAsia" w:ascii="楷体_GB2312" w:eastAsia="楷体_GB2312"/>
          <w:b/>
          <w:sz w:val="32"/>
          <w:szCs w:val="32"/>
        </w:rPr>
        <w:t>支出绩效评价自评得分情况表</w:t>
      </w:r>
      <w:bookmarkEnd w:id="105"/>
      <w:bookmarkEnd w:id="106"/>
    </w:p>
    <w:tbl>
      <w:tblPr>
        <w:tblStyle w:val="13"/>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71"/>
        <w:gridCol w:w="1858"/>
        <w:gridCol w:w="3402"/>
        <w:gridCol w:w="612"/>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1971" w:type="dxa"/>
            <w:noWrap w:val="0"/>
            <w:vAlign w:val="center"/>
          </w:tcPr>
          <w:p>
            <w:pPr>
              <w:jc w:val="center"/>
              <w:rPr>
                <w:rFonts w:ascii="黑体" w:hAnsi="宋体" w:eastAsia="黑体"/>
                <w:b/>
                <w:sz w:val="24"/>
              </w:rPr>
            </w:pPr>
            <w:r>
              <w:rPr>
                <w:rFonts w:hint="eastAsia" w:ascii="黑体" w:hAnsi="宋体" w:eastAsia="黑体"/>
                <w:b/>
                <w:sz w:val="24"/>
              </w:rPr>
              <w:t>一级指标</w:t>
            </w:r>
          </w:p>
        </w:tc>
        <w:tc>
          <w:tcPr>
            <w:tcW w:w="1858" w:type="dxa"/>
            <w:noWrap w:val="0"/>
            <w:vAlign w:val="center"/>
          </w:tcPr>
          <w:p>
            <w:pPr>
              <w:jc w:val="center"/>
              <w:rPr>
                <w:rFonts w:ascii="黑体" w:hAnsi="宋体" w:eastAsia="黑体"/>
                <w:b/>
                <w:sz w:val="24"/>
              </w:rPr>
            </w:pPr>
            <w:r>
              <w:rPr>
                <w:rFonts w:hint="eastAsia" w:ascii="黑体" w:hAnsi="宋体" w:eastAsia="黑体"/>
                <w:b/>
                <w:sz w:val="24"/>
              </w:rPr>
              <w:t>二级指标</w:t>
            </w:r>
          </w:p>
        </w:tc>
        <w:tc>
          <w:tcPr>
            <w:tcW w:w="3402" w:type="dxa"/>
            <w:noWrap w:val="0"/>
            <w:vAlign w:val="center"/>
          </w:tcPr>
          <w:p>
            <w:pPr>
              <w:jc w:val="center"/>
              <w:rPr>
                <w:rFonts w:ascii="黑体" w:hAnsi="宋体" w:eastAsia="黑体"/>
                <w:b/>
                <w:sz w:val="24"/>
              </w:rPr>
            </w:pPr>
            <w:r>
              <w:rPr>
                <w:rFonts w:hint="eastAsia" w:ascii="黑体" w:hAnsi="宋体" w:eastAsia="黑体"/>
                <w:b/>
                <w:sz w:val="24"/>
              </w:rPr>
              <w:t>三级指标</w:t>
            </w:r>
          </w:p>
        </w:tc>
        <w:tc>
          <w:tcPr>
            <w:tcW w:w="612" w:type="dxa"/>
            <w:noWrap w:val="0"/>
            <w:vAlign w:val="center"/>
          </w:tcPr>
          <w:p>
            <w:pPr>
              <w:jc w:val="center"/>
              <w:rPr>
                <w:rFonts w:ascii="黑体" w:hAnsi="宋体" w:eastAsia="黑体"/>
                <w:b/>
                <w:sz w:val="24"/>
              </w:rPr>
            </w:pPr>
            <w:r>
              <w:rPr>
                <w:rFonts w:hint="eastAsia" w:ascii="黑体" w:hAnsi="宋体" w:eastAsia="黑体"/>
                <w:b/>
                <w:sz w:val="24"/>
              </w:rPr>
              <w:t>分值</w:t>
            </w:r>
          </w:p>
        </w:tc>
        <w:tc>
          <w:tcPr>
            <w:tcW w:w="1002" w:type="dxa"/>
            <w:noWrap w:val="0"/>
            <w:vAlign w:val="center"/>
          </w:tcPr>
          <w:p>
            <w:pPr>
              <w:jc w:val="center"/>
              <w:rPr>
                <w:rFonts w:ascii="黑体" w:hAnsi="宋体" w:eastAsia="黑体"/>
                <w:b/>
                <w:sz w:val="24"/>
              </w:rPr>
            </w:pPr>
            <w:r>
              <w:rPr>
                <w:rFonts w:hint="eastAsia" w:ascii="黑体" w:hAnsi="宋体" w:eastAsia="黑体"/>
                <w:b/>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971" w:type="dxa"/>
            <w:vMerge w:val="restart"/>
            <w:noWrap w:val="0"/>
            <w:vAlign w:val="center"/>
          </w:tcPr>
          <w:p>
            <w:pPr>
              <w:rPr>
                <w:rFonts w:ascii="宋体" w:hAnsi="宋体"/>
                <w:sz w:val="24"/>
              </w:rPr>
            </w:pPr>
            <w:r>
              <w:rPr>
                <w:rFonts w:hint="eastAsia" w:ascii="宋体" w:hAnsi="宋体"/>
                <w:sz w:val="24"/>
              </w:rPr>
              <w:t>预算编制</w:t>
            </w:r>
          </w:p>
          <w:p>
            <w:pPr>
              <w:rPr>
                <w:rFonts w:ascii="宋体" w:hAnsi="宋体"/>
                <w:sz w:val="24"/>
              </w:rPr>
            </w:pPr>
            <w:r>
              <w:rPr>
                <w:rFonts w:hint="eastAsia" w:ascii="宋体" w:hAnsi="宋体"/>
                <w:sz w:val="24"/>
              </w:rPr>
              <w:t>（10分）</w:t>
            </w:r>
          </w:p>
        </w:tc>
        <w:tc>
          <w:tcPr>
            <w:tcW w:w="1858" w:type="dxa"/>
            <w:noWrap w:val="0"/>
            <w:vAlign w:val="center"/>
          </w:tcPr>
          <w:p>
            <w:pPr>
              <w:rPr>
                <w:rFonts w:ascii="宋体" w:hAnsi="宋体"/>
                <w:sz w:val="24"/>
              </w:rPr>
            </w:pPr>
            <w:r>
              <w:rPr>
                <w:rFonts w:hint="eastAsia" w:ascii="宋体" w:hAnsi="宋体"/>
                <w:sz w:val="24"/>
              </w:rPr>
              <w:t>报送时间</w:t>
            </w:r>
          </w:p>
        </w:tc>
        <w:tc>
          <w:tcPr>
            <w:tcW w:w="3402" w:type="dxa"/>
            <w:noWrap w:val="0"/>
            <w:vAlign w:val="center"/>
          </w:tcPr>
          <w:p>
            <w:pPr>
              <w:rPr>
                <w:rFonts w:ascii="宋体" w:hAnsi="宋体"/>
                <w:sz w:val="24"/>
              </w:rPr>
            </w:pPr>
            <w:r>
              <w:rPr>
                <w:rFonts w:hint="eastAsia" w:ascii="宋体" w:hAnsi="宋体"/>
                <w:sz w:val="24"/>
              </w:rPr>
              <w:t>报送时效</w:t>
            </w:r>
          </w:p>
        </w:tc>
        <w:tc>
          <w:tcPr>
            <w:tcW w:w="612" w:type="dxa"/>
            <w:noWrap w:val="0"/>
            <w:vAlign w:val="center"/>
          </w:tcPr>
          <w:p>
            <w:pPr>
              <w:jc w:val="center"/>
              <w:rPr>
                <w:rFonts w:ascii="宋体" w:hAnsi="宋体"/>
                <w:sz w:val="24"/>
              </w:rPr>
            </w:pPr>
            <w:r>
              <w:rPr>
                <w:rFonts w:hint="eastAsia" w:ascii="宋体" w:hAnsi="宋体"/>
                <w:sz w:val="24"/>
              </w:rPr>
              <w:t>2</w:t>
            </w:r>
          </w:p>
        </w:tc>
        <w:tc>
          <w:tcPr>
            <w:tcW w:w="1002" w:type="dxa"/>
            <w:noWrap w:val="0"/>
            <w:vAlign w:val="center"/>
          </w:tcPr>
          <w:p>
            <w:pPr>
              <w:jc w:val="center"/>
              <w:rPr>
                <w:rFonts w:hint="eastAsia"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971" w:type="dxa"/>
            <w:vMerge w:val="continue"/>
            <w:noWrap w:val="0"/>
            <w:vAlign w:val="center"/>
          </w:tcPr>
          <w:p>
            <w:pPr>
              <w:rPr>
                <w:rFonts w:ascii="宋体" w:hAnsi="宋体"/>
                <w:sz w:val="24"/>
              </w:rPr>
            </w:pPr>
          </w:p>
        </w:tc>
        <w:tc>
          <w:tcPr>
            <w:tcW w:w="1858" w:type="dxa"/>
            <w:noWrap w:val="0"/>
            <w:vAlign w:val="center"/>
          </w:tcPr>
          <w:p>
            <w:pPr>
              <w:rPr>
                <w:rFonts w:ascii="宋体" w:hAnsi="宋体"/>
                <w:sz w:val="24"/>
              </w:rPr>
            </w:pPr>
            <w:r>
              <w:rPr>
                <w:rFonts w:hint="eastAsia" w:ascii="宋体" w:hAnsi="宋体"/>
                <w:sz w:val="24"/>
              </w:rPr>
              <w:t>编制质量</w:t>
            </w:r>
          </w:p>
        </w:tc>
        <w:tc>
          <w:tcPr>
            <w:tcW w:w="3402" w:type="dxa"/>
            <w:noWrap w:val="0"/>
            <w:vAlign w:val="center"/>
          </w:tcPr>
          <w:p>
            <w:pPr>
              <w:rPr>
                <w:rFonts w:ascii="宋体" w:hAnsi="宋体"/>
                <w:sz w:val="24"/>
              </w:rPr>
            </w:pPr>
            <w:r>
              <w:rPr>
                <w:rFonts w:hint="eastAsia" w:ascii="宋体" w:hAnsi="宋体"/>
                <w:sz w:val="24"/>
              </w:rPr>
              <w:t>预算编制准确</w:t>
            </w:r>
          </w:p>
        </w:tc>
        <w:tc>
          <w:tcPr>
            <w:tcW w:w="612" w:type="dxa"/>
            <w:noWrap w:val="0"/>
            <w:vAlign w:val="center"/>
          </w:tcPr>
          <w:p>
            <w:pPr>
              <w:jc w:val="center"/>
              <w:rPr>
                <w:rFonts w:ascii="宋体" w:hAnsi="宋体"/>
                <w:sz w:val="24"/>
              </w:rPr>
            </w:pPr>
            <w:r>
              <w:rPr>
                <w:rFonts w:hint="eastAsia" w:ascii="宋体" w:hAnsi="宋体"/>
                <w:sz w:val="24"/>
              </w:rPr>
              <w:t>3</w:t>
            </w:r>
          </w:p>
        </w:tc>
        <w:tc>
          <w:tcPr>
            <w:tcW w:w="1002" w:type="dxa"/>
            <w:noWrap w:val="0"/>
            <w:vAlign w:val="center"/>
          </w:tcPr>
          <w:p>
            <w:pPr>
              <w:jc w:val="center"/>
              <w:rPr>
                <w:rFonts w:hint="eastAsia"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971" w:type="dxa"/>
            <w:vMerge w:val="continue"/>
            <w:noWrap w:val="0"/>
            <w:vAlign w:val="center"/>
          </w:tcPr>
          <w:p>
            <w:pPr>
              <w:rPr>
                <w:rFonts w:ascii="宋体" w:hAnsi="宋体"/>
                <w:sz w:val="24"/>
              </w:rPr>
            </w:pPr>
          </w:p>
        </w:tc>
        <w:tc>
          <w:tcPr>
            <w:tcW w:w="1858" w:type="dxa"/>
            <w:vMerge w:val="restart"/>
            <w:noWrap w:val="0"/>
            <w:vAlign w:val="center"/>
          </w:tcPr>
          <w:p>
            <w:pPr>
              <w:rPr>
                <w:rFonts w:ascii="宋体" w:hAnsi="宋体"/>
                <w:sz w:val="24"/>
              </w:rPr>
            </w:pPr>
            <w:r>
              <w:rPr>
                <w:rFonts w:hint="eastAsia" w:ascii="宋体" w:hAnsi="宋体"/>
                <w:sz w:val="24"/>
              </w:rPr>
              <w:t>绩效目标</w:t>
            </w:r>
          </w:p>
        </w:tc>
        <w:tc>
          <w:tcPr>
            <w:tcW w:w="3402" w:type="dxa"/>
            <w:noWrap w:val="0"/>
            <w:vAlign w:val="center"/>
          </w:tcPr>
          <w:p>
            <w:pPr>
              <w:rPr>
                <w:rFonts w:ascii="宋体" w:hAnsi="宋体"/>
                <w:sz w:val="24"/>
              </w:rPr>
            </w:pPr>
            <w:r>
              <w:rPr>
                <w:rFonts w:hint="eastAsia" w:ascii="宋体" w:hAnsi="宋体"/>
                <w:sz w:val="24"/>
                <w:lang w:eastAsia="zh-CN"/>
              </w:rPr>
              <w:t>单位</w:t>
            </w:r>
            <w:r>
              <w:rPr>
                <w:rFonts w:hint="eastAsia" w:ascii="宋体" w:hAnsi="宋体"/>
                <w:sz w:val="24"/>
              </w:rPr>
              <w:t>整体绩效目标</w:t>
            </w:r>
          </w:p>
        </w:tc>
        <w:tc>
          <w:tcPr>
            <w:tcW w:w="612" w:type="dxa"/>
            <w:noWrap w:val="0"/>
            <w:vAlign w:val="center"/>
          </w:tcPr>
          <w:p>
            <w:pPr>
              <w:jc w:val="center"/>
              <w:rPr>
                <w:rFonts w:ascii="宋体" w:hAnsi="宋体"/>
                <w:sz w:val="24"/>
              </w:rPr>
            </w:pPr>
            <w:r>
              <w:rPr>
                <w:rFonts w:hint="eastAsia" w:ascii="宋体" w:hAnsi="宋体"/>
                <w:sz w:val="24"/>
              </w:rPr>
              <w:t>2</w:t>
            </w:r>
          </w:p>
        </w:tc>
        <w:tc>
          <w:tcPr>
            <w:tcW w:w="1002" w:type="dxa"/>
            <w:noWrap w:val="0"/>
            <w:vAlign w:val="center"/>
          </w:tcPr>
          <w:p>
            <w:pPr>
              <w:jc w:val="center"/>
              <w:rPr>
                <w:rFonts w:hint="eastAsia"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971" w:type="dxa"/>
            <w:vMerge w:val="continue"/>
            <w:noWrap w:val="0"/>
            <w:vAlign w:val="center"/>
          </w:tcPr>
          <w:p>
            <w:pPr>
              <w:rPr>
                <w:rFonts w:ascii="宋体" w:hAnsi="宋体"/>
                <w:sz w:val="24"/>
              </w:rPr>
            </w:pPr>
          </w:p>
        </w:tc>
        <w:tc>
          <w:tcPr>
            <w:tcW w:w="1858" w:type="dxa"/>
            <w:vMerge w:val="continue"/>
            <w:noWrap w:val="0"/>
            <w:vAlign w:val="center"/>
          </w:tcPr>
          <w:p>
            <w:pPr>
              <w:rPr>
                <w:rFonts w:ascii="宋体" w:hAnsi="宋体"/>
                <w:sz w:val="24"/>
              </w:rPr>
            </w:pPr>
          </w:p>
        </w:tc>
        <w:tc>
          <w:tcPr>
            <w:tcW w:w="3402" w:type="dxa"/>
            <w:noWrap w:val="0"/>
            <w:vAlign w:val="center"/>
          </w:tcPr>
          <w:p>
            <w:pPr>
              <w:rPr>
                <w:rFonts w:ascii="宋体" w:hAnsi="宋体"/>
                <w:sz w:val="24"/>
              </w:rPr>
            </w:pPr>
            <w:r>
              <w:rPr>
                <w:rFonts w:hint="eastAsia" w:ascii="宋体" w:hAnsi="宋体"/>
                <w:sz w:val="24"/>
              </w:rPr>
              <w:t>项目绩效目标</w:t>
            </w:r>
          </w:p>
        </w:tc>
        <w:tc>
          <w:tcPr>
            <w:tcW w:w="612" w:type="dxa"/>
            <w:noWrap w:val="0"/>
            <w:vAlign w:val="center"/>
          </w:tcPr>
          <w:p>
            <w:pPr>
              <w:jc w:val="center"/>
              <w:rPr>
                <w:rFonts w:ascii="宋体" w:hAnsi="宋体"/>
                <w:sz w:val="24"/>
              </w:rPr>
            </w:pPr>
            <w:r>
              <w:rPr>
                <w:rFonts w:hint="eastAsia" w:ascii="宋体" w:hAnsi="宋体"/>
                <w:sz w:val="24"/>
              </w:rPr>
              <w:t>3</w:t>
            </w:r>
          </w:p>
        </w:tc>
        <w:tc>
          <w:tcPr>
            <w:tcW w:w="1002" w:type="dxa"/>
            <w:noWrap w:val="0"/>
            <w:vAlign w:val="center"/>
          </w:tcPr>
          <w:p>
            <w:pPr>
              <w:jc w:val="center"/>
              <w:rPr>
                <w:rFonts w:hint="eastAsia"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971" w:type="dxa"/>
            <w:vMerge w:val="restart"/>
            <w:noWrap w:val="0"/>
            <w:vAlign w:val="center"/>
          </w:tcPr>
          <w:p>
            <w:pPr>
              <w:rPr>
                <w:rFonts w:ascii="宋体" w:hAnsi="宋体"/>
                <w:sz w:val="24"/>
              </w:rPr>
            </w:pPr>
            <w:r>
              <w:rPr>
                <w:rFonts w:hint="eastAsia" w:ascii="宋体" w:hAnsi="宋体"/>
                <w:sz w:val="24"/>
              </w:rPr>
              <w:t>预算执行</w:t>
            </w:r>
          </w:p>
          <w:p>
            <w:pPr>
              <w:rPr>
                <w:rFonts w:ascii="宋体" w:hAnsi="宋体"/>
                <w:sz w:val="24"/>
              </w:rPr>
            </w:pPr>
            <w:r>
              <w:rPr>
                <w:rFonts w:hint="eastAsia" w:ascii="宋体" w:hAnsi="宋体"/>
                <w:sz w:val="24"/>
              </w:rPr>
              <w:t>（10分）</w:t>
            </w:r>
          </w:p>
        </w:tc>
        <w:tc>
          <w:tcPr>
            <w:tcW w:w="1858" w:type="dxa"/>
            <w:noWrap w:val="0"/>
            <w:vAlign w:val="center"/>
          </w:tcPr>
          <w:p>
            <w:pPr>
              <w:rPr>
                <w:rFonts w:ascii="宋体" w:hAnsi="宋体"/>
                <w:sz w:val="24"/>
              </w:rPr>
            </w:pPr>
            <w:r>
              <w:rPr>
                <w:rFonts w:hint="eastAsia" w:ascii="宋体" w:hAnsi="宋体"/>
                <w:sz w:val="24"/>
              </w:rPr>
              <w:t>执行进度</w:t>
            </w:r>
          </w:p>
        </w:tc>
        <w:tc>
          <w:tcPr>
            <w:tcW w:w="3402" w:type="dxa"/>
            <w:noWrap w:val="0"/>
            <w:vAlign w:val="center"/>
          </w:tcPr>
          <w:p>
            <w:pPr>
              <w:rPr>
                <w:rFonts w:ascii="宋体" w:hAnsi="宋体"/>
                <w:sz w:val="24"/>
              </w:rPr>
            </w:pPr>
            <w:r>
              <w:rPr>
                <w:rFonts w:hint="eastAsia" w:ascii="宋体" w:hAnsi="宋体"/>
                <w:sz w:val="24"/>
                <w:lang w:eastAsia="zh-CN"/>
              </w:rPr>
              <w:t>单位</w:t>
            </w:r>
            <w:r>
              <w:rPr>
                <w:rFonts w:hint="eastAsia" w:ascii="宋体" w:hAnsi="宋体"/>
                <w:sz w:val="24"/>
              </w:rPr>
              <w:t>预算执行进度</w:t>
            </w:r>
          </w:p>
        </w:tc>
        <w:tc>
          <w:tcPr>
            <w:tcW w:w="612" w:type="dxa"/>
            <w:noWrap w:val="0"/>
            <w:vAlign w:val="center"/>
          </w:tcPr>
          <w:p>
            <w:pPr>
              <w:jc w:val="center"/>
              <w:rPr>
                <w:rFonts w:ascii="宋体" w:hAnsi="宋体"/>
                <w:sz w:val="24"/>
              </w:rPr>
            </w:pPr>
            <w:r>
              <w:rPr>
                <w:rFonts w:hint="eastAsia" w:ascii="宋体" w:hAnsi="宋体"/>
                <w:sz w:val="24"/>
              </w:rPr>
              <w:t>2</w:t>
            </w:r>
          </w:p>
        </w:tc>
        <w:tc>
          <w:tcPr>
            <w:tcW w:w="1002" w:type="dxa"/>
            <w:noWrap w:val="0"/>
            <w:vAlign w:val="center"/>
          </w:tcPr>
          <w:p>
            <w:pPr>
              <w:jc w:val="center"/>
              <w:rPr>
                <w:rFonts w:hint="eastAsia"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971" w:type="dxa"/>
            <w:vMerge w:val="continue"/>
            <w:noWrap w:val="0"/>
            <w:vAlign w:val="center"/>
          </w:tcPr>
          <w:p>
            <w:pPr>
              <w:rPr>
                <w:rFonts w:ascii="宋体" w:hAnsi="宋体"/>
                <w:sz w:val="24"/>
              </w:rPr>
            </w:pPr>
          </w:p>
        </w:tc>
        <w:tc>
          <w:tcPr>
            <w:tcW w:w="1858" w:type="dxa"/>
            <w:noWrap w:val="0"/>
            <w:vAlign w:val="center"/>
          </w:tcPr>
          <w:p>
            <w:pPr>
              <w:rPr>
                <w:rFonts w:ascii="宋体" w:hAnsi="宋体"/>
                <w:sz w:val="24"/>
              </w:rPr>
            </w:pPr>
            <w:r>
              <w:rPr>
                <w:rFonts w:hint="eastAsia" w:ascii="宋体" w:hAnsi="宋体"/>
                <w:sz w:val="24"/>
              </w:rPr>
              <w:t>预算调整</w:t>
            </w:r>
          </w:p>
        </w:tc>
        <w:tc>
          <w:tcPr>
            <w:tcW w:w="3402" w:type="dxa"/>
            <w:noWrap w:val="0"/>
            <w:vAlign w:val="center"/>
          </w:tcPr>
          <w:p>
            <w:pPr>
              <w:rPr>
                <w:rFonts w:ascii="宋体" w:hAnsi="宋体"/>
                <w:sz w:val="24"/>
              </w:rPr>
            </w:pPr>
            <w:r>
              <w:rPr>
                <w:rFonts w:hint="eastAsia" w:ascii="宋体" w:hAnsi="宋体"/>
                <w:sz w:val="24"/>
              </w:rPr>
              <w:t>预算执行可行性</w:t>
            </w:r>
          </w:p>
        </w:tc>
        <w:tc>
          <w:tcPr>
            <w:tcW w:w="612" w:type="dxa"/>
            <w:noWrap w:val="0"/>
            <w:vAlign w:val="center"/>
          </w:tcPr>
          <w:p>
            <w:pPr>
              <w:jc w:val="center"/>
              <w:rPr>
                <w:rFonts w:ascii="宋体" w:hAnsi="宋体"/>
                <w:sz w:val="24"/>
              </w:rPr>
            </w:pPr>
            <w:r>
              <w:rPr>
                <w:rFonts w:hint="eastAsia" w:ascii="宋体" w:hAnsi="宋体"/>
                <w:sz w:val="24"/>
              </w:rPr>
              <w:t>2</w:t>
            </w:r>
          </w:p>
        </w:tc>
        <w:tc>
          <w:tcPr>
            <w:tcW w:w="1002" w:type="dxa"/>
            <w:noWrap w:val="0"/>
            <w:vAlign w:val="center"/>
          </w:tcPr>
          <w:p>
            <w:pPr>
              <w:jc w:val="center"/>
              <w:rPr>
                <w:rFonts w:hint="eastAsia"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971" w:type="dxa"/>
            <w:vMerge w:val="continue"/>
            <w:noWrap w:val="0"/>
            <w:vAlign w:val="center"/>
          </w:tcPr>
          <w:p>
            <w:pPr>
              <w:rPr>
                <w:rFonts w:ascii="宋体" w:hAnsi="宋体"/>
                <w:sz w:val="24"/>
              </w:rPr>
            </w:pPr>
          </w:p>
        </w:tc>
        <w:tc>
          <w:tcPr>
            <w:tcW w:w="1858" w:type="dxa"/>
            <w:noWrap w:val="0"/>
            <w:vAlign w:val="center"/>
          </w:tcPr>
          <w:p>
            <w:pPr>
              <w:rPr>
                <w:rFonts w:ascii="宋体" w:hAnsi="宋体"/>
                <w:sz w:val="24"/>
              </w:rPr>
            </w:pPr>
            <w:r>
              <w:rPr>
                <w:rFonts w:hint="eastAsia" w:ascii="宋体" w:hAnsi="宋体"/>
                <w:sz w:val="24"/>
              </w:rPr>
              <w:t>行政成本</w:t>
            </w:r>
          </w:p>
        </w:tc>
        <w:tc>
          <w:tcPr>
            <w:tcW w:w="3402" w:type="dxa"/>
            <w:noWrap w:val="0"/>
            <w:vAlign w:val="center"/>
          </w:tcPr>
          <w:p>
            <w:pPr>
              <w:rPr>
                <w:rFonts w:ascii="宋体" w:hAnsi="宋体"/>
                <w:sz w:val="24"/>
              </w:rPr>
            </w:pPr>
            <w:r>
              <w:rPr>
                <w:rFonts w:hint="eastAsia" w:ascii="宋体" w:hAnsi="宋体"/>
                <w:sz w:val="24"/>
              </w:rPr>
              <w:t>三公经费</w:t>
            </w:r>
          </w:p>
        </w:tc>
        <w:tc>
          <w:tcPr>
            <w:tcW w:w="612" w:type="dxa"/>
            <w:noWrap w:val="0"/>
            <w:vAlign w:val="center"/>
          </w:tcPr>
          <w:p>
            <w:pPr>
              <w:jc w:val="center"/>
              <w:rPr>
                <w:rFonts w:ascii="宋体" w:hAnsi="宋体"/>
                <w:sz w:val="24"/>
              </w:rPr>
            </w:pPr>
            <w:r>
              <w:rPr>
                <w:rFonts w:hint="eastAsia" w:ascii="宋体" w:hAnsi="宋体"/>
                <w:sz w:val="24"/>
              </w:rPr>
              <w:t>3</w:t>
            </w:r>
          </w:p>
        </w:tc>
        <w:tc>
          <w:tcPr>
            <w:tcW w:w="1002" w:type="dxa"/>
            <w:noWrap w:val="0"/>
            <w:vAlign w:val="center"/>
          </w:tcPr>
          <w:p>
            <w:pPr>
              <w:jc w:val="center"/>
              <w:rPr>
                <w:rFonts w:hint="eastAsia"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971" w:type="dxa"/>
            <w:vMerge w:val="continue"/>
            <w:noWrap w:val="0"/>
            <w:vAlign w:val="center"/>
          </w:tcPr>
          <w:p>
            <w:pPr>
              <w:rPr>
                <w:rFonts w:ascii="宋体" w:hAnsi="宋体"/>
                <w:sz w:val="24"/>
              </w:rPr>
            </w:pPr>
          </w:p>
        </w:tc>
        <w:tc>
          <w:tcPr>
            <w:tcW w:w="1858" w:type="dxa"/>
            <w:noWrap w:val="0"/>
            <w:vAlign w:val="center"/>
          </w:tcPr>
          <w:p>
            <w:pPr>
              <w:rPr>
                <w:rFonts w:ascii="宋体" w:hAnsi="宋体"/>
                <w:sz w:val="24"/>
              </w:rPr>
            </w:pPr>
            <w:r>
              <w:rPr>
                <w:rFonts w:hint="eastAsia" w:ascii="宋体" w:hAnsi="宋体"/>
                <w:sz w:val="24"/>
              </w:rPr>
              <w:t>决算</w:t>
            </w:r>
          </w:p>
        </w:tc>
        <w:tc>
          <w:tcPr>
            <w:tcW w:w="3402" w:type="dxa"/>
            <w:noWrap w:val="0"/>
            <w:vAlign w:val="center"/>
          </w:tcPr>
          <w:p>
            <w:pPr>
              <w:rPr>
                <w:rFonts w:ascii="宋体" w:hAnsi="宋体"/>
                <w:sz w:val="24"/>
              </w:rPr>
            </w:pPr>
            <w:r>
              <w:rPr>
                <w:rFonts w:hint="eastAsia" w:ascii="宋体" w:hAnsi="宋体"/>
                <w:sz w:val="24"/>
                <w:lang w:eastAsia="zh-CN"/>
              </w:rPr>
              <w:t>单位</w:t>
            </w:r>
            <w:r>
              <w:rPr>
                <w:rFonts w:hint="eastAsia" w:ascii="宋体" w:hAnsi="宋体"/>
                <w:sz w:val="24"/>
              </w:rPr>
              <w:t>决算编制和审查</w:t>
            </w:r>
          </w:p>
        </w:tc>
        <w:tc>
          <w:tcPr>
            <w:tcW w:w="612" w:type="dxa"/>
            <w:noWrap w:val="0"/>
            <w:vAlign w:val="center"/>
          </w:tcPr>
          <w:p>
            <w:pPr>
              <w:jc w:val="center"/>
              <w:rPr>
                <w:rFonts w:ascii="宋体" w:hAnsi="宋体"/>
                <w:sz w:val="24"/>
              </w:rPr>
            </w:pPr>
            <w:r>
              <w:rPr>
                <w:rFonts w:hint="eastAsia" w:ascii="宋体" w:hAnsi="宋体"/>
                <w:sz w:val="24"/>
              </w:rPr>
              <w:t>3</w:t>
            </w:r>
          </w:p>
        </w:tc>
        <w:tc>
          <w:tcPr>
            <w:tcW w:w="1002" w:type="dxa"/>
            <w:noWrap w:val="0"/>
            <w:vAlign w:val="center"/>
          </w:tcPr>
          <w:p>
            <w:pPr>
              <w:jc w:val="center"/>
              <w:rPr>
                <w:rFonts w:hint="eastAsia"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971" w:type="dxa"/>
            <w:vMerge w:val="restart"/>
            <w:noWrap w:val="0"/>
            <w:vAlign w:val="center"/>
          </w:tcPr>
          <w:p>
            <w:pPr>
              <w:rPr>
                <w:rFonts w:ascii="宋体" w:hAnsi="宋体"/>
                <w:sz w:val="24"/>
              </w:rPr>
            </w:pPr>
            <w:r>
              <w:rPr>
                <w:rFonts w:hint="eastAsia" w:ascii="宋体" w:hAnsi="宋体"/>
                <w:sz w:val="24"/>
              </w:rPr>
              <w:t>综合管理（30分）</w:t>
            </w:r>
          </w:p>
        </w:tc>
        <w:tc>
          <w:tcPr>
            <w:tcW w:w="1858" w:type="dxa"/>
            <w:vMerge w:val="restart"/>
            <w:noWrap w:val="0"/>
            <w:vAlign w:val="center"/>
          </w:tcPr>
          <w:p>
            <w:pPr>
              <w:rPr>
                <w:rFonts w:ascii="宋体" w:hAnsi="宋体"/>
                <w:sz w:val="24"/>
              </w:rPr>
            </w:pPr>
            <w:r>
              <w:rPr>
                <w:rFonts w:hint="eastAsia" w:ascii="宋体" w:hAnsi="宋体"/>
                <w:sz w:val="24"/>
              </w:rPr>
              <w:t>非税收入执行情况</w:t>
            </w:r>
          </w:p>
        </w:tc>
        <w:tc>
          <w:tcPr>
            <w:tcW w:w="3402" w:type="dxa"/>
            <w:noWrap w:val="0"/>
            <w:vAlign w:val="center"/>
          </w:tcPr>
          <w:p>
            <w:pPr>
              <w:rPr>
                <w:rFonts w:ascii="宋体" w:hAnsi="宋体"/>
                <w:sz w:val="24"/>
              </w:rPr>
            </w:pPr>
            <w:r>
              <w:rPr>
                <w:rFonts w:hint="eastAsia" w:ascii="宋体" w:hAnsi="宋体"/>
                <w:sz w:val="24"/>
              </w:rPr>
              <w:t>非税收入征收情况</w:t>
            </w:r>
          </w:p>
        </w:tc>
        <w:tc>
          <w:tcPr>
            <w:tcW w:w="612" w:type="dxa"/>
            <w:noWrap w:val="0"/>
            <w:vAlign w:val="center"/>
          </w:tcPr>
          <w:p>
            <w:pPr>
              <w:jc w:val="center"/>
              <w:rPr>
                <w:rFonts w:ascii="宋体" w:hAnsi="宋体"/>
                <w:sz w:val="24"/>
              </w:rPr>
            </w:pPr>
            <w:r>
              <w:rPr>
                <w:rFonts w:hint="eastAsia" w:ascii="宋体" w:hAnsi="宋体"/>
                <w:sz w:val="24"/>
              </w:rPr>
              <w:t>1</w:t>
            </w:r>
          </w:p>
        </w:tc>
        <w:tc>
          <w:tcPr>
            <w:tcW w:w="1002" w:type="dxa"/>
            <w:noWrap w:val="0"/>
            <w:vAlign w:val="center"/>
          </w:tcPr>
          <w:p>
            <w:pPr>
              <w:jc w:val="center"/>
              <w:rPr>
                <w:rFonts w:hint="eastAsia"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971" w:type="dxa"/>
            <w:vMerge w:val="continue"/>
            <w:noWrap w:val="0"/>
            <w:vAlign w:val="center"/>
          </w:tcPr>
          <w:p>
            <w:pPr>
              <w:rPr>
                <w:rFonts w:ascii="宋体" w:hAnsi="宋体"/>
                <w:sz w:val="24"/>
              </w:rPr>
            </w:pPr>
          </w:p>
        </w:tc>
        <w:tc>
          <w:tcPr>
            <w:tcW w:w="1858" w:type="dxa"/>
            <w:vMerge w:val="continue"/>
            <w:noWrap w:val="0"/>
            <w:vAlign w:val="center"/>
          </w:tcPr>
          <w:p>
            <w:pPr>
              <w:rPr>
                <w:rFonts w:ascii="宋体" w:hAnsi="宋体"/>
                <w:sz w:val="24"/>
              </w:rPr>
            </w:pPr>
          </w:p>
        </w:tc>
        <w:tc>
          <w:tcPr>
            <w:tcW w:w="3402" w:type="dxa"/>
            <w:noWrap w:val="0"/>
            <w:vAlign w:val="center"/>
          </w:tcPr>
          <w:p>
            <w:pPr>
              <w:rPr>
                <w:rFonts w:ascii="宋体" w:hAnsi="宋体"/>
                <w:sz w:val="24"/>
              </w:rPr>
            </w:pPr>
            <w:r>
              <w:rPr>
                <w:rFonts w:hint="eastAsia" w:ascii="宋体" w:hAnsi="宋体"/>
                <w:sz w:val="24"/>
              </w:rPr>
              <w:t>非税收入上缴情况</w:t>
            </w:r>
          </w:p>
        </w:tc>
        <w:tc>
          <w:tcPr>
            <w:tcW w:w="612" w:type="dxa"/>
            <w:noWrap w:val="0"/>
            <w:vAlign w:val="center"/>
          </w:tcPr>
          <w:p>
            <w:pPr>
              <w:jc w:val="center"/>
              <w:rPr>
                <w:rFonts w:ascii="宋体" w:hAnsi="宋体"/>
                <w:sz w:val="24"/>
              </w:rPr>
            </w:pPr>
            <w:r>
              <w:rPr>
                <w:rFonts w:hint="eastAsia" w:ascii="宋体" w:hAnsi="宋体"/>
                <w:sz w:val="24"/>
              </w:rPr>
              <w:t>2</w:t>
            </w:r>
          </w:p>
        </w:tc>
        <w:tc>
          <w:tcPr>
            <w:tcW w:w="1002" w:type="dxa"/>
            <w:noWrap w:val="0"/>
            <w:vAlign w:val="center"/>
          </w:tcPr>
          <w:p>
            <w:pPr>
              <w:jc w:val="center"/>
              <w:rPr>
                <w:rFonts w:hint="eastAsia"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971" w:type="dxa"/>
            <w:vMerge w:val="continue"/>
            <w:noWrap w:val="0"/>
            <w:vAlign w:val="center"/>
          </w:tcPr>
          <w:p>
            <w:pPr>
              <w:rPr>
                <w:rFonts w:ascii="宋体" w:hAnsi="宋体"/>
                <w:sz w:val="24"/>
              </w:rPr>
            </w:pPr>
          </w:p>
        </w:tc>
        <w:tc>
          <w:tcPr>
            <w:tcW w:w="1858" w:type="dxa"/>
            <w:vMerge w:val="restart"/>
            <w:noWrap w:val="0"/>
            <w:vAlign w:val="center"/>
          </w:tcPr>
          <w:p>
            <w:pPr>
              <w:rPr>
                <w:rFonts w:ascii="宋体" w:hAnsi="宋体"/>
                <w:sz w:val="24"/>
              </w:rPr>
            </w:pPr>
            <w:r>
              <w:rPr>
                <w:rFonts w:hint="eastAsia" w:ascii="宋体" w:hAnsi="宋体"/>
                <w:sz w:val="24"/>
              </w:rPr>
              <w:t>政府采购</w:t>
            </w:r>
          </w:p>
        </w:tc>
        <w:tc>
          <w:tcPr>
            <w:tcW w:w="3402" w:type="dxa"/>
            <w:noWrap w:val="0"/>
            <w:vAlign w:val="center"/>
          </w:tcPr>
          <w:p>
            <w:pPr>
              <w:rPr>
                <w:rFonts w:ascii="宋体" w:hAnsi="宋体"/>
                <w:sz w:val="24"/>
              </w:rPr>
            </w:pPr>
            <w:r>
              <w:rPr>
                <w:rFonts w:hint="eastAsia" w:ascii="宋体" w:hAnsi="宋体"/>
                <w:sz w:val="24"/>
              </w:rPr>
              <w:t>政府采购实施计划编制</w:t>
            </w:r>
          </w:p>
        </w:tc>
        <w:tc>
          <w:tcPr>
            <w:tcW w:w="612" w:type="dxa"/>
            <w:noWrap w:val="0"/>
            <w:vAlign w:val="center"/>
          </w:tcPr>
          <w:p>
            <w:pPr>
              <w:jc w:val="center"/>
              <w:rPr>
                <w:rFonts w:ascii="宋体" w:hAnsi="宋体"/>
                <w:sz w:val="24"/>
              </w:rPr>
            </w:pPr>
            <w:r>
              <w:rPr>
                <w:rFonts w:hint="eastAsia" w:ascii="宋体" w:hAnsi="宋体"/>
                <w:sz w:val="24"/>
              </w:rPr>
              <w:t>2</w:t>
            </w:r>
          </w:p>
        </w:tc>
        <w:tc>
          <w:tcPr>
            <w:tcW w:w="1002" w:type="dxa"/>
            <w:noWrap w:val="0"/>
            <w:vAlign w:val="center"/>
          </w:tcPr>
          <w:p>
            <w:pPr>
              <w:jc w:val="center"/>
              <w:rPr>
                <w:rFonts w:hint="eastAsia"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971" w:type="dxa"/>
            <w:vMerge w:val="continue"/>
            <w:noWrap w:val="0"/>
            <w:vAlign w:val="center"/>
          </w:tcPr>
          <w:p>
            <w:pPr>
              <w:rPr>
                <w:rFonts w:ascii="宋体" w:hAnsi="宋体"/>
                <w:sz w:val="24"/>
              </w:rPr>
            </w:pPr>
          </w:p>
        </w:tc>
        <w:tc>
          <w:tcPr>
            <w:tcW w:w="1858" w:type="dxa"/>
            <w:vMerge w:val="continue"/>
            <w:noWrap w:val="0"/>
            <w:vAlign w:val="center"/>
          </w:tcPr>
          <w:p>
            <w:pPr>
              <w:rPr>
                <w:rFonts w:ascii="宋体" w:hAnsi="宋体"/>
                <w:sz w:val="24"/>
              </w:rPr>
            </w:pPr>
          </w:p>
        </w:tc>
        <w:tc>
          <w:tcPr>
            <w:tcW w:w="3402" w:type="dxa"/>
            <w:noWrap w:val="0"/>
            <w:vAlign w:val="center"/>
          </w:tcPr>
          <w:p>
            <w:pPr>
              <w:rPr>
                <w:rFonts w:ascii="宋体" w:hAnsi="宋体"/>
                <w:sz w:val="24"/>
              </w:rPr>
            </w:pPr>
            <w:r>
              <w:rPr>
                <w:rFonts w:hint="eastAsia" w:ascii="宋体" w:hAnsi="宋体"/>
                <w:sz w:val="24"/>
              </w:rPr>
              <w:t>政府采购实施计划执行</w:t>
            </w:r>
          </w:p>
        </w:tc>
        <w:tc>
          <w:tcPr>
            <w:tcW w:w="612" w:type="dxa"/>
            <w:noWrap w:val="0"/>
            <w:vAlign w:val="center"/>
          </w:tcPr>
          <w:p>
            <w:pPr>
              <w:jc w:val="center"/>
              <w:rPr>
                <w:rFonts w:ascii="宋体" w:hAnsi="宋体"/>
                <w:sz w:val="24"/>
              </w:rPr>
            </w:pPr>
            <w:r>
              <w:rPr>
                <w:rFonts w:hint="eastAsia" w:ascii="宋体" w:hAnsi="宋体"/>
                <w:sz w:val="24"/>
              </w:rPr>
              <w:t>2</w:t>
            </w:r>
          </w:p>
        </w:tc>
        <w:tc>
          <w:tcPr>
            <w:tcW w:w="1002" w:type="dxa"/>
            <w:noWrap w:val="0"/>
            <w:vAlign w:val="center"/>
          </w:tcPr>
          <w:p>
            <w:pPr>
              <w:jc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971" w:type="dxa"/>
            <w:vMerge w:val="continue"/>
            <w:noWrap w:val="0"/>
            <w:vAlign w:val="center"/>
          </w:tcPr>
          <w:p>
            <w:pPr>
              <w:rPr>
                <w:rFonts w:ascii="宋体" w:hAnsi="宋体"/>
                <w:sz w:val="24"/>
              </w:rPr>
            </w:pPr>
          </w:p>
        </w:tc>
        <w:tc>
          <w:tcPr>
            <w:tcW w:w="1858" w:type="dxa"/>
            <w:vMerge w:val="restart"/>
            <w:noWrap w:val="0"/>
            <w:vAlign w:val="center"/>
          </w:tcPr>
          <w:p>
            <w:pPr>
              <w:rPr>
                <w:rFonts w:ascii="宋体" w:hAnsi="宋体"/>
                <w:sz w:val="24"/>
              </w:rPr>
            </w:pPr>
            <w:r>
              <w:rPr>
                <w:rFonts w:hint="eastAsia" w:ascii="宋体" w:hAnsi="宋体"/>
                <w:sz w:val="24"/>
              </w:rPr>
              <w:t>资产管理</w:t>
            </w:r>
          </w:p>
        </w:tc>
        <w:tc>
          <w:tcPr>
            <w:tcW w:w="3402" w:type="dxa"/>
            <w:noWrap w:val="0"/>
            <w:vAlign w:val="center"/>
          </w:tcPr>
          <w:p>
            <w:pPr>
              <w:rPr>
                <w:rFonts w:ascii="宋体" w:hAnsi="宋体"/>
                <w:sz w:val="24"/>
              </w:rPr>
            </w:pPr>
            <w:r>
              <w:rPr>
                <w:rFonts w:hint="eastAsia" w:ascii="宋体" w:hAnsi="宋体"/>
                <w:sz w:val="24"/>
              </w:rPr>
              <w:t>资产管理信息系统建设情况</w:t>
            </w:r>
          </w:p>
        </w:tc>
        <w:tc>
          <w:tcPr>
            <w:tcW w:w="612" w:type="dxa"/>
            <w:noWrap w:val="0"/>
            <w:vAlign w:val="center"/>
          </w:tcPr>
          <w:p>
            <w:pPr>
              <w:jc w:val="center"/>
              <w:rPr>
                <w:rFonts w:ascii="宋体" w:hAnsi="宋体"/>
                <w:sz w:val="24"/>
              </w:rPr>
            </w:pPr>
            <w:r>
              <w:rPr>
                <w:rFonts w:hint="eastAsia" w:ascii="宋体" w:hAnsi="宋体"/>
                <w:sz w:val="24"/>
              </w:rPr>
              <w:t>1</w:t>
            </w:r>
          </w:p>
        </w:tc>
        <w:tc>
          <w:tcPr>
            <w:tcW w:w="1002" w:type="dxa"/>
            <w:noWrap w:val="0"/>
            <w:vAlign w:val="center"/>
          </w:tcPr>
          <w:p>
            <w:pPr>
              <w:jc w:val="center"/>
              <w:rPr>
                <w:rFonts w:hint="eastAsia"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971" w:type="dxa"/>
            <w:vMerge w:val="continue"/>
            <w:noWrap w:val="0"/>
            <w:vAlign w:val="center"/>
          </w:tcPr>
          <w:p>
            <w:pPr>
              <w:rPr>
                <w:rFonts w:ascii="宋体" w:hAnsi="宋体"/>
                <w:sz w:val="24"/>
              </w:rPr>
            </w:pPr>
          </w:p>
        </w:tc>
        <w:tc>
          <w:tcPr>
            <w:tcW w:w="1858" w:type="dxa"/>
            <w:vMerge w:val="continue"/>
            <w:noWrap w:val="0"/>
            <w:vAlign w:val="center"/>
          </w:tcPr>
          <w:p>
            <w:pPr>
              <w:rPr>
                <w:rFonts w:ascii="宋体" w:hAnsi="宋体"/>
                <w:sz w:val="24"/>
              </w:rPr>
            </w:pPr>
          </w:p>
        </w:tc>
        <w:tc>
          <w:tcPr>
            <w:tcW w:w="3402" w:type="dxa"/>
            <w:noWrap w:val="0"/>
            <w:vAlign w:val="center"/>
          </w:tcPr>
          <w:p>
            <w:pPr>
              <w:rPr>
                <w:rFonts w:ascii="宋体" w:hAnsi="宋体"/>
                <w:spacing w:val="-6"/>
                <w:sz w:val="24"/>
              </w:rPr>
            </w:pPr>
            <w:r>
              <w:rPr>
                <w:rFonts w:hint="eastAsia" w:ascii="宋体" w:hAnsi="宋体"/>
                <w:spacing w:val="-6"/>
                <w:sz w:val="24"/>
              </w:rPr>
              <w:t>行政事业单位资产清查开展情况</w:t>
            </w:r>
          </w:p>
        </w:tc>
        <w:tc>
          <w:tcPr>
            <w:tcW w:w="612" w:type="dxa"/>
            <w:noWrap w:val="0"/>
            <w:vAlign w:val="center"/>
          </w:tcPr>
          <w:p>
            <w:pPr>
              <w:jc w:val="center"/>
              <w:rPr>
                <w:rFonts w:ascii="宋体" w:hAnsi="宋体"/>
                <w:sz w:val="24"/>
              </w:rPr>
            </w:pPr>
            <w:r>
              <w:rPr>
                <w:rFonts w:hint="eastAsia" w:ascii="宋体" w:hAnsi="宋体"/>
                <w:sz w:val="24"/>
              </w:rPr>
              <w:t>1</w:t>
            </w:r>
          </w:p>
        </w:tc>
        <w:tc>
          <w:tcPr>
            <w:tcW w:w="1002" w:type="dxa"/>
            <w:noWrap w:val="0"/>
            <w:vAlign w:val="center"/>
          </w:tcPr>
          <w:p>
            <w:pPr>
              <w:jc w:val="center"/>
              <w:rPr>
                <w:rFonts w:hint="eastAsia"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971" w:type="dxa"/>
            <w:vMerge w:val="continue"/>
            <w:noWrap w:val="0"/>
            <w:vAlign w:val="center"/>
          </w:tcPr>
          <w:p>
            <w:pPr>
              <w:rPr>
                <w:rFonts w:ascii="宋体" w:hAnsi="宋体"/>
                <w:sz w:val="24"/>
              </w:rPr>
            </w:pPr>
          </w:p>
        </w:tc>
        <w:tc>
          <w:tcPr>
            <w:tcW w:w="1858" w:type="dxa"/>
            <w:vMerge w:val="continue"/>
            <w:noWrap w:val="0"/>
            <w:vAlign w:val="center"/>
          </w:tcPr>
          <w:p>
            <w:pPr>
              <w:rPr>
                <w:rFonts w:ascii="宋体" w:hAnsi="宋体"/>
                <w:sz w:val="24"/>
              </w:rPr>
            </w:pPr>
          </w:p>
        </w:tc>
        <w:tc>
          <w:tcPr>
            <w:tcW w:w="3402" w:type="dxa"/>
            <w:noWrap w:val="0"/>
            <w:vAlign w:val="center"/>
          </w:tcPr>
          <w:p>
            <w:pPr>
              <w:rPr>
                <w:rFonts w:ascii="宋体" w:hAnsi="宋体"/>
                <w:spacing w:val="-6"/>
                <w:sz w:val="24"/>
              </w:rPr>
            </w:pPr>
            <w:r>
              <w:rPr>
                <w:rFonts w:hint="eastAsia" w:ascii="宋体" w:hAnsi="宋体"/>
                <w:spacing w:val="-6"/>
                <w:sz w:val="24"/>
              </w:rPr>
              <w:t>行政事业单位资产报表上报情况</w:t>
            </w:r>
          </w:p>
        </w:tc>
        <w:tc>
          <w:tcPr>
            <w:tcW w:w="612" w:type="dxa"/>
            <w:noWrap w:val="0"/>
            <w:vAlign w:val="center"/>
          </w:tcPr>
          <w:p>
            <w:pPr>
              <w:jc w:val="center"/>
              <w:rPr>
                <w:rFonts w:ascii="宋体" w:hAnsi="宋体"/>
                <w:sz w:val="24"/>
              </w:rPr>
            </w:pPr>
            <w:r>
              <w:rPr>
                <w:rFonts w:hint="eastAsia" w:ascii="宋体" w:hAnsi="宋体"/>
                <w:sz w:val="24"/>
              </w:rPr>
              <w:t>1</w:t>
            </w:r>
          </w:p>
        </w:tc>
        <w:tc>
          <w:tcPr>
            <w:tcW w:w="1002" w:type="dxa"/>
            <w:noWrap w:val="0"/>
            <w:vAlign w:val="center"/>
          </w:tcPr>
          <w:p>
            <w:pPr>
              <w:jc w:val="center"/>
              <w:rPr>
                <w:rFonts w:hint="eastAsia"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971" w:type="dxa"/>
            <w:vMerge w:val="continue"/>
            <w:noWrap w:val="0"/>
            <w:vAlign w:val="center"/>
          </w:tcPr>
          <w:p>
            <w:pPr>
              <w:rPr>
                <w:rFonts w:ascii="宋体" w:hAnsi="宋体"/>
                <w:sz w:val="24"/>
              </w:rPr>
            </w:pPr>
          </w:p>
        </w:tc>
        <w:tc>
          <w:tcPr>
            <w:tcW w:w="1858" w:type="dxa"/>
            <w:noWrap w:val="0"/>
            <w:vAlign w:val="center"/>
          </w:tcPr>
          <w:p>
            <w:pPr>
              <w:rPr>
                <w:rFonts w:ascii="宋体" w:hAnsi="宋体"/>
                <w:sz w:val="24"/>
              </w:rPr>
            </w:pPr>
            <w:r>
              <w:rPr>
                <w:rFonts w:hint="eastAsia" w:ascii="宋体" w:hAnsi="宋体"/>
                <w:sz w:val="24"/>
              </w:rPr>
              <w:t>内控制度管理</w:t>
            </w:r>
          </w:p>
        </w:tc>
        <w:tc>
          <w:tcPr>
            <w:tcW w:w="3402" w:type="dxa"/>
            <w:noWrap w:val="0"/>
            <w:vAlign w:val="center"/>
          </w:tcPr>
          <w:p>
            <w:pPr>
              <w:rPr>
                <w:rFonts w:ascii="宋体" w:hAnsi="宋体"/>
                <w:sz w:val="24"/>
              </w:rPr>
            </w:pPr>
            <w:r>
              <w:rPr>
                <w:rFonts w:hint="eastAsia" w:ascii="宋体" w:hAnsi="宋体"/>
                <w:sz w:val="24"/>
              </w:rPr>
              <w:t>内部控制制度健全完善</w:t>
            </w:r>
          </w:p>
        </w:tc>
        <w:tc>
          <w:tcPr>
            <w:tcW w:w="612" w:type="dxa"/>
            <w:noWrap w:val="0"/>
            <w:vAlign w:val="center"/>
          </w:tcPr>
          <w:p>
            <w:pPr>
              <w:jc w:val="center"/>
              <w:rPr>
                <w:rFonts w:ascii="宋体" w:hAnsi="宋体"/>
                <w:sz w:val="24"/>
              </w:rPr>
            </w:pPr>
            <w:r>
              <w:rPr>
                <w:rFonts w:hint="eastAsia" w:ascii="宋体" w:hAnsi="宋体"/>
                <w:sz w:val="24"/>
              </w:rPr>
              <w:t>3</w:t>
            </w:r>
          </w:p>
        </w:tc>
        <w:tc>
          <w:tcPr>
            <w:tcW w:w="1002" w:type="dxa"/>
            <w:noWrap w:val="0"/>
            <w:vAlign w:val="center"/>
          </w:tcPr>
          <w:p>
            <w:pPr>
              <w:jc w:val="center"/>
              <w:rPr>
                <w:rFonts w:hint="eastAsia"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971" w:type="dxa"/>
            <w:vMerge w:val="continue"/>
            <w:noWrap w:val="0"/>
            <w:vAlign w:val="center"/>
          </w:tcPr>
          <w:p>
            <w:pPr>
              <w:rPr>
                <w:rFonts w:ascii="宋体" w:hAnsi="宋体"/>
                <w:sz w:val="24"/>
              </w:rPr>
            </w:pPr>
          </w:p>
        </w:tc>
        <w:tc>
          <w:tcPr>
            <w:tcW w:w="1858" w:type="dxa"/>
            <w:vMerge w:val="restart"/>
            <w:noWrap w:val="0"/>
            <w:vAlign w:val="center"/>
          </w:tcPr>
          <w:p>
            <w:pPr>
              <w:rPr>
                <w:rFonts w:ascii="宋体" w:hAnsi="宋体"/>
                <w:sz w:val="24"/>
              </w:rPr>
            </w:pPr>
            <w:r>
              <w:rPr>
                <w:rFonts w:hint="eastAsia" w:ascii="宋体" w:hAnsi="宋体"/>
                <w:sz w:val="24"/>
              </w:rPr>
              <w:t>信息公开</w:t>
            </w:r>
          </w:p>
        </w:tc>
        <w:tc>
          <w:tcPr>
            <w:tcW w:w="3402" w:type="dxa"/>
            <w:noWrap w:val="0"/>
            <w:vAlign w:val="center"/>
          </w:tcPr>
          <w:p>
            <w:pPr>
              <w:rPr>
                <w:rFonts w:ascii="宋体" w:hAnsi="宋体"/>
                <w:sz w:val="24"/>
              </w:rPr>
            </w:pPr>
            <w:r>
              <w:rPr>
                <w:rFonts w:hint="eastAsia" w:ascii="宋体" w:hAnsi="宋体"/>
                <w:sz w:val="24"/>
              </w:rPr>
              <w:t>预算公开</w:t>
            </w:r>
          </w:p>
        </w:tc>
        <w:tc>
          <w:tcPr>
            <w:tcW w:w="612" w:type="dxa"/>
            <w:noWrap w:val="0"/>
            <w:vAlign w:val="center"/>
          </w:tcPr>
          <w:p>
            <w:pPr>
              <w:jc w:val="center"/>
              <w:rPr>
                <w:rFonts w:ascii="宋体" w:hAnsi="宋体"/>
                <w:sz w:val="24"/>
              </w:rPr>
            </w:pPr>
            <w:r>
              <w:rPr>
                <w:rFonts w:hint="eastAsia" w:ascii="宋体" w:hAnsi="宋体"/>
                <w:sz w:val="24"/>
              </w:rPr>
              <w:t>1</w:t>
            </w:r>
          </w:p>
        </w:tc>
        <w:tc>
          <w:tcPr>
            <w:tcW w:w="1002" w:type="dxa"/>
            <w:noWrap w:val="0"/>
            <w:vAlign w:val="center"/>
          </w:tcPr>
          <w:p>
            <w:pPr>
              <w:jc w:val="center"/>
              <w:rPr>
                <w:rFonts w:hint="eastAsia"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971" w:type="dxa"/>
            <w:vMerge w:val="continue"/>
            <w:noWrap w:val="0"/>
            <w:vAlign w:val="center"/>
          </w:tcPr>
          <w:p>
            <w:pPr>
              <w:rPr>
                <w:rFonts w:ascii="宋体" w:hAnsi="宋体"/>
                <w:sz w:val="24"/>
              </w:rPr>
            </w:pPr>
          </w:p>
        </w:tc>
        <w:tc>
          <w:tcPr>
            <w:tcW w:w="1858" w:type="dxa"/>
            <w:vMerge w:val="continue"/>
            <w:noWrap w:val="0"/>
            <w:vAlign w:val="center"/>
          </w:tcPr>
          <w:p>
            <w:pPr>
              <w:rPr>
                <w:rFonts w:ascii="宋体" w:hAnsi="宋体"/>
                <w:sz w:val="24"/>
              </w:rPr>
            </w:pPr>
          </w:p>
        </w:tc>
        <w:tc>
          <w:tcPr>
            <w:tcW w:w="3402" w:type="dxa"/>
            <w:noWrap w:val="0"/>
            <w:vAlign w:val="center"/>
          </w:tcPr>
          <w:p>
            <w:pPr>
              <w:rPr>
                <w:rFonts w:ascii="宋体" w:hAnsi="宋体"/>
                <w:sz w:val="24"/>
              </w:rPr>
            </w:pPr>
            <w:r>
              <w:rPr>
                <w:rFonts w:hint="eastAsia" w:ascii="宋体" w:hAnsi="宋体"/>
                <w:sz w:val="24"/>
              </w:rPr>
              <w:t>决算公开</w:t>
            </w:r>
          </w:p>
        </w:tc>
        <w:tc>
          <w:tcPr>
            <w:tcW w:w="612" w:type="dxa"/>
            <w:noWrap w:val="0"/>
            <w:vAlign w:val="center"/>
          </w:tcPr>
          <w:p>
            <w:pPr>
              <w:jc w:val="center"/>
              <w:rPr>
                <w:rFonts w:ascii="宋体" w:hAnsi="宋体"/>
                <w:sz w:val="24"/>
              </w:rPr>
            </w:pPr>
            <w:r>
              <w:rPr>
                <w:rFonts w:hint="eastAsia" w:ascii="宋体" w:hAnsi="宋体"/>
                <w:sz w:val="24"/>
              </w:rPr>
              <w:t>1</w:t>
            </w:r>
          </w:p>
        </w:tc>
        <w:tc>
          <w:tcPr>
            <w:tcW w:w="1002" w:type="dxa"/>
            <w:noWrap w:val="0"/>
            <w:vAlign w:val="center"/>
          </w:tcPr>
          <w:p>
            <w:pPr>
              <w:jc w:val="center"/>
              <w:rPr>
                <w:rFonts w:hint="eastAsia"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971" w:type="dxa"/>
            <w:vMerge w:val="continue"/>
            <w:noWrap w:val="0"/>
            <w:vAlign w:val="center"/>
          </w:tcPr>
          <w:p>
            <w:pPr>
              <w:rPr>
                <w:rFonts w:ascii="宋体" w:hAnsi="宋体"/>
                <w:sz w:val="24"/>
              </w:rPr>
            </w:pPr>
          </w:p>
        </w:tc>
        <w:tc>
          <w:tcPr>
            <w:tcW w:w="1858" w:type="dxa"/>
            <w:vMerge w:val="continue"/>
            <w:noWrap w:val="0"/>
            <w:vAlign w:val="center"/>
          </w:tcPr>
          <w:p>
            <w:pPr>
              <w:rPr>
                <w:rFonts w:ascii="宋体" w:hAnsi="宋体"/>
                <w:sz w:val="24"/>
              </w:rPr>
            </w:pPr>
          </w:p>
        </w:tc>
        <w:tc>
          <w:tcPr>
            <w:tcW w:w="3402" w:type="dxa"/>
            <w:noWrap w:val="0"/>
            <w:vAlign w:val="center"/>
          </w:tcPr>
          <w:p>
            <w:pPr>
              <w:rPr>
                <w:rFonts w:ascii="宋体" w:hAnsi="宋体"/>
                <w:sz w:val="24"/>
              </w:rPr>
            </w:pPr>
            <w:r>
              <w:rPr>
                <w:rFonts w:hint="eastAsia" w:ascii="宋体" w:hAnsi="宋体"/>
                <w:sz w:val="24"/>
              </w:rPr>
              <w:t>绩效信息公开</w:t>
            </w:r>
          </w:p>
        </w:tc>
        <w:tc>
          <w:tcPr>
            <w:tcW w:w="612" w:type="dxa"/>
            <w:noWrap w:val="0"/>
            <w:vAlign w:val="center"/>
          </w:tcPr>
          <w:p>
            <w:pPr>
              <w:jc w:val="center"/>
              <w:rPr>
                <w:rFonts w:ascii="宋体" w:hAnsi="宋体"/>
                <w:sz w:val="24"/>
              </w:rPr>
            </w:pPr>
            <w:r>
              <w:rPr>
                <w:rFonts w:hint="eastAsia" w:ascii="宋体" w:hAnsi="宋体"/>
                <w:sz w:val="24"/>
              </w:rPr>
              <w:t>1</w:t>
            </w:r>
          </w:p>
        </w:tc>
        <w:tc>
          <w:tcPr>
            <w:tcW w:w="1002" w:type="dxa"/>
            <w:noWrap w:val="0"/>
            <w:vAlign w:val="center"/>
          </w:tcPr>
          <w:p>
            <w:pPr>
              <w:jc w:val="center"/>
              <w:rPr>
                <w:rFonts w:hint="eastAsia"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971" w:type="dxa"/>
            <w:vMerge w:val="continue"/>
            <w:noWrap w:val="0"/>
            <w:vAlign w:val="center"/>
          </w:tcPr>
          <w:p>
            <w:pPr>
              <w:jc w:val="center"/>
              <w:rPr>
                <w:rFonts w:hint="eastAsia" w:ascii="宋体" w:hAnsi="宋体"/>
                <w:sz w:val="24"/>
              </w:rPr>
            </w:pPr>
          </w:p>
        </w:tc>
        <w:tc>
          <w:tcPr>
            <w:tcW w:w="1858" w:type="dxa"/>
            <w:vMerge w:val="restart"/>
            <w:noWrap w:val="0"/>
            <w:vAlign w:val="center"/>
          </w:tcPr>
          <w:p>
            <w:pPr>
              <w:jc w:val="center"/>
              <w:rPr>
                <w:rFonts w:hint="eastAsia" w:ascii="宋体" w:hAnsi="宋体"/>
                <w:sz w:val="24"/>
              </w:rPr>
            </w:pPr>
            <w:r>
              <w:rPr>
                <w:rFonts w:hint="eastAsia" w:ascii="宋体" w:hAnsi="宋体"/>
                <w:sz w:val="24"/>
              </w:rPr>
              <w:t>绩效评价</w:t>
            </w:r>
          </w:p>
        </w:tc>
        <w:tc>
          <w:tcPr>
            <w:tcW w:w="3402" w:type="dxa"/>
            <w:noWrap w:val="0"/>
            <w:vAlign w:val="center"/>
          </w:tcPr>
          <w:p>
            <w:pPr>
              <w:jc w:val="center"/>
              <w:rPr>
                <w:rFonts w:hint="eastAsia" w:ascii="宋体" w:hAnsi="宋体"/>
                <w:sz w:val="24"/>
              </w:rPr>
            </w:pPr>
            <w:r>
              <w:rPr>
                <w:rFonts w:hint="eastAsia" w:ascii="宋体" w:hAnsi="宋体"/>
                <w:sz w:val="24"/>
              </w:rPr>
              <w:t>评价开展情况</w:t>
            </w:r>
          </w:p>
        </w:tc>
        <w:tc>
          <w:tcPr>
            <w:tcW w:w="612" w:type="dxa"/>
            <w:noWrap w:val="0"/>
            <w:vAlign w:val="center"/>
          </w:tcPr>
          <w:p>
            <w:pPr>
              <w:jc w:val="center"/>
              <w:rPr>
                <w:rFonts w:hint="eastAsia" w:ascii="宋体" w:hAnsi="宋体"/>
                <w:sz w:val="24"/>
              </w:rPr>
            </w:pPr>
            <w:r>
              <w:rPr>
                <w:rFonts w:hint="eastAsia" w:ascii="宋体" w:hAnsi="宋体"/>
                <w:sz w:val="24"/>
              </w:rPr>
              <w:t>3</w:t>
            </w:r>
          </w:p>
        </w:tc>
        <w:tc>
          <w:tcPr>
            <w:tcW w:w="1002" w:type="dxa"/>
            <w:noWrap w:val="0"/>
            <w:vAlign w:val="center"/>
          </w:tcPr>
          <w:p>
            <w:pPr>
              <w:jc w:val="center"/>
              <w:rPr>
                <w:rFonts w:hint="eastAsia"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971" w:type="dxa"/>
            <w:vMerge w:val="continue"/>
            <w:noWrap w:val="0"/>
            <w:vAlign w:val="center"/>
          </w:tcPr>
          <w:p>
            <w:pPr>
              <w:jc w:val="center"/>
              <w:rPr>
                <w:rFonts w:hint="eastAsia" w:ascii="宋体" w:hAnsi="宋体"/>
                <w:sz w:val="24"/>
              </w:rPr>
            </w:pPr>
          </w:p>
        </w:tc>
        <w:tc>
          <w:tcPr>
            <w:tcW w:w="1858" w:type="dxa"/>
            <w:vMerge w:val="continue"/>
            <w:noWrap w:val="0"/>
            <w:vAlign w:val="center"/>
          </w:tcPr>
          <w:p>
            <w:pPr>
              <w:jc w:val="center"/>
              <w:rPr>
                <w:rFonts w:hint="eastAsia" w:ascii="宋体" w:hAnsi="宋体"/>
                <w:sz w:val="24"/>
              </w:rPr>
            </w:pPr>
          </w:p>
        </w:tc>
        <w:tc>
          <w:tcPr>
            <w:tcW w:w="3402" w:type="dxa"/>
            <w:noWrap w:val="0"/>
            <w:vAlign w:val="center"/>
          </w:tcPr>
          <w:p>
            <w:pPr>
              <w:jc w:val="center"/>
              <w:rPr>
                <w:rFonts w:hint="eastAsia" w:ascii="宋体" w:hAnsi="宋体"/>
                <w:sz w:val="24"/>
              </w:rPr>
            </w:pPr>
            <w:r>
              <w:rPr>
                <w:rFonts w:hint="eastAsia" w:ascii="宋体" w:hAnsi="宋体"/>
                <w:sz w:val="24"/>
              </w:rPr>
              <w:t>评价结果报告</w:t>
            </w:r>
          </w:p>
        </w:tc>
        <w:tc>
          <w:tcPr>
            <w:tcW w:w="612" w:type="dxa"/>
            <w:noWrap w:val="0"/>
            <w:vAlign w:val="center"/>
          </w:tcPr>
          <w:p>
            <w:pPr>
              <w:jc w:val="center"/>
              <w:rPr>
                <w:rFonts w:hint="eastAsia" w:ascii="宋体" w:hAnsi="宋体"/>
                <w:sz w:val="24"/>
              </w:rPr>
            </w:pPr>
            <w:r>
              <w:rPr>
                <w:rFonts w:hint="eastAsia" w:ascii="宋体" w:hAnsi="宋体"/>
                <w:sz w:val="24"/>
              </w:rPr>
              <w:t>2</w:t>
            </w:r>
          </w:p>
        </w:tc>
        <w:tc>
          <w:tcPr>
            <w:tcW w:w="1002" w:type="dxa"/>
            <w:noWrap w:val="0"/>
            <w:vAlign w:val="center"/>
          </w:tcPr>
          <w:p>
            <w:pPr>
              <w:jc w:val="center"/>
              <w:rPr>
                <w:rFonts w:hint="eastAsia"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971" w:type="dxa"/>
            <w:vMerge w:val="continue"/>
            <w:noWrap w:val="0"/>
            <w:vAlign w:val="center"/>
          </w:tcPr>
          <w:p>
            <w:pPr>
              <w:jc w:val="center"/>
              <w:rPr>
                <w:rFonts w:hint="eastAsia" w:ascii="宋体" w:hAnsi="宋体"/>
                <w:sz w:val="24"/>
              </w:rPr>
            </w:pPr>
          </w:p>
        </w:tc>
        <w:tc>
          <w:tcPr>
            <w:tcW w:w="1858" w:type="dxa"/>
            <w:vMerge w:val="restart"/>
            <w:noWrap w:val="0"/>
            <w:vAlign w:val="center"/>
          </w:tcPr>
          <w:p>
            <w:pPr>
              <w:jc w:val="center"/>
              <w:rPr>
                <w:rFonts w:hint="eastAsia" w:ascii="宋体" w:hAnsi="宋体"/>
                <w:sz w:val="24"/>
              </w:rPr>
            </w:pPr>
            <w:r>
              <w:rPr>
                <w:rFonts w:hint="eastAsia" w:ascii="宋体" w:hAnsi="宋体"/>
                <w:sz w:val="24"/>
              </w:rPr>
              <w:t>财政政策执行</w:t>
            </w:r>
          </w:p>
        </w:tc>
        <w:tc>
          <w:tcPr>
            <w:tcW w:w="3402" w:type="dxa"/>
            <w:noWrap w:val="0"/>
            <w:vAlign w:val="center"/>
          </w:tcPr>
          <w:p>
            <w:pPr>
              <w:jc w:val="center"/>
              <w:rPr>
                <w:rFonts w:hint="eastAsia" w:ascii="宋体" w:hAnsi="宋体"/>
                <w:sz w:val="24"/>
              </w:rPr>
            </w:pPr>
            <w:r>
              <w:rPr>
                <w:rFonts w:hint="eastAsia" w:ascii="宋体" w:hAnsi="宋体"/>
                <w:sz w:val="24"/>
              </w:rPr>
              <w:t>公务卡改革</w:t>
            </w:r>
          </w:p>
        </w:tc>
        <w:tc>
          <w:tcPr>
            <w:tcW w:w="612" w:type="dxa"/>
            <w:noWrap w:val="0"/>
            <w:vAlign w:val="center"/>
          </w:tcPr>
          <w:p>
            <w:pPr>
              <w:jc w:val="center"/>
              <w:rPr>
                <w:rFonts w:hint="eastAsia" w:ascii="宋体" w:hAnsi="宋体"/>
                <w:sz w:val="24"/>
              </w:rPr>
            </w:pPr>
            <w:r>
              <w:rPr>
                <w:rFonts w:hint="eastAsia" w:ascii="宋体" w:hAnsi="宋体"/>
                <w:sz w:val="24"/>
              </w:rPr>
              <w:t>1</w:t>
            </w:r>
          </w:p>
        </w:tc>
        <w:tc>
          <w:tcPr>
            <w:tcW w:w="1002" w:type="dxa"/>
            <w:noWrap w:val="0"/>
            <w:vAlign w:val="center"/>
          </w:tcPr>
          <w:p>
            <w:pPr>
              <w:jc w:val="center"/>
              <w:rPr>
                <w:rFonts w:ascii="宋体" w:hAnsi="宋体"/>
                <w:sz w:val="24"/>
              </w:rPr>
            </w:pPr>
            <w:r>
              <w:rPr>
                <w:rFonts w:hint="eastAsia" w:ascii="宋体" w:hAnsi="宋体"/>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971" w:type="dxa"/>
            <w:vMerge w:val="continue"/>
            <w:noWrap w:val="0"/>
            <w:vAlign w:val="center"/>
          </w:tcPr>
          <w:p>
            <w:pPr>
              <w:jc w:val="center"/>
              <w:rPr>
                <w:rFonts w:hint="eastAsia" w:ascii="宋体" w:hAnsi="宋体"/>
                <w:sz w:val="24"/>
              </w:rPr>
            </w:pPr>
          </w:p>
        </w:tc>
        <w:tc>
          <w:tcPr>
            <w:tcW w:w="1858" w:type="dxa"/>
            <w:vMerge w:val="continue"/>
            <w:noWrap w:val="0"/>
            <w:vAlign w:val="center"/>
          </w:tcPr>
          <w:p>
            <w:pPr>
              <w:jc w:val="center"/>
              <w:rPr>
                <w:rFonts w:hint="eastAsia" w:ascii="宋体" w:hAnsi="宋体"/>
                <w:sz w:val="24"/>
              </w:rPr>
            </w:pPr>
          </w:p>
        </w:tc>
        <w:tc>
          <w:tcPr>
            <w:tcW w:w="3402" w:type="dxa"/>
            <w:noWrap w:val="0"/>
            <w:vAlign w:val="center"/>
          </w:tcPr>
          <w:p>
            <w:pPr>
              <w:jc w:val="center"/>
              <w:rPr>
                <w:rFonts w:hint="eastAsia" w:ascii="宋体" w:hAnsi="宋体"/>
                <w:sz w:val="24"/>
              </w:rPr>
            </w:pPr>
            <w:r>
              <w:rPr>
                <w:rFonts w:hint="eastAsia" w:ascii="宋体" w:hAnsi="宋体"/>
                <w:sz w:val="24"/>
              </w:rPr>
              <w:t>预算执行动态监控</w:t>
            </w:r>
          </w:p>
        </w:tc>
        <w:tc>
          <w:tcPr>
            <w:tcW w:w="612" w:type="dxa"/>
            <w:noWrap w:val="0"/>
            <w:vAlign w:val="center"/>
          </w:tcPr>
          <w:p>
            <w:pPr>
              <w:jc w:val="center"/>
              <w:rPr>
                <w:rFonts w:hint="eastAsia" w:ascii="宋体" w:hAnsi="宋体"/>
                <w:sz w:val="24"/>
              </w:rPr>
            </w:pPr>
            <w:r>
              <w:rPr>
                <w:rFonts w:hint="eastAsia" w:ascii="宋体" w:hAnsi="宋体"/>
                <w:sz w:val="24"/>
              </w:rPr>
              <w:t>2</w:t>
            </w:r>
          </w:p>
        </w:tc>
        <w:tc>
          <w:tcPr>
            <w:tcW w:w="1002" w:type="dxa"/>
            <w:noWrap w:val="0"/>
            <w:vAlign w:val="center"/>
          </w:tcPr>
          <w:p>
            <w:pPr>
              <w:jc w:val="center"/>
              <w:rPr>
                <w:rFonts w:hint="eastAsia"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971" w:type="dxa"/>
            <w:vMerge w:val="continue"/>
            <w:noWrap w:val="0"/>
            <w:vAlign w:val="center"/>
          </w:tcPr>
          <w:p>
            <w:pPr>
              <w:jc w:val="center"/>
              <w:rPr>
                <w:rFonts w:hint="eastAsia" w:ascii="宋体" w:hAnsi="宋体"/>
                <w:sz w:val="24"/>
              </w:rPr>
            </w:pPr>
          </w:p>
        </w:tc>
        <w:tc>
          <w:tcPr>
            <w:tcW w:w="1858" w:type="dxa"/>
            <w:vMerge w:val="continue"/>
            <w:noWrap w:val="0"/>
            <w:vAlign w:val="center"/>
          </w:tcPr>
          <w:p>
            <w:pPr>
              <w:jc w:val="center"/>
              <w:rPr>
                <w:rFonts w:hint="eastAsia" w:ascii="宋体" w:hAnsi="宋体"/>
                <w:sz w:val="24"/>
              </w:rPr>
            </w:pPr>
          </w:p>
        </w:tc>
        <w:tc>
          <w:tcPr>
            <w:tcW w:w="3402" w:type="dxa"/>
            <w:noWrap w:val="0"/>
            <w:vAlign w:val="center"/>
          </w:tcPr>
          <w:p>
            <w:pPr>
              <w:jc w:val="center"/>
              <w:rPr>
                <w:rFonts w:hint="eastAsia" w:ascii="宋体" w:hAnsi="宋体"/>
                <w:sz w:val="24"/>
              </w:rPr>
            </w:pPr>
            <w:r>
              <w:rPr>
                <w:rFonts w:hint="eastAsia" w:ascii="宋体" w:hAnsi="宋体"/>
                <w:sz w:val="24"/>
              </w:rPr>
              <w:t>授权支付退票</w:t>
            </w:r>
          </w:p>
        </w:tc>
        <w:tc>
          <w:tcPr>
            <w:tcW w:w="612" w:type="dxa"/>
            <w:noWrap w:val="0"/>
            <w:vAlign w:val="center"/>
          </w:tcPr>
          <w:p>
            <w:pPr>
              <w:jc w:val="center"/>
              <w:rPr>
                <w:rFonts w:hint="eastAsia" w:ascii="宋体" w:hAnsi="宋体"/>
                <w:sz w:val="24"/>
              </w:rPr>
            </w:pPr>
            <w:r>
              <w:rPr>
                <w:rFonts w:hint="eastAsia" w:ascii="宋体" w:hAnsi="宋体"/>
                <w:sz w:val="24"/>
              </w:rPr>
              <w:t>2</w:t>
            </w:r>
          </w:p>
        </w:tc>
        <w:tc>
          <w:tcPr>
            <w:tcW w:w="1002" w:type="dxa"/>
            <w:noWrap w:val="0"/>
            <w:vAlign w:val="center"/>
          </w:tcPr>
          <w:p>
            <w:pPr>
              <w:jc w:val="center"/>
              <w:rPr>
                <w:rFonts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971" w:type="dxa"/>
            <w:vMerge w:val="continue"/>
            <w:noWrap w:val="0"/>
            <w:vAlign w:val="center"/>
          </w:tcPr>
          <w:p>
            <w:pPr>
              <w:jc w:val="center"/>
              <w:rPr>
                <w:rFonts w:hint="eastAsia" w:ascii="宋体" w:hAnsi="宋体"/>
                <w:sz w:val="24"/>
              </w:rPr>
            </w:pPr>
          </w:p>
        </w:tc>
        <w:tc>
          <w:tcPr>
            <w:tcW w:w="1858" w:type="dxa"/>
            <w:vMerge w:val="restart"/>
            <w:noWrap w:val="0"/>
            <w:vAlign w:val="center"/>
          </w:tcPr>
          <w:p>
            <w:pPr>
              <w:jc w:val="center"/>
              <w:rPr>
                <w:rFonts w:hint="eastAsia" w:ascii="宋体" w:hAnsi="宋体"/>
                <w:sz w:val="24"/>
              </w:rPr>
            </w:pPr>
            <w:r>
              <w:rPr>
                <w:rFonts w:hint="eastAsia" w:ascii="宋体" w:hAnsi="宋体"/>
                <w:sz w:val="24"/>
              </w:rPr>
              <w:t>财评纪律执行</w:t>
            </w:r>
          </w:p>
        </w:tc>
        <w:tc>
          <w:tcPr>
            <w:tcW w:w="3402" w:type="dxa"/>
            <w:noWrap w:val="0"/>
            <w:vAlign w:val="center"/>
          </w:tcPr>
          <w:p>
            <w:pPr>
              <w:jc w:val="center"/>
              <w:rPr>
                <w:rFonts w:hint="eastAsia" w:ascii="宋体" w:hAnsi="宋体"/>
                <w:sz w:val="24"/>
              </w:rPr>
            </w:pPr>
            <w:r>
              <w:rPr>
                <w:rFonts w:hint="eastAsia" w:ascii="宋体" w:hAnsi="宋体"/>
                <w:sz w:val="24"/>
              </w:rPr>
              <w:t>审计检察</w:t>
            </w:r>
          </w:p>
        </w:tc>
        <w:tc>
          <w:tcPr>
            <w:tcW w:w="612" w:type="dxa"/>
            <w:noWrap w:val="0"/>
            <w:vAlign w:val="center"/>
          </w:tcPr>
          <w:p>
            <w:pPr>
              <w:jc w:val="center"/>
              <w:rPr>
                <w:rFonts w:hint="eastAsia" w:ascii="宋体" w:hAnsi="宋体"/>
                <w:sz w:val="24"/>
              </w:rPr>
            </w:pPr>
            <w:r>
              <w:rPr>
                <w:rFonts w:hint="eastAsia" w:ascii="宋体" w:hAnsi="宋体"/>
                <w:sz w:val="24"/>
              </w:rPr>
              <w:t>2</w:t>
            </w:r>
          </w:p>
        </w:tc>
        <w:tc>
          <w:tcPr>
            <w:tcW w:w="1002" w:type="dxa"/>
            <w:noWrap w:val="0"/>
            <w:vAlign w:val="center"/>
          </w:tcPr>
          <w:p>
            <w:pPr>
              <w:jc w:val="center"/>
              <w:rPr>
                <w:rFonts w:hint="eastAsia"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971" w:type="dxa"/>
            <w:vMerge w:val="continue"/>
            <w:noWrap w:val="0"/>
            <w:vAlign w:val="center"/>
          </w:tcPr>
          <w:p>
            <w:pPr>
              <w:jc w:val="center"/>
              <w:rPr>
                <w:rFonts w:hint="eastAsia" w:ascii="宋体" w:hAnsi="宋体"/>
                <w:sz w:val="24"/>
              </w:rPr>
            </w:pPr>
          </w:p>
        </w:tc>
        <w:tc>
          <w:tcPr>
            <w:tcW w:w="1858" w:type="dxa"/>
            <w:vMerge w:val="continue"/>
            <w:noWrap w:val="0"/>
            <w:vAlign w:val="center"/>
          </w:tcPr>
          <w:p>
            <w:pPr>
              <w:jc w:val="center"/>
              <w:rPr>
                <w:rFonts w:hint="eastAsia" w:ascii="宋体" w:hAnsi="宋体"/>
                <w:sz w:val="24"/>
              </w:rPr>
            </w:pPr>
          </w:p>
        </w:tc>
        <w:tc>
          <w:tcPr>
            <w:tcW w:w="3402" w:type="dxa"/>
            <w:noWrap w:val="0"/>
            <w:vAlign w:val="center"/>
          </w:tcPr>
          <w:p>
            <w:pPr>
              <w:jc w:val="center"/>
              <w:rPr>
                <w:rFonts w:hint="eastAsia" w:ascii="宋体" w:hAnsi="宋体"/>
                <w:sz w:val="24"/>
              </w:rPr>
            </w:pPr>
            <w:r>
              <w:rPr>
                <w:rFonts w:hint="eastAsia" w:ascii="宋体" w:hAnsi="宋体"/>
                <w:sz w:val="24"/>
              </w:rPr>
              <w:t>存在问题整改是否到位</w:t>
            </w:r>
          </w:p>
        </w:tc>
        <w:tc>
          <w:tcPr>
            <w:tcW w:w="612" w:type="dxa"/>
            <w:noWrap w:val="0"/>
            <w:vAlign w:val="center"/>
          </w:tcPr>
          <w:p>
            <w:pPr>
              <w:jc w:val="center"/>
              <w:rPr>
                <w:rFonts w:hint="eastAsia" w:ascii="宋体" w:hAnsi="宋体"/>
                <w:sz w:val="24"/>
              </w:rPr>
            </w:pPr>
            <w:r>
              <w:rPr>
                <w:rFonts w:hint="eastAsia" w:ascii="宋体" w:hAnsi="宋体"/>
                <w:sz w:val="24"/>
              </w:rPr>
              <w:t>2</w:t>
            </w:r>
          </w:p>
        </w:tc>
        <w:tc>
          <w:tcPr>
            <w:tcW w:w="1002" w:type="dxa"/>
            <w:noWrap w:val="0"/>
            <w:vAlign w:val="center"/>
          </w:tcPr>
          <w:p>
            <w:pPr>
              <w:jc w:val="center"/>
              <w:rPr>
                <w:rFonts w:hint="eastAsia"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971" w:type="dxa"/>
            <w:vMerge w:val="restart"/>
            <w:noWrap w:val="0"/>
            <w:vAlign w:val="center"/>
          </w:tcPr>
          <w:p>
            <w:pPr>
              <w:jc w:val="center"/>
              <w:rPr>
                <w:rFonts w:hint="eastAsia" w:ascii="宋体" w:hAnsi="宋体"/>
                <w:sz w:val="24"/>
              </w:rPr>
            </w:pPr>
            <w:r>
              <w:rPr>
                <w:rFonts w:hint="eastAsia" w:ascii="宋体" w:hAnsi="宋体"/>
                <w:sz w:val="24"/>
              </w:rPr>
              <w:t>整体效益（50分）</w:t>
            </w:r>
          </w:p>
        </w:tc>
        <w:tc>
          <w:tcPr>
            <w:tcW w:w="1858" w:type="dxa"/>
            <w:vMerge w:val="restart"/>
            <w:noWrap w:val="0"/>
            <w:vAlign w:val="center"/>
          </w:tcPr>
          <w:p>
            <w:pPr>
              <w:jc w:val="center"/>
              <w:rPr>
                <w:rFonts w:hint="eastAsia" w:ascii="宋体" w:hAnsi="宋体"/>
                <w:sz w:val="24"/>
              </w:rPr>
            </w:pPr>
            <w:r>
              <w:rPr>
                <w:rFonts w:hint="eastAsia" w:ascii="宋体" w:hAnsi="宋体"/>
                <w:sz w:val="24"/>
                <w:lang w:eastAsia="zh-CN"/>
              </w:rPr>
              <w:t>单位</w:t>
            </w:r>
            <w:r>
              <w:rPr>
                <w:rFonts w:hint="eastAsia" w:ascii="宋体" w:hAnsi="宋体"/>
                <w:sz w:val="24"/>
              </w:rPr>
              <w:t>整体绩效</w:t>
            </w:r>
          </w:p>
        </w:tc>
        <w:tc>
          <w:tcPr>
            <w:tcW w:w="3402" w:type="dxa"/>
            <w:noWrap w:val="0"/>
            <w:vAlign w:val="center"/>
          </w:tcPr>
          <w:p>
            <w:pPr>
              <w:jc w:val="center"/>
              <w:rPr>
                <w:rFonts w:hint="eastAsia" w:ascii="宋体" w:hAnsi="宋体"/>
                <w:sz w:val="24"/>
              </w:rPr>
            </w:pPr>
            <w:r>
              <w:rPr>
                <w:rFonts w:hint="eastAsia" w:ascii="宋体" w:hAnsi="宋体"/>
                <w:sz w:val="24"/>
              </w:rPr>
              <w:t>年度考核</w:t>
            </w:r>
          </w:p>
        </w:tc>
        <w:tc>
          <w:tcPr>
            <w:tcW w:w="612" w:type="dxa"/>
            <w:noWrap w:val="0"/>
            <w:vAlign w:val="center"/>
          </w:tcPr>
          <w:p>
            <w:pPr>
              <w:jc w:val="center"/>
              <w:rPr>
                <w:rFonts w:hint="eastAsia" w:ascii="宋体" w:hAnsi="宋体"/>
                <w:sz w:val="24"/>
              </w:rPr>
            </w:pPr>
            <w:r>
              <w:rPr>
                <w:rFonts w:hint="eastAsia" w:ascii="宋体" w:hAnsi="宋体"/>
                <w:sz w:val="24"/>
              </w:rPr>
              <w:t>20</w:t>
            </w:r>
          </w:p>
        </w:tc>
        <w:tc>
          <w:tcPr>
            <w:tcW w:w="1002" w:type="dxa"/>
            <w:noWrap w:val="0"/>
            <w:vAlign w:val="center"/>
          </w:tcPr>
          <w:p>
            <w:pPr>
              <w:jc w:val="center"/>
              <w:rPr>
                <w:rFonts w:ascii="宋体" w:hAnsi="宋体"/>
                <w:sz w:val="24"/>
              </w:rPr>
            </w:pPr>
            <w:r>
              <w:rPr>
                <w:rFonts w:hint="eastAsia" w:ascii="宋体" w:hAnsi="宋体"/>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1971" w:type="dxa"/>
            <w:vMerge w:val="continue"/>
            <w:noWrap w:val="0"/>
            <w:vAlign w:val="center"/>
          </w:tcPr>
          <w:p>
            <w:pPr>
              <w:jc w:val="center"/>
              <w:rPr>
                <w:rFonts w:hint="eastAsia" w:ascii="宋体" w:hAnsi="宋体"/>
                <w:sz w:val="24"/>
              </w:rPr>
            </w:pPr>
          </w:p>
        </w:tc>
        <w:tc>
          <w:tcPr>
            <w:tcW w:w="1858" w:type="dxa"/>
            <w:vMerge w:val="continue"/>
            <w:noWrap w:val="0"/>
            <w:vAlign w:val="center"/>
          </w:tcPr>
          <w:p>
            <w:pPr>
              <w:jc w:val="center"/>
              <w:rPr>
                <w:rFonts w:hint="eastAsia" w:ascii="宋体" w:hAnsi="宋体"/>
                <w:sz w:val="24"/>
              </w:rPr>
            </w:pPr>
          </w:p>
        </w:tc>
        <w:tc>
          <w:tcPr>
            <w:tcW w:w="3402" w:type="dxa"/>
            <w:noWrap w:val="0"/>
            <w:vAlign w:val="center"/>
          </w:tcPr>
          <w:p>
            <w:pPr>
              <w:jc w:val="center"/>
              <w:rPr>
                <w:rFonts w:hint="eastAsia" w:ascii="宋体" w:hAnsi="宋体"/>
                <w:sz w:val="24"/>
              </w:rPr>
            </w:pPr>
            <w:r>
              <w:rPr>
                <w:rFonts w:hint="eastAsia" w:ascii="宋体" w:hAnsi="宋体"/>
                <w:sz w:val="24"/>
              </w:rPr>
              <w:t>项目绩效评价结果</w:t>
            </w:r>
          </w:p>
        </w:tc>
        <w:tc>
          <w:tcPr>
            <w:tcW w:w="612" w:type="dxa"/>
            <w:noWrap w:val="0"/>
            <w:vAlign w:val="center"/>
          </w:tcPr>
          <w:p>
            <w:pPr>
              <w:jc w:val="center"/>
              <w:rPr>
                <w:rFonts w:hint="eastAsia" w:ascii="宋体" w:hAnsi="宋体"/>
                <w:sz w:val="24"/>
              </w:rPr>
            </w:pPr>
            <w:r>
              <w:rPr>
                <w:rFonts w:hint="eastAsia" w:ascii="宋体" w:hAnsi="宋体"/>
                <w:sz w:val="24"/>
              </w:rPr>
              <w:t>30</w:t>
            </w:r>
          </w:p>
        </w:tc>
        <w:tc>
          <w:tcPr>
            <w:tcW w:w="1002" w:type="dxa"/>
            <w:noWrap w:val="0"/>
            <w:vAlign w:val="center"/>
          </w:tcPr>
          <w:p>
            <w:pPr>
              <w:jc w:val="center"/>
              <w:rPr>
                <w:rFonts w:hint="eastAsia" w:ascii="宋体" w:hAnsi="宋体" w:eastAsia="宋体"/>
                <w:sz w:val="24"/>
                <w:lang w:val="en-US" w:eastAsia="zh-CN"/>
              </w:rPr>
            </w:pPr>
            <w:r>
              <w:rPr>
                <w:rFonts w:hint="eastAsia" w:ascii="宋体" w:hAnsi="宋体"/>
                <w:sz w:val="24"/>
              </w:rPr>
              <w:t>2</w:t>
            </w:r>
            <w:r>
              <w:rPr>
                <w:rFonts w:hint="eastAsia" w:ascii="宋体" w:hAnsi="宋体"/>
                <w:sz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7231" w:type="dxa"/>
            <w:gridSpan w:val="3"/>
            <w:noWrap w:val="0"/>
            <w:vAlign w:val="center"/>
          </w:tcPr>
          <w:p>
            <w:pPr>
              <w:jc w:val="center"/>
              <w:rPr>
                <w:rFonts w:hint="eastAsia" w:ascii="宋体" w:hAnsi="宋体"/>
                <w:sz w:val="24"/>
              </w:rPr>
            </w:pPr>
            <w:r>
              <w:rPr>
                <w:rFonts w:hint="eastAsia" w:ascii="宋体" w:hAnsi="宋体"/>
                <w:sz w:val="24"/>
              </w:rPr>
              <w:t>合　　　　　计</w:t>
            </w:r>
          </w:p>
        </w:tc>
        <w:tc>
          <w:tcPr>
            <w:tcW w:w="612" w:type="dxa"/>
            <w:noWrap w:val="0"/>
            <w:vAlign w:val="center"/>
          </w:tcPr>
          <w:p>
            <w:pPr>
              <w:jc w:val="center"/>
              <w:rPr>
                <w:rFonts w:ascii="宋体" w:hAnsi="宋体"/>
                <w:sz w:val="24"/>
              </w:rPr>
            </w:pPr>
            <w:r>
              <w:rPr>
                <w:rFonts w:hint="eastAsia" w:ascii="宋体" w:hAnsi="宋体"/>
                <w:sz w:val="24"/>
              </w:rPr>
              <w:t>100</w:t>
            </w:r>
          </w:p>
        </w:tc>
        <w:tc>
          <w:tcPr>
            <w:tcW w:w="1002" w:type="dxa"/>
            <w:noWrap w:val="0"/>
            <w:vAlign w:val="center"/>
          </w:tcPr>
          <w:p>
            <w:pPr>
              <w:jc w:val="center"/>
              <w:rPr>
                <w:rFonts w:hint="eastAsia" w:ascii="宋体" w:hAnsi="宋体"/>
                <w:sz w:val="24"/>
              </w:rPr>
            </w:pPr>
            <w:r>
              <w:rPr>
                <w:rFonts w:hint="eastAsia" w:ascii="宋体" w:hAnsi="宋体"/>
                <w:sz w:val="24"/>
              </w:rPr>
              <w:t>9</w:t>
            </w:r>
            <w:r>
              <w:rPr>
                <w:rFonts w:hint="eastAsia" w:ascii="宋体" w:hAnsi="宋体"/>
                <w:sz w:val="24"/>
                <w:lang w:val="en-US" w:eastAsia="zh-CN"/>
              </w:rPr>
              <w:t>5</w:t>
            </w:r>
            <w:r>
              <w:rPr>
                <w:rFonts w:hint="eastAsia" w:ascii="宋体" w:hAnsi="宋体"/>
                <w:sz w:val="24"/>
              </w:rPr>
              <w:t>.5</w:t>
            </w:r>
          </w:p>
        </w:tc>
      </w:tr>
    </w:tbl>
    <w:p>
      <w:pPr>
        <w:pStyle w:val="17"/>
      </w:pPr>
    </w:p>
    <w:p>
      <w:pPr>
        <w:widowControl/>
        <w:adjustRightInd w:val="0"/>
        <w:snapToGrid w:val="0"/>
        <w:spacing w:line="580" w:lineRule="exact"/>
        <w:ind w:firstLine="640" w:firstLineChars="200"/>
        <w:contextualSpacing/>
        <w:jc w:val="left"/>
        <w:outlineLvl w:val="1"/>
        <w:rPr>
          <w:rFonts w:ascii="黑体" w:hAnsi="宋体" w:eastAsia="黑体" w:cs="宋体"/>
          <w:color w:val="000000"/>
          <w:kern w:val="0"/>
          <w:sz w:val="32"/>
          <w:szCs w:val="32"/>
          <w:shd w:val="clear" w:color="auto" w:fill="FFFFFF"/>
        </w:rPr>
      </w:pPr>
      <w:bookmarkStart w:id="107" w:name="_Toc23477"/>
      <w:bookmarkStart w:id="108" w:name="_Toc26016"/>
      <w:r>
        <w:rPr>
          <w:rFonts w:hint="eastAsia" w:ascii="黑体" w:hAnsi="宋体" w:eastAsia="黑体" w:cs="宋体"/>
          <w:color w:val="000000"/>
          <w:kern w:val="0"/>
          <w:sz w:val="32"/>
          <w:szCs w:val="32"/>
          <w:shd w:val="clear" w:color="auto" w:fill="FFFFFF"/>
        </w:rPr>
        <w:t>四、评价结论及建议</w:t>
      </w:r>
      <w:bookmarkEnd w:id="107"/>
      <w:bookmarkEnd w:id="108"/>
    </w:p>
    <w:p>
      <w:pPr>
        <w:widowControl/>
        <w:adjustRightInd w:val="0"/>
        <w:snapToGrid w:val="0"/>
        <w:spacing w:line="580" w:lineRule="exact"/>
        <w:ind w:firstLine="640" w:firstLineChars="200"/>
        <w:contextualSpacing/>
        <w:jc w:val="left"/>
        <w:outlineLvl w:val="2"/>
        <w:rPr>
          <w:rFonts w:hint="eastAsia" w:ascii="仿宋_GB2312" w:hAnsi="宋体" w:eastAsia="仿宋_GB2312" w:cs="宋体"/>
          <w:color w:val="000000"/>
          <w:kern w:val="0"/>
          <w:sz w:val="32"/>
          <w:szCs w:val="32"/>
          <w:shd w:val="clear" w:color="auto" w:fill="FFFFFF"/>
          <w:lang w:val="zh-CN"/>
        </w:rPr>
      </w:pPr>
      <w:bookmarkStart w:id="109" w:name="_Toc31026"/>
      <w:r>
        <w:rPr>
          <w:rFonts w:hint="eastAsia" w:ascii="仿宋_GB2312" w:hAnsi="宋体" w:eastAsia="仿宋_GB2312" w:cs="宋体"/>
          <w:color w:val="000000"/>
          <w:kern w:val="0"/>
          <w:sz w:val="32"/>
          <w:szCs w:val="32"/>
          <w:shd w:val="clear" w:color="auto" w:fill="FFFFFF"/>
          <w:lang w:val="zh-CN"/>
        </w:rPr>
        <w:t>（一）评价结论。</w:t>
      </w:r>
      <w:bookmarkEnd w:id="109"/>
    </w:p>
    <w:p>
      <w:pPr>
        <w:spacing w:line="576" w:lineRule="exact"/>
        <w:ind w:firstLine="624" w:firstLineChars="200"/>
        <w:rPr>
          <w:lang w:val="zh-CN"/>
        </w:rPr>
      </w:pPr>
      <w:r>
        <w:rPr>
          <w:rFonts w:hint="eastAsia" w:ascii="仿宋_GB2312" w:eastAsia="仿宋_GB2312"/>
          <w:spacing w:val="-4"/>
          <w:sz w:val="32"/>
          <w:szCs w:val="32"/>
          <w:lang w:eastAsia="zh-CN"/>
        </w:rPr>
        <w:t>2021年</w:t>
      </w:r>
      <w:r>
        <w:rPr>
          <w:rFonts w:hint="eastAsia" w:ascii="仿宋_GB2312" w:eastAsia="仿宋_GB2312"/>
          <w:spacing w:val="-4"/>
          <w:sz w:val="32"/>
          <w:szCs w:val="32"/>
        </w:rPr>
        <w:t>我中心在编制</w:t>
      </w:r>
      <w:r>
        <w:rPr>
          <w:rFonts w:hint="eastAsia" w:ascii="仿宋_GB2312" w:eastAsia="仿宋_GB2312"/>
          <w:spacing w:val="-4"/>
          <w:sz w:val="32"/>
          <w:szCs w:val="32"/>
          <w:lang w:eastAsia="zh-CN"/>
        </w:rPr>
        <w:t>单位</w:t>
      </w:r>
      <w:r>
        <w:rPr>
          <w:rFonts w:hint="eastAsia" w:ascii="仿宋_GB2312" w:eastAsia="仿宋_GB2312"/>
          <w:spacing w:val="-4"/>
          <w:sz w:val="32"/>
          <w:szCs w:val="32"/>
        </w:rPr>
        <w:t>预算时，认真核实本</w:t>
      </w:r>
      <w:r>
        <w:rPr>
          <w:rFonts w:hint="eastAsia" w:ascii="仿宋_GB2312" w:eastAsia="仿宋_GB2312"/>
          <w:spacing w:val="-4"/>
          <w:sz w:val="32"/>
          <w:szCs w:val="32"/>
          <w:lang w:eastAsia="zh-CN"/>
        </w:rPr>
        <w:t>单位</w:t>
      </w:r>
      <w:r>
        <w:rPr>
          <w:rFonts w:hint="eastAsia" w:ascii="仿宋_GB2312" w:eastAsia="仿宋_GB2312"/>
          <w:spacing w:val="-4"/>
          <w:sz w:val="32"/>
          <w:szCs w:val="32"/>
        </w:rPr>
        <w:t>单位基础信息资料，对编制、人员（包括身份证号码、人员身份、所占编制性质、人员职级、经费发放渠道等）、资产、债务、公务用车（含编制和实有数量）等</w:t>
      </w:r>
      <w:r>
        <w:rPr>
          <w:rFonts w:hint="eastAsia" w:ascii="仿宋_GB2312" w:eastAsia="仿宋_GB2312"/>
          <w:spacing w:val="-4"/>
          <w:sz w:val="32"/>
          <w:szCs w:val="32"/>
          <w:lang w:eastAsia="zh-CN"/>
        </w:rPr>
        <w:t>情况进行</w:t>
      </w:r>
      <w:r>
        <w:rPr>
          <w:rFonts w:hint="eastAsia" w:ascii="仿宋_GB2312" w:eastAsia="仿宋_GB2312"/>
          <w:spacing w:val="-4"/>
          <w:sz w:val="32"/>
          <w:szCs w:val="32"/>
        </w:rPr>
        <w:t>严格清理和据实填报，切实做到不错报、不漏报、不虚报。严格按照《广元市市级项目支出预算管理暂行办法》要求，一个项目一个申报文本，客观详实地提供每一个项目的相关资料。项目预算编制做到论证充分、资料翔实，科学合理</w:t>
      </w:r>
      <w:r>
        <w:rPr>
          <w:rFonts w:hint="eastAsia" w:ascii="仿宋_GB2312" w:eastAsia="仿宋_GB2312"/>
          <w:spacing w:val="-6"/>
          <w:sz w:val="32"/>
          <w:szCs w:val="32"/>
        </w:rPr>
        <w:t>实现财政资金管理的精细化、科学化和规范化。</w:t>
      </w:r>
    </w:p>
    <w:p>
      <w:pPr>
        <w:widowControl/>
        <w:adjustRightInd w:val="0"/>
        <w:snapToGrid w:val="0"/>
        <w:spacing w:line="580" w:lineRule="exact"/>
        <w:ind w:firstLine="640" w:firstLineChars="200"/>
        <w:contextualSpacing/>
        <w:jc w:val="left"/>
        <w:outlineLvl w:val="2"/>
        <w:rPr>
          <w:rFonts w:hint="eastAsia" w:ascii="仿宋_GB2312" w:hAnsi="宋体" w:eastAsia="仿宋_GB2312" w:cs="宋体"/>
          <w:color w:val="000000"/>
          <w:kern w:val="0"/>
          <w:sz w:val="32"/>
          <w:szCs w:val="32"/>
          <w:shd w:val="clear" w:color="auto" w:fill="FFFFFF"/>
          <w:lang w:val="zh-CN"/>
        </w:rPr>
      </w:pPr>
      <w:bookmarkStart w:id="110" w:name="_Toc27389"/>
      <w:r>
        <w:rPr>
          <w:rFonts w:hint="eastAsia" w:ascii="仿宋_GB2312" w:hAnsi="宋体" w:eastAsia="仿宋_GB2312" w:cs="宋体"/>
          <w:color w:val="000000"/>
          <w:kern w:val="0"/>
          <w:sz w:val="32"/>
          <w:szCs w:val="32"/>
          <w:shd w:val="clear" w:color="auto" w:fill="FFFFFF"/>
          <w:lang w:val="zh-CN"/>
        </w:rPr>
        <w:t>（二）存在问题。</w:t>
      </w:r>
      <w:bookmarkEnd w:id="110"/>
    </w:p>
    <w:p>
      <w:pPr>
        <w:spacing w:line="576" w:lineRule="exact"/>
        <w:ind w:firstLine="640" w:firstLineChars="200"/>
        <w:rPr>
          <w:lang w:val="zh-CN"/>
        </w:rPr>
      </w:pPr>
      <w:r>
        <w:rPr>
          <w:rFonts w:eastAsia="仿宋_GB2312"/>
          <w:color w:val="000000"/>
          <w:sz w:val="32"/>
          <w:szCs w:val="32"/>
        </w:rPr>
        <w:t>预算执行进度、预算绩效管理意识、预算绩效管理规范有待进一步提升。</w:t>
      </w:r>
      <w:r>
        <w:rPr>
          <w:rFonts w:hint="eastAsia" w:ascii="仿宋_GB2312" w:hAnsi="仿宋" w:eastAsia="仿宋_GB2312" w:cs="仿宋_GB2312"/>
          <w:sz w:val="32"/>
          <w:szCs w:val="32"/>
          <w:lang w:eastAsia="zh-CN"/>
        </w:rPr>
        <w:t>单位</w:t>
      </w:r>
      <w:r>
        <w:rPr>
          <w:rFonts w:hint="eastAsia" w:ascii="仿宋_GB2312" w:hAnsi="仿宋" w:eastAsia="仿宋_GB2312" w:cs="仿宋_GB2312"/>
          <w:sz w:val="32"/>
          <w:szCs w:val="32"/>
        </w:rPr>
        <w:t>支出预算执行过程还存在一些问题：一是预算编制工作有待细化；二是绩效评价质量不高；</w:t>
      </w:r>
      <w:r>
        <w:rPr>
          <w:rFonts w:hint="eastAsia" w:ascii="仿宋_GB2312" w:hAnsi="仿宋" w:eastAsia="仿宋_GB2312" w:cs="仿宋_GB2312"/>
          <w:sz w:val="32"/>
          <w:szCs w:val="32"/>
          <w:lang w:eastAsia="zh-CN"/>
        </w:rPr>
        <w:t>三</w:t>
      </w:r>
      <w:r>
        <w:rPr>
          <w:rFonts w:hint="eastAsia" w:ascii="仿宋_GB2312" w:hAnsi="仿宋" w:eastAsia="仿宋_GB2312" w:cs="仿宋_GB2312"/>
          <w:sz w:val="32"/>
          <w:szCs w:val="32"/>
        </w:rPr>
        <w:t>是部分项目绩效指标用文字和数字描述不够准确。</w:t>
      </w:r>
    </w:p>
    <w:p>
      <w:pPr>
        <w:widowControl/>
        <w:adjustRightInd w:val="0"/>
        <w:snapToGrid w:val="0"/>
        <w:spacing w:line="580" w:lineRule="exact"/>
        <w:ind w:firstLine="640" w:firstLineChars="200"/>
        <w:contextualSpacing/>
        <w:jc w:val="left"/>
        <w:outlineLvl w:val="2"/>
        <w:rPr>
          <w:rFonts w:ascii="仿宋_GB2312" w:hAnsi="宋体" w:eastAsia="仿宋_GB2312" w:cs="宋体"/>
          <w:color w:val="000000"/>
          <w:kern w:val="0"/>
          <w:sz w:val="32"/>
          <w:szCs w:val="32"/>
          <w:shd w:val="clear" w:color="auto" w:fill="FFFFFF"/>
          <w:lang w:val="zh-CN"/>
        </w:rPr>
      </w:pPr>
      <w:bookmarkStart w:id="111" w:name="_Toc12041"/>
      <w:r>
        <w:rPr>
          <w:rFonts w:hint="eastAsia" w:ascii="仿宋_GB2312" w:hAnsi="宋体" w:eastAsia="仿宋_GB2312" w:cs="宋体"/>
          <w:color w:val="000000"/>
          <w:kern w:val="0"/>
          <w:sz w:val="32"/>
          <w:szCs w:val="32"/>
          <w:shd w:val="clear" w:color="auto" w:fill="FFFFFF"/>
          <w:lang w:val="zh-CN"/>
        </w:rPr>
        <w:t>（三）改进建议。</w:t>
      </w:r>
      <w:bookmarkEnd w:id="111"/>
    </w:p>
    <w:p>
      <w:pPr>
        <w:spacing w:line="576" w:lineRule="exact"/>
        <w:ind w:firstLine="640" w:firstLineChars="200"/>
        <w:rPr>
          <w:rFonts w:hint="eastAsia" w:ascii="仿宋_GB2312" w:hAnsi="仿宋" w:eastAsia="仿宋_GB2312" w:cs="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．加强预算绩效管理。进一步完善绩效目标管理的制度和办法，规范预算绩效的管理工作。</w:t>
      </w:r>
    </w:p>
    <w:p>
      <w:pPr>
        <w:spacing w:line="576"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仿宋" w:eastAsia="仿宋_GB2312" w:cs="仿宋_GB2312"/>
          <w:sz w:val="32"/>
          <w:szCs w:val="32"/>
        </w:rPr>
        <w:t>2．加强财务人员的业务培训，提高财务人员业务水平和管理能力。加强财务管理，严格财务审核，进一步完善内部控制制度，健全财务制度，规范财务行为。</w:t>
      </w:r>
    </w:p>
    <w:p>
      <w:pPr>
        <w:spacing w:line="576"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3.在单位内部加强公务卡相关知识的宣传力度，让每位职工知晓公务卡的支付功能，养成主动使用公务卡的习惯，对公务卡强制消费目录内的费用，一律采用公务卡结算。</w:t>
      </w:r>
    </w:p>
    <w:p>
      <w:pPr>
        <w:spacing w:line="600" w:lineRule="exact"/>
        <w:jc w:val="center"/>
        <w:outlineLvl w:val="0"/>
        <w:rPr>
          <w:rStyle w:val="18"/>
          <w:rFonts w:ascii="黑体" w:hAnsi="黑体" w:eastAsia="黑体"/>
          <w:b w:val="0"/>
        </w:rPr>
      </w:pPr>
      <w:r>
        <w:rPr>
          <w:rStyle w:val="18"/>
          <w:rFonts w:ascii="黑体" w:hAnsi="黑体" w:eastAsia="黑体"/>
          <w:b w:val="0"/>
        </w:rPr>
        <w:br w:type="page"/>
      </w:r>
      <w:bookmarkEnd w:id="88"/>
      <w:bookmarkStart w:id="112" w:name="_Toc3334"/>
      <w:bookmarkStart w:id="113" w:name="_Toc15396618"/>
      <w:bookmarkStart w:id="114" w:name="_Toc28170"/>
      <w:r>
        <w:rPr>
          <w:rFonts w:hint="eastAsia" w:ascii="黑体" w:hAnsi="黑体" w:eastAsia="黑体"/>
          <w:color w:val="000000"/>
          <w:sz w:val="44"/>
          <w:szCs w:val="44"/>
        </w:rPr>
        <w:t>第</w:t>
      </w:r>
      <w:r>
        <w:rPr>
          <w:rStyle w:val="18"/>
          <w:rFonts w:hint="eastAsia" w:ascii="黑体" w:hAnsi="黑体" w:eastAsia="黑体"/>
          <w:b w:val="0"/>
        </w:rPr>
        <w:t>五部分</w:t>
      </w:r>
      <w:r>
        <w:rPr>
          <w:rStyle w:val="18"/>
          <w:rFonts w:ascii="黑体" w:hAnsi="黑体" w:eastAsia="黑体"/>
          <w:b w:val="0"/>
        </w:rPr>
        <w:t xml:space="preserve"> </w:t>
      </w:r>
      <w:r>
        <w:rPr>
          <w:rStyle w:val="18"/>
          <w:rFonts w:hint="eastAsia" w:ascii="黑体" w:hAnsi="黑体" w:eastAsia="黑体"/>
          <w:b w:val="0"/>
        </w:rPr>
        <w:t>附表</w:t>
      </w:r>
      <w:bookmarkEnd w:id="112"/>
      <w:bookmarkEnd w:id="113"/>
      <w:bookmarkEnd w:id="114"/>
    </w:p>
    <w:p>
      <w:pPr>
        <w:pStyle w:val="4"/>
        <w:pageBreakBefore w:val="0"/>
        <w:widowControl w:val="0"/>
        <w:kinsoku/>
        <w:wordWrap/>
        <w:overflowPunct/>
        <w:topLinePunct w:val="0"/>
        <w:autoSpaceDE/>
        <w:autoSpaceDN/>
        <w:bidi w:val="0"/>
        <w:adjustRightInd/>
        <w:snapToGrid/>
        <w:spacing w:line="400" w:lineRule="exact"/>
        <w:textAlignment w:val="auto"/>
        <w:rPr>
          <w:rFonts w:ascii="仿宋" w:hAnsi="仿宋" w:eastAsia="仿宋"/>
          <w:color w:val="000000"/>
        </w:rPr>
      </w:pPr>
      <w:bookmarkStart w:id="115" w:name="_Toc19960"/>
      <w:bookmarkStart w:id="116" w:name="_Toc15396619"/>
      <w:bookmarkStart w:id="117" w:name="_Toc18766"/>
      <w:r>
        <w:rPr>
          <w:rFonts w:hint="eastAsia" w:ascii="仿宋" w:hAnsi="仿宋" w:eastAsia="仿宋"/>
          <w:b w:val="0"/>
          <w:color w:val="000000"/>
        </w:rPr>
        <w:t>一、收</w:t>
      </w:r>
      <w:r>
        <w:rPr>
          <w:rStyle w:val="19"/>
          <w:rFonts w:hint="eastAsia" w:ascii="仿宋" w:hAnsi="仿宋" w:eastAsia="仿宋"/>
          <w:b w:val="0"/>
          <w:bCs w:val="0"/>
        </w:rPr>
        <w:t>入支出决算总表</w:t>
      </w:r>
      <w:bookmarkEnd w:id="115"/>
      <w:bookmarkEnd w:id="116"/>
      <w:bookmarkEnd w:id="117"/>
    </w:p>
    <w:p>
      <w:pPr>
        <w:pStyle w:val="4"/>
        <w:pageBreakBefore w:val="0"/>
        <w:widowControl w:val="0"/>
        <w:kinsoku/>
        <w:wordWrap/>
        <w:overflowPunct/>
        <w:topLinePunct w:val="0"/>
        <w:autoSpaceDE/>
        <w:autoSpaceDN/>
        <w:bidi w:val="0"/>
        <w:adjustRightInd/>
        <w:snapToGrid/>
        <w:spacing w:line="400" w:lineRule="exact"/>
        <w:textAlignment w:val="auto"/>
        <w:rPr>
          <w:rFonts w:ascii="仿宋" w:hAnsi="仿宋" w:eastAsia="仿宋"/>
          <w:color w:val="000000"/>
        </w:rPr>
      </w:pPr>
      <w:bookmarkStart w:id="118" w:name="_Toc20772"/>
      <w:bookmarkStart w:id="119" w:name="_Toc408"/>
      <w:bookmarkStart w:id="120" w:name="_Toc15396620"/>
      <w:r>
        <w:rPr>
          <w:rFonts w:hint="eastAsia" w:ascii="仿宋" w:hAnsi="仿宋" w:eastAsia="仿宋"/>
          <w:b w:val="0"/>
          <w:color w:val="000000"/>
        </w:rPr>
        <w:t>二、收</w:t>
      </w:r>
      <w:r>
        <w:rPr>
          <w:rStyle w:val="19"/>
          <w:rFonts w:hint="eastAsia" w:ascii="仿宋" w:hAnsi="仿宋" w:eastAsia="仿宋"/>
          <w:b w:val="0"/>
          <w:bCs w:val="0"/>
        </w:rPr>
        <w:t>入决算表</w:t>
      </w:r>
      <w:bookmarkEnd w:id="118"/>
      <w:bookmarkEnd w:id="119"/>
      <w:bookmarkEnd w:id="120"/>
    </w:p>
    <w:p>
      <w:pPr>
        <w:pStyle w:val="4"/>
        <w:pageBreakBefore w:val="0"/>
        <w:widowControl w:val="0"/>
        <w:kinsoku/>
        <w:wordWrap/>
        <w:overflowPunct/>
        <w:topLinePunct w:val="0"/>
        <w:autoSpaceDE/>
        <w:autoSpaceDN/>
        <w:bidi w:val="0"/>
        <w:adjustRightInd/>
        <w:snapToGrid/>
        <w:spacing w:line="400" w:lineRule="exact"/>
        <w:textAlignment w:val="auto"/>
        <w:rPr>
          <w:rFonts w:ascii="仿宋" w:hAnsi="仿宋" w:eastAsia="仿宋"/>
          <w:color w:val="000000"/>
        </w:rPr>
      </w:pPr>
      <w:bookmarkStart w:id="121" w:name="_Toc418"/>
      <w:bookmarkStart w:id="122" w:name="_Toc29508"/>
      <w:bookmarkStart w:id="123" w:name="_Toc15396621"/>
      <w:r>
        <w:rPr>
          <w:rStyle w:val="19"/>
          <w:rFonts w:hint="eastAsia" w:ascii="仿宋" w:hAnsi="仿宋" w:eastAsia="仿宋"/>
          <w:b w:val="0"/>
          <w:bCs w:val="0"/>
        </w:rPr>
        <w:t>三、</w:t>
      </w:r>
      <w:r>
        <w:rPr>
          <w:rFonts w:hint="eastAsia" w:ascii="仿宋" w:hAnsi="仿宋" w:eastAsia="仿宋"/>
          <w:b w:val="0"/>
          <w:color w:val="000000"/>
        </w:rPr>
        <w:t>支</w:t>
      </w:r>
      <w:r>
        <w:rPr>
          <w:rStyle w:val="19"/>
          <w:rFonts w:hint="eastAsia" w:ascii="仿宋" w:hAnsi="仿宋" w:eastAsia="仿宋"/>
          <w:b w:val="0"/>
          <w:bCs w:val="0"/>
        </w:rPr>
        <w:t>出决算表</w:t>
      </w:r>
      <w:bookmarkEnd w:id="121"/>
      <w:bookmarkEnd w:id="122"/>
      <w:bookmarkEnd w:id="123"/>
    </w:p>
    <w:p>
      <w:pPr>
        <w:pStyle w:val="4"/>
        <w:pageBreakBefore w:val="0"/>
        <w:widowControl w:val="0"/>
        <w:kinsoku/>
        <w:wordWrap/>
        <w:overflowPunct/>
        <w:topLinePunct w:val="0"/>
        <w:autoSpaceDE/>
        <w:autoSpaceDN/>
        <w:bidi w:val="0"/>
        <w:adjustRightInd/>
        <w:snapToGrid/>
        <w:spacing w:line="400" w:lineRule="exact"/>
        <w:textAlignment w:val="auto"/>
        <w:rPr>
          <w:rFonts w:ascii="仿宋" w:hAnsi="仿宋" w:eastAsia="仿宋"/>
          <w:b w:val="0"/>
          <w:color w:val="000000"/>
        </w:rPr>
      </w:pPr>
      <w:bookmarkStart w:id="124" w:name="_Toc12605"/>
      <w:bookmarkStart w:id="125" w:name="_Toc20709"/>
      <w:bookmarkStart w:id="126" w:name="_Toc15396622"/>
      <w:r>
        <w:rPr>
          <w:rStyle w:val="19"/>
          <w:rFonts w:hint="eastAsia" w:ascii="仿宋" w:hAnsi="仿宋" w:eastAsia="仿宋"/>
          <w:b w:val="0"/>
          <w:bCs w:val="0"/>
        </w:rPr>
        <w:t>四、</w:t>
      </w:r>
      <w:r>
        <w:rPr>
          <w:rFonts w:hint="eastAsia" w:ascii="仿宋" w:hAnsi="仿宋" w:eastAsia="仿宋"/>
          <w:b w:val="0"/>
          <w:color w:val="000000"/>
        </w:rPr>
        <w:t>财</w:t>
      </w:r>
      <w:r>
        <w:rPr>
          <w:rStyle w:val="19"/>
          <w:rFonts w:hint="eastAsia" w:ascii="仿宋" w:hAnsi="仿宋" w:eastAsia="仿宋"/>
          <w:b w:val="0"/>
          <w:bCs w:val="0"/>
        </w:rPr>
        <w:t>政拨款收入支出决算总表</w:t>
      </w:r>
      <w:bookmarkEnd w:id="124"/>
      <w:bookmarkEnd w:id="125"/>
      <w:bookmarkEnd w:id="126"/>
    </w:p>
    <w:p>
      <w:pPr>
        <w:pStyle w:val="4"/>
        <w:pageBreakBefore w:val="0"/>
        <w:widowControl w:val="0"/>
        <w:kinsoku/>
        <w:wordWrap/>
        <w:overflowPunct/>
        <w:topLinePunct w:val="0"/>
        <w:autoSpaceDE/>
        <w:autoSpaceDN/>
        <w:bidi w:val="0"/>
        <w:adjustRightInd/>
        <w:snapToGrid/>
        <w:spacing w:line="400" w:lineRule="exact"/>
        <w:textAlignment w:val="auto"/>
        <w:rPr>
          <w:rStyle w:val="19"/>
          <w:rFonts w:ascii="仿宋" w:hAnsi="仿宋" w:eastAsia="仿宋"/>
          <w:b w:val="0"/>
          <w:bCs w:val="0"/>
        </w:rPr>
      </w:pPr>
      <w:bookmarkStart w:id="127" w:name="_Toc15396623"/>
      <w:bookmarkStart w:id="128" w:name="_Toc22320"/>
      <w:bookmarkStart w:id="129" w:name="_Toc21491"/>
      <w:r>
        <w:rPr>
          <w:rStyle w:val="19"/>
          <w:rFonts w:hint="eastAsia" w:ascii="仿宋" w:hAnsi="仿宋" w:eastAsia="仿宋"/>
          <w:b w:val="0"/>
          <w:bCs w:val="0"/>
        </w:rPr>
        <w:t>五、</w:t>
      </w:r>
      <w:r>
        <w:rPr>
          <w:rFonts w:hint="eastAsia" w:ascii="仿宋" w:hAnsi="仿宋" w:eastAsia="仿宋"/>
          <w:b w:val="0"/>
          <w:color w:val="000000"/>
        </w:rPr>
        <w:t>财</w:t>
      </w:r>
      <w:r>
        <w:rPr>
          <w:rStyle w:val="19"/>
          <w:rFonts w:hint="eastAsia" w:ascii="仿宋" w:hAnsi="仿宋" w:eastAsia="仿宋"/>
          <w:b w:val="0"/>
          <w:bCs w:val="0"/>
        </w:rPr>
        <w:t>政拨款支出决算明细表</w:t>
      </w:r>
      <w:bookmarkEnd w:id="127"/>
      <w:bookmarkEnd w:id="128"/>
      <w:bookmarkEnd w:id="129"/>
      <w:bookmarkStart w:id="130" w:name="_Toc15396624"/>
    </w:p>
    <w:p>
      <w:pPr>
        <w:pStyle w:val="4"/>
        <w:pageBreakBefore w:val="0"/>
        <w:widowControl w:val="0"/>
        <w:kinsoku/>
        <w:wordWrap/>
        <w:overflowPunct/>
        <w:topLinePunct w:val="0"/>
        <w:autoSpaceDE/>
        <w:autoSpaceDN/>
        <w:bidi w:val="0"/>
        <w:adjustRightInd/>
        <w:snapToGrid/>
        <w:spacing w:line="400" w:lineRule="exact"/>
        <w:textAlignment w:val="auto"/>
        <w:rPr>
          <w:rFonts w:ascii="仿宋" w:hAnsi="仿宋" w:eastAsia="仿宋"/>
          <w:color w:val="000000"/>
        </w:rPr>
      </w:pPr>
      <w:bookmarkStart w:id="131" w:name="_Toc21805"/>
      <w:bookmarkStart w:id="132" w:name="_Toc25914"/>
      <w:r>
        <w:rPr>
          <w:rStyle w:val="19"/>
          <w:rFonts w:hint="eastAsia" w:ascii="仿宋" w:hAnsi="仿宋" w:eastAsia="仿宋"/>
          <w:b w:val="0"/>
          <w:bCs w:val="0"/>
        </w:rPr>
        <w:t>六、</w:t>
      </w:r>
      <w:r>
        <w:rPr>
          <w:rFonts w:hint="eastAsia" w:ascii="仿宋" w:hAnsi="仿宋" w:eastAsia="仿宋"/>
          <w:b w:val="0"/>
          <w:color w:val="000000"/>
        </w:rPr>
        <w:t>一</w:t>
      </w:r>
      <w:r>
        <w:rPr>
          <w:rStyle w:val="19"/>
          <w:rFonts w:hint="eastAsia" w:ascii="仿宋" w:hAnsi="仿宋" w:eastAsia="仿宋"/>
          <w:b w:val="0"/>
          <w:bCs w:val="0"/>
        </w:rPr>
        <w:t>般公共预算财政拨款支出决算表</w:t>
      </w:r>
      <w:bookmarkEnd w:id="130"/>
      <w:bookmarkEnd w:id="131"/>
      <w:bookmarkEnd w:id="132"/>
    </w:p>
    <w:p>
      <w:pPr>
        <w:pStyle w:val="4"/>
        <w:pageBreakBefore w:val="0"/>
        <w:widowControl w:val="0"/>
        <w:kinsoku/>
        <w:wordWrap/>
        <w:overflowPunct/>
        <w:topLinePunct w:val="0"/>
        <w:autoSpaceDE/>
        <w:autoSpaceDN/>
        <w:bidi w:val="0"/>
        <w:adjustRightInd/>
        <w:snapToGrid/>
        <w:spacing w:line="400" w:lineRule="exact"/>
        <w:textAlignment w:val="auto"/>
        <w:rPr>
          <w:rFonts w:ascii="仿宋" w:hAnsi="仿宋" w:eastAsia="仿宋"/>
          <w:color w:val="000000"/>
        </w:rPr>
      </w:pPr>
      <w:bookmarkStart w:id="133" w:name="_Toc15396625"/>
      <w:bookmarkStart w:id="134" w:name="_Toc7439"/>
      <w:bookmarkStart w:id="135" w:name="_Toc23453"/>
      <w:r>
        <w:rPr>
          <w:rStyle w:val="19"/>
          <w:rFonts w:hint="eastAsia" w:ascii="仿宋" w:hAnsi="仿宋" w:eastAsia="仿宋"/>
          <w:b w:val="0"/>
          <w:bCs w:val="0"/>
        </w:rPr>
        <w:t>七、</w:t>
      </w:r>
      <w:r>
        <w:rPr>
          <w:rFonts w:hint="eastAsia" w:ascii="仿宋" w:hAnsi="仿宋" w:eastAsia="仿宋"/>
          <w:b w:val="0"/>
          <w:color w:val="000000"/>
        </w:rPr>
        <w:t>一</w:t>
      </w:r>
      <w:r>
        <w:rPr>
          <w:rStyle w:val="19"/>
          <w:rFonts w:hint="eastAsia" w:ascii="仿宋" w:hAnsi="仿宋" w:eastAsia="仿宋"/>
          <w:b w:val="0"/>
          <w:bCs w:val="0"/>
        </w:rPr>
        <w:t>般公共预算财政拨款支出决算明细表</w:t>
      </w:r>
      <w:bookmarkEnd w:id="133"/>
      <w:bookmarkEnd w:id="134"/>
      <w:bookmarkEnd w:id="135"/>
    </w:p>
    <w:p>
      <w:pPr>
        <w:pStyle w:val="4"/>
        <w:pageBreakBefore w:val="0"/>
        <w:widowControl w:val="0"/>
        <w:kinsoku/>
        <w:wordWrap/>
        <w:overflowPunct/>
        <w:topLinePunct w:val="0"/>
        <w:autoSpaceDE/>
        <w:autoSpaceDN/>
        <w:bidi w:val="0"/>
        <w:adjustRightInd/>
        <w:snapToGrid/>
        <w:spacing w:line="400" w:lineRule="exact"/>
        <w:textAlignment w:val="auto"/>
        <w:rPr>
          <w:rFonts w:ascii="仿宋" w:hAnsi="仿宋" w:eastAsia="仿宋"/>
          <w:color w:val="000000"/>
        </w:rPr>
      </w:pPr>
      <w:bookmarkStart w:id="136" w:name="_Toc16804"/>
      <w:bookmarkStart w:id="137" w:name="_Toc15396626"/>
      <w:bookmarkStart w:id="138" w:name="_Toc5989"/>
      <w:r>
        <w:rPr>
          <w:rStyle w:val="19"/>
          <w:rFonts w:hint="eastAsia" w:ascii="仿宋" w:hAnsi="仿宋" w:eastAsia="仿宋"/>
          <w:b w:val="0"/>
          <w:bCs w:val="0"/>
        </w:rPr>
        <w:t>八、</w:t>
      </w:r>
      <w:r>
        <w:rPr>
          <w:rFonts w:hint="eastAsia" w:ascii="仿宋" w:hAnsi="仿宋" w:eastAsia="仿宋"/>
          <w:b w:val="0"/>
          <w:color w:val="000000"/>
        </w:rPr>
        <w:t>一</w:t>
      </w:r>
      <w:r>
        <w:rPr>
          <w:rStyle w:val="19"/>
          <w:rFonts w:hint="eastAsia" w:ascii="仿宋" w:hAnsi="仿宋" w:eastAsia="仿宋"/>
          <w:b w:val="0"/>
          <w:bCs w:val="0"/>
        </w:rPr>
        <w:t>般公共预算财政拨款基本支出决算表</w:t>
      </w:r>
      <w:bookmarkEnd w:id="136"/>
      <w:bookmarkEnd w:id="137"/>
      <w:bookmarkEnd w:id="138"/>
    </w:p>
    <w:p>
      <w:pPr>
        <w:pStyle w:val="4"/>
        <w:pageBreakBefore w:val="0"/>
        <w:widowControl w:val="0"/>
        <w:kinsoku/>
        <w:wordWrap/>
        <w:overflowPunct/>
        <w:topLinePunct w:val="0"/>
        <w:autoSpaceDE/>
        <w:autoSpaceDN/>
        <w:bidi w:val="0"/>
        <w:adjustRightInd/>
        <w:snapToGrid/>
        <w:spacing w:line="400" w:lineRule="exact"/>
        <w:textAlignment w:val="auto"/>
        <w:rPr>
          <w:rFonts w:ascii="仿宋" w:hAnsi="仿宋" w:eastAsia="仿宋"/>
          <w:color w:val="000000"/>
        </w:rPr>
      </w:pPr>
      <w:bookmarkStart w:id="139" w:name="_Toc28271"/>
      <w:bookmarkStart w:id="140" w:name="_Toc23000"/>
      <w:bookmarkStart w:id="141" w:name="_Toc15396627"/>
      <w:r>
        <w:rPr>
          <w:rStyle w:val="19"/>
          <w:rFonts w:hint="eastAsia" w:ascii="仿宋" w:hAnsi="仿宋" w:eastAsia="仿宋"/>
          <w:b w:val="0"/>
          <w:bCs w:val="0"/>
        </w:rPr>
        <w:t>九、</w:t>
      </w:r>
      <w:r>
        <w:rPr>
          <w:rFonts w:hint="eastAsia" w:ascii="仿宋" w:hAnsi="仿宋" w:eastAsia="仿宋"/>
          <w:b w:val="0"/>
          <w:color w:val="000000"/>
        </w:rPr>
        <w:t>一</w:t>
      </w:r>
      <w:r>
        <w:rPr>
          <w:rStyle w:val="19"/>
          <w:rFonts w:hint="eastAsia" w:ascii="仿宋" w:hAnsi="仿宋" w:eastAsia="仿宋"/>
          <w:b w:val="0"/>
          <w:bCs w:val="0"/>
        </w:rPr>
        <w:t>般公共预算财政拨款项目支出决算表</w:t>
      </w:r>
      <w:bookmarkEnd w:id="139"/>
      <w:bookmarkEnd w:id="140"/>
      <w:bookmarkEnd w:id="141"/>
    </w:p>
    <w:p>
      <w:pPr>
        <w:pStyle w:val="4"/>
        <w:pageBreakBefore w:val="0"/>
        <w:widowControl w:val="0"/>
        <w:kinsoku/>
        <w:wordWrap/>
        <w:overflowPunct/>
        <w:topLinePunct w:val="0"/>
        <w:autoSpaceDE/>
        <w:autoSpaceDN/>
        <w:bidi w:val="0"/>
        <w:adjustRightInd/>
        <w:snapToGrid/>
        <w:spacing w:line="400" w:lineRule="exact"/>
        <w:textAlignment w:val="auto"/>
        <w:rPr>
          <w:rFonts w:ascii="仿宋" w:hAnsi="仿宋" w:eastAsia="仿宋"/>
          <w:color w:val="000000"/>
        </w:rPr>
      </w:pPr>
      <w:bookmarkStart w:id="142" w:name="_Toc15396628"/>
      <w:bookmarkStart w:id="143" w:name="_Toc213"/>
      <w:bookmarkStart w:id="144" w:name="_Toc8989"/>
      <w:r>
        <w:rPr>
          <w:rStyle w:val="19"/>
          <w:rFonts w:hint="eastAsia" w:ascii="仿宋" w:hAnsi="仿宋" w:eastAsia="仿宋"/>
          <w:b w:val="0"/>
          <w:bCs w:val="0"/>
        </w:rPr>
        <w:t>十、</w:t>
      </w:r>
      <w:r>
        <w:rPr>
          <w:rFonts w:hint="eastAsia" w:ascii="仿宋" w:hAnsi="仿宋" w:eastAsia="仿宋"/>
          <w:b w:val="0"/>
          <w:color w:val="000000"/>
        </w:rPr>
        <w:t>一</w:t>
      </w:r>
      <w:r>
        <w:rPr>
          <w:rStyle w:val="19"/>
          <w:rFonts w:hint="eastAsia" w:ascii="仿宋" w:hAnsi="仿宋" w:eastAsia="仿宋"/>
          <w:b w:val="0"/>
          <w:bCs w:val="0"/>
        </w:rPr>
        <w:t>般公共预算财政拨款“三公”经费支出决算表</w:t>
      </w:r>
      <w:bookmarkEnd w:id="142"/>
      <w:bookmarkEnd w:id="143"/>
      <w:bookmarkEnd w:id="144"/>
    </w:p>
    <w:p>
      <w:pPr>
        <w:pStyle w:val="4"/>
        <w:pageBreakBefore w:val="0"/>
        <w:widowControl w:val="0"/>
        <w:kinsoku/>
        <w:wordWrap/>
        <w:overflowPunct/>
        <w:topLinePunct w:val="0"/>
        <w:autoSpaceDE/>
        <w:autoSpaceDN/>
        <w:bidi w:val="0"/>
        <w:adjustRightInd/>
        <w:snapToGrid/>
        <w:spacing w:line="400" w:lineRule="exact"/>
        <w:textAlignment w:val="auto"/>
        <w:rPr>
          <w:rFonts w:ascii="仿宋" w:hAnsi="仿宋" w:eastAsia="仿宋"/>
          <w:color w:val="000000"/>
        </w:rPr>
      </w:pPr>
      <w:bookmarkStart w:id="145" w:name="_Toc30910"/>
      <w:bookmarkStart w:id="146" w:name="_Toc3298"/>
      <w:bookmarkStart w:id="147" w:name="_Toc15396629"/>
      <w:r>
        <w:rPr>
          <w:rStyle w:val="19"/>
          <w:rFonts w:hint="eastAsia" w:ascii="仿宋" w:hAnsi="仿宋" w:eastAsia="仿宋"/>
          <w:b w:val="0"/>
          <w:bCs w:val="0"/>
        </w:rPr>
        <w:t>十一、</w:t>
      </w:r>
      <w:r>
        <w:rPr>
          <w:rFonts w:hint="eastAsia" w:ascii="仿宋" w:hAnsi="仿宋" w:eastAsia="仿宋"/>
          <w:b w:val="0"/>
          <w:color w:val="000000"/>
        </w:rPr>
        <w:t>政</w:t>
      </w:r>
      <w:r>
        <w:rPr>
          <w:rStyle w:val="19"/>
          <w:rFonts w:hint="eastAsia" w:ascii="仿宋" w:hAnsi="仿宋" w:eastAsia="仿宋"/>
          <w:b w:val="0"/>
          <w:bCs w:val="0"/>
        </w:rPr>
        <w:t>府性基金预算财政拨款收入支出决算表</w:t>
      </w:r>
      <w:bookmarkEnd w:id="145"/>
      <w:bookmarkEnd w:id="146"/>
      <w:bookmarkEnd w:id="147"/>
    </w:p>
    <w:p>
      <w:pPr>
        <w:pStyle w:val="4"/>
        <w:pageBreakBefore w:val="0"/>
        <w:widowControl w:val="0"/>
        <w:kinsoku/>
        <w:wordWrap/>
        <w:overflowPunct/>
        <w:topLinePunct w:val="0"/>
        <w:autoSpaceDE/>
        <w:autoSpaceDN/>
        <w:bidi w:val="0"/>
        <w:adjustRightInd/>
        <w:snapToGrid/>
        <w:spacing w:line="400" w:lineRule="exact"/>
        <w:textAlignment w:val="auto"/>
        <w:rPr>
          <w:rFonts w:ascii="仿宋" w:hAnsi="仿宋" w:eastAsia="仿宋"/>
          <w:color w:val="000000"/>
        </w:rPr>
      </w:pPr>
      <w:bookmarkStart w:id="148" w:name="_Toc22683"/>
      <w:bookmarkStart w:id="149" w:name="_Toc22358"/>
      <w:bookmarkStart w:id="150" w:name="_Toc15396630"/>
      <w:r>
        <w:rPr>
          <w:rStyle w:val="19"/>
          <w:rFonts w:hint="eastAsia" w:ascii="仿宋" w:hAnsi="仿宋" w:eastAsia="仿宋"/>
          <w:b w:val="0"/>
          <w:bCs w:val="0"/>
        </w:rPr>
        <w:t>十二、</w:t>
      </w:r>
      <w:r>
        <w:rPr>
          <w:rFonts w:hint="eastAsia" w:ascii="仿宋" w:hAnsi="仿宋" w:eastAsia="仿宋"/>
          <w:b w:val="0"/>
          <w:color w:val="000000"/>
        </w:rPr>
        <w:t>政</w:t>
      </w:r>
      <w:r>
        <w:rPr>
          <w:rStyle w:val="19"/>
          <w:rFonts w:hint="eastAsia" w:ascii="仿宋" w:hAnsi="仿宋" w:eastAsia="仿宋"/>
          <w:b w:val="0"/>
          <w:bCs w:val="0"/>
        </w:rPr>
        <w:t>府性基金预算财政拨款“三公”经费支出决算表</w:t>
      </w:r>
      <w:bookmarkEnd w:id="148"/>
      <w:bookmarkEnd w:id="149"/>
      <w:bookmarkEnd w:id="150"/>
    </w:p>
    <w:p>
      <w:pPr>
        <w:pStyle w:val="4"/>
        <w:pageBreakBefore w:val="0"/>
        <w:widowControl w:val="0"/>
        <w:kinsoku/>
        <w:wordWrap/>
        <w:overflowPunct/>
        <w:topLinePunct w:val="0"/>
        <w:autoSpaceDE/>
        <w:autoSpaceDN/>
        <w:bidi w:val="0"/>
        <w:adjustRightInd/>
        <w:snapToGrid/>
        <w:spacing w:line="400" w:lineRule="exact"/>
        <w:textAlignment w:val="auto"/>
        <w:rPr>
          <w:rStyle w:val="19"/>
          <w:rFonts w:hint="eastAsia" w:ascii="仿宋" w:hAnsi="仿宋" w:eastAsia="仿宋"/>
          <w:b w:val="0"/>
          <w:bCs w:val="0"/>
        </w:rPr>
      </w:pPr>
      <w:bookmarkStart w:id="151" w:name="_Toc14599"/>
      <w:bookmarkStart w:id="152" w:name="_Toc15396631"/>
      <w:bookmarkStart w:id="153" w:name="_Toc449"/>
      <w:r>
        <w:rPr>
          <w:rStyle w:val="19"/>
          <w:rFonts w:hint="eastAsia" w:ascii="仿宋" w:hAnsi="仿宋" w:eastAsia="仿宋"/>
          <w:b w:val="0"/>
          <w:bCs w:val="0"/>
        </w:rPr>
        <w:t>十三、</w:t>
      </w:r>
      <w:r>
        <w:rPr>
          <w:rFonts w:hint="eastAsia" w:ascii="仿宋" w:hAnsi="仿宋" w:eastAsia="仿宋"/>
          <w:b w:val="0"/>
          <w:color w:val="000000"/>
        </w:rPr>
        <w:t>国</w:t>
      </w:r>
      <w:r>
        <w:rPr>
          <w:rStyle w:val="19"/>
          <w:rFonts w:hint="eastAsia" w:ascii="仿宋" w:hAnsi="仿宋" w:eastAsia="仿宋"/>
          <w:b w:val="0"/>
          <w:bCs w:val="0"/>
        </w:rPr>
        <w:t>有资本经营预算财政拨款</w:t>
      </w:r>
      <w:r>
        <w:rPr>
          <w:rStyle w:val="19"/>
          <w:rFonts w:hint="eastAsia" w:ascii="仿宋" w:hAnsi="仿宋" w:eastAsia="仿宋"/>
          <w:b w:val="0"/>
          <w:bCs w:val="0"/>
          <w:lang w:eastAsia="zh-CN"/>
        </w:rPr>
        <w:t>收入</w:t>
      </w:r>
      <w:r>
        <w:rPr>
          <w:rStyle w:val="19"/>
          <w:rFonts w:hint="eastAsia" w:ascii="仿宋" w:hAnsi="仿宋" w:eastAsia="仿宋"/>
          <w:b w:val="0"/>
          <w:bCs w:val="0"/>
        </w:rPr>
        <w:t>支出决算表</w:t>
      </w:r>
      <w:bookmarkEnd w:id="151"/>
      <w:bookmarkEnd w:id="152"/>
      <w:bookmarkEnd w:id="153"/>
    </w:p>
    <w:p>
      <w:pPr>
        <w:pageBreakBefore w:val="0"/>
        <w:widowControl w:val="0"/>
        <w:kinsoku/>
        <w:wordWrap/>
        <w:overflowPunct/>
        <w:topLinePunct w:val="0"/>
        <w:autoSpaceDE/>
        <w:autoSpaceDN/>
        <w:bidi w:val="0"/>
        <w:adjustRightInd/>
        <w:snapToGrid/>
        <w:spacing w:line="400" w:lineRule="exact"/>
        <w:textAlignment w:val="auto"/>
        <w:rPr>
          <w:rStyle w:val="19"/>
          <w:rFonts w:hint="eastAsia" w:ascii="仿宋" w:hAnsi="仿宋" w:eastAsia="仿宋" w:cs="Times New Roman"/>
          <w:b w:val="0"/>
          <w:bCs w:val="0"/>
          <w:lang w:val="en-US" w:eastAsia="zh-CN" w:bidi="ar-SA"/>
        </w:rPr>
      </w:pPr>
      <w:bookmarkStart w:id="154" w:name="_Toc9305"/>
      <w:bookmarkStart w:id="155" w:name="_Toc28905"/>
      <w:r>
        <w:rPr>
          <w:rStyle w:val="19"/>
          <w:rFonts w:hint="eastAsia" w:ascii="仿宋" w:hAnsi="仿宋" w:eastAsia="仿宋" w:cs="Times New Roman"/>
          <w:b w:val="0"/>
          <w:bCs w:val="0"/>
          <w:lang w:val="en-US" w:eastAsia="zh-CN" w:bidi="ar-SA"/>
        </w:rPr>
        <w:t>十四、国有资本经营预算财政拨款支出决算表</w:t>
      </w:r>
    </w:p>
    <w:bookmarkEnd w:id="154"/>
    <w:bookmarkEnd w:id="155"/>
    <w:p>
      <w:pPr>
        <w:pStyle w:val="4"/>
        <w:outlineLvl w:val="9"/>
        <w:rPr>
          <w:rFonts w:ascii="仿宋" w:hAnsi="仿宋" w:eastAsia="仿宋"/>
          <w:color w:val="000000"/>
        </w:rPr>
      </w:pPr>
    </w:p>
    <w:sectPr>
      <w:footerReference r:id="rId6"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88C33B"/>
    <w:multiLevelType w:val="singleLevel"/>
    <w:tmpl w:val="CD88C33B"/>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2B92A8E4"/>
    <w:multiLevelType w:val="singleLevel"/>
    <w:tmpl w:val="2B92A8E4"/>
    <w:lvl w:ilvl="0" w:tentative="0">
      <w:start w:val="2"/>
      <w:numFmt w:val="chineseCounting"/>
      <w:suff w:val="nothing"/>
      <w:lvlText w:val="（%1）"/>
      <w:lvlJc w:val="left"/>
      <w:rPr>
        <w:rFonts w:hint="eastAsia"/>
      </w:rPr>
    </w:lvl>
  </w:abstractNum>
  <w:abstractNum w:abstractNumId="5">
    <w:nsid w:val="51EF718B"/>
    <w:multiLevelType w:val="singleLevel"/>
    <w:tmpl w:val="51EF718B"/>
    <w:lvl w:ilvl="0" w:tentative="0">
      <w:start w:val="1"/>
      <w:numFmt w:val="chineseCounting"/>
      <w:suff w:val="nothing"/>
      <w:lvlText w:val="（%1）"/>
      <w:lvlJc w:val="left"/>
      <w:rPr>
        <w:rFonts w:hint="eastAsia"/>
      </w:rPr>
    </w:lvl>
  </w:abstractNum>
  <w:abstractNum w:abstractNumId="6">
    <w:nsid w:val="60A931ED"/>
    <w:multiLevelType w:val="singleLevel"/>
    <w:tmpl w:val="60A931ED"/>
    <w:lvl w:ilvl="0" w:tentative="0">
      <w:start w:val="1"/>
      <w:numFmt w:val="chineseCounting"/>
      <w:suff w:val="space"/>
      <w:lvlText w:val="第%1部分"/>
      <w:lvlJc w:val="left"/>
      <w:rPr>
        <w:rFonts w:hint="eastAsia"/>
      </w:rPr>
    </w:lvl>
  </w:abstractNum>
  <w:num w:numId="1">
    <w:abstractNumId w:val="6"/>
  </w:num>
  <w:num w:numId="2">
    <w:abstractNumId w:val="3"/>
  </w:num>
  <w:num w:numId="3">
    <w:abstractNumId w:val="0"/>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YjIxOTQ1NjlkZGJhMDRkZjVlMTFkZGRkODk5NWIifQ=="/>
  </w:docVars>
  <w:rsids>
    <w:rsidRoot w:val="00F1361C"/>
    <w:rsid w:val="000222C6"/>
    <w:rsid w:val="0002549F"/>
    <w:rsid w:val="00041438"/>
    <w:rsid w:val="000468DB"/>
    <w:rsid w:val="0006487A"/>
    <w:rsid w:val="00065F8F"/>
    <w:rsid w:val="00070A43"/>
    <w:rsid w:val="000768F2"/>
    <w:rsid w:val="0009184B"/>
    <w:rsid w:val="00094236"/>
    <w:rsid w:val="0009576F"/>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97C2E"/>
    <w:rsid w:val="001B685A"/>
    <w:rsid w:val="001C0962"/>
    <w:rsid w:val="001D7531"/>
    <w:rsid w:val="001E737D"/>
    <w:rsid w:val="001F0592"/>
    <w:rsid w:val="001F7506"/>
    <w:rsid w:val="002006CD"/>
    <w:rsid w:val="00202B36"/>
    <w:rsid w:val="00204B7A"/>
    <w:rsid w:val="00204CDE"/>
    <w:rsid w:val="0021101A"/>
    <w:rsid w:val="00220536"/>
    <w:rsid w:val="00220559"/>
    <w:rsid w:val="00235629"/>
    <w:rsid w:val="00256262"/>
    <w:rsid w:val="00260C38"/>
    <w:rsid w:val="002616C0"/>
    <w:rsid w:val="00265372"/>
    <w:rsid w:val="002662AA"/>
    <w:rsid w:val="00280496"/>
    <w:rsid w:val="00281CE7"/>
    <w:rsid w:val="00294DC9"/>
    <w:rsid w:val="00295495"/>
    <w:rsid w:val="00295AFD"/>
    <w:rsid w:val="002A31DE"/>
    <w:rsid w:val="002B2613"/>
    <w:rsid w:val="002D6D05"/>
    <w:rsid w:val="002F1818"/>
    <w:rsid w:val="002F567B"/>
    <w:rsid w:val="003216A9"/>
    <w:rsid w:val="003241EA"/>
    <w:rsid w:val="00335A74"/>
    <w:rsid w:val="0036561B"/>
    <w:rsid w:val="0037013F"/>
    <w:rsid w:val="00380C92"/>
    <w:rsid w:val="00394BAA"/>
    <w:rsid w:val="003A484F"/>
    <w:rsid w:val="003A4883"/>
    <w:rsid w:val="003B0BE0"/>
    <w:rsid w:val="003B0C1B"/>
    <w:rsid w:val="003B688C"/>
    <w:rsid w:val="003B7801"/>
    <w:rsid w:val="003C0291"/>
    <w:rsid w:val="003C39AE"/>
    <w:rsid w:val="003C7B60"/>
    <w:rsid w:val="003D0C0F"/>
    <w:rsid w:val="003D1FB2"/>
    <w:rsid w:val="003D66DA"/>
    <w:rsid w:val="003E1310"/>
    <w:rsid w:val="003E6F55"/>
    <w:rsid w:val="00406254"/>
    <w:rsid w:val="0041110B"/>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269D7"/>
    <w:rsid w:val="00533100"/>
    <w:rsid w:val="005664BB"/>
    <w:rsid w:val="00566FFA"/>
    <w:rsid w:val="0057481D"/>
    <w:rsid w:val="0058486E"/>
    <w:rsid w:val="00585B33"/>
    <w:rsid w:val="0059014D"/>
    <w:rsid w:val="005B18DF"/>
    <w:rsid w:val="005B3F43"/>
    <w:rsid w:val="005B5C64"/>
    <w:rsid w:val="005C08AE"/>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4C0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8798F"/>
    <w:rsid w:val="0079426B"/>
    <w:rsid w:val="007D1682"/>
    <w:rsid w:val="007D312A"/>
    <w:rsid w:val="007D3F19"/>
    <w:rsid w:val="007E23B0"/>
    <w:rsid w:val="007E23E5"/>
    <w:rsid w:val="007F1991"/>
    <w:rsid w:val="007F2C2F"/>
    <w:rsid w:val="007F55FC"/>
    <w:rsid w:val="007F5665"/>
    <w:rsid w:val="00800112"/>
    <w:rsid w:val="00806D11"/>
    <w:rsid w:val="00813348"/>
    <w:rsid w:val="00815A40"/>
    <w:rsid w:val="008253BB"/>
    <w:rsid w:val="008300F5"/>
    <w:rsid w:val="008360A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D3A60"/>
    <w:rsid w:val="008E1DE7"/>
    <w:rsid w:val="008E707C"/>
    <w:rsid w:val="00900B08"/>
    <w:rsid w:val="00902155"/>
    <w:rsid w:val="00902EBB"/>
    <w:rsid w:val="00902FA3"/>
    <w:rsid w:val="00923564"/>
    <w:rsid w:val="0092392E"/>
    <w:rsid w:val="009315F9"/>
    <w:rsid w:val="00933499"/>
    <w:rsid w:val="009334D8"/>
    <w:rsid w:val="00935C98"/>
    <w:rsid w:val="00946945"/>
    <w:rsid w:val="00951248"/>
    <w:rsid w:val="0095152F"/>
    <w:rsid w:val="00954C49"/>
    <w:rsid w:val="00955E37"/>
    <w:rsid w:val="0097099F"/>
    <w:rsid w:val="00971997"/>
    <w:rsid w:val="00971FFC"/>
    <w:rsid w:val="0098660A"/>
    <w:rsid w:val="009931C3"/>
    <w:rsid w:val="00995C0C"/>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942BF"/>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628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3793F"/>
    <w:rsid w:val="00C42709"/>
    <w:rsid w:val="00C476FE"/>
    <w:rsid w:val="00C533CC"/>
    <w:rsid w:val="00C5751C"/>
    <w:rsid w:val="00C61BFC"/>
    <w:rsid w:val="00C62B85"/>
    <w:rsid w:val="00C65438"/>
    <w:rsid w:val="00C87FD8"/>
    <w:rsid w:val="00C91381"/>
    <w:rsid w:val="00C91CBB"/>
    <w:rsid w:val="00CB1FEB"/>
    <w:rsid w:val="00CB4E70"/>
    <w:rsid w:val="00CB7A1F"/>
    <w:rsid w:val="00CC09B6"/>
    <w:rsid w:val="00CC666F"/>
    <w:rsid w:val="00CD1E3F"/>
    <w:rsid w:val="00CE44F6"/>
    <w:rsid w:val="00CE49DA"/>
    <w:rsid w:val="00CE7B61"/>
    <w:rsid w:val="00D00095"/>
    <w:rsid w:val="00D032C2"/>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82267"/>
    <w:rsid w:val="00E853CE"/>
    <w:rsid w:val="00E867B6"/>
    <w:rsid w:val="00EA010F"/>
    <w:rsid w:val="00ED1B63"/>
    <w:rsid w:val="00ED2F6F"/>
    <w:rsid w:val="00ED3C1F"/>
    <w:rsid w:val="00ED4085"/>
    <w:rsid w:val="00ED420E"/>
    <w:rsid w:val="00ED6FBE"/>
    <w:rsid w:val="00EE2F57"/>
    <w:rsid w:val="00EF4C34"/>
    <w:rsid w:val="00EF4DDA"/>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D90610"/>
    <w:rsid w:val="05B91B98"/>
    <w:rsid w:val="08E829C7"/>
    <w:rsid w:val="0A2032A3"/>
    <w:rsid w:val="0A20501F"/>
    <w:rsid w:val="0A2975C5"/>
    <w:rsid w:val="0E0018C9"/>
    <w:rsid w:val="0F6459AD"/>
    <w:rsid w:val="0F752588"/>
    <w:rsid w:val="108A68AE"/>
    <w:rsid w:val="10C055FF"/>
    <w:rsid w:val="112205F3"/>
    <w:rsid w:val="118107EC"/>
    <w:rsid w:val="120644B5"/>
    <w:rsid w:val="14D0319D"/>
    <w:rsid w:val="169879B6"/>
    <w:rsid w:val="16BB723D"/>
    <w:rsid w:val="17833AE6"/>
    <w:rsid w:val="17D032AF"/>
    <w:rsid w:val="180879FC"/>
    <w:rsid w:val="198B4243"/>
    <w:rsid w:val="1B406657"/>
    <w:rsid w:val="1C0B2FEA"/>
    <w:rsid w:val="1CB573CF"/>
    <w:rsid w:val="1D155CEE"/>
    <w:rsid w:val="1F6A4ECE"/>
    <w:rsid w:val="211F0C8F"/>
    <w:rsid w:val="240371BF"/>
    <w:rsid w:val="24A02B8C"/>
    <w:rsid w:val="261E645E"/>
    <w:rsid w:val="26E4570C"/>
    <w:rsid w:val="28C52359"/>
    <w:rsid w:val="29FD04D3"/>
    <w:rsid w:val="2A506E02"/>
    <w:rsid w:val="2B4731F8"/>
    <w:rsid w:val="2CF81BA4"/>
    <w:rsid w:val="2D8D1DAC"/>
    <w:rsid w:val="2EA34C27"/>
    <w:rsid w:val="30562D29"/>
    <w:rsid w:val="319F7F4E"/>
    <w:rsid w:val="31A737AC"/>
    <w:rsid w:val="35C0308E"/>
    <w:rsid w:val="37046FAB"/>
    <w:rsid w:val="39E82BB3"/>
    <w:rsid w:val="3AA35CC8"/>
    <w:rsid w:val="3C215F09"/>
    <w:rsid w:val="3D356037"/>
    <w:rsid w:val="3D9F7E18"/>
    <w:rsid w:val="413C7E09"/>
    <w:rsid w:val="42E25FB4"/>
    <w:rsid w:val="45DB0042"/>
    <w:rsid w:val="484144D5"/>
    <w:rsid w:val="496819DB"/>
    <w:rsid w:val="4A77763C"/>
    <w:rsid w:val="4CE6642E"/>
    <w:rsid w:val="4ECE2238"/>
    <w:rsid w:val="4F9F7DFF"/>
    <w:rsid w:val="517A7FF9"/>
    <w:rsid w:val="566C18B0"/>
    <w:rsid w:val="571A1BE9"/>
    <w:rsid w:val="5850243A"/>
    <w:rsid w:val="58555460"/>
    <w:rsid w:val="5AF75DB6"/>
    <w:rsid w:val="5B5F3519"/>
    <w:rsid w:val="5CE768A3"/>
    <w:rsid w:val="634E8490"/>
    <w:rsid w:val="6488713A"/>
    <w:rsid w:val="68D8054D"/>
    <w:rsid w:val="6B197BBB"/>
    <w:rsid w:val="6C4A05C8"/>
    <w:rsid w:val="6DD4077E"/>
    <w:rsid w:val="6F6F4C02"/>
    <w:rsid w:val="72734D90"/>
    <w:rsid w:val="74F83240"/>
    <w:rsid w:val="75361B5B"/>
    <w:rsid w:val="76126120"/>
    <w:rsid w:val="77BD6DD9"/>
    <w:rsid w:val="7A395A1B"/>
    <w:rsid w:val="7CA512CB"/>
    <w:rsid w:val="7EF73C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9"/>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0"/>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eastAsia="仿宋_GB2312"/>
    </w:rPr>
  </w:style>
  <w:style w:type="paragraph" w:styleId="6">
    <w:name w:val="Body Text"/>
    <w:basedOn w:val="1"/>
    <w:link w:val="25"/>
    <w:qFormat/>
    <w:uiPriority w:val="99"/>
    <w:pPr>
      <w:spacing w:beforeLines="30"/>
    </w:pPr>
    <w:rPr>
      <w:rFonts w:ascii="仿宋_GB2312" w:eastAsia="仿宋_GB2312"/>
      <w:kern w:val="0"/>
      <w:sz w:val="24"/>
      <w:szCs w:val="2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2"/>
    <w:unhideWhenUsed/>
    <w:qFormat/>
    <w:uiPriority w:val="99"/>
    <w:rPr>
      <w:sz w:val="18"/>
      <w:szCs w:val="18"/>
    </w:rPr>
  </w:style>
  <w:style w:type="paragraph" w:styleId="9">
    <w:name w:val="footer"/>
    <w:basedOn w:val="1"/>
    <w:link w:val="26"/>
    <w:qFormat/>
    <w:uiPriority w:val="99"/>
    <w:pPr>
      <w:tabs>
        <w:tab w:val="center" w:pos="4153"/>
        <w:tab w:val="right" w:pos="8306"/>
      </w:tabs>
      <w:snapToGrid w:val="0"/>
      <w:jc w:val="left"/>
    </w:pPr>
    <w:rPr>
      <w:kern w:val="0"/>
      <w:sz w:val="18"/>
      <w:szCs w:val="20"/>
    </w:rPr>
  </w:style>
  <w:style w:type="paragraph" w:styleId="10">
    <w:name w:val="header"/>
    <w:basedOn w:val="1"/>
    <w:link w:val="27"/>
    <w:semiHidden/>
    <w:qFormat/>
    <w:uiPriority w:val="99"/>
    <w:pPr>
      <w:pBdr>
        <w:bottom w:val="single" w:color="auto" w:sz="6" w:space="1"/>
      </w:pBdr>
      <w:tabs>
        <w:tab w:val="center" w:pos="4153"/>
        <w:tab w:val="right" w:pos="8306"/>
      </w:tabs>
      <w:snapToGrid w:val="0"/>
      <w:jc w:val="center"/>
    </w:pPr>
    <w:rPr>
      <w:kern w:val="0"/>
      <w:sz w:val="18"/>
      <w:szCs w:val="20"/>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rFonts w:cs="Times New Roman"/>
      <w:b/>
    </w:rPr>
  </w:style>
  <w:style w:type="character" w:styleId="16">
    <w:name w:val="Hyperlink"/>
    <w:basedOn w:val="14"/>
    <w:unhideWhenUsed/>
    <w:qFormat/>
    <w:uiPriority w:val="99"/>
    <w:rPr>
      <w:rFonts w:cs="Times New Roman"/>
      <w:color w:val="0000FF"/>
      <w:u w:val="single"/>
    </w:rPr>
  </w:style>
  <w:style w:type="paragraph" w:customStyle="1" w:styleId="17">
    <w:name w:val="样式 行距: 固定值 28.9 磅"/>
    <w:basedOn w:val="1"/>
    <w:qFormat/>
    <w:uiPriority w:val="0"/>
    <w:pPr>
      <w:spacing w:line="578" w:lineRule="exact"/>
    </w:pPr>
    <w:rPr>
      <w:rFonts w:cs="宋体"/>
      <w:szCs w:val="20"/>
    </w:rPr>
  </w:style>
  <w:style w:type="character" w:customStyle="1" w:styleId="18">
    <w:name w:val="标题 1 Char"/>
    <w:basedOn w:val="14"/>
    <w:link w:val="3"/>
    <w:qFormat/>
    <w:locked/>
    <w:uiPriority w:val="9"/>
    <w:rPr>
      <w:rFonts w:ascii="Times New Roman" w:hAnsi="Times New Roman" w:cs="Times New Roman"/>
      <w:b/>
      <w:bCs/>
      <w:kern w:val="44"/>
      <w:sz w:val="44"/>
      <w:szCs w:val="44"/>
    </w:rPr>
  </w:style>
  <w:style w:type="character" w:customStyle="1" w:styleId="19">
    <w:name w:val="标题 2 Char"/>
    <w:basedOn w:val="14"/>
    <w:link w:val="4"/>
    <w:qFormat/>
    <w:locked/>
    <w:uiPriority w:val="9"/>
    <w:rPr>
      <w:rFonts w:ascii="Cambria" w:hAnsi="Cambria" w:eastAsia="宋体" w:cs="Times New Roman"/>
      <w:b/>
      <w:bCs/>
      <w:kern w:val="2"/>
      <w:sz w:val="32"/>
      <w:szCs w:val="32"/>
    </w:rPr>
  </w:style>
  <w:style w:type="character" w:customStyle="1" w:styleId="20">
    <w:name w:val="标题 3 Char"/>
    <w:basedOn w:val="14"/>
    <w:link w:val="5"/>
    <w:qFormat/>
    <w:locked/>
    <w:uiPriority w:val="9"/>
    <w:rPr>
      <w:rFonts w:ascii="Times New Roman" w:hAnsi="Times New Roman" w:cs="Times New Roman"/>
      <w:b/>
      <w:bCs/>
      <w:kern w:val="2"/>
      <w:sz w:val="32"/>
      <w:szCs w:val="32"/>
    </w:rPr>
  </w:style>
  <w:style w:type="character" w:customStyle="1" w:styleId="21">
    <w:name w:val="正文文本 Char"/>
    <w:link w:val="6"/>
    <w:qFormat/>
    <w:locked/>
    <w:uiPriority w:val="99"/>
    <w:rPr>
      <w:rFonts w:ascii="仿宋_GB2312" w:hAnsi="Times New Roman" w:eastAsia="仿宋_GB2312"/>
      <w:sz w:val="24"/>
    </w:rPr>
  </w:style>
  <w:style w:type="character" w:customStyle="1" w:styleId="22">
    <w:name w:val="批注框文本 Char"/>
    <w:basedOn w:val="14"/>
    <w:link w:val="8"/>
    <w:semiHidden/>
    <w:qFormat/>
    <w:locked/>
    <w:uiPriority w:val="99"/>
    <w:rPr>
      <w:rFonts w:ascii="Times New Roman" w:hAnsi="Times New Roman" w:cs="Times New Roman"/>
      <w:kern w:val="2"/>
      <w:sz w:val="18"/>
      <w:szCs w:val="18"/>
    </w:rPr>
  </w:style>
  <w:style w:type="character" w:customStyle="1" w:styleId="23">
    <w:name w:val="页脚 Char"/>
    <w:link w:val="9"/>
    <w:qFormat/>
    <w:locked/>
    <w:uiPriority w:val="99"/>
    <w:rPr>
      <w:sz w:val="18"/>
    </w:rPr>
  </w:style>
  <w:style w:type="character" w:customStyle="1" w:styleId="24">
    <w:name w:val="页眉 Char"/>
    <w:link w:val="10"/>
    <w:semiHidden/>
    <w:qFormat/>
    <w:locked/>
    <w:uiPriority w:val="99"/>
    <w:rPr>
      <w:sz w:val="18"/>
    </w:rPr>
  </w:style>
  <w:style w:type="character" w:customStyle="1" w:styleId="25">
    <w:name w:val="Body Text Char"/>
    <w:basedOn w:val="14"/>
    <w:link w:val="6"/>
    <w:semiHidden/>
    <w:qFormat/>
    <w:uiPriority w:val="99"/>
    <w:rPr>
      <w:rFonts w:ascii="Times New Roman" w:hAnsi="Times New Roman" w:cs="Times New Roman"/>
      <w:sz w:val="24"/>
      <w:szCs w:val="24"/>
    </w:rPr>
  </w:style>
  <w:style w:type="character" w:customStyle="1" w:styleId="26">
    <w:name w:val="Footer Char"/>
    <w:basedOn w:val="14"/>
    <w:link w:val="9"/>
    <w:semiHidden/>
    <w:qFormat/>
    <w:uiPriority w:val="99"/>
    <w:rPr>
      <w:rFonts w:ascii="Times New Roman" w:hAnsi="Times New Roman" w:cs="Times New Roman"/>
      <w:sz w:val="18"/>
      <w:szCs w:val="18"/>
    </w:rPr>
  </w:style>
  <w:style w:type="character" w:customStyle="1" w:styleId="27">
    <w:name w:val="Header Char"/>
    <w:basedOn w:val="14"/>
    <w:link w:val="10"/>
    <w:semiHidden/>
    <w:qFormat/>
    <w:uiPriority w:val="99"/>
    <w:rPr>
      <w:rFonts w:ascii="Times New Roman" w:hAnsi="Times New Roman" w:cs="Times New Roman"/>
      <w:sz w:val="18"/>
      <w:szCs w:val="18"/>
    </w:rPr>
  </w:style>
  <w:style w:type="paragraph" w:customStyle="1" w:styleId="28">
    <w:name w:val="Default"/>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9">
    <w:name w:val="List Paragraph"/>
    <w:basedOn w:val="1"/>
    <w:qFormat/>
    <w:uiPriority w:val="34"/>
    <w:pPr>
      <w:ind w:firstLine="420" w:firstLineChars="200"/>
    </w:pPr>
  </w:style>
  <w:style w:type="paragraph" w:customStyle="1" w:styleId="30">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1">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2">
    <w:name w:val="列出段落1"/>
    <w:basedOn w:val="1"/>
    <w:qFormat/>
    <w:uiPriority w:val="0"/>
    <w:pPr>
      <w:ind w:firstLine="200" w:firstLineChars="200"/>
    </w:pPr>
  </w:style>
  <w:style w:type="character" w:customStyle="1" w:styleId="33">
    <w:name w:val="font31"/>
    <w:basedOn w:val="14"/>
    <w:qFormat/>
    <w:uiPriority w:val="0"/>
    <w:rPr>
      <w:rFonts w:ascii="宋体" w:eastAsia="宋体" w:cs="宋体"/>
      <w:color w:val="000000"/>
      <w:sz w:val="20"/>
      <w:szCs w:val="20"/>
      <w:u w:val="none"/>
    </w:rPr>
  </w:style>
  <w:style w:type="character" w:customStyle="1" w:styleId="34">
    <w:name w:val="font11"/>
    <w:basedOn w:val="14"/>
    <w:qFormat/>
    <w:uiPriority w:val="0"/>
    <w:rPr>
      <w:rFonts w:ascii="Times New Roman" w:hAnsi="Times New Roman" w:cs="Times New Roman"/>
      <w:color w:val="000000"/>
      <w:sz w:val="20"/>
      <w:szCs w:val="20"/>
      <w:u w:val="none"/>
    </w:rPr>
  </w:style>
  <w:style w:type="character" w:customStyle="1" w:styleId="35">
    <w:name w:val="font51"/>
    <w:basedOn w:val="14"/>
    <w:qFormat/>
    <w:uiPriority w:val="0"/>
    <w:rPr>
      <w:rFonts w:hint="eastAsia" w:ascii="宋体" w:hAnsi="宋体" w:eastAsia="宋体" w:cs="宋体"/>
      <w:color w:val="000000"/>
      <w:sz w:val="24"/>
      <w:szCs w:val="24"/>
      <w:u w:val="none"/>
    </w:rPr>
  </w:style>
  <w:style w:type="character" w:customStyle="1" w:styleId="36">
    <w:name w:val="font71"/>
    <w:basedOn w:val="14"/>
    <w:qFormat/>
    <w:uiPriority w:val="0"/>
    <w:rPr>
      <w:rFonts w:hint="default" w:ascii="Times New Roman" w:hAnsi="Times New Roman" w:cs="Times New Roman"/>
      <w:color w:val="000000"/>
      <w:sz w:val="24"/>
      <w:szCs w:val="24"/>
      <w:u w:val="none"/>
    </w:rPr>
  </w:style>
  <w:style w:type="character" w:customStyle="1" w:styleId="37">
    <w:name w:val="font41"/>
    <w:basedOn w:val="14"/>
    <w:qFormat/>
    <w:uiPriority w:val="0"/>
    <w:rPr>
      <w:rFonts w:hint="eastAsia" w:ascii="宋体" w:hAnsi="宋体" w:eastAsia="宋体" w:cs="宋体"/>
      <w:color w:val="000000"/>
      <w:sz w:val="24"/>
      <w:szCs w:val="24"/>
      <w:u w:val="none"/>
    </w:rPr>
  </w:style>
  <w:style w:type="character" w:customStyle="1" w:styleId="38">
    <w:name w:val="font81"/>
    <w:basedOn w:val="14"/>
    <w:qFormat/>
    <w:uiPriority w:val="0"/>
    <w:rPr>
      <w:rFonts w:hint="default" w:ascii="Times New Roman" w:hAnsi="Times New Roman" w:cs="Times New Roman"/>
      <w:color w:val="000000"/>
      <w:sz w:val="24"/>
      <w:szCs w:val="24"/>
      <w:u w:val="none"/>
    </w:rPr>
  </w:style>
  <w:style w:type="character" w:customStyle="1" w:styleId="39">
    <w:name w:val="font91"/>
    <w:basedOn w:val="14"/>
    <w:qFormat/>
    <w:uiPriority w:val="0"/>
    <w:rPr>
      <w:rFonts w:hint="default" w:ascii="Times New Roman" w:hAnsi="Times New Roman" w:cs="Times New Roman"/>
      <w:color w:val="000000"/>
      <w:sz w:val="24"/>
      <w:szCs w:val="24"/>
      <w:u w:val="none"/>
    </w:rPr>
  </w:style>
  <w:style w:type="paragraph" w:customStyle="1" w:styleId="40">
    <w:name w:val="WPSOffice手动目录 1"/>
    <w:qFormat/>
    <w:uiPriority w:val="0"/>
    <w:pPr>
      <w:ind w:leftChars="0"/>
    </w:pPr>
    <w:rPr>
      <w:rFonts w:ascii="Times New Roman" w:hAnsi="Times New Roman" w:eastAsia="宋体" w:cs="Times New Roman"/>
      <w:sz w:val="20"/>
      <w:szCs w:val="20"/>
    </w:rPr>
  </w:style>
  <w:style w:type="paragraph" w:customStyle="1" w:styleId="41">
    <w:name w:val="WPSOffice手动目录 2"/>
    <w:qFormat/>
    <w:uiPriority w:val="0"/>
    <w:pPr>
      <w:ind w:leftChars="200"/>
    </w:pPr>
    <w:rPr>
      <w:rFonts w:ascii="Times New Roman" w:hAnsi="Times New Roman" w:eastAsia="宋体" w:cs="Times New Roman"/>
      <w:sz w:val="20"/>
      <w:szCs w:val="20"/>
    </w:rPr>
  </w:style>
  <w:style w:type="paragraph" w:customStyle="1" w:styleId="42">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3"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3"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3"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3"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3"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4"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收、支决算总计变动情况图（万元）</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[工作簿1]Sheet1!$E$3:$F$3</c:f>
              <c:strCache>
                <c:ptCount val="2"/>
                <c:pt idx="0">
                  <c:v>2020年</c:v>
                </c:pt>
                <c:pt idx="1">
                  <c:v>2021年</c:v>
                </c:pt>
              </c:strCache>
            </c:strRef>
          </c:cat>
          <c:val>
            <c:numRef>
              <c:f>[工作簿1]Sheet1!$E$4:$F$4</c:f>
              <c:numCache>
                <c:formatCode>General</c:formatCode>
                <c:ptCount val="2"/>
                <c:pt idx="0">
                  <c:v>358.05</c:v>
                </c:pt>
                <c:pt idx="1">
                  <c:v>343.81</c:v>
                </c:pt>
              </c:numCache>
            </c:numRef>
          </c:val>
        </c:ser>
        <c:dLbls>
          <c:showLegendKey val="false"/>
          <c:showVal val="true"/>
          <c:showCatName val="false"/>
          <c:showSerName val="false"/>
          <c:showPercent val="false"/>
          <c:showBubbleSize val="false"/>
        </c:dLbls>
        <c:gapWidth val="219"/>
        <c:overlap val="-27"/>
        <c:axId val="624682813"/>
        <c:axId val="555653897"/>
      </c:barChart>
      <c:catAx>
        <c:axId val="624682813"/>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55653897"/>
        <c:crosses val="autoZero"/>
        <c:auto val="true"/>
        <c:lblAlgn val="ctr"/>
        <c:lblOffset val="100"/>
        <c:noMultiLvlLbl val="false"/>
      </c:catAx>
      <c:valAx>
        <c:axId val="555653897"/>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24682813"/>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rgbClr val="4F81BD"/>
              </a:solidFill>
              <a:ln w="19050">
                <a:solidFill>
                  <a:schemeClr val="lt1"/>
                </a:solidFill>
              </a:ln>
              <a:effectLst/>
            </c:spPr>
          </c:dPt>
          <c:dPt>
            <c:idx val="1"/>
            <c:bubble3D val="false"/>
            <c:spPr>
              <a:solidFill>
                <a:srgbClr val="C0504D"/>
              </a:solidFill>
              <a:ln w="19050">
                <a:solidFill>
                  <a:schemeClr val="lt1"/>
                </a:solidFill>
              </a:ln>
              <a:effectLst/>
            </c:spPr>
          </c:dPt>
          <c:dLbls>
            <c:dLbl>
              <c:idx val="0"/>
              <c:layout>
                <c:manualLayout>
                  <c:x val="-0.00875655710552673"/>
                  <c:y val="-0.21217058940406"/>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342.43万元</a:t>
                    </a:r>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manualLayout>
                      <c:w val="0.139048614741244"/>
                      <c:h val="0.067352875363616"/>
                    </c:manualLayout>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[工作簿3]Sheet1!$E$12:$F$12</c:f>
              <c:strCache>
                <c:ptCount val="2"/>
                <c:pt idx="0">
                  <c:v>一般公共预算财政拨款收入</c:v>
                </c:pt>
                <c:pt idx="1">
                  <c:v>其他收入</c:v>
                </c:pt>
              </c:strCache>
            </c:strRef>
          </c:cat>
          <c:val>
            <c:numRef>
              <c:f>[工作簿3]Sheet1!$E$13:$F$13</c:f>
              <c:numCache>
                <c:formatCode>General</c:formatCode>
                <c:ptCount val="2"/>
                <c:pt idx="0">
                  <c:v>342.43</c:v>
                </c:pt>
                <c:pt idx="1">
                  <c:v>0</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egendEntry>
        <c:idx val="1"/>
        <c:delete val="true"/>
      </c:legendEntry>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rgbClr val="595959">
                    <a:lumMod val="65000"/>
                    <a:lumOff val="35000"/>
                  </a:srgbClr>
                </a:solidFill>
                <a:latin typeface="+mn-lt"/>
                <a:ea typeface="+mn-ea"/>
                <a:cs typeface="+mn-cs"/>
              </a:defRPr>
            </a:pPr>
            <a:r>
              <a:t>支出决算结构图</a:t>
            </a:r>
          </a:p>
          <a:p>
            <a:pPr defTabSz="914400">
              <a:defRPr lang="zh-CN" sz="1400" b="0" i="0" u="none" strike="noStrike" kern="1200" spc="0" baseline="0">
                <a:solidFill>
                  <a:srgbClr val="595959">
                    <a:lumMod val="65000"/>
                    <a:lumOff val="35000"/>
                  </a:srgbClr>
                </a:solidFill>
                <a:latin typeface="+mn-lt"/>
                <a:ea typeface="+mn-ea"/>
                <a:cs typeface="+mn-cs"/>
              </a:defRPr>
            </a:pPr>
          </a:p>
        </c:rich>
      </c:tx>
      <c:layout/>
      <c:overlay val="false"/>
      <c:spPr>
        <a:noFill/>
        <a:ln>
          <a:noFill/>
        </a:ln>
        <a:effectLst/>
      </c:spPr>
    </c:title>
    <c:autoTitleDeleted val="false"/>
    <c:plotArea>
      <c:layout/>
      <c:pieChart>
        <c:varyColors val="true"/>
        <c:ser>
          <c:idx val="0"/>
          <c:order val="0"/>
          <c:spPr/>
          <c:explosion val="0"/>
          <c:dPt>
            <c:idx val="0"/>
            <c:bubble3D val="false"/>
            <c:spPr>
              <a:solidFill>
                <a:srgbClr val="4F81BD"/>
              </a:solidFill>
              <a:ln w="19050">
                <a:solidFill>
                  <a:srgbClr val="FFFFFF"/>
                </a:solidFill>
              </a:ln>
              <a:effectLst/>
            </c:spPr>
          </c:dPt>
          <c:dPt>
            <c:idx val="1"/>
            <c:bubble3D val="false"/>
            <c:spPr>
              <a:solidFill>
                <a:srgbClr val="C0504D"/>
              </a:solidFill>
              <a:ln w="19050">
                <a:solidFill>
                  <a:srgbClr val="FFFFFF"/>
                </a:solidFill>
              </a:ln>
              <a:effectLst/>
            </c:spPr>
          </c:dPt>
          <c:dLbls>
            <c:dLbl>
              <c:idx val="0"/>
              <c:layout>
                <c:manualLayout>
                  <c:x val="-0.0566344409077937"/>
                  <c:y val="-0.155558353534794"/>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rgbClr val="404040">
                            <a:lumMod val="75000"/>
                            <a:lumOff val="25000"/>
                          </a:srgbClr>
                        </a:solidFill>
                        <a:latin typeface="+mn-lt"/>
                        <a:ea typeface="+mn-ea"/>
                        <a:cs typeface="+mn-cs"/>
                      </a:defRPr>
                    </a:pPr>
                    <a:r>
                      <a:t>325.89万元</a:t>
                    </a:r>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rgbClr val="404040">
                            <a:lumMod val="75000"/>
                            <a:lumOff val="25000"/>
                          </a:srgbClr>
                        </a:solidFill>
                        <a:latin typeface="+mn-lt"/>
                        <a:ea typeface="+mn-ea"/>
                        <a:cs typeface="+mn-cs"/>
                      </a:defRPr>
                    </a:pPr>
                    <a:r>
                      <a:t>15.91万元</a:t>
                    </a:r>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rgbClr val="A6A6A6">
                          <a:lumMod val="35000"/>
                          <a:lumOff val="65000"/>
                        </a:srgbClr>
                      </a:solidFill>
                      <a:round/>
                    </a:ln>
                    <a:effectLst/>
                  </c:spPr>
                </c15:leaderLines>
              </c:ext>
            </c:extLst>
          </c:dLbls>
          <c:cat>
            <c:strRef>
              <c:f>[工作簿3]Sheet1!$E$5:$F$5</c:f>
              <c:strCache>
                <c:ptCount val="2"/>
                <c:pt idx="0">
                  <c:v>基本支出</c:v>
                </c:pt>
                <c:pt idx="1">
                  <c:v>项目支出</c:v>
                </c:pt>
              </c:strCache>
            </c:strRef>
          </c:cat>
          <c:val>
            <c:numRef>
              <c:f>[工作簿3]Sheet1!$E$6:$F$6</c:f>
              <c:numCache>
                <c:formatCode>General</c:formatCode>
                <c:ptCount val="2"/>
                <c:pt idx="0">
                  <c:v>325.89</c:v>
                </c:pt>
                <c:pt idx="1">
                  <c:v>15.91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legend>
    <c:plotVisOnly val="true"/>
    <c:dispBlanksAs val="gap"/>
    <c:showDLblsOverMax val="false"/>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rgbClr val="595959">
                    <a:lumMod val="65000"/>
                    <a:lumOff val="35000"/>
                  </a:srgbClr>
                </a:solidFill>
                <a:latin typeface="+mn-lt"/>
                <a:ea typeface="+mn-ea"/>
                <a:cs typeface="+mn-cs"/>
              </a:defRPr>
            </a:pPr>
            <a:r>
              <a:t>财政拨款收、支决算总计变动情况</a:t>
            </a:r>
          </a:p>
          <a:p>
            <a:pPr defTabSz="914400">
              <a:defRPr lang="zh-CN" sz="1400" b="0" i="0" u="none" strike="noStrike" kern="1200" spc="0" baseline="0">
                <a:solidFill>
                  <a:srgbClr val="595959">
                    <a:lumMod val="65000"/>
                    <a:lumOff val="35000"/>
                  </a:srgbClr>
                </a:solidFill>
                <a:latin typeface="+mn-lt"/>
                <a:ea typeface="+mn-ea"/>
                <a:cs typeface="+mn-cs"/>
              </a:defRPr>
            </a:pPr>
          </a:p>
        </c:rich>
      </c:tx>
      <c:layout/>
      <c:overlay val="false"/>
      <c:spPr>
        <a:noFill/>
        <a:ln>
          <a:noFill/>
        </a:ln>
        <a:effectLst/>
      </c:spPr>
    </c:title>
    <c:autoTitleDeleted val="false"/>
    <c:plotArea>
      <c:layout/>
      <c:barChart>
        <c:barDir val="col"/>
        <c:grouping val="clustered"/>
        <c:varyColors val="false"/>
        <c:ser>
          <c:idx val="0"/>
          <c:order val="0"/>
          <c:spPr>
            <a:solidFill>
              <a:srgbClr val="4F81BD"/>
            </a:solidFill>
            <a:ln>
              <a:noFill/>
            </a:ln>
            <a:effectLst/>
          </c:spPr>
          <c:invertIfNegative val="false"/>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rgbClr val="404040">
                            <a:lumMod val="75000"/>
                            <a:lumOff val="25000"/>
                          </a:srgbClr>
                        </a:solidFill>
                        <a:latin typeface="+mn-lt"/>
                        <a:ea typeface="+mn-ea"/>
                        <a:cs typeface="+mn-cs"/>
                      </a:defRPr>
                    </a:pPr>
                    <a:r>
                      <a:t>358.05万元</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rgbClr val="404040">
                            <a:lumMod val="75000"/>
                            <a:lumOff val="25000"/>
                          </a:srgbClr>
                        </a:solidFill>
                        <a:latin typeface="+mn-lt"/>
                        <a:ea typeface="+mn-ea"/>
                        <a:cs typeface="+mn-cs"/>
                      </a:defRPr>
                    </a:pPr>
                    <a:r>
                      <a:t>343.81万元</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rgbClr val="A6A6A6">
                          <a:lumMod val="35000"/>
                          <a:lumOff val="65000"/>
                        </a:srgbClr>
                      </a:solidFill>
                      <a:round/>
                    </a:ln>
                    <a:effectLst/>
                  </c:spPr>
                </c15:leaderLines>
              </c:ext>
            </c:extLst>
          </c:dLbls>
          <c:cat>
            <c:strRef>
              <c:f>[工作簿3]Sheet1!$E$5:$F$5</c:f>
              <c:strCache>
                <c:ptCount val="2"/>
                <c:pt idx="0">
                  <c:v>2020年</c:v>
                </c:pt>
                <c:pt idx="1">
                  <c:v>2021年</c:v>
                </c:pt>
              </c:strCache>
            </c:strRef>
          </c:cat>
          <c:val>
            <c:numRef>
              <c:f>[工作簿3]Sheet1!$E$6:$F$6</c:f>
              <c:numCache>
                <c:formatCode>General</c:formatCode>
                <c:ptCount val="2"/>
                <c:pt idx="0">
                  <c:v>358.05</c:v>
                </c:pt>
                <c:pt idx="1">
                  <c:v>343.81</c:v>
                </c:pt>
              </c:numCache>
            </c:numRef>
          </c:val>
        </c:ser>
        <c:dLbls>
          <c:showLegendKey val="false"/>
          <c:showVal val="true"/>
          <c:showCatName val="false"/>
          <c:showSerName val="false"/>
          <c:showPercent val="false"/>
          <c:showBubbleSize val="false"/>
        </c:dLbls>
        <c:gapWidth val="219"/>
        <c:overlap val="-27"/>
        <c:axId val="167700062"/>
        <c:axId val="310346786"/>
      </c:barChart>
      <c:catAx>
        <c:axId val="167700062"/>
        <c:scaling>
          <c:orientation val="minMax"/>
        </c:scaling>
        <c:delete val="false"/>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crossAx val="310346786"/>
        <c:crosses val="autoZero"/>
        <c:auto val="true"/>
        <c:lblAlgn val="ctr"/>
        <c:lblOffset val="100"/>
        <c:noMultiLvlLbl val="false"/>
      </c:catAx>
      <c:valAx>
        <c:axId val="310346786"/>
        <c:scaling>
          <c:orientation val="minMax"/>
        </c:scaling>
        <c:delete val="false"/>
        <c:axPos val="l"/>
        <c:majorGridlines>
          <c:spPr>
            <a:ln w="9525" cap="flat" cmpd="sng" algn="ctr">
              <a:solidFill>
                <a:srgbClr val="D9D9D9">
                  <a:lumMod val="15000"/>
                  <a:lumOff val="85000"/>
                </a:srgb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crossAx val="167700062"/>
        <c:crosses val="autoZero"/>
        <c:crossBetween val="between"/>
      </c:valAx>
      <c:spPr>
        <a:noFill/>
        <a:ln>
          <a:noFill/>
        </a:ln>
        <a:effectLst/>
      </c:spPr>
    </c:plotArea>
    <c:plotVisOnly val="true"/>
    <c:dispBlanksAs val="gap"/>
    <c:showDLblsOverMax val="false"/>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rgbClr val="595959">
                    <a:lumMod val="65000"/>
                    <a:lumOff val="35000"/>
                  </a:srgbClr>
                </a:solidFill>
                <a:latin typeface="+mn-lt"/>
                <a:ea typeface="+mn-ea"/>
                <a:cs typeface="+mn-cs"/>
              </a:defRPr>
            </a:pPr>
            <a:r>
              <a:t>财政拨款收、支决算总计变动情况</a:t>
            </a:r>
          </a:p>
          <a:p>
            <a:pPr defTabSz="914400">
              <a:defRPr lang="zh-CN" sz="1400" b="0" i="0" u="none" strike="noStrike" kern="1200" spc="0" baseline="0">
                <a:solidFill>
                  <a:srgbClr val="595959">
                    <a:lumMod val="65000"/>
                    <a:lumOff val="35000"/>
                  </a:srgbClr>
                </a:solidFill>
                <a:latin typeface="+mn-lt"/>
                <a:ea typeface="+mn-ea"/>
                <a:cs typeface="+mn-cs"/>
              </a:defRPr>
            </a:pPr>
          </a:p>
        </c:rich>
      </c:tx>
      <c:layout/>
      <c:overlay val="false"/>
      <c:spPr>
        <a:noFill/>
        <a:ln>
          <a:noFill/>
        </a:ln>
        <a:effectLst/>
      </c:spPr>
    </c:title>
    <c:autoTitleDeleted val="false"/>
    <c:plotArea>
      <c:layout/>
      <c:barChart>
        <c:barDir val="col"/>
        <c:grouping val="clustered"/>
        <c:varyColors val="false"/>
        <c:ser>
          <c:idx val="0"/>
          <c:order val="0"/>
          <c:spPr>
            <a:solidFill>
              <a:srgbClr val="4F81BD"/>
            </a:solidFill>
            <a:ln>
              <a:noFill/>
            </a:ln>
            <a:effectLst/>
          </c:spPr>
          <c:invertIfNegative val="false"/>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rgbClr val="404040">
                            <a:lumMod val="75000"/>
                            <a:lumOff val="25000"/>
                          </a:srgbClr>
                        </a:solidFill>
                        <a:latin typeface="+mn-lt"/>
                        <a:ea typeface="+mn-ea"/>
                        <a:cs typeface="+mn-cs"/>
                      </a:defRPr>
                    </a:pPr>
                    <a:r>
                      <a:t>355.14万元</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rgbClr val="404040">
                            <a:lumMod val="75000"/>
                            <a:lumOff val="25000"/>
                          </a:srgbClr>
                        </a:solidFill>
                        <a:latin typeface="+mn-lt"/>
                        <a:ea typeface="+mn-ea"/>
                        <a:cs typeface="+mn-cs"/>
                      </a:defRPr>
                    </a:pPr>
                    <a:r>
                      <a:t>341.8万元</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rgbClr val="A6A6A6">
                          <a:lumMod val="35000"/>
                          <a:lumOff val="65000"/>
                        </a:srgbClr>
                      </a:solidFill>
                      <a:round/>
                    </a:ln>
                    <a:effectLst/>
                  </c:spPr>
                </c15:leaderLines>
              </c:ext>
            </c:extLst>
          </c:dLbls>
          <c:cat>
            <c:strRef>
              <c:f>[工作簿3]Sheet1!$E$5:$F$5</c:f>
              <c:strCache>
                <c:ptCount val="2"/>
                <c:pt idx="0">
                  <c:v>2020年</c:v>
                </c:pt>
                <c:pt idx="1">
                  <c:v>2021年</c:v>
                </c:pt>
              </c:strCache>
            </c:strRef>
          </c:cat>
          <c:val>
            <c:numRef>
              <c:f>[工作簿3]Sheet1!$E$6:$F$6</c:f>
              <c:numCache>
                <c:formatCode>General</c:formatCode>
                <c:ptCount val="2"/>
                <c:pt idx="0">
                  <c:v>355.14</c:v>
                </c:pt>
                <c:pt idx="1">
                  <c:v>341.8</c:v>
                </c:pt>
              </c:numCache>
            </c:numRef>
          </c:val>
        </c:ser>
        <c:dLbls>
          <c:showLegendKey val="false"/>
          <c:showVal val="true"/>
          <c:showCatName val="false"/>
          <c:showSerName val="false"/>
          <c:showPercent val="false"/>
          <c:showBubbleSize val="false"/>
        </c:dLbls>
        <c:gapWidth val="219"/>
        <c:overlap val="-27"/>
        <c:axId val="167700062"/>
        <c:axId val="310346786"/>
      </c:barChart>
      <c:catAx>
        <c:axId val="167700062"/>
        <c:scaling>
          <c:orientation val="minMax"/>
        </c:scaling>
        <c:delete val="false"/>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crossAx val="310346786"/>
        <c:crosses val="autoZero"/>
        <c:auto val="true"/>
        <c:lblAlgn val="ctr"/>
        <c:lblOffset val="100"/>
        <c:noMultiLvlLbl val="false"/>
      </c:catAx>
      <c:valAx>
        <c:axId val="310346786"/>
        <c:scaling>
          <c:orientation val="minMax"/>
        </c:scaling>
        <c:delete val="false"/>
        <c:axPos val="l"/>
        <c:majorGridlines>
          <c:spPr>
            <a:ln w="9525" cap="flat" cmpd="sng" algn="ctr">
              <a:solidFill>
                <a:srgbClr val="D9D9D9">
                  <a:lumMod val="15000"/>
                  <a:lumOff val="85000"/>
                </a:srgb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crossAx val="167700062"/>
        <c:crosses val="autoZero"/>
        <c:crossBetween val="between"/>
      </c:valAx>
      <c:spPr>
        <a:noFill/>
        <a:ln>
          <a:noFill/>
        </a:ln>
        <a:effectLst/>
      </c:spPr>
    </c:plotArea>
    <c:plotVisOnly val="true"/>
    <c:dispBlanksAs val="gap"/>
    <c:showDLblsOverMax val="false"/>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rgbClr val="595959">
                    <a:lumMod val="65000"/>
                    <a:lumOff val="35000"/>
                  </a:srgbClr>
                </a:solidFill>
                <a:latin typeface="+mn-lt"/>
                <a:ea typeface="+mn-ea"/>
                <a:cs typeface="+mn-cs"/>
              </a:defRPr>
            </a:pPr>
            <a:r>
              <a:t>一般公共预算财政拨款支出决算结构</a:t>
            </a:r>
          </a:p>
          <a:p>
            <a:pPr defTabSz="914400">
              <a:defRPr lang="zh-CN" sz="1400" b="0" i="0" u="none" strike="noStrike" kern="1200" spc="0" baseline="0">
                <a:solidFill>
                  <a:srgbClr val="595959">
                    <a:lumMod val="65000"/>
                    <a:lumOff val="35000"/>
                  </a:srgbClr>
                </a:solidFill>
                <a:latin typeface="+mn-lt"/>
                <a:ea typeface="+mn-ea"/>
                <a:cs typeface="+mn-cs"/>
              </a:defRPr>
            </a:pPr>
          </a:p>
        </c:rich>
      </c:tx>
      <c:layout/>
      <c:overlay val="false"/>
      <c:spPr>
        <a:noFill/>
        <a:ln>
          <a:noFill/>
        </a:ln>
        <a:effectLst/>
      </c:spPr>
    </c:title>
    <c:autoTitleDeleted val="false"/>
    <c:plotArea>
      <c:layout/>
      <c:pieChart>
        <c:varyColors val="true"/>
        <c:ser>
          <c:idx val="0"/>
          <c:order val="0"/>
          <c:spPr/>
          <c:explosion val="0"/>
          <c:dPt>
            <c:idx val="0"/>
            <c:bubble3D val="false"/>
            <c:spPr>
              <a:solidFill>
                <a:srgbClr val="4F81BD"/>
              </a:solidFill>
              <a:ln w="19050">
                <a:solidFill>
                  <a:srgbClr val="FFFFFF"/>
                </a:solidFill>
              </a:ln>
              <a:effectLst/>
            </c:spPr>
          </c:dPt>
          <c:dPt>
            <c:idx val="1"/>
            <c:bubble3D val="false"/>
            <c:spPr>
              <a:solidFill>
                <a:srgbClr val="C0504D"/>
              </a:solidFill>
              <a:ln w="19050">
                <a:solidFill>
                  <a:srgbClr val="FFFFFF"/>
                </a:solidFill>
              </a:ln>
              <a:effectLst/>
            </c:spPr>
          </c:dPt>
          <c:dPt>
            <c:idx val="2"/>
            <c:bubble3D val="false"/>
            <c:spPr>
              <a:solidFill>
                <a:srgbClr val="9BBB59"/>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rgbClr val="A6A6A6">
                          <a:lumMod val="35000"/>
                          <a:lumOff val="65000"/>
                        </a:srgbClr>
                      </a:solidFill>
                      <a:round/>
                    </a:ln>
                    <a:effectLst/>
                  </c:spPr>
                </c15:leaderLines>
              </c:ext>
            </c:extLst>
          </c:dLbls>
          <c:cat>
            <c:strRef>
              <c:f>[工作簿3]Sheet1!$E$5:$G$5</c:f>
              <c:strCache>
                <c:ptCount val="3"/>
                <c:pt idx="0">
                  <c:v>社会保障和就业（类）</c:v>
                </c:pt>
                <c:pt idx="1">
                  <c:v>医疗卫生(类)</c:v>
                </c:pt>
                <c:pt idx="2">
                  <c:v>住房保障（类）</c:v>
                </c:pt>
              </c:strCache>
            </c:strRef>
          </c:cat>
          <c:val>
            <c:numRef>
              <c:f>[工作簿3]Sheet1!$E$6:$G$6</c:f>
              <c:numCache>
                <c:formatCode>General</c:formatCode>
                <c:ptCount val="3"/>
                <c:pt idx="0">
                  <c:v>301.97</c:v>
                </c:pt>
                <c:pt idx="1">
                  <c:v>12.81</c:v>
                </c:pt>
                <c:pt idx="2">
                  <c:v>26.99</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t"/>
      <c:layout/>
      <c:overlay val="false"/>
      <c:spPr>
        <a:noFill/>
        <a:ln>
          <a:noFill/>
        </a:ln>
        <a:effectLst/>
      </c:spPr>
      <c:txPr>
        <a:bodyPr rot="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legend>
    <c:plotVisOnly val="true"/>
    <c:dispBlanksAs val="gap"/>
    <c:showDLblsOverMax val="false"/>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rgbClr val="595959">
                    <a:lumMod val="65000"/>
                    <a:lumOff val="35000"/>
                  </a:srgbClr>
                </a:solidFill>
                <a:latin typeface="+mn-lt"/>
                <a:ea typeface="+mn-ea"/>
                <a:cs typeface="+mn-cs"/>
              </a:defRPr>
            </a:pPr>
            <a:r>
              <a:t>“三公”经费财政拨款支出结构</a:t>
            </a:r>
          </a:p>
        </c:rich>
      </c:tx>
      <c:layout/>
      <c:overlay val="false"/>
      <c:spPr>
        <a:noFill/>
        <a:ln>
          <a:noFill/>
        </a:ln>
        <a:effectLst/>
      </c:spPr>
    </c:title>
    <c:autoTitleDeleted val="false"/>
    <c:plotArea>
      <c:layout/>
      <c:pieChart>
        <c:varyColors val="true"/>
        <c:ser>
          <c:idx val="0"/>
          <c:order val="0"/>
          <c:spPr/>
          <c:explosion val="0"/>
          <c:dPt>
            <c:idx val="0"/>
            <c:bubble3D val="false"/>
            <c:spPr>
              <a:solidFill>
                <a:srgbClr val="4F81BD"/>
              </a:solidFill>
              <a:ln w="19050">
                <a:solidFill>
                  <a:srgbClr val="FFFFFF"/>
                </a:solidFill>
              </a:ln>
              <a:effectLst/>
            </c:spPr>
          </c:dPt>
          <c:dPt>
            <c:idx val="1"/>
            <c:bubble3D val="false"/>
            <c:spPr>
              <a:solidFill>
                <a:srgbClr val="C0504D"/>
              </a:solidFill>
              <a:ln w="19050">
                <a:solidFill>
                  <a:srgbClr val="FFFFFF"/>
                </a:solidFill>
              </a:ln>
              <a:effectLst/>
            </c:spPr>
          </c:dPt>
          <c:dLbls>
            <c:delete val="true"/>
          </c:dLbls>
          <c:cat>
            <c:strRef>
              <c:f>[工作簿4]Sheet1!$E$7:$F$7</c:f>
              <c:strCache>
                <c:ptCount val="2"/>
                <c:pt idx="0">
                  <c:v>三公经费</c:v>
                </c:pt>
              </c:strCache>
            </c:strRef>
          </c:cat>
          <c:val>
            <c:numRef>
              <c:f>[工作簿4]Sheet1!$E$8:$F$8</c:f>
              <c:numCache>
                <c:formatCode>General</c:formatCode>
                <c:ptCount val="2"/>
                <c:pt idx="0">
                  <c:v>0.25</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rgbClr val="595959">
                  <a:lumMod val="65000"/>
                  <a:lumOff val="35000"/>
                </a:srgbClr>
              </a:solidFill>
              <a:latin typeface="+mn-lt"/>
              <a:ea typeface="+mn-ea"/>
              <a:cs typeface="+mn-cs"/>
            </a:defRPr>
          </a:pPr>
        </a:p>
      </c:txPr>
    </c:legend>
    <c:plotVisOnly val="true"/>
    <c:dispBlanksAs val="gap"/>
    <c:showDLblsOverMax val="false"/>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8927</Words>
  <Characters>9518</Characters>
  <Lines>115</Lines>
  <Paragraphs>32</Paragraphs>
  <TotalTime>5</TotalTime>
  <ScaleCrop>false</ScaleCrop>
  <LinksUpToDate>false</LinksUpToDate>
  <CharactersWithSpaces>9737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2020-08-04T17:49:00Z</dcterms:created>
  <dc:creator>曹颖</dc:creator>
  <cp:lastModifiedBy> </cp:lastModifiedBy>
  <cp:lastPrinted>2021-09-30T23:57:00Z</cp:lastPrinted>
  <dcterms:modified xsi:type="dcterms:W3CDTF">2023-09-15T18:16:35Z</dcterms:modified>
  <dc:title>四川省***</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F180C2D4C9A7475E8D2E6070ECCE9852</vt:lpwstr>
  </property>
</Properties>
</file>