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 w:name="_Toc15378441"/>
      <w:bookmarkStart w:id="2" w:name="_Toc15377425"/>
      <w:bookmarkStart w:id="3" w:name="_Toc15396475"/>
      <w:bookmarkStart w:id="4" w:name="_Toc27879"/>
      <w:bookmarkStart w:id="5" w:name="_Toc15396597"/>
      <w:bookmarkStart w:id="6" w:name="_Toc15377193"/>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21</w:t>
      </w:r>
      <w:r>
        <w:rPr>
          <w:rFonts w:hint="eastAsia" w:ascii="方正小标宋简体" w:hAnsi="方正小标宋简体" w:eastAsia="方正小标宋简体" w:cs="方正小标宋简体"/>
          <w:b/>
          <w:bCs/>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7" w:name="_Toc15377426"/>
      <w:bookmarkStart w:id="8" w:name="_Toc15378442"/>
      <w:bookmarkStart w:id="9" w:name="_Toc15396476"/>
      <w:bookmarkStart w:id="10" w:name="_Toc15377194"/>
      <w:bookmarkStart w:id="11" w:name="_Toc10510"/>
      <w:bookmarkStart w:id="12" w:name="_Toc15396598"/>
      <w:r>
        <w:rPr>
          <w:rFonts w:hint="eastAsia" w:ascii="方正小标宋简体" w:hAnsi="方正小标宋简体" w:eastAsia="方正小标宋简体" w:cs="方正小标宋简体"/>
          <w:b/>
          <w:bCs/>
          <w:color w:val="auto"/>
          <w:sz w:val="72"/>
          <w:szCs w:val="72"/>
          <w:highlight w:val="none"/>
          <w:lang w:val="en-US" w:eastAsia="zh-CN"/>
        </w:rPr>
        <w:t>广元市</w:t>
      </w:r>
      <w:bookmarkEnd w:id="0"/>
      <w:bookmarkStart w:id="13" w:name="_Toc15306268"/>
      <w:r>
        <w:rPr>
          <w:rFonts w:hint="eastAsia" w:ascii="方正小标宋简体" w:hAnsi="方正小标宋简体" w:eastAsia="方正小标宋简体" w:cs="方正小标宋简体"/>
          <w:b/>
          <w:bCs/>
          <w:color w:val="auto"/>
          <w:sz w:val="72"/>
          <w:szCs w:val="72"/>
          <w:highlight w:val="none"/>
          <w:lang w:val="en-US" w:eastAsia="zh-CN"/>
        </w:rPr>
        <w:t>劳动保障监察支队</w:t>
      </w:r>
      <w:r>
        <w:rPr>
          <w:rFonts w:hint="eastAsia" w:ascii="方正小标宋简体" w:hAnsi="方正小标宋简体" w:eastAsia="方正小标宋简体" w:cs="方正小标宋简体"/>
          <w:b/>
          <w:bCs/>
          <w:color w:val="auto"/>
          <w:sz w:val="72"/>
          <w:szCs w:val="72"/>
          <w:highlight w:val="none"/>
          <w:lang w:eastAsia="zh-CN"/>
        </w:rPr>
        <w:t>单位</w:t>
      </w:r>
      <w:r>
        <w:rPr>
          <w:rFonts w:hint="eastAsia" w:ascii="方正小标宋简体" w:hAnsi="方正小标宋简体" w:eastAsia="方正小标宋简体" w:cs="方正小标宋简体"/>
          <w:b/>
          <w:bCs/>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09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rPr>
          <w:color w:val="auto"/>
          <w:highlight w:val="none"/>
        </w:rPr>
      </w:pPr>
    </w:p>
    <w:p>
      <w:pPr>
        <w:pStyle w:val="11"/>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_Toc20290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 xml:space="preserve">第一部分 </w:t>
      </w:r>
      <w:r>
        <w:rPr>
          <w:rFonts w:hint="eastAsia" w:ascii="宋体" w:hAnsi="宋体" w:eastAsia="宋体" w:cs="宋体"/>
          <w:sz w:val="28"/>
          <w:szCs w:val="28"/>
          <w:highlight w:val="none"/>
          <w:lang w:eastAsia="zh-CN"/>
        </w:rPr>
        <w:t>单位</w:t>
      </w:r>
      <w:r>
        <w:rPr>
          <w:rFonts w:hint="eastAsia" w:ascii="宋体" w:hAnsi="宋体" w:eastAsia="宋体" w:cs="宋体"/>
          <w:bCs w:val="0"/>
          <w:sz w:val="28"/>
          <w:szCs w:val="28"/>
          <w:highlight w:val="none"/>
        </w:rPr>
        <w:t>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_Toc20290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_Toc3099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eastAsia="zh-CN"/>
        </w:rPr>
        <w:t xml:space="preserve">一、 </w:t>
      </w:r>
      <w:r>
        <w:rPr>
          <w:rFonts w:hint="eastAsia" w:ascii="宋体" w:hAnsi="宋体" w:eastAsia="宋体" w:cs="宋体"/>
          <w:bCs w:val="0"/>
          <w:sz w:val="28"/>
          <w:szCs w:val="28"/>
          <w:highlight w:val="none"/>
        </w:rPr>
        <w:t>职能</w:t>
      </w:r>
      <w:r>
        <w:rPr>
          <w:rFonts w:hint="eastAsia" w:ascii="宋体" w:hAnsi="宋体" w:eastAsia="宋体" w:cs="宋体"/>
          <w:bCs w:val="0"/>
          <w:sz w:val="28"/>
          <w:szCs w:val="28"/>
          <w:highlight w:val="none"/>
          <w:lang w:eastAsia="zh-CN"/>
        </w:rPr>
        <w:t>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_Toc3099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_Toc18660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二、2021年重点</w:t>
      </w:r>
      <w:r>
        <w:rPr>
          <w:rFonts w:hint="eastAsia" w:ascii="宋体" w:hAnsi="宋体" w:eastAsia="宋体" w:cs="宋体"/>
          <w:sz w:val="28"/>
          <w:szCs w:val="28"/>
          <w:highlight w:val="none"/>
        </w:rPr>
        <w:t>工作</w:t>
      </w:r>
      <w:r>
        <w:rPr>
          <w:rFonts w:hint="eastAsia" w:ascii="宋体" w:hAnsi="宋体" w:eastAsia="宋体" w:cs="宋体"/>
          <w:sz w:val="28"/>
          <w:szCs w:val="28"/>
          <w:highlight w:val="none"/>
          <w:lang w:eastAsia="zh-CN"/>
        </w:rPr>
        <w:t>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_Toc18660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_Toc29571 </w:instrText>
      </w:r>
      <w:r>
        <w:rPr>
          <w:rFonts w:hint="eastAsia" w:ascii="宋体" w:hAnsi="宋体" w:eastAsia="宋体" w:cs="宋体"/>
          <w:sz w:val="28"/>
          <w:szCs w:val="28"/>
        </w:rPr>
        <w:fldChar w:fldCharType="separate"/>
      </w:r>
      <w:r>
        <w:rPr>
          <w:rFonts w:hint="eastAsia" w:ascii="宋体" w:hAnsi="宋体" w:eastAsia="宋体" w:cs="宋体"/>
          <w:bCs/>
          <w:sz w:val="28"/>
          <w:szCs w:val="28"/>
          <w:highlight w:val="none"/>
        </w:rPr>
        <w:t xml:space="preserve">第二部分 </w:t>
      </w:r>
      <w:r>
        <w:rPr>
          <w:rFonts w:hint="eastAsia" w:ascii="宋体" w:hAnsi="宋体" w:eastAsia="宋体" w:cs="宋体"/>
          <w:bCs/>
          <w:sz w:val="28"/>
          <w:szCs w:val="28"/>
          <w:highlight w:val="none"/>
          <w:lang w:val="en-US" w:eastAsia="zh-CN"/>
        </w:rPr>
        <w:t>2021年度</w:t>
      </w:r>
      <w:r>
        <w:rPr>
          <w:rFonts w:hint="eastAsia" w:ascii="宋体" w:hAnsi="宋体" w:eastAsia="宋体" w:cs="宋体"/>
          <w:bCs/>
          <w:sz w:val="28"/>
          <w:szCs w:val="28"/>
          <w:highlight w:val="none"/>
          <w:lang w:eastAsia="zh-CN"/>
        </w:rPr>
        <w:t>单位</w:t>
      </w:r>
      <w:r>
        <w:rPr>
          <w:rFonts w:hint="eastAsia" w:ascii="宋体" w:hAnsi="宋体" w:eastAsia="宋体" w:cs="宋体"/>
          <w:bCs/>
          <w:sz w:val="28"/>
          <w:szCs w:val="28"/>
          <w:highlight w:val="none"/>
        </w:rPr>
        <w:t>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_Toc29571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_Toc24551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_Toc24551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_Toc26724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_Toc26724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_Toc28319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三、 </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_Toc28319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_Toc8906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_Toc8906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_Toc32736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_Toc32736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_Toc27053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_Toc27053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_Toc7455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七、“三公”经费财政拨款支出决算情况说明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_Toc7455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_Toc32083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_Toc32083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_Toc18452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_Toc18452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_Toc13921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十、 </w:t>
      </w:r>
      <w:r>
        <w:rPr>
          <w:rFonts w:hint="eastAsia" w:ascii="宋体" w:hAnsi="宋体" w:eastAsia="宋体" w:cs="宋体"/>
          <w:sz w:val="28"/>
          <w:szCs w:val="28"/>
          <w:highlight w:val="none"/>
          <w:lang w:val="en-US" w:eastAsia="zh-CN"/>
        </w:rPr>
        <w:t>预算绩效管理情况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_Toc13921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_Toc11000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十一、 </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_Toc11000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_Toc6192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第三部分 </w:t>
      </w:r>
      <w:r>
        <w:rPr>
          <w:rFonts w:hint="eastAsia" w:ascii="宋体" w:hAnsi="宋体" w:eastAsia="宋体" w:cs="宋体"/>
          <w:sz w:val="28"/>
          <w:szCs w:val="28"/>
          <w:highlight w:val="none"/>
        </w:rPr>
        <w:t>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_Toc6192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_Toc28891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第四部分 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_Toc28891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_Toc7780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第五部分 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_Toc7780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_Toc12882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_Toc12882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_Toc29041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_Toc29041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_Toc26121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_Toc26121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_Toc19026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_Toc19026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_Toc3959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_Toc3959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_Toc380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_Toc380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_Toc24772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_Toc24772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_Toc30163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_Toc30163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_Toc25888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_Toc25888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_Toc30272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_Toc30272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_Toc9847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_Toc9847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_Toc10495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十二、</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_Toc10495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_Toc28178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十三、</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_Toc26180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lang w:eastAsia="zh-CN"/>
        </w:rPr>
        <w:t>十四、国有资本经营预算财政拨款支出决算表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_Toc26180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8"/>
          <w:szCs w:val="28"/>
        </w:rPr>
        <w:fldChar w:fldCharType="end"/>
      </w:r>
    </w:p>
    <w:p>
      <w:pPr>
        <w:pStyle w:val="3"/>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14" w:name="_Toc15377196"/>
      <w:bookmarkStart w:id="15" w:name="_Toc15396599"/>
      <w:bookmarkStart w:id="16" w:name="_Toc20290"/>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bookmarkEnd w:id="15"/>
      <w:bookmarkEnd w:id="16"/>
    </w:p>
    <w:p>
      <w:pPr>
        <w:pStyle w:val="4"/>
        <w:numPr>
          <w:ilvl w:val="0"/>
          <w:numId w:val="1"/>
        </w:numPr>
        <w:rPr>
          <w:rStyle w:val="26"/>
          <w:rFonts w:hint="eastAsia" w:ascii="黑体" w:hAnsi="黑体" w:eastAsia="黑体"/>
          <w:b w:val="0"/>
          <w:bCs w:val="0"/>
          <w:color w:val="auto"/>
          <w:highlight w:val="none"/>
          <w:lang w:eastAsia="zh-CN"/>
        </w:rPr>
      </w:pPr>
      <w:bookmarkStart w:id="17" w:name="_Toc3099"/>
      <w:bookmarkStart w:id="18" w:name="_Toc15377197"/>
      <w:bookmarkStart w:id="19"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17"/>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（一）</w:t>
      </w:r>
      <w:r>
        <w:rPr>
          <w:rFonts w:hint="eastAsia" w:ascii="仿宋_GB2312" w:hAnsi="Times New Roman" w:eastAsia="仿宋_GB2312"/>
          <w:sz w:val="32"/>
          <w:szCs w:val="32"/>
        </w:rPr>
        <w:t>宣传国家劳动保障法律、法规和规章，督促用人单位贯彻执行；</w:t>
      </w:r>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eastAsia="zh-CN"/>
        </w:rPr>
        <w:t>（二）</w:t>
      </w:r>
      <w:r>
        <w:rPr>
          <w:rFonts w:hint="eastAsia" w:ascii="仿宋_GB2312" w:hAnsi="Times New Roman" w:eastAsia="仿宋_GB2312"/>
          <w:sz w:val="32"/>
          <w:szCs w:val="32"/>
        </w:rPr>
        <w:t>检查用人单位遵守劳动保障法律、法规和规章的执行情况；</w:t>
      </w:r>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（三）</w:t>
      </w:r>
      <w:r>
        <w:rPr>
          <w:rFonts w:hint="eastAsia" w:ascii="仿宋_GB2312" w:hAnsi="Times New Roman" w:eastAsia="仿宋_GB2312"/>
          <w:sz w:val="32"/>
          <w:szCs w:val="32"/>
        </w:rPr>
        <w:t>受理对违反劳动保障法律、法规或者规章的行为的举报、投诉；</w:t>
      </w:r>
    </w:p>
    <w:p>
      <w:pPr>
        <w:pStyle w:val="23"/>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（四）</w:t>
      </w:r>
      <w:r>
        <w:rPr>
          <w:rFonts w:hint="eastAsia" w:ascii="仿宋_GB2312" w:hAnsi="Times New Roman" w:eastAsia="仿宋_GB2312"/>
          <w:sz w:val="32"/>
          <w:szCs w:val="32"/>
        </w:rPr>
        <w:t>依法纠正和查处违反劳动保障法律、法规或者规章的行为，并按照情况给予处罚</w:t>
      </w:r>
      <w:r>
        <w:rPr>
          <w:rFonts w:hint="eastAsia" w:ascii="仿宋_GB2312" w:hAnsi="Times New Roman" w:eastAsia="仿宋_GB2312"/>
          <w:sz w:val="32"/>
          <w:szCs w:val="32"/>
          <w:lang w:eastAsia="zh-CN"/>
        </w:rPr>
        <w:t>；</w:t>
      </w:r>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（五）</w:t>
      </w:r>
      <w:r>
        <w:rPr>
          <w:rFonts w:hint="eastAsia" w:ascii="仿宋_GB2312" w:hAnsi="Times New Roman" w:eastAsia="仿宋_GB2312"/>
          <w:sz w:val="32"/>
          <w:szCs w:val="32"/>
        </w:rPr>
        <w:t>办理其他交办工作。</w:t>
      </w:r>
    </w:p>
    <w:p>
      <w:pPr>
        <w:pStyle w:val="4"/>
        <w:numPr>
          <w:ilvl w:val="0"/>
          <w:numId w:val="0"/>
        </w:numPr>
        <w:rPr>
          <w:rFonts w:hint="eastAsia" w:ascii="黑体" w:hAnsi="黑体" w:eastAsia="黑体"/>
          <w:b w:val="0"/>
          <w:color w:val="auto"/>
          <w:highlight w:val="none"/>
        </w:rPr>
      </w:pPr>
      <w:bookmarkStart w:id="20" w:name="_Toc18660"/>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仿宋_GB2312" w:eastAsia="仿宋_GB2312"/>
          <w:color w:val="000000"/>
          <w:spacing w:val="4"/>
          <w:sz w:val="32"/>
          <w:szCs w:val="32"/>
          <w:lang w:eastAsia="zh-CN"/>
        </w:rPr>
      </w:pPr>
      <w:bookmarkStart w:id="21" w:name="_Toc15396602"/>
      <w:bookmarkStart w:id="22" w:name="_Toc15377204"/>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开展工程建设领域“零欠薪”专项行动，会同住建、公安、法院等部门和单位，严肃查处“三包一挂”，严厉打击“恶意欠薪”“非法讨薪”，积极化解欠薪“执行难”等问题，下大力气解决痛点难点堵点，主动监察用人单位</w:t>
      </w:r>
      <w:r>
        <w:rPr>
          <w:rFonts w:hint="eastAsia" w:ascii="仿宋_GB2312" w:hAnsi="仿宋_GB2312" w:eastAsia="仿宋_GB2312" w:cs="仿宋_GB2312"/>
          <w:color w:val="000000"/>
          <w:sz w:val="32"/>
          <w:szCs w:val="32"/>
          <w:lang w:val="en-US" w:eastAsia="zh-CN"/>
        </w:rPr>
        <w:t>1200余</w:t>
      </w:r>
      <w:r>
        <w:rPr>
          <w:rFonts w:hint="eastAsia" w:ascii="仿宋_GB2312" w:hAnsi="仿宋_GB2312" w:eastAsia="仿宋_GB2312" w:cs="仿宋_GB2312"/>
          <w:color w:val="000000"/>
          <w:sz w:val="32"/>
          <w:szCs w:val="32"/>
        </w:rPr>
        <w:t>户次</w:t>
      </w:r>
      <w:r>
        <w:rPr>
          <w:rFonts w:hint="eastAsia" w:ascii="仿宋_GB2312" w:hAnsi="仿宋_GB2312" w:eastAsia="仿宋_GB2312" w:cs="仿宋_GB2312"/>
          <w:color w:val="000000"/>
          <w:sz w:val="32"/>
          <w:szCs w:val="32"/>
          <w:lang w:eastAsia="zh-CN"/>
        </w:rPr>
        <w:t>，</w:t>
      </w:r>
      <w:r>
        <w:rPr>
          <w:rFonts w:ascii="Times New Roman" w:hAnsi="Times New Roman" w:eastAsia="仿宋_GB2312"/>
          <w:color w:val="000000"/>
          <w:sz w:val="32"/>
          <w:szCs w:val="32"/>
        </w:rPr>
        <w:t>公布恶意欠薪行为</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件，列入</w:t>
      </w:r>
      <w:r>
        <w:rPr>
          <w:rFonts w:hint="eastAsia" w:ascii="Times New Roman" w:hAnsi="Times New Roman" w:eastAsia="仿宋_GB2312"/>
          <w:color w:val="000000"/>
          <w:sz w:val="32"/>
          <w:szCs w:val="32"/>
          <w:lang w:eastAsia="zh-CN"/>
        </w:rPr>
        <w:t>住建部门不良行为记录</w:t>
      </w:r>
      <w:r>
        <w:rPr>
          <w:rFonts w:hint="eastAsia" w:ascii="Times New Roman" w:hAnsi="Times New Roman" w:eastAsia="仿宋_GB2312"/>
          <w:color w:val="000000"/>
          <w:sz w:val="32"/>
          <w:szCs w:val="32"/>
          <w:lang w:val="en-US" w:eastAsia="zh-CN"/>
        </w:rPr>
        <w:t>32</w:t>
      </w:r>
      <w:r>
        <w:rPr>
          <w:rFonts w:ascii="Times New Roman" w:hAnsi="Times New Roman" w:eastAsia="仿宋_GB2312"/>
          <w:color w:val="000000"/>
          <w:sz w:val="32"/>
          <w:szCs w:val="32"/>
        </w:rPr>
        <w:t>户，</w:t>
      </w:r>
      <w:r>
        <w:rPr>
          <w:rFonts w:hint="eastAsia" w:ascii="仿宋_GB2312" w:eastAsia="仿宋_GB2312"/>
          <w:spacing w:val="4"/>
          <w:sz w:val="32"/>
          <w:szCs w:val="32"/>
          <w:lang w:eastAsia="zh-CN"/>
        </w:rPr>
        <w:t>纳入</w:t>
      </w:r>
      <w:r>
        <w:rPr>
          <w:rFonts w:hint="eastAsia" w:ascii="Times New Roman" w:hAnsi="Times New Roman" w:eastAsia="仿宋_GB2312"/>
          <w:color w:val="000000"/>
          <w:sz w:val="32"/>
          <w:szCs w:val="32"/>
        </w:rPr>
        <w:t>拖欠农民工工资黑名单管理对象</w:t>
      </w:r>
      <w:r>
        <w:rPr>
          <w:rFonts w:hint="eastAsia" w:ascii="Times New Roman" w:hAnsi="Times New Roman" w:eastAsia="仿宋_GB2312"/>
          <w:color w:val="000000"/>
          <w:sz w:val="32"/>
          <w:szCs w:val="32"/>
          <w:lang w:val="en-US" w:eastAsia="zh-CN"/>
        </w:rPr>
        <w:t>2家，</w:t>
      </w:r>
      <w:r>
        <w:rPr>
          <w:rFonts w:ascii="Times New Roman" w:hAnsi="Times New Roman" w:eastAsia="仿宋_GB2312"/>
          <w:color w:val="000000"/>
          <w:sz w:val="32"/>
          <w:szCs w:val="32"/>
        </w:rPr>
        <w:t>移送涉嫌拒不支付劳动报酬犯罪案件</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件</w:t>
      </w:r>
      <w:r>
        <w:rPr>
          <w:rFonts w:hint="eastAsia" w:ascii="Times New Roman" w:hAnsi="Times New Roman" w:eastAsia="仿宋_GB2312"/>
          <w:color w:val="000000"/>
          <w:sz w:val="32"/>
          <w:szCs w:val="32"/>
          <w:lang w:eastAsia="zh-CN"/>
        </w:rPr>
        <w:t>，立案</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lang w:eastAsia="zh-CN"/>
        </w:rPr>
        <w:t>件</w:t>
      </w:r>
      <w:r>
        <w:rPr>
          <w:rFonts w:ascii="Times New Roman" w:hAnsi="Times New Roman" w:eastAsia="仿宋_GB2312"/>
          <w:color w:val="000000"/>
          <w:sz w:val="32"/>
          <w:szCs w:val="32"/>
        </w:rPr>
        <w:t>。</w:t>
      </w:r>
      <w:r>
        <w:rPr>
          <w:rFonts w:hint="eastAsia" w:ascii="仿宋_GB2312" w:eastAsia="仿宋_GB2312"/>
          <w:color w:val="000000"/>
          <w:spacing w:val="4"/>
          <w:sz w:val="32"/>
          <w:szCs w:val="32"/>
        </w:rPr>
        <w:t>解决欠薪问题8起，为170余名劳动者</w:t>
      </w:r>
      <w:r>
        <w:rPr>
          <w:rFonts w:hint="eastAsia" w:ascii="仿宋_GB2312" w:eastAsia="仿宋_GB2312"/>
          <w:color w:val="000000"/>
          <w:spacing w:val="4"/>
          <w:sz w:val="32"/>
          <w:szCs w:val="32"/>
          <w:lang w:eastAsia="zh-CN"/>
        </w:rPr>
        <w:t>追讨</w:t>
      </w:r>
      <w:r>
        <w:rPr>
          <w:rFonts w:hint="eastAsia" w:ascii="仿宋_GB2312" w:eastAsia="仿宋_GB2312"/>
          <w:color w:val="000000"/>
          <w:spacing w:val="4"/>
          <w:sz w:val="32"/>
          <w:szCs w:val="32"/>
        </w:rPr>
        <w:t>工资108万元。</w:t>
      </w:r>
      <w:r>
        <w:rPr>
          <w:rFonts w:hint="eastAsia" w:ascii="仿宋_GB2312" w:eastAsia="仿宋_GB2312" w:cs="Times New Roman"/>
          <w:b/>
          <w:color w:val="000000"/>
          <w:sz w:val="32"/>
          <w:szCs w:val="32"/>
          <w:lang w:val="en-US" w:eastAsia="zh-CN"/>
        </w:rPr>
        <w:t>二是</w:t>
      </w:r>
      <w:r>
        <w:rPr>
          <w:rFonts w:hint="eastAsia" w:ascii="仿宋_GB2312" w:eastAsia="仿宋_GB2312"/>
          <w:spacing w:val="4"/>
          <w:sz w:val="32"/>
          <w:szCs w:val="32"/>
        </w:rPr>
        <w:t>以“双随机”抽查和各类专项行动为抓手，主动监察用人单位876户，督促补签劳动合同237人，查处欠薪问题583件(含平台欠薪线索469件)，为2324名劳动者追回工资3428万元，欠薪案件结案率98.3%。受理调处部厅网络督办件、12345热线或通过互联网、信访网、举报投诉专线等，反映工资拖欠和社会保险等劳资诉求2366件。</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是</w:t>
      </w:r>
      <w:r>
        <w:rPr>
          <w:rFonts w:hint="eastAsia" w:ascii="仿宋_GB2312" w:hAnsi="仿宋_GB2312" w:eastAsia="仿宋_GB2312" w:cs="仿宋_GB2312"/>
          <w:color w:val="000000"/>
          <w:sz w:val="32"/>
          <w:szCs w:val="32"/>
        </w:rPr>
        <w:t>建立重点项目“挂联包”制度，对雍锦天下一期、南山隧道等</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重点项目，实行“局领导挂帅、</w:t>
      </w:r>
      <w:r>
        <w:rPr>
          <w:rFonts w:hint="eastAsia" w:ascii="仿宋_GB2312" w:hAnsi="仿宋_GB2312" w:eastAsia="仿宋_GB2312" w:cs="仿宋_GB2312"/>
          <w:color w:val="000000"/>
          <w:sz w:val="32"/>
          <w:szCs w:val="32"/>
          <w:lang w:eastAsia="zh-CN"/>
        </w:rPr>
        <w:t>科</w:t>
      </w:r>
      <w:r>
        <w:rPr>
          <w:rFonts w:hint="eastAsia" w:ascii="仿宋_GB2312" w:eastAsia="仿宋_GB2312"/>
          <w:color w:val="000000"/>
          <w:sz w:val="32"/>
          <w:szCs w:val="32"/>
        </w:rPr>
        <w:t>（队）</w:t>
      </w:r>
      <w:r>
        <w:rPr>
          <w:rFonts w:ascii="仿宋_GB2312" w:eastAsia="仿宋_GB2312"/>
          <w:color w:val="000000"/>
          <w:sz w:val="32"/>
          <w:szCs w:val="32"/>
        </w:rPr>
        <w:t>干部挂联</w:t>
      </w:r>
      <w:r>
        <w:rPr>
          <w:rFonts w:hint="eastAsia" w:ascii="仿宋_GB2312" w:hAnsi="仿宋_GB2312" w:eastAsia="仿宋_GB2312" w:cs="仿宋_GB2312"/>
          <w:color w:val="000000"/>
          <w:sz w:val="32"/>
          <w:szCs w:val="32"/>
        </w:rPr>
        <w:t>、社会监督员包片”，打造落实根治欠薪制度“样板”。</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是</w:t>
      </w:r>
      <w:r>
        <w:rPr>
          <w:rFonts w:hint="eastAsia" w:ascii="仿宋_GB2312" w:eastAsia="仿宋_GB2312"/>
          <w:color w:val="000000"/>
          <w:spacing w:val="4"/>
          <w:sz w:val="32"/>
          <w:szCs w:val="32"/>
          <w:lang w:eastAsia="zh-CN"/>
        </w:rPr>
        <w:t>加强</w:t>
      </w:r>
      <w:r>
        <w:rPr>
          <w:rFonts w:hint="eastAsia" w:ascii="仿宋_GB2312" w:eastAsia="仿宋_GB2312"/>
          <w:color w:val="000000"/>
          <w:spacing w:val="4"/>
          <w:sz w:val="32"/>
          <w:szCs w:val="32"/>
        </w:rPr>
        <w:t>农民工工资支付监管平台和建筑工人实名制管理平台管理，平台欠薪案件办结率达97</w:t>
      </w:r>
      <w:r>
        <w:rPr>
          <w:rFonts w:hint="eastAsia" w:ascii="仿宋_GB2312" w:eastAsia="仿宋_GB2312"/>
          <w:color w:val="000000"/>
          <w:spacing w:val="4"/>
          <w:sz w:val="32"/>
          <w:szCs w:val="32"/>
          <w:lang w:val="en-US" w:eastAsia="zh-CN"/>
        </w:rPr>
        <w:t>.4</w:t>
      </w:r>
      <w:r>
        <w:rPr>
          <w:rFonts w:hint="eastAsia" w:ascii="仿宋_GB2312" w:eastAsia="仿宋_GB2312"/>
          <w:color w:val="000000"/>
          <w:spacing w:val="4"/>
          <w:sz w:val="32"/>
          <w:szCs w:val="32"/>
        </w:rPr>
        <w:t>%。</w:t>
      </w:r>
      <w:r>
        <w:rPr>
          <w:rFonts w:hint="eastAsia" w:ascii="仿宋_GB2312" w:eastAsia="仿宋_GB2312"/>
          <w:color w:val="000000"/>
          <w:spacing w:val="4"/>
          <w:sz w:val="32"/>
          <w:szCs w:val="32"/>
          <w:lang w:eastAsia="zh-CN"/>
        </w:rPr>
        <w:t>制定</w:t>
      </w:r>
      <w:r>
        <w:rPr>
          <w:rFonts w:hint="eastAsia" w:ascii="仿宋_GB2312" w:eastAsia="仿宋_GB2312"/>
          <w:sz w:val="32"/>
          <w:szCs w:val="32"/>
          <w:lang w:val="en-US" w:eastAsia="zh-CN"/>
        </w:rPr>
        <w:t>《工程建设领域农民工工资保证金规程》，进一步加强农民工工资保证金管理。</w:t>
      </w:r>
      <w:r>
        <w:rPr>
          <w:rFonts w:hint="eastAsia" w:ascii="仿宋_GB2312" w:hAnsi="仿宋_GB2312" w:eastAsia="仿宋_GB2312" w:cs="仿宋_GB2312"/>
          <w:b/>
          <w:bCs/>
          <w:color w:val="000000"/>
          <w:sz w:val="32"/>
          <w:szCs w:val="32"/>
          <w:lang w:val="en-US" w:eastAsia="zh-CN"/>
        </w:rPr>
        <w:t>五是</w:t>
      </w:r>
      <w:r>
        <w:rPr>
          <w:rFonts w:ascii="Times New Roman" w:hAnsi="Times New Roman" w:eastAsia="仿宋_GB2312"/>
          <w:b w:val="0"/>
          <w:bCs w:val="0"/>
          <w:color w:val="000000"/>
          <w:sz w:val="32"/>
          <w:szCs w:val="32"/>
        </w:rPr>
        <w:t>开展条例实施一周年宣传</w:t>
      </w:r>
      <w:r>
        <w:rPr>
          <w:rFonts w:hint="eastAsia" w:ascii="Times New Roman" w:hAnsi="Times New Roman" w:eastAsia="仿宋_GB2312"/>
          <w:b w:val="0"/>
          <w:bCs w:val="0"/>
          <w:color w:val="000000"/>
          <w:sz w:val="32"/>
          <w:szCs w:val="32"/>
          <w:lang w:eastAsia="zh-CN"/>
        </w:rPr>
        <w:t>周</w:t>
      </w:r>
      <w:r>
        <w:rPr>
          <w:rFonts w:ascii="Times New Roman" w:hAnsi="Times New Roman" w:eastAsia="仿宋_GB2312"/>
          <w:b w:val="0"/>
          <w:bCs w:val="0"/>
          <w:color w:val="000000"/>
          <w:sz w:val="32"/>
          <w:szCs w:val="32"/>
        </w:rPr>
        <w:t>活动。</w:t>
      </w:r>
      <w:r>
        <w:rPr>
          <w:rFonts w:ascii="Times New Roman" w:hAnsi="Times New Roman" w:eastAsia="仿宋_GB2312"/>
          <w:color w:val="000000"/>
          <w:sz w:val="32"/>
          <w:szCs w:val="32"/>
        </w:rPr>
        <w:t>通过门户网站、微信、微博</w:t>
      </w:r>
      <w:r>
        <w:rPr>
          <w:rFonts w:hint="eastAsia" w:ascii="Times New Roman" w:hAnsi="Times New Roman" w:eastAsia="仿宋_GB2312"/>
          <w:color w:val="000000"/>
          <w:sz w:val="32"/>
          <w:szCs w:val="32"/>
        </w:rPr>
        <w:t>和新闻媒体</w:t>
      </w:r>
      <w:r>
        <w:rPr>
          <w:rFonts w:ascii="Times New Roman" w:hAnsi="Times New Roman" w:eastAsia="仿宋_GB2312"/>
          <w:color w:val="000000"/>
          <w:sz w:val="32"/>
          <w:szCs w:val="32"/>
        </w:rPr>
        <w:t>宣传</w:t>
      </w:r>
      <w:r>
        <w:rPr>
          <w:rFonts w:hint="eastAsia" w:ascii="Times New Roman" w:hAnsi="Times New Roman" w:eastAsia="仿宋_GB2312"/>
          <w:color w:val="000000"/>
          <w:sz w:val="32"/>
          <w:szCs w:val="32"/>
          <w:lang w:val="en-US" w:eastAsia="zh-CN"/>
        </w:rPr>
        <w:t>100余</w:t>
      </w:r>
      <w:r>
        <w:rPr>
          <w:rFonts w:ascii="Times New Roman" w:hAnsi="Times New Roman" w:eastAsia="仿宋_GB2312"/>
          <w:color w:val="000000"/>
          <w:sz w:val="32"/>
          <w:szCs w:val="32"/>
        </w:rPr>
        <w:t>次，</w:t>
      </w:r>
      <w:r>
        <w:rPr>
          <w:rFonts w:hint="eastAsia" w:ascii="Times New Roman" w:hAnsi="Times New Roman" w:eastAsia="仿宋_GB2312"/>
          <w:color w:val="000000"/>
          <w:sz w:val="32"/>
          <w:szCs w:val="32"/>
          <w:lang w:eastAsia="zh-CN"/>
        </w:rPr>
        <w:t>受众</w:t>
      </w:r>
      <w:r>
        <w:rPr>
          <w:rFonts w:hint="eastAsia" w:ascii="Times New Roman" w:hAnsi="Times New Roman" w:eastAsia="仿宋_GB2312"/>
          <w:color w:val="000000"/>
          <w:sz w:val="32"/>
          <w:szCs w:val="32"/>
          <w:lang w:val="en-US" w:eastAsia="zh-CN"/>
        </w:rPr>
        <w:t>1万余人次</w:t>
      </w:r>
      <w:r>
        <w:rPr>
          <w:rFonts w:hint="eastAsia" w:ascii="Times New Roman" w:hAnsi="Times New Roman" w:eastAsia="仿宋_GB2312"/>
          <w:color w:val="000000"/>
          <w:sz w:val="32"/>
          <w:szCs w:val="32"/>
          <w:lang w:eastAsia="zh-CN"/>
        </w:rPr>
        <w:t>。</w:t>
      </w:r>
      <w:r>
        <w:rPr>
          <w:rFonts w:hint="eastAsia" w:ascii="仿宋" w:hAnsi="仿宋" w:eastAsia="仿宋" w:cs="仿宋"/>
          <w:color w:val="000000"/>
          <w:spacing w:val="4"/>
          <w:sz w:val="32"/>
          <w:szCs w:val="32"/>
          <w:lang w:val="en-US" w:eastAsia="zh-CN"/>
        </w:rPr>
        <w:t>采取送资料进企业、设集中宣传点、以检促宣等方式发放各类宣传单、口袋书等1.2万余份，在全市项目工地现场</w:t>
      </w:r>
      <w:r>
        <w:rPr>
          <w:rFonts w:hint="eastAsia" w:ascii="仿宋" w:hAnsi="仿宋" w:eastAsia="仿宋" w:cs="仿宋"/>
          <w:color w:val="000000"/>
          <w:spacing w:val="4"/>
          <w:sz w:val="32"/>
          <w:szCs w:val="32"/>
        </w:rPr>
        <w:t>悬挂张贴条例</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rPr>
        <w:t>宣传横幅海报等</w:t>
      </w:r>
      <w:r>
        <w:rPr>
          <w:rFonts w:hint="eastAsia" w:ascii="仿宋" w:hAnsi="仿宋" w:eastAsia="仿宋" w:cs="仿宋"/>
          <w:color w:val="000000"/>
          <w:spacing w:val="4"/>
          <w:sz w:val="32"/>
          <w:szCs w:val="32"/>
          <w:lang w:val="en-US" w:eastAsia="zh-CN"/>
        </w:rPr>
        <w:t>300余处</w:t>
      </w:r>
      <w:r>
        <w:rPr>
          <w:rFonts w:hint="eastAsia" w:ascii="仿宋" w:hAnsi="仿宋" w:eastAsia="仿宋" w:cs="仿宋"/>
          <w:color w:val="000000"/>
          <w:spacing w:val="4"/>
          <w:sz w:val="32"/>
          <w:szCs w:val="32"/>
          <w:lang w:eastAsia="zh-CN"/>
        </w:rPr>
        <w:t>，培训劳资专管员</w:t>
      </w:r>
      <w:r>
        <w:rPr>
          <w:rFonts w:hint="eastAsia" w:ascii="仿宋" w:hAnsi="仿宋" w:eastAsia="仿宋" w:cs="仿宋"/>
          <w:color w:val="000000"/>
          <w:spacing w:val="4"/>
          <w:sz w:val="32"/>
          <w:szCs w:val="32"/>
          <w:lang w:val="en-US" w:eastAsia="zh-CN"/>
        </w:rPr>
        <w:t>200余人次。</w:t>
      </w:r>
      <w:r>
        <w:rPr>
          <w:rFonts w:hint="eastAsia" w:ascii="仿宋_GB2312" w:hAnsi="仿宋_GB2312" w:eastAsia="仿宋_GB2312" w:cs="仿宋_GB2312"/>
          <w:b/>
          <w:bCs/>
          <w:color w:val="000000"/>
          <w:sz w:val="32"/>
          <w:szCs w:val="32"/>
          <w:lang w:val="en-US" w:eastAsia="zh-CN"/>
        </w:rPr>
        <w:t>六是</w:t>
      </w:r>
      <w:r>
        <w:rPr>
          <w:rFonts w:hint="eastAsia" w:ascii="仿宋" w:hAnsi="仿宋" w:eastAsia="仿宋"/>
          <w:bCs/>
          <w:color w:val="000000"/>
          <w:sz w:val="32"/>
          <w:szCs w:val="32"/>
          <w:lang w:eastAsia="zh-CN"/>
        </w:rPr>
        <w:t>全面</w:t>
      </w:r>
      <w:r>
        <w:rPr>
          <w:rFonts w:hint="eastAsia" w:ascii="仿宋" w:hAnsi="仿宋" w:eastAsia="仿宋"/>
          <w:color w:val="000000"/>
          <w:sz w:val="32"/>
          <w:szCs w:val="32"/>
        </w:rPr>
        <w:t>完成市级劳动监察综合行政执法改革职责职能划转</w:t>
      </w:r>
      <w:r>
        <w:rPr>
          <w:rFonts w:hint="eastAsia" w:ascii="仿宋" w:hAnsi="仿宋" w:eastAsia="仿宋"/>
          <w:color w:val="000000"/>
          <w:sz w:val="32"/>
          <w:szCs w:val="32"/>
          <w:lang w:eastAsia="zh-CN"/>
        </w:rPr>
        <w:t>工作，并抽调</w:t>
      </w:r>
      <w:r>
        <w:rPr>
          <w:rFonts w:hint="eastAsia" w:ascii="仿宋" w:hAnsi="仿宋" w:eastAsia="仿宋"/>
          <w:color w:val="000000"/>
          <w:sz w:val="32"/>
          <w:szCs w:val="32"/>
          <w:lang w:val="en-US" w:eastAsia="zh-CN"/>
        </w:rPr>
        <w:t>2名工作人员协助利州区顺利交接，交接期间，共协商欠薪协调案件39件，立案查处2件，办结1件，参与维稳处突3次</w:t>
      </w:r>
      <w:r>
        <w:rPr>
          <w:rFonts w:hint="eastAsia" w:ascii="仿宋" w:hAnsi="仿宋" w:eastAsia="仿宋"/>
          <w:color w:val="000000"/>
          <w:sz w:val="32"/>
          <w:szCs w:val="32"/>
        </w:rPr>
        <w:t>。</w:t>
      </w:r>
      <w:r>
        <w:rPr>
          <w:rFonts w:hint="eastAsia" w:ascii="仿宋_GB2312" w:hAnsi="仿宋_GB2312" w:eastAsia="仿宋_GB2312" w:cs="仿宋_GB2312"/>
          <w:b/>
          <w:bCs/>
          <w:color w:val="000000"/>
          <w:sz w:val="32"/>
          <w:szCs w:val="32"/>
          <w:lang w:eastAsia="zh-CN"/>
        </w:rPr>
        <w:t>七是</w:t>
      </w:r>
      <w:r>
        <w:rPr>
          <w:rFonts w:hint="eastAsia" w:ascii="仿宋" w:hAnsi="仿宋" w:eastAsia="仿宋"/>
          <w:bCs/>
          <w:color w:val="000000"/>
          <w:sz w:val="32"/>
          <w:szCs w:val="32"/>
          <w:lang w:eastAsia="zh-CN"/>
        </w:rPr>
        <w:t>完成</w:t>
      </w:r>
      <w:r>
        <w:rPr>
          <w:rFonts w:hint="eastAsia" w:ascii="仿宋" w:hAnsi="仿宋" w:eastAsia="仿宋"/>
          <w:bCs/>
          <w:color w:val="000000"/>
          <w:sz w:val="32"/>
          <w:szCs w:val="32"/>
        </w:rPr>
        <w:t>2020</w:t>
      </w:r>
      <w:r>
        <w:rPr>
          <w:rFonts w:ascii="仿宋" w:hAnsi="仿宋" w:eastAsia="仿宋"/>
          <w:bCs/>
          <w:color w:val="000000"/>
          <w:sz w:val="32"/>
          <w:szCs w:val="32"/>
        </w:rPr>
        <w:t>年度管辖范围内企业劳动保障守法诚信等级评价</w:t>
      </w:r>
      <w:r>
        <w:rPr>
          <w:rFonts w:hint="eastAsia" w:ascii="仿宋" w:hAnsi="仿宋" w:eastAsia="仿宋"/>
          <w:bCs/>
          <w:color w:val="000000"/>
          <w:sz w:val="32"/>
          <w:szCs w:val="32"/>
        </w:rPr>
        <w:t>工作</w:t>
      </w:r>
      <w:r>
        <w:rPr>
          <w:rFonts w:hint="eastAsia" w:ascii="仿宋" w:hAnsi="仿宋" w:eastAsia="仿宋"/>
          <w:bCs/>
          <w:color w:val="000000"/>
          <w:sz w:val="32"/>
          <w:szCs w:val="32"/>
          <w:lang w:eastAsia="zh-CN"/>
        </w:rPr>
        <w:t>，评定</w:t>
      </w:r>
      <w:r>
        <w:rPr>
          <w:rFonts w:hint="eastAsia" w:ascii="仿宋" w:hAnsi="仿宋" w:eastAsia="仿宋"/>
          <w:bCs/>
          <w:color w:val="000000"/>
          <w:sz w:val="32"/>
          <w:szCs w:val="32"/>
          <w:lang w:val="en-US" w:eastAsia="zh-CN"/>
        </w:rPr>
        <w:t>A级企业57家，B级企业23家</w:t>
      </w:r>
      <w:r>
        <w:rPr>
          <w:rFonts w:hint="eastAsia" w:ascii="仿宋" w:hAnsi="仿宋" w:eastAsia="仿宋"/>
          <w:bCs/>
          <w:color w:val="000000"/>
          <w:sz w:val="32"/>
          <w:szCs w:val="32"/>
        </w:rPr>
        <w:t>。</w:t>
      </w:r>
    </w:p>
    <w:p>
      <w:pPr>
        <w:keepNext w:val="0"/>
        <w:keepLines w:val="0"/>
        <w:pageBreakBefore w:val="0"/>
        <w:widowControl w:val="0"/>
        <w:kinsoku/>
        <w:wordWrap/>
        <w:overflowPunct/>
        <w:topLinePunct w:val="0"/>
        <w:bidi w:val="0"/>
        <w:spacing w:line="576" w:lineRule="exact"/>
        <w:ind w:firstLine="656" w:firstLineChars="200"/>
        <w:textAlignment w:val="auto"/>
        <w:rPr>
          <w:rFonts w:hint="eastAsia" w:ascii="仿宋_GB2312" w:eastAsia="仿宋_GB2312"/>
          <w:color w:val="000000"/>
          <w:spacing w:val="4"/>
          <w:sz w:val="32"/>
          <w:szCs w:val="32"/>
          <w:lang w:eastAsia="zh-CN"/>
        </w:rPr>
      </w:pPr>
    </w:p>
    <w:p>
      <w:pPr>
        <w:pStyle w:val="3"/>
        <w:ind w:right="440"/>
        <w:jc w:val="center"/>
        <w:rPr>
          <w:rStyle w:val="25"/>
          <w:rFonts w:ascii="黑体" w:hAnsi="黑体" w:eastAsia="黑体"/>
          <w:b w:val="0"/>
          <w:bCs/>
          <w:color w:val="auto"/>
          <w:highlight w:val="none"/>
        </w:rPr>
      </w:pPr>
      <w:bookmarkStart w:id="23" w:name="_Toc2957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4" w:name="_Toc15396603"/>
      <w:bookmarkStart w:id="25" w:name="_Toc15377205"/>
      <w:bookmarkStart w:id="26" w:name="_Toc24551"/>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64.46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48.9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43.14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2021年8月</w:t>
      </w:r>
      <w:r>
        <w:rPr>
          <w:rFonts w:hint="eastAsia" w:ascii="仿宋_GB2312" w:eastAsia="仿宋_GB2312"/>
          <w:sz w:val="32"/>
          <w:szCs w:val="32"/>
        </w:rPr>
        <w:t>市劳动保障监察支队不再保留</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机构并入</w:t>
      </w:r>
      <w:r>
        <w:rPr>
          <w:rFonts w:hint="eastAsia" w:ascii="仿宋_GB2312" w:eastAsia="仿宋_GB2312"/>
          <w:sz w:val="32"/>
          <w:szCs w:val="32"/>
        </w:rPr>
        <w:t>市人力资源社会保障局</w:t>
      </w:r>
      <w:r>
        <w:rPr>
          <w:rFonts w:hint="eastAsia" w:ascii="仿宋_GB2312" w:eastAsia="仿宋_GB2312"/>
          <w:sz w:val="32"/>
          <w:szCs w:val="32"/>
          <w:lang w:eastAsia="zh-CN"/>
        </w:rPr>
        <w:t>，因此，</w:t>
      </w:r>
      <w:r>
        <w:rPr>
          <w:rFonts w:hint="eastAsia" w:ascii="仿宋" w:hAnsi="仿宋" w:eastAsia="仿宋"/>
          <w:color w:val="auto"/>
          <w:sz w:val="32"/>
          <w:szCs w:val="32"/>
          <w:highlight w:val="none"/>
          <w:lang w:eastAsia="zh-CN"/>
        </w:rPr>
        <w:t>收、支</w:t>
      </w:r>
      <w:r>
        <w:rPr>
          <w:rFonts w:hint="eastAsia" w:ascii="仿宋" w:hAnsi="仿宋" w:eastAsia="仿宋"/>
          <w:color w:val="auto"/>
          <w:sz w:val="32"/>
          <w:szCs w:val="32"/>
          <w:highlight w:val="none"/>
        </w:rPr>
        <w:t>大幅度减少</w:t>
      </w:r>
      <w:r>
        <w:rPr>
          <w:rFonts w:hint="eastAsia" w:ascii="仿宋" w:hAnsi="仿宋" w:eastAsia="仿宋"/>
          <w:color w:val="auto"/>
          <w:sz w:val="32"/>
          <w:szCs w:val="32"/>
          <w:highlight w:val="none"/>
          <w:lang w:eastAsia="zh-CN"/>
        </w:rPr>
        <w:t>。</w:t>
      </w:r>
    </w:p>
    <w:p>
      <w:pPr>
        <w:pStyle w:val="2"/>
        <w:jc w:val="center"/>
        <w:rPr>
          <w:rFonts w:hint="eastAsia"/>
          <w:lang w:eastAsia="zh-CN"/>
        </w:rP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7" w:name="_Toc15377206"/>
      <w:bookmarkStart w:id="28" w:name="_Toc26724"/>
      <w:bookmarkStart w:id="29"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60.56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pStyle w:val="2"/>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jc w:val="center"/>
        <w:rPr>
          <w14:textOutline w14:w="12700" w14:cmpd="sng">
            <w14:solidFill>
              <w14:schemeClr w14:val="accent1">
                <w14:alpha w14:val="0"/>
              </w14:schemeClr>
            </w14:solidFill>
            <w14:prstDash w14:val="solid"/>
            <w14:round/>
          </w14:textOutline>
        </w:rPr>
      </w:pPr>
      <w:r>
        <w:drawing>
          <wp:inline distT="0" distB="0" distL="114300" distR="114300">
            <wp:extent cx="4572000" cy="2743200"/>
            <wp:effectExtent l="4445" t="4445" r="14605" b="1460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0" w:name="_Toc28319"/>
      <w:bookmarkStart w:id="31" w:name="_Toc15396605"/>
      <w:bookmarkStart w:id="32"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0"/>
      <w:bookmarkEnd w:id="31"/>
      <w:bookmarkEnd w:id="32"/>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64.46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59.64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92.52</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7.48</w:t>
      </w:r>
      <w:r>
        <w:rPr>
          <w:rFonts w:hint="eastAsia" w:ascii="仿宋" w:hAnsi="仿宋" w:eastAsia="仿宋"/>
          <w:color w:val="auto"/>
          <w:sz w:val="32"/>
          <w:szCs w:val="32"/>
          <w:highlight w:val="none"/>
        </w:rPr>
        <w:t>%。</w:t>
      </w:r>
    </w:p>
    <w:p>
      <w:pPr>
        <w:jc w:val="center"/>
        <w:rPr>
          <w:rFonts w:ascii="仿宋" w:hAnsi="仿宋" w:eastAsia="仿宋"/>
          <w:color w:val="auto"/>
          <w:sz w:val="32"/>
          <w:szCs w:val="32"/>
          <w:highlight w:val="none"/>
          <w:shd w:val="pct10" w:color="auto" w:fill="FFFFFF"/>
        </w:rPr>
      </w:pPr>
      <w:r>
        <w:drawing>
          <wp:inline distT="0" distB="0" distL="114300" distR="114300">
            <wp:extent cx="4784725" cy="2838450"/>
            <wp:effectExtent l="4445" t="5080" r="1143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33" w:name="_Toc8906"/>
      <w:bookmarkStart w:id="34" w:name="_Toc15396606"/>
      <w:bookmarkStart w:id="35"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3"/>
      <w:bookmarkEnd w:id="34"/>
      <w:bookmarkEnd w:id="3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64.46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48.9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43.14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2021年8月</w:t>
      </w:r>
      <w:r>
        <w:rPr>
          <w:rFonts w:hint="eastAsia" w:ascii="仿宋_GB2312" w:eastAsia="仿宋_GB2312"/>
          <w:sz w:val="32"/>
          <w:szCs w:val="32"/>
        </w:rPr>
        <w:t>市劳动保障监察支队不再保留</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机构并入</w:t>
      </w:r>
      <w:r>
        <w:rPr>
          <w:rFonts w:hint="eastAsia" w:ascii="仿宋_GB2312" w:eastAsia="仿宋_GB2312"/>
          <w:sz w:val="32"/>
          <w:szCs w:val="32"/>
        </w:rPr>
        <w:t>市人力资源社会保障局</w:t>
      </w:r>
      <w:r>
        <w:rPr>
          <w:rFonts w:hint="eastAsia" w:ascii="仿宋_GB2312" w:eastAsia="仿宋_GB2312"/>
          <w:sz w:val="32"/>
          <w:szCs w:val="32"/>
          <w:lang w:eastAsia="zh-CN"/>
        </w:rPr>
        <w:t>，因此，</w:t>
      </w:r>
      <w:r>
        <w:rPr>
          <w:rFonts w:hint="eastAsia" w:ascii="仿宋" w:hAnsi="仿宋" w:eastAsia="仿宋"/>
          <w:color w:val="auto"/>
          <w:sz w:val="32"/>
          <w:szCs w:val="32"/>
          <w:highlight w:val="none"/>
        </w:rPr>
        <w:t>财政拨款收、支大幅度减少</w:t>
      </w:r>
      <w:r>
        <w:rPr>
          <w:rFonts w:hint="eastAsia" w:ascii="仿宋" w:hAnsi="仿宋" w:eastAsia="仿宋"/>
          <w:color w:val="auto"/>
          <w:sz w:val="32"/>
          <w:szCs w:val="32"/>
          <w:highlight w:val="none"/>
          <w:lang w:eastAsia="zh-CN"/>
        </w:rPr>
        <w:t>。</w:t>
      </w:r>
    </w:p>
    <w:p>
      <w:pPr>
        <w:jc w:val="center"/>
        <w:rPr>
          <w:rFonts w:ascii="仿宋" w:hAnsi="仿宋" w:eastAsia="仿宋"/>
          <w:color w:val="auto"/>
          <w:sz w:val="32"/>
          <w:szCs w:val="32"/>
          <w:highlight w:val="none"/>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left="0" w:leftChars="0" w:firstLine="0" w:firstLineChars="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Fonts w:hint="eastAsia" w:ascii="仿宋" w:hAnsi="仿宋" w:eastAsia="仿宋"/>
          <w:b/>
          <w:color w:val="auto"/>
          <w:sz w:val="32"/>
          <w:szCs w:val="32"/>
          <w:highlight w:val="none"/>
        </w:rPr>
      </w:pPr>
      <w:bookmarkStart w:id="36" w:name="_Toc15396607"/>
      <w:bookmarkStart w:id="37" w:name="_Toc15377209"/>
      <w:bookmarkStart w:id="38" w:name="_Toc3273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6"/>
      <w:bookmarkEnd w:id="37"/>
      <w:bookmarkEnd w:id="38"/>
      <w:bookmarkStart w:id="39" w:name="_Toc15377210"/>
    </w:p>
    <w:p>
      <w:pPr>
        <w:spacing w:line="600" w:lineRule="exact"/>
        <w:ind w:firstLine="643" w:firstLineChars="200"/>
        <w:outlineLvl w:val="2"/>
        <w:rPr>
          <w:rFonts w:hint="eastAsia" w:ascii="仿宋" w:hAnsi="仿宋" w:eastAsia="仿宋"/>
          <w:b/>
          <w:color w:val="auto"/>
          <w:sz w:val="32"/>
          <w:szCs w:val="32"/>
          <w:highlight w:val="none"/>
        </w:rPr>
      </w:pPr>
      <w:bookmarkStart w:id="40" w:name="_Toc20810"/>
      <w:r>
        <w:rPr>
          <w:rFonts w:hint="eastAsia" w:ascii="仿宋" w:hAnsi="仿宋" w:eastAsia="仿宋"/>
          <w:b/>
          <w:color w:val="auto"/>
          <w:sz w:val="32"/>
          <w:szCs w:val="32"/>
          <w:highlight w:val="none"/>
        </w:rPr>
        <w:t>（一）一般公共预算财政拨款支出决算总体情况</w:t>
      </w:r>
      <w:bookmarkEnd w:id="39"/>
      <w:bookmarkEnd w:id="40"/>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64.46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44.78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40.99</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2021年8月</w:t>
      </w:r>
      <w:r>
        <w:rPr>
          <w:rFonts w:hint="eastAsia" w:ascii="仿宋" w:hAnsi="仿宋" w:eastAsia="仿宋"/>
          <w:color w:val="auto"/>
          <w:sz w:val="32"/>
          <w:szCs w:val="32"/>
          <w:highlight w:val="none"/>
        </w:rPr>
        <w:t>市劳动保障监察支队不再保留，</w:t>
      </w:r>
      <w:r>
        <w:rPr>
          <w:rFonts w:hint="eastAsia" w:ascii="仿宋" w:hAnsi="仿宋" w:eastAsia="仿宋"/>
          <w:color w:val="auto"/>
          <w:sz w:val="32"/>
          <w:szCs w:val="32"/>
          <w:highlight w:val="none"/>
          <w:lang w:eastAsia="zh-CN"/>
        </w:rPr>
        <w:t>机构并入</w:t>
      </w:r>
      <w:r>
        <w:rPr>
          <w:rFonts w:hint="eastAsia" w:ascii="仿宋" w:hAnsi="仿宋" w:eastAsia="仿宋"/>
          <w:color w:val="auto"/>
          <w:sz w:val="32"/>
          <w:szCs w:val="32"/>
          <w:highlight w:val="none"/>
        </w:rPr>
        <w:t>市人力资源社会保障局</w:t>
      </w:r>
      <w:r>
        <w:rPr>
          <w:rFonts w:hint="eastAsia" w:ascii="仿宋" w:hAnsi="仿宋" w:eastAsia="仿宋"/>
          <w:color w:val="auto"/>
          <w:sz w:val="32"/>
          <w:szCs w:val="32"/>
          <w:highlight w:val="none"/>
          <w:lang w:eastAsia="zh-CN"/>
        </w:rPr>
        <w:t>，因此，</w:t>
      </w:r>
      <w:r>
        <w:rPr>
          <w:rFonts w:hint="eastAsia" w:ascii="仿宋" w:hAnsi="仿宋" w:eastAsia="仿宋"/>
          <w:color w:val="auto"/>
          <w:sz w:val="32"/>
          <w:szCs w:val="32"/>
          <w:highlight w:val="none"/>
        </w:rPr>
        <w:t>一般公共预算财政拨款支出大幅度减少</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jc w:val="cente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left="0" w:leftChars="0" w:firstLine="0" w:firstLineChars="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hint="eastAsia" w:ascii="仿宋" w:hAnsi="仿宋" w:eastAsia="仿宋"/>
          <w:b/>
          <w:color w:val="auto"/>
          <w:sz w:val="32"/>
          <w:szCs w:val="32"/>
          <w:highlight w:val="none"/>
        </w:rPr>
      </w:pPr>
      <w:bookmarkStart w:id="41" w:name="_Toc25271"/>
      <w:bookmarkStart w:id="42" w:name="_Toc15377211"/>
      <w:r>
        <w:rPr>
          <w:rFonts w:hint="eastAsia" w:ascii="仿宋" w:hAnsi="仿宋" w:eastAsia="仿宋"/>
          <w:b/>
          <w:color w:val="auto"/>
          <w:sz w:val="32"/>
          <w:szCs w:val="32"/>
          <w:highlight w:val="none"/>
        </w:rPr>
        <w:t>（二）一般公共预算财政拨款支出决算结构情况</w:t>
      </w:r>
      <w:bookmarkEnd w:id="41"/>
      <w:bookmarkEnd w:id="42"/>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64.46</w:t>
      </w:r>
      <w:r>
        <w:rPr>
          <w:rFonts w:hint="eastAsia" w:ascii="仿宋" w:hAnsi="仿宋" w:eastAsia="仿宋"/>
          <w:color w:val="auto"/>
          <w:sz w:val="32"/>
          <w:szCs w:val="32"/>
          <w:highlight w:val="none"/>
        </w:rPr>
        <w:t>万元，主要用于以下方面:社会保障和就业支出</w:t>
      </w:r>
      <w:r>
        <w:rPr>
          <w:rFonts w:hint="eastAsia" w:ascii="仿宋" w:hAnsi="仿宋" w:eastAsia="仿宋"/>
          <w:color w:val="auto"/>
          <w:sz w:val="32"/>
          <w:szCs w:val="32"/>
          <w:highlight w:val="none"/>
          <w:lang w:val="en-US" w:eastAsia="zh-CN"/>
        </w:rPr>
        <w:t>56.92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88.3</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3.57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5.54</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3.98</w:t>
      </w:r>
      <w:r>
        <w:rPr>
          <w:rFonts w:hint="eastAsia" w:ascii="仿宋" w:hAnsi="仿宋" w:eastAsia="仿宋"/>
          <w:color w:val="auto"/>
          <w:sz w:val="32"/>
          <w:szCs w:val="32"/>
          <w:highlight w:val="none"/>
        </w:rPr>
        <w:t>万元，占6.</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(因四舍五入原因，存在着分项合计不等的情况)</w:t>
      </w:r>
    </w:p>
    <w:p>
      <w:pPr>
        <w:pStyle w:val="2"/>
        <w:jc w:val="center"/>
        <w:rPr>
          <w:rFonts w:ascii="仿宋" w:hAnsi="仿宋" w:eastAsia="仿宋"/>
          <w:color w:val="auto"/>
          <w:sz w:val="32"/>
          <w:szCs w:val="32"/>
          <w:highlight w:val="none"/>
        </w:rPr>
      </w:pPr>
      <w:r>
        <w:drawing>
          <wp:inline distT="0" distB="0" distL="114300" distR="114300">
            <wp:extent cx="4572000" cy="272415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left="0" w:leftChars="0" w:firstLine="0" w:firstLineChars="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bookmarkStart w:id="44" w:name="_Toc7774"/>
      <w:r>
        <w:rPr>
          <w:rFonts w:hint="eastAsia" w:ascii="仿宋" w:hAnsi="仿宋" w:eastAsia="仿宋"/>
          <w:b/>
          <w:color w:val="auto"/>
          <w:sz w:val="32"/>
          <w:szCs w:val="32"/>
          <w:highlight w:val="none"/>
        </w:rPr>
        <w:t>（三）一般公共预算财政拨款支出决算具体情况</w:t>
      </w:r>
      <w:bookmarkEnd w:id="43"/>
      <w:bookmarkEnd w:id="44"/>
    </w:p>
    <w:p>
      <w:pPr>
        <w:spacing w:line="600" w:lineRule="exact"/>
        <w:ind w:firstLine="643" w:firstLineChars="200"/>
        <w:outlineLvl w:val="2"/>
        <w:rPr>
          <w:rFonts w:ascii="仿宋" w:hAnsi="仿宋" w:eastAsia="仿宋"/>
          <w:color w:val="auto"/>
          <w:sz w:val="32"/>
          <w:szCs w:val="32"/>
          <w:highlight w:val="none"/>
        </w:rPr>
      </w:pPr>
      <w:bookmarkStart w:id="45" w:name="_Toc22739"/>
      <w:bookmarkStart w:id="46" w:name="_Toc15377444"/>
      <w:bookmarkStart w:id="47" w:name="_Toc15377213"/>
      <w:bookmarkStart w:id="48"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64.46</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5"/>
      <w:bookmarkEnd w:id="46"/>
      <w:bookmarkEnd w:id="47"/>
      <w:bookmarkEnd w:id="48"/>
    </w:p>
    <w:p>
      <w:pPr>
        <w:numPr>
          <w:ilvl w:val="0"/>
          <w:numId w:val="0"/>
        </w:numPr>
        <w:spacing w:line="600" w:lineRule="exact"/>
        <w:ind w:firstLine="643" w:firstLineChars="200"/>
        <w:rPr>
          <w:rFonts w:hint="eastAsia" w:ascii="仿宋_GB2312" w:hAnsi="Times New Roman" w:eastAsia="仿宋_GB2312" w:cs="仿宋"/>
          <w:color w:val="000000"/>
          <w:kern w:val="0"/>
          <w:sz w:val="32"/>
          <w:szCs w:val="32"/>
          <w:lang w:val="en-US" w:eastAsia="zh-CN" w:bidi="ar-SA"/>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支出</w:t>
      </w:r>
      <w:r>
        <w:rPr>
          <w:rStyle w:val="15"/>
          <w:rFonts w:hint="eastAsia" w:ascii="仿宋" w:hAnsi="仿宋" w:eastAsia="仿宋"/>
          <w:bCs/>
          <w:color w:val="000000"/>
          <w:sz w:val="32"/>
          <w:szCs w:val="32"/>
        </w:rPr>
        <w:t>（类）人力资源和社会保障管理事务（款）劳动保障监察（项）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Fonts w:hint="eastAsia" w:ascii="仿宋_GB2312" w:hAnsi="Times New Roman" w:eastAsia="仿宋_GB2312" w:cs="仿宋"/>
          <w:color w:val="000000"/>
          <w:kern w:val="0"/>
          <w:sz w:val="32"/>
          <w:szCs w:val="32"/>
          <w:lang w:val="en-US" w:eastAsia="zh-CN" w:bidi="ar-SA"/>
        </w:rPr>
        <w:t>支出决算为49.79万元，完成预算的100%。</w:t>
      </w:r>
    </w:p>
    <w:p>
      <w:pPr>
        <w:numPr>
          <w:ilvl w:val="0"/>
          <w:numId w:val="0"/>
        </w:numPr>
        <w:spacing w:line="600" w:lineRule="exact"/>
        <w:ind w:firstLine="643" w:firstLineChars="200"/>
        <w:rPr>
          <w:rFonts w:hint="eastAsia" w:ascii="仿宋_GB2312" w:hAnsi="Times New Roman" w:eastAsia="仿宋_GB2312" w:cs="仿宋"/>
          <w:color w:val="000000"/>
          <w:kern w:val="0"/>
          <w:sz w:val="32"/>
          <w:szCs w:val="32"/>
          <w:lang w:val="en-US" w:eastAsia="zh-CN" w:bidi="ar-SA"/>
        </w:rPr>
      </w:pPr>
      <w:r>
        <w:rPr>
          <w:rStyle w:val="15"/>
          <w:rFonts w:hint="eastAsia" w:ascii="仿宋" w:hAnsi="仿宋" w:eastAsia="仿宋"/>
          <w:bCs/>
          <w:color w:val="000000"/>
          <w:sz w:val="32"/>
          <w:szCs w:val="32"/>
          <w:lang w:val="en-US" w:eastAsia="zh-CN"/>
        </w:rPr>
        <w:t>2.</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支出</w:t>
      </w:r>
      <w:bookmarkStart w:id="111" w:name="_GoBack"/>
      <w:bookmarkEnd w:id="111"/>
      <w:r>
        <w:rPr>
          <w:rStyle w:val="15"/>
          <w:rFonts w:hint="eastAsia" w:ascii="仿宋" w:hAnsi="仿宋" w:eastAsia="仿宋"/>
          <w:bCs/>
          <w:color w:val="000000"/>
          <w:sz w:val="32"/>
          <w:szCs w:val="32"/>
        </w:rPr>
        <w:t>（类）行政事业单位养老支出（款）机关事业单位基本养老保险缴费支出（项）</w:t>
      </w:r>
      <w:r>
        <w:rPr>
          <w:rStyle w:val="15"/>
          <w:rFonts w:hint="eastAsia" w:ascii="仿宋" w:hAnsi="仿宋" w:eastAsia="仿宋"/>
          <w:bCs/>
          <w:color w:val="000000"/>
          <w:sz w:val="32"/>
          <w:szCs w:val="32"/>
          <w:lang w:eastAsia="zh-CN"/>
        </w:rPr>
        <w:t>：</w:t>
      </w:r>
      <w:r>
        <w:rPr>
          <w:rFonts w:hint="eastAsia" w:ascii="仿宋_GB2312" w:hAnsi="Times New Roman" w:eastAsia="仿宋_GB2312" w:cs="仿宋"/>
          <w:color w:val="000000"/>
          <w:kern w:val="0"/>
          <w:sz w:val="32"/>
          <w:szCs w:val="32"/>
          <w:lang w:val="en-US" w:eastAsia="zh-CN" w:bidi="ar-SA"/>
        </w:rPr>
        <w:t>支出决算为7.13万元，完成预算的100%。</w:t>
      </w:r>
    </w:p>
    <w:p>
      <w:pPr>
        <w:spacing w:line="600" w:lineRule="exact"/>
        <w:ind w:firstLine="643" w:firstLineChars="200"/>
        <w:rPr>
          <w:rFonts w:hint="eastAsia" w:ascii="仿宋_GB2312" w:hAnsi="Times New Roman" w:eastAsia="仿宋_GB2312" w:cs="仿宋"/>
          <w:color w:val="000000"/>
          <w:kern w:val="0"/>
          <w:sz w:val="32"/>
          <w:szCs w:val="32"/>
          <w:lang w:val="en-US" w:eastAsia="zh-CN" w:bidi="ar-SA"/>
        </w:rPr>
      </w:pPr>
      <w:r>
        <w:rPr>
          <w:rStyle w:val="15"/>
          <w:rFonts w:hint="eastAsia" w:ascii="仿宋" w:hAnsi="仿宋" w:eastAsia="仿宋"/>
          <w:bCs/>
          <w:color w:val="000000"/>
          <w:sz w:val="32"/>
          <w:szCs w:val="32"/>
          <w:highlight w:val="none"/>
          <w:lang w:val="en-US" w:eastAsia="zh-CN"/>
        </w:rPr>
        <w:t>3</w:t>
      </w:r>
      <w:r>
        <w:rPr>
          <w:rStyle w:val="15"/>
          <w:rFonts w:ascii="仿宋" w:hAnsi="仿宋" w:eastAsia="仿宋"/>
          <w:bCs/>
          <w:color w:val="000000"/>
          <w:sz w:val="32"/>
          <w:szCs w:val="32"/>
          <w:highlight w:val="none"/>
        </w:rPr>
        <w:t>.</w:t>
      </w:r>
      <w:r>
        <w:rPr>
          <w:rFonts w:hint="eastAsia" w:ascii="仿宋" w:hAnsi="仿宋" w:eastAsia="仿宋"/>
          <w:b/>
          <w:bCs/>
          <w:color w:val="000000"/>
          <w:sz w:val="32"/>
          <w:szCs w:val="32"/>
          <w:highlight w:val="none"/>
        </w:rPr>
        <w:t>卫生健康</w:t>
      </w:r>
      <w:r>
        <w:rPr>
          <w:rStyle w:val="15"/>
          <w:rFonts w:hint="eastAsia" w:ascii="仿宋" w:hAnsi="仿宋" w:eastAsia="仿宋"/>
          <w:bCs/>
          <w:color w:val="000000"/>
          <w:sz w:val="32"/>
          <w:szCs w:val="32"/>
          <w:highlight w:val="none"/>
        </w:rPr>
        <w:t>（类）行政事业单位医疗（款）事业单位医疗（项）</w:t>
      </w:r>
      <w:r>
        <w:rPr>
          <w:rStyle w:val="15"/>
          <w:rFonts w:ascii="仿宋" w:hAnsi="仿宋" w:eastAsia="仿宋"/>
          <w:bCs/>
          <w:color w:val="000000"/>
          <w:sz w:val="32"/>
          <w:szCs w:val="32"/>
          <w:highlight w:val="none"/>
        </w:rPr>
        <w:t>:</w:t>
      </w:r>
      <w:r>
        <w:rPr>
          <w:rFonts w:hint="eastAsia" w:ascii="仿宋_GB2312" w:hAnsi="Times New Roman" w:eastAsia="仿宋_GB2312" w:cs="仿宋"/>
          <w:color w:val="000000"/>
          <w:kern w:val="0"/>
          <w:sz w:val="32"/>
          <w:szCs w:val="32"/>
          <w:lang w:val="en-US" w:eastAsia="zh-CN" w:bidi="ar-SA"/>
        </w:rPr>
        <w:t>支出决算为3.57万元，完成预算的100%。</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.住房保障支出（类）住房改革支出（款）：住房公积金（项）</w:t>
      </w:r>
      <w:r>
        <w:rPr>
          <w:rFonts w:hint="eastAsia" w:ascii="仿宋" w:hAnsi="仿宋" w:eastAsia="仿宋"/>
          <w:b/>
          <w:color w:val="000000"/>
          <w:sz w:val="32"/>
          <w:szCs w:val="32"/>
          <w:lang w:eastAsia="zh-CN"/>
        </w:rPr>
        <w:t>：</w:t>
      </w:r>
      <w:r>
        <w:rPr>
          <w:rFonts w:hint="eastAsia" w:ascii="仿宋_GB2312" w:hAnsi="Times New Roman" w:eastAsia="仿宋_GB2312" w:cs="仿宋"/>
          <w:color w:val="000000"/>
          <w:kern w:val="0"/>
          <w:sz w:val="32"/>
          <w:szCs w:val="32"/>
          <w:lang w:val="en-US" w:eastAsia="zh-CN" w:bidi="ar-SA"/>
        </w:rPr>
        <w:t>支出决算3.98万元，完成预算的100%。</w:t>
      </w:r>
    </w:p>
    <w:p>
      <w:pPr>
        <w:tabs>
          <w:tab w:val="right" w:pos="8306"/>
        </w:tabs>
        <w:spacing w:line="600" w:lineRule="exact"/>
        <w:ind w:firstLine="640"/>
        <w:outlineLvl w:val="1"/>
        <w:rPr>
          <w:rStyle w:val="26"/>
          <w:color w:val="auto"/>
          <w:highlight w:val="none"/>
        </w:rPr>
      </w:pPr>
      <w:bookmarkStart w:id="49" w:name="_Toc15377214"/>
      <w:bookmarkStart w:id="50" w:name="_Toc15396608"/>
      <w:bookmarkStart w:id="51" w:name="_Toc2705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9"/>
      <w:bookmarkEnd w:id="50"/>
      <w:bookmarkEnd w:id="51"/>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59.64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50.38</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其他工资福利支出</w:t>
      </w:r>
      <w:r>
        <w:rPr>
          <w:rFonts w:hint="eastAsia" w:ascii="仿宋" w:hAnsi="仿宋" w:eastAsia="仿宋"/>
          <w:color w:val="auto"/>
          <w:sz w:val="32"/>
          <w:szCs w:val="32"/>
          <w:highlight w:val="none"/>
        </w:rPr>
        <w:t>。</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9.26</w:t>
      </w:r>
      <w:r>
        <w:rPr>
          <w:rFonts w:hint="eastAsia" w:ascii="仿宋" w:hAnsi="仿宋" w:eastAsia="仿宋"/>
          <w:color w:val="auto"/>
          <w:sz w:val="32"/>
          <w:szCs w:val="32"/>
          <w:highlight w:val="none"/>
        </w:rPr>
        <w:t>万元，主要包括：办公费、印刷费、咨询费、水费、邮电费、差旅费、公务接待费、劳务费、工会经费、福利费、其他交通费、其他商品和服务支出。</w:t>
      </w:r>
    </w:p>
    <w:p>
      <w:pPr>
        <w:spacing w:line="600" w:lineRule="exact"/>
        <w:ind w:firstLine="640"/>
        <w:outlineLvl w:val="1"/>
        <w:rPr>
          <w:rStyle w:val="26"/>
          <w:rFonts w:ascii="黑体" w:hAnsi="黑体" w:eastAsia="黑体"/>
          <w:b w:val="0"/>
          <w:color w:val="auto"/>
          <w:highlight w:val="none"/>
        </w:rPr>
      </w:pPr>
      <w:bookmarkStart w:id="52" w:name="_Toc15396609"/>
      <w:bookmarkStart w:id="53" w:name="_Toc7455"/>
      <w:bookmarkStart w:id="54"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7347"/>
      <w:bookmarkStart w:id="56" w:name="_Toc15377216"/>
      <w:r>
        <w:rPr>
          <w:rFonts w:hint="eastAsia" w:ascii="仿宋" w:hAnsi="仿宋" w:eastAsia="仿宋"/>
          <w:b/>
          <w:color w:val="auto"/>
          <w:sz w:val="32"/>
          <w:szCs w:val="32"/>
          <w:highlight w:val="none"/>
        </w:rPr>
        <w:t>（一）“三公”经费财政拨款支出决算总体情况说明</w:t>
      </w:r>
      <w:bookmarkEnd w:id="55"/>
      <w:bookmarkEnd w:id="56"/>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86.67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_GB2312" w:hAnsi="Times New Roman" w:eastAsia="仿宋_GB2312" w:cs="仿宋"/>
          <w:color w:val="000000"/>
          <w:kern w:val="0"/>
          <w:sz w:val="32"/>
          <w:szCs w:val="32"/>
          <w:lang w:val="en-US" w:eastAsia="zh-CN" w:bidi="ar-SA"/>
        </w:rPr>
        <w:t>贯彻落实中央、省、市关于厉行节约的各项要求，从严控制“三公”经费开支。</w:t>
      </w:r>
    </w:p>
    <w:p>
      <w:pPr>
        <w:spacing w:line="600" w:lineRule="exact"/>
        <w:ind w:firstLine="640"/>
        <w:outlineLvl w:val="2"/>
        <w:rPr>
          <w:rFonts w:ascii="仿宋" w:hAnsi="仿宋" w:eastAsia="仿宋"/>
          <w:b/>
          <w:color w:val="auto"/>
          <w:sz w:val="32"/>
          <w:szCs w:val="32"/>
          <w:highlight w:val="none"/>
        </w:rPr>
      </w:pPr>
      <w:bookmarkStart w:id="57" w:name="_Toc11373"/>
      <w:bookmarkStart w:id="58" w:name="_Toc15377217"/>
      <w:r>
        <w:rPr>
          <w:rFonts w:hint="eastAsia" w:ascii="仿宋" w:hAnsi="仿宋" w:eastAsia="仿宋"/>
          <w:b/>
          <w:color w:val="auto"/>
          <w:sz w:val="32"/>
          <w:szCs w:val="32"/>
          <w:highlight w:val="none"/>
        </w:rPr>
        <w:t>（二）“三公”经费财政拨款支出决算具体情况说明</w:t>
      </w:r>
      <w:bookmarkEnd w:id="57"/>
      <w:bookmarkEnd w:id="5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年“三公”经费财政拨款支出决算中，因公出国（境）经费支出</w:t>
      </w:r>
      <w:r>
        <w:rPr>
          <w:rFonts w:hint="eastAsia" w:ascii="仿宋" w:hAnsi="仿宋" w:eastAsia="仿宋"/>
          <w:color w:val="000000"/>
          <w:sz w:val="32"/>
          <w:szCs w:val="32"/>
        </w:rPr>
        <w:t>决算</w:t>
      </w:r>
      <w:r>
        <w:rPr>
          <w:rFonts w:hint="eastAsia" w:ascii="仿宋" w:hAnsi="仿宋" w:eastAsia="仿宋"/>
          <w:color w:val="auto"/>
          <w:sz w:val="32"/>
          <w:szCs w:val="32"/>
          <w:highlight w:val="none"/>
        </w:rPr>
        <w:t>0万元，年初未安排预算；公务用车购置及运行维护费支出</w:t>
      </w:r>
      <w:r>
        <w:rPr>
          <w:rFonts w:hint="eastAsia" w:ascii="仿宋" w:hAnsi="仿宋" w:eastAsia="仿宋"/>
          <w:color w:val="000000"/>
          <w:sz w:val="32"/>
          <w:szCs w:val="32"/>
        </w:rPr>
        <w:t>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万元，年初未安排预算；公务接待费支出决算</w:t>
      </w:r>
      <w:r>
        <w:rPr>
          <w:rFonts w:hint="eastAsia" w:ascii="仿宋" w:hAnsi="仿宋" w:eastAsia="仿宋"/>
          <w:color w:val="auto"/>
          <w:sz w:val="32"/>
          <w:szCs w:val="32"/>
          <w:highlight w:val="none"/>
          <w:lang w:val="en-US" w:eastAsia="zh-CN"/>
        </w:rPr>
        <w:t>0.26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w:t>
      </w:r>
      <w:r>
        <w:rPr>
          <w:rFonts w:hint="eastAsia" w:ascii="仿宋" w:hAnsi="仿宋" w:eastAsia="仿宋"/>
          <w:color w:val="000000"/>
          <w:sz w:val="32"/>
          <w:szCs w:val="32"/>
          <w:lang w:eastAsia="zh-CN"/>
        </w:rPr>
        <w:t>元，年初未安排预算，</w:t>
      </w:r>
      <w:r>
        <w:rPr>
          <w:rFonts w:hint="eastAsia" w:ascii="仿宋" w:hAnsi="仿宋" w:eastAsia="仿宋"/>
          <w:color w:val="000000"/>
          <w:sz w:val="32"/>
          <w:szCs w:val="32"/>
          <w:lang w:val="en-US" w:eastAsia="zh-CN"/>
        </w:rPr>
        <w:t>较2020年无变化</w:t>
      </w:r>
      <w:r>
        <w:rPr>
          <w:rFonts w:hint="eastAsia" w:ascii="仿宋" w:hAnsi="仿宋" w:eastAsia="仿宋"/>
          <w:color w:val="000000"/>
          <w:sz w:val="32"/>
          <w:szCs w:val="32"/>
          <w:lang w:eastAsia="zh-CN"/>
        </w:rPr>
        <w:t>。</w:t>
      </w:r>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000000"/>
          <w:sz w:val="32"/>
          <w:szCs w:val="32"/>
          <w:lang w:eastAsia="zh-CN"/>
        </w:rPr>
        <w:t>年初未安排预算</w:t>
      </w:r>
      <w:r>
        <w:rPr>
          <w:rStyle w:val="15"/>
          <w:rFonts w:hint="eastAsia" w:ascii="仿宋" w:hAnsi="仿宋" w:eastAsia="仿宋"/>
          <w:b w:val="0"/>
          <w:bCs/>
          <w:color w:val="auto"/>
          <w:sz w:val="32"/>
          <w:szCs w:val="32"/>
          <w:highlight w:val="none"/>
          <w:lang w:eastAsia="zh-CN"/>
        </w:rPr>
        <w:t>，</w:t>
      </w:r>
      <w:r>
        <w:rPr>
          <w:rFonts w:hint="eastAsia" w:ascii="仿宋" w:hAnsi="仿宋" w:eastAsia="仿宋"/>
          <w:color w:val="000000"/>
          <w:sz w:val="32"/>
          <w:szCs w:val="32"/>
          <w:lang w:val="en-US" w:eastAsia="zh-CN"/>
        </w:rPr>
        <w:t>较2020年无变化</w:t>
      </w: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（本单位未购置公务用车），</w:t>
      </w: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（本单位无公务用车保有量）</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0.26</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86.67</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s="仿宋"/>
          <w:color w:val="000000"/>
          <w:kern w:val="0"/>
          <w:sz w:val="32"/>
          <w:szCs w:val="32"/>
          <w:lang w:val="en-US" w:eastAsia="zh-CN" w:bidi="ar-SA"/>
        </w:rPr>
        <w:t>单位体量小，2021年接待人数较去年接待人数略微增加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兄弟市（州）来广考察学习的</w:t>
      </w:r>
      <w:r>
        <w:rPr>
          <w:rFonts w:hint="eastAsia" w:ascii="仿宋" w:hAnsi="仿宋" w:eastAsia="仿宋"/>
          <w:color w:val="000000"/>
          <w:sz w:val="32"/>
          <w:szCs w:val="32"/>
          <w:lang w:eastAsia="zh-CN"/>
        </w:rPr>
        <w:t>接待费</w:t>
      </w:r>
      <w:r>
        <w:rPr>
          <w:rFonts w:hint="eastAsia" w:ascii="仿宋" w:hAnsi="仿宋" w:eastAsia="仿宋"/>
          <w:color w:val="000000"/>
          <w:sz w:val="32"/>
          <w:szCs w:val="32"/>
        </w:rPr>
        <w:t>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0.26</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资阳市人社局来广学习根治欠薪工作经验业务接待费</w:t>
      </w:r>
      <w:r>
        <w:rPr>
          <w:rFonts w:hint="eastAsia" w:ascii="仿宋_GB2312" w:eastAsia="仿宋_GB2312"/>
          <w:color w:val="auto"/>
          <w:sz w:val="32"/>
          <w:szCs w:val="32"/>
          <w:highlight w:val="none"/>
          <w:lang w:val="en-US" w:eastAsia="zh-CN"/>
        </w:rPr>
        <w:t>0.19万元，宜宾市人社局来广学习保障农民工工资支付政府专项考核工作经验业务接待费0.07万元</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6"/>
          <w:rFonts w:ascii="黑体" w:hAnsi="黑体" w:eastAsia="黑体"/>
          <w:color w:val="auto"/>
          <w:highlight w:val="none"/>
        </w:rPr>
      </w:pPr>
      <w:bookmarkStart w:id="59" w:name="_Toc32083"/>
      <w:bookmarkStart w:id="60" w:name="_Toc15396610"/>
      <w:bookmarkStart w:id="61" w:name="_Toc1537721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hAnsi="Times New Roman" w:eastAsia="仿宋_GB2312" w:cs="仿宋"/>
          <w:color w:val="000000"/>
          <w:kern w:val="0"/>
          <w:sz w:val="32"/>
          <w:szCs w:val="32"/>
          <w:lang w:val="en-US" w:eastAsia="zh-CN" w:bidi="ar-SA"/>
        </w:rPr>
        <w:t>万元</w:t>
      </w:r>
      <w:r>
        <w:rPr>
          <w:rFonts w:hint="eastAsia" w:ascii="仿宋_GB2312" w:eastAsia="仿宋_GB2312" w:cs="仿宋"/>
          <w:color w:val="000000"/>
          <w:kern w:val="0"/>
          <w:sz w:val="32"/>
          <w:szCs w:val="32"/>
          <w:lang w:val="en-US" w:eastAsia="zh-CN" w:bidi="ar-SA"/>
        </w:rPr>
        <w:t>，也未在政府性基金预算拨款安排“三公经费”支出</w:t>
      </w:r>
      <w:r>
        <w:rPr>
          <w:rFonts w:hint="eastAsia" w:ascii="仿宋_GB2312" w:eastAsia="仿宋_GB2312"/>
          <w:color w:val="auto"/>
          <w:sz w:val="32"/>
          <w:szCs w:val="32"/>
          <w:highlight w:val="none"/>
        </w:rPr>
        <w:t>。</w:t>
      </w:r>
    </w:p>
    <w:p>
      <w:pPr>
        <w:numPr>
          <w:ilvl w:val="0"/>
          <w:numId w:val="3"/>
        </w:numPr>
        <w:spacing w:line="600" w:lineRule="exact"/>
        <w:ind w:firstLine="640"/>
        <w:outlineLvl w:val="1"/>
        <w:rPr>
          <w:rStyle w:val="26"/>
          <w:rFonts w:ascii="黑体" w:hAnsi="黑体" w:eastAsia="黑体"/>
          <w:b w:val="0"/>
          <w:color w:val="auto"/>
          <w:highlight w:val="none"/>
        </w:rPr>
      </w:pPr>
      <w:bookmarkStart w:id="62" w:name="_Toc15396611"/>
      <w:bookmarkStart w:id="63" w:name="_Toc18452"/>
      <w:bookmarkStart w:id="64" w:name="_Toc15377219"/>
      <w:r>
        <w:rPr>
          <w:rStyle w:val="26"/>
          <w:rFonts w:hint="eastAsia" w:ascii="黑体" w:hAnsi="黑体" w:eastAsia="黑体"/>
          <w:b w:val="0"/>
          <w:color w:val="auto"/>
          <w:highlight w:val="none"/>
        </w:rPr>
        <w:t>国有资本经营预算支出决算情况说明</w:t>
      </w:r>
      <w:bookmarkEnd w:id="62"/>
      <w:bookmarkEnd w:id="63"/>
      <w:bookmarkEnd w:id="6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65" w:name="_Toc13921"/>
      <w:bookmarkStart w:id="66" w:name="_Toc15377221"/>
      <w:bookmarkStart w:id="67" w:name="_Toc15396612"/>
      <w:r>
        <w:rPr>
          <w:rStyle w:val="26"/>
          <w:rFonts w:hint="eastAsia" w:ascii="黑体" w:hAnsi="黑体" w:eastAsia="黑体"/>
          <w:b w:val="0"/>
          <w:color w:val="auto"/>
          <w:highlight w:val="none"/>
          <w:lang w:val="en-US" w:eastAsia="zh-CN"/>
        </w:rPr>
        <w:t>预算绩效管理情况</w:t>
      </w:r>
      <w:bookmarkEnd w:id="65"/>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劳动保障监察执法办案工作经费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项目属于经常性项目，不属于重点建设项目，因此不需要开展预算事前绩效评估。</w:t>
      </w:r>
      <w:r>
        <w:rPr>
          <w:rFonts w:hint="eastAsia" w:ascii="仿宋" w:hAnsi="仿宋" w:eastAsia="仿宋"/>
          <w:color w:val="000000"/>
          <w:sz w:val="32"/>
          <w:szCs w:val="32"/>
        </w:rPr>
        <w:t>在年初预算编制阶段</w:t>
      </w:r>
      <w:r>
        <w:rPr>
          <w:rFonts w:hint="eastAsia" w:ascii="仿宋" w:hAnsi="仿宋" w:eastAsia="仿宋"/>
          <w:color w:val="000000"/>
          <w:sz w:val="32"/>
          <w:szCs w:val="32"/>
          <w:lang w:eastAsia="zh-CN"/>
        </w:rPr>
        <w:t>，</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劳动保障监察执法办案工作经费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开展绩效监控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年终执行完毕后，开展了绩效自评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68" w:name="_Toc11000"/>
      <w:r>
        <w:rPr>
          <w:rStyle w:val="26"/>
          <w:rFonts w:hint="eastAsia" w:ascii="黑体" w:hAnsi="黑体" w:eastAsia="黑体"/>
          <w:b w:val="0"/>
          <w:color w:val="auto"/>
          <w:highlight w:val="none"/>
        </w:rPr>
        <w:t>其他重要事项的情况说明</w:t>
      </w:r>
      <w:bookmarkEnd w:id="66"/>
      <w:bookmarkEnd w:id="67"/>
      <w:bookmarkEnd w:id="68"/>
    </w:p>
    <w:p>
      <w:pPr>
        <w:spacing w:line="600" w:lineRule="exact"/>
        <w:ind w:firstLine="643" w:firstLineChars="200"/>
        <w:outlineLvl w:val="2"/>
        <w:rPr>
          <w:rFonts w:ascii="仿宋" w:hAnsi="仿宋" w:eastAsia="仿宋"/>
          <w:color w:val="auto"/>
          <w:sz w:val="32"/>
          <w:szCs w:val="32"/>
          <w:highlight w:val="none"/>
        </w:rPr>
      </w:pPr>
      <w:bookmarkStart w:id="69" w:name="_Toc15377222"/>
      <w:bookmarkStart w:id="70" w:name="_Toc19757"/>
      <w:r>
        <w:rPr>
          <w:rFonts w:hint="eastAsia" w:ascii="仿宋" w:hAnsi="仿宋" w:eastAsia="仿宋"/>
          <w:b/>
          <w:color w:val="auto"/>
          <w:sz w:val="32"/>
          <w:szCs w:val="32"/>
          <w:highlight w:val="none"/>
        </w:rPr>
        <w:t>（一）机关运行经费支出情况</w:t>
      </w:r>
      <w:bookmarkEnd w:id="69"/>
      <w:bookmarkEnd w:id="70"/>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Times New Roman" w:eastAsia="仿宋_GB2312" w:cs="仿宋"/>
          <w:color w:val="000000"/>
          <w:kern w:val="0"/>
          <w:sz w:val="32"/>
          <w:szCs w:val="32"/>
          <w:lang w:val="en-US" w:eastAsia="zh-CN" w:bidi="ar-SA"/>
        </w:rPr>
        <w:t>市劳动保障监察支队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9.26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5.82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169.19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其他交通费用增加</w:t>
      </w:r>
      <w:r>
        <w:rPr>
          <w:rFonts w:hint="eastAsia" w:ascii="仿宋_GB2312" w:eastAsia="仿宋_GB2312"/>
          <w:color w:val="auto"/>
          <w:sz w:val="32"/>
          <w:szCs w:val="32"/>
          <w:highlight w:val="none"/>
          <w:lang w:val="en-US" w:eastAsia="zh-CN"/>
        </w:rPr>
        <w:t>4.67万元</w:t>
      </w:r>
      <w:r>
        <w:rPr>
          <w:rFonts w:hint="eastAsia" w:ascii="仿宋_GB2312" w:eastAsia="仿宋_GB2312"/>
          <w:color w:val="auto"/>
          <w:sz w:val="32"/>
          <w:szCs w:val="32"/>
          <w:highlight w:val="none"/>
          <w:lang w:eastAsia="zh-CN"/>
        </w:rPr>
        <w:t>，办公费增加</w:t>
      </w:r>
      <w:r>
        <w:rPr>
          <w:rFonts w:hint="eastAsia" w:ascii="仿宋_GB2312" w:eastAsia="仿宋_GB2312"/>
          <w:color w:val="auto"/>
          <w:sz w:val="32"/>
          <w:szCs w:val="32"/>
          <w:highlight w:val="none"/>
          <w:lang w:val="en-US" w:eastAsia="zh-CN"/>
        </w:rPr>
        <w:t>1.28万元。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1" w:name="_Toc15377223"/>
      <w:bookmarkStart w:id="72" w:name="_Toc27475"/>
      <w:r>
        <w:rPr>
          <w:rFonts w:hint="eastAsia" w:ascii="仿宋" w:hAnsi="仿宋" w:eastAsia="仿宋"/>
          <w:b/>
          <w:color w:val="auto"/>
          <w:sz w:val="32"/>
          <w:szCs w:val="32"/>
          <w:highlight w:val="none"/>
        </w:rPr>
        <w:t>（二）政府采购支出情况</w:t>
      </w:r>
      <w:bookmarkEnd w:id="71"/>
      <w:bookmarkEnd w:id="72"/>
    </w:p>
    <w:p>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Times New Roman" w:eastAsia="仿宋_GB2312" w:cs="仿宋"/>
          <w:color w:val="000000"/>
          <w:kern w:val="0"/>
          <w:sz w:val="32"/>
          <w:szCs w:val="32"/>
          <w:lang w:val="en-US" w:eastAsia="zh-CN" w:bidi="ar-SA"/>
        </w:rPr>
        <w:t>市劳动保障监察支队政府采购支出总额0万元。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3445"/>
      <w:bookmarkStart w:id="74" w:name="_Toc15377224"/>
      <w:r>
        <w:rPr>
          <w:rFonts w:hint="eastAsia" w:ascii="仿宋" w:hAnsi="仿宋" w:eastAsia="仿宋"/>
          <w:b/>
          <w:color w:val="auto"/>
          <w:sz w:val="32"/>
          <w:szCs w:val="32"/>
          <w:highlight w:val="none"/>
        </w:rPr>
        <w:t>（三）国有资产占有使用情况</w:t>
      </w:r>
      <w:bookmarkEnd w:id="73"/>
      <w:bookmarkEnd w:id="7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日，市劳动保障监察支队无国有资产。市劳动保障监察支队共有车辆0辆。单价50万元以上通用设备0台（套），单价100万元以上专用设备0台（套）。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75" w:name="_Toc15377225"/>
      <w:bookmarkStart w:id="76" w:name="_Toc6192"/>
      <w:bookmarkStart w:id="77"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75"/>
      <w:bookmarkEnd w:id="76"/>
      <w:bookmarkEnd w:id="77"/>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4.社会保障和就业支出</w:t>
      </w:r>
      <w:r>
        <w:rPr>
          <w:rFonts w:hint="eastAsia" w:ascii="仿宋_GB2312" w:hAnsi="Times New Roman" w:eastAsia="仿宋_GB2312"/>
          <w:sz w:val="32"/>
          <w:szCs w:val="32"/>
        </w:rPr>
        <w:t>（类）人力资源和社会保障管理事务（款）劳动保障监察（项）：</w:t>
      </w:r>
      <w:r>
        <w:rPr>
          <w:rFonts w:hint="eastAsia" w:ascii="仿宋_GB2312" w:hAnsi="Times New Roman" w:eastAsia="仿宋_GB2312"/>
          <w:sz w:val="32"/>
          <w:szCs w:val="32"/>
          <w:lang w:eastAsia="zh-CN"/>
        </w:rPr>
        <w:t>指劳动保障监察事务支出</w:t>
      </w:r>
      <w:r>
        <w:rPr>
          <w:rFonts w:hint="eastAsia" w:ascii="仿宋_GB2312" w:hAnsi="Times New Roman" w:eastAsia="仿宋_GB2312"/>
          <w:sz w:val="32"/>
          <w:szCs w:val="32"/>
        </w:rPr>
        <w:t>。</w:t>
      </w:r>
    </w:p>
    <w:p>
      <w:pPr>
        <w:pStyle w:val="23"/>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社会保障和就业支出（类）行政事业单位养老支出（款）机关事业单位基本养老保险缴费支出（项）</w:t>
      </w:r>
      <w:r>
        <w:rPr>
          <w:rFonts w:hint="eastAsia" w:ascii="仿宋_GB2312" w:hAnsi="Times New Roman" w:eastAsia="仿宋_GB2312"/>
          <w:sz w:val="32"/>
          <w:szCs w:val="32"/>
          <w:lang w:eastAsia="zh-CN"/>
        </w:rPr>
        <w:t>：指机关事业单位实施养老保险制度由单位缴纳的基本养老保险支出。</w:t>
      </w:r>
    </w:p>
    <w:p>
      <w:pPr>
        <w:pStyle w:val="23"/>
        <w:spacing w:line="560" w:lineRule="exact"/>
        <w:ind w:firstLine="640" w:firstLineChars="200"/>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6</w:t>
      </w:r>
      <w:r>
        <w:rPr>
          <w:rFonts w:ascii="仿宋_GB2312" w:hAnsi="Times New Roman" w:eastAsia="仿宋_GB2312"/>
          <w:sz w:val="32"/>
          <w:szCs w:val="32"/>
          <w:highlight w:val="none"/>
        </w:rPr>
        <w:t>.</w:t>
      </w:r>
      <w:r>
        <w:rPr>
          <w:rFonts w:hint="eastAsia" w:ascii="仿宋_GB2312" w:hAnsi="Times New Roman" w:eastAsia="仿宋_GB2312"/>
          <w:sz w:val="32"/>
          <w:szCs w:val="32"/>
          <w:highlight w:val="none"/>
        </w:rPr>
        <w:t>卫生健康支出（类）行政事业单位医疗（款）</w:t>
      </w:r>
      <w:r>
        <w:rPr>
          <w:rFonts w:ascii="仿宋_GB2312" w:hAnsi="Times New Roman" w:eastAsia="仿宋_GB2312"/>
          <w:sz w:val="32"/>
          <w:szCs w:val="32"/>
          <w:highlight w:val="none"/>
        </w:rPr>
        <w:t xml:space="preserve">  </w:t>
      </w:r>
      <w:r>
        <w:rPr>
          <w:rFonts w:hint="eastAsia" w:ascii="仿宋_GB2312" w:hAnsi="Times New Roman" w:eastAsia="仿宋_GB2312"/>
          <w:sz w:val="32"/>
          <w:szCs w:val="32"/>
          <w:highlight w:val="none"/>
          <w:lang w:val="en-US" w:eastAsia="zh-CN"/>
        </w:rPr>
        <w:t>事业</w:t>
      </w:r>
      <w:r>
        <w:rPr>
          <w:rFonts w:hint="eastAsia" w:ascii="仿宋_GB2312" w:hAnsi="Times New Roman" w:eastAsia="仿宋_GB2312"/>
          <w:sz w:val="32"/>
          <w:szCs w:val="32"/>
          <w:highlight w:val="none"/>
        </w:rPr>
        <w:t>单位医疗（项）</w:t>
      </w:r>
      <w:r>
        <w:rPr>
          <w:rFonts w:ascii="仿宋_GB2312" w:hAnsi="Times New Roman" w:eastAsia="仿宋_GB2312"/>
          <w:sz w:val="32"/>
          <w:szCs w:val="32"/>
          <w:highlight w:val="none"/>
        </w:rPr>
        <w:t>:</w:t>
      </w:r>
      <w:r>
        <w:rPr>
          <w:rFonts w:hint="eastAsia" w:ascii="仿宋_GB2312" w:hAnsi="Times New Roman" w:eastAsia="仿宋_GB2312"/>
          <w:sz w:val="32"/>
          <w:szCs w:val="32"/>
          <w:highlight w:val="none"/>
        </w:rPr>
        <w:t>指财政部门安排的</w:t>
      </w:r>
      <w:r>
        <w:rPr>
          <w:rFonts w:hint="eastAsia" w:ascii="仿宋_GB2312" w:hAnsi="Times New Roman" w:eastAsia="仿宋_GB2312"/>
          <w:sz w:val="32"/>
          <w:szCs w:val="32"/>
          <w:highlight w:val="none"/>
          <w:lang w:val="en-US" w:eastAsia="zh-CN"/>
        </w:rPr>
        <w:t>事业</w:t>
      </w:r>
      <w:r>
        <w:rPr>
          <w:rFonts w:hint="eastAsia" w:ascii="仿宋_GB2312" w:hAnsi="Times New Roman" w:eastAsia="仿宋_GB2312"/>
          <w:sz w:val="32"/>
          <w:szCs w:val="32"/>
          <w:highlight w:val="none"/>
        </w:rPr>
        <w:t>单位基本医疗保险缴费经费，未参加医疗保险的</w:t>
      </w:r>
      <w:r>
        <w:rPr>
          <w:rFonts w:hint="eastAsia" w:ascii="仿宋_GB2312" w:hAnsi="Times New Roman" w:eastAsia="仿宋_GB2312"/>
          <w:sz w:val="32"/>
          <w:szCs w:val="32"/>
          <w:highlight w:val="none"/>
          <w:lang w:eastAsia="zh-CN"/>
        </w:rPr>
        <w:t>事业</w:t>
      </w:r>
      <w:r>
        <w:rPr>
          <w:rFonts w:hint="eastAsia" w:ascii="仿宋_GB2312" w:hAnsi="Times New Roman" w:eastAsia="仿宋_GB2312"/>
          <w:sz w:val="32"/>
          <w:szCs w:val="32"/>
          <w:highlight w:val="none"/>
        </w:rPr>
        <w:t>单位的公费医疗经费，按国家规定享受离休人员待遇人员的医疗经费。</w:t>
      </w:r>
    </w:p>
    <w:p>
      <w:pPr>
        <w:pStyle w:val="23"/>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rPr>
        <w:t>印刷费、</w:t>
      </w:r>
      <w:r>
        <w:rPr>
          <w:rFonts w:hint="eastAsia" w:ascii="仿宋_GB2312" w:eastAsia="仿宋_GB2312"/>
          <w:color w:val="auto"/>
          <w:sz w:val="32"/>
          <w:szCs w:val="32"/>
          <w:highlight w:val="none"/>
          <w:lang w:eastAsia="zh-CN"/>
        </w:rPr>
        <w:t>咨询费、水费、</w:t>
      </w:r>
      <w:r>
        <w:rPr>
          <w:rFonts w:hint="eastAsia" w:ascii="仿宋_GB2312" w:eastAsia="仿宋_GB2312"/>
          <w:color w:val="auto"/>
          <w:sz w:val="32"/>
          <w:szCs w:val="32"/>
          <w:highlight w:val="none"/>
        </w:rPr>
        <w:t>邮电费、差旅费、</w:t>
      </w:r>
      <w:r>
        <w:rPr>
          <w:rFonts w:hint="eastAsia" w:ascii="仿宋_GB2312" w:eastAsia="仿宋_GB2312"/>
          <w:color w:val="auto"/>
          <w:sz w:val="32"/>
          <w:szCs w:val="32"/>
          <w:highlight w:val="none"/>
          <w:lang w:eastAsia="zh-CN"/>
        </w:rPr>
        <w:t>公务接待费、劳务费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工会经费、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其他交通补贴、其他商品和服务支出。</w:t>
      </w:r>
    </w:p>
    <w:p>
      <w:pPr>
        <w:spacing w:line="600" w:lineRule="exact"/>
        <w:jc w:val="center"/>
        <w:outlineLvl w:val="0"/>
        <w:rPr>
          <w:rStyle w:val="25"/>
          <w:rFonts w:ascii="黑体" w:hAnsi="黑体" w:eastAsia="黑体"/>
          <w:b w:val="0"/>
          <w:color w:val="auto"/>
          <w:highlight w:val="none"/>
        </w:rPr>
      </w:pPr>
      <w:bookmarkStart w:id="78" w:name="_Toc15377226"/>
      <w:r>
        <w:rPr>
          <w:rFonts w:ascii="宋体"/>
          <w:b/>
          <w:color w:val="auto"/>
          <w:sz w:val="44"/>
          <w:szCs w:val="44"/>
          <w:highlight w:val="none"/>
        </w:rPr>
        <w:br w:type="page"/>
      </w:r>
      <w:bookmarkStart w:id="79" w:name="_Toc15396614"/>
      <w:bookmarkStart w:id="80" w:name="_Toc28891"/>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9"/>
      <w:bookmarkEnd w:id="80"/>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劳动保障监察执法办案工作经费项目支出绩效自评报告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hint="default" w:ascii="宋体" w:hAnsi="宋体" w:eastAsia="宋体" w:cs="Times New Roman"/>
          <w:color w:val="auto"/>
          <w:kern w:val="2"/>
          <w:sz w:val="32"/>
          <w:szCs w:val="32"/>
          <w:highlight w:val="none"/>
          <w:lang w:val="en-US" w:eastAsia="zh-CN" w:bidi="ar-SA"/>
        </w:rPr>
      </w:pPr>
      <w:r>
        <w:rPr>
          <w:rFonts w:hint="eastAsia" w:ascii="宋体" w:hAnsi="宋体" w:cs="Times New Roman"/>
          <w:color w:val="auto"/>
          <w:kern w:val="2"/>
          <w:sz w:val="32"/>
          <w:szCs w:val="32"/>
          <w:highlight w:val="none"/>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本项目依据《人力资源社会保障部 中央编办 财政部关于加强劳动保障监察执法能力建设的意见》（人社部发〔2015〕67号）第六条第一款 “落实财政保障劳动保障监察经费制度。按照《劳动保障监察条例》规定，将劳动保障监察履行法定职责所需经费列入同级财政预算予以保障，为各项执法活动的开展提供支撑，严禁将行政罚款收入与工作经费挂钩或者变相挂钩”及《劳动保障监察条例》第五条 “县级以上地方各级人民政府应当加强劳动保障工作。劳动保障监察所需经费列入本级财政预算”的规定。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内容是开展全市劳动保障监察执法和监督管理，依法对用人单位遵守劳动保障法律法规的情况进行监督检查，发现和纠正违法行为，并对违法行为依法进行行政处理或行政处罚，维护劳动者合法权益相关工作所需要的办案工作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到2021年，劳动保障监察依法行政能力有效提升，用人单位依法用工、劳动者依法维权的意识进一步提升；建设领域用工管理规范，“总包直发、建立和做实专户、按月足额实名实人发放农民工工资”以及“政府投资项目农民工工资无拖欠”等机制常态化运行，违反劳动保障法律、法规和规章的行为得到有效遏制，劳动保障监察举报投诉案件数量呈降低趋势，根治拖农民工工资问题得以基本解决，保障农民工工资支付工作持续走在全省前列，劳动关系总体和谐稳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依据相关专项资金管理办法和现行财务制度，按照项目支出绩效评价指标体系内容，通过自查的方式，使用比较法，考评项目年度预期绩效目标完成情况及年度达到的效益。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经市第八届人大常委会第六次会议审查批准及市财政局批复，年初预算劳动保障监察执法办案工作经费</w:t>
      </w:r>
      <w:r>
        <w:rPr>
          <w:rFonts w:hint="eastAsia" w:ascii="仿宋_GB2312" w:hAnsi="宋体" w:eastAsia="仿宋_GB2312" w:cs="Times New Roman"/>
          <w:color w:val="auto"/>
          <w:sz w:val="32"/>
          <w:szCs w:val="32"/>
          <w:highlight w:val="none"/>
          <w:lang w:val="en-US" w:eastAsia="zh-CN"/>
        </w:rPr>
        <w:t>4.82</w:t>
      </w:r>
      <w:r>
        <w:rPr>
          <w:rFonts w:hint="eastAsia" w:ascii="仿宋_GB2312" w:hAnsi="宋体" w:eastAsia="仿宋_GB2312" w:cs="Times New Roman"/>
          <w:color w:val="auto"/>
          <w:sz w:val="32"/>
          <w:szCs w:val="32"/>
          <w:highlight w:val="none"/>
          <w:lang w:val="zh-CN"/>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项目预算指标为</w:t>
      </w:r>
      <w:r>
        <w:rPr>
          <w:rFonts w:hint="eastAsia" w:ascii="仿宋_GB2312" w:hAnsi="宋体" w:eastAsia="仿宋_GB2312" w:cs="Times New Roman"/>
          <w:color w:val="auto"/>
          <w:sz w:val="32"/>
          <w:szCs w:val="32"/>
          <w:highlight w:val="none"/>
          <w:lang w:val="en-US" w:eastAsia="zh-CN"/>
        </w:rPr>
        <w:t>4.82</w:t>
      </w:r>
      <w:r>
        <w:rPr>
          <w:rFonts w:hint="eastAsia" w:ascii="仿宋_GB2312" w:hAnsi="宋体" w:eastAsia="仿宋_GB2312" w:cs="Times New Roman"/>
          <w:color w:val="auto"/>
          <w:sz w:val="32"/>
          <w:szCs w:val="32"/>
          <w:highlight w:val="none"/>
          <w:lang w:val="zh-CN"/>
        </w:rPr>
        <w:t>万元，用于持续开展劳动保障监察相关工作。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截至202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年底，市财政实际拨付资金</w:t>
      </w:r>
      <w:r>
        <w:rPr>
          <w:rFonts w:hint="eastAsia" w:ascii="仿宋_GB2312" w:hAnsi="宋体" w:eastAsia="仿宋_GB2312" w:cs="Times New Roman"/>
          <w:color w:val="auto"/>
          <w:sz w:val="32"/>
          <w:szCs w:val="32"/>
          <w:highlight w:val="none"/>
          <w:lang w:val="en-US" w:eastAsia="zh-CN"/>
        </w:rPr>
        <w:t>4.82</w:t>
      </w:r>
      <w:r>
        <w:rPr>
          <w:rFonts w:hint="eastAsia" w:ascii="仿宋_GB2312" w:hAnsi="宋体" w:eastAsia="仿宋_GB2312" w:cs="Times New Roman"/>
          <w:color w:val="auto"/>
          <w:sz w:val="32"/>
          <w:szCs w:val="32"/>
          <w:highlight w:val="none"/>
          <w:lang w:val="zh-CN"/>
        </w:rPr>
        <w:t>万元，资金到位率100%，为本级财政拨款资金。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宋体" w:eastAsia="仿宋_GB2312" w:cs="Times New Roman"/>
          <w:color w:val="auto"/>
          <w:sz w:val="32"/>
          <w:szCs w:val="32"/>
          <w:highlight w:val="none"/>
          <w:lang w:val="zh-CN"/>
        </w:rPr>
        <w:t>全年使用资金</w:t>
      </w:r>
      <w:r>
        <w:rPr>
          <w:rFonts w:hint="eastAsia" w:ascii="仿宋_GB2312" w:hAnsi="宋体" w:eastAsia="仿宋_GB2312" w:cs="Times New Roman"/>
          <w:color w:val="auto"/>
          <w:sz w:val="32"/>
          <w:szCs w:val="32"/>
          <w:highlight w:val="none"/>
          <w:lang w:val="en-US" w:eastAsia="zh-CN"/>
        </w:rPr>
        <w:t>4.82</w:t>
      </w:r>
      <w:r>
        <w:rPr>
          <w:rFonts w:hint="eastAsia" w:ascii="仿宋_GB2312" w:hAnsi="宋体" w:eastAsia="仿宋_GB2312" w:cs="Times New Roman"/>
          <w:color w:val="auto"/>
          <w:sz w:val="32"/>
          <w:szCs w:val="32"/>
          <w:highlight w:val="none"/>
          <w:lang w:val="zh-CN"/>
        </w:rPr>
        <w:t>万元，资金使用率</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rPr>
        <w:t>%。预算支出未发现无预算、超预算支出，资金使用安全、规范及有效，资金支付范围、支付标准、支付进度、支付依据等合规合法、与预算相符，未发现虚列支出、挤占、挪用、转移财政资金行为。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建立了基本健全的内部控制制度，内部控制管理运行有效。同时制定相关专项资金的财务管理制度，设置项目管理机构，会计核算及账务处理专账核算，专款专用。按照项目资金管理办法，项目执行了财务管理制度，财务处理及时，会计核算基本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numPr>
          <w:ilvl w:val="0"/>
          <w:numId w:val="0"/>
        </w:numPr>
        <w:spacing w:line="580" w:lineRule="exact"/>
        <w:ind w:firstLine="643" w:firstLineChars="200"/>
        <w:rPr>
          <w:rFonts w:hint="eastAsia" w:ascii="仿宋_GB2312" w:hAnsi="Times New Roman" w:eastAsia="仿宋_GB2312" w:cs="仿宋"/>
          <w:color w:val="000000"/>
          <w:kern w:val="0"/>
          <w:sz w:val="32"/>
          <w:szCs w:val="32"/>
          <w:lang w:val="zh-CN" w:eastAsia="zh-CN" w:bidi="ar-SA"/>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Times New Roman" w:eastAsia="仿宋_GB2312" w:cs="仿宋"/>
          <w:color w:val="000000"/>
          <w:kern w:val="0"/>
          <w:sz w:val="32"/>
          <w:szCs w:val="32"/>
          <w:lang w:val="zh-CN" w:eastAsia="zh-CN" w:bidi="ar-SA"/>
        </w:rPr>
        <w:t>项目组织实施按全年工作任务进行分类管理，专人负责。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zh-CN"/>
        </w:rPr>
        <w:t>结合本市实际，我单位严格执行相关法律法规及项目管理制度，通过项目实施，基本达到预期效果。</w:t>
      </w:r>
    </w:p>
    <w:p>
      <w:pPr>
        <w:spacing w:line="580" w:lineRule="exact"/>
        <w:ind w:firstLine="643" w:firstLineChars="20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Times New Roman" w:eastAsia="仿宋_GB2312" w:cs="仿宋"/>
          <w:color w:val="000000"/>
          <w:kern w:val="0"/>
          <w:sz w:val="32"/>
          <w:szCs w:val="32"/>
          <w:lang w:val="zh-CN" w:eastAsia="zh-CN" w:bidi="ar-SA"/>
        </w:rPr>
        <w:t>在工作中，相关科室对项目建设程序、实施进度、项目质量、资金使用及财务管理等进行全程监管，确保项目管理规范、按期保质保量完成年初绩效目标。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全年积极开展</w:t>
      </w:r>
      <w:r>
        <w:rPr>
          <w:rFonts w:hint="eastAsia" w:ascii="仿宋_GB2312" w:hAnsi="Times New Roman" w:eastAsia="仿宋_GB2312" w:cs="仿宋"/>
          <w:color w:val="000000"/>
          <w:kern w:val="0"/>
          <w:sz w:val="32"/>
          <w:szCs w:val="32"/>
          <w:lang w:val="zh-CN" w:eastAsia="zh-CN" w:bidi="ar-SA"/>
        </w:rPr>
        <w:t>劳动保障维权宣传</w:t>
      </w:r>
      <w:r>
        <w:rPr>
          <w:rFonts w:hint="eastAsia" w:ascii="仿宋_GB2312" w:eastAsia="仿宋_GB2312" w:cs="仿宋"/>
          <w:color w:val="000000"/>
          <w:kern w:val="0"/>
          <w:sz w:val="32"/>
          <w:szCs w:val="32"/>
          <w:lang w:val="zh-CN" w:eastAsia="zh-CN" w:bidi="ar-SA"/>
        </w:rPr>
        <w:t>工作</w:t>
      </w:r>
      <w:r>
        <w:rPr>
          <w:rFonts w:hint="eastAsia" w:ascii="仿宋_GB2312" w:eastAsia="仿宋_GB2312" w:cs="仿宋"/>
          <w:color w:val="000000"/>
          <w:kern w:val="0"/>
          <w:sz w:val="32"/>
          <w:szCs w:val="32"/>
          <w:lang w:val="en-US" w:eastAsia="zh-CN" w:bidi="ar-SA"/>
        </w:rPr>
        <w:t>，开展两次专项治理农民工工资投诉活动，保障农民工工资支付工作，推动监察投诉举报窗口标准化建设等。</w:t>
      </w:r>
      <w:r>
        <w:rPr>
          <w:rFonts w:hint="eastAsia" w:ascii="仿宋_GB2312" w:hAnsi="Times New Roman" w:eastAsia="仿宋_GB2312" w:cs="仿宋"/>
          <w:color w:val="000000"/>
          <w:kern w:val="0"/>
          <w:sz w:val="32"/>
          <w:szCs w:val="32"/>
          <w:lang w:val="zh-CN" w:eastAsia="zh-CN" w:bidi="ar-SA"/>
        </w:rPr>
        <w:t>通过项目实施，充分发挥劳动保障监察职能作用，切实维护劳动者合法权益，积极促进我市构建和谐稳定的劳动关系。</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580" w:lineRule="exact"/>
        <w:ind w:firstLine="640" w:firstLineChars="200"/>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w:t>
      </w:r>
      <w:r>
        <w:rPr>
          <w:rFonts w:hint="eastAsia" w:ascii="仿宋_GB2312" w:hAnsi="Times New Roman" w:eastAsia="仿宋_GB2312" w:cs="仿宋"/>
          <w:color w:val="000000"/>
          <w:kern w:val="0"/>
          <w:sz w:val="32"/>
          <w:szCs w:val="32"/>
          <w:lang w:val="zh-CN" w:eastAsia="zh-CN" w:bidi="ar-SA"/>
        </w:rPr>
        <w:t>项目完成指标。数量指标：劳动保障维权宣传资料印制</w:t>
      </w:r>
      <w:r>
        <w:rPr>
          <w:rFonts w:hint="eastAsia" w:ascii="仿宋_GB2312" w:hAnsi="Times New Roman" w:eastAsia="仿宋_GB2312" w:cs="仿宋"/>
          <w:color w:val="000000"/>
          <w:kern w:val="0"/>
          <w:sz w:val="32"/>
          <w:szCs w:val="32"/>
          <w:lang w:val="en-US" w:eastAsia="zh-CN" w:bidi="ar-SA"/>
        </w:rPr>
        <w:t>0.27万元，全年开展两次以上专项治理农民工工资投诉活动，开展劳动监察工作租车约21次。质量指标：开展两次治理拖欠农民工工资问题及举报投诉专项检查执法。时效指标：完成时间2021年1至8月（2021年8月市劳动保障监察支队不再保留，机构并入市人力资源社会保障局）</w:t>
      </w:r>
      <w:r>
        <w:rPr>
          <w:rFonts w:hint="eastAsia" w:ascii="仿宋_GB2312" w:eastAsia="仿宋_GB2312" w:cs="仿宋"/>
          <w:color w:val="000000"/>
          <w:kern w:val="0"/>
          <w:sz w:val="32"/>
          <w:szCs w:val="32"/>
          <w:lang w:val="en-US" w:eastAsia="zh-CN" w:bidi="ar-SA"/>
        </w:rPr>
        <w:t>。成本指标均按预期指标值顺利完成拨付。</w:t>
      </w:r>
    </w:p>
    <w:p>
      <w:pPr>
        <w:spacing w:line="580" w:lineRule="exact"/>
        <w:ind w:firstLine="640" w:firstLineChars="200"/>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2.</w:t>
      </w:r>
      <w:r>
        <w:rPr>
          <w:rFonts w:hint="eastAsia" w:ascii="仿宋_GB2312" w:hAnsi="Times New Roman" w:eastAsia="仿宋_GB2312" w:cs="仿宋"/>
          <w:color w:val="000000"/>
          <w:kern w:val="0"/>
          <w:sz w:val="32"/>
          <w:szCs w:val="32"/>
          <w:lang w:val="zh-CN" w:eastAsia="zh-CN" w:bidi="ar-SA"/>
        </w:rPr>
        <w:t>社会效益指标。农民工维权100%覆盖，切实保障农民工的合法权益，维护社会稳定，社会效益良好。</w:t>
      </w:r>
    </w:p>
    <w:p>
      <w:pPr>
        <w:spacing w:line="58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3.满意度指标。成员单位满意度达100%，服务对象对劳动保障监察工作的满意度达95%以上。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市劳动保障监察支队执法办案工作经费的使用紧紧围绕全市的劳动保障监察工作，加强劳动保障执法监察，构建农民工维权，充分发挥劳动保障监察职能作用。加强日常巡查、举报投诉专查和专项执法检查工作，对克扣、拖欠农民工工资的用人单位依法予以行政处理或处罚，对重大违法行为的依法向社会公布，加强对劳动保障监察执法能力建设，全面提高劳动维权方面群体性突发事件的应急处置能力及效率，及时发现和纠正劳动保障违法行为，维护劳动者合法权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cs="Times New Roman"/>
          <w:color w:val="auto"/>
          <w:sz w:val="32"/>
          <w:szCs w:val="32"/>
          <w:highlight w:val="none"/>
          <w:lang w:val="zh-CN"/>
        </w:rPr>
        <w:t>该项目在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效果。通过对该项目三级指标的分析考评，综合评价结果为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项目测算标准有待</w:t>
      </w:r>
      <w:r>
        <w:rPr>
          <w:rFonts w:hint="eastAsia" w:ascii="仿宋_GB2312" w:eastAsia="仿宋_GB2312"/>
          <w:sz w:val="32"/>
          <w:szCs w:val="32"/>
          <w:lang w:eastAsia="zh-CN"/>
        </w:rPr>
        <w:t>进一步</w:t>
      </w:r>
      <w:r>
        <w:rPr>
          <w:rFonts w:hint="eastAsia" w:ascii="仿宋_GB2312" w:eastAsia="仿宋_GB2312"/>
          <w:sz w:val="32"/>
          <w:szCs w:val="32"/>
        </w:rPr>
        <w:t>细化，测算准确率有待提高。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细化预算编制工作，提升预算准确度和执行进度。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p>
    <w:p>
      <w:pPr>
        <w:pStyle w:val="2"/>
        <w:rPr>
          <w:rFonts w:ascii="仿宋_GB2312" w:hAnsi="宋体" w:eastAsia="仿宋_GB2312" w:cs="Times New Roman"/>
          <w:color w:val="auto"/>
          <w:sz w:val="32"/>
          <w:szCs w:val="32"/>
          <w:highlight w:val="none"/>
          <w:lang w:val="zh-CN"/>
        </w:rPr>
      </w:pPr>
    </w:p>
    <w:p>
      <w:pPr>
        <w:rPr>
          <w:lang w:val="zh-CN"/>
        </w:rPr>
      </w:pP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pStyle w:val="6"/>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81" w:name="_Toc22408"/>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81"/>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3"/>
        <w:gridCol w:w="1163"/>
        <w:gridCol w:w="1762"/>
        <w:gridCol w:w="1707"/>
        <w:gridCol w:w="2006"/>
        <w:gridCol w:w="1786"/>
        <w:gridCol w:w="217"/>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82" w:name="_Toc15396618"/>
            <w:r>
              <w:rPr>
                <w:rFonts w:hint="eastAsia" w:ascii="方正小标宋简体" w:hAnsi="方正小标宋简体" w:eastAsia="方正小标宋简体" w:cs="方正小标宋简体"/>
                <w:b/>
                <w:i w:val="0"/>
                <w:color w:val="auto"/>
                <w:sz w:val="36"/>
                <w:szCs w:val="36"/>
                <w:highlight w:val="none"/>
                <w:u w:val="none"/>
                <w:lang w:val="en-US" w:eastAsia="zh-CN"/>
              </w:rPr>
              <w:t>2021年部门预算项目绩效目标自评表</w:t>
            </w:r>
          </w:p>
        </w:tc>
        <w:tc>
          <w:tcPr>
            <w:tcW w:w="234"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54" w:hRule="atLeast"/>
        </w:trPr>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广元市人力资源和社会保障局  （342）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广元市劳动保障监察支队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341" w:hRule="atLeast"/>
        </w:trPr>
        <w:tc>
          <w:tcPr>
            <w:tcW w:w="2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555" w:hRule="atLeast"/>
        </w:trPr>
        <w:tc>
          <w:tcPr>
            <w:tcW w:w="2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41" w:hRule="atLeast"/>
        </w:trPr>
        <w:tc>
          <w:tcPr>
            <w:tcW w:w="2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17"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年度总体目标完成情况</w:t>
            </w:r>
          </w:p>
        </w:tc>
        <w:tc>
          <w:tcPr>
            <w:tcW w:w="4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988"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到2021年，劳动保障监察依法行政能力有效提升，用人单位依法用工、劳动者依法维权的意识进一步提升；建设领域用工管理规范，“总包直发、建立和做实专户、按月足额实名实人发放农民工工资”以及“政府投资项目农民工工资无拖欠”等机制常态化运行，违反劳动保障法律、法规和规章的行为得到有效遏制，劳动保障监察举报投诉案件数量呈降低趋势，根治拖农民工工资问题得以基本解决，保障农民工工资支付工作持续走在全省前列，劳动关系总体和谐稳定。</w:t>
            </w:r>
          </w:p>
        </w:tc>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圆满完成各项工作任务。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93" w:hRule="atLeast"/>
        </w:trPr>
        <w:tc>
          <w:tcPr>
            <w:tcW w:w="115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15"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劳动保障维权宣传资料印制</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0.27万元</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415"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开展治理拖欠农民工工资问题及举报投诉专项检查执法</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全年预计开展两次以上专项治理农民工工资投诉活动</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开展两次专项治理农民工工资投诉活动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415"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开展劳动监察工作租车</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预计全年租车共计30次</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1-8月租车约21次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15"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工作进程</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开展治理拖欠农民工工资问题及举报投诉专项检查执法</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开展两次治理拖欠农民工工资问题及举报投诉专项检查执法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15"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完成时间</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2021年1至12月</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2021年1至8月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80"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印制宣传资料</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0.27万元</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80"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开展执法活动差旅费</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3.46万元</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3.46万元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480"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开展治理拖欠农民工工资问题及举报投诉专项检查执法运行费用</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0.77万元</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0.77万元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80"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7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开展劳动监察工作租车费用、监察投诉举报窗口标准化建设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0.32万元</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480" w:hRule="atLeast"/>
        </w:trPr>
        <w:tc>
          <w:tcPr>
            <w:tcW w:w="115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农民工维权100%覆盖</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 w:type="dxa"/>
          <w:trHeight w:val="530" w:hRule="atLeast"/>
        </w:trPr>
        <w:tc>
          <w:tcPr>
            <w:tcW w:w="115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17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满意度指标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4"/>
                <w:szCs w:val="24"/>
                <w:u w:val="none"/>
              </w:rPr>
            </w:pPr>
            <w:r>
              <w:rPr>
                <w:rFonts w:hint="eastAsia" w:ascii="宋体" w:hAnsi="宋体" w:eastAsia="宋体" w:cs="宋体"/>
                <w:sz w:val="24"/>
                <w:szCs w:val="24"/>
              </w:rPr>
              <w:t>成员单位满意度</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530" w:hRule="atLeast"/>
        </w:trPr>
        <w:tc>
          <w:tcPr>
            <w:tcW w:w="115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16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p>
        </w:tc>
        <w:tc>
          <w:tcPr>
            <w:tcW w:w="1762"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服务对象满意度</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83" w:name="_Toc7780"/>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8"/>
      <w:bookmarkEnd w:id="82"/>
      <w:bookmarkEnd w:id="83"/>
      <w:bookmarkStart w:id="84" w:name="_Toc15396619"/>
    </w:p>
    <w:p>
      <w:pPr>
        <w:pStyle w:val="4"/>
        <w:rPr>
          <w:rFonts w:ascii="仿宋" w:hAnsi="仿宋" w:eastAsia="仿宋"/>
          <w:color w:val="auto"/>
          <w:highlight w:val="none"/>
        </w:rPr>
      </w:pPr>
      <w:bookmarkStart w:id="85" w:name="_Toc12882"/>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84"/>
      <w:bookmarkEnd w:id="85"/>
    </w:p>
    <w:p>
      <w:pPr>
        <w:pStyle w:val="4"/>
        <w:rPr>
          <w:rFonts w:ascii="仿宋" w:hAnsi="仿宋" w:eastAsia="仿宋"/>
          <w:color w:val="auto"/>
          <w:highlight w:val="none"/>
        </w:rPr>
      </w:pPr>
      <w:bookmarkStart w:id="86" w:name="_Toc15396620"/>
      <w:bookmarkStart w:id="87" w:name="_Toc29041"/>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86"/>
      <w:bookmarkEnd w:id="87"/>
    </w:p>
    <w:p>
      <w:pPr>
        <w:pStyle w:val="4"/>
        <w:rPr>
          <w:rFonts w:ascii="仿宋" w:hAnsi="仿宋" w:eastAsia="仿宋"/>
          <w:color w:val="auto"/>
          <w:highlight w:val="none"/>
        </w:rPr>
      </w:pPr>
      <w:bookmarkStart w:id="88" w:name="_Toc15396621"/>
      <w:bookmarkStart w:id="89" w:name="_Toc261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88"/>
      <w:bookmarkEnd w:id="89"/>
    </w:p>
    <w:p>
      <w:pPr>
        <w:pStyle w:val="4"/>
        <w:rPr>
          <w:rFonts w:ascii="仿宋" w:hAnsi="仿宋" w:eastAsia="仿宋"/>
          <w:b w:val="0"/>
          <w:color w:val="auto"/>
          <w:highlight w:val="none"/>
        </w:rPr>
      </w:pPr>
      <w:bookmarkStart w:id="90" w:name="_Toc15396622"/>
      <w:bookmarkStart w:id="91" w:name="_Toc19026"/>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90"/>
      <w:bookmarkEnd w:id="91"/>
    </w:p>
    <w:p>
      <w:pPr>
        <w:pStyle w:val="4"/>
        <w:rPr>
          <w:rStyle w:val="26"/>
          <w:rFonts w:ascii="仿宋" w:hAnsi="仿宋" w:eastAsia="仿宋"/>
          <w:b w:val="0"/>
          <w:bCs w:val="0"/>
          <w:color w:val="auto"/>
          <w:highlight w:val="none"/>
        </w:rPr>
      </w:pPr>
      <w:bookmarkStart w:id="92" w:name="_Toc15396623"/>
      <w:bookmarkStart w:id="93" w:name="_Toc3959"/>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92"/>
      <w:bookmarkEnd w:id="93"/>
      <w:bookmarkStart w:id="94" w:name="_Toc15396624"/>
    </w:p>
    <w:p>
      <w:pPr>
        <w:pStyle w:val="4"/>
        <w:rPr>
          <w:rFonts w:ascii="仿宋" w:hAnsi="仿宋" w:eastAsia="仿宋"/>
          <w:color w:val="auto"/>
          <w:highlight w:val="none"/>
        </w:rPr>
      </w:pPr>
      <w:bookmarkStart w:id="95" w:name="_Toc380"/>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94"/>
      <w:bookmarkEnd w:id="95"/>
    </w:p>
    <w:p>
      <w:pPr>
        <w:pStyle w:val="4"/>
        <w:rPr>
          <w:rFonts w:ascii="仿宋" w:hAnsi="仿宋" w:eastAsia="仿宋"/>
          <w:color w:val="auto"/>
          <w:highlight w:val="none"/>
        </w:rPr>
      </w:pPr>
      <w:bookmarkStart w:id="96" w:name="_Toc24772"/>
      <w:bookmarkStart w:id="97"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96"/>
      <w:bookmarkEnd w:id="97"/>
    </w:p>
    <w:p>
      <w:pPr>
        <w:pStyle w:val="4"/>
        <w:rPr>
          <w:rFonts w:ascii="仿宋" w:hAnsi="仿宋" w:eastAsia="仿宋"/>
          <w:color w:val="auto"/>
          <w:highlight w:val="none"/>
        </w:rPr>
      </w:pPr>
      <w:bookmarkStart w:id="98" w:name="_Toc15396626"/>
      <w:bookmarkStart w:id="99" w:name="_Toc30163"/>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98"/>
      <w:bookmarkEnd w:id="99"/>
    </w:p>
    <w:p>
      <w:pPr>
        <w:pStyle w:val="4"/>
        <w:rPr>
          <w:rFonts w:ascii="仿宋" w:hAnsi="仿宋" w:eastAsia="仿宋"/>
          <w:color w:val="auto"/>
          <w:highlight w:val="none"/>
        </w:rPr>
      </w:pPr>
      <w:bookmarkStart w:id="100" w:name="_Toc15396627"/>
      <w:bookmarkStart w:id="101" w:name="_Toc25888"/>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00"/>
      <w:bookmarkEnd w:id="101"/>
    </w:p>
    <w:p>
      <w:pPr>
        <w:pStyle w:val="4"/>
        <w:rPr>
          <w:rFonts w:ascii="仿宋" w:hAnsi="仿宋" w:eastAsia="仿宋"/>
          <w:color w:val="auto"/>
          <w:highlight w:val="none"/>
        </w:rPr>
      </w:pPr>
      <w:bookmarkStart w:id="102" w:name="_Toc30272"/>
      <w:bookmarkStart w:id="10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102"/>
      <w:bookmarkEnd w:id="103"/>
    </w:p>
    <w:p>
      <w:pPr>
        <w:pStyle w:val="4"/>
        <w:rPr>
          <w:rFonts w:ascii="仿宋" w:hAnsi="仿宋" w:eastAsia="仿宋"/>
          <w:color w:val="auto"/>
          <w:highlight w:val="none"/>
        </w:rPr>
      </w:pPr>
      <w:bookmarkStart w:id="104" w:name="_Toc9847"/>
      <w:bookmarkStart w:id="105"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04"/>
      <w:bookmarkEnd w:id="105"/>
    </w:p>
    <w:p>
      <w:pPr>
        <w:pStyle w:val="4"/>
        <w:rPr>
          <w:rFonts w:ascii="仿宋" w:hAnsi="仿宋" w:eastAsia="仿宋"/>
          <w:color w:val="auto"/>
          <w:highlight w:val="none"/>
        </w:rPr>
      </w:pPr>
      <w:bookmarkStart w:id="106" w:name="_Toc15396630"/>
      <w:bookmarkStart w:id="107" w:name="_Toc10495"/>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106"/>
      <w:bookmarkEnd w:id="107"/>
    </w:p>
    <w:p>
      <w:pPr>
        <w:pStyle w:val="4"/>
        <w:rPr>
          <w:rStyle w:val="26"/>
          <w:rFonts w:hint="eastAsia" w:ascii="仿宋" w:hAnsi="仿宋" w:eastAsia="仿宋"/>
          <w:b w:val="0"/>
          <w:bCs w:val="0"/>
          <w:color w:val="auto"/>
          <w:highlight w:val="none"/>
        </w:rPr>
      </w:pPr>
      <w:bookmarkStart w:id="108" w:name="_Toc15396631"/>
      <w:bookmarkStart w:id="109" w:name="_Toc28178"/>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08"/>
      <w:bookmarkEnd w:id="109"/>
    </w:p>
    <w:p>
      <w:pPr>
        <w:rPr>
          <w:rFonts w:hint="eastAsia" w:eastAsia="仿宋"/>
          <w:color w:val="auto"/>
          <w:highlight w:val="none"/>
          <w:lang w:eastAsia="zh-CN"/>
        </w:rPr>
      </w:pPr>
      <w:bookmarkStart w:id="110" w:name="_Toc26180"/>
      <w:r>
        <w:rPr>
          <w:rStyle w:val="26"/>
          <w:rFonts w:hint="eastAsia" w:ascii="仿宋" w:hAnsi="仿宋" w:eastAsia="仿宋"/>
          <w:b w:val="0"/>
          <w:bCs w:val="0"/>
          <w:color w:val="auto"/>
          <w:highlight w:val="none"/>
          <w:lang w:eastAsia="zh-CN"/>
        </w:rPr>
        <w:t>十四、国有资本经营预算财政拨款支出决算表</w:t>
      </w:r>
      <w:bookmarkEnd w:id="110"/>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CEA4EF2"/>
    <w:multiLevelType w:val="singleLevel"/>
    <w:tmpl w:val="1CEA4EF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ODE3Y2RjYmYxOTA5MjMwNGM5NjQ4OTIyZjY2Z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5351"/>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5131"/>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2474"/>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043AA"/>
    <w:rsid w:val="01891B53"/>
    <w:rsid w:val="018A79CF"/>
    <w:rsid w:val="01A06E9D"/>
    <w:rsid w:val="01CF1E11"/>
    <w:rsid w:val="02477318"/>
    <w:rsid w:val="02924A37"/>
    <w:rsid w:val="02AE7397"/>
    <w:rsid w:val="03237D85"/>
    <w:rsid w:val="033F6241"/>
    <w:rsid w:val="03563CB7"/>
    <w:rsid w:val="04387860"/>
    <w:rsid w:val="050B287F"/>
    <w:rsid w:val="051F457C"/>
    <w:rsid w:val="06147E59"/>
    <w:rsid w:val="064249C6"/>
    <w:rsid w:val="06D118A6"/>
    <w:rsid w:val="077E37DC"/>
    <w:rsid w:val="078B7CA7"/>
    <w:rsid w:val="07911761"/>
    <w:rsid w:val="07C84A57"/>
    <w:rsid w:val="089E3A0A"/>
    <w:rsid w:val="089F1C5C"/>
    <w:rsid w:val="09120680"/>
    <w:rsid w:val="09D9119E"/>
    <w:rsid w:val="09F9539C"/>
    <w:rsid w:val="0A0A189F"/>
    <w:rsid w:val="0A2032A3"/>
    <w:rsid w:val="0A2F5262"/>
    <w:rsid w:val="0A856C30"/>
    <w:rsid w:val="0AC459AA"/>
    <w:rsid w:val="0B8A37D8"/>
    <w:rsid w:val="0BA37CB5"/>
    <w:rsid w:val="0C2A7A8F"/>
    <w:rsid w:val="0C540FAF"/>
    <w:rsid w:val="0C594818"/>
    <w:rsid w:val="0CA75583"/>
    <w:rsid w:val="0D847672"/>
    <w:rsid w:val="0D8D4779"/>
    <w:rsid w:val="0E8042DE"/>
    <w:rsid w:val="0EB421D9"/>
    <w:rsid w:val="0F492922"/>
    <w:rsid w:val="0F6459AD"/>
    <w:rsid w:val="0FB73D2F"/>
    <w:rsid w:val="10284C2D"/>
    <w:rsid w:val="104355C3"/>
    <w:rsid w:val="105E41AB"/>
    <w:rsid w:val="106612B1"/>
    <w:rsid w:val="10B244F7"/>
    <w:rsid w:val="10C055FF"/>
    <w:rsid w:val="10C06C14"/>
    <w:rsid w:val="10CF3F1B"/>
    <w:rsid w:val="10F44B0F"/>
    <w:rsid w:val="11286567"/>
    <w:rsid w:val="118107EC"/>
    <w:rsid w:val="11901201"/>
    <w:rsid w:val="11B524F0"/>
    <w:rsid w:val="11DD6519"/>
    <w:rsid w:val="120668A8"/>
    <w:rsid w:val="120D40DA"/>
    <w:rsid w:val="12192A7F"/>
    <w:rsid w:val="12961F72"/>
    <w:rsid w:val="129B16E6"/>
    <w:rsid w:val="13064DC7"/>
    <w:rsid w:val="13623FB2"/>
    <w:rsid w:val="136E0BA9"/>
    <w:rsid w:val="13712447"/>
    <w:rsid w:val="13A520F1"/>
    <w:rsid w:val="13D76B59"/>
    <w:rsid w:val="13E470BD"/>
    <w:rsid w:val="1441006B"/>
    <w:rsid w:val="149E54BE"/>
    <w:rsid w:val="14AA3E63"/>
    <w:rsid w:val="153C6A85"/>
    <w:rsid w:val="16460C5B"/>
    <w:rsid w:val="16481B85"/>
    <w:rsid w:val="1665785E"/>
    <w:rsid w:val="16704C38"/>
    <w:rsid w:val="168C1346"/>
    <w:rsid w:val="16A843D2"/>
    <w:rsid w:val="16BB723D"/>
    <w:rsid w:val="16CB2FD9"/>
    <w:rsid w:val="16F5338F"/>
    <w:rsid w:val="170830C2"/>
    <w:rsid w:val="17641D15"/>
    <w:rsid w:val="17E92EF4"/>
    <w:rsid w:val="18015F3F"/>
    <w:rsid w:val="19263CD4"/>
    <w:rsid w:val="19483C4A"/>
    <w:rsid w:val="196842EC"/>
    <w:rsid w:val="19BB441C"/>
    <w:rsid w:val="19C10B67"/>
    <w:rsid w:val="1A7647E7"/>
    <w:rsid w:val="1A8C6258"/>
    <w:rsid w:val="1AF04599"/>
    <w:rsid w:val="1B3B1CB8"/>
    <w:rsid w:val="1BA535D6"/>
    <w:rsid w:val="1BD01CD5"/>
    <w:rsid w:val="1BD619E1"/>
    <w:rsid w:val="1BE8440E"/>
    <w:rsid w:val="1C1F5136"/>
    <w:rsid w:val="1C346708"/>
    <w:rsid w:val="1CA90EA4"/>
    <w:rsid w:val="1D155CEE"/>
    <w:rsid w:val="1D1C5D2B"/>
    <w:rsid w:val="1D3E7579"/>
    <w:rsid w:val="1E650DFA"/>
    <w:rsid w:val="1E935967"/>
    <w:rsid w:val="1F501AAA"/>
    <w:rsid w:val="1FE02E2E"/>
    <w:rsid w:val="1FF95C9E"/>
    <w:rsid w:val="200F7274"/>
    <w:rsid w:val="201B3E66"/>
    <w:rsid w:val="204F3B10"/>
    <w:rsid w:val="208E288A"/>
    <w:rsid w:val="20AF45AF"/>
    <w:rsid w:val="20D81D57"/>
    <w:rsid w:val="20F57F95"/>
    <w:rsid w:val="20FD356C"/>
    <w:rsid w:val="217D46AD"/>
    <w:rsid w:val="21D00C81"/>
    <w:rsid w:val="220646A2"/>
    <w:rsid w:val="22151E2F"/>
    <w:rsid w:val="221768AF"/>
    <w:rsid w:val="22482F0D"/>
    <w:rsid w:val="22737F8A"/>
    <w:rsid w:val="228C4BA7"/>
    <w:rsid w:val="22AF6AE8"/>
    <w:rsid w:val="23007343"/>
    <w:rsid w:val="23706277"/>
    <w:rsid w:val="23711FEF"/>
    <w:rsid w:val="23A203FB"/>
    <w:rsid w:val="240371BF"/>
    <w:rsid w:val="240F5A90"/>
    <w:rsid w:val="24577437"/>
    <w:rsid w:val="255B2F57"/>
    <w:rsid w:val="257F6C45"/>
    <w:rsid w:val="258129BE"/>
    <w:rsid w:val="259D70CC"/>
    <w:rsid w:val="25A246E2"/>
    <w:rsid w:val="25C741E6"/>
    <w:rsid w:val="25CD5C03"/>
    <w:rsid w:val="262275D1"/>
    <w:rsid w:val="269229A8"/>
    <w:rsid w:val="270D0281"/>
    <w:rsid w:val="27547C5E"/>
    <w:rsid w:val="27842671"/>
    <w:rsid w:val="284101E2"/>
    <w:rsid w:val="28D04587"/>
    <w:rsid w:val="28E1022D"/>
    <w:rsid w:val="291D0C4F"/>
    <w:rsid w:val="29FD04D3"/>
    <w:rsid w:val="2A842608"/>
    <w:rsid w:val="2AAE2B7D"/>
    <w:rsid w:val="2ABE7A3E"/>
    <w:rsid w:val="2ACF7D27"/>
    <w:rsid w:val="2B006133"/>
    <w:rsid w:val="2B114234"/>
    <w:rsid w:val="2BE45A54"/>
    <w:rsid w:val="2C4464F3"/>
    <w:rsid w:val="2CB84A17"/>
    <w:rsid w:val="2DB41456"/>
    <w:rsid w:val="2DF61A6F"/>
    <w:rsid w:val="2E530AF8"/>
    <w:rsid w:val="2E552C39"/>
    <w:rsid w:val="2E5642BC"/>
    <w:rsid w:val="2EB3170E"/>
    <w:rsid w:val="2EFA178C"/>
    <w:rsid w:val="2F123F97"/>
    <w:rsid w:val="2F927575"/>
    <w:rsid w:val="3025488D"/>
    <w:rsid w:val="30B46D73"/>
    <w:rsid w:val="30BF083E"/>
    <w:rsid w:val="30C220DC"/>
    <w:rsid w:val="30C23E8A"/>
    <w:rsid w:val="30CC6AB7"/>
    <w:rsid w:val="30FE1366"/>
    <w:rsid w:val="319F7F4E"/>
    <w:rsid w:val="31A11CF2"/>
    <w:rsid w:val="32024E86"/>
    <w:rsid w:val="32340DB8"/>
    <w:rsid w:val="32D31CC3"/>
    <w:rsid w:val="32DF445D"/>
    <w:rsid w:val="33482D6D"/>
    <w:rsid w:val="335C05EB"/>
    <w:rsid w:val="33945FB2"/>
    <w:rsid w:val="33F61FF6"/>
    <w:rsid w:val="34677222"/>
    <w:rsid w:val="34D67F04"/>
    <w:rsid w:val="34DB19BE"/>
    <w:rsid w:val="350C3926"/>
    <w:rsid w:val="35123632"/>
    <w:rsid w:val="35284C04"/>
    <w:rsid w:val="362A49AB"/>
    <w:rsid w:val="36341386"/>
    <w:rsid w:val="36914A2B"/>
    <w:rsid w:val="36A007CA"/>
    <w:rsid w:val="370E607B"/>
    <w:rsid w:val="376B6F29"/>
    <w:rsid w:val="37955E55"/>
    <w:rsid w:val="379D2F5B"/>
    <w:rsid w:val="37BA1D5F"/>
    <w:rsid w:val="381C20D2"/>
    <w:rsid w:val="38E54BBA"/>
    <w:rsid w:val="39405540"/>
    <w:rsid w:val="396B3311"/>
    <w:rsid w:val="397877DC"/>
    <w:rsid w:val="39AE70AB"/>
    <w:rsid w:val="39C42A21"/>
    <w:rsid w:val="3A013C75"/>
    <w:rsid w:val="3A995C5C"/>
    <w:rsid w:val="3AA0523C"/>
    <w:rsid w:val="3B8763FC"/>
    <w:rsid w:val="3B96663F"/>
    <w:rsid w:val="3BAE5737"/>
    <w:rsid w:val="3BB80364"/>
    <w:rsid w:val="3BD46B5A"/>
    <w:rsid w:val="3C0C0783"/>
    <w:rsid w:val="3D4F2F4A"/>
    <w:rsid w:val="3D915310"/>
    <w:rsid w:val="3DAE1A1E"/>
    <w:rsid w:val="3E045AE2"/>
    <w:rsid w:val="3E1503E1"/>
    <w:rsid w:val="3E1A70B4"/>
    <w:rsid w:val="3E3D2DA2"/>
    <w:rsid w:val="3EF75647"/>
    <w:rsid w:val="3F795B0E"/>
    <w:rsid w:val="3F8778D8"/>
    <w:rsid w:val="3F9F3A96"/>
    <w:rsid w:val="3FB157F6"/>
    <w:rsid w:val="3FCE0156"/>
    <w:rsid w:val="3FD339BE"/>
    <w:rsid w:val="40134666"/>
    <w:rsid w:val="40350D30"/>
    <w:rsid w:val="40491ED2"/>
    <w:rsid w:val="404E74E8"/>
    <w:rsid w:val="4062422E"/>
    <w:rsid w:val="40955117"/>
    <w:rsid w:val="40BC2A4F"/>
    <w:rsid w:val="40CB6D8B"/>
    <w:rsid w:val="40D21EC7"/>
    <w:rsid w:val="41636FC4"/>
    <w:rsid w:val="419378A9"/>
    <w:rsid w:val="420E6F2F"/>
    <w:rsid w:val="42562684"/>
    <w:rsid w:val="42E61C5A"/>
    <w:rsid w:val="439C056B"/>
    <w:rsid w:val="44134CD1"/>
    <w:rsid w:val="44250560"/>
    <w:rsid w:val="44450C02"/>
    <w:rsid w:val="44B10046"/>
    <w:rsid w:val="44CD4E80"/>
    <w:rsid w:val="44DA759D"/>
    <w:rsid w:val="45427F08"/>
    <w:rsid w:val="454B2248"/>
    <w:rsid w:val="456926CF"/>
    <w:rsid w:val="45765517"/>
    <w:rsid w:val="45877724"/>
    <w:rsid w:val="459B31D0"/>
    <w:rsid w:val="46072613"/>
    <w:rsid w:val="465D66D7"/>
    <w:rsid w:val="466E4440"/>
    <w:rsid w:val="46AC31BB"/>
    <w:rsid w:val="46BD2CD2"/>
    <w:rsid w:val="46C027C2"/>
    <w:rsid w:val="47134FE8"/>
    <w:rsid w:val="471F1BDF"/>
    <w:rsid w:val="477C493B"/>
    <w:rsid w:val="479F09BE"/>
    <w:rsid w:val="48166B3E"/>
    <w:rsid w:val="48967C7F"/>
    <w:rsid w:val="48AE321A"/>
    <w:rsid w:val="48FF75D2"/>
    <w:rsid w:val="4900334A"/>
    <w:rsid w:val="49301E81"/>
    <w:rsid w:val="493C27E9"/>
    <w:rsid w:val="4968161B"/>
    <w:rsid w:val="496F39ED"/>
    <w:rsid w:val="498D1081"/>
    <w:rsid w:val="49F41101"/>
    <w:rsid w:val="49FF41D3"/>
    <w:rsid w:val="4A185DC8"/>
    <w:rsid w:val="4A253068"/>
    <w:rsid w:val="4A4A2ACF"/>
    <w:rsid w:val="4A5360C6"/>
    <w:rsid w:val="4B157243"/>
    <w:rsid w:val="4BC30D8B"/>
    <w:rsid w:val="4BE068DB"/>
    <w:rsid w:val="4BF6002B"/>
    <w:rsid w:val="4C3C28EB"/>
    <w:rsid w:val="4C744CC4"/>
    <w:rsid w:val="4CA706AC"/>
    <w:rsid w:val="4D2E492A"/>
    <w:rsid w:val="4D467EC5"/>
    <w:rsid w:val="4DAB1AD6"/>
    <w:rsid w:val="4E372CEF"/>
    <w:rsid w:val="4E5E2FEC"/>
    <w:rsid w:val="4E6A1991"/>
    <w:rsid w:val="4EBD41B7"/>
    <w:rsid w:val="4ECE2238"/>
    <w:rsid w:val="4F4A3571"/>
    <w:rsid w:val="4FB82BD0"/>
    <w:rsid w:val="4FD277EE"/>
    <w:rsid w:val="4FD35314"/>
    <w:rsid w:val="4FDF7053"/>
    <w:rsid w:val="4FE90FDC"/>
    <w:rsid w:val="50016325"/>
    <w:rsid w:val="507F724A"/>
    <w:rsid w:val="50C07F8E"/>
    <w:rsid w:val="51516E38"/>
    <w:rsid w:val="51597A9B"/>
    <w:rsid w:val="518D7071"/>
    <w:rsid w:val="51CC4711"/>
    <w:rsid w:val="51D04201"/>
    <w:rsid w:val="51DB4B86"/>
    <w:rsid w:val="52271947"/>
    <w:rsid w:val="523E73BD"/>
    <w:rsid w:val="52F777D3"/>
    <w:rsid w:val="53034162"/>
    <w:rsid w:val="53226CDE"/>
    <w:rsid w:val="539B6326"/>
    <w:rsid w:val="53BF0089"/>
    <w:rsid w:val="5463310B"/>
    <w:rsid w:val="54A51975"/>
    <w:rsid w:val="55333C3E"/>
    <w:rsid w:val="55A416BE"/>
    <w:rsid w:val="55B31E70"/>
    <w:rsid w:val="55D87B28"/>
    <w:rsid w:val="55F83D27"/>
    <w:rsid w:val="564231F4"/>
    <w:rsid w:val="565C2507"/>
    <w:rsid w:val="566D0271"/>
    <w:rsid w:val="56B440F1"/>
    <w:rsid w:val="57460AC2"/>
    <w:rsid w:val="576378C6"/>
    <w:rsid w:val="579D4B86"/>
    <w:rsid w:val="57A35F14"/>
    <w:rsid w:val="5842572D"/>
    <w:rsid w:val="58443253"/>
    <w:rsid w:val="58733B38"/>
    <w:rsid w:val="588673C8"/>
    <w:rsid w:val="58913FBE"/>
    <w:rsid w:val="58DE5456"/>
    <w:rsid w:val="58EE31BF"/>
    <w:rsid w:val="58F06F37"/>
    <w:rsid w:val="590429E2"/>
    <w:rsid w:val="59044790"/>
    <w:rsid w:val="5947124D"/>
    <w:rsid w:val="5A4237C2"/>
    <w:rsid w:val="5A89377C"/>
    <w:rsid w:val="5B5C08B4"/>
    <w:rsid w:val="5BA109BC"/>
    <w:rsid w:val="5BE70AC5"/>
    <w:rsid w:val="5C400335"/>
    <w:rsid w:val="5C4A2E02"/>
    <w:rsid w:val="5CC93D27"/>
    <w:rsid w:val="5CCC562C"/>
    <w:rsid w:val="5D30024A"/>
    <w:rsid w:val="5D777C27"/>
    <w:rsid w:val="5DA14CA4"/>
    <w:rsid w:val="5E257683"/>
    <w:rsid w:val="5EAC3900"/>
    <w:rsid w:val="5EE04DB6"/>
    <w:rsid w:val="5EF86B45"/>
    <w:rsid w:val="60172FFB"/>
    <w:rsid w:val="60196D73"/>
    <w:rsid w:val="602045A6"/>
    <w:rsid w:val="60885312"/>
    <w:rsid w:val="60E455D3"/>
    <w:rsid w:val="60E92BEA"/>
    <w:rsid w:val="611D6D37"/>
    <w:rsid w:val="614B7400"/>
    <w:rsid w:val="617A1A94"/>
    <w:rsid w:val="61897F29"/>
    <w:rsid w:val="628E4628"/>
    <w:rsid w:val="629B6165"/>
    <w:rsid w:val="633B16F7"/>
    <w:rsid w:val="639F57E1"/>
    <w:rsid w:val="63CF256B"/>
    <w:rsid w:val="648669A1"/>
    <w:rsid w:val="64B452BD"/>
    <w:rsid w:val="64B96D77"/>
    <w:rsid w:val="64C27FCD"/>
    <w:rsid w:val="64C80D68"/>
    <w:rsid w:val="64CA39A1"/>
    <w:rsid w:val="64D92F75"/>
    <w:rsid w:val="65052EF2"/>
    <w:rsid w:val="651B533C"/>
    <w:rsid w:val="652A1A23"/>
    <w:rsid w:val="6546685C"/>
    <w:rsid w:val="65854203"/>
    <w:rsid w:val="663568D1"/>
    <w:rsid w:val="66976C44"/>
    <w:rsid w:val="66BA2932"/>
    <w:rsid w:val="66D103A8"/>
    <w:rsid w:val="66F41291"/>
    <w:rsid w:val="66FC2F4B"/>
    <w:rsid w:val="674F5770"/>
    <w:rsid w:val="67917B37"/>
    <w:rsid w:val="68071BA7"/>
    <w:rsid w:val="681744E0"/>
    <w:rsid w:val="68646FFA"/>
    <w:rsid w:val="68922C4A"/>
    <w:rsid w:val="68EC23C5"/>
    <w:rsid w:val="690A5DF3"/>
    <w:rsid w:val="691B0000"/>
    <w:rsid w:val="69366BE8"/>
    <w:rsid w:val="697274F4"/>
    <w:rsid w:val="69831701"/>
    <w:rsid w:val="6A2829D5"/>
    <w:rsid w:val="6B5C6511"/>
    <w:rsid w:val="6B7834E8"/>
    <w:rsid w:val="6B8F438D"/>
    <w:rsid w:val="6BAA7419"/>
    <w:rsid w:val="6BEC7A32"/>
    <w:rsid w:val="6BF1329A"/>
    <w:rsid w:val="6C3A254B"/>
    <w:rsid w:val="6C4A05C8"/>
    <w:rsid w:val="6CE60925"/>
    <w:rsid w:val="6D1B05CF"/>
    <w:rsid w:val="6D65184A"/>
    <w:rsid w:val="6D741A8D"/>
    <w:rsid w:val="6DBE0F5A"/>
    <w:rsid w:val="6DEC7532"/>
    <w:rsid w:val="6DEF3809"/>
    <w:rsid w:val="6E895A0C"/>
    <w:rsid w:val="6EC30F1E"/>
    <w:rsid w:val="6F094457"/>
    <w:rsid w:val="6F213E96"/>
    <w:rsid w:val="6F4A6F49"/>
    <w:rsid w:val="6F571666"/>
    <w:rsid w:val="6FA0300D"/>
    <w:rsid w:val="6FE078AE"/>
    <w:rsid w:val="7003534A"/>
    <w:rsid w:val="70283F3D"/>
    <w:rsid w:val="70763D6E"/>
    <w:rsid w:val="712612F0"/>
    <w:rsid w:val="719E357C"/>
    <w:rsid w:val="71B608C6"/>
    <w:rsid w:val="72734D90"/>
    <w:rsid w:val="727B233D"/>
    <w:rsid w:val="727D7636"/>
    <w:rsid w:val="72874010"/>
    <w:rsid w:val="729A3D44"/>
    <w:rsid w:val="729F57FE"/>
    <w:rsid w:val="72E72D01"/>
    <w:rsid w:val="7329331A"/>
    <w:rsid w:val="734F0FD2"/>
    <w:rsid w:val="74736F42"/>
    <w:rsid w:val="74CD402D"/>
    <w:rsid w:val="754C32EF"/>
    <w:rsid w:val="75556648"/>
    <w:rsid w:val="75AD0BD6"/>
    <w:rsid w:val="75E023B5"/>
    <w:rsid w:val="760140DA"/>
    <w:rsid w:val="76805946"/>
    <w:rsid w:val="76D417EE"/>
    <w:rsid w:val="77BE6726"/>
    <w:rsid w:val="783A32E4"/>
    <w:rsid w:val="78526E6F"/>
    <w:rsid w:val="78C53AE4"/>
    <w:rsid w:val="78E35D19"/>
    <w:rsid w:val="79183C14"/>
    <w:rsid w:val="79775B0D"/>
    <w:rsid w:val="79E7B28D"/>
    <w:rsid w:val="7A594BDC"/>
    <w:rsid w:val="7C775BAB"/>
    <w:rsid w:val="7CE56AB5"/>
    <w:rsid w:val="7CE75426"/>
    <w:rsid w:val="7D9046C1"/>
    <w:rsid w:val="7EDC56E4"/>
    <w:rsid w:val="7F2C666B"/>
    <w:rsid w:val="7F9F20EE"/>
    <w:rsid w:val="7FB1091F"/>
    <w:rsid w:val="7FF133CD"/>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szCs w:val="24"/>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1&#24180;&#25903;&#38431;&#20915;&#31639;&#35828;&#26126;-&#22270;&#34920;&#21046;&#2031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1&#24180;&#25903;&#38431;&#20915;&#31639;&#35828;&#26126;-&#22270;&#34920;&#21046;&#20316;.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4180;&#25903;&#38431;&#20915;&#31639;&#35828;&#26126;-&#22270;&#34920;&#21046;&#20316;.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1&#24180;&#25903;&#38431;&#20915;&#31639;&#35828;&#26126;-&#22270;&#34920;&#21046;&#20316;.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1&#24180;&#25903;&#38431;&#20915;&#31639;&#35828;&#26126;-&#22270;&#34920;&#21046;&#20316;.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4180;&#25903;&#38431;&#20915;&#31639;&#35828;&#26126;-&#22270;&#34920;&#21046;&#2031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1&#24180;&#25903;&#38431;&#20915;&#31639;&#35828;&#26126;-&#22270;&#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800"/>
              <a:t>单位：万元</a:t>
            </a:r>
            <a:endParaRPr sz="800"/>
          </a:p>
        </c:rich>
      </c:tx>
      <c:layout>
        <c:manualLayout>
          <c:xMode val="edge"/>
          <c:yMode val="edge"/>
          <c:x val="0.840833333333333"/>
          <c:y val="0.07291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(3)'!$A$2:$A$3</c:f>
              <c:strCache>
                <c:ptCount val="2"/>
                <c:pt idx="0">
                  <c:v>2020年</c:v>
                </c:pt>
                <c:pt idx="1">
                  <c:v>2021年</c:v>
                </c:pt>
              </c:strCache>
            </c:strRef>
          </c:cat>
          <c:val>
            <c:numRef>
              <c:f>'[2021年支队决算说明-图表制作.xlsx]Sheet1 (3)'!$B$2:$B$3</c:f>
              <c:numCache>
                <c:formatCode>General</c:formatCode>
                <c:ptCount val="2"/>
                <c:pt idx="0">
                  <c:v>113.36</c:v>
                </c:pt>
                <c:pt idx="1">
                  <c:v>64.46</c:v>
                </c:pt>
              </c:numCache>
            </c:numRef>
          </c:val>
        </c:ser>
        <c:dLbls>
          <c:showLegendKey val="0"/>
          <c:showVal val="1"/>
          <c:showCatName val="0"/>
          <c:showSerName val="0"/>
          <c:showPercent val="0"/>
          <c:showBubbleSize val="0"/>
        </c:dLbls>
        <c:gapWidth val="219"/>
        <c:overlap val="-27"/>
        <c:axId val="878814669"/>
        <c:axId val="744855551"/>
      </c:barChart>
      <c:catAx>
        <c:axId val="8788146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855551"/>
        <c:crosses val="autoZero"/>
        <c:auto val="1"/>
        <c:lblAlgn val="ctr"/>
        <c:lblOffset val="100"/>
        <c:noMultiLvlLbl val="0"/>
      </c:catAx>
      <c:valAx>
        <c:axId val="74485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814669"/>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785624913109968"/>
          <c:y val="0.079310344827586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(7)'!$A$2</c:f>
              <c:strCache>
                <c:ptCount val="1"/>
                <c:pt idx="0">
                  <c:v>一般公共预算财政拨款收入</c:v>
                </c:pt>
              </c:strCache>
            </c:strRef>
          </c:cat>
          <c:val>
            <c:numRef>
              <c:f>'[2021年支队决算说明-图表制作.xlsx]Sheet1 (7)'!$B$2</c:f>
              <c:numCache>
                <c:formatCode>General</c:formatCode>
                <c:ptCount val="1"/>
                <c:pt idx="0">
                  <c:v>60.56</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678333333333333"/>
          <c:y val="0.0937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(8)'!$A$2:$A$3</c:f>
              <c:strCache>
                <c:ptCount val="2"/>
                <c:pt idx="0">
                  <c:v>基本支出</c:v>
                </c:pt>
                <c:pt idx="1">
                  <c:v>项目支出</c:v>
                </c:pt>
              </c:strCache>
            </c:strRef>
          </c:cat>
          <c:val>
            <c:numRef>
              <c:f>'[2021年支队决算说明-图表制作.xlsx]Sheet1 (8)'!$B$2:$B$3</c:f>
              <c:numCache>
                <c:formatCode>0.00_ </c:formatCode>
                <c:ptCount val="2"/>
                <c:pt idx="0">
                  <c:v>59.64</c:v>
                </c:pt>
                <c:pt idx="1">
                  <c:v>4.82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800"/>
              <a:t>单位：万元</a:t>
            </a:r>
            <a:endParaRPr sz="800"/>
          </a:p>
        </c:rich>
      </c:tx>
      <c:layout>
        <c:manualLayout>
          <c:xMode val="edge"/>
          <c:yMode val="edge"/>
          <c:x val="0.840833333333333"/>
          <c:y val="0.07291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(3)'!$A$2:$A$3</c:f>
              <c:strCache>
                <c:ptCount val="2"/>
                <c:pt idx="0">
                  <c:v>2020年</c:v>
                </c:pt>
                <c:pt idx="1">
                  <c:v>2021年</c:v>
                </c:pt>
              </c:strCache>
            </c:strRef>
          </c:cat>
          <c:val>
            <c:numRef>
              <c:f>'[2021年支队决算说明-图表制作.xlsx]Sheet1 (3)'!$B$2:$B$3</c:f>
              <c:numCache>
                <c:formatCode>General</c:formatCode>
                <c:ptCount val="2"/>
                <c:pt idx="0">
                  <c:v>113.36</c:v>
                </c:pt>
                <c:pt idx="1">
                  <c:v>64.46</c:v>
                </c:pt>
              </c:numCache>
            </c:numRef>
          </c:val>
        </c:ser>
        <c:dLbls>
          <c:showLegendKey val="0"/>
          <c:showVal val="1"/>
          <c:showCatName val="0"/>
          <c:showSerName val="0"/>
          <c:showPercent val="0"/>
          <c:showBubbleSize val="0"/>
        </c:dLbls>
        <c:gapWidth val="219"/>
        <c:overlap val="-27"/>
        <c:axId val="878814669"/>
        <c:axId val="744855551"/>
      </c:barChart>
      <c:catAx>
        <c:axId val="8788146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855551"/>
        <c:crosses val="autoZero"/>
        <c:auto val="1"/>
        <c:lblAlgn val="ctr"/>
        <c:lblOffset val="100"/>
        <c:noMultiLvlLbl val="0"/>
      </c:catAx>
      <c:valAx>
        <c:axId val="74485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814669"/>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800"/>
              <a:t>单位：万元</a:t>
            </a:r>
            <a:endParaRPr sz="800"/>
          </a:p>
        </c:rich>
      </c:tx>
      <c:layout>
        <c:manualLayout>
          <c:xMode val="edge"/>
          <c:yMode val="edge"/>
          <c:x val="0.840833333333333"/>
          <c:y val="0.072916666666666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(3)'!$A$2:$A$3</c:f>
              <c:strCache>
                <c:ptCount val="2"/>
                <c:pt idx="0">
                  <c:v>2020年</c:v>
                </c:pt>
                <c:pt idx="1">
                  <c:v>2021年</c:v>
                </c:pt>
              </c:strCache>
            </c:strRef>
          </c:cat>
          <c:val>
            <c:numRef>
              <c:f>'[2021年支队决算说明-图表制作.xlsx]Sheet1 (3)'!$B$2:$B$3</c:f>
              <c:numCache>
                <c:formatCode>General</c:formatCode>
                <c:ptCount val="2"/>
                <c:pt idx="0">
                  <c:v>109.24</c:v>
                </c:pt>
                <c:pt idx="1">
                  <c:v>64.46</c:v>
                </c:pt>
              </c:numCache>
            </c:numRef>
          </c:val>
        </c:ser>
        <c:dLbls>
          <c:showLegendKey val="0"/>
          <c:showVal val="1"/>
          <c:showCatName val="0"/>
          <c:showSerName val="0"/>
          <c:showPercent val="0"/>
          <c:showBubbleSize val="0"/>
        </c:dLbls>
        <c:gapWidth val="219"/>
        <c:overlap val="-27"/>
        <c:axId val="878814669"/>
        <c:axId val="744855551"/>
      </c:barChart>
      <c:catAx>
        <c:axId val="8788146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4855551"/>
        <c:crosses val="autoZero"/>
        <c:auto val="1"/>
        <c:lblAlgn val="ctr"/>
        <c:lblOffset val="100"/>
        <c:noMultiLvlLbl val="0"/>
      </c:catAx>
      <c:valAx>
        <c:axId val="74485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814669"/>
        <c:crosses val="autoZero"/>
        <c:crossBetween val="between"/>
      </c:valAx>
      <c:spPr>
        <a:noFill/>
        <a:ln>
          <a:solidFill>
            <a:schemeClr val="bg2"/>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678333333333333"/>
          <c:y val="0.0937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(4)'!$A$2:$A$4</c:f>
              <c:strCache>
                <c:ptCount val="3"/>
                <c:pt idx="0">
                  <c:v>社会保障和就业支出</c:v>
                </c:pt>
                <c:pt idx="1">
                  <c:v>卫生健康支出</c:v>
                </c:pt>
                <c:pt idx="2">
                  <c:v>住房保障支出</c:v>
                </c:pt>
              </c:strCache>
            </c:strRef>
          </c:cat>
          <c:val>
            <c:numRef>
              <c:f>'[2021年支队决算说明-图表制作.xlsx]Sheet1 (4)'!$B$2:$B$4</c:f>
              <c:numCache>
                <c:formatCode>0.00_ </c:formatCode>
                <c:ptCount val="3"/>
                <c:pt idx="0">
                  <c:v>56.92</c:v>
                </c:pt>
                <c:pt idx="1">
                  <c:v>3.57</c:v>
                </c:pt>
                <c:pt idx="2" c:formatCode="General">
                  <c:v>3.98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806247391122861"/>
          <c:y val="0.079310344827586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0"/>
              <c:showVal val="1"/>
              <c:showCatName val="1"/>
              <c:showSerName val="0"/>
              <c:showPercent val="1"/>
              <c:showBubbleSize val="0"/>
              <c:separator>;</c:separator>
              <c:extLst>
                <c:ext xmlns:c15="http://schemas.microsoft.com/office/drawing/2012/chart" uri="{CE6537A1-D6FC-4f65-9D91-7224C49458BB}"/>
              </c:extLst>
            </c:dLbl>
            <c:dLbl>
              <c:idx val="1"/>
              <c:layout>
                <c:manualLayout>
                  <c:x val="0.173507722276332"/>
                  <c:y val="-0.00850574712643678"/>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dLbl>
              <c:idx val="2"/>
              <c:layout>
                <c:manualLayout>
                  <c:x val="-0.173507722276332"/>
                  <c:y val="0.0367816091954023"/>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'[2021年支队决算说明-图表制作.xlsx]Sheet1 (6)'!$A$2:$A$4</c:f>
              <c:strCache>
                <c:ptCount val="3"/>
                <c:pt idx="0">
                  <c:v>公务接待费支出</c:v>
                </c:pt>
                <c:pt idx="1">
                  <c:v>因公出国（境）经费支出</c:v>
                </c:pt>
                <c:pt idx="2">
                  <c:v>公务用车购置及运行维护费支出</c:v>
                </c:pt>
              </c:strCache>
            </c:strRef>
          </c:cat>
          <c:val>
            <c:numRef>
              <c:f>'[2021年支队决算说明-图表制作.xlsx]Sheet1 (6)'!$B$2:$B$4</c:f>
              <c:numCache>
                <c:formatCode>General</c:formatCode>
                <c:ptCount val="3"/>
                <c:pt idx="0">
                  <c:v>0.26</c:v>
                </c:pt>
                <c:pt idx="1">
                  <c:v>0</c:v>
                </c:pt>
                <c:pt idx="2">
                  <c:v>0</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7512</Words>
  <Characters>8036</Characters>
  <Lines>61</Lines>
  <Paragraphs>17</Paragraphs>
  <TotalTime>3</TotalTime>
  <ScaleCrop>false</ScaleCrop>
  <LinksUpToDate>false</LinksUpToDate>
  <CharactersWithSpaces>8100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YY</cp:lastModifiedBy>
  <cp:lastPrinted>2022-08-06T02:23:00Z</cp:lastPrinted>
  <dcterms:modified xsi:type="dcterms:W3CDTF">2023-09-15T07:08:34Z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18C4299B72334D3095585539B3212D20</vt:lpwstr>
  </property>
</Properties>
</file>