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jc w:val="center"/>
        <w:rPr>
          <w:rFonts w:hint="default" w:ascii="方正小标宋简体" w:hAnsi="宋体" w:eastAsia="方正小标宋简体"/>
          <w:color w:val="auto"/>
          <w:sz w:val="72"/>
          <w:szCs w:val="72"/>
          <w:highlight w:val="none"/>
          <w:lang w:val="en-US"/>
        </w:rPr>
      </w:pPr>
      <w:r>
        <w:rPr>
          <w:rFonts w:hint="eastAsia" w:ascii="方正小标宋简体" w:hAnsi="方正小标宋简体" w:eastAsia="方正小标宋简体" w:cs="方正小标宋简体"/>
          <w:sz w:val="44"/>
          <w:szCs w:val="44"/>
          <w:lang w:val="en-US" w:eastAsia="zh-CN"/>
        </w:rPr>
        <w:t>2021年度</w:t>
      </w:r>
    </w:p>
    <w:p>
      <w:pPr>
        <w:jc w:val="center"/>
        <w:rPr>
          <w:rFonts w:hint="eastAsia" w:ascii="方正小标宋简体" w:hAnsi="方正小标宋简体" w:eastAsia="方正小标宋简体" w:cs="方正小标宋简体"/>
          <w:sz w:val="44"/>
          <w:szCs w:val="44"/>
          <w:lang w:val="en-US" w:eastAsia="zh-CN"/>
        </w:rPr>
      </w:pPr>
      <w:bookmarkStart w:id="1" w:name="_Toc15377426"/>
      <w:bookmarkStart w:id="2" w:name="_Toc15396476"/>
      <w:bookmarkStart w:id="3" w:name="_Toc15378442"/>
      <w:bookmarkStart w:id="4" w:name="_Toc15377194"/>
      <w:bookmarkStart w:id="5" w:name="_Toc15396598"/>
      <w:r>
        <w:rPr>
          <w:rFonts w:hint="eastAsia" w:ascii="方正小标宋简体" w:hAnsi="方正小标宋简体" w:eastAsia="方正小标宋简体" w:cs="方正小标宋简体"/>
          <w:sz w:val="44"/>
          <w:szCs w:val="44"/>
          <w:lang w:val="en-US" w:eastAsia="zh-CN"/>
        </w:rPr>
        <w:t>广元市</w:t>
      </w:r>
      <w:bookmarkEnd w:id="0"/>
      <w:bookmarkStart w:id="6" w:name="_Toc15306268"/>
      <w:r>
        <w:rPr>
          <w:rFonts w:hint="eastAsia" w:ascii="方正小标宋简体" w:hAnsi="方正小标宋简体" w:eastAsia="方正小标宋简体" w:cs="方正小标宋简体"/>
          <w:sz w:val="44"/>
          <w:szCs w:val="44"/>
          <w:lang w:val="en-US" w:eastAsia="zh-CN"/>
        </w:rPr>
        <w:t>老年大学</w:t>
      </w:r>
      <w:bookmarkEnd w:id="1"/>
      <w:bookmarkEnd w:id="2"/>
      <w:bookmarkEnd w:id="3"/>
      <w:bookmarkEnd w:id="4"/>
      <w:bookmarkEnd w:id="5"/>
      <w:bookmarkEnd w:id="6"/>
      <w:r>
        <w:rPr>
          <w:rFonts w:hint="eastAsia" w:ascii="方正小标宋简体" w:hAnsi="方正小标宋简体" w:eastAsia="方正小标宋简体" w:cs="方正小标宋简体"/>
          <w:sz w:val="44"/>
          <w:szCs w:val="44"/>
          <w:lang w:val="en-US" w:eastAsia="zh-CN"/>
        </w:rPr>
        <w:t>（广元市老年活动中心）</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单位决算公开</w:t>
      </w:r>
    </w:p>
    <w:p>
      <w:pPr>
        <w:keepNext w:val="0"/>
        <w:keepLines w:val="0"/>
        <w:pageBreakBefore w:val="0"/>
        <w:widowControl w:val="0"/>
        <w:kinsoku/>
        <w:wordWrap/>
        <w:overflowPunct/>
        <w:topLinePunct w:val="0"/>
        <w:autoSpaceDE/>
        <w:autoSpaceDN/>
        <w:bidi w:val="0"/>
        <w:adjustRightInd w:val="0"/>
        <w:snapToGrid w:val="0"/>
        <w:spacing w:line="1000" w:lineRule="exact"/>
        <w:jc w:val="center"/>
        <w:textAlignment w:val="auto"/>
        <w:outlineLvl w:val="0"/>
        <w:rPr>
          <w:rFonts w:hint="eastAsia" w:ascii="方正小标宋简体" w:hAnsi="方正小标宋简体" w:eastAsia="方正小标宋简体" w:cs="方正小标宋简体"/>
          <w:color w:val="auto"/>
          <w:sz w:val="52"/>
          <w:szCs w:val="52"/>
          <w:highlight w:val="none"/>
        </w:rPr>
      </w:pPr>
    </w:p>
    <w:p>
      <w:pPr>
        <w:widowControl/>
        <w:jc w:val="center"/>
        <w:rPr>
          <w:rFonts w:hint="eastAsia" w:ascii="仿宋" w:hAnsi="仿宋" w:eastAsia="仿宋" w:cs="仿宋"/>
          <w:color w:val="auto"/>
          <w:sz w:val="32"/>
          <w:szCs w:val="32"/>
          <w:highlight w:val="none"/>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pPr>
        <w:widowControl/>
        <w:jc w:val="center"/>
        <w:rPr>
          <w:rFonts w:hint="eastAsia" w:ascii="黑体" w:hAnsi="黑体" w:eastAsia="黑体" w:cs="黑体"/>
          <w:color w:val="auto"/>
          <w:sz w:val="44"/>
          <w:szCs w:val="44"/>
          <w:highlight w:val="none"/>
        </w:rPr>
      </w:pPr>
      <w:r>
        <w:rPr>
          <w:rFonts w:hint="eastAsia" w:ascii="黑体" w:hAnsi="黑体" w:eastAsia="黑体" w:cs="黑体"/>
          <w:color w:val="auto"/>
          <w:sz w:val="44"/>
          <w:szCs w:val="44"/>
          <w:highlight w:val="none"/>
        </w:rPr>
        <w:t>目</w:t>
      </w:r>
      <w:r>
        <w:rPr>
          <w:rFonts w:hint="eastAsia" w:ascii="黑体" w:hAnsi="黑体" w:eastAsia="黑体" w:cs="黑体"/>
          <w:color w:val="auto"/>
          <w:sz w:val="44"/>
          <w:szCs w:val="44"/>
          <w:highlight w:val="none"/>
          <w:lang w:val="en-US" w:eastAsia="zh-CN"/>
        </w:rPr>
        <w:t xml:space="preserve">  </w:t>
      </w:r>
      <w:r>
        <w:rPr>
          <w:rFonts w:hint="eastAsia" w:ascii="黑体" w:hAnsi="黑体" w:eastAsia="黑体" w:cs="黑体"/>
          <w:color w:val="auto"/>
          <w:sz w:val="44"/>
          <w:szCs w:val="44"/>
          <w:highlight w:val="none"/>
        </w:rPr>
        <w:t>录</w:t>
      </w:r>
    </w:p>
    <w:p>
      <w:pPr>
        <w:pStyle w:val="11"/>
        <w:keepNext w:val="0"/>
        <w:keepLines w:val="0"/>
        <w:pageBreakBefore w:val="0"/>
        <w:kinsoku/>
        <w:wordWrap/>
        <w:overflowPunct/>
        <w:topLinePunct w:val="0"/>
        <w:autoSpaceDE/>
        <w:autoSpaceDN/>
        <w:bidi w:val="0"/>
        <w:spacing w:line="360" w:lineRule="exact"/>
        <w:jc w:val="center"/>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公开时间：20</w:t>
      </w:r>
      <w:r>
        <w:rPr>
          <w:rFonts w:hint="eastAsia" w:ascii="仿宋" w:hAnsi="仿宋" w:eastAsia="仿宋" w:cs="仿宋"/>
          <w:color w:val="auto"/>
          <w:sz w:val="30"/>
          <w:szCs w:val="30"/>
          <w:highlight w:val="none"/>
          <w:lang w:val="en-US" w:eastAsia="zh-CN"/>
        </w:rPr>
        <w:t>22</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lang w:val="en-US" w:eastAsia="zh-CN"/>
        </w:rPr>
        <w:t>10</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lang w:val="en-US" w:eastAsia="zh-CN"/>
        </w:rPr>
        <w:t>10</w:t>
      </w:r>
      <w:r>
        <w:rPr>
          <w:rFonts w:hint="eastAsia" w:ascii="仿宋" w:hAnsi="仿宋" w:eastAsia="仿宋" w:cs="仿宋"/>
          <w:color w:val="auto"/>
          <w:sz w:val="30"/>
          <w:szCs w:val="30"/>
          <w:highlight w:val="none"/>
        </w:rPr>
        <w:t>日</w:t>
      </w:r>
    </w:p>
    <w:p>
      <w:pPr>
        <w:keepNext w:val="0"/>
        <w:keepLines w:val="0"/>
        <w:pageBreakBefore w:val="0"/>
        <w:kinsoku/>
        <w:wordWrap/>
        <w:overflowPunct/>
        <w:topLinePunct w:val="0"/>
        <w:autoSpaceDE/>
        <w:autoSpaceDN/>
        <w:bidi w:val="0"/>
        <w:spacing w:line="360" w:lineRule="exact"/>
        <w:textAlignment w:val="auto"/>
        <w:rPr>
          <w:rFonts w:hint="eastAsia" w:ascii="仿宋" w:hAnsi="仿宋" w:eastAsia="仿宋" w:cs="仿宋"/>
          <w:color w:val="auto"/>
          <w:sz w:val="30"/>
          <w:szCs w:val="30"/>
          <w:highlight w:val="none"/>
        </w:rPr>
      </w:pPr>
    </w:p>
    <w:p>
      <w:pPr>
        <w:pStyle w:val="11"/>
        <w:keepNext w:val="0"/>
        <w:keepLines w:val="0"/>
        <w:pageBreakBefore w:val="0"/>
        <w:widowControl w:val="0"/>
        <w:kinsoku/>
        <w:wordWrap/>
        <w:overflowPunct/>
        <w:topLinePunct w:val="0"/>
        <w:autoSpaceDE/>
        <w:autoSpaceDN/>
        <w:bidi w:val="0"/>
        <w:adjustRightInd w:val="0"/>
        <w:snapToGrid w:val="0"/>
        <w:spacing w:before="0" w:line="560" w:lineRule="exact"/>
        <w:jc w:val="both"/>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第一部分 </w:t>
      </w:r>
      <w:r>
        <w:rPr>
          <w:rFonts w:hint="eastAsia" w:ascii="仿宋" w:hAnsi="仿宋" w:eastAsia="仿宋" w:cs="仿宋"/>
          <w:color w:val="auto"/>
          <w:sz w:val="30"/>
          <w:szCs w:val="30"/>
          <w:highlight w:val="none"/>
          <w:lang w:eastAsia="zh-CN"/>
        </w:rPr>
        <w:t>单位</w:t>
      </w:r>
      <w:r>
        <w:rPr>
          <w:rFonts w:hint="eastAsia" w:ascii="仿宋" w:hAnsi="仿宋" w:eastAsia="仿宋" w:cs="仿宋"/>
          <w:color w:val="auto"/>
          <w:sz w:val="30"/>
          <w:szCs w:val="30"/>
          <w:highlight w:val="none"/>
        </w:rPr>
        <w:t>概况</w:t>
      </w:r>
      <w:r>
        <w:rPr>
          <w:rFonts w:hint="eastAsia" w:cs="仿宋"/>
          <w:color w:val="auto"/>
          <w:sz w:val="30"/>
          <w:szCs w:val="30"/>
          <w:highlight w:val="none"/>
          <w:lang w:val="en-US" w:eastAsia="zh-CN"/>
        </w:rPr>
        <w:t>...................................-1-</w:t>
      </w:r>
    </w:p>
    <w:p>
      <w:pPr>
        <w:pStyle w:val="11"/>
        <w:keepNext w:val="0"/>
        <w:keepLines w:val="0"/>
        <w:pageBreakBefore w:val="0"/>
        <w:widowControl w:val="0"/>
        <w:kinsoku/>
        <w:wordWrap/>
        <w:overflowPunct/>
        <w:topLinePunct w:val="0"/>
        <w:autoSpaceDE/>
        <w:autoSpaceDN/>
        <w:bidi w:val="0"/>
        <w:adjustRightInd w:val="0"/>
        <w:snapToGrid w:val="0"/>
        <w:spacing w:before="0" w:line="560" w:lineRule="exact"/>
        <w:ind w:firstLine="600" w:firstLineChars="200"/>
        <w:jc w:val="both"/>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一、职能</w:t>
      </w:r>
      <w:r>
        <w:rPr>
          <w:rFonts w:hint="eastAsia" w:ascii="仿宋" w:hAnsi="仿宋" w:eastAsia="仿宋" w:cs="仿宋"/>
          <w:color w:val="auto"/>
          <w:sz w:val="30"/>
          <w:szCs w:val="30"/>
          <w:highlight w:val="none"/>
          <w:lang w:eastAsia="zh-CN"/>
        </w:rPr>
        <w:t>简介</w:t>
      </w:r>
      <w:r>
        <w:rPr>
          <w:rFonts w:hint="eastAsia" w:cs="仿宋"/>
          <w:color w:val="auto"/>
          <w:sz w:val="30"/>
          <w:szCs w:val="30"/>
          <w:highlight w:val="none"/>
          <w:lang w:val="en-US" w:eastAsia="zh-CN"/>
        </w:rPr>
        <w:t>.....................................-1-</w:t>
      </w:r>
    </w:p>
    <w:p>
      <w:pPr>
        <w:pStyle w:val="11"/>
        <w:keepNext w:val="0"/>
        <w:keepLines w:val="0"/>
        <w:pageBreakBefore w:val="0"/>
        <w:widowControl w:val="0"/>
        <w:kinsoku/>
        <w:wordWrap/>
        <w:overflowPunct/>
        <w:topLinePunct w:val="0"/>
        <w:autoSpaceDE/>
        <w:autoSpaceDN/>
        <w:bidi w:val="0"/>
        <w:adjustRightInd w:val="0"/>
        <w:snapToGrid w:val="0"/>
        <w:spacing w:before="0" w:line="560" w:lineRule="exact"/>
        <w:ind w:firstLine="600" w:firstLineChars="200"/>
        <w:jc w:val="both"/>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eastAsia="zh-CN"/>
        </w:rPr>
        <w:t>二、</w:t>
      </w:r>
      <w:r>
        <w:rPr>
          <w:rFonts w:hint="eastAsia" w:ascii="仿宋" w:hAnsi="仿宋" w:eastAsia="仿宋" w:cs="仿宋"/>
          <w:color w:val="auto"/>
          <w:sz w:val="30"/>
          <w:szCs w:val="30"/>
          <w:highlight w:val="none"/>
          <w:lang w:val="en-US" w:eastAsia="zh-CN"/>
        </w:rPr>
        <w:t>2021年重点</w:t>
      </w:r>
      <w:r>
        <w:rPr>
          <w:rFonts w:hint="eastAsia" w:ascii="仿宋" w:hAnsi="仿宋" w:eastAsia="仿宋" w:cs="仿宋"/>
          <w:color w:val="auto"/>
          <w:sz w:val="30"/>
          <w:szCs w:val="30"/>
          <w:highlight w:val="none"/>
        </w:rPr>
        <w:t>工作</w:t>
      </w:r>
      <w:r>
        <w:rPr>
          <w:rFonts w:hint="eastAsia" w:ascii="仿宋" w:hAnsi="仿宋" w:eastAsia="仿宋" w:cs="仿宋"/>
          <w:color w:val="auto"/>
          <w:sz w:val="30"/>
          <w:szCs w:val="30"/>
          <w:highlight w:val="none"/>
          <w:lang w:eastAsia="zh-CN"/>
        </w:rPr>
        <w:t>完成情况</w:t>
      </w:r>
      <w:r>
        <w:rPr>
          <w:rFonts w:hint="eastAsia" w:cs="仿宋"/>
          <w:color w:val="auto"/>
          <w:sz w:val="30"/>
          <w:szCs w:val="30"/>
          <w:highlight w:val="none"/>
          <w:lang w:val="en-US" w:eastAsia="zh-CN"/>
        </w:rPr>
        <w:t>.......................-1-</w:t>
      </w:r>
    </w:p>
    <w:p>
      <w:pPr>
        <w:pStyle w:val="11"/>
        <w:keepNext w:val="0"/>
        <w:keepLines w:val="0"/>
        <w:pageBreakBefore w:val="0"/>
        <w:widowControl w:val="0"/>
        <w:kinsoku/>
        <w:wordWrap/>
        <w:overflowPunct/>
        <w:topLinePunct w:val="0"/>
        <w:autoSpaceDE/>
        <w:autoSpaceDN/>
        <w:bidi w:val="0"/>
        <w:adjustRightInd w:val="0"/>
        <w:snapToGrid w:val="0"/>
        <w:spacing w:before="0" w:line="560" w:lineRule="exact"/>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第二部分</w:t>
      </w:r>
      <w:r>
        <w:rPr>
          <w:rFonts w:hint="eastAsia" w:ascii="仿宋" w:hAnsi="仿宋" w:eastAsia="仿宋" w:cs="仿宋"/>
          <w:color w:val="auto"/>
          <w:sz w:val="30"/>
          <w:szCs w:val="30"/>
          <w:highlight w:val="none"/>
          <w:lang w:val="en-US" w:eastAsia="zh-CN"/>
        </w:rPr>
        <w:t xml:space="preserve"> 2021年度</w:t>
      </w:r>
      <w:r>
        <w:rPr>
          <w:rFonts w:hint="eastAsia" w:ascii="仿宋" w:hAnsi="仿宋" w:eastAsia="仿宋" w:cs="仿宋"/>
          <w:color w:val="auto"/>
          <w:sz w:val="30"/>
          <w:szCs w:val="30"/>
          <w:highlight w:val="none"/>
          <w:lang w:eastAsia="zh-CN"/>
        </w:rPr>
        <w:t>单位</w:t>
      </w:r>
      <w:r>
        <w:rPr>
          <w:rFonts w:hint="eastAsia" w:ascii="仿宋" w:hAnsi="仿宋" w:eastAsia="仿宋" w:cs="仿宋"/>
          <w:color w:val="auto"/>
          <w:sz w:val="30"/>
          <w:szCs w:val="30"/>
          <w:highlight w:val="none"/>
        </w:rPr>
        <w:t>决算情况明</w:t>
      </w:r>
      <w:r>
        <w:rPr>
          <w:rFonts w:hint="eastAsia" w:cs="仿宋"/>
          <w:color w:val="auto"/>
          <w:sz w:val="30"/>
          <w:szCs w:val="30"/>
          <w:highlight w:val="none"/>
          <w:lang w:val="en-US" w:eastAsia="zh-CN"/>
        </w:rPr>
        <w:t>.....................-2-</w:t>
      </w:r>
    </w:p>
    <w:p>
      <w:pPr>
        <w:pStyle w:val="11"/>
        <w:keepNext w:val="0"/>
        <w:keepLines w:val="0"/>
        <w:pageBreakBefore w:val="0"/>
        <w:widowControl w:val="0"/>
        <w:kinsoku/>
        <w:wordWrap/>
        <w:overflowPunct/>
        <w:topLinePunct w:val="0"/>
        <w:autoSpaceDE/>
        <w:autoSpaceDN/>
        <w:bidi w:val="0"/>
        <w:adjustRightInd w:val="0"/>
        <w:snapToGrid w:val="0"/>
        <w:spacing w:before="0" w:line="56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一、收入支出决算总体情况说明</w:t>
      </w:r>
      <w:r>
        <w:rPr>
          <w:rFonts w:hint="eastAsia" w:cs="仿宋"/>
          <w:color w:val="auto"/>
          <w:sz w:val="30"/>
          <w:szCs w:val="30"/>
          <w:highlight w:val="none"/>
          <w:lang w:val="en-US" w:eastAsia="zh-CN"/>
        </w:rPr>
        <w:t>.....................-2-</w:t>
      </w:r>
    </w:p>
    <w:p>
      <w:pPr>
        <w:pStyle w:val="11"/>
        <w:keepNext w:val="0"/>
        <w:keepLines w:val="0"/>
        <w:pageBreakBefore w:val="0"/>
        <w:widowControl w:val="0"/>
        <w:kinsoku/>
        <w:wordWrap/>
        <w:overflowPunct/>
        <w:topLinePunct w:val="0"/>
        <w:autoSpaceDE/>
        <w:autoSpaceDN/>
        <w:bidi w:val="0"/>
        <w:adjustRightInd w:val="0"/>
        <w:snapToGrid w:val="0"/>
        <w:spacing w:before="0" w:line="56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二、收入决算情况说明</w:t>
      </w:r>
      <w:r>
        <w:rPr>
          <w:rFonts w:hint="eastAsia" w:cs="仿宋"/>
          <w:color w:val="auto"/>
          <w:sz w:val="30"/>
          <w:szCs w:val="30"/>
          <w:highlight w:val="none"/>
          <w:lang w:val="en-US" w:eastAsia="zh-CN"/>
        </w:rPr>
        <w:t>.............................-2-</w:t>
      </w:r>
    </w:p>
    <w:p>
      <w:pPr>
        <w:pStyle w:val="11"/>
        <w:keepNext w:val="0"/>
        <w:keepLines w:val="0"/>
        <w:pageBreakBefore w:val="0"/>
        <w:widowControl w:val="0"/>
        <w:kinsoku/>
        <w:wordWrap/>
        <w:overflowPunct/>
        <w:topLinePunct w:val="0"/>
        <w:autoSpaceDE/>
        <w:autoSpaceDN/>
        <w:bidi w:val="0"/>
        <w:adjustRightInd w:val="0"/>
        <w:snapToGrid w:val="0"/>
        <w:spacing w:before="0" w:line="560" w:lineRule="exact"/>
        <w:ind w:firstLine="600" w:firstLineChars="200"/>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三、支出决算情况说明</w:t>
      </w:r>
      <w:r>
        <w:rPr>
          <w:rFonts w:hint="eastAsia" w:cs="仿宋"/>
          <w:color w:val="auto"/>
          <w:sz w:val="30"/>
          <w:szCs w:val="30"/>
          <w:highlight w:val="none"/>
          <w:lang w:val="en-US" w:eastAsia="zh-CN"/>
        </w:rPr>
        <w:t>.............................-3-</w:t>
      </w:r>
    </w:p>
    <w:p>
      <w:pPr>
        <w:pStyle w:val="11"/>
        <w:keepNext w:val="0"/>
        <w:keepLines w:val="0"/>
        <w:pageBreakBefore w:val="0"/>
        <w:widowControl w:val="0"/>
        <w:kinsoku/>
        <w:wordWrap/>
        <w:overflowPunct/>
        <w:topLinePunct w:val="0"/>
        <w:autoSpaceDE/>
        <w:autoSpaceDN/>
        <w:bidi w:val="0"/>
        <w:adjustRightInd w:val="0"/>
        <w:snapToGrid w:val="0"/>
        <w:spacing w:before="0" w:line="560" w:lineRule="exact"/>
        <w:ind w:firstLine="600" w:firstLineChars="200"/>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四、财政拨款收入支出决算总体情况说明</w:t>
      </w:r>
      <w:r>
        <w:rPr>
          <w:rFonts w:hint="eastAsia" w:cs="仿宋"/>
          <w:color w:val="auto"/>
          <w:sz w:val="30"/>
          <w:szCs w:val="30"/>
          <w:highlight w:val="none"/>
          <w:lang w:val="en-US" w:eastAsia="zh-CN"/>
        </w:rPr>
        <w:t>.............-3-</w:t>
      </w:r>
    </w:p>
    <w:p>
      <w:pPr>
        <w:pStyle w:val="11"/>
        <w:keepNext w:val="0"/>
        <w:keepLines w:val="0"/>
        <w:pageBreakBefore w:val="0"/>
        <w:widowControl w:val="0"/>
        <w:kinsoku/>
        <w:wordWrap/>
        <w:overflowPunct/>
        <w:topLinePunct w:val="0"/>
        <w:autoSpaceDE/>
        <w:autoSpaceDN/>
        <w:bidi w:val="0"/>
        <w:adjustRightInd w:val="0"/>
        <w:snapToGrid w:val="0"/>
        <w:spacing w:before="0" w:line="560" w:lineRule="exact"/>
        <w:ind w:firstLine="600" w:firstLineChars="200"/>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五、一般公共预算财政拨款支出决算情况明</w:t>
      </w:r>
      <w:r>
        <w:rPr>
          <w:rFonts w:hint="eastAsia" w:ascii="仿宋" w:hAnsi="仿宋" w:eastAsia="仿宋" w:cs="仿宋"/>
          <w:color w:val="auto"/>
          <w:sz w:val="30"/>
          <w:szCs w:val="30"/>
          <w:highlight w:val="none"/>
          <w:lang w:val="en-US" w:eastAsia="zh-CN"/>
        </w:rPr>
        <w:t>...........-3-</w:t>
      </w:r>
    </w:p>
    <w:p>
      <w:pPr>
        <w:pStyle w:val="7"/>
        <w:pageBreakBefore w:val="0"/>
        <w:widowControl w:val="0"/>
        <w:tabs>
          <w:tab w:val="right" w:leader="dot" w:pos="8306"/>
          <w:tab w:val="clear" w:pos="8296"/>
        </w:tabs>
        <w:kinsoku/>
        <w:wordWrap/>
        <w:overflowPunct/>
        <w:topLinePunct w:val="0"/>
        <w:autoSpaceDE/>
        <w:autoSpaceDN/>
        <w:bidi w:val="0"/>
        <w:spacing w:line="560" w:lineRule="exact"/>
        <w:ind w:left="0" w:leftChars="0" w:firstLine="900" w:firstLineChars="300"/>
        <w:jc w:val="left"/>
        <w:textAlignment w:val="auto"/>
        <w:rPr>
          <w:rFonts w:hint="eastAsia" w:ascii="仿宋" w:hAnsi="仿宋" w:eastAsia="仿宋" w:cs="仿宋"/>
          <w:sz w:val="30"/>
          <w:szCs w:val="30"/>
        </w:rPr>
      </w:pPr>
      <w:r>
        <w:rPr>
          <w:rFonts w:hint="eastAsia" w:ascii="仿宋" w:hAnsi="仿宋" w:eastAsia="仿宋" w:cs="仿宋"/>
          <w:bCs/>
          <w:color w:val="auto"/>
          <w:sz w:val="30"/>
          <w:szCs w:val="30"/>
          <w:highlight w:val="none"/>
        </w:rPr>
        <w:fldChar w:fldCharType="begin"/>
      </w:r>
      <w:r>
        <w:rPr>
          <w:rFonts w:hint="eastAsia" w:ascii="仿宋" w:hAnsi="仿宋" w:eastAsia="仿宋" w:cs="仿宋"/>
          <w:bCs/>
          <w:sz w:val="30"/>
          <w:szCs w:val="30"/>
          <w:highlight w:val="none"/>
        </w:rPr>
        <w:instrText xml:space="preserve"> HYPERLINK \l _Toc10692 </w:instrText>
      </w:r>
      <w:r>
        <w:rPr>
          <w:rFonts w:hint="eastAsia" w:ascii="仿宋" w:hAnsi="仿宋" w:eastAsia="仿宋" w:cs="仿宋"/>
          <w:bCs/>
          <w:sz w:val="30"/>
          <w:szCs w:val="30"/>
          <w:highlight w:val="none"/>
        </w:rPr>
        <w:fldChar w:fldCharType="separate"/>
      </w:r>
      <w:r>
        <w:rPr>
          <w:rFonts w:hint="eastAsia" w:ascii="仿宋" w:hAnsi="仿宋" w:eastAsia="仿宋" w:cs="仿宋"/>
          <w:sz w:val="30"/>
          <w:szCs w:val="30"/>
          <w:highlight w:val="none"/>
        </w:rPr>
        <w:t>（一）一般公共预算财政拨款支出决算总体情况</w:t>
      </w:r>
      <w:r>
        <w:rPr>
          <w:rFonts w:hint="eastAsia" w:ascii="仿宋" w:hAnsi="仿宋" w:eastAsia="仿宋" w:cs="仿宋"/>
          <w:color w:val="auto"/>
          <w:sz w:val="30"/>
          <w:szCs w:val="30"/>
          <w:highlight w:val="none"/>
          <w:lang w:val="en-US" w:eastAsia="zh-CN"/>
        </w:rPr>
        <w:t>.....-3-</w:t>
      </w:r>
      <w:r>
        <w:rPr>
          <w:rFonts w:hint="eastAsia" w:ascii="仿宋" w:hAnsi="仿宋" w:eastAsia="仿宋" w:cs="仿宋"/>
          <w:bCs/>
          <w:color w:val="auto"/>
          <w:sz w:val="30"/>
          <w:szCs w:val="30"/>
          <w:highlight w:val="none"/>
        </w:rPr>
        <w:fldChar w:fldCharType="end"/>
      </w:r>
    </w:p>
    <w:p>
      <w:pPr>
        <w:pStyle w:val="7"/>
        <w:pageBreakBefore w:val="0"/>
        <w:widowControl w:val="0"/>
        <w:tabs>
          <w:tab w:val="right" w:leader="dot" w:pos="8306"/>
          <w:tab w:val="clear" w:pos="8296"/>
        </w:tabs>
        <w:kinsoku/>
        <w:wordWrap/>
        <w:overflowPunct/>
        <w:topLinePunct w:val="0"/>
        <w:autoSpaceDE/>
        <w:autoSpaceDN/>
        <w:bidi w:val="0"/>
        <w:spacing w:line="560" w:lineRule="exact"/>
        <w:jc w:val="left"/>
        <w:textAlignment w:val="auto"/>
        <w:rPr>
          <w:rFonts w:hint="eastAsia" w:ascii="仿宋" w:hAnsi="仿宋" w:eastAsia="仿宋" w:cs="仿宋"/>
          <w:sz w:val="30"/>
          <w:szCs w:val="30"/>
        </w:rPr>
      </w:pPr>
      <w:r>
        <w:rPr>
          <w:rFonts w:hint="eastAsia" w:ascii="仿宋" w:hAnsi="仿宋" w:eastAsia="仿宋" w:cs="仿宋"/>
          <w:bCs/>
          <w:color w:val="auto"/>
          <w:sz w:val="30"/>
          <w:szCs w:val="30"/>
          <w:highlight w:val="none"/>
        </w:rPr>
        <w:fldChar w:fldCharType="begin"/>
      </w:r>
      <w:r>
        <w:rPr>
          <w:rFonts w:hint="eastAsia" w:ascii="仿宋" w:hAnsi="仿宋" w:eastAsia="仿宋" w:cs="仿宋"/>
          <w:bCs/>
          <w:sz w:val="30"/>
          <w:szCs w:val="30"/>
          <w:highlight w:val="none"/>
        </w:rPr>
        <w:instrText xml:space="preserve"> HYPERLINK \l _Toc1671 </w:instrText>
      </w:r>
      <w:r>
        <w:rPr>
          <w:rFonts w:hint="eastAsia" w:ascii="仿宋" w:hAnsi="仿宋" w:eastAsia="仿宋" w:cs="仿宋"/>
          <w:bCs/>
          <w:sz w:val="30"/>
          <w:szCs w:val="30"/>
          <w:highlight w:val="none"/>
        </w:rPr>
        <w:fldChar w:fldCharType="separate"/>
      </w:r>
      <w:r>
        <w:rPr>
          <w:rFonts w:hint="eastAsia" w:ascii="仿宋" w:hAnsi="仿宋" w:eastAsia="仿宋" w:cs="仿宋"/>
          <w:sz w:val="30"/>
          <w:szCs w:val="30"/>
          <w:highlight w:val="none"/>
        </w:rPr>
        <w:t>（二）一般公共预算财政拨款支出决算结构情况</w:t>
      </w:r>
      <w:r>
        <w:rPr>
          <w:rFonts w:hint="eastAsia" w:ascii="仿宋" w:hAnsi="仿宋" w:eastAsia="仿宋" w:cs="仿宋"/>
          <w:color w:val="auto"/>
          <w:sz w:val="30"/>
          <w:szCs w:val="30"/>
          <w:highlight w:val="none"/>
          <w:lang w:val="en-US" w:eastAsia="zh-CN"/>
        </w:rPr>
        <w:t>.....-4-</w:t>
      </w:r>
      <w:r>
        <w:rPr>
          <w:rFonts w:hint="eastAsia" w:ascii="仿宋" w:hAnsi="仿宋" w:eastAsia="仿宋" w:cs="仿宋"/>
          <w:bCs/>
          <w:color w:val="auto"/>
          <w:sz w:val="30"/>
          <w:szCs w:val="30"/>
          <w:highlight w:val="none"/>
        </w:rPr>
        <w:fldChar w:fldCharType="end"/>
      </w:r>
    </w:p>
    <w:p>
      <w:pPr>
        <w:pStyle w:val="7"/>
        <w:pageBreakBefore w:val="0"/>
        <w:widowControl w:val="0"/>
        <w:tabs>
          <w:tab w:val="right" w:leader="dot" w:pos="8306"/>
          <w:tab w:val="clear" w:pos="8296"/>
        </w:tabs>
        <w:kinsoku/>
        <w:wordWrap/>
        <w:overflowPunct/>
        <w:topLinePunct w:val="0"/>
        <w:autoSpaceDE/>
        <w:autoSpaceDN/>
        <w:bidi w:val="0"/>
        <w:spacing w:line="560" w:lineRule="exact"/>
        <w:jc w:val="left"/>
        <w:textAlignment w:val="auto"/>
        <w:rPr>
          <w:rFonts w:hint="eastAsia" w:ascii="仿宋" w:hAnsi="仿宋" w:eastAsia="仿宋" w:cs="仿宋"/>
          <w:sz w:val="30"/>
          <w:szCs w:val="30"/>
        </w:rPr>
      </w:pPr>
      <w:r>
        <w:rPr>
          <w:rFonts w:hint="eastAsia" w:ascii="仿宋" w:hAnsi="仿宋" w:eastAsia="仿宋" w:cs="仿宋"/>
          <w:bCs/>
          <w:color w:val="auto"/>
          <w:sz w:val="30"/>
          <w:szCs w:val="30"/>
          <w:highlight w:val="none"/>
        </w:rPr>
        <w:fldChar w:fldCharType="begin"/>
      </w:r>
      <w:r>
        <w:rPr>
          <w:rFonts w:hint="eastAsia" w:ascii="仿宋" w:hAnsi="仿宋" w:eastAsia="仿宋" w:cs="仿宋"/>
          <w:bCs/>
          <w:sz w:val="30"/>
          <w:szCs w:val="30"/>
          <w:highlight w:val="none"/>
        </w:rPr>
        <w:instrText xml:space="preserve"> HYPERLINK \l _Toc1653 </w:instrText>
      </w:r>
      <w:r>
        <w:rPr>
          <w:rFonts w:hint="eastAsia" w:ascii="仿宋" w:hAnsi="仿宋" w:eastAsia="仿宋" w:cs="仿宋"/>
          <w:bCs/>
          <w:sz w:val="30"/>
          <w:szCs w:val="30"/>
          <w:highlight w:val="none"/>
        </w:rPr>
        <w:fldChar w:fldCharType="separate"/>
      </w:r>
      <w:r>
        <w:rPr>
          <w:rFonts w:hint="eastAsia" w:ascii="仿宋" w:hAnsi="仿宋" w:eastAsia="仿宋" w:cs="仿宋"/>
          <w:sz w:val="30"/>
          <w:szCs w:val="30"/>
          <w:highlight w:val="none"/>
        </w:rPr>
        <w:t>（三）一般公共预算财政拨款支出决算具体情况</w:t>
      </w:r>
      <w:r>
        <w:rPr>
          <w:rFonts w:hint="eastAsia" w:ascii="仿宋" w:hAnsi="仿宋" w:eastAsia="仿宋" w:cs="仿宋"/>
          <w:color w:val="auto"/>
          <w:sz w:val="30"/>
          <w:szCs w:val="30"/>
          <w:highlight w:val="none"/>
          <w:lang w:val="en-US" w:eastAsia="zh-CN"/>
        </w:rPr>
        <w:t>.....-5-</w:t>
      </w:r>
      <w:r>
        <w:rPr>
          <w:rFonts w:hint="eastAsia" w:ascii="仿宋" w:hAnsi="仿宋" w:eastAsia="仿宋" w:cs="仿宋"/>
          <w:bCs/>
          <w:color w:val="auto"/>
          <w:sz w:val="30"/>
          <w:szCs w:val="30"/>
          <w:highlight w:val="none"/>
        </w:rPr>
        <w:fldChar w:fldCharType="end"/>
      </w:r>
    </w:p>
    <w:p>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00" w:firstLineChars="200"/>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六、一般公共预算财政拨款基本支出决算情况说明</w:t>
      </w:r>
      <w:r>
        <w:rPr>
          <w:rFonts w:hint="eastAsia" w:ascii="仿宋" w:hAnsi="仿宋" w:eastAsia="仿宋" w:cs="仿宋"/>
          <w:color w:val="auto"/>
          <w:sz w:val="30"/>
          <w:szCs w:val="30"/>
          <w:highlight w:val="none"/>
          <w:lang w:val="en-US" w:eastAsia="zh-CN"/>
        </w:rPr>
        <w:t>.....-5-</w:t>
      </w:r>
    </w:p>
    <w:p>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00" w:firstLineChars="200"/>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七、</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三公”经费财政拨款支出决算情况说明</w:t>
      </w:r>
      <w:r>
        <w:rPr>
          <w:rFonts w:hint="eastAsia" w:ascii="仿宋" w:hAnsi="仿宋" w:eastAsia="仿宋" w:cs="仿宋"/>
          <w:color w:val="auto"/>
          <w:sz w:val="30"/>
          <w:szCs w:val="30"/>
          <w:highlight w:val="none"/>
          <w:lang w:val="en-US" w:eastAsia="zh-CN"/>
        </w:rPr>
        <w:t>.........-6-</w:t>
      </w:r>
    </w:p>
    <w:p>
      <w:pPr>
        <w:pStyle w:val="7"/>
        <w:keepNext w:val="0"/>
        <w:keepLines w:val="0"/>
        <w:pageBreakBefore w:val="0"/>
        <w:widowControl w:val="0"/>
        <w:tabs>
          <w:tab w:val="right" w:leader="dot" w:pos="8306"/>
          <w:tab w:val="clear" w:pos="8296"/>
        </w:tabs>
        <w:kinsoku/>
        <w:wordWrap/>
        <w:overflowPunct/>
        <w:topLinePunct w:val="0"/>
        <w:autoSpaceDE/>
        <w:autoSpaceDN/>
        <w:bidi w:val="0"/>
        <w:spacing w:line="560" w:lineRule="exact"/>
        <w:textAlignment w:val="auto"/>
        <w:rPr>
          <w:rFonts w:hint="eastAsia" w:ascii="仿宋" w:hAnsi="仿宋" w:eastAsia="仿宋" w:cs="仿宋"/>
          <w:sz w:val="30"/>
          <w:szCs w:val="30"/>
        </w:rPr>
      </w:pPr>
      <w:r>
        <w:rPr>
          <w:rFonts w:hint="eastAsia" w:ascii="仿宋" w:hAnsi="仿宋" w:eastAsia="仿宋" w:cs="仿宋"/>
          <w:bCs/>
          <w:color w:val="auto"/>
          <w:sz w:val="30"/>
          <w:szCs w:val="30"/>
          <w:highlight w:val="none"/>
        </w:rPr>
        <w:fldChar w:fldCharType="begin"/>
      </w:r>
      <w:r>
        <w:rPr>
          <w:rFonts w:hint="eastAsia" w:ascii="仿宋" w:hAnsi="仿宋" w:eastAsia="仿宋" w:cs="仿宋"/>
          <w:bCs/>
          <w:sz w:val="30"/>
          <w:szCs w:val="30"/>
          <w:highlight w:val="none"/>
        </w:rPr>
        <w:instrText xml:space="preserve"> HYPERLINK \l _Toc30343 </w:instrText>
      </w:r>
      <w:r>
        <w:rPr>
          <w:rFonts w:hint="eastAsia" w:ascii="仿宋" w:hAnsi="仿宋" w:eastAsia="仿宋" w:cs="仿宋"/>
          <w:bCs/>
          <w:sz w:val="30"/>
          <w:szCs w:val="30"/>
          <w:highlight w:val="none"/>
        </w:rPr>
        <w:fldChar w:fldCharType="separate"/>
      </w:r>
      <w:r>
        <w:rPr>
          <w:rFonts w:hint="eastAsia" w:ascii="仿宋" w:hAnsi="仿宋" w:eastAsia="仿宋" w:cs="仿宋"/>
          <w:sz w:val="30"/>
          <w:szCs w:val="30"/>
          <w:highlight w:val="none"/>
        </w:rPr>
        <w:t>（一）“三公”经费财政拨款支出决算总体情况说明</w:t>
      </w:r>
      <w:r>
        <w:rPr>
          <w:rFonts w:hint="eastAsia" w:ascii="仿宋" w:hAnsi="仿宋" w:eastAsia="仿宋" w:cs="仿宋"/>
          <w:sz w:val="30"/>
          <w:szCs w:val="30"/>
          <w:highlight w:val="none"/>
          <w:lang w:val="en-US" w:eastAsia="zh-CN"/>
        </w:rPr>
        <w:t>.</w:t>
      </w:r>
      <w:r>
        <w:rPr>
          <w:rFonts w:hint="eastAsia" w:ascii="仿宋" w:hAnsi="仿宋" w:eastAsia="仿宋" w:cs="仿宋"/>
          <w:color w:val="auto"/>
          <w:sz w:val="30"/>
          <w:szCs w:val="30"/>
          <w:highlight w:val="none"/>
          <w:lang w:val="en-US" w:eastAsia="zh-CN"/>
        </w:rPr>
        <w:t>-6-</w:t>
      </w:r>
      <w:r>
        <w:rPr>
          <w:rFonts w:hint="eastAsia" w:ascii="仿宋" w:hAnsi="仿宋" w:eastAsia="仿宋" w:cs="仿宋"/>
          <w:bCs/>
          <w:color w:val="auto"/>
          <w:sz w:val="30"/>
          <w:szCs w:val="30"/>
          <w:highlight w:val="none"/>
        </w:rPr>
        <w:fldChar w:fldCharType="end"/>
      </w:r>
    </w:p>
    <w:p>
      <w:pPr>
        <w:pStyle w:val="7"/>
        <w:keepNext w:val="0"/>
        <w:keepLines w:val="0"/>
        <w:pageBreakBefore w:val="0"/>
        <w:widowControl w:val="0"/>
        <w:tabs>
          <w:tab w:val="right" w:leader="dot" w:pos="8306"/>
          <w:tab w:val="clear" w:pos="8296"/>
        </w:tabs>
        <w:kinsoku/>
        <w:wordWrap/>
        <w:overflowPunct/>
        <w:topLinePunct w:val="0"/>
        <w:autoSpaceDE/>
        <w:autoSpaceDN/>
        <w:bidi w:val="0"/>
        <w:spacing w:line="560" w:lineRule="exact"/>
        <w:textAlignment w:val="auto"/>
        <w:rPr>
          <w:rFonts w:hint="eastAsia" w:ascii="仿宋" w:hAnsi="仿宋" w:eastAsia="仿宋" w:cs="仿宋"/>
          <w:sz w:val="30"/>
          <w:szCs w:val="30"/>
        </w:rPr>
      </w:pPr>
      <w:r>
        <w:rPr>
          <w:rFonts w:hint="eastAsia" w:ascii="仿宋" w:hAnsi="仿宋" w:eastAsia="仿宋" w:cs="仿宋"/>
          <w:bCs/>
          <w:color w:val="auto"/>
          <w:sz w:val="30"/>
          <w:szCs w:val="30"/>
          <w:highlight w:val="none"/>
        </w:rPr>
        <w:fldChar w:fldCharType="begin"/>
      </w:r>
      <w:r>
        <w:rPr>
          <w:rFonts w:hint="eastAsia" w:ascii="仿宋" w:hAnsi="仿宋" w:eastAsia="仿宋" w:cs="仿宋"/>
          <w:bCs/>
          <w:sz w:val="30"/>
          <w:szCs w:val="30"/>
          <w:highlight w:val="none"/>
        </w:rPr>
        <w:instrText xml:space="preserve"> HYPERLINK \l _Toc31503 </w:instrText>
      </w:r>
      <w:r>
        <w:rPr>
          <w:rFonts w:hint="eastAsia" w:ascii="仿宋" w:hAnsi="仿宋" w:eastAsia="仿宋" w:cs="仿宋"/>
          <w:bCs/>
          <w:sz w:val="30"/>
          <w:szCs w:val="30"/>
          <w:highlight w:val="none"/>
        </w:rPr>
        <w:fldChar w:fldCharType="separate"/>
      </w:r>
      <w:r>
        <w:rPr>
          <w:rFonts w:hint="eastAsia" w:ascii="仿宋" w:hAnsi="仿宋" w:eastAsia="仿宋" w:cs="仿宋"/>
          <w:sz w:val="30"/>
          <w:szCs w:val="30"/>
          <w:highlight w:val="none"/>
        </w:rPr>
        <w:t>（二）“三公”经费财政拨款支出决算具体情况说明</w:t>
      </w:r>
      <w:r>
        <w:rPr>
          <w:rFonts w:hint="eastAsia" w:ascii="仿宋" w:hAnsi="仿宋" w:eastAsia="仿宋" w:cs="仿宋"/>
          <w:sz w:val="30"/>
          <w:szCs w:val="30"/>
          <w:highlight w:val="none"/>
          <w:lang w:val="en-US" w:eastAsia="zh-CN"/>
        </w:rPr>
        <w:t>.</w:t>
      </w:r>
      <w:r>
        <w:rPr>
          <w:rFonts w:hint="eastAsia" w:ascii="仿宋" w:hAnsi="仿宋" w:eastAsia="仿宋" w:cs="仿宋"/>
          <w:color w:val="auto"/>
          <w:sz w:val="30"/>
          <w:szCs w:val="30"/>
          <w:highlight w:val="none"/>
          <w:lang w:val="en-US" w:eastAsia="zh-CN"/>
        </w:rPr>
        <w:t>-6-</w:t>
      </w:r>
      <w:r>
        <w:rPr>
          <w:rFonts w:hint="eastAsia" w:ascii="仿宋" w:hAnsi="仿宋" w:eastAsia="仿宋" w:cs="仿宋"/>
          <w:bCs/>
          <w:color w:val="auto"/>
          <w:sz w:val="30"/>
          <w:szCs w:val="30"/>
          <w:highlight w:val="none"/>
        </w:rPr>
        <w:fldChar w:fldCharType="end"/>
      </w:r>
    </w:p>
    <w:p>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00" w:firstLineChars="200"/>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八、政府性基金预算支出决算情况说明</w:t>
      </w:r>
      <w:r>
        <w:rPr>
          <w:rFonts w:hint="eastAsia" w:ascii="仿宋" w:hAnsi="仿宋" w:eastAsia="仿宋" w:cs="仿宋"/>
          <w:color w:val="auto"/>
          <w:sz w:val="30"/>
          <w:szCs w:val="30"/>
          <w:highlight w:val="none"/>
          <w:lang w:val="en-US" w:eastAsia="zh-CN"/>
        </w:rPr>
        <w:t>...............-7-</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300" w:firstLineChars="100"/>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九、国有资本经营预算支出决算情况说明</w:t>
      </w:r>
      <w:r>
        <w:rPr>
          <w:rFonts w:hint="eastAsia" w:ascii="仿宋" w:hAnsi="仿宋" w:eastAsia="仿宋" w:cs="仿宋"/>
          <w:color w:val="auto"/>
          <w:sz w:val="30"/>
          <w:szCs w:val="30"/>
          <w:highlight w:val="none"/>
          <w:lang w:val="en-US" w:eastAsia="zh-CN"/>
        </w:rPr>
        <w:t>............-7-</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300" w:firstLineChars="100"/>
        <w:jc w:val="left"/>
        <w:textAlignment w:val="auto"/>
        <w:rPr>
          <w:rFonts w:hint="eastAsia" w:ascii="仿宋" w:hAnsi="仿宋" w:eastAsia="仿宋" w:cs="仿宋"/>
          <w:sz w:val="30"/>
          <w:szCs w:val="30"/>
          <w:lang w:val="en-US" w:eastAsia="zh-CN"/>
        </w:rPr>
      </w:pPr>
      <w:r>
        <w:rPr>
          <w:rFonts w:hint="eastAsia" w:ascii="仿宋" w:hAnsi="仿宋" w:eastAsia="仿宋" w:cs="仿宋"/>
          <w:color w:val="auto"/>
          <w:sz w:val="30"/>
          <w:szCs w:val="30"/>
          <w:highlight w:val="none"/>
        </w:rPr>
        <w:t>十、</w:t>
      </w:r>
      <w:r>
        <w:rPr>
          <w:rFonts w:hint="eastAsia" w:ascii="仿宋" w:hAnsi="仿宋" w:eastAsia="仿宋" w:cs="仿宋"/>
          <w:color w:val="auto"/>
          <w:sz w:val="30"/>
          <w:szCs w:val="30"/>
          <w:highlight w:val="none"/>
          <w:lang w:val="en-US" w:eastAsia="zh-CN"/>
        </w:rPr>
        <w:t>预算绩效管理情况............................-8-</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300" w:firstLineChars="100"/>
        <w:jc w:val="left"/>
        <w:textAlignment w:val="auto"/>
        <w:rPr>
          <w:rFonts w:hint="eastAsia" w:ascii="仿宋" w:hAnsi="仿宋" w:eastAsia="仿宋" w:cs="仿宋"/>
          <w:sz w:val="30"/>
          <w:szCs w:val="30"/>
          <w:lang w:val="en-US" w:eastAsia="zh-CN"/>
        </w:rPr>
      </w:pPr>
      <w:r>
        <w:rPr>
          <w:rFonts w:hint="eastAsia" w:ascii="仿宋" w:hAnsi="仿宋" w:eastAsia="仿宋" w:cs="仿宋"/>
          <w:color w:val="auto"/>
          <w:sz w:val="30"/>
          <w:szCs w:val="30"/>
          <w:highlight w:val="none"/>
          <w:lang w:val="en-US" w:eastAsia="zh-CN"/>
        </w:rPr>
        <w:t>十一、</w:t>
      </w:r>
      <w:r>
        <w:rPr>
          <w:rFonts w:hint="eastAsia" w:ascii="仿宋" w:hAnsi="仿宋" w:eastAsia="仿宋" w:cs="仿宋"/>
          <w:color w:val="auto"/>
          <w:sz w:val="30"/>
          <w:szCs w:val="30"/>
          <w:highlight w:val="none"/>
        </w:rPr>
        <w:t>其他重要事项的情况说明</w:t>
      </w:r>
      <w:r>
        <w:rPr>
          <w:rFonts w:hint="eastAsia" w:ascii="仿宋" w:hAnsi="仿宋" w:eastAsia="仿宋" w:cs="仿宋"/>
          <w:color w:val="auto"/>
          <w:sz w:val="30"/>
          <w:szCs w:val="30"/>
          <w:highlight w:val="none"/>
          <w:lang w:val="en-US" w:eastAsia="zh-CN"/>
        </w:rPr>
        <w:t>....................-8-</w:t>
      </w:r>
    </w:p>
    <w:p>
      <w:pPr>
        <w:pStyle w:val="11"/>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第三部分 名词解释</w:t>
      </w:r>
      <w:r>
        <w:rPr>
          <w:rFonts w:hint="eastAsia" w:ascii="仿宋" w:hAnsi="仿宋" w:eastAsia="仿宋" w:cs="仿宋"/>
          <w:color w:val="auto"/>
          <w:sz w:val="30"/>
          <w:szCs w:val="30"/>
          <w:highlight w:val="none"/>
          <w:lang w:val="en-US" w:eastAsia="zh-CN"/>
        </w:rPr>
        <w:t>......</w:t>
      </w:r>
      <w:r>
        <w:rPr>
          <w:rFonts w:hint="eastAsia" w:cs="仿宋"/>
          <w:color w:val="auto"/>
          <w:sz w:val="30"/>
          <w:szCs w:val="30"/>
          <w:highlight w:val="none"/>
          <w:lang w:val="en-US" w:eastAsia="zh-CN"/>
        </w:rPr>
        <w:t>........................</w:t>
      </w:r>
      <w:r>
        <w:rPr>
          <w:rFonts w:hint="eastAsia" w:ascii="仿宋" w:hAnsi="仿宋" w:eastAsia="仿宋" w:cs="仿宋"/>
          <w:color w:val="auto"/>
          <w:sz w:val="30"/>
          <w:szCs w:val="30"/>
          <w:highlight w:val="none"/>
          <w:lang w:val="en-US" w:eastAsia="zh-CN"/>
        </w:rPr>
        <w:t>.....-</w:t>
      </w:r>
      <w:r>
        <w:rPr>
          <w:rFonts w:hint="eastAsia" w:cs="仿宋"/>
          <w:color w:val="auto"/>
          <w:sz w:val="30"/>
          <w:szCs w:val="30"/>
          <w:highlight w:val="none"/>
          <w:lang w:val="en-US" w:eastAsia="zh-CN"/>
        </w:rPr>
        <w:t>9</w:t>
      </w:r>
      <w:r>
        <w:rPr>
          <w:rFonts w:hint="eastAsia" w:ascii="仿宋" w:hAnsi="仿宋" w:eastAsia="仿宋" w:cs="仿宋"/>
          <w:color w:val="auto"/>
          <w:sz w:val="30"/>
          <w:szCs w:val="30"/>
          <w:highlight w:val="none"/>
          <w:lang w:val="en-US" w:eastAsia="zh-CN"/>
        </w:rPr>
        <w:t>-</w:t>
      </w:r>
    </w:p>
    <w:p>
      <w:pPr>
        <w:pStyle w:val="11"/>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第四部分 附件</w:t>
      </w:r>
      <w:r>
        <w:rPr>
          <w:rFonts w:hint="eastAsia" w:cs="仿宋"/>
          <w:color w:val="auto"/>
          <w:sz w:val="30"/>
          <w:szCs w:val="30"/>
          <w:highlight w:val="none"/>
          <w:lang w:val="en-US" w:eastAsia="zh-CN"/>
        </w:rPr>
        <w:t>......................................-11-</w:t>
      </w:r>
    </w:p>
    <w:p>
      <w:pPr>
        <w:pStyle w:val="11"/>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第五部分 附表</w:t>
      </w:r>
      <w:r>
        <w:rPr>
          <w:rFonts w:hint="eastAsia" w:cs="仿宋"/>
          <w:color w:val="auto"/>
          <w:sz w:val="30"/>
          <w:szCs w:val="30"/>
          <w:highlight w:val="none"/>
          <w:lang w:val="en-US" w:eastAsia="zh-CN"/>
        </w:rPr>
        <w:t>......................................-22-</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300" w:firstLineChars="100"/>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一、收入支出决算总表</w:t>
      </w:r>
      <w:r>
        <w:rPr>
          <w:rFonts w:hint="eastAsia" w:ascii="仿宋" w:hAnsi="仿宋" w:eastAsia="仿宋" w:cs="仿宋"/>
          <w:color w:val="auto"/>
          <w:sz w:val="30"/>
          <w:szCs w:val="30"/>
          <w:highlight w:val="none"/>
          <w:lang w:val="en-US" w:eastAsia="zh-CN"/>
        </w:rPr>
        <w:t>...........................-22-</w:t>
      </w:r>
    </w:p>
    <w:p>
      <w:pPr>
        <w:pStyle w:val="12"/>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二、收入决算表</w:t>
      </w:r>
      <w:r>
        <w:rPr>
          <w:rFonts w:hint="eastAsia" w:ascii="仿宋" w:hAnsi="仿宋" w:eastAsia="仿宋" w:cs="仿宋"/>
          <w:color w:val="auto"/>
          <w:sz w:val="30"/>
          <w:szCs w:val="30"/>
          <w:highlight w:val="none"/>
          <w:lang w:val="en-US" w:eastAsia="zh-CN"/>
        </w:rPr>
        <w:t>...................................-22-</w:t>
      </w:r>
    </w:p>
    <w:p>
      <w:pPr>
        <w:pStyle w:val="12"/>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三、支出决算表</w:t>
      </w:r>
      <w:r>
        <w:rPr>
          <w:rFonts w:hint="eastAsia" w:ascii="仿宋" w:hAnsi="仿宋" w:eastAsia="仿宋" w:cs="仿宋"/>
          <w:color w:val="auto"/>
          <w:sz w:val="30"/>
          <w:szCs w:val="30"/>
          <w:highlight w:val="none"/>
          <w:lang w:val="en-US" w:eastAsia="zh-CN"/>
        </w:rPr>
        <w:t>...................................-22-</w:t>
      </w:r>
    </w:p>
    <w:p>
      <w:pPr>
        <w:pStyle w:val="12"/>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四、财政拨款收入支出决算表</w:t>
      </w:r>
      <w:r>
        <w:rPr>
          <w:rFonts w:hint="eastAsia" w:ascii="仿宋" w:hAnsi="仿宋" w:eastAsia="仿宋" w:cs="仿宋"/>
          <w:color w:val="auto"/>
          <w:sz w:val="30"/>
          <w:szCs w:val="30"/>
          <w:highlight w:val="none"/>
          <w:lang w:val="en-US" w:eastAsia="zh-CN"/>
        </w:rPr>
        <w:t>.......................-22-</w:t>
      </w:r>
    </w:p>
    <w:p>
      <w:pPr>
        <w:pStyle w:val="12"/>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五、财政拨款支出决算明细表</w:t>
      </w:r>
      <w:r>
        <w:rPr>
          <w:rFonts w:hint="eastAsia" w:ascii="仿宋" w:hAnsi="仿宋" w:eastAsia="仿宋" w:cs="仿宋"/>
          <w:color w:val="auto"/>
          <w:sz w:val="30"/>
          <w:szCs w:val="30"/>
          <w:highlight w:val="none"/>
          <w:lang w:val="en-US" w:eastAsia="zh-CN"/>
        </w:rPr>
        <w:t>.......................-22-</w:t>
      </w:r>
    </w:p>
    <w:p>
      <w:pPr>
        <w:pStyle w:val="12"/>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六、一般公共预算财政拨款支出决算表</w:t>
      </w:r>
      <w:r>
        <w:rPr>
          <w:rFonts w:hint="eastAsia" w:ascii="仿宋" w:hAnsi="仿宋" w:eastAsia="仿宋" w:cs="仿宋"/>
          <w:color w:val="auto"/>
          <w:sz w:val="30"/>
          <w:szCs w:val="30"/>
          <w:highlight w:val="none"/>
          <w:lang w:val="en-US" w:eastAsia="zh-CN"/>
        </w:rPr>
        <w:t>...............-22-</w:t>
      </w:r>
    </w:p>
    <w:p>
      <w:pPr>
        <w:pStyle w:val="12"/>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七、一般公共预算财政拨款支出决算明细表</w:t>
      </w:r>
      <w:r>
        <w:rPr>
          <w:rFonts w:hint="eastAsia" w:ascii="仿宋" w:hAnsi="仿宋" w:eastAsia="仿宋" w:cs="仿宋"/>
          <w:color w:val="auto"/>
          <w:sz w:val="30"/>
          <w:szCs w:val="30"/>
          <w:highlight w:val="none"/>
          <w:lang w:val="en-US" w:eastAsia="zh-CN"/>
        </w:rPr>
        <w:t>...........-22-</w:t>
      </w:r>
    </w:p>
    <w:p>
      <w:pPr>
        <w:pStyle w:val="12"/>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八、一般公共预算财政拨款基本支出决</w:t>
      </w:r>
      <w:r>
        <w:rPr>
          <w:rFonts w:hint="eastAsia" w:ascii="仿宋" w:hAnsi="仿宋" w:eastAsia="仿宋" w:cs="仿宋"/>
          <w:color w:val="auto"/>
          <w:sz w:val="30"/>
          <w:szCs w:val="30"/>
          <w:highlight w:val="none"/>
          <w:lang w:val="en-US" w:eastAsia="zh-CN"/>
        </w:rPr>
        <w:t>算</w:t>
      </w:r>
      <w:r>
        <w:rPr>
          <w:rFonts w:hint="eastAsia" w:ascii="仿宋" w:hAnsi="仿宋" w:eastAsia="仿宋" w:cs="仿宋"/>
          <w:color w:val="auto"/>
          <w:sz w:val="30"/>
          <w:szCs w:val="30"/>
          <w:highlight w:val="none"/>
        </w:rPr>
        <w:t>表</w:t>
      </w:r>
      <w:r>
        <w:rPr>
          <w:rFonts w:hint="eastAsia" w:ascii="仿宋" w:hAnsi="仿宋" w:eastAsia="仿宋" w:cs="仿宋"/>
          <w:color w:val="auto"/>
          <w:sz w:val="30"/>
          <w:szCs w:val="30"/>
          <w:highlight w:val="none"/>
          <w:lang w:val="en-US" w:eastAsia="zh-CN"/>
        </w:rPr>
        <w:t>...........-22-</w:t>
      </w:r>
    </w:p>
    <w:p>
      <w:pPr>
        <w:pStyle w:val="12"/>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九、一般公共预算财政拨款项目支出决</w:t>
      </w:r>
      <w:r>
        <w:rPr>
          <w:rFonts w:hint="eastAsia" w:ascii="仿宋" w:hAnsi="仿宋" w:eastAsia="仿宋" w:cs="仿宋"/>
          <w:color w:val="auto"/>
          <w:sz w:val="30"/>
          <w:szCs w:val="30"/>
          <w:highlight w:val="none"/>
          <w:lang w:val="en-US" w:eastAsia="zh-CN"/>
        </w:rPr>
        <w:t>算</w:t>
      </w:r>
      <w:r>
        <w:rPr>
          <w:rFonts w:hint="eastAsia" w:ascii="仿宋" w:hAnsi="仿宋" w:eastAsia="仿宋" w:cs="仿宋"/>
          <w:color w:val="auto"/>
          <w:sz w:val="30"/>
          <w:szCs w:val="30"/>
          <w:highlight w:val="none"/>
        </w:rPr>
        <w:t>表</w:t>
      </w:r>
      <w:r>
        <w:rPr>
          <w:rFonts w:hint="eastAsia" w:ascii="仿宋" w:hAnsi="仿宋" w:eastAsia="仿宋" w:cs="仿宋"/>
          <w:color w:val="auto"/>
          <w:sz w:val="30"/>
          <w:szCs w:val="30"/>
          <w:highlight w:val="none"/>
          <w:lang w:val="en-US" w:eastAsia="zh-CN"/>
        </w:rPr>
        <w:t>...........-22-</w:t>
      </w:r>
    </w:p>
    <w:p>
      <w:pPr>
        <w:pStyle w:val="12"/>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十、一般公共预算财政拨款“三公”经费支出决算表</w:t>
      </w:r>
      <w:r>
        <w:rPr>
          <w:rFonts w:hint="eastAsia" w:ascii="仿宋" w:hAnsi="仿宋" w:eastAsia="仿宋" w:cs="仿宋"/>
          <w:color w:val="auto"/>
          <w:sz w:val="30"/>
          <w:szCs w:val="30"/>
          <w:highlight w:val="none"/>
          <w:lang w:val="en-US" w:eastAsia="zh-CN"/>
        </w:rPr>
        <w:t>.....-22-</w:t>
      </w:r>
    </w:p>
    <w:p>
      <w:pPr>
        <w:pStyle w:val="12"/>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十一、政府性基金预算财政拨款收入支出决算表</w:t>
      </w:r>
      <w:r>
        <w:rPr>
          <w:rFonts w:hint="eastAsia" w:ascii="仿宋" w:hAnsi="仿宋" w:eastAsia="仿宋" w:cs="仿宋"/>
          <w:color w:val="auto"/>
          <w:sz w:val="30"/>
          <w:szCs w:val="30"/>
          <w:highlight w:val="none"/>
          <w:lang w:val="en-US" w:eastAsia="zh-CN"/>
        </w:rPr>
        <w:t>.......-22-</w:t>
      </w:r>
    </w:p>
    <w:p>
      <w:pPr>
        <w:pStyle w:val="12"/>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十二、政府性基金预算财政拨款“三公”经费支出决算表</w:t>
      </w:r>
      <w:r>
        <w:rPr>
          <w:rFonts w:hint="eastAsia" w:ascii="仿宋" w:hAnsi="仿宋" w:eastAsia="仿宋" w:cs="仿宋"/>
          <w:color w:val="auto"/>
          <w:sz w:val="30"/>
          <w:szCs w:val="30"/>
          <w:highlight w:val="none"/>
          <w:lang w:val="en-US" w:eastAsia="zh-CN"/>
        </w:rPr>
        <w:t>.-22-</w:t>
      </w:r>
    </w:p>
    <w:p>
      <w:pPr>
        <w:pStyle w:val="12"/>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十三、国有资本经营预算</w:t>
      </w:r>
      <w:r>
        <w:rPr>
          <w:rFonts w:hint="eastAsia" w:ascii="仿宋" w:hAnsi="仿宋" w:eastAsia="仿宋" w:cs="仿宋"/>
          <w:color w:val="auto"/>
          <w:sz w:val="30"/>
          <w:szCs w:val="30"/>
          <w:highlight w:val="none"/>
          <w:lang w:eastAsia="zh-CN"/>
        </w:rPr>
        <w:t>财政拨款收入</w:t>
      </w:r>
      <w:r>
        <w:rPr>
          <w:rFonts w:hint="eastAsia" w:ascii="仿宋" w:hAnsi="仿宋" w:eastAsia="仿宋" w:cs="仿宋"/>
          <w:color w:val="auto"/>
          <w:sz w:val="30"/>
          <w:szCs w:val="30"/>
          <w:highlight w:val="none"/>
        </w:rPr>
        <w:t>支出决算表</w:t>
      </w:r>
      <w:r>
        <w:rPr>
          <w:rFonts w:hint="eastAsia" w:ascii="仿宋" w:hAnsi="仿宋" w:eastAsia="仿宋" w:cs="仿宋"/>
          <w:color w:val="auto"/>
          <w:sz w:val="30"/>
          <w:szCs w:val="30"/>
          <w:highlight w:val="none"/>
          <w:lang w:val="en-US" w:eastAsia="zh-CN"/>
        </w:rPr>
        <w:t>.....-22-</w:t>
      </w:r>
    </w:p>
    <w:p>
      <w:pPr>
        <w:pStyle w:val="12"/>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十四、国有资本经营预算财政拨款支出决算表.........-22-</w:t>
      </w:r>
    </w:p>
    <w:p>
      <w:pPr>
        <w:pStyle w:val="3"/>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b w:val="0"/>
          <w:color w:val="auto"/>
          <w:sz w:val="30"/>
          <w:szCs w:val="30"/>
          <w:highlight w:val="none"/>
        </w:rPr>
        <w:sectPr>
          <w:footerReference r:id="rId6" w:type="first"/>
          <w:footerReference r:id="rId5" w:type="default"/>
          <w:pgSz w:w="11906" w:h="16838"/>
          <w:pgMar w:top="1440" w:right="1800" w:bottom="1440" w:left="1800" w:header="851" w:footer="992" w:gutter="0"/>
          <w:pgNumType w:start="1"/>
          <w:cols w:space="425" w:num="1"/>
          <w:titlePg/>
          <w:docGrid w:type="lines" w:linePitch="312" w:charSpace="0"/>
        </w:sectPr>
      </w:pPr>
      <w:bookmarkStart w:id="7" w:name="_Toc15396599"/>
      <w:bookmarkStart w:id="8" w:name="_Toc15377196"/>
    </w:p>
    <w:p>
      <w:pPr>
        <w:pStyle w:val="3"/>
        <w:pageBreakBefore w:val="0"/>
        <w:kinsoku/>
        <w:wordWrap/>
        <w:overflowPunct/>
        <w:topLinePunct w:val="0"/>
        <w:autoSpaceDE/>
        <w:autoSpaceDN/>
        <w:bidi w:val="0"/>
        <w:adjustRightInd/>
        <w:snapToGrid/>
        <w:spacing w:line="560" w:lineRule="exact"/>
        <w:jc w:val="center"/>
        <w:textAlignment w:val="auto"/>
        <w:rPr>
          <w:rFonts w:ascii="黑体" w:eastAsia="黑体"/>
          <w:color w:val="auto"/>
          <w:sz w:val="32"/>
          <w:szCs w:val="32"/>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7"/>
          <w:rFonts w:hint="eastAsia" w:ascii="黑体" w:hAnsi="黑体" w:eastAsia="黑体"/>
          <w:b w:val="0"/>
          <w:bCs w:val="0"/>
          <w:color w:val="auto"/>
          <w:highlight w:val="none"/>
        </w:rPr>
        <w:t>概况</w:t>
      </w:r>
      <w:bookmarkEnd w:id="7"/>
      <w:bookmarkEnd w:id="8"/>
    </w:p>
    <w:p>
      <w:pPr>
        <w:pStyle w:val="4"/>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9" w:name="_Toc15377197"/>
      <w:bookmarkStart w:id="10" w:name="_Toc15396600"/>
      <w:r>
        <w:rPr>
          <w:rStyle w:val="28"/>
          <w:rFonts w:hint="eastAsia" w:ascii="黑体" w:hAnsi="黑体" w:eastAsia="黑体" w:cs="黑体"/>
          <w:b w:val="0"/>
          <w:bCs w:val="0"/>
          <w:color w:val="auto"/>
          <w:highlight w:val="none"/>
          <w:lang w:val="en-US" w:eastAsia="zh-CN"/>
        </w:rPr>
        <w:t>一、</w:t>
      </w:r>
      <w:r>
        <w:rPr>
          <w:rStyle w:val="28"/>
          <w:rFonts w:hint="eastAsia" w:ascii="黑体" w:hAnsi="黑体" w:eastAsia="黑体" w:cs="黑体"/>
          <w:b w:val="0"/>
          <w:bCs w:val="0"/>
          <w:color w:val="auto"/>
          <w:highlight w:val="none"/>
        </w:rPr>
        <w:t>职能</w:t>
      </w:r>
      <w:r>
        <w:rPr>
          <w:rStyle w:val="28"/>
          <w:rFonts w:hint="eastAsia" w:ascii="黑体" w:hAnsi="黑体" w:eastAsia="黑体" w:cs="黑体"/>
          <w:b w:val="0"/>
          <w:bCs w:val="0"/>
          <w:color w:val="auto"/>
          <w:highlight w:val="none"/>
          <w:lang w:eastAsia="zh-CN"/>
        </w:rPr>
        <w:t>简介</w:t>
      </w:r>
    </w:p>
    <w:p>
      <w:pPr>
        <w:pStyle w:val="4"/>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我校始建于1996年6月，是由广元市市委、市政府创办的一所面向全市老年人的社会公益学校，为财政拨款的副县级事业单位。近年来，我校认真贯彻党的老年教育的方针政策，积极发展本市的老年教育事业。加强教育管理，提高教学质量，组织好具体教学活动，使教学管理工作制度化、规范化，带动全市老年教育工作上档次、上台阶。</w:t>
      </w:r>
    </w:p>
    <w:p>
      <w:pPr>
        <w:pStyle w:val="4"/>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b w:val="0"/>
          <w:color w:val="auto"/>
          <w:highlight w:val="none"/>
        </w:rPr>
      </w:pPr>
      <w:r>
        <w:rPr>
          <w:rFonts w:hint="eastAsia" w:ascii="黑体" w:hAnsi="黑体" w:eastAsia="黑体"/>
          <w:b w:val="0"/>
          <w:color w:val="auto"/>
          <w:highlight w:val="none"/>
          <w:lang w:val="en-US" w:eastAsia="zh-CN"/>
        </w:rPr>
        <w:t>二、2021年重点</w:t>
      </w:r>
      <w:r>
        <w:rPr>
          <w:rFonts w:hint="eastAsia" w:ascii="黑体" w:hAnsi="黑体" w:eastAsia="黑体"/>
          <w:b w:val="0"/>
          <w:color w:val="auto"/>
          <w:highlight w:val="none"/>
        </w:rPr>
        <w:t>工作</w:t>
      </w:r>
      <w:bookmarkEnd w:id="9"/>
      <w:bookmarkEnd w:id="10"/>
      <w:r>
        <w:rPr>
          <w:rFonts w:hint="eastAsia" w:ascii="黑体" w:hAnsi="黑体" w:eastAsia="黑体"/>
          <w:b w:val="0"/>
          <w:color w:val="auto"/>
          <w:highlight w:val="none"/>
          <w:lang w:eastAsia="zh-CN"/>
        </w:rPr>
        <w:t>完成情况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是认真贯彻落实国家、省、市《老年教育发展规划》，以“增长知识，丰富生活，陶冶情操，促进健康，服务社会”为办学宗旨，不断促进学校健康发展，狠抓教学管理，努力把老年大学办成老年人学习的校园、开心的乐园和友爱的家园，为广元老年教育事业继续</w:t>
      </w:r>
      <w:r>
        <w:rPr>
          <w:rFonts w:hint="eastAsia" w:ascii="仿宋" w:hAnsi="仿宋" w:eastAsia="仿宋" w:cs="仿宋"/>
          <w:sz w:val="32"/>
          <w:szCs w:val="32"/>
          <w:lang w:val="en-US" w:eastAsia="zh-CN"/>
        </w:rPr>
        <w:t>做</w:t>
      </w:r>
      <w:r>
        <w:rPr>
          <w:rFonts w:hint="eastAsia" w:ascii="仿宋" w:hAnsi="仿宋" w:eastAsia="仿宋" w:cs="仿宋"/>
          <w:sz w:val="32"/>
          <w:szCs w:val="32"/>
        </w:rPr>
        <w:t>出新的贡献。二是做好春秋两季的教学工作，开展丰富多彩的课堂教学、第二课堂活动、春游和秋游活动。按学期计划按时完成了教学任务。</w:t>
      </w:r>
    </w:p>
    <w:p>
      <w:pPr>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b w:val="0"/>
          <w:bCs/>
          <w:color w:val="auto"/>
          <w:highlight w:val="none"/>
        </w:rPr>
      </w:pPr>
      <w:r>
        <w:rPr>
          <w:rFonts w:ascii="仿宋" w:hAnsi="仿宋" w:eastAsia="仿宋"/>
          <w:color w:val="auto"/>
          <w:sz w:val="32"/>
          <w:szCs w:val="32"/>
          <w:highlight w:val="none"/>
        </w:rPr>
        <w:br w:type="page"/>
      </w:r>
      <w:bookmarkStart w:id="11" w:name="_Toc15396602"/>
      <w:bookmarkStart w:id="12" w:name="_Toc15377204"/>
    </w:p>
    <w:p>
      <w:pPr>
        <w:pStyle w:val="3"/>
        <w:ind w:right="440"/>
        <w:jc w:val="center"/>
        <w:rPr>
          <w:color w:val="auto"/>
          <w:highlight w:val="none"/>
        </w:rPr>
      </w:pPr>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7"/>
          <w:rFonts w:hint="eastAsia" w:ascii="黑体" w:hAnsi="黑体" w:eastAsia="黑体"/>
          <w:b w:val="0"/>
          <w:bCs/>
          <w:color w:val="auto"/>
          <w:highlight w:val="none"/>
          <w:lang w:eastAsia="zh-CN"/>
        </w:rPr>
        <w:t>单位</w:t>
      </w:r>
      <w:r>
        <w:rPr>
          <w:rStyle w:val="27"/>
          <w:rFonts w:hint="eastAsia" w:ascii="黑体" w:hAnsi="黑体" w:eastAsia="黑体"/>
          <w:b w:val="0"/>
          <w:bCs/>
          <w:color w:val="auto"/>
          <w:highlight w:val="none"/>
        </w:rPr>
        <w:t>决算情况说明</w:t>
      </w:r>
      <w:bookmarkEnd w:id="11"/>
      <w:bookmarkEnd w:id="12"/>
    </w:p>
    <w:p>
      <w:pPr>
        <w:pStyle w:val="26"/>
        <w:numPr>
          <w:ilvl w:val="0"/>
          <w:numId w:val="1"/>
        </w:numPr>
        <w:spacing w:line="600" w:lineRule="exact"/>
        <w:ind w:firstLineChars="0"/>
        <w:outlineLvl w:val="1"/>
        <w:rPr>
          <w:rStyle w:val="28"/>
          <w:rFonts w:ascii="黑体" w:hAnsi="黑体" w:eastAsia="黑体"/>
          <w:b w:val="0"/>
          <w:color w:val="auto"/>
          <w:highlight w:val="none"/>
        </w:rPr>
      </w:pPr>
      <w:bookmarkStart w:id="13" w:name="_Toc15377205"/>
      <w:bookmarkStart w:id="14" w:name="_Toc15396603"/>
      <w:r>
        <w:rPr>
          <w:rFonts w:hint="eastAsia" w:ascii="黑体" w:hAnsi="黑体" w:eastAsia="黑体"/>
          <w:color w:val="auto"/>
          <w:sz w:val="32"/>
          <w:szCs w:val="32"/>
          <w:highlight w:val="none"/>
        </w:rPr>
        <w:t>收</w:t>
      </w:r>
      <w:r>
        <w:rPr>
          <w:rStyle w:val="28"/>
          <w:rFonts w:hint="eastAsia" w:ascii="黑体" w:hAnsi="黑体" w:eastAsia="黑体"/>
          <w:b w:val="0"/>
          <w:color w:val="auto"/>
          <w:highlight w:val="none"/>
        </w:rPr>
        <w:t>入支出决算总体情况说明</w:t>
      </w:r>
      <w:bookmarkEnd w:id="13"/>
      <w:bookmarkEnd w:id="14"/>
    </w:p>
    <w:p>
      <w:pPr>
        <w:spacing w:line="600" w:lineRule="exact"/>
        <w:ind w:firstLine="640" w:firstLineChars="200"/>
        <w:rPr>
          <w:rFonts w:hint="default"/>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343.92</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年相比，收、支总计各增加</w:t>
      </w:r>
      <w:r>
        <w:rPr>
          <w:rFonts w:ascii="仿宋" w:hAnsi="仿宋" w:eastAsia="仿宋"/>
          <w:color w:val="auto"/>
          <w:sz w:val="32"/>
          <w:szCs w:val="32"/>
          <w:highlight w:val="none"/>
        </w:rPr>
        <w:t>/</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万元，增长</w:t>
      </w:r>
      <w:r>
        <w:rPr>
          <w:rFonts w:ascii="仿宋" w:hAnsi="仿宋" w:eastAsia="仿宋"/>
          <w:color w:val="auto"/>
          <w:sz w:val="32"/>
          <w:szCs w:val="32"/>
          <w:highlight w:val="none"/>
        </w:rPr>
        <w:t>/</w:t>
      </w:r>
      <w:r>
        <w:rPr>
          <w:rFonts w:hint="eastAsia" w:ascii="仿宋" w:hAnsi="仿宋" w:eastAsia="仿宋"/>
          <w:color w:val="auto"/>
          <w:sz w:val="32"/>
          <w:szCs w:val="32"/>
          <w:highlight w:val="none"/>
        </w:rPr>
        <w:t>下降</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我校为2021年财务独立核算单位。</w:t>
      </w:r>
    </w:p>
    <w:p>
      <w:pPr>
        <w:pStyle w:val="2"/>
        <w:jc w:val="center"/>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drawing>
          <wp:inline distT="0" distB="0" distL="114300" distR="114300">
            <wp:extent cx="3542030" cy="1929130"/>
            <wp:effectExtent l="5080" t="4445" r="19050" b="1714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1600" w:firstLineChars="500"/>
        <w:rPr>
          <w:rFonts w:hint="eastAsia" w:ascii="黑体" w:hAnsi="黑体" w:eastAsia="黑体"/>
          <w:color w:val="auto"/>
          <w:sz w:val="32"/>
          <w:szCs w:val="32"/>
          <w:highlight w:val="none"/>
          <w:lang w:val="en-US" w:eastAsia="zh-CN"/>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bookmarkStart w:id="15" w:name="_Toc15396604"/>
      <w:bookmarkStart w:id="16" w:name="_Toc15377206"/>
    </w:p>
    <w:p>
      <w:pPr>
        <w:pStyle w:val="26"/>
        <w:numPr>
          <w:ilvl w:val="0"/>
          <w:numId w:val="0"/>
        </w:numPr>
        <w:spacing w:line="600" w:lineRule="exact"/>
        <w:ind w:firstLine="640" w:firstLineChars="200"/>
        <w:outlineLvl w:val="1"/>
        <w:rPr>
          <w:rStyle w:val="28"/>
          <w:rFonts w:ascii="黑体" w:hAnsi="黑体" w:eastAsia="黑体"/>
          <w:b w:val="0"/>
          <w:color w:val="auto"/>
          <w:highlight w:val="none"/>
        </w:rPr>
      </w:pPr>
      <w:r>
        <w:rPr>
          <w:rFonts w:hint="eastAsia" w:ascii="黑体" w:hAnsi="黑体" w:eastAsia="黑体"/>
          <w:color w:val="auto"/>
          <w:sz w:val="32"/>
          <w:szCs w:val="32"/>
          <w:highlight w:val="none"/>
          <w:lang w:val="en-US" w:eastAsia="zh-CN"/>
        </w:rPr>
        <w:t>二、</w:t>
      </w:r>
      <w:r>
        <w:rPr>
          <w:rFonts w:hint="eastAsia" w:ascii="黑体" w:hAnsi="黑体" w:eastAsia="黑体"/>
          <w:color w:val="auto"/>
          <w:sz w:val="32"/>
          <w:szCs w:val="32"/>
          <w:highlight w:val="none"/>
        </w:rPr>
        <w:t>收</w:t>
      </w:r>
      <w:r>
        <w:rPr>
          <w:rStyle w:val="28"/>
          <w:rFonts w:hint="eastAsia" w:ascii="黑体" w:hAnsi="黑体" w:eastAsia="黑体"/>
          <w:b w:val="0"/>
          <w:color w:val="auto"/>
          <w:highlight w:val="none"/>
        </w:rPr>
        <w:t>入决算情况说明</w:t>
      </w:r>
      <w:bookmarkEnd w:id="15"/>
      <w:bookmarkEnd w:id="16"/>
    </w:p>
    <w:p>
      <w:pPr>
        <w:spacing w:line="600" w:lineRule="exact"/>
        <w:ind w:firstLine="640" w:firstLineChars="200"/>
        <w:outlineLvl w:val="1"/>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anchor distT="0" distB="0" distL="114300" distR="114300" simplePos="0" relativeHeight="251659264" behindDoc="0" locked="0" layoutInCell="1" allowOverlap="1">
            <wp:simplePos x="0" y="0"/>
            <wp:positionH relativeFrom="column">
              <wp:posOffset>883285</wp:posOffset>
            </wp:positionH>
            <wp:positionV relativeFrom="paragraph">
              <wp:posOffset>935990</wp:posOffset>
            </wp:positionV>
            <wp:extent cx="3556635" cy="2204720"/>
            <wp:effectExtent l="5080" t="4445" r="4445" b="15875"/>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343.29</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337.12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98</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6.17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2"/>
        <w:rPr>
          <w:rFonts w:hint="eastAsia" w:ascii="仿宋" w:hAnsi="仿宋" w:eastAsia="仿宋"/>
          <w:color w:val="auto"/>
          <w:sz w:val="32"/>
          <w:szCs w:val="32"/>
          <w:highlight w:val="none"/>
          <w:lang w:eastAsia="zh-CN"/>
        </w:rPr>
      </w:pPr>
    </w:p>
    <w:p>
      <w:pPr>
        <w:pStyle w:val="2"/>
        <w:rPr>
          <w:rFonts w:hint="eastAsia" w:ascii="仿宋" w:hAnsi="仿宋" w:eastAsia="仿宋"/>
          <w:color w:val="auto"/>
          <w:sz w:val="32"/>
          <w:szCs w:val="32"/>
          <w:highlight w:val="none"/>
          <w:lang w:eastAsia="zh-CN"/>
        </w:rPr>
      </w:pPr>
    </w:p>
    <w:p>
      <w:pPr>
        <w:spacing w:line="600" w:lineRule="exact"/>
        <w:ind w:firstLine="640" w:firstLineChars="200"/>
        <w:outlineLvl w:val="1"/>
        <w:rPr>
          <w:rFonts w:hint="eastAsia" w:ascii="仿宋" w:hAnsi="仿宋" w:eastAsia="仿宋"/>
          <w:color w:val="auto"/>
          <w:sz w:val="32"/>
          <w:szCs w:val="32"/>
          <w:highlight w:val="none"/>
          <w:lang w:eastAsia="zh-CN"/>
        </w:rPr>
      </w:pPr>
    </w:p>
    <w:p>
      <w:pPr>
        <w:spacing w:line="600" w:lineRule="exact"/>
        <w:ind w:firstLine="640" w:firstLineChars="200"/>
        <w:outlineLvl w:val="1"/>
        <w:rPr>
          <w:rFonts w:hint="eastAsia" w:ascii="仿宋" w:hAnsi="仿宋" w:eastAsia="仿宋"/>
          <w:color w:val="auto"/>
          <w:sz w:val="32"/>
          <w:szCs w:val="32"/>
          <w:highlight w:val="none"/>
          <w:lang w:eastAsia="zh-CN"/>
        </w:rPr>
      </w:pPr>
    </w:p>
    <w:p>
      <w:pPr>
        <w:spacing w:line="600" w:lineRule="exact"/>
        <w:ind w:firstLine="640" w:firstLineChars="200"/>
        <w:outlineLvl w:val="1"/>
        <w:rPr>
          <w:rFonts w:hint="eastAsia" w:ascii="仿宋" w:hAnsi="仿宋" w:eastAsia="仿宋"/>
          <w:color w:val="auto"/>
          <w:sz w:val="32"/>
          <w:szCs w:val="32"/>
          <w:highlight w:val="none"/>
          <w:lang w:eastAsia="zh-CN"/>
        </w:rPr>
      </w:pPr>
    </w:p>
    <w:p>
      <w:pPr>
        <w:spacing w:line="600" w:lineRule="exact"/>
        <w:jc w:val="center"/>
        <w:outlineLvl w:val="1"/>
      </w:pPr>
      <w:r>
        <w:rPr>
          <w:rFonts w:hint="eastAsia" w:ascii="仿宋" w:hAnsi="仿宋" w:eastAsia="仿宋"/>
          <w:color w:val="auto"/>
          <w:sz w:val="32"/>
          <w:szCs w:val="32"/>
          <w:highlight w:val="none"/>
        </w:rPr>
        <w:t>（图2：收入决算结构图）</w:t>
      </w:r>
    </w:p>
    <w:p>
      <w:pPr>
        <w:pStyle w:val="26"/>
        <w:numPr>
          <w:ilvl w:val="0"/>
          <w:numId w:val="0"/>
        </w:numPr>
        <w:spacing w:line="600" w:lineRule="exact"/>
        <w:ind w:left="640" w:leftChars="0"/>
        <w:outlineLvl w:val="1"/>
        <w:rPr>
          <w:rStyle w:val="28"/>
          <w:rFonts w:ascii="黑体" w:hAnsi="黑体" w:eastAsia="黑体"/>
          <w:b w:val="0"/>
          <w:color w:val="auto"/>
          <w:highlight w:val="none"/>
        </w:rPr>
      </w:pPr>
      <w:bookmarkStart w:id="17" w:name="_Toc15377207"/>
      <w:bookmarkStart w:id="18" w:name="_Toc15396605"/>
      <w:r>
        <w:rPr>
          <w:rFonts w:hint="eastAsia" w:ascii="黑体" w:hAnsi="黑体" w:eastAsia="黑体"/>
          <w:color w:val="auto"/>
          <w:sz w:val="32"/>
          <w:szCs w:val="32"/>
          <w:highlight w:val="none"/>
          <w:lang w:val="en-US" w:eastAsia="zh-CN"/>
        </w:rPr>
        <w:t>三、</w:t>
      </w:r>
      <w:r>
        <w:rPr>
          <w:rFonts w:hint="eastAsia" w:ascii="黑体" w:hAnsi="黑体" w:eastAsia="黑体"/>
          <w:color w:val="auto"/>
          <w:sz w:val="32"/>
          <w:szCs w:val="32"/>
          <w:highlight w:val="none"/>
        </w:rPr>
        <w:t>支</w:t>
      </w:r>
      <w:r>
        <w:rPr>
          <w:rStyle w:val="28"/>
          <w:rFonts w:hint="eastAsia" w:ascii="黑体" w:hAnsi="黑体" w:eastAsia="黑体"/>
          <w:b w:val="0"/>
          <w:color w:val="auto"/>
          <w:highlight w:val="none"/>
        </w:rPr>
        <w:t>出决算情况说明</w:t>
      </w:r>
      <w:bookmarkEnd w:id="17"/>
      <w:bookmarkEnd w:id="18"/>
    </w:p>
    <w:p>
      <w:pPr>
        <w:spacing w:line="600" w:lineRule="exact"/>
        <w:ind w:firstLine="640" w:firstLineChars="200"/>
        <w:outlineLvl w:val="1"/>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193.34</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158.34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82</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35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2"/>
        <w:rPr>
          <w:rFonts w:hint="eastAsia" w:ascii="仿宋" w:hAnsi="仿宋" w:eastAsia="仿宋"/>
          <w:b/>
          <w:color w:val="auto"/>
          <w:sz w:val="32"/>
          <w:szCs w:val="32"/>
          <w:highlight w:val="none"/>
        </w:rPr>
      </w:pPr>
      <w:r>
        <w:rPr>
          <w:rFonts w:hint="eastAsia" w:ascii="仿宋" w:hAnsi="仿宋" w:eastAsia="仿宋"/>
          <w:color w:val="auto"/>
          <w:sz w:val="32"/>
          <w:szCs w:val="32"/>
          <w:highlight w:val="none"/>
          <w:shd w:val="pct10" w:color="auto" w:fill="FFFFFF"/>
          <w:lang w:eastAsia="zh-CN"/>
        </w:rPr>
        <w:drawing>
          <wp:anchor distT="0" distB="0" distL="114300" distR="114300" simplePos="0" relativeHeight="251660288" behindDoc="0" locked="0" layoutInCell="1" allowOverlap="1">
            <wp:simplePos x="0" y="0"/>
            <wp:positionH relativeFrom="column">
              <wp:posOffset>929005</wp:posOffset>
            </wp:positionH>
            <wp:positionV relativeFrom="paragraph">
              <wp:posOffset>93345</wp:posOffset>
            </wp:positionV>
            <wp:extent cx="3449955" cy="2179955"/>
            <wp:effectExtent l="4445" t="4445" r="5080" b="1016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2"/>
        <w:rPr>
          <w:rFonts w:hint="eastAsia" w:ascii="仿宋" w:hAnsi="仿宋" w:eastAsia="仿宋"/>
          <w:b/>
          <w:color w:val="auto"/>
          <w:sz w:val="32"/>
          <w:szCs w:val="32"/>
          <w:highlight w:val="none"/>
        </w:rPr>
      </w:pPr>
    </w:p>
    <w:p>
      <w:pPr>
        <w:spacing w:line="600" w:lineRule="exact"/>
        <w:ind w:firstLine="640"/>
        <w:rPr>
          <w:rFonts w:hint="eastAsia" w:ascii="仿宋" w:hAnsi="仿宋" w:eastAsia="仿宋"/>
          <w:color w:val="auto"/>
          <w:sz w:val="32"/>
          <w:szCs w:val="32"/>
          <w:highlight w:val="none"/>
          <w:shd w:val="pct10" w:color="auto" w:fill="FFFFFF"/>
          <w:lang w:eastAsia="zh-CN"/>
        </w:rPr>
      </w:pPr>
    </w:p>
    <w:p>
      <w:pPr>
        <w:spacing w:line="600" w:lineRule="exact"/>
        <w:ind w:firstLine="640" w:firstLineChars="200"/>
        <w:rPr>
          <w:rFonts w:hint="eastAsia" w:ascii="仿宋" w:hAnsi="仿宋" w:eastAsia="仿宋"/>
          <w:color w:val="auto"/>
          <w:sz w:val="32"/>
          <w:szCs w:val="32"/>
          <w:highlight w:val="none"/>
        </w:rPr>
      </w:pPr>
    </w:p>
    <w:p>
      <w:pPr>
        <w:spacing w:line="600" w:lineRule="exact"/>
        <w:rPr>
          <w:rFonts w:hint="eastAsia" w:ascii="仿宋" w:hAnsi="仿宋" w:eastAsia="仿宋"/>
          <w:color w:val="auto"/>
          <w:sz w:val="32"/>
          <w:szCs w:val="32"/>
          <w:highlight w:val="none"/>
        </w:rPr>
      </w:pPr>
    </w:p>
    <w:p>
      <w:pPr>
        <w:spacing w:line="600" w:lineRule="exact"/>
        <w:jc w:val="both"/>
        <w:rPr>
          <w:rFonts w:hint="eastAsia" w:ascii="仿宋" w:hAnsi="仿宋" w:eastAsia="仿宋"/>
          <w:color w:val="auto"/>
          <w:sz w:val="32"/>
          <w:szCs w:val="32"/>
          <w:highlight w:val="none"/>
        </w:rPr>
      </w:pPr>
    </w:p>
    <w:p>
      <w:pPr>
        <w:spacing w:line="600" w:lineRule="exact"/>
        <w:jc w:val="center"/>
        <w:rPr>
          <w:rFonts w:ascii="仿宋_GB2312" w:eastAsia="仿宋_GB2312"/>
          <w:color w:val="auto"/>
          <w:sz w:val="32"/>
          <w:szCs w:val="32"/>
          <w:highlight w:val="none"/>
        </w:rPr>
      </w:pPr>
      <w:r>
        <w:rPr>
          <w:rFonts w:hint="eastAsia" w:ascii="仿宋" w:hAnsi="仿宋" w:eastAsia="仿宋"/>
          <w:color w:val="auto"/>
          <w:sz w:val="32"/>
          <w:szCs w:val="32"/>
          <w:highlight w:val="none"/>
        </w:rPr>
        <w:t>（图3：支出决算结构图）</w:t>
      </w:r>
    </w:p>
    <w:p>
      <w:pPr>
        <w:spacing w:line="600" w:lineRule="exact"/>
        <w:ind w:firstLine="640" w:firstLineChars="200"/>
        <w:outlineLvl w:val="1"/>
        <w:rPr>
          <w:rStyle w:val="28"/>
          <w:rFonts w:ascii="黑体" w:hAnsi="黑体" w:eastAsia="黑体"/>
          <w:b w:val="0"/>
          <w:color w:val="auto"/>
          <w:highlight w:val="none"/>
        </w:rPr>
      </w:pPr>
      <w:bookmarkStart w:id="19" w:name="_Toc15396606"/>
      <w:bookmarkStart w:id="20" w:name="_Toc15377208"/>
      <w:r>
        <w:rPr>
          <w:rFonts w:hint="eastAsia" w:ascii="黑体" w:hAnsi="黑体" w:eastAsia="黑体"/>
          <w:color w:val="auto"/>
          <w:sz w:val="32"/>
          <w:szCs w:val="32"/>
          <w:highlight w:val="none"/>
        </w:rPr>
        <w:t>四、财</w:t>
      </w:r>
      <w:r>
        <w:rPr>
          <w:rStyle w:val="28"/>
          <w:rFonts w:hint="eastAsia" w:ascii="黑体" w:hAnsi="黑体" w:eastAsia="黑体"/>
          <w:b w:val="0"/>
          <w:color w:val="auto"/>
          <w:highlight w:val="none"/>
        </w:rPr>
        <w:t>政拨款收入支出决算总体情况说明</w:t>
      </w:r>
      <w:bookmarkEnd w:id="19"/>
      <w:bookmarkEnd w:id="20"/>
    </w:p>
    <w:p>
      <w:pPr>
        <w:spacing w:line="600" w:lineRule="exact"/>
        <w:ind w:firstLine="640" w:firstLineChars="200"/>
        <w:rPr>
          <w:rFonts w:hint="default"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337.12</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年相比，财政拨款收、支总计各增加</w:t>
      </w:r>
      <w:r>
        <w:rPr>
          <w:rFonts w:ascii="仿宋" w:hAnsi="仿宋" w:eastAsia="仿宋"/>
          <w:color w:val="auto"/>
          <w:sz w:val="32"/>
          <w:szCs w:val="32"/>
          <w:highlight w:val="none"/>
        </w:rPr>
        <w:t>/</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万元，增长</w:t>
      </w:r>
      <w:r>
        <w:rPr>
          <w:rFonts w:ascii="仿宋" w:hAnsi="仿宋" w:eastAsia="仿宋"/>
          <w:color w:val="auto"/>
          <w:sz w:val="32"/>
          <w:szCs w:val="32"/>
          <w:highlight w:val="none"/>
        </w:rPr>
        <w:t>/</w:t>
      </w:r>
      <w:r>
        <w:rPr>
          <w:rFonts w:hint="eastAsia" w:ascii="仿宋" w:hAnsi="仿宋" w:eastAsia="仿宋"/>
          <w:color w:val="auto"/>
          <w:sz w:val="32"/>
          <w:szCs w:val="32"/>
          <w:highlight w:val="none"/>
        </w:rPr>
        <w:t>下降</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我校为2021年财务独立核算单位。</w:t>
      </w:r>
    </w:p>
    <w:p>
      <w:pPr>
        <w:spacing w:line="600" w:lineRule="exact"/>
        <w:ind w:firstLine="320" w:firstLineChars="100"/>
        <w:jc w:val="center"/>
        <w:rPr>
          <w:rFonts w:ascii="仿宋" w:hAnsi="仿宋" w:eastAsia="仿宋"/>
          <w:b/>
          <w:color w:val="auto"/>
          <w:sz w:val="32"/>
          <w:szCs w:val="32"/>
          <w:highlight w:val="none"/>
        </w:rPr>
      </w:pPr>
      <w:r>
        <w:rPr>
          <w:rFonts w:hint="eastAsia" w:ascii="仿宋_GB2312" w:eastAsia="仿宋_GB2312"/>
          <w:color w:val="auto"/>
          <w:sz w:val="32"/>
          <w:szCs w:val="32"/>
          <w:highlight w:val="none"/>
          <w:lang w:eastAsia="zh-CN"/>
        </w:rPr>
        <w:drawing>
          <wp:anchor distT="0" distB="0" distL="114300" distR="114300" simplePos="0" relativeHeight="251661312" behindDoc="0" locked="0" layoutInCell="1" allowOverlap="1">
            <wp:simplePos x="0" y="0"/>
            <wp:positionH relativeFrom="column">
              <wp:posOffset>911225</wp:posOffset>
            </wp:positionH>
            <wp:positionV relativeFrom="paragraph">
              <wp:posOffset>64135</wp:posOffset>
            </wp:positionV>
            <wp:extent cx="3406140" cy="2072640"/>
            <wp:effectExtent l="4445" t="4445" r="18415" b="1079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仿宋" w:hAnsi="仿宋" w:eastAsia="仿宋"/>
          <w:color w:val="auto"/>
          <w:sz w:val="32"/>
          <w:szCs w:val="32"/>
          <w:highlight w:val="none"/>
        </w:rPr>
        <w:t>（图4：财政拨款收、支决算总计变动情况）</w:t>
      </w:r>
    </w:p>
    <w:p>
      <w:pPr>
        <w:spacing w:line="600" w:lineRule="exact"/>
        <w:ind w:firstLine="640" w:firstLineChars="200"/>
        <w:outlineLvl w:val="1"/>
        <w:rPr>
          <w:rStyle w:val="28"/>
          <w:rFonts w:ascii="黑体" w:hAnsi="黑体" w:eastAsia="黑体"/>
          <w:b w:val="0"/>
          <w:color w:val="auto"/>
          <w:highlight w:val="none"/>
        </w:rPr>
      </w:pPr>
      <w:bookmarkStart w:id="21" w:name="_Toc15377209"/>
      <w:bookmarkStart w:id="22"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8"/>
          <w:rFonts w:hint="eastAsia" w:ascii="黑体" w:hAnsi="黑体" w:eastAsia="黑体"/>
          <w:b w:val="0"/>
          <w:color w:val="auto"/>
          <w:highlight w:val="none"/>
        </w:rPr>
        <w:t>般公共预算财政拨款支出决算情况说明</w:t>
      </w:r>
      <w:bookmarkEnd w:id="21"/>
      <w:bookmarkEnd w:id="22"/>
    </w:p>
    <w:p>
      <w:pPr>
        <w:spacing w:line="600" w:lineRule="exact"/>
        <w:ind w:firstLine="643" w:firstLineChars="200"/>
        <w:outlineLvl w:val="2"/>
        <w:rPr>
          <w:rFonts w:ascii="仿宋" w:hAnsi="仿宋" w:eastAsia="仿宋"/>
          <w:b/>
          <w:color w:val="auto"/>
          <w:sz w:val="32"/>
          <w:szCs w:val="32"/>
          <w:highlight w:val="none"/>
        </w:rPr>
      </w:pPr>
      <w:bookmarkStart w:id="23" w:name="_Toc15377210"/>
      <w:r>
        <w:rPr>
          <w:rFonts w:hint="eastAsia" w:ascii="仿宋" w:hAnsi="仿宋" w:eastAsia="仿宋"/>
          <w:b/>
          <w:color w:val="auto"/>
          <w:sz w:val="32"/>
          <w:szCs w:val="32"/>
          <w:highlight w:val="none"/>
        </w:rPr>
        <w:t>（一）一般公共预算财政拨款支出决算总体情况</w:t>
      </w:r>
      <w:bookmarkEnd w:id="23"/>
    </w:p>
    <w:p>
      <w:pPr>
        <w:spacing w:line="600" w:lineRule="exact"/>
        <w:ind w:firstLine="640" w:firstLineChars="20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193.25</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ascii="仿宋" w:hAnsi="仿宋" w:eastAsia="仿宋"/>
          <w:color w:val="auto"/>
          <w:sz w:val="32"/>
          <w:szCs w:val="32"/>
          <w:highlight w:val="none"/>
        </w:rPr>
        <w:t>/</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万元，增长</w:t>
      </w:r>
      <w:r>
        <w:rPr>
          <w:rFonts w:ascii="仿宋" w:hAnsi="仿宋" w:eastAsia="仿宋"/>
          <w:color w:val="auto"/>
          <w:sz w:val="32"/>
          <w:szCs w:val="32"/>
          <w:highlight w:val="none"/>
        </w:rPr>
        <w:t>/</w:t>
      </w:r>
      <w:r>
        <w:rPr>
          <w:rFonts w:hint="eastAsia" w:ascii="仿宋" w:hAnsi="仿宋" w:eastAsia="仿宋"/>
          <w:color w:val="auto"/>
          <w:sz w:val="32"/>
          <w:szCs w:val="32"/>
          <w:highlight w:val="none"/>
        </w:rPr>
        <w:t>下降</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我校为2021年财务独立核算单位。</w:t>
      </w:r>
    </w:p>
    <w:p>
      <w:pPr>
        <w:spacing w:line="600" w:lineRule="exact"/>
        <w:jc w:val="center"/>
        <w:rPr>
          <w:rFonts w:hint="eastAsia" w:ascii="仿宋" w:hAnsi="仿宋" w:eastAsia="仿宋"/>
          <w:b/>
          <w:color w:val="auto"/>
          <w:sz w:val="32"/>
          <w:szCs w:val="32"/>
          <w:highlight w:val="none"/>
        </w:rPr>
      </w:pPr>
      <w:r>
        <w:rPr>
          <w:rFonts w:hint="eastAsia" w:ascii="仿宋_GB2312" w:eastAsia="仿宋_GB2312"/>
          <w:color w:val="auto"/>
          <w:sz w:val="32"/>
          <w:szCs w:val="32"/>
          <w:highlight w:val="none"/>
          <w:lang w:eastAsia="zh-CN"/>
        </w:rPr>
        <w:drawing>
          <wp:anchor distT="0" distB="0" distL="114300" distR="114300" simplePos="0" relativeHeight="251663360" behindDoc="0" locked="0" layoutInCell="1" allowOverlap="1">
            <wp:simplePos x="0" y="0"/>
            <wp:positionH relativeFrom="column">
              <wp:posOffset>873760</wp:posOffset>
            </wp:positionH>
            <wp:positionV relativeFrom="paragraph">
              <wp:posOffset>118745</wp:posOffset>
            </wp:positionV>
            <wp:extent cx="3596005" cy="2186940"/>
            <wp:effectExtent l="4445" t="4445" r="11430" b="1841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仿宋" w:hAnsi="仿宋" w:eastAsia="仿宋"/>
          <w:color w:val="auto"/>
          <w:sz w:val="32"/>
          <w:szCs w:val="32"/>
          <w:highlight w:val="none"/>
        </w:rPr>
        <w:t>（图5：一般公共预算财政拨款支出决算变动情况）</w:t>
      </w:r>
      <w:bookmarkStart w:id="24" w:name="_Toc15377211"/>
    </w:p>
    <w:p>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（二）一般公共预算财政拨款支出决算结构情况</w:t>
      </w:r>
      <w:bookmarkEnd w:id="24"/>
    </w:p>
    <w:p>
      <w:pPr>
        <w:spacing w:line="600" w:lineRule="exact"/>
        <w:ind w:firstLine="640"/>
        <w:rPr>
          <w:rFonts w:hint="eastAsia"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193.25</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b/>
          <w:bCs/>
          <w:color w:val="auto"/>
          <w:sz w:val="32"/>
          <w:szCs w:val="32"/>
          <w:highlight w:val="none"/>
        </w:rPr>
        <w:t>支出</w:t>
      </w:r>
      <w:r>
        <w:rPr>
          <w:rFonts w:hint="eastAsia" w:ascii="仿宋" w:hAnsi="仿宋" w:eastAsia="仿宋"/>
          <w:b w:val="0"/>
          <w:bCs w:val="0"/>
          <w:color w:val="auto"/>
          <w:sz w:val="32"/>
          <w:szCs w:val="32"/>
          <w:highlight w:val="none"/>
          <w:lang w:val="en-US" w:eastAsia="zh-CN"/>
        </w:rPr>
        <w:t>175.1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90.6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5.19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12.96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shd w:val="pct10" w:color="auto" w:fill="FFFFFF"/>
          <w:lang w:eastAsia="zh-CN"/>
        </w:rPr>
        <w:drawing>
          <wp:anchor distT="0" distB="0" distL="114300" distR="114300" simplePos="0" relativeHeight="251662336" behindDoc="0" locked="0" layoutInCell="1" allowOverlap="1">
            <wp:simplePos x="0" y="0"/>
            <wp:positionH relativeFrom="column">
              <wp:posOffset>553085</wp:posOffset>
            </wp:positionH>
            <wp:positionV relativeFrom="paragraph">
              <wp:posOffset>43180</wp:posOffset>
            </wp:positionV>
            <wp:extent cx="4439920" cy="2125980"/>
            <wp:effectExtent l="4445" t="4445" r="5715" b="18415"/>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pPr>
        <w:spacing w:line="600" w:lineRule="exact"/>
        <w:ind w:firstLine="643" w:firstLineChars="200"/>
        <w:outlineLvl w:val="2"/>
        <w:rPr>
          <w:rFonts w:ascii="仿宋" w:hAnsi="仿宋" w:eastAsia="仿宋"/>
          <w:b/>
          <w:color w:val="auto"/>
          <w:sz w:val="32"/>
          <w:szCs w:val="32"/>
          <w:highlight w:val="none"/>
        </w:rPr>
      </w:pPr>
      <w:bookmarkStart w:id="25" w:name="_Toc15377212"/>
      <w:r>
        <w:rPr>
          <w:rFonts w:hint="eastAsia" w:ascii="仿宋" w:hAnsi="仿宋" w:eastAsia="仿宋"/>
          <w:b/>
          <w:color w:val="auto"/>
          <w:sz w:val="32"/>
          <w:szCs w:val="32"/>
          <w:highlight w:val="none"/>
        </w:rPr>
        <w:t>（三）一般公共预算财政拨款支出决算具体情况</w:t>
      </w:r>
      <w:bookmarkEnd w:id="25"/>
    </w:p>
    <w:p>
      <w:pPr>
        <w:spacing w:line="600" w:lineRule="exact"/>
        <w:ind w:firstLine="643" w:firstLineChars="200"/>
        <w:outlineLvl w:val="2"/>
        <w:rPr>
          <w:rFonts w:ascii="仿宋" w:hAnsi="仿宋" w:eastAsia="仿宋"/>
          <w:color w:val="auto"/>
          <w:sz w:val="32"/>
          <w:szCs w:val="32"/>
          <w:highlight w:val="none"/>
        </w:rPr>
      </w:pPr>
      <w:bookmarkStart w:id="26" w:name="_Toc15378460"/>
      <w:bookmarkStart w:id="27" w:name="_Toc15377444"/>
      <w:bookmarkStart w:id="28" w:name="_Toc15377213"/>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bCs/>
          <w:color w:val="auto"/>
          <w:sz w:val="32"/>
          <w:szCs w:val="32"/>
          <w:highlight w:val="none"/>
          <w:lang w:val="en-US" w:eastAsia="zh-CN"/>
        </w:rPr>
        <w:t>193.25</w:t>
      </w:r>
      <w:r>
        <w:rPr>
          <w:rFonts w:hint="eastAsia" w:ascii="仿宋" w:hAnsi="仿宋" w:eastAsia="仿宋"/>
          <w:color w:val="auto"/>
          <w:sz w:val="32"/>
          <w:szCs w:val="32"/>
          <w:highlight w:val="none"/>
        </w:rPr>
        <w:t>，</w:t>
      </w:r>
      <w:r>
        <w:rPr>
          <w:rStyle w:val="16"/>
          <w:rFonts w:hint="eastAsia" w:ascii="仿宋" w:hAnsi="仿宋" w:eastAsia="仿宋"/>
          <w:bCs/>
          <w:color w:val="auto"/>
          <w:sz w:val="32"/>
          <w:szCs w:val="32"/>
          <w:highlight w:val="none"/>
        </w:rPr>
        <w:t>完成预算</w:t>
      </w:r>
      <w:r>
        <w:rPr>
          <w:rStyle w:val="16"/>
          <w:rFonts w:hint="eastAsia" w:ascii="仿宋" w:hAnsi="仿宋" w:eastAsia="仿宋"/>
          <w:b/>
          <w:bCs/>
          <w:color w:val="auto"/>
          <w:sz w:val="32"/>
          <w:szCs w:val="32"/>
          <w:highlight w:val="none"/>
          <w:lang w:val="en-US" w:eastAsia="zh-CN"/>
        </w:rPr>
        <w:t>61.56</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。其中：</w:t>
      </w:r>
      <w:bookmarkEnd w:id="26"/>
      <w:bookmarkEnd w:id="27"/>
      <w:bookmarkEnd w:id="28"/>
    </w:p>
    <w:p>
      <w:pPr>
        <w:numPr>
          <w:ilvl w:val="0"/>
          <w:numId w:val="0"/>
        </w:numPr>
        <w:spacing w:line="600" w:lineRule="exact"/>
        <w:ind w:firstLine="643" w:firstLineChars="200"/>
        <w:rPr>
          <w:rStyle w:val="16"/>
          <w:rFonts w:hint="eastAsia" w:ascii="仿宋" w:hAnsi="仿宋" w:eastAsia="仿宋"/>
          <w:bCs/>
          <w:color w:val="auto"/>
          <w:sz w:val="32"/>
          <w:szCs w:val="32"/>
          <w:highlight w:val="none"/>
        </w:rPr>
      </w:pPr>
      <w:r>
        <w:rPr>
          <w:rStyle w:val="16"/>
          <w:rFonts w:hint="eastAsia" w:ascii="仿宋" w:hAnsi="仿宋" w:eastAsia="仿宋"/>
          <w:b/>
          <w:bCs/>
          <w:color w:val="auto"/>
          <w:sz w:val="32"/>
          <w:szCs w:val="32"/>
          <w:highlight w:val="none"/>
          <w:lang w:val="en-US" w:eastAsia="zh-CN"/>
        </w:rPr>
        <w:t>1.</w:t>
      </w:r>
      <w:r>
        <w:rPr>
          <w:rStyle w:val="16"/>
          <w:rFonts w:hint="eastAsia" w:ascii="仿宋" w:hAnsi="仿宋" w:eastAsia="仿宋"/>
          <w:b/>
          <w:bCs/>
          <w:color w:val="auto"/>
          <w:sz w:val="32"/>
          <w:szCs w:val="32"/>
          <w:highlight w:val="none"/>
        </w:rPr>
        <w:t>社会保障和就业</w:t>
      </w:r>
      <w:r>
        <w:rPr>
          <w:rFonts w:hint="eastAsia" w:ascii="仿宋" w:hAnsi="仿宋" w:eastAsia="仿宋" w:cs="仿宋"/>
          <w:b/>
          <w:bCs/>
          <w:sz w:val="32"/>
          <w:szCs w:val="32"/>
          <w:lang w:val="en-US" w:eastAsia="zh-CN"/>
        </w:rPr>
        <w:t>支出（类）行政事业单位养老支出（款）机关事业单位基本养老保险缴费支出（项）</w:t>
      </w:r>
      <w:r>
        <w:rPr>
          <w:rFonts w:hint="eastAsia" w:ascii="仿宋" w:hAnsi="仿宋" w:eastAsia="仿宋" w:cs="仿宋"/>
          <w:sz w:val="32"/>
          <w:szCs w:val="32"/>
          <w:lang w:val="en-US" w:eastAsia="zh-CN"/>
        </w:rPr>
        <w:t>：</w:t>
      </w:r>
      <w:r>
        <w:rPr>
          <w:rStyle w:val="16"/>
          <w:rFonts w:hint="eastAsia" w:ascii="仿宋" w:hAnsi="仿宋" w:eastAsia="仿宋"/>
          <w:b w:val="0"/>
          <w:bCs/>
          <w:color w:val="auto"/>
          <w:sz w:val="32"/>
          <w:szCs w:val="32"/>
          <w:highlight w:val="none"/>
        </w:rPr>
        <w:t>支出决算为</w:t>
      </w:r>
      <w:bookmarkStart w:id="62" w:name="_GoBack"/>
      <w:bookmarkEnd w:id="62"/>
      <w:r>
        <w:rPr>
          <w:rStyle w:val="16"/>
          <w:rFonts w:hint="eastAsia" w:ascii="仿宋" w:hAnsi="仿宋" w:eastAsia="仿宋"/>
          <w:b w:val="0"/>
          <w:bCs/>
          <w:color w:val="auto"/>
          <w:sz w:val="32"/>
          <w:szCs w:val="32"/>
          <w:highlight w:val="none"/>
          <w:lang w:val="en-US" w:eastAsia="zh-CN"/>
        </w:rPr>
        <w:t>10.73</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p>
    <w:p>
      <w:pPr>
        <w:numPr>
          <w:ilvl w:val="0"/>
          <w:numId w:val="0"/>
        </w:numPr>
        <w:spacing w:line="600" w:lineRule="exact"/>
        <w:ind w:firstLine="643" w:firstLineChars="200"/>
        <w:rPr>
          <w:rFonts w:ascii="仿宋" w:hAnsi="仿宋" w:eastAsia="仿宋"/>
          <w:b/>
          <w:color w:val="auto"/>
          <w:sz w:val="32"/>
          <w:szCs w:val="32"/>
          <w:highlight w:val="none"/>
        </w:rPr>
      </w:pPr>
      <w:r>
        <w:rPr>
          <w:rStyle w:val="16"/>
          <w:rFonts w:hint="eastAsia" w:ascii="仿宋" w:hAnsi="仿宋" w:eastAsia="仿宋"/>
          <w:b/>
          <w:bCs/>
          <w:color w:val="auto"/>
          <w:sz w:val="32"/>
          <w:szCs w:val="32"/>
          <w:highlight w:val="none"/>
          <w:lang w:val="en-US" w:eastAsia="zh-CN"/>
        </w:rPr>
        <w:t>2.</w:t>
      </w:r>
      <w:r>
        <w:rPr>
          <w:rStyle w:val="16"/>
          <w:rFonts w:hint="eastAsia" w:ascii="仿宋" w:hAnsi="仿宋" w:eastAsia="仿宋"/>
          <w:b/>
          <w:bCs/>
          <w:color w:val="auto"/>
          <w:sz w:val="32"/>
          <w:szCs w:val="32"/>
          <w:highlight w:val="none"/>
        </w:rPr>
        <w:t>社会保障和就业</w:t>
      </w:r>
      <w:r>
        <w:rPr>
          <w:rFonts w:hint="eastAsia" w:ascii="仿宋" w:hAnsi="仿宋" w:eastAsia="仿宋" w:cs="仿宋"/>
          <w:b/>
          <w:bCs/>
          <w:sz w:val="32"/>
          <w:szCs w:val="32"/>
          <w:lang w:val="en-US" w:eastAsia="zh-CN"/>
        </w:rPr>
        <w:t>支出（类）行政事业单位养老支出</w:t>
      </w:r>
      <w:r>
        <w:rPr>
          <w:rStyle w:val="16"/>
          <w:rFonts w:hint="eastAsia" w:ascii="仿宋" w:hAnsi="仿宋" w:eastAsia="仿宋"/>
          <w:bCs/>
          <w:color w:val="auto"/>
          <w:sz w:val="32"/>
          <w:szCs w:val="32"/>
          <w:highlight w:val="none"/>
        </w:rPr>
        <w:t>（款）</w:t>
      </w:r>
      <w:r>
        <w:rPr>
          <w:rFonts w:hint="eastAsia" w:ascii="仿宋" w:hAnsi="仿宋" w:eastAsia="仿宋" w:cs="仿宋"/>
          <w:b/>
          <w:bCs/>
          <w:sz w:val="32"/>
          <w:szCs w:val="32"/>
          <w:lang w:val="en-US" w:eastAsia="zh-CN"/>
        </w:rPr>
        <w:t>机关事业单位职业年金缴费支出</w:t>
      </w:r>
      <w:r>
        <w:rPr>
          <w:rStyle w:val="16"/>
          <w:rFonts w:hint="eastAsia" w:ascii="仿宋" w:hAnsi="仿宋" w:eastAsia="仿宋"/>
          <w:bCs/>
          <w:color w:val="auto"/>
          <w:sz w:val="32"/>
          <w:szCs w:val="32"/>
          <w:highlight w:val="none"/>
        </w:rPr>
        <w:t>（项）</w:t>
      </w:r>
      <w:r>
        <w:rPr>
          <w:rStyle w:val="16"/>
          <w:rFonts w:ascii="仿宋" w:hAnsi="仿宋" w:eastAsia="仿宋"/>
          <w:bCs/>
          <w:color w:val="auto"/>
          <w:sz w:val="32"/>
          <w:szCs w:val="32"/>
          <w:highlight w:val="none"/>
        </w:rPr>
        <w:t>:</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4.14</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p>
    <w:p>
      <w:pPr>
        <w:numPr>
          <w:ilvl w:val="0"/>
          <w:numId w:val="0"/>
        </w:numPr>
        <w:spacing w:line="600" w:lineRule="exact"/>
        <w:ind w:firstLine="643" w:firstLineChars="200"/>
        <w:rPr>
          <w:rFonts w:ascii="仿宋" w:hAnsi="仿宋" w:eastAsia="仿宋"/>
          <w:b/>
          <w:color w:val="auto"/>
          <w:sz w:val="32"/>
          <w:szCs w:val="32"/>
          <w:highlight w:val="none"/>
        </w:rPr>
      </w:pPr>
      <w:r>
        <w:rPr>
          <w:rStyle w:val="16"/>
          <w:rFonts w:hint="eastAsia" w:ascii="仿宋" w:hAnsi="仿宋" w:eastAsia="仿宋"/>
          <w:b/>
          <w:bCs/>
          <w:color w:val="auto"/>
          <w:sz w:val="32"/>
          <w:szCs w:val="32"/>
          <w:highlight w:val="none"/>
          <w:lang w:val="en-US" w:eastAsia="zh-CN"/>
        </w:rPr>
        <w:t>3.</w:t>
      </w:r>
      <w:r>
        <w:rPr>
          <w:rFonts w:hint="eastAsia" w:ascii="仿宋" w:hAnsi="仿宋" w:eastAsia="仿宋" w:cs="仿宋"/>
          <w:b/>
          <w:bCs/>
          <w:sz w:val="32"/>
          <w:szCs w:val="32"/>
          <w:lang w:val="en-US" w:eastAsia="zh-CN"/>
        </w:rPr>
        <w:t>社会保障和就业支出（类）社会福利（款）老年福利（项）</w:t>
      </w:r>
      <w:r>
        <w:rPr>
          <w:rStyle w:val="16"/>
          <w:rFonts w:ascii="仿宋" w:hAnsi="仿宋" w:eastAsia="仿宋"/>
          <w:b/>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160.32</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val="0"/>
          <w:color w:val="auto"/>
          <w:sz w:val="32"/>
          <w:szCs w:val="32"/>
          <w:highlight w:val="none"/>
          <w:lang w:val="en-US" w:eastAsia="zh-CN"/>
        </w:rPr>
        <w:t>55.5</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，决算数小于预算数的主要原因是</w:t>
      </w:r>
      <w:r>
        <w:rPr>
          <w:rStyle w:val="16"/>
          <w:rFonts w:hint="eastAsia" w:ascii="仿宋" w:hAnsi="仿宋" w:eastAsia="仿宋"/>
          <w:b w:val="0"/>
          <w:bCs/>
          <w:color w:val="auto"/>
          <w:sz w:val="32"/>
          <w:szCs w:val="32"/>
          <w:highlight w:val="none"/>
          <w:lang w:val="en-US" w:eastAsia="zh-CN"/>
        </w:rPr>
        <w:t>2021年财政预算错误重复下达所致</w:t>
      </w:r>
      <w:r>
        <w:rPr>
          <w:rStyle w:val="16"/>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6"/>
          <w:rFonts w:hint="eastAsia" w:ascii="仿宋" w:hAnsi="仿宋" w:eastAsia="仿宋"/>
          <w:bCs/>
          <w:color w:val="auto"/>
          <w:sz w:val="32"/>
          <w:szCs w:val="32"/>
          <w:highlight w:val="none"/>
          <w:lang w:val="en-US" w:eastAsia="zh-CN"/>
        </w:rPr>
        <w:t>4.</w:t>
      </w:r>
      <w:r>
        <w:rPr>
          <w:rFonts w:hint="eastAsia" w:ascii="仿宋" w:hAnsi="仿宋" w:eastAsia="仿宋"/>
          <w:b/>
          <w:bCs/>
          <w:color w:val="auto"/>
          <w:sz w:val="32"/>
          <w:szCs w:val="32"/>
          <w:highlight w:val="none"/>
        </w:rPr>
        <w:t>卫生健康</w:t>
      </w:r>
      <w:r>
        <w:rPr>
          <w:rFonts w:hint="eastAsia" w:ascii="仿宋" w:hAnsi="仿宋" w:eastAsia="仿宋" w:cs="仿宋"/>
          <w:b/>
          <w:bCs/>
          <w:sz w:val="32"/>
          <w:szCs w:val="32"/>
          <w:lang w:val="en-US" w:eastAsia="zh-CN"/>
        </w:rPr>
        <w:t>支出</w:t>
      </w:r>
      <w:r>
        <w:rPr>
          <w:rStyle w:val="16"/>
          <w:rFonts w:hint="eastAsia" w:ascii="仿宋" w:hAnsi="仿宋" w:eastAsia="仿宋"/>
          <w:bCs/>
          <w:color w:val="auto"/>
          <w:sz w:val="32"/>
          <w:szCs w:val="32"/>
          <w:highlight w:val="none"/>
        </w:rPr>
        <w:t>（类）</w:t>
      </w:r>
      <w:r>
        <w:rPr>
          <w:rStyle w:val="16"/>
          <w:rFonts w:hint="eastAsia" w:ascii="仿宋" w:hAnsi="仿宋" w:eastAsia="仿宋"/>
          <w:bCs/>
          <w:color w:val="auto"/>
          <w:sz w:val="32"/>
          <w:szCs w:val="32"/>
          <w:highlight w:val="none"/>
          <w:lang w:val="en-US" w:eastAsia="zh-CN"/>
        </w:rPr>
        <w:t>行政事业单位医疗</w:t>
      </w:r>
      <w:r>
        <w:rPr>
          <w:rStyle w:val="16"/>
          <w:rFonts w:hint="eastAsia" w:ascii="仿宋" w:hAnsi="仿宋" w:eastAsia="仿宋"/>
          <w:bCs/>
          <w:color w:val="auto"/>
          <w:sz w:val="32"/>
          <w:szCs w:val="32"/>
          <w:highlight w:val="none"/>
        </w:rPr>
        <w:t>（款）</w:t>
      </w:r>
      <w:r>
        <w:rPr>
          <w:rStyle w:val="16"/>
          <w:rFonts w:hint="eastAsia" w:ascii="仿宋" w:hAnsi="仿宋" w:eastAsia="仿宋"/>
          <w:bCs/>
          <w:color w:val="auto"/>
          <w:sz w:val="32"/>
          <w:szCs w:val="32"/>
          <w:highlight w:val="none"/>
          <w:lang w:val="en-US" w:eastAsia="zh-CN"/>
        </w:rPr>
        <w:t>事业单位医疗</w:t>
      </w:r>
      <w:r>
        <w:rPr>
          <w:rStyle w:val="16"/>
          <w:rFonts w:hint="eastAsia" w:ascii="仿宋" w:hAnsi="仿宋" w:eastAsia="仿宋"/>
          <w:bCs/>
          <w:color w:val="auto"/>
          <w:sz w:val="32"/>
          <w:szCs w:val="32"/>
          <w:highlight w:val="none"/>
        </w:rPr>
        <w:t>（项）</w:t>
      </w:r>
      <w:r>
        <w:rPr>
          <w:rStyle w:val="16"/>
          <w:rFonts w:ascii="仿宋" w:hAnsi="仿宋" w:eastAsia="仿宋"/>
          <w:bCs/>
          <w:color w:val="auto"/>
          <w:sz w:val="32"/>
          <w:szCs w:val="32"/>
          <w:highlight w:val="none"/>
        </w:rPr>
        <w:t>:</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5.19</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p>
    <w:p>
      <w:pPr>
        <w:tabs>
          <w:tab w:val="right" w:pos="8306"/>
        </w:tabs>
        <w:spacing w:line="600" w:lineRule="exact"/>
        <w:ind w:firstLine="640"/>
        <w:outlineLvl w:val="1"/>
        <w:rPr>
          <w:rStyle w:val="16"/>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lang w:val="en-US" w:eastAsia="zh-CN"/>
        </w:rPr>
        <w:t>5.</w:t>
      </w:r>
      <w:r>
        <w:rPr>
          <w:rFonts w:hint="eastAsia" w:ascii="仿宋" w:hAnsi="仿宋" w:eastAsia="仿宋"/>
          <w:b/>
          <w:bCs/>
          <w:color w:val="auto"/>
          <w:sz w:val="32"/>
          <w:szCs w:val="32"/>
          <w:highlight w:val="none"/>
        </w:rPr>
        <w:t>住房保障</w:t>
      </w:r>
      <w:r>
        <w:rPr>
          <w:rStyle w:val="16"/>
          <w:rFonts w:hint="eastAsia" w:ascii="仿宋" w:hAnsi="仿宋" w:eastAsia="仿宋"/>
          <w:bCs/>
          <w:color w:val="auto"/>
          <w:sz w:val="32"/>
          <w:szCs w:val="32"/>
          <w:highlight w:val="none"/>
        </w:rPr>
        <w:t>（类）</w:t>
      </w:r>
      <w:r>
        <w:rPr>
          <w:rStyle w:val="16"/>
          <w:rFonts w:hint="eastAsia" w:ascii="仿宋" w:hAnsi="仿宋" w:eastAsia="仿宋"/>
          <w:bCs/>
          <w:color w:val="auto"/>
          <w:sz w:val="32"/>
          <w:szCs w:val="32"/>
          <w:highlight w:val="none"/>
          <w:lang w:val="en-US" w:eastAsia="zh-CN"/>
        </w:rPr>
        <w:t>住房改革</w:t>
      </w:r>
      <w:r>
        <w:rPr>
          <w:rFonts w:hint="eastAsia" w:ascii="仿宋" w:hAnsi="仿宋" w:eastAsia="仿宋" w:cs="仿宋"/>
          <w:b/>
          <w:bCs/>
          <w:sz w:val="32"/>
          <w:szCs w:val="32"/>
          <w:lang w:val="en-US" w:eastAsia="zh-CN"/>
        </w:rPr>
        <w:t>支出</w:t>
      </w:r>
      <w:r>
        <w:rPr>
          <w:rStyle w:val="16"/>
          <w:rFonts w:hint="eastAsia" w:ascii="仿宋" w:hAnsi="仿宋" w:eastAsia="仿宋"/>
          <w:bCs/>
          <w:color w:val="auto"/>
          <w:sz w:val="32"/>
          <w:szCs w:val="32"/>
          <w:highlight w:val="none"/>
        </w:rPr>
        <w:t>（款）</w:t>
      </w:r>
      <w:r>
        <w:rPr>
          <w:rStyle w:val="16"/>
          <w:rFonts w:hint="eastAsia" w:ascii="仿宋" w:hAnsi="仿宋" w:eastAsia="仿宋"/>
          <w:bCs/>
          <w:color w:val="auto"/>
          <w:sz w:val="32"/>
          <w:szCs w:val="32"/>
          <w:highlight w:val="none"/>
          <w:lang w:val="en-US" w:eastAsia="zh-CN"/>
        </w:rPr>
        <w:t>住房公积金</w:t>
      </w:r>
      <w:r>
        <w:rPr>
          <w:rStyle w:val="16"/>
          <w:rFonts w:hint="eastAsia" w:ascii="仿宋" w:hAnsi="仿宋" w:eastAsia="仿宋"/>
          <w:bCs/>
          <w:color w:val="auto"/>
          <w:sz w:val="32"/>
          <w:szCs w:val="32"/>
          <w:highlight w:val="none"/>
        </w:rPr>
        <w:t>（项）</w:t>
      </w:r>
      <w:r>
        <w:rPr>
          <w:rStyle w:val="16"/>
          <w:rFonts w:ascii="仿宋" w:hAnsi="仿宋" w:eastAsia="仿宋"/>
          <w:bCs/>
          <w:color w:val="auto"/>
          <w:sz w:val="32"/>
          <w:szCs w:val="32"/>
          <w:highlight w:val="none"/>
        </w:rPr>
        <w:t>:</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12.96</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bookmarkStart w:id="29" w:name="_Toc15396608"/>
      <w:bookmarkStart w:id="30" w:name="_Toc15377214"/>
    </w:p>
    <w:p>
      <w:pPr>
        <w:tabs>
          <w:tab w:val="right" w:pos="8306"/>
        </w:tabs>
        <w:spacing w:line="600" w:lineRule="exact"/>
        <w:ind w:firstLine="640"/>
        <w:outlineLvl w:val="1"/>
        <w:rPr>
          <w:rStyle w:val="28"/>
          <w:color w:val="auto"/>
          <w:highlight w:val="none"/>
        </w:rPr>
      </w:pPr>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8"/>
          <w:rFonts w:hint="eastAsia" w:ascii="黑体" w:hAnsi="黑体" w:eastAsia="黑体"/>
          <w:b w:val="0"/>
          <w:color w:val="auto"/>
          <w:highlight w:val="none"/>
        </w:rPr>
        <w:t>般公共预算财政拨款基本支出决算情况说明</w:t>
      </w:r>
      <w:bookmarkEnd w:id="29"/>
      <w:bookmarkEnd w:id="30"/>
      <w:r>
        <w:rPr>
          <w:rStyle w:val="28"/>
          <w:rFonts w:ascii="黑体" w:hAnsi="黑体" w:eastAsia="黑体"/>
          <w:b w:val="0"/>
          <w:color w:val="auto"/>
          <w:highlight w:val="none"/>
        </w:rPr>
        <w:tab/>
      </w:r>
    </w:p>
    <w:p>
      <w:pPr>
        <w:spacing w:line="600" w:lineRule="exact"/>
        <w:ind w:firstLine="645"/>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158.25</w:t>
      </w:r>
      <w:r>
        <w:rPr>
          <w:rFonts w:hint="eastAsia" w:ascii="仿宋" w:hAnsi="仿宋" w:eastAsia="仿宋"/>
          <w:color w:val="auto"/>
          <w:sz w:val="32"/>
          <w:szCs w:val="32"/>
          <w:highlight w:val="none"/>
        </w:rPr>
        <w:t>万元，其中：人员经费</w:t>
      </w:r>
      <w:r>
        <w:rPr>
          <w:rFonts w:hint="eastAsia" w:ascii="仿宋" w:hAnsi="仿宋" w:eastAsia="仿宋"/>
          <w:color w:val="auto"/>
          <w:sz w:val="32"/>
          <w:szCs w:val="32"/>
          <w:highlight w:val="none"/>
          <w:lang w:val="en-US" w:eastAsia="zh-CN"/>
        </w:rPr>
        <w:t>133.22</w:t>
      </w:r>
      <w:r>
        <w:rPr>
          <w:rFonts w:hint="eastAsia" w:ascii="仿宋" w:hAnsi="仿宋" w:eastAsia="仿宋"/>
          <w:color w:val="auto"/>
          <w:sz w:val="32"/>
          <w:szCs w:val="32"/>
          <w:highlight w:val="none"/>
        </w:rPr>
        <w:t>万元，主要包括：基本工资、津贴补贴、绩效工资、机关事业单位基本养老保险缴费、职业年金缴费、职工基本医疗保险缴费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其他社会保障缴费、其他工资福利支出、生活补助、住房公积金、其他对个人和家庭的补助支出等。</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25.03</w:t>
      </w:r>
      <w:r>
        <w:rPr>
          <w:rFonts w:hint="eastAsia" w:ascii="仿宋" w:hAnsi="仿宋" w:eastAsia="仿宋"/>
          <w:color w:val="auto"/>
          <w:sz w:val="32"/>
          <w:szCs w:val="32"/>
          <w:highlight w:val="none"/>
        </w:rPr>
        <w:t>万元，主要包括：办公费、印刷费、手续费、水费、电费、邮电费、物业管理费、差旅费、维修（护）费、租赁费、劳务费、福利费、其他交通费、其他商品和服务支出等。</w:t>
      </w:r>
    </w:p>
    <w:p>
      <w:pPr>
        <w:spacing w:line="600" w:lineRule="exact"/>
        <w:ind w:firstLine="640"/>
        <w:outlineLvl w:val="1"/>
        <w:rPr>
          <w:rStyle w:val="28"/>
          <w:rFonts w:ascii="黑体" w:hAnsi="黑体" w:eastAsia="黑体"/>
          <w:b w:val="0"/>
          <w:color w:val="auto"/>
          <w:highlight w:val="none"/>
        </w:rPr>
      </w:pPr>
      <w:bookmarkStart w:id="31" w:name="_Toc15377215"/>
      <w:bookmarkStart w:id="32" w:name="_Toc15396609"/>
      <w:r>
        <w:rPr>
          <w:rFonts w:hint="eastAsia" w:ascii="黑体" w:eastAsia="黑体"/>
          <w:color w:val="auto"/>
          <w:sz w:val="32"/>
          <w:szCs w:val="32"/>
          <w:highlight w:val="none"/>
        </w:rPr>
        <w:t>七、</w:t>
      </w:r>
      <w:r>
        <w:rPr>
          <w:rStyle w:val="28"/>
          <w:rFonts w:hint="eastAsia" w:ascii="黑体" w:hAnsi="黑体" w:eastAsia="黑体"/>
          <w:color w:val="auto"/>
          <w:highlight w:val="none"/>
        </w:rPr>
        <w:t>“</w:t>
      </w:r>
      <w:r>
        <w:rPr>
          <w:rStyle w:val="28"/>
          <w:rFonts w:hint="eastAsia" w:ascii="黑体" w:hAnsi="黑体" w:eastAsia="黑体"/>
          <w:b w:val="0"/>
          <w:color w:val="auto"/>
          <w:highlight w:val="none"/>
        </w:rPr>
        <w:t>三公”经费财政拨款支出决算情况说明</w:t>
      </w:r>
      <w:bookmarkEnd w:id="31"/>
      <w:bookmarkEnd w:id="32"/>
    </w:p>
    <w:p>
      <w:pPr>
        <w:spacing w:line="600" w:lineRule="exact"/>
        <w:ind w:firstLine="640"/>
        <w:outlineLvl w:val="2"/>
        <w:rPr>
          <w:rFonts w:ascii="仿宋" w:hAnsi="仿宋" w:eastAsia="仿宋"/>
          <w:b/>
          <w:color w:val="auto"/>
          <w:sz w:val="32"/>
          <w:szCs w:val="32"/>
          <w:highlight w:val="none"/>
        </w:rPr>
      </w:pPr>
      <w:bookmarkStart w:id="33" w:name="_Toc15377216"/>
      <w:r>
        <w:rPr>
          <w:rFonts w:hint="eastAsia" w:ascii="仿宋" w:hAnsi="仿宋" w:eastAsia="仿宋"/>
          <w:b/>
          <w:color w:val="auto"/>
          <w:sz w:val="32"/>
          <w:szCs w:val="32"/>
          <w:highlight w:val="none"/>
        </w:rPr>
        <w:t>（一）“三公”经费财政拨款支出决算总体情况说明</w:t>
      </w:r>
      <w:bookmarkEnd w:id="33"/>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万元，决算数预算数持平</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主要原因是</w:t>
      </w:r>
      <w:r>
        <w:rPr>
          <w:rFonts w:hint="eastAsia" w:ascii="仿宋" w:hAnsi="仿宋" w:eastAsia="仿宋"/>
          <w:color w:val="auto"/>
          <w:sz w:val="32"/>
          <w:szCs w:val="32"/>
          <w:highlight w:val="none"/>
          <w:lang w:val="en-US" w:eastAsia="zh-CN"/>
        </w:rPr>
        <w:t>我校2021年未预算</w:t>
      </w:r>
      <w:r>
        <w:rPr>
          <w:rFonts w:hint="eastAsia" w:ascii="仿宋" w:hAnsi="仿宋" w:eastAsia="仿宋"/>
          <w:color w:val="auto"/>
          <w:sz w:val="32"/>
          <w:szCs w:val="32"/>
          <w:highlight w:val="none"/>
        </w:rPr>
        <w:t>“三公”经费。</w:t>
      </w:r>
    </w:p>
    <w:p>
      <w:pPr>
        <w:spacing w:line="600" w:lineRule="exact"/>
        <w:ind w:firstLine="640"/>
        <w:outlineLvl w:val="2"/>
        <w:rPr>
          <w:rFonts w:ascii="仿宋" w:hAnsi="仿宋" w:eastAsia="仿宋"/>
          <w:b/>
          <w:color w:val="auto"/>
          <w:sz w:val="32"/>
          <w:szCs w:val="32"/>
          <w:highlight w:val="none"/>
        </w:rPr>
      </w:pPr>
      <w:bookmarkStart w:id="34" w:name="_Toc15377217"/>
      <w:r>
        <w:rPr>
          <w:rFonts w:hint="eastAsia" w:ascii="仿宋" w:hAnsi="仿宋" w:eastAsia="仿宋"/>
          <w:b/>
          <w:color w:val="auto"/>
          <w:sz w:val="32"/>
          <w:szCs w:val="32"/>
          <w:highlight w:val="none"/>
        </w:rPr>
        <w:t>（二）“三公”经费财政拨款支出决算具体情况说明</w:t>
      </w:r>
      <w:bookmarkEnd w:id="34"/>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2"/>
      </w:pPr>
      <w:r>
        <w:rPr>
          <w:rFonts w:hint="eastAsia" w:ascii="仿宋" w:hAnsi="仿宋" w:eastAsia="仿宋"/>
          <w:color w:val="auto"/>
          <w:sz w:val="32"/>
          <w:szCs w:val="32"/>
          <w:highlight w:val="none"/>
          <w:shd w:val="pct10" w:color="auto" w:fill="FFFFFF"/>
          <w:lang w:eastAsia="zh-CN"/>
        </w:rPr>
        <w:drawing>
          <wp:anchor distT="0" distB="0" distL="114300" distR="114300" simplePos="0" relativeHeight="251664384" behindDoc="0" locked="0" layoutInCell="1" allowOverlap="1">
            <wp:simplePos x="0" y="0"/>
            <wp:positionH relativeFrom="column">
              <wp:posOffset>850265</wp:posOffset>
            </wp:positionH>
            <wp:positionV relativeFrom="paragraph">
              <wp:posOffset>66675</wp:posOffset>
            </wp:positionV>
            <wp:extent cx="3578860" cy="2385060"/>
            <wp:effectExtent l="4445" t="4445" r="13335" b="18415"/>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pStyle w:val="2"/>
      </w:pPr>
      <w:r>
        <w:rPr>
          <w:sz w:val="30"/>
        </w:rPr>
        <mc:AlternateContent>
          <mc:Choice Requires="wps">
            <w:drawing>
              <wp:anchor distT="0" distB="0" distL="114300" distR="114300" simplePos="0" relativeHeight="251665408" behindDoc="0" locked="0" layoutInCell="1" allowOverlap="1">
                <wp:simplePos x="0" y="0"/>
                <wp:positionH relativeFrom="column">
                  <wp:posOffset>1901825</wp:posOffset>
                </wp:positionH>
                <wp:positionV relativeFrom="paragraph">
                  <wp:posOffset>201295</wp:posOffset>
                </wp:positionV>
                <wp:extent cx="1440180" cy="1379220"/>
                <wp:effectExtent l="0" t="0" r="7620" b="7620"/>
                <wp:wrapNone/>
                <wp:docPr id="10" name="椭圆 10"/>
                <wp:cNvGraphicFramePr/>
                <a:graphic xmlns:a="http://schemas.openxmlformats.org/drawingml/2006/main">
                  <a:graphicData uri="http://schemas.microsoft.com/office/word/2010/wordprocessingShape">
                    <wps:wsp>
                      <wps:cNvSpPr/>
                      <wps:spPr>
                        <a:xfrm>
                          <a:off x="3204845" y="7507605"/>
                          <a:ext cx="1440180" cy="137922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49.75pt;margin-top:15.85pt;height:108.6pt;width:113.4pt;z-index:251665408;v-text-anchor:middle;mso-width-relative:page;mso-height-relative:page;" fillcolor="#4F81BD [3204]" filled="t" stroked="f" coordsize="21600,21600" o:gfxdata="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YCzm+NwAAAAKAQAADwAAAAAAAAABACAAAAAiAAAAZHJz&#10;L2Rvd25yZXYueG1sUEsBAhQAFAAAAAgAh07iQM6M3KNyAgAAxgQAAA4AAAAAAAAAAQAgAAAAKwEA&#10;AGRycy9lMm9Eb2MueG1sUEsFBgAAAAAGAAYAWQEAAA8GAAAAAA==&#10;">
                <v:fill on="t" focussize="0,0"/>
                <v:stroke on="f" weight="2pt"/>
                <v:imagedata o:title=""/>
                <o:lock v:ext="edit" aspectratio="f"/>
              </v:shape>
            </w:pict>
          </mc:Fallback>
        </mc:AlternateContent>
      </w:r>
    </w:p>
    <w:p>
      <w:pPr>
        <w:pStyle w:val="2"/>
      </w:pPr>
      <w:r>
        <w:rPr>
          <w:sz w:val="30"/>
        </w:rPr>
        <mc:AlternateContent>
          <mc:Choice Requires="wps">
            <w:drawing>
              <wp:anchor distT="0" distB="0" distL="114300" distR="114300" simplePos="0" relativeHeight="251666432" behindDoc="0" locked="0" layoutInCell="1" allowOverlap="1">
                <wp:simplePos x="0" y="0"/>
                <wp:positionH relativeFrom="column">
                  <wp:posOffset>2176145</wp:posOffset>
                </wp:positionH>
                <wp:positionV relativeFrom="paragraph">
                  <wp:posOffset>294005</wp:posOffset>
                </wp:positionV>
                <wp:extent cx="868680" cy="357505"/>
                <wp:effectExtent l="0" t="0" r="0" b="0"/>
                <wp:wrapNone/>
                <wp:docPr id="11" name="文本框 11"/>
                <wp:cNvGraphicFramePr/>
                <a:graphic xmlns:a="http://schemas.openxmlformats.org/drawingml/2006/main">
                  <a:graphicData uri="http://schemas.microsoft.com/office/word/2010/wordprocessingShape">
                    <wps:wsp>
                      <wps:cNvSpPr txBox="1"/>
                      <wps:spPr>
                        <a:xfrm>
                          <a:off x="3220085" y="7858125"/>
                          <a:ext cx="868680" cy="3575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b/>
                                <w:bCs/>
                                <w:color w:val="auto"/>
                                <w:lang w:val="en-US" w:eastAsia="zh-CN"/>
                              </w:rPr>
                            </w:pPr>
                            <w:r>
                              <w:rPr>
                                <w:rFonts w:hint="eastAsia"/>
                                <w:b/>
                                <w:bCs/>
                                <w:color w:val="auto"/>
                                <w:lang w:val="en-US" w:eastAsia="zh-CN"/>
                              </w:rPr>
                              <w:t>0万元，0%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1.35pt;margin-top:23.15pt;height:28.15pt;width:68.4pt;z-index:251666432;mso-width-relative:page;mso-height-relative:page;" filled="f" stroked="f" coordsize="21600,21600" o:gfxdata="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YLgS/NwAAAAKAQAADwAAAAAA&#10;AAABACAAAAAiAAAAZHJzL2Rvd25yZXYueG1sUEsBAhQAFAAAAAgAh07iQIp8HBVIAgAAcwQAAA4A&#10;AAAAAAAAAQAgAAAAKwEAAGRycy9lMm9Eb2MueG1sUEsFBgAAAAAGAAYAWQEAAOUFAAAAAA==&#10;">
                <v:fill on="f" focussize="0,0"/>
                <v:stroke on="f" weight="0.5pt"/>
                <v:imagedata o:title=""/>
                <o:lock v:ext="edit" aspectratio="f"/>
                <v:textbox>
                  <w:txbxContent>
                    <w:p>
                      <w:pPr>
                        <w:rPr>
                          <w:rFonts w:hint="default" w:eastAsia="宋体"/>
                          <w:b/>
                          <w:bCs/>
                          <w:color w:val="auto"/>
                          <w:lang w:val="en-US" w:eastAsia="zh-CN"/>
                        </w:rPr>
                      </w:pPr>
                      <w:r>
                        <w:rPr>
                          <w:rFonts w:hint="eastAsia"/>
                          <w:b/>
                          <w:bCs/>
                          <w:color w:val="auto"/>
                          <w:lang w:val="en-US" w:eastAsia="zh-CN"/>
                        </w:rPr>
                        <w:t>0万元，0%</w:t>
                      </w:r>
                    </w:p>
                  </w:txbxContent>
                </v:textbox>
              </v:shape>
            </w:pict>
          </mc:Fallback>
        </mc:AlternateContent>
      </w:r>
    </w:p>
    <w:p>
      <w:pPr>
        <w:pStyle w:val="2"/>
      </w:pPr>
    </w:p>
    <w:p>
      <w:pPr>
        <w:pStyle w:val="2"/>
      </w:pPr>
    </w:p>
    <w:p>
      <w:pPr>
        <w:spacing w:line="600" w:lineRule="exact"/>
        <w:ind w:firstLine="960" w:firstLineChars="30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w:t>
      </w:r>
    </w:p>
    <w:p>
      <w:pPr>
        <w:spacing w:line="600" w:lineRule="exact"/>
        <w:ind w:firstLine="643" w:firstLineChars="20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ascii="仿宋_GB2312" w:eastAsia="仿宋_GB2312"/>
          <w:color w:val="auto"/>
          <w:sz w:val="32"/>
          <w:szCs w:val="32"/>
          <w:highlight w:val="none"/>
        </w:rPr>
        <w:t>/</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下降</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我校为2021年财务独立核算单位</w:t>
      </w:r>
      <w:r>
        <w:rPr>
          <w:rFonts w:hint="eastAsia" w:ascii="仿宋_GB2312" w:eastAsia="仿宋_GB2312"/>
          <w:color w:val="auto"/>
          <w:sz w:val="32"/>
          <w:szCs w:val="32"/>
          <w:highlight w:val="none"/>
        </w:rPr>
        <w:t>。</w:t>
      </w:r>
    </w:p>
    <w:p>
      <w:pPr>
        <w:spacing w:line="600" w:lineRule="exact"/>
        <w:ind w:firstLine="643" w:firstLineChars="20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6"/>
          <w:rFonts w:hint="eastAsia" w:ascii="仿宋" w:hAnsi="仿宋" w:eastAsia="仿宋"/>
          <w:b w:val="0"/>
          <w:bCs/>
          <w:color w:val="auto"/>
          <w:sz w:val="32"/>
          <w:szCs w:val="32"/>
          <w:highlight w:val="none"/>
        </w:rPr>
        <w:t>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ascii="仿宋_GB2312" w:eastAsia="仿宋_GB2312"/>
          <w:color w:val="auto"/>
          <w:sz w:val="32"/>
          <w:szCs w:val="32"/>
          <w:highlight w:val="none"/>
        </w:rPr>
        <w:t>/</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下降</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 w:hAnsi="仿宋" w:eastAsia="仿宋"/>
          <w:color w:val="auto"/>
          <w:sz w:val="32"/>
          <w:szCs w:val="32"/>
          <w:highlight w:val="none"/>
          <w:lang w:val="en-US" w:eastAsia="zh-CN"/>
        </w:rPr>
        <w:t>我校为2021年财务独立核算单位</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3" w:firstLineChars="20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6"/>
          <w:rFonts w:hint="eastAsia" w:ascii="仿宋" w:hAnsi="仿宋" w:eastAsia="仿宋"/>
          <w:b w:val="0"/>
          <w:bCs/>
          <w:color w:val="auto"/>
          <w:sz w:val="32"/>
          <w:szCs w:val="32"/>
          <w:highlight w:val="none"/>
        </w:rPr>
        <w:t>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ascii="仿宋_GB2312" w:eastAsia="仿宋_GB2312"/>
          <w:color w:val="auto"/>
          <w:sz w:val="32"/>
          <w:szCs w:val="32"/>
          <w:highlight w:val="none"/>
        </w:rPr>
        <w:t>/</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下降</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 w:hAnsi="仿宋" w:eastAsia="仿宋"/>
          <w:color w:val="auto"/>
          <w:sz w:val="32"/>
          <w:szCs w:val="32"/>
          <w:highlight w:val="none"/>
          <w:lang w:val="en-US" w:eastAsia="zh-CN"/>
        </w:rPr>
        <w:t>我校为2021年财务独立核算单位</w:t>
      </w: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3" w:firstLineChars="200"/>
        <w:rPr>
          <w:rFonts w:ascii="黑体" w:eastAsia="黑体"/>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bookmarkStart w:id="35" w:name="_Toc15377218"/>
      <w:bookmarkStart w:id="36" w:name="_Toc15396610"/>
    </w:p>
    <w:p>
      <w:pPr>
        <w:spacing w:line="600" w:lineRule="exact"/>
        <w:ind w:firstLine="640"/>
        <w:outlineLvl w:val="1"/>
        <w:rPr>
          <w:rStyle w:val="28"/>
          <w:rFonts w:ascii="黑体" w:hAnsi="黑体" w:eastAsia="黑体"/>
          <w:color w:val="auto"/>
          <w:highlight w:val="none"/>
        </w:rPr>
      </w:pPr>
      <w:r>
        <w:rPr>
          <w:rFonts w:hint="eastAsia" w:ascii="黑体" w:eastAsia="黑体"/>
          <w:color w:val="auto"/>
          <w:sz w:val="32"/>
          <w:szCs w:val="32"/>
          <w:highlight w:val="none"/>
        </w:rPr>
        <w:t>八、</w:t>
      </w:r>
      <w:r>
        <w:rPr>
          <w:rStyle w:val="28"/>
          <w:rFonts w:hint="eastAsia" w:ascii="黑体" w:hAnsi="黑体" w:eastAsia="黑体"/>
          <w:b w:val="0"/>
          <w:color w:val="auto"/>
          <w:highlight w:val="none"/>
        </w:rPr>
        <w:t>政府性基金预算支出决算情况说明</w:t>
      </w:r>
      <w:bookmarkEnd w:id="35"/>
      <w:bookmarkEnd w:id="36"/>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2"/>
        </w:numPr>
        <w:spacing w:line="600" w:lineRule="exact"/>
        <w:ind w:firstLine="640"/>
        <w:outlineLvl w:val="1"/>
        <w:rPr>
          <w:rStyle w:val="28"/>
          <w:rFonts w:ascii="黑体" w:hAnsi="黑体" w:eastAsia="黑体"/>
          <w:b w:val="0"/>
          <w:color w:val="auto"/>
          <w:highlight w:val="none"/>
        </w:rPr>
      </w:pPr>
      <w:bookmarkStart w:id="37" w:name="_Toc15377219"/>
      <w:bookmarkStart w:id="38" w:name="_Toc15396611"/>
      <w:r>
        <w:rPr>
          <w:rStyle w:val="28"/>
          <w:rFonts w:hint="eastAsia" w:ascii="黑体" w:hAnsi="黑体" w:eastAsia="黑体"/>
          <w:b w:val="0"/>
          <w:color w:val="auto"/>
          <w:highlight w:val="none"/>
        </w:rPr>
        <w:t>国有资本经营预算支出决算情况说明</w:t>
      </w:r>
      <w:bookmarkEnd w:id="37"/>
      <w:bookmarkEnd w:id="38"/>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580" w:lineRule="exact"/>
        <w:jc w:val="center"/>
        <w:rPr>
          <w:rFonts w:ascii="方正小标宋简体" w:hAnsi="方正小标宋简体" w:eastAsia="方正小标宋简体" w:cs="方正小标宋简体"/>
          <w:color w:val="auto"/>
          <w:sz w:val="44"/>
          <w:szCs w:val="44"/>
          <w:highlight w:val="none"/>
        </w:rPr>
      </w:pPr>
    </w:p>
    <w:p>
      <w:pPr>
        <w:numPr>
          <w:ilvl w:val="0"/>
          <w:numId w:val="2"/>
        </w:numPr>
        <w:spacing w:line="600" w:lineRule="exact"/>
        <w:ind w:firstLine="640"/>
        <w:outlineLvl w:val="1"/>
        <w:rPr>
          <w:rStyle w:val="28"/>
          <w:rFonts w:hint="eastAsia" w:ascii="黑体" w:hAnsi="黑体" w:eastAsia="黑体"/>
          <w:b w:val="0"/>
          <w:color w:val="auto"/>
          <w:highlight w:val="none"/>
        </w:rPr>
      </w:pPr>
      <w:bookmarkStart w:id="39" w:name="_Toc15377221"/>
      <w:bookmarkStart w:id="40" w:name="_Toc15396612"/>
      <w:r>
        <w:rPr>
          <w:rStyle w:val="28"/>
          <w:rFonts w:hint="eastAsia" w:ascii="黑体" w:hAnsi="黑体" w:eastAsia="黑体"/>
          <w:b w:val="0"/>
          <w:color w:val="auto"/>
          <w:highlight w:val="none"/>
          <w:lang w:val="en-US" w:eastAsia="zh-CN"/>
        </w:rPr>
        <w:t>预算绩效管理情况</w:t>
      </w:r>
    </w:p>
    <w:p>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val="en-US" w:eastAsia="zh-CN"/>
        </w:rPr>
        <w:t>老年活动中心临聘人员工资</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2个项目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2021年部门预算项目绩效目标自评表见附件（第四部分）</w:t>
      </w:r>
      <w:r>
        <w:rPr>
          <w:rFonts w:hint="eastAsia" w:ascii="仿宋_GB2312" w:hAnsi="仿宋_GB2312" w:eastAsia="仿宋_GB2312" w:cs="仿宋_GB2312"/>
          <w:color w:val="auto"/>
          <w:sz w:val="32"/>
          <w:szCs w:val="32"/>
          <w:highlight w:val="none"/>
        </w:rPr>
        <w:t>。</w:t>
      </w:r>
    </w:p>
    <w:p>
      <w:pPr>
        <w:numPr>
          <w:ilvl w:val="0"/>
          <w:numId w:val="2"/>
        </w:numPr>
        <w:spacing w:line="600" w:lineRule="exact"/>
        <w:ind w:firstLine="640"/>
        <w:outlineLvl w:val="1"/>
        <w:rPr>
          <w:rStyle w:val="28"/>
          <w:rFonts w:hint="eastAsia" w:ascii="黑体" w:hAnsi="黑体" w:eastAsia="黑体"/>
          <w:b w:val="0"/>
          <w:color w:val="auto"/>
          <w:highlight w:val="none"/>
        </w:rPr>
      </w:pPr>
      <w:r>
        <w:rPr>
          <w:rStyle w:val="28"/>
          <w:rFonts w:hint="eastAsia" w:ascii="黑体" w:hAnsi="黑体" w:eastAsia="黑体"/>
          <w:b w:val="0"/>
          <w:color w:val="auto"/>
          <w:highlight w:val="none"/>
        </w:rPr>
        <w:t>其他重要事项的情况说明</w:t>
      </w:r>
      <w:bookmarkEnd w:id="39"/>
      <w:bookmarkEnd w:id="40"/>
    </w:p>
    <w:p>
      <w:pPr>
        <w:spacing w:line="600" w:lineRule="exact"/>
        <w:ind w:firstLine="643" w:firstLineChars="200"/>
        <w:outlineLvl w:val="2"/>
        <w:rPr>
          <w:rFonts w:ascii="仿宋" w:hAnsi="仿宋" w:eastAsia="仿宋"/>
          <w:color w:val="auto"/>
          <w:sz w:val="32"/>
          <w:szCs w:val="32"/>
          <w:highlight w:val="none"/>
        </w:rPr>
      </w:pPr>
      <w:bookmarkStart w:id="41" w:name="_Toc15377222"/>
      <w:r>
        <w:rPr>
          <w:rFonts w:hint="eastAsia" w:ascii="仿宋" w:hAnsi="仿宋" w:eastAsia="仿宋"/>
          <w:b/>
          <w:color w:val="auto"/>
          <w:sz w:val="32"/>
          <w:szCs w:val="32"/>
          <w:highlight w:val="none"/>
        </w:rPr>
        <w:t>（一）机关运行经费支出情况</w:t>
      </w:r>
      <w:bookmarkEnd w:id="41"/>
    </w:p>
    <w:p>
      <w:pPr>
        <w:spacing w:line="600" w:lineRule="exact"/>
        <w:ind w:firstLine="640" w:firstLineChars="200"/>
        <w:rPr>
          <w:rFonts w:ascii="仿宋" w:hAnsi="仿宋" w:eastAsia="仿宋"/>
          <w:b w:val="0"/>
          <w:bCs/>
          <w:color w:val="auto"/>
          <w:sz w:val="32"/>
          <w:szCs w:val="32"/>
          <w:highlight w:val="none"/>
        </w:rPr>
      </w:pPr>
      <w:r>
        <w:rPr>
          <w:rFonts w:hint="eastAsia" w:ascii="仿宋" w:hAnsi="仿宋" w:eastAsia="仿宋" w:cs="仿宋"/>
          <w:b w:val="0"/>
          <w:bCs/>
          <w:color w:val="auto"/>
          <w:sz w:val="32"/>
          <w:szCs w:val="32"/>
          <w:highlight w:val="none"/>
          <w:lang w:val="en-US" w:eastAsia="zh-CN"/>
        </w:rPr>
        <w:t>2021年</w:t>
      </w:r>
      <w:r>
        <w:rPr>
          <w:rFonts w:hint="eastAsia" w:ascii="仿宋" w:hAnsi="仿宋" w:eastAsia="仿宋" w:cs="仿宋"/>
          <w:b w:val="0"/>
          <w:bCs/>
          <w:i w:val="0"/>
          <w:iCs w:val="0"/>
          <w:caps w:val="0"/>
          <w:color w:val="auto"/>
          <w:spacing w:val="0"/>
          <w:sz w:val="32"/>
          <w:szCs w:val="32"/>
          <w:highlight w:val="none"/>
        </w:rPr>
        <w:t>未发生机关运行经费支出</w:t>
      </w:r>
      <w:r>
        <w:rPr>
          <w:rFonts w:hint="eastAsia" w:ascii="仿宋" w:hAnsi="仿宋" w:eastAsia="仿宋" w:cs="仿宋"/>
          <w:b w:val="0"/>
          <w:bCs/>
          <w:i w:val="0"/>
          <w:iCs w:val="0"/>
          <w:caps w:val="0"/>
          <w:color w:val="auto"/>
          <w:spacing w:val="0"/>
          <w:sz w:val="32"/>
          <w:szCs w:val="32"/>
          <w:highlight w:val="none"/>
          <w:lang w:eastAsia="zh-CN"/>
        </w:rPr>
        <w:t>，</w:t>
      </w:r>
      <w:r>
        <w:rPr>
          <w:rFonts w:hint="eastAsia" w:ascii="仿宋" w:hAnsi="仿宋" w:eastAsia="仿宋" w:cs="仿宋"/>
          <w:b w:val="0"/>
          <w:bCs/>
          <w:i w:val="0"/>
          <w:iCs w:val="0"/>
          <w:caps w:val="0"/>
          <w:color w:val="auto"/>
          <w:spacing w:val="0"/>
          <w:sz w:val="32"/>
          <w:szCs w:val="32"/>
          <w:highlight w:val="none"/>
          <w:lang w:val="en-US" w:eastAsia="zh-CN"/>
        </w:rPr>
        <w:t>与2020年决算数持平。</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2" w:name="_Toc15377223"/>
      <w:r>
        <w:rPr>
          <w:rFonts w:hint="eastAsia" w:ascii="仿宋" w:hAnsi="仿宋" w:eastAsia="仿宋"/>
          <w:b/>
          <w:color w:val="auto"/>
          <w:sz w:val="32"/>
          <w:szCs w:val="32"/>
          <w:highlight w:val="none"/>
        </w:rPr>
        <w:t>（二）政府采购支出情况</w:t>
      </w:r>
      <w:bookmarkEnd w:id="42"/>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广元市老年大学</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3" w:name="_Toc15377224"/>
      <w:r>
        <w:rPr>
          <w:rFonts w:hint="eastAsia" w:ascii="仿宋" w:hAnsi="仿宋" w:eastAsia="仿宋"/>
          <w:b/>
          <w:color w:val="auto"/>
          <w:sz w:val="32"/>
          <w:szCs w:val="32"/>
          <w:highlight w:val="none"/>
        </w:rPr>
        <w:t>（三）国有资产占有使用情况</w:t>
      </w:r>
      <w:bookmarkEnd w:id="43"/>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广元市老年大学</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w:t>
      </w:r>
    </w:p>
    <w:p>
      <w:pPr>
        <w:autoSpaceDE w:val="0"/>
        <w:autoSpaceDN w:val="0"/>
        <w:adjustRightInd w:val="0"/>
        <w:spacing w:line="600" w:lineRule="exact"/>
        <w:ind w:firstLine="643" w:firstLineChars="200"/>
        <w:jc w:val="left"/>
        <w:rPr>
          <w:rFonts w:ascii="仿宋" w:hAnsi="仿宋" w:eastAsia="仿宋"/>
          <w:b/>
          <w:color w:val="auto"/>
          <w:sz w:val="32"/>
          <w:szCs w:val="32"/>
          <w:highlight w:val="none"/>
        </w:rPr>
      </w:pPr>
    </w:p>
    <w:p>
      <w:pPr>
        <w:pStyle w:val="2"/>
        <w:rPr>
          <w:highlight w:val="yellow"/>
        </w:rPr>
      </w:pP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3"/>
        </w:numPr>
        <w:spacing w:line="600" w:lineRule="exact"/>
        <w:ind w:firstLine="660" w:firstLineChars="150"/>
        <w:jc w:val="center"/>
        <w:outlineLvl w:val="0"/>
        <w:rPr>
          <w:rStyle w:val="27"/>
          <w:rFonts w:ascii="黑体" w:hAnsi="黑体" w:eastAsia="黑体"/>
          <w:b w:val="0"/>
          <w:color w:val="auto"/>
          <w:highlight w:val="none"/>
        </w:rPr>
      </w:pPr>
      <w:bookmarkStart w:id="44" w:name="_Toc15396613"/>
      <w:bookmarkStart w:id="45" w:name="_Toc15377225"/>
      <w:r>
        <w:rPr>
          <w:rFonts w:hint="eastAsia" w:ascii="黑体" w:hAnsi="黑体" w:eastAsia="黑体"/>
          <w:color w:val="auto"/>
          <w:sz w:val="44"/>
          <w:szCs w:val="44"/>
          <w:highlight w:val="none"/>
        </w:rPr>
        <w:t>名</w:t>
      </w:r>
      <w:r>
        <w:rPr>
          <w:rStyle w:val="27"/>
          <w:rFonts w:hint="eastAsia" w:ascii="黑体" w:hAnsi="黑体" w:eastAsia="黑体"/>
          <w:b w:val="0"/>
          <w:color w:val="auto"/>
          <w:highlight w:val="none"/>
        </w:rPr>
        <w:t>词解释</w:t>
      </w:r>
      <w:bookmarkEnd w:id="44"/>
      <w:bookmarkEnd w:id="45"/>
    </w:p>
    <w:p>
      <w:pPr>
        <w:spacing w:line="600" w:lineRule="exact"/>
        <w:jc w:val="left"/>
        <w:rPr>
          <w:rFonts w:ascii="宋体"/>
          <w:b/>
          <w:color w:val="auto"/>
          <w:sz w:val="44"/>
          <w:szCs w:val="44"/>
          <w:highlight w:val="none"/>
        </w:rPr>
      </w:pPr>
    </w:p>
    <w:p>
      <w:pPr>
        <w:pStyle w:val="25"/>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5"/>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pPr>
        <w:pStyle w:val="25"/>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其他收入：指单位取得的除上述收入以外的各项收入。主要是</w:t>
      </w:r>
      <w:r>
        <w:rPr>
          <w:rFonts w:hint="eastAsia" w:ascii="仿宋_GB2312" w:eastAsia="仿宋_GB2312"/>
          <w:color w:val="auto"/>
          <w:sz w:val="32"/>
          <w:szCs w:val="32"/>
          <w:highlight w:val="none"/>
          <w:lang w:val="en-US" w:eastAsia="zh-CN"/>
        </w:rPr>
        <w:t>学费收入</w:t>
      </w:r>
      <w:r>
        <w:rPr>
          <w:rFonts w:hint="eastAsia" w:ascii="仿宋_GB2312" w:eastAsia="仿宋_GB2312"/>
          <w:color w:val="auto"/>
          <w:sz w:val="32"/>
          <w:szCs w:val="32"/>
          <w:highlight w:val="none"/>
        </w:rPr>
        <w:t>等。</w:t>
      </w:r>
      <w:r>
        <w:rPr>
          <w:rFonts w:ascii="仿宋_GB2312" w:eastAsia="仿宋_GB2312"/>
          <w:color w:val="auto"/>
          <w:sz w:val="32"/>
          <w:szCs w:val="32"/>
          <w:highlight w:val="none"/>
        </w:rPr>
        <w:t xml:space="preserve"> </w:t>
      </w:r>
    </w:p>
    <w:p>
      <w:pPr>
        <w:pStyle w:val="25"/>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年末结转和结余：指单位按有关规定结转到下年或以后年度继续使用的资金。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b w:val="0"/>
          <w:bCs w:val="0"/>
          <w:color w:val="auto"/>
          <w:sz w:val="32"/>
          <w:szCs w:val="32"/>
          <w:highlight w:val="none"/>
          <w:lang w:val="en-US" w:eastAsia="zh-CN"/>
        </w:rPr>
        <w:t>5</w:t>
      </w:r>
      <w:r>
        <w:rPr>
          <w:rFonts w:ascii="仿宋_GB2312" w:eastAsia="仿宋_GB2312"/>
          <w:b w:val="0"/>
          <w:bCs w:val="0"/>
          <w:color w:val="auto"/>
          <w:sz w:val="32"/>
          <w:szCs w:val="32"/>
          <w:highlight w:val="none"/>
        </w:rPr>
        <w:t>.</w:t>
      </w:r>
      <w:r>
        <w:rPr>
          <w:rStyle w:val="16"/>
          <w:rFonts w:hint="eastAsia" w:ascii="仿宋" w:hAnsi="仿宋" w:eastAsia="仿宋"/>
          <w:b w:val="0"/>
          <w:bCs w:val="0"/>
          <w:color w:val="auto"/>
          <w:sz w:val="32"/>
          <w:szCs w:val="32"/>
          <w:highlight w:val="none"/>
        </w:rPr>
        <w:t>社会保障和就业</w:t>
      </w:r>
      <w:r>
        <w:rPr>
          <w:rFonts w:hint="eastAsia" w:ascii="仿宋" w:hAnsi="仿宋" w:eastAsia="仿宋" w:cs="仿宋"/>
          <w:b w:val="0"/>
          <w:bCs w:val="0"/>
          <w:sz w:val="32"/>
          <w:szCs w:val="32"/>
          <w:lang w:val="en-US" w:eastAsia="zh-CN"/>
        </w:rPr>
        <w:t>支出（类）行政事业单位养老支出（款）机关事业单位基本养老保险缴费支出（项）</w:t>
      </w:r>
      <w:r>
        <w:rPr>
          <w:rFonts w:hint="eastAsia" w:ascii="仿宋_GB2312" w:eastAsia="仿宋_GB2312"/>
          <w:b w:val="0"/>
          <w:bCs w:val="0"/>
          <w:color w:val="auto"/>
          <w:sz w:val="32"/>
          <w:szCs w:val="32"/>
          <w:highlight w:val="none"/>
        </w:rPr>
        <w:t>：</w:t>
      </w:r>
      <w:r>
        <w:rPr>
          <w:rFonts w:hint="eastAsia" w:ascii="仿宋" w:hAnsi="仿宋" w:eastAsia="仿宋" w:cs="仿宋"/>
          <w:sz w:val="32"/>
          <w:szCs w:val="32"/>
          <w:lang w:val="en-US" w:eastAsia="zh-CN"/>
        </w:rPr>
        <w:t>指广元市老年大学用于实施养老保险制度由单位缴纳的基本养老保险费支出</w:t>
      </w:r>
      <w:r>
        <w:rPr>
          <w:rFonts w:hint="eastAsia" w:ascii="仿宋_GB2312" w:eastAsia="仿宋_GB2312"/>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 w:hAnsi="仿宋" w:eastAsia="仿宋" w:cs="仿宋"/>
          <w:b w:val="0"/>
          <w:bCs w:val="0"/>
          <w:sz w:val="32"/>
          <w:szCs w:val="32"/>
          <w:lang w:val="en-US" w:eastAsia="zh-CN"/>
        </w:rPr>
        <w:t>6.</w:t>
      </w:r>
      <w:r>
        <w:rPr>
          <w:rStyle w:val="16"/>
          <w:rFonts w:hint="eastAsia" w:ascii="仿宋" w:hAnsi="仿宋" w:eastAsia="仿宋" w:cs="仿宋"/>
          <w:b w:val="0"/>
          <w:bCs w:val="0"/>
          <w:color w:val="auto"/>
          <w:sz w:val="32"/>
          <w:szCs w:val="32"/>
          <w:highlight w:val="none"/>
        </w:rPr>
        <w:t>社会保障和就业</w:t>
      </w:r>
      <w:r>
        <w:rPr>
          <w:rFonts w:hint="eastAsia" w:ascii="仿宋" w:hAnsi="仿宋" w:eastAsia="仿宋" w:cs="仿宋"/>
          <w:b w:val="0"/>
          <w:bCs w:val="0"/>
          <w:sz w:val="32"/>
          <w:szCs w:val="32"/>
          <w:lang w:val="en-US" w:eastAsia="zh-CN"/>
        </w:rPr>
        <w:t>支出（类）行政事业单位养老支出</w:t>
      </w:r>
      <w:r>
        <w:rPr>
          <w:rStyle w:val="16"/>
          <w:rFonts w:hint="eastAsia" w:ascii="仿宋" w:hAnsi="仿宋" w:eastAsia="仿宋" w:cs="仿宋"/>
          <w:b w:val="0"/>
          <w:bCs w:val="0"/>
          <w:color w:val="auto"/>
          <w:sz w:val="32"/>
          <w:szCs w:val="32"/>
          <w:highlight w:val="none"/>
        </w:rPr>
        <w:t>（款）</w:t>
      </w:r>
      <w:r>
        <w:rPr>
          <w:rFonts w:hint="eastAsia" w:ascii="仿宋" w:hAnsi="仿宋" w:eastAsia="仿宋" w:cs="仿宋"/>
          <w:b w:val="0"/>
          <w:bCs w:val="0"/>
          <w:sz w:val="32"/>
          <w:szCs w:val="32"/>
          <w:lang w:val="en-US" w:eastAsia="zh-CN"/>
        </w:rPr>
        <w:t>机关事业单位职业年金缴费支出</w:t>
      </w:r>
      <w:r>
        <w:rPr>
          <w:rStyle w:val="16"/>
          <w:rFonts w:hint="eastAsia" w:ascii="仿宋" w:hAnsi="仿宋" w:eastAsia="仿宋" w:cs="仿宋"/>
          <w:b w:val="0"/>
          <w:bCs w:val="0"/>
          <w:color w:val="auto"/>
          <w:sz w:val="32"/>
          <w:szCs w:val="32"/>
          <w:highlight w:val="none"/>
        </w:rPr>
        <w:t>（项）</w:t>
      </w:r>
      <w:r>
        <w:rPr>
          <w:rStyle w:val="16"/>
          <w:rFonts w:hint="eastAsia" w:ascii="仿宋" w:hAnsi="仿宋" w:eastAsia="仿宋" w:cs="仿宋"/>
          <w:b w:val="0"/>
          <w:bCs w:val="0"/>
          <w:color w:val="auto"/>
          <w:sz w:val="32"/>
          <w:szCs w:val="32"/>
          <w:highlight w:val="none"/>
          <w:lang w:val="en-US" w:eastAsia="zh-CN"/>
        </w:rPr>
        <w:t>:</w:t>
      </w:r>
      <w:r>
        <w:rPr>
          <w:rFonts w:hint="eastAsia" w:ascii="仿宋" w:hAnsi="仿宋" w:eastAsia="仿宋" w:cs="仿宋"/>
          <w:sz w:val="32"/>
          <w:szCs w:val="32"/>
          <w:lang w:val="en-US" w:eastAsia="zh-CN"/>
        </w:rPr>
        <w:t>指广元市老年大学用于</w:t>
      </w:r>
      <w:r>
        <w:rPr>
          <w:rFonts w:hint="eastAsia" w:ascii="仿宋_GB2312" w:hAnsi="仿宋_GB2312" w:eastAsia="仿宋_GB2312" w:cs="仿宋_GB2312"/>
          <w:sz w:val="32"/>
          <w:szCs w:val="32"/>
        </w:rPr>
        <w:t>实施养老保险制度由单位实际缴纳的职业年金支出。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7.社会保障和就业支出（类）社会福利（款）老年福利（项）:</w:t>
      </w:r>
      <w:r>
        <w:rPr>
          <w:rFonts w:hint="eastAsia" w:ascii="仿宋" w:hAnsi="仿宋" w:eastAsia="仿宋" w:cs="仿宋"/>
          <w:sz w:val="32"/>
          <w:szCs w:val="32"/>
          <w:lang w:val="en-US" w:eastAsia="zh-CN"/>
        </w:rPr>
        <w:t>指广元市老年大学用于人员经费、公用经费和项目支出。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sz w:val="32"/>
          <w:szCs w:val="32"/>
          <w:lang w:val="en-US" w:eastAsia="zh-CN"/>
        </w:rPr>
        <w:t>8.</w:t>
      </w:r>
      <w:r>
        <w:rPr>
          <w:rFonts w:hint="eastAsia" w:ascii="仿宋" w:hAnsi="仿宋" w:eastAsia="仿宋" w:cs="仿宋"/>
          <w:b w:val="0"/>
          <w:bCs w:val="0"/>
          <w:color w:val="auto"/>
          <w:sz w:val="32"/>
          <w:szCs w:val="32"/>
          <w:highlight w:val="none"/>
        </w:rPr>
        <w:t>卫生健康</w:t>
      </w:r>
      <w:r>
        <w:rPr>
          <w:rFonts w:hint="eastAsia" w:ascii="仿宋" w:hAnsi="仿宋" w:eastAsia="仿宋" w:cs="仿宋"/>
          <w:b w:val="0"/>
          <w:bCs w:val="0"/>
          <w:sz w:val="32"/>
          <w:szCs w:val="32"/>
          <w:lang w:val="en-US" w:eastAsia="zh-CN"/>
        </w:rPr>
        <w:t>支出</w:t>
      </w:r>
      <w:r>
        <w:rPr>
          <w:rStyle w:val="16"/>
          <w:rFonts w:hint="eastAsia" w:ascii="仿宋" w:hAnsi="仿宋" w:eastAsia="仿宋" w:cs="仿宋"/>
          <w:b w:val="0"/>
          <w:bCs w:val="0"/>
          <w:color w:val="auto"/>
          <w:sz w:val="32"/>
          <w:szCs w:val="32"/>
          <w:highlight w:val="none"/>
        </w:rPr>
        <w:t>（类）</w:t>
      </w:r>
      <w:r>
        <w:rPr>
          <w:rStyle w:val="16"/>
          <w:rFonts w:hint="eastAsia" w:ascii="仿宋" w:hAnsi="仿宋" w:eastAsia="仿宋" w:cs="仿宋"/>
          <w:b w:val="0"/>
          <w:bCs w:val="0"/>
          <w:color w:val="auto"/>
          <w:sz w:val="32"/>
          <w:szCs w:val="32"/>
          <w:highlight w:val="none"/>
          <w:lang w:val="en-US" w:eastAsia="zh-CN"/>
        </w:rPr>
        <w:t>行政事业单位医疗</w:t>
      </w:r>
      <w:r>
        <w:rPr>
          <w:rStyle w:val="16"/>
          <w:rFonts w:hint="eastAsia" w:ascii="仿宋" w:hAnsi="仿宋" w:eastAsia="仿宋" w:cs="仿宋"/>
          <w:b w:val="0"/>
          <w:bCs w:val="0"/>
          <w:color w:val="auto"/>
          <w:sz w:val="32"/>
          <w:szCs w:val="32"/>
          <w:highlight w:val="none"/>
        </w:rPr>
        <w:t>（款）</w:t>
      </w:r>
      <w:r>
        <w:rPr>
          <w:rStyle w:val="16"/>
          <w:rFonts w:hint="eastAsia" w:ascii="仿宋" w:hAnsi="仿宋" w:eastAsia="仿宋" w:cs="仿宋"/>
          <w:b w:val="0"/>
          <w:bCs w:val="0"/>
          <w:color w:val="auto"/>
          <w:sz w:val="32"/>
          <w:szCs w:val="32"/>
          <w:highlight w:val="none"/>
          <w:lang w:val="en-US" w:eastAsia="zh-CN"/>
        </w:rPr>
        <w:t>事业单位医疗</w:t>
      </w:r>
      <w:r>
        <w:rPr>
          <w:rStyle w:val="16"/>
          <w:rFonts w:hint="eastAsia" w:ascii="仿宋" w:hAnsi="仿宋" w:eastAsia="仿宋" w:cs="仿宋"/>
          <w:b w:val="0"/>
          <w:bCs w:val="0"/>
          <w:color w:val="auto"/>
          <w:sz w:val="32"/>
          <w:szCs w:val="32"/>
          <w:highlight w:val="none"/>
        </w:rPr>
        <w:t>（项）</w:t>
      </w:r>
      <w:r>
        <w:rPr>
          <w:rStyle w:val="16"/>
          <w:rFonts w:hint="eastAsia" w:ascii="仿宋" w:hAnsi="仿宋" w:eastAsia="仿宋" w:cs="仿宋"/>
          <w:b w:val="0"/>
          <w:bCs w:val="0"/>
          <w:color w:val="auto"/>
          <w:sz w:val="32"/>
          <w:szCs w:val="32"/>
          <w:highlight w:val="none"/>
          <w:lang w:eastAsia="zh-CN"/>
        </w:rPr>
        <w:t>：</w:t>
      </w:r>
      <w:r>
        <w:rPr>
          <w:rFonts w:hint="eastAsia" w:ascii="仿宋" w:hAnsi="仿宋" w:eastAsia="仿宋" w:cs="仿宋"/>
          <w:sz w:val="32"/>
          <w:szCs w:val="32"/>
          <w:lang w:val="en-US" w:eastAsia="zh-CN"/>
        </w:rPr>
        <w:t>广元市老年大学用于事业单位基本医疗保险缴费。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color w:val="auto"/>
          <w:sz w:val="32"/>
          <w:szCs w:val="32"/>
          <w:highlight w:val="none"/>
          <w:lang w:val="en-US" w:eastAsia="zh-CN"/>
        </w:rPr>
        <w:t>9.</w:t>
      </w:r>
      <w:r>
        <w:rPr>
          <w:rFonts w:hint="eastAsia" w:ascii="仿宋" w:hAnsi="仿宋" w:eastAsia="仿宋" w:cs="仿宋"/>
          <w:b w:val="0"/>
          <w:bCs w:val="0"/>
          <w:color w:val="auto"/>
          <w:sz w:val="32"/>
          <w:szCs w:val="32"/>
          <w:highlight w:val="none"/>
        </w:rPr>
        <w:t>住房保障</w:t>
      </w:r>
      <w:r>
        <w:rPr>
          <w:rStyle w:val="16"/>
          <w:rFonts w:hint="eastAsia" w:ascii="仿宋" w:hAnsi="仿宋" w:eastAsia="仿宋" w:cs="仿宋"/>
          <w:b w:val="0"/>
          <w:bCs w:val="0"/>
          <w:color w:val="auto"/>
          <w:sz w:val="32"/>
          <w:szCs w:val="32"/>
          <w:highlight w:val="none"/>
        </w:rPr>
        <w:t>（类）</w:t>
      </w:r>
      <w:r>
        <w:rPr>
          <w:rStyle w:val="16"/>
          <w:rFonts w:hint="eastAsia" w:ascii="仿宋" w:hAnsi="仿宋" w:eastAsia="仿宋" w:cs="仿宋"/>
          <w:b w:val="0"/>
          <w:bCs w:val="0"/>
          <w:color w:val="auto"/>
          <w:sz w:val="32"/>
          <w:szCs w:val="32"/>
          <w:highlight w:val="none"/>
          <w:lang w:val="en-US" w:eastAsia="zh-CN"/>
        </w:rPr>
        <w:t>住房改革</w:t>
      </w:r>
      <w:r>
        <w:rPr>
          <w:rFonts w:hint="eastAsia" w:ascii="仿宋" w:hAnsi="仿宋" w:eastAsia="仿宋" w:cs="仿宋"/>
          <w:b w:val="0"/>
          <w:bCs w:val="0"/>
          <w:sz w:val="32"/>
          <w:szCs w:val="32"/>
          <w:lang w:val="en-US" w:eastAsia="zh-CN"/>
        </w:rPr>
        <w:t>支出</w:t>
      </w:r>
      <w:r>
        <w:rPr>
          <w:rStyle w:val="16"/>
          <w:rFonts w:hint="eastAsia" w:ascii="仿宋" w:hAnsi="仿宋" w:eastAsia="仿宋" w:cs="仿宋"/>
          <w:b w:val="0"/>
          <w:bCs w:val="0"/>
          <w:color w:val="auto"/>
          <w:sz w:val="32"/>
          <w:szCs w:val="32"/>
          <w:highlight w:val="none"/>
        </w:rPr>
        <w:t>（款）</w:t>
      </w:r>
      <w:r>
        <w:rPr>
          <w:rStyle w:val="16"/>
          <w:rFonts w:hint="eastAsia" w:ascii="仿宋" w:hAnsi="仿宋" w:eastAsia="仿宋" w:cs="仿宋"/>
          <w:b w:val="0"/>
          <w:bCs w:val="0"/>
          <w:color w:val="auto"/>
          <w:sz w:val="32"/>
          <w:szCs w:val="32"/>
          <w:highlight w:val="none"/>
          <w:lang w:val="en-US" w:eastAsia="zh-CN"/>
        </w:rPr>
        <w:t>住房公积金</w:t>
      </w:r>
      <w:r>
        <w:rPr>
          <w:rStyle w:val="16"/>
          <w:rFonts w:hint="eastAsia" w:ascii="仿宋" w:hAnsi="仿宋" w:eastAsia="仿宋" w:cs="仿宋"/>
          <w:b w:val="0"/>
          <w:bCs w:val="0"/>
          <w:color w:val="auto"/>
          <w:sz w:val="32"/>
          <w:szCs w:val="32"/>
          <w:highlight w:val="none"/>
        </w:rPr>
        <w:t>（项）:</w:t>
      </w:r>
      <w:r>
        <w:rPr>
          <w:rFonts w:hint="eastAsia" w:ascii="仿宋" w:hAnsi="仿宋" w:eastAsia="仿宋" w:cs="仿宋"/>
          <w:sz w:val="32"/>
          <w:szCs w:val="32"/>
          <w:lang w:val="en-US" w:eastAsia="zh-CN"/>
        </w:rPr>
        <w:t>指广元市老年大学用于按规定的工资基数以及规定比例为职工缴纳的住房公积金。</w:t>
      </w:r>
    </w:p>
    <w:p>
      <w:pPr>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10</w:t>
      </w:r>
      <w:r>
        <w:rPr>
          <w:rFonts w:hint="eastAsia" w:ascii="仿宋" w:hAnsi="仿宋" w:eastAsia="仿宋" w:cs="仿宋"/>
          <w:b w:val="0"/>
          <w:bCs w:val="0"/>
          <w:color w:val="auto"/>
          <w:sz w:val="32"/>
          <w:szCs w:val="32"/>
          <w:highlight w:val="none"/>
        </w:rPr>
        <w:t>.基本支出：指为保障机构正常运转、完成日常工作任务而发生的人员支出和公用支出。</w:t>
      </w:r>
    </w:p>
    <w:p>
      <w:pPr>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11</w:t>
      </w:r>
      <w:r>
        <w:rPr>
          <w:rFonts w:hint="eastAsia" w:ascii="仿宋" w:hAnsi="仿宋" w:eastAsia="仿宋" w:cs="仿宋"/>
          <w:b w:val="0"/>
          <w:bCs w:val="0"/>
          <w:color w:val="auto"/>
          <w:sz w:val="32"/>
          <w:szCs w:val="32"/>
          <w:highlight w:val="none"/>
        </w:rPr>
        <w:t xml:space="preserve">.项目支出：指在基本支出之外为完成特定行政任务和事业发展目标所发生的支出。 </w:t>
      </w:r>
    </w:p>
    <w:p>
      <w:pPr>
        <w:pStyle w:val="25"/>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13</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7"/>
          <w:rFonts w:ascii="黑体" w:hAnsi="黑体" w:eastAsia="黑体"/>
          <w:b w:val="0"/>
          <w:color w:val="auto"/>
          <w:highlight w:val="none"/>
        </w:rPr>
      </w:pPr>
      <w:bookmarkStart w:id="46" w:name="_Toc15377226"/>
      <w:r>
        <w:rPr>
          <w:rFonts w:ascii="宋体"/>
          <w:b/>
          <w:color w:val="auto"/>
          <w:sz w:val="44"/>
          <w:szCs w:val="44"/>
          <w:highlight w:val="none"/>
        </w:rPr>
        <w:br w:type="page"/>
      </w:r>
      <w:bookmarkStart w:id="47" w:name="_Toc15396614"/>
      <w:r>
        <w:rPr>
          <w:rFonts w:hint="eastAsia" w:ascii="黑体" w:hAnsi="黑体" w:eastAsia="黑体"/>
          <w:color w:val="auto"/>
          <w:sz w:val="44"/>
          <w:szCs w:val="44"/>
          <w:highlight w:val="none"/>
        </w:rPr>
        <w:t>第</w:t>
      </w:r>
      <w:r>
        <w:rPr>
          <w:rStyle w:val="27"/>
          <w:rFonts w:hint="eastAsia" w:ascii="黑体" w:hAnsi="黑体" w:eastAsia="黑体"/>
          <w:b w:val="0"/>
          <w:color w:val="auto"/>
          <w:highlight w:val="none"/>
        </w:rPr>
        <w:t>四部分 附件</w:t>
      </w:r>
      <w:bookmarkEnd w:id="47"/>
    </w:p>
    <w:p>
      <w:pPr>
        <w:pStyle w:val="2"/>
        <w:rPr>
          <w:rFonts w:hint="eastAsia"/>
          <w:color w:val="auto"/>
          <w:highlight w:val="none"/>
          <w:lang w:val="zh-CN"/>
        </w:rPr>
      </w:pPr>
      <w:r>
        <w:rPr>
          <w:rFonts w:hint="eastAsia" w:hAnsi="宋体" w:cs="宋体"/>
          <w:color w:val="auto"/>
          <w:kern w:val="0"/>
          <w:sz w:val="32"/>
          <w:szCs w:val="32"/>
          <w:highlight w:val="none"/>
          <w:shd w:val="clear" w:color="auto" w:fill="FFFFFF"/>
          <w:lang w:val="zh-CN"/>
        </w:rPr>
        <w:t>附件</w:t>
      </w:r>
    </w:p>
    <w:p>
      <w:pPr>
        <w:pStyle w:val="33"/>
        <w:spacing w:line="600" w:lineRule="exact"/>
        <w:ind w:firstLine="883"/>
        <w:jc w:val="center"/>
        <w:rPr>
          <w:rFonts w:hint="eastAsia" w:ascii="方正小标宋简体" w:hAnsi="宋体" w:eastAsia="方正小标宋简体"/>
          <w:sz w:val="36"/>
          <w:szCs w:val="36"/>
          <w:shd w:val="clear" w:color="auto" w:fill="FFFFFF"/>
        </w:rPr>
      </w:pPr>
      <w:r>
        <w:rPr>
          <w:rFonts w:hint="eastAsia" w:ascii="方正小标宋简体" w:hAnsi="宋体" w:eastAsia="方正小标宋简体"/>
          <w:sz w:val="36"/>
          <w:szCs w:val="36"/>
          <w:shd w:val="clear" w:color="auto" w:fill="FFFFFF"/>
        </w:rPr>
        <w:t>202</w:t>
      </w:r>
      <w:r>
        <w:rPr>
          <w:rFonts w:hint="eastAsia" w:ascii="方正小标宋简体" w:hAnsi="宋体" w:eastAsia="方正小标宋简体"/>
          <w:sz w:val="36"/>
          <w:szCs w:val="36"/>
          <w:shd w:val="clear" w:color="auto" w:fill="FFFFFF"/>
          <w:lang w:val="en-US"/>
        </w:rPr>
        <w:t>1</w:t>
      </w:r>
      <w:r>
        <w:rPr>
          <w:rFonts w:hint="eastAsia" w:ascii="方正小标宋简体" w:hAnsi="宋体" w:eastAsia="方正小标宋简体"/>
          <w:sz w:val="36"/>
          <w:szCs w:val="36"/>
          <w:shd w:val="clear" w:color="auto" w:fill="FFFFFF"/>
        </w:rPr>
        <w:t>年老年活动中心</w:t>
      </w:r>
      <w:r>
        <w:rPr>
          <w:rFonts w:hint="eastAsia" w:ascii="方正小标宋简体" w:hAnsi="宋体" w:eastAsia="方正小标宋简体"/>
          <w:sz w:val="36"/>
          <w:szCs w:val="36"/>
          <w:shd w:val="clear" w:color="auto" w:fill="FFFFFF"/>
          <w:lang w:val="en-US"/>
        </w:rPr>
        <w:t>临聘人员工资</w:t>
      </w:r>
      <w:r>
        <w:rPr>
          <w:rFonts w:hint="eastAsia" w:ascii="方正小标宋简体" w:hAnsi="宋体" w:eastAsia="方正小标宋简体"/>
          <w:sz w:val="36"/>
          <w:szCs w:val="36"/>
          <w:shd w:val="clear" w:color="auto" w:fill="FFFFFF"/>
        </w:rPr>
        <w:t>项目支出</w:t>
      </w:r>
    </w:p>
    <w:p>
      <w:pPr>
        <w:pStyle w:val="33"/>
        <w:spacing w:line="600" w:lineRule="exact"/>
        <w:ind w:firstLine="883"/>
        <w:jc w:val="center"/>
        <w:rPr>
          <w:rFonts w:ascii="宋体"/>
          <w:color w:val="auto"/>
          <w:kern w:val="2"/>
          <w:sz w:val="32"/>
          <w:szCs w:val="32"/>
        </w:rPr>
      </w:pPr>
      <w:r>
        <w:rPr>
          <w:rFonts w:hint="eastAsia" w:ascii="方正小标宋简体" w:hAnsi="宋体" w:eastAsia="方正小标宋简体"/>
          <w:sz w:val="36"/>
          <w:szCs w:val="36"/>
          <w:shd w:val="clear" w:color="auto" w:fill="FFFFFF"/>
        </w:rPr>
        <w:t>绩效自评报告</w:t>
      </w:r>
    </w:p>
    <w:p>
      <w:pPr>
        <w:adjustRightInd w:val="0"/>
        <w:snapToGrid w:val="0"/>
        <w:spacing w:line="560" w:lineRule="exact"/>
        <w:ind w:firstLine="720"/>
        <w:rPr>
          <w:rFonts w:hint="eastAsia" w:ascii="黑体" w:hAnsi="黑体" w:eastAsia="黑体" w:cs="黑体"/>
          <w:sz w:val="32"/>
          <w:szCs w:val="32"/>
          <w:lang w:val="zh-CN"/>
        </w:rPr>
      </w:pPr>
      <w:r>
        <w:rPr>
          <w:rFonts w:hint="eastAsia" w:ascii="黑体" w:hAnsi="黑体" w:eastAsia="黑体" w:cs="黑体"/>
          <w:sz w:val="32"/>
          <w:szCs w:val="32"/>
          <w:lang w:val="zh-CN"/>
        </w:rPr>
        <w:t>一、项目概况</w:t>
      </w:r>
    </w:p>
    <w:p>
      <w:pPr>
        <w:adjustRightInd w:val="0"/>
        <w:snapToGrid w:val="0"/>
        <w:spacing w:line="56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（一）项目基本情况</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w:t>
      </w:r>
      <w:r>
        <w:rPr>
          <w:rFonts w:hint="eastAsia" w:ascii="仿宋" w:hAnsi="仿宋" w:eastAsia="仿宋" w:cs="仿宋"/>
          <w:sz w:val="32"/>
          <w:szCs w:val="32"/>
        </w:rPr>
        <w:t>广元市老年大学</w:t>
      </w:r>
      <w:r>
        <w:rPr>
          <w:rFonts w:hint="eastAsia" w:ascii="仿宋" w:hAnsi="仿宋" w:eastAsia="仿宋" w:cs="仿宋"/>
          <w:sz w:val="32"/>
          <w:szCs w:val="32"/>
          <w:lang w:val="zh-CN"/>
        </w:rPr>
        <w:t>在该项目管理中的职能。</w:t>
      </w:r>
    </w:p>
    <w:p>
      <w:pPr>
        <w:adjustRightInd w:val="0"/>
        <w:snapToGrid w:val="0"/>
        <w:spacing w:line="560" w:lineRule="exact"/>
        <w:ind w:firstLine="720"/>
        <w:rPr>
          <w:rFonts w:hint="eastAsia" w:ascii="仿宋" w:hAnsi="仿宋" w:eastAsia="仿宋" w:cs="仿宋"/>
          <w:sz w:val="32"/>
          <w:szCs w:val="32"/>
        </w:rPr>
      </w:pPr>
      <w:r>
        <w:rPr>
          <w:rFonts w:hint="eastAsia" w:ascii="仿宋" w:hAnsi="仿宋" w:eastAsia="仿宋" w:cs="仿宋"/>
          <w:sz w:val="32"/>
          <w:szCs w:val="32"/>
        </w:rPr>
        <w:t>开展活动中心正常管理工作，为老年学员提供安定的教学环境及服务，最大化发挥老年活动中心为老服务的宗旨。通过新建、改造和整合等途径，增加老年活动设施和场所，支持各类公共场所为老年人开展文化活动提供便利。老年活动中心在项目管理的职责包括具体实施、指导、监督检查等。</w:t>
      </w:r>
    </w:p>
    <w:p>
      <w:pPr>
        <w:numPr>
          <w:ilvl w:val="0"/>
          <w:numId w:val="4"/>
        </w:num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项目立项、资金申报的依据。</w:t>
      </w:r>
    </w:p>
    <w:p>
      <w:pPr>
        <w:adjustRightInd w:val="0"/>
        <w:snapToGrid w:val="0"/>
        <w:spacing w:line="56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项目立项、资金申报的依据主要是本单位职能职责及年度工作计划。</w:t>
      </w:r>
    </w:p>
    <w:p>
      <w:pPr>
        <w:numPr>
          <w:ilvl w:val="0"/>
          <w:numId w:val="4"/>
        </w:num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资金管理办法制定情况，资金支持具体项目的条件、范围与支持方式概况。</w:t>
      </w:r>
    </w:p>
    <w:p>
      <w:pPr>
        <w:adjustRightInd w:val="0"/>
        <w:snapToGrid w:val="0"/>
        <w:spacing w:line="56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本项目主要是工作经费，按照财政资金相关管理办法和要求执行。资金支持具体项目的条件是根据部门工作计划要求安排。财政全额支持。</w:t>
      </w:r>
    </w:p>
    <w:p>
      <w:pPr>
        <w:numPr>
          <w:ilvl w:val="0"/>
          <w:numId w:val="4"/>
        </w:num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资金分配的原则及考虑因素。</w:t>
      </w:r>
    </w:p>
    <w:p>
      <w:pPr>
        <w:adjustRightInd w:val="0"/>
        <w:snapToGrid w:val="0"/>
        <w:spacing w:line="560" w:lineRule="exact"/>
        <w:ind w:left="720"/>
        <w:rPr>
          <w:rFonts w:hint="eastAsia" w:ascii="仿宋" w:hAnsi="仿宋" w:eastAsia="仿宋" w:cs="仿宋"/>
          <w:sz w:val="32"/>
          <w:szCs w:val="32"/>
          <w:lang w:val="zh-CN"/>
        </w:rPr>
      </w:pPr>
      <w:r>
        <w:rPr>
          <w:rFonts w:hint="eastAsia" w:ascii="仿宋" w:hAnsi="仿宋" w:eastAsia="仿宋" w:cs="仿宋"/>
          <w:sz w:val="32"/>
          <w:szCs w:val="32"/>
          <w:lang w:val="zh-CN"/>
        </w:rPr>
        <w:t>项目资金全部由本单位使用，根据项目具体实施内容匹配资金。</w:t>
      </w:r>
    </w:p>
    <w:p>
      <w:pPr>
        <w:adjustRightInd w:val="0"/>
        <w:snapToGrid w:val="0"/>
        <w:spacing w:line="56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（二）项目绩效目标</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1．项目主要内容。</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rPr>
        <w:t>开展活动中心正常管理工作，为老年学员提供安定的教学环境及服务，最大化发挥老年活动中心为老服务的宗旨。通过新建、改造和整合等途径，增加老年活动设施和场所，支持各类公共场所为老年人开展文化活动提供便利。老年活动中心在项目管理的职责包括具体实施、指导、监督检查等</w:t>
      </w:r>
      <w:r>
        <w:rPr>
          <w:rFonts w:hint="eastAsia" w:ascii="仿宋" w:hAnsi="仿宋" w:eastAsia="仿宋" w:cs="仿宋"/>
          <w:sz w:val="32"/>
          <w:szCs w:val="32"/>
          <w:lang w:val="zh-CN"/>
        </w:rPr>
        <w:t>。</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2．项目应实现的具体绩效目标，包括目标的量化、细化情况以及项目实施进度计划等。</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项目申请时依据项目实际情况明确了具体的绩效目标：</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数量指标：</w:t>
      </w:r>
      <w:r>
        <w:rPr>
          <w:rFonts w:hint="eastAsia" w:ascii="仿宋" w:hAnsi="仿宋" w:eastAsia="仿宋" w:cs="仿宋"/>
          <w:sz w:val="32"/>
          <w:szCs w:val="32"/>
        </w:rPr>
        <w:t>临聘人员5人工资（2000-3000元/月），维修维护费用2-3万元/年</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质量指标：</w:t>
      </w:r>
      <w:r>
        <w:rPr>
          <w:rFonts w:hint="eastAsia" w:ascii="仿宋" w:hAnsi="仿宋" w:eastAsia="仿宋" w:cs="仿宋"/>
          <w:sz w:val="32"/>
          <w:szCs w:val="32"/>
        </w:rPr>
        <w:t>工资支付率100%、费用完成率</w:t>
      </w:r>
      <w:r>
        <w:rPr>
          <w:rFonts w:hint="eastAsia" w:ascii="仿宋" w:hAnsi="仿宋" w:eastAsia="仿宋" w:cs="仿宋"/>
          <w:sz w:val="32"/>
          <w:szCs w:val="32"/>
          <w:lang w:val="zh-CN"/>
        </w:rPr>
        <w:t>100%</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时效指标：2021年底前</w:t>
      </w:r>
    </w:p>
    <w:p>
      <w:pPr>
        <w:adjustRightInd w:val="0"/>
        <w:snapToGrid w:val="0"/>
        <w:spacing w:line="560" w:lineRule="exact"/>
        <w:ind w:firstLine="720"/>
        <w:rPr>
          <w:rFonts w:hint="eastAsia" w:ascii="仿宋" w:hAnsi="仿宋" w:eastAsia="仿宋" w:cs="仿宋"/>
          <w:sz w:val="32"/>
          <w:szCs w:val="32"/>
        </w:rPr>
      </w:pPr>
      <w:r>
        <w:rPr>
          <w:rFonts w:hint="eastAsia" w:ascii="仿宋" w:hAnsi="仿宋" w:eastAsia="仿宋" w:cs="仿宋"/>
          <w:sz w:val="32"/>
          <w:szCs w:val="32"/>
        </w:rPr>
        <w:t>成本指标：临聘人员工资及维修维护费20万元</w:t>
      </w:r>
    </w:p>
    <w:p>
      <w:pPr>
        <w:adjustRightInd w:val="0"/>
        <w:snapToGrid w:val="0"/>
        <w:spacing w:line="560" w:lineRule="exact"/>
        <w:ind w:firstLine="720"/>
        <w:rPr>
          <w:rFonts w:hint="eastAsia" w:ascii="仿宋" w:hAnsi="仿宋" w:eastAsia="仿宋" w:cs="仿宋"/>
          <w:sz w:val="32"/>
          <w:szCs w:val="32"/>
        </w:rPr>
      </w:pPr>
      <w:r>
        <w:rPr>
          <w:rFonts w:hint="eastAsia" w:ascii="仿宋" w:hAnsi="仿宋" w:eastAsia="仿宋" w:cs="仿宋"/>
          <w:sz w:val="32"/>
          <w:szCs w:val="32"/>
          <w:lang w:val="zh-CN"/>
        </w:rPr>
        <w:t>社会效益指标：</w:t>
      </w:r>
      <w:r>
        <w:rPr>
          <w:rFonts w:hint="eastAsia" w:ascii="仿宋" w:hAnsi="仿宋" w:eastAsia="仿宋" w:cs="仿宋"/>
          <w:sz w:val="32"/>
          <w:szCs w:val="32"/>
        </w:rPr>
        <w:t>推动老年人教育发展</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可持续影响：</w:t>
      </w:r>
      <w:r>
        <w:rPr>
          <w:rFonts w:hint="eastAsia" w:ascii="仿宋" w:hAnsi="仿宋" w:eastAsia="仿宋" w:cs="仿宋"/>
          <w:sz w:val="32"/>
          <w:szCs w:val="32"/>
        </w:rPr>
        <w:t>提高老年人教育程度</w:t>
      </w:r>
      <w:r>
        <w:rPr>
          <w:rFonts w:hint="eastAsia" w:ascii="仿宋" w:hAnsi="仿宋" w:eastAsia="仿宋" w:cs="仿宋"/>
          <w:sz w:val="32"/>
          <w:szCs w:val="32"/>
          <w:lang w:val="zh-CN"/>
        </w:rPr>
        <w:t xml:space="preserve">  </w:t>
      </w:r>
    </w:p>
    <w:p>
      <w:pPr>
        <w:adjustRightInd w:val="0"/>
        <w:snapToGrid w:val="0"/>
        <w:spacing w:line="560" w:lineRule="exact"/>
        <w:ind w:firstLine="720"/>
        <w:rPr>
          <w:rFonts w:hint="eastAsia" w:ascii="仿宋" w:hAnsi="仿宋" w:eastAsia="仿宋" w:cs="仿宋"/>
          <w:sz w:val="32"/>
          <w:szCs w:val="32"/>
        </w:rPr>
      </w:pPr>
      <w:r>
        <w:rPr>
          <w:rFonts w:hint="eastAsia" w:ascii="仿宋" w:hAnsi="仿宋" w:eastAsia="仿宋" w:cs="仿宋"/>
          <w:sz w:val="32"/>
          <w:szCs w:val="32"/>
        </w:rPr>
        <w:t>满意度指标：老年学员满意度100%</w:t>
      </w:r>
    </w:p>
    <w:p>
      <w:pPr>
        <w:adjustRightInd w:val="0"/>
        <w:snapToGrid w:val="0"/>
        <w:spacing w:line="560" w:lineRule="exact"/>
        <w:ind w:firstLine="720"/>
        <w:rPr>
          <w:rFonts w:hint="eastAsia" w:ascii="仿宋" w:hAnsi="仿宋" w:eastAsia="仿宋" w:cs="仿宋"/>
          <w:sz w:val="32"/>
          <w:szCs w:val="32"/>
        </w:rPr>
      </w:pPr>
      <w:r>
        <w:rPr>
          <w:rFonts w:hint="eastAsia" w:ascii="仿宋" w:hAnsi="仿宋" w:eastAsia="仿宋" w:cs="仿宋"/>
          <w:sz w:val="32"/>
          <w:szCs w:val="32"/>
        </w:rPr>
        <w:t>项目制定了详细可行的进度计划，确保了项目顺利实施。</w:t>
      </w:r>
    </w:p>
    <w:p>
      <w:pPr>
        <w:numPr>
          <w:ilvl w:val="0"/>
          <w:numId w:val="5"/>
        </w:num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分析评价申报内容是否与实际相符，申报目标是否合理可行。</w:t>
      </w:r>
    </w:p>
    <w:p>
      <w:pPr>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 xml:space="preserve">   绩效自评结果表明，项目</w:t>
      </w:r>
      <w:r>
        <w:rPr>
          <w:rFonts w:hint="eastAsia" w:ascii="仿宋" w:hAnsi="仿宋" w:eastAsia="仿宋" w:cs="仿宋"/>
          <w:sz w:val="32"/>
          <w:szCs w:val="32"/>
          <w:lang w:val="zh-CN"/>
        </w:rPr>
        <w:t>申报内容与实际相符，申报目标合理可行。</w:t>
      </w:r>
    </w:p>
    <w:p>
      <w:pPr>
        <w:adjustRightInd w:val="0"/>
        <w:snapToGrid w:val="0"/>
        <w:spacing w:line="56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（三）项目自评步骤及方法</w:t>
      </w:r>
    </w:p>
    <w:p>
      <w:pPr>
        <w:spacing w:line="500" w:lineRule="exact"/>
        <w:ind w:firstLine="640" w:firstLineChars="200"/>
        <w:rPr>
          <w:rFonts w:hint="eastAsia" w:ascii="仿宋" w:hAnsi="仿宋" w:eastAsia="仿宋" w:cs="仿宋"/>
          <w:sz w:val="28"/>
          <w:szCs w:val="28"/>
        </w:rPr>
      </w:pPr>
      <w:r>
        <w:rPr>
          <w:rFonts w:hint="eastAsia" w:ascii="仿宋" w:hAnsi="仿宋" w:eastAsia="仿宋" w:cs="仿宋"/>
          <w:sz w:val="32"/>
          <w:szCs w:val="32"/>
        </w:rPr>
        <w:t>我单位对此次自评工作高度重视，成立了绩效评价工作小组，按照下列程序实施：</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1、分解任务：根据部门支出绩效评价涉及的工作内容，分解到各科室；</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2、科室初评：业务科室根据计分标准对各自负责的工作逐一检查，翻阅资料，对标自评；</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3、小组复评：绩效评价工作小组对初评情况进行检查，并再次评价；</w:t>
      </w:r>
    </w:p>
    <w:p>
      <w:pPr>
        <w:adjustRightInd w:val="0"/>
        <w:snapToGrid w:val="0"/>
        <w:spacing w:line="560" w:lineRule="exact"/>
        <w:ind w:firstLine="640" w:firstLineChars="200"/>
        <w:rPr>
          <w:rFonts w:hint="eastAsia" w:ascii="仿宋" w:hAnsi="仿宋" w:eastAsia="仿宋" w:cs="仿宋"/>
          <w:sz w:val="28"/>
          <w:szCs w:val="28"/>
        </w:rPr>
      </w:pPr>
      <w:r>
        <w:rPr>
          <w:rFonts w:hint="eastAsia" w:ascii="仿宋" w:hAnsi="仿宋" w:eastAsia="仿宋" w:cs="仿宋"/>
          <w:sz w:val="32"/>
          <w:szCs w:val="32"/>
        </w:rPr>
        <w:t>4、整理上报：对自评情况进行梳理，及时上报财政部门，并对存在的问题落实整改。</w:t>
      </w:r>
    </w:p>
    <w:p>
      <w:pPr>
        <w:adjustRightInd w:val="0"/>
        <w:snapToGrid w:val="0"/>
        <w:spacing w:line="560" w:lineRule="exact"/>
        <w:ind w:firstLine="720"/>
        <w:rPr>
          <w:rFonts w:hint="eastAsia" w:ascii="仿宋" w:hAnsi="仿宋" w:eastAsia="仿宋" w:cs="仿宋"/>
          <w:sz w:val="32"/>
          <w:szCs w:val="32"/>
          <w:lang w:val="zh-CN"/>
        </w:rPr>
      </w:pPr>
      <w:r>
        <w:rPr>
          <w:rFonts w:hint="eastAsia" w:ascii="黑体" w:hAnsi="黑体" w:eastAsia="黑体" w:cs="黑体"/>
          <w:sz w:val="32"/>
          <w:szCs w:val="32"/>
          <w:lang w:val="zh-CN"/>
        </w:rPr>
        <w:t>二、项目资金申报及使用情况</w:t>
      </w:r>
    </w:p>
    <w:p>
      <w:pPr>
        <w:adjustRightInd w:val="0"/>
        <w:snapToGrid w:val="0"/>
        <w:spacing w:line="56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（一）项目资金申报及批复情况</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本项目资金是年初纳入部门预算申报并获得批复，无预算调整。</w:t>
      </w:r>
    </w:p>
    <w:p>
      <w:pPr>
        <w:adjustRightInd w:val="0"/>
        <w:snapToGrid w:val="0"/>
        <w:spacing w:line="56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（二）资金计划、到位及使用情况如下：</w:t>
      </w:r>
    </w:p>
    <w:tbl>
      <w:tblPr>
        <w:tblStyle w:val="14"/>
        <w:tblW w:w="9529" w:type="dxa"/>
        <w:tblInd w:w="0" w:type="dxa"/>
        <w:tblLayout w:type="autofit"/>
        <w:tblCellMar>
          <w:top w:w="0" w:type="dxa"/>
          <w:left w:w="0" w:type="dxa"/>
          <w:bottom w:w="0" w:type="dxa"/>
          <w:right w:w="0" w:type="dxa"/>
        </w:tblCellMar>
      </w:tblPr>
      <w:tblGrid>
        <w:gridCol w:w="3250"/>
        <w:gridCol w:w="2221"/>
        <w:gridCol w:w="2053"/>
        <w:gridCol w:w="2005"/>
      </w:tblGrid>
      <w:tr>
        <w:tblPrEx>
          <w:tblCellMar>
            <w:top w:w="0" w:type="dxa"/>
            <w:left w:w="0" w:type="dxa"/>
            <w:bottom w:w="0" w:type="dxa"/>
            <w:right w:w="0" w:type="dxa"/>
          </w:tblCellMar>
        </w:tblPrEx>
        <w:trPr>
          <w:trHeight w:val="420" w:hRule="atLeast"/>
        </w:trPr>
        <w:tc>
          <w:tcPr>
            <w:tcW w:w="325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项目名称</w:t>
            </w:r>
          </w:p>
        </w:tc>
        <w:tc>
          <w:tcPr>
            <w:tcW w:w="2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资金预算（元）</w:t>
            </w:r>
          </w:p>
        </w:tc>
        <w:tc>
          <w:tcPr>
            <w:tcW w:w="2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资金到位（元）</w:t>
            </w:r>
          </w:p>
        </w:tc>
        <w:tc>
          <w:tcPr>
            <w:tcW w:w="2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资金使用（元）</w:t>
            </w:r>
          </w:p>
        </w:tc>
      </w:tr>
      <w:tr>
        <w:tblPrEx>
          <w:tblCellMar>
            <w:top w:w="0" w:type="dxa"/>
            <w:left w:w="0" w:type="dxa"/>
            <w:bottom w:w="0" w:type="dxa"/>
            <w:right w:w="0" w:type="dxa"/>
          </w:tblCellMar>
        </w:tblPrEx>
        <w:trPr>
          <w:trHeight w:val="420" w:hRule="atLeast"/>
        </w:trPr>
        <w:tc>
          <w:tcPr>
            <w:tcW w:w="32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财政资金</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财政资金</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财政资金</w:t>
            </w:r>
          </w:p>
        </w:tc>
      </w:tr>
      <w:tr>
        <w:tblPrEx>
          <w:tblCellMar>
            <w:top w:w="0" w:type="dxa"/>
            <w:left w:w="0" w:type="dxa"/>
            <w:bottom w:w="0" w:type="dxa"/>
            <w:right w:w="0" w:type="dxa"/>
          </w:tblCellMar>
        </w:tblPrEx>
        <w:trPr>
          <w:trHeight w:val="460" w:hRule="atLeast"/>
        </w:trPr>
        <w:tc>
          <w:tcPr>
            <w:tcW w:w="3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szCs w:val="21"/>
                <w:shd w:val="clear" w:color="auto" w:fill="FFFFFF"/>
              </w:rPr>
              <w:t>老年活动中心临聘人员工资</w:t>
            </w:r>
          </w:p>
        </w:tc>
        <w:tc>
          <w:tcPr>
            <w:tcW w:w="2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200000</w:t>
            </w:r>
          </w:p>
        </w:tc>
        <w:tc>
          <w:tcPr>
            <w:tcW w:w="2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200000</w:t>
            </w:r>
          </w:p>
        </w:tc>
        <w:tc>
          <w:tcPr>
            <w:tcW w:w="2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200000</w:t>
            </w:r>
          </w:p>
        </w:tc>
      </w:tr>
    </w:tbl>
    <w:p>
      <w:pPr>
        <w:adjustRightInd w:val="0"/>
        <w:snapToGrid w:val="0"/>
        <w:spacing w:line="560" w:lineRule="exact"/>
        <w:rPr>
          <w:rFonts w:hint="eastAsia" w:ascii="仿宋" w:hAnsi="仿宋" w:eastAsia="仿宋" w:cs="仿宋"/>
          <w:sz w:val="32"/>
          <w:szCs w:val="32"/>
          <w:lang w:val="zh-CN"/>
        </w:rPr>
      </w:pPr>
    </w:p>
    <w:p>
      <w:pPr>
        <w:adjustRightInd w:val="0"/>
        <w:snapToGrid w:val="0"/>
        <w:spacing w:line="560" w:lineRule="exact"/>
        <w:ind w:firstLine="720"/>
        <w:rPr>
          <w:rFonts w:hint="eastAsia" w:ascii="仿宋" w:hAnsi="仿宋" w:eastAsia="仿宋" w:cs="仿宋"/>
          <w:sz w:val="32"/>
          <w:szCs w:val="32"/>
        </w:rPr>
      </w:pPr>
      <w:r>
        <w:rPr>
          <w:rFonts w:hint="eastAsia" w:ascii="仿宋" w:hAnsi="仿宋" w:eastAsia="仿宋" w:cs="仿宋"/>
          <w:sz w:val="32"/>
          <w:szCs w:val="32"/>
          <w:lang w:val="zh-CN"/>
        </w:rPr>
        <w:t>1．资金计划。</w:t>
      </w:r>
      <w:r>
        <w:rPr>
          <w:rFonts w:hint="eastAsia" w:ascii="仿宋" w:hAnsi="仿宋" w:eastAsia="仿宋" w:cs="仿宋"/>
          <w:sz w:val="32"/>
          <w:szCs w:val="32"/>
        </w:rPr>
        <w:t>项目资金计划200000元，均为财政资金。</w:t>
      </w:r>
    </w:p>
    <w:p>
      <w:pPr>
        <w:adjustRightInd w:val="0"/>
        <w:snapToGrid w:val="0"/>
        <w:spacing w:line="560" w:lineRule="exact"/>
        <w:ind w:firstLine="720"/>
        <w:rPr>
          <w:rFonts w:hint="eastAsia" w:ascii="仿宋" w:hAnsi="仿宋" w:eastAsia="仿宋" w:cs="仿宋"/>
          <w:sz w:val="32"/>
          <w:szCs w:val="32"/>
        </w:rPr>
      </w:pPr>
      <w:r>
        <w:rPr>
          <w:rFonts w:hint="eastAsia" w:ascii="仿宋" w:hAnsi="仿宋" w:eastAsia="仿宋" w:cs="仿宋"/>
          <w:sz w:val="32"/>
          <w:szCs w:val="32"/>
          <w:lang w:val="zh-CN"/>
        </w:rPr>
        <w:t>2．资金到位。资金到位率</w:t>
      </w:r>
      <w:r>
        <w:rPr>
          <w:rFonts w:hint="eastAsia" w:ascii="仿宋" w:hAnsi="仿宋" w:eastAsia="仿宋" w:cs="仿宋"/>
          <w:sz w:val="32"/>
          <w:szCs w:val="32"/>
        </w:rPr>
        <w:t>100%，</w:t>
      </w:r>
      <w:r>
        <w:rPr>
          <w:rFonts w:hint="eastAsia" w:ascii="仿宋" w:hAnsi="仿宋" w:eastAsia="仿宋" w:cs="仿宋"/>
          <w:sz w:val="32"/>
          <w:szCs w:val="32"/>
          <w:lang w:val="zh-CN"/>
        </w:rPr>
        <w:t>到位及时率</w:t>
      </w:r>
      <w:r>
        <w:rPr>
          <w:rFonts w:hint="eastAsia" w:ascii="仿宋" w:hAnsi="仿宋" w:eastAsia="仿宋" w:cs="仿宋"/>
          <w:sz w:val="32"/>
          <w:szCs w:val="32"/>
        </w:rPr>
        <w:t>100%.</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3．资金使用。资金支出</w:t>
      </w:r>
      <w:r>
        <w:rPr>
          <w:rFonts w:hint="eastAsia" w:ascii="仿宋" w:hAnsi="仿宋" w:eastAsia="仿宋" w:cs="仿宋"/>
          <w:sz w:val="32"/>
          <w:szCs w:val="32"/>
        </w:rPr>
        <w:t>200000元，</w:t>
      </w:r>
      <w:r>
        <w:rPr>
          <w:rFonts w:hint="eastAsia" w:ascii="仿宋" w:hAnsi="仿宋" w:eastAsia="仿宋" w:cs="仿宋"/>
          <w:sz w:val="32"/>
          <w:szCs w:val="32"/>
          <w:lang w:val="zh-CN"/>
        </w:rPr>
        <w:t>资金使用安全、规范、效果显著。资金支付范围</w:t>
      </w:r>
      <w:r>
        <w:rPr>
          <w:rFonts w:hint="eastAsia" w:ascii="仿宋" w:hAnsi="仿宋" w:eastAsia="仿宋" w:cs="仿宋"/>
          <w:sz w:val="32"/>
          <w:szCs w:val="32"/>
        </w:rPr>
        <w:t>全用于长期编外聘用人员工资、保险及维修、装修水电、绿化费用等</w:t>
      </w:r>
      <w:r>
        <w:rPr>
          <w:rFonts w:hint="eastAsia" w:ascii="仿宋" w:hAnsi="仿宋" w:eastAsia="仿宋" w:cs="仿宋"/>
          <w:sz w:val="32"/>
          <w:szCs w:val="32"/>
          <w:lang w:val="zh-CN"/>
        </w:rPr>
        <w:t>。支付标准均按照财政资金管理限额（标准）执行。根据项目实施进度支付款项，支付依据合规合法，支出金额与预算相符。</w:t>
      </w:r>
    </w:p>
    <w:p>
      <w:pPr>
        <w:adjustRightInd w:val="0"/>
        <w:snapToGrid w:val="0"/>
        <w:spacing w:line="56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（三）项目财务管理情况</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本单位财务管理制度健全，严格执行财务管理制度，账务处理及时，会计核算规范。</w:t>
      </w:r>
    </w:p>
    <w:p>
      <w:pPr>
        <w:adjustRightInd w:val="0"/>
        <w:snapToGrid w:val="0"/>
        <w:spacing w:line="560" w:lineRule="exact"/>
        <w:ind w:firstLine="720"/>
        <w:rPr>
          <w:rFonts w:hint="eastAsia" w:ascii="黑体" w:hAnsi="黑体" w:eastAsia="黑体" w:cs="黑体"/>
          <w:sz w:val="32"/>
          <w:szCs w:val="32"/>
          <w:lang w:val="zh-CN"/>
        </w:rPr>
      </w:pPr>
      <w:r>
        <w:rPr>
          <w:rFonts w:hint="eastAsia" w:ascii="黑体" w:hAnsi="黑体" w:eastAsia="黑体" w:cs="黑体"/>
          <w:sz w:val="32"/>
          <w:szCs w:val="32"/>
          <w:lang w:val="zh-CN"/>
        </w:rPr>
        <w:t>三、项目实施及管理情况</w:t>
      </w:r>
    </w:p>
    <w:p>
      <w:pPr>
        <w:adjustRightInd w:val="0"/>
        <w:snapToGrid w:val="0"/>
        <w:spacing w:line="560" w:lineRule="exact"/>
        <w:ind w:firstLine="720"/>
        <w:rPr>
          <w:rFonts w:hint="eastAsia" w:ascii="仿宋" w:hAnsi="仿宋" w:eastAsia="仿宋" w:cs="仿宋"/>
          <w:b/>
          <w:sz w:val="32"/>
          <w:szCs w:val="32"/>
          <w:lang w:val="zh-CN"/>
        </w:rPr>
      </w:pPr>
      <w:r>
        <w:rPr>
          <w:rFonts w:hint="eastAsia" w:ascii="仿宋" w:hAnsi="仿宋" w:eastAsia="仿宋" w:cs="仿宋"/>
          <w:bCs/>
          <w:sz w:val="32"/>
          <w:szCs w:val="32"/>
          <w:lang w:val="zh-CN"/>
        </w:rPr>
        <w:t>（一）</w:t>
      </w:r>
      <w:r>
        <w:rPr>
          <w:rFonts w:hint="eastAsia" w:ascii="仿宋" w:hAnsi="仿宋" w:eastAsia="仿宋" w:cs="仿宋"/>
          <w:sz w:val="32"/>
          <w:szCs w:val="32"/>
          <w:lang w:val="zh-CN"/>
        </w:rPr>
        <w:t>项目组织架构及实施流程。我单位成立了项目领导小组负责项目统筹安排及管理，安排专人具体负责实施。</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bCs/>
          <w:sz w:val="32"/>
          <w:szCs w:val="32"/>
          <w:lang w:val="zh-CN"/>
        </w:rPr>
        <w:t>（二）</w:t>
      </w:r>
      <w:r>
        <w:rPr>
          <w:rFonts w:hint="eastAsia" w:ascii="仿宋" w:hAnsi="仿宋" w:eastAsia="仿宋" w:cs="仿宋"/>
          <w:sz w:val="32"/>
          <w:szCs w:val="32"/>
          <w:lang w:val="zh-CN"/>
        </w:rPr>
        <w:t>项目管理情况。我单位严格执行相关法律法规及项目管理制度，管理有序，质量较高，取得了良好的效果。</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bCs/>
          <w:sz w:val="32"/>
          <w:szCs w:val="32"/>
          <w:lang w:val="zh-CN"/>
        </w:rPr>
        <w:t>（三）</w:t>
      </w:r>
      <w:r>
        <w:rPr>
          <w:rFonts w:hint="eastAsia" w:ascii="仿宋" w:hAnsi="仿宋" w:eastAsia="仿宋" w:cs="仿宋"/>
          <w:sz w:val="32"/>
          <w:szCs w:val="32"/>
          <w:lang w:val="zh-CN"/>
        </w:rPr>
        <w:t>项目监管情况。我单位项目主要是工作经费，费用支出经过逐级审核，项目实施中纪检部门进行监管，按照单位内控控制制度实施监管，有力的促进了项目顺利实施，圆满完成，监管效果良好。</w:t>
      </w:r>
    </w:p>
    <w:p>
      <w:pPr>
        <w:adjustRightInd w:val="0"/>
        <w:snapToGrid w:val="0"/>
        <w:spacing w:line="560" w:lineRule="exact"/>
        <w:ind w:firstLine="720"/>
        <w:rPr>
          <w:rFonts w:hint="eastAsia" w:ascii="黑体" w:hAnsi="黑体" w:eastAsia="黑体" w:cs="黑体"/>
          <w:sz w:val="32"/>
          <w:szCs w:val="32"/>
          <w:lang w:val="zh-CN"/>
        </w:rPr>
      </w:pPr>
      <w:r>
        <w:rPr>
          <w:rFonts w:hint="eastAsia" w:ascii="黑体" w:hAnsi="黑体" w:eastAsia="黑体" w:cs="黑体"/>
          <w:sz w:val="32"/>
          <w:szCs w:val="32"/>
          <w:lang w:val="zh-CN"/>
        </w:rPr>
        <w:t>四、项目绩效情况</w:t>
      </w:r>
      <w:r>
        <w:rPr>
          <w:rFonts w:hint="eastAsia" w:ascii="黑体" w:hAnsi="黑体" w:eastAsia="黑体" w:cs="黑体"/>
          <w:sz w:val="32"/>
          <w:szCs w:val="32"/>
          <w:lang w:val="zh-CN"/>
        </w:rPr>
        <w:tab/>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（一）项目完成情况</w:t>
      </w:r>
    </w:p>
    <w:p>
      <w:pPr>
        <w:adjustRightInd w:val="0"/>
        <w:snapToGrid w:val="0"/>
        <w:spacing w:line="560" w:lineRule="exact"/>
        <w:ind w:firstLine="720"/>
        <w:rPr>
          <w:rFonts w:hint="eastAsia" w:ascii="仿宋" w:hAnsi="仿宋" w:eastAsia="仿宋" w:cs="仿宋"/>
          <w:sz w:val="32"/>
          <w:szCs w:val="32"/>
        </w:rPr>
      </w:pPr>
      <w:r>
        <w:rPr>
          <w:rFonts w:hint="eastAsia" w:ascii="仿宋" w:hAnsi="仿宋" w:eastAsia="仿宋" w:cs="仿宋"/>
          <w:sz w:val="32"/>
          <w:szCs w:val="32"/>
          <w:lang w:val="zh-CN"/>
        </w:rPr>
        <w:t>项目全部完成预期目标，均达到数量计划值，质量良好、按时完成、未超预算，无资金结余，无违规违纪情况。</w:t>
      </w:r>
      <w:r>
        <w:rPr>
          <w:rFonts w:hint="eastAsia" w:ascii="仿宋" w:hAnsi="仿宋" w:eastAsia="仿宋" w:cs="仿宋"/>
          <w:sz w:val="32"/>
          <w:szCs w:val="32"/>
        </w:rPr>
        <w:t xml:space="preserve">      </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（二）项目效益情况</w:t>
      </w:r>
    </w:p>
    <w:p>
      <w:pPr>
        <w:adjustRightInd w:val="0"/>
        <w:snapToGrid w:val="0"/>
        <w:spacing w:line="560" w:lineRule="exact"/>
        <w:ind w:firstLine="720"/>
        <w:rPr>
          <w:rFonts w:hint="eastAsia" w:ascii="仿宋" w:hAnsi="仿宋" w:eastAsia="仿宋" w:cs="仿宋"/>
          <w:sz w:val="32"/>
          <w:szCs w:val="32"/>
        </w:rPr>
      </w:pPr>
      <w:r>
        <w:rPr>
          <w:rFonts w:hint="eastAsia" w:ascii="仿宋" w:hAnsi="仿宋" w:eastAsia="仿宋" w:cs="仿宋"/>
          <w:sz w:val="32"/>
          <w:szCs w:val="32"/>
          <w:lang w:val="zh-CN"/>
        </w:rPr>
        <w:t>项目取得了良好的社会效益、可持续效益。该项目的实施，保证了活动中心正常有序的开展工作，</w:t>
      </w:r>
      <w:r>
        <w:rPr>
          <w:rFonts w:hint="eastAsia" w:ascii="仿宋" w:hAnsi="仿宋" w:eastAsia="仿宋" w:cs="仿宋"/>
          <w:sz w:val="32"/>
          <w:szCs w:val="32"/>
        </w:rPr>
        <w:t>为老年学员提供了安定的教学环境及服务，最大化发挥了老年活动中心为老年人服务的宗旨，促进了社会和谐、稳定发展。老年学员满意度达100%。</w:t>
      </w:r>
    </w:p>
    <w:p>
      <w:pPr>
        <w:adjustRightInd w:val="0"/>
        <w:snapToGrid w:val="0"/>
        <w:spacing w:line="560" w:lineRule="exact"/>
        <w:ind w:firstLine="720"/>
        <w:rPr>
          <w:rFonts w:hint="eastAsia" w:ascii="仿宋" w:hAnsi="仿宋" w:eastAsia="仿宋" w:cs="仿宋"/>
          <w:sz w:val="32"/>
          <w:szCs w:val="32"/>
          <w:lang w:val="zh-CN"/>
        </w:rPr>
      </w:pPr>
      <w:r>
        <w:rPr>
          <w:rFonts w:hint="eastAsia" w:ascii="黑体" w:hAnsi="黑体" w:eastAsia="黑体" w:cs="黑体"/>
          <w:sz w:val="32"/>
          <w:szCs w:val="32"/>
          <w:lang w:val="zh-CN"/>
        </w:rPr>
        <w:t>五、评价结论及建议</w:t>
      </w:r>
    </w:p>
    <w:p>
      <w:pPr>
        <w:adjustRightInd w:val="0"/>
        <w:snapToGrid w:val="0"/>
        <w:spacing w:line="56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（一）评价结论</w:t>
      </w:r>
    </w:p>
    <w:p>
      <w:pPr>
        <w:adjustRightInd w:val="0"/>
        <w:snapToGrid w:val="0"/>
        <w:spacing w:line="560" w:lineRule="exact"/>
        <w:ind w:firstLine="640" w:firstLineChars="200"/>
        <w:rPr>
          <w:rFonts w:hint="eastAsia" w:ascii="仿宋" w:hAnsi="仿宋" w:eastAsia="仿宋" w:cs="仿宋"/>
          <w:sz w:val="32"/>
          <w:szCs w:val="32"/>
          <w:bdr w:val="single" w:color="auto" w:sz="4" w:space="0"/>
        </w:rPr>
      </w:pPr>
      <w:r>
        <w:rPr>
          <w:rFonts w:hint="eastAsia" w:ascii="仿宋" w:hAnsi="仿宋" w:eastAsia="仿宋" w:cs="仿宋"/>
          <w:sz w:val="32"/>
          <w:szCs w:val="32"/>
        </w:rPr>
        <w:t>项目管理良好，实施有序，绩效显著。均达到了预期目标</w:t>
      </w:r>
      <w:r>
        <w:rPr>
          <w:rFonts w:hint="eastAsia" w:ascii="仿宋" w:hAnsi="仿宋" w:eastAsia="仿宋" w:cs="仿宋"/>
          <w:sz w:val="32"/>
          <w:szCs w:val="32"/>
          <w:lang w:val="zh-CN"/>
        </w:rPr>
        <w:t>。评价得分</w:t>
      </w:r>
      <w:r>
        <w:rPr>
          <w:rFonts w:hint="eastAsia" w:ascii="仿宋" w:hAnsi="仿宋" w:eastAsia="仿宋" w:cs="仿宋"/>
          <w:sz w:val="32"/>
          <w:szCs w:val="32"/>
        </w:rPr>
        <w:t>100分。</w:t>
      </w:r>
    </w:p>
    <w:p>
      <w:pPr>
        <w:adjustRightInd w:val="0"/>
        <w:snapToGrid w:val="0"/>
        <w:spacing w:line="56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（二）存在的问题</w:t>
      </w:r>
    </w:p>
    <w:p>
      <w:pPr>
        <w:adjustRightInd w:val="0"/>
        <w:snapToGrid w:val="0"/>
        <w:spacing w:line="56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无。</w:t>
      </w:r>
      <w:r>
        <w:rPr>
          <w:rFonts w:hint="eastAsia" w:ascii="仿宋" w:hAnsi="仿宋" w:eastAsia="仿宋" w:cs="仿宋"/>
          <w:sz w:val="32"/>
          <w:szCs w:val="32"/>
          <w:lang w:val="zh-CN"/>
        </w:rPr>
        <w:tab/>
      </w:r>
    </w:p>
    <w:p>
      <w:pPr>
        <w:adjustRightInd w:val="0"/>
        <w:snapToGrid w:val="0"/>
        <w:spacing w:line="56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（三）相关建议</w:t>
      </w:r>
    </w:p>
    <w:p>
      <w:pPr>
        <w:adjustRightInd w:val="0"/>
        <w:snapToGrid w:val="0"/>
        <w:spacing w:line="560" w:lineRule="exact"/>
        <w:ind w:firstLine="640" w:firstLineChars="200"/>
        <w:rPr>
          <w:rFonts w:hint="eastAsia" w:ascii="黑体" w:hAnsi="黑体" w:eastAsia="黑体" w:cs="黑体"/>
          <w:color w:val="auto"/>
          <w:sz w:val="32"/>
          <w:szCs w:val="32"/>
          <w:highlight w:val="none"/>
        </w:rPr>
      </w:pPr>
      <w:r>
        <w:rPr>
          <w:rFonts w:hint="eastAsia" w:ascii="仿宋" w:hAnsi="仿宋" w:eastAsia="仿宋" w:cs="仿宋"/>
          <w:sz w:val="32"/>
          <w:szCs w:val="32"/>
          <w:lang w:val="zh-CN"/>
        </w:rPr>
        <w:t>一是加强业务培训，进一步提高工作人员财政资金绩效意识；二是进一步细化项目预算，严格控制各项费用，过紧日子；三是今后对于财政资金项目，加大评价结果应用，真正做到“用钱必问效，无效必问责”。</w:t>
      </w:r>
    </w:p>
    <w:tbl>
      <w:tblPr>
        <w:tblStyle w:val="14"/>
        <w:tblpPr w:leftFromText="180" w:rightFromText="180" w:vertAnchor="text" w:horzAnchor="page" w:tblpX="1292" w:tblpY="667"/>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9"/>
        <w:gridCol w:w="924"/>
        <w:gridCol w:w="1416"/>
        <w:gridCol w:w="2052"/>
        <w:gridCol w:w="1992"/>
        <w:gridCol w:w="2114"/>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sz w:val="32"/>
                <w:szCs w:val="32"/>
                <w:highlight w:val="none"/>
                <w:u w:val="none"/>
                <w:lang w:val="en-US" w:eastAsia="zh-CN"/>
              </w:rPr>
              <w:t>2021年部门预算项目绩效目标自评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2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rPr>
              <w:t>广元市民政局</w:t>
            </w:r>
            <w:r>
              <w:rPr>
                <w:rFonts w:hint="eastAsia" w:ascii="宋体" w:hAnsi="宋体" w:cs="宋体"/>
                <w:i w:val="0"/>
                <w:color w:val="auto"/>
                <w:sz w:val="24"/>
                <w:szCs w:val="24"/>
                <w:u w:val="none"/>
                <w:lang w:val="en-US" w:eastAsia="zh-CN"/>
              </w:rPr>
              <w:t>343910</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308"/>
              </w:tabs>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广元市老年大学（广元市老年活动中心）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0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20</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20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20</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41" w:hRule="atLeast"/>
        </w:trPr>
        <w:tc>
          <w:tcPr>
            <w:tcW w:w="20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06"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43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4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39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开展活动中心正常管理工作，为老年学员提供安定的教学环境及服务，最大化发挥老年活动中心为老服务的宗旨。</w:t>
            </w:r>
          </w:p>
        </w:tc>
        <w:tc>
          <w:tcPr>
            <w:tcW w:w="410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为老年学员提安定的教学环境及服务，最大化发挥老年活动中心为老年人服务的宗旨。通过新建、改造和整合等途径，增加老年活动设施和场所，支持各类公共场所为老年人开展文化活动提供便利。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07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07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数量指标</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6"/>
              </w:numPr>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长期编外聘用人员工资、保险</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2.维修、装修水电、绿化等费用</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7"/>
              </w:numPr>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长期编外聘用人员2000-3000元/月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left"/>
              <w:textAlignment w:val="bottom"/>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sz w:val="24"/>
                <w:szCs w:val="24"/>
                <w:u w:val="none"/>
                <w:lang w:val="en-US" w:eastAsia="zh-CN"/>
              </w:rPr>
              <w:t>2.维修维护费用2-3万元/年</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1.长期编外聘用人员2000-3000元/月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2.维修维护费用2-3万元/年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07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质量指标</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1工资支付率</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2.费用完成率</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sz w:val="24"/>
                <w:szCs w:val="24"/>
                <w:u w:val="none"/>
                <w:lang w:val="en-US" w:eastAsia="zh-CN"/>
              </w:rPr>
              <w:t>100%</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07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时效指标</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费用支付时效</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sz w:val="24"/>
                <w:szCs w:val="24"/>
                <w:u w:val="none"/>
              </w:rPr>
              <w:t>2021年底完成支付</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2021年底完成支付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07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成本指标</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费用使用金额</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sz w:val="24"/>
                <w:szCs w:val="24"/>
                <w:u w:val="none"/>
              </w:rPr>
              <w:t>20万元</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20万元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07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经济效益  指标</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推动老年教育发展</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sz w:val="24"/>
                <w:szCs w:val="24"/>
                <w:u w:val="none"/>
              </w:rPr>
              <w:t>有序提高</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有序提高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07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社会效益  指标</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推动老年教育发展</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sz w:val="24"/>
                <w:szCs w:val="24"/>
                <w:u w:val="none"/>
              </w:rPr>
              <w:t>有序提高</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有序提高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07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可持续影响 指标</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推动老年教育发展</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sz w:val="24"/>
                <w:szCs w:val="24"/>
                <w:u w:val="none"/>
              </w:rPr>
              <w:t>有序提高</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有序提高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07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度指标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老年学员满意度</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sz w:val="24"/>
                <w:szCs w:val="24"/>
                <w:u w:val="none"/>
                <w:lang w:val="en-US" w:eastAsia="zh-CN"/>
              </w:rPr>
              <w:t>100%</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lang w:val="en-US" w:eastAsia="zh-CN"/>
              </w:rPr>
              <w:t>100%</w:t>
            </w:r>
          </w:p>
        </w:tc>
      </w:tr>
    </w:tbl>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pStyle w:val="33"/>
        <w:spacing w:line="600" w:lineRule="exact"/>
        <w:ind w:firstLine="883"/>
        <w:jc w:val="center"/>
        <w:rPr>
          <w:rFonts w:ascii="宋体"/>
          <w:color w:val="auto"/>
          <w:kern w:val="2"/>
          <w:sz w:val="32"/>
          <w:szCs w:val="32"/>
        </w:rPr>
      </w:pPr>
      <w:r>
        <w:rPr>
          <w:rFonts w:hint="eastAsia" w:ascii="方正小标宋简体" w:hAnsi="宋体" w:eastAsia="方正小标宋简体"/>
          <w:sz w:val="36"/>
          <w:szCs w:val="36"/>
          <w:shd w:val="clear" w:color="auto" w:fill="FFFFFF"/>
        </w:rPr>
        <w:t>202</w:t>
      </w:r>
      <w:r>
        <w:rPr>
          <w:rFonts w:hint="eastAsia" w:ascii="方正小标宋简体" w:hAnsi="宋体" w:eastAsia="方正小标宋简体"/>
          <w:sz w:val="36"/>
          <w:szCs w:val="36"/>
          <w:shd w:val="clear" w:color="auto" w:fill="FFFFFF"/>
          <w:lang w:val="en-US"/>
        </w:rPr>
        <w:t>1</w:t>
      </w:r>
      <w:r>
        <w:rPr>
          <w:rFonts w:hint="eastAsia" w:ascii="方正小标宋简体" w:hAnsi="宋体" w:eastAsia="方正小标宋简体"/>
          <w:sz w:val="36"/>
          <w:szCs w:val="36"/>
          <w:shd w:val="clear" w:color="auto" w:fill="FFFFFF"/>
        </w:rPr>
        <w:t>年</w:t>
      </w:r>
      <w:r>
        <w:rPr>
          <w:rFonts w:hint="eastAsia" w:ascii="方正小标宋简体" w:hAnsi="宋体" w:eastAsia="方正小标宋简体"/>
          <w:sz w:val="36"/>
          <w:szCs w:val="36"/>
          <w:shd w:val="clear" w:color="auto" w:fill="FFFFFF"/>
          <w:lang w:val="en-US"/>
        </w:rPr>
        <w:t>老年大学聘用教师管理人员工资</w:t>
      </w:r>
      <w:r>
        <w:rPr>
          <w:rFonts w:hint="eastAsia" w:ascii="方正小标宋简体" w:hAnsi="宋体" w:eastAsia="方正小标宋简体"/>
          <w:sz w:val="36"/>
          <w:szCs w:val="36"/>
          <w:shd w:val="clear" w:color="auto" w:fill="FFFFFF"/>
        </w:rPr>
        <w:t>项目支出绩效自评报告</w:t>
      </w:r>
    </w:p>
    <w:p>
      <w:pPr>
        <w:adjustRightInd w:val="0"/>
        <w:snapToGrid w:val="0"/>
        <w:spacing w:line="560" w:lineRule="exact"/>
        <w:ind w:firstLine="720"/>
        <w:rPr>
          <w:rFonts w:hint="eastAsia" w:ascii="黑体" w:hAnsi="黑体" w:eastAsia="黑体" w:cs="黑体"/>
          <w:sz w:val="32"/>
          <w:szCs w:val="32"/>
          <w:lang w:val="zh-CN"/>
        </w:rPr>
      </w:pPr>
      <w:r>
        <w:rPr>
          <w:rFonts w:hint="eastAsia" w:ascii="黑体" w:hAnsi="黑体" w:eastAsia="黑体" w:cs="黑体"/>
          <w:sz w:val="32"/>
          <w:szCs w:val="32"/>
          <w:lang w:val="zh-CN"/>
        </w:rPr>
        <w:t>一、项目概况</w:t>
      </w:r>
    </w:p>
    <w:p>
      <w:pPr>
        <w:adjustRightInd w:val="0"/>
        <w:snapToGrid w:val="0"/>
        <w:spacing w:line="56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（一）项目基本情况</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w:t>
      </w:r>
      <w:r>
        <w:rPr>
          <w:rFonts w:hint="eastAsia" w:ascii="仿宋" w:hAnsi="仿宋" w:eastAsia="仿宋" w:cs="仿宋"/>
          <w:sz w:val="32"/>
          <w:szCs w:val="32"/>
        </w:rPr>
        <w:t>广元市老年大学</w:t>
      </w:r>
      <w:r>
        <w:rPr>
          <w:rFonts w:hint="eastAsia" w:ascii="仿宋" w:hAnsi="仿宋" w:eastAsia="仿宋" w:cs="仿宋"/>
          <w:sz w:val="32"/>
          <w:szCs w:val="32"/>
          <w:lang w:val="zh-CN"/>
        </w:rPr>
        <w:t>在该项目管理中的职能。</w:t>
      </w:r>
    </w:p>
    <w:p>
      <w:pPr>
        <w:adjustRightInd w:val="0"/>
        <w:snapToGrid w:val="0"/>
        <w:spacing w:line="560" w:lineRule="exact"/>
        <w:ind w:firstLine="720"/>
        <w:rPr>
          <w:rFonts w:hint="eastAsia" w:ascii="仿宋" w:hAnsi="仿宋" w:eastAsia="仿宋" w:cs="仿宋"/>
          <w:sz w:val="32"/>
          <w:szCs w:val="32"/>
        </w:rPr>
      </w:pPr>
      <w:r>
        <w:rPr>
          <w:rFonts w:hint="eastAsia" w:ascii="仿宋" w:hAnsi="仿宋" w:eastAsia="仿宋" w:cs="仿宋"/>
          <w:sz w:val="32"/>
          <w:szCs w:val="32"/>
        </w:rPr>
        <w:t>学习资源建设整合计划，研究制定老年人学习发展指南，为不同年龄层次的老年人提供包括学习规划的咨询服务。</w:t>
      </w:r>
    </w:p>
    <w:p>
      <w:pPr>
        <w:numPr>
          <w:ilvl w:val="0"/>
          <w:numId w:val="4"/>
        </w:num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项目立项、资金申报的依据。</w:t>
      </w:r>
    </w:p>
    <w:p>
      <w:pPr>
        <w:adjustRightInd w:val="0"/>
        <w:snapToGrid w:val="0"/>
        <w:spacing w:line="56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项目立项、资金申报的依据主要是本单位职能职责及年度工作计划。</w:t>
      </w:r>
    </w:p>
    <w:p>
      <w:pPr>
        <w:numPr>
          <w:ilvl w:val="0"/>
          <w:numId w:val="4"/>
        </w:num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资金管理办法制定情况，资金支持具体项目的条件、范围与支持方式概况。</w:t>
      </w:r>
    </w:p>
    <w:p>
      <w:pPr>
        <w:adjustRightInd w:val="0"/>
        <w:snapToGrid w:val="0"/>
        <w:spacing w:line="56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本项目主要是工作经费，按照财政资金相关管理办法和要求执行。资金支持具体项目的条件是根据部门工作计划要求安排。财政全额支持。</w:t>
      </w:r>
    </w:p>
    <w:p>
      <w:pPr>
        <w:numPr>
          <w:ilvl w:val="0"/>
          <w:numId w:val="4"/>
        </w:num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资金分配的原则及考虑因素。</w:t>
      </w:r>
    </w:p>
    <w:p>
      <w:pPr>
        <w:adjustRightInd w:val="0"/>
        <w:snapToGrid w:val="0"/>
        <w:spacing w:line="560" w:lineRule="exact"/>
        <w:ind w:left="720"/>
        <w:rPr>
          <w:rFonts w:hint="eastAsia" w:ascii="仿宋" w:hAnsi="仿宋" w:eastAsia="仿宋" w:cs="仿宋"/>
          <w:sz w:val="32"/>
          <w:szCs w:val="32"/>
          <w:lang w:val="zh-CN"/>
        </w:rPr>
      </w:pPr>
      <w:r>
        <w:rPr>
          <w:rFonts w:hint="eastAsia" w:ascii="仿宋" w:hAnsi="仿宋" w:eastAsia="仿宋" w:cs="仿宋"/>
          <w:sz w:val="32"/>
          <w:szCs w:val="32"/>
          <w:lang w:val="zh-CN"/>
        </w:rPr>
        <w:t>项目资金全部由本单位使用，根据项目具体实施内容匹配资</w:t>
      </w:r>
    </w:p>
    <w:p>
      <w:pPr>
        <w:adjustRightInd w:val="0"/>
        <w:snapToGrid w:val="0"/>
        <w:spacing w:line="560" w:lineRule="exact"/>
        <w:rPr>
          <w:rFonts w:hint="eastAsia" w:ascii="仿宋" w:hAnsi="仿宋" w:eastAsia="仿宋" w:cs="仿宋"/>
          <w:sz w:val="32"/>
          <w:szCs w:val="32"/>
          <w:lang w:val="zh-CN"/>
        </w:rPr>
      </w:pPr>
      <w:r>
        <w:rPr>
          <w:rFonts w:hint="eastAsia" w:ascii="仿宋" w:hAnsi="仿宋" w:eastAsia="仿宋" w:cs="仿宋"/>
          <w:sz w:val="32"/>
          <w:szCs w:val="32"/>
          <w:lang w:val="zh-CN"/>
        </w:rPr>
        <w:t>金。</w:t>
      </w:r>
    </w:p>
    <w:p>
      <w:pPr>
        <w:adjustRightInd w:val="0"/>
        <w:snapToGrid w:val="0"/>
        <w:spacing w:line="56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（二）项目绩效目标</w:t>
      </w:r>
    </w:p>
    <w:p>
      <w:pPr>
        <w:adjustRightInd w:val="0"/>
        <w:snapToGrid w:val="0"/>
        <w:spacing w:line="560" w:lineRule="exact"/>
        <w:ind w:firstLine="720"/>
        <w:rPr>
          <w:rFonts w:hint="eastAsia" w:ascii="仿宋" w:hAnsi="仿宋" w:eastAsia="仿宋" w:cs="仿宋"/>
          <w:sz w:val="32"/>
          <w:szCs w:val="32"/>
          <w:highlight w:val="red"/>
        </w:rPr>
      </w:pPr>
      <w:r>
        <w:rPr>
          <w:rFonts w:hint="eastAsia" w:ascii="仿宋" w:hAnsi="仿宋" w:eastAsia="仿宋" w:cs="仿宋"/>
          <w:sz w:val="32"/>
          <w:szCs w:val="32"/>
          <w:lang w:val="zh-CN"/>
        </w:rPr>
        <w:t>1．项目主要内容。</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rPr>
        <w:t>学习资源建设整合计划，研究制定老年人学习发展指南，为不同年龄层次的老年人提供包括学习规划的咨询服务</w:t>
      </w:r>
      <w:r>
        <w:rPr>
          <w:rFonts w:hint="eastAsia" w:ascii="仿宋" w:hAnsi="仿宋" w:eastAsia="仿宋" w:cs="仿宋"/>
          <w:sz w:val="32"/>
          <w:szCs w:val="32"/>
          <w:lang w:val="zh-CN"/>
        </w:rPr>
        <w:t>。</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2．项目应实现的具体绩效目标，包括目标的量化、细化情况以及项目实施进度计划等。</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项目申请时依据项目实际情况明确了具体的绩效目标：</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数量指标：</w:t>
      </w:r>
      <w:r>
        <w:rPr>
          <w:rFonts w:hint="eastAsia" w:ascii="仿宋" w:hAnsi="仿宋" w:eastAsia="仿宋" w:cs="仿宋"/>
          <w:sz w:val="32"/>
          <w:szCs w:val="32"/>
        </w:rPr>
        <w:t>聘用教师课时费100元/节、管理人员补助1000元/人/年</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质量指标：</w:t>
      </w:r>
      <w:r>
        <w:rPr>
          <w:rFonts w:hint="eastAsia" w:ascii="仿宋" w:hAnsi="仿宋" w:eastAsia="仿宋" w:cs="仿宋"/>
          <w:sz w:val="32"/>
          <w:szCs w:val="32"/>
        </w:rPr>
        <w:t>工资支付率</w:t>
      </w:r>
      <w:r>
        <w:rPr>
          <w:rFonts w:hint="eastAsia" w:ascii="仿宋" w:hAnsi="仿宋" w:eastAsia="仿宋" w:cs="仿宋"/>
          <w:sz w:val="32"/>
          <w:szCs w:val="32"/>
          <w:lang w:val="zh-CN"/>
        </w:rPr>
        <w:t>100%</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时效指标：2021年底完成支付</w:t>
      </w:r>
    </w:p>
    <w:p>
      <w:pPr>
        <w:adjustRightInd w:val="0"/>
        <w:snapToGrid w:val="0"/>
        <w:spacing w:line="560" w:lineRule="exact"/>
        <w:ind w:firstLine="720"/>
        <w:rPr>
          <w:rFonts w:hint="eastAsia" w:ascii="仿宋" w:hAnsi="仿宋" w:eastAsia="仿宋" w:cs="仿宋"/>
          <w:sz w:val="32"/>
          <w:szCs w:val="32"/>
        </w:rPr>
      </w:pPr>
      <w:r>
        <w:rPr>
          <w:rFonts w:hint="eastAsia" w:ascii="仿宋" w:hAnsi="仿宋" w:eastAsia="仿宋" w:cs="仿宋"/>
          <w:sz w:val="32"/>
          <w:szCs w:val="32"/>
        </w:rPr>
        <w:t>成本指标：聘用教师管理人员工资15万元</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社会效益指标：</w:t>
      </w:r>
      <w:r>
        <w:rPr>
          <w:rFonts w:hint="eastAsia" w:ascii="仿宋" w:hAnsi="仿宋" w:eastAsia="仿宋" w:cs="仿宋"/>
          <w:sz w:val="32"/>
          <w:szCs w:val="32"/>
        </w:rPr>
        <w:t>推动老年人教育发展</w:t>
      </w:r>
    </w:p>
    <w:p>
      <w:pPr>
        <w:adjustRightInd w:val="0"/>
        <w:snapToGrid w:val="0"/>
        <w:spacing w:line="560" w:lineRule="exact"/>
        <w:ind w:firstLine="720"/>
        <w:rPr>
          <w:rFonts w:hint="eastAsia" w:ascii="仿宋" w:hAnsi="仿宋" w:eastAsia="仿宋" w:cs="仿宋"/>
          <w:sz w:val="32"/>
          <w:szCs w:val="32"/>
        </w:rPr>
      </w:pPr>
      <w:r>
        <w:rPr>
          <w:rFonts w:hint="eastAsia" w:ascii="仿宋" w:hAnsi="仿宋" w:eastAsia="仿宋" w:cs="仿宋"/>
          <w:sz w:val="32"/>
          <w:szCs w:val="32"/>
          <w:lang w:val="zh-CN"/>
        </w:rPr>
        <w:t>可持续影响</w:t>
      </w:r>
      <w:r>
        <w:rPr>
          <w:rFonts w:hint="eastAsia" w:ascii="仿宋" w:hAnsi="仿宋" w:eastAsia="仿宋" w:cs="仿宋"/>
          <w:sz w:val="32"/>
          <w:szCs w:val="32"/>
        </w:rPr>
        <w:t>指标：提高老年人教育程度</w:t>
      </w:r>
    </w:p>
    <w:p>
      <w:pPr>
        <w:adjustRightInd w:val="0"/>
        <w:snapToGrid w:val="0"/>
        <w:spacing w:line="560" w:lineRule="exact"/>
        <w:ind w:firstLine="720"/>
        <w:rPr>
          <w:rFonts w:hint="eastAsia" w:ascii="仿宋" w:hAnsi="仿宋" w:eastAsia="仿宋" w:cs="仿宋"/>
          <w:sz w:val="32"/>
          <w:szCs w:val="32"/>
        </w:rPr>
      </w:pPr>
      <w:r>
        <w:rPr>
          <w:rFonts w:hint="eastAsia" w:ascii="仿宋" w:hAnsi="仿宋" w:eastAsia="仿宋" w:cs="仿宋"/>
          <w:sz w:val="32"/>
          <w:szCs w:val="32"/>
        </w:rPr>
        <w:t>满意度指标：老年学员满意度100%</w:t>
      </w:r>
    </w:p>
    <w:p>
      <w:pPr>
        <w:adjustRightInd w:val="0"/>
        <w:snapToGrid w:val="0"/>
        <w:spacing w:line="560" w:lineRule="exact"/>
        <w:ind w:firstLine="720"/>
        <w:rPr>
          <w:rFonts w:hint="eastAsia" w:ascii="仿宋" w:hAnsi="仿宋" w:eastAsia="仿宋" w:cs="仿宋"/>
          <w:sz w:val="32"/>
          <w:szCs w:val="32"/>
        </w:rPr>
      </w:pPr>
      <w:r>
        <w:rPr>
          <w:rFonts w:hint="eastAsia" w:ascii="仿宋" w:hAnsi="仿宋" w:eastAsia="仿宋" w:cs="仿宋"/>
          <w:sz w:val="32"/>
          <w:szCs w:val="32"/>
        </w:rPr>
        <w:t>项目制定了详细可行的进度计划，确保了项目顺利实施。</w:t>
      </w:r>
    </w:p>
    <w:p>
      <w:pPr>
        <w:numPr>
          <w:ilvl w:val="0"/>
          <w:numId w:val="5"/>
        </w:num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分析评价申报内容是否与实际相符，申报目标是否合理可行。</w:t>
      </w:r>
    </w:p>
    <w:p>
      <w:pPr>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 xml:space="preserve">   绩效自评结果表明，项目</w:t>
      </w:r>
      <w:r>
        <w:rPr>
          <w:rFonts w:hint="eastAsia" w:ascii="仿宋" w:hAnsi="仿宋" w:eastAsia="仿宋" w:cs="仿宋"/>
          <w:sz w:val="32"/>
          <w:szCs w:val="32"/>
          <w:lang w:val="zh-CN"/>
        </w:rPr>
        <w:t>申报内容与实际相符，申报目标合理可行。</w:t>
      </w:r>
    </w:p>
    <w:p>
      <w:pPr>
        <w:adjustRightInd w:val="0"/>
        <w:snapToGrid w:val="0"/>
        <w:spacing w:line="56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（三）项目自评步骤及方法</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我单位对此次自评工作高度重视，成立了绩效评价工作小组，按照下列程序实施：</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1、分解任务：根据部门支出绩效评价涉及的工作内容，分解到各科室；</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2、科室初评：业务科室根据计分标准对各自负责的工作逐一检查，翻阅资料，对标自评；</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3、小组复评：绩效评价工作小组对初评情况进行检查，并再次评价；</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4、整理上报：对自评情况进行梳理，及时上报财政部门，并对存在的问题落实整改。</w:t>
      </w:r>
    </w:p>
    <w:p>
      <w:pPr>
        <w:adjustRightInd w:val="0"/>
        <w:snapToGrid w:val="0"/>
        <w:spacing w:line="560" w:lineRule="exact"/>
        <w:ind w:firstLine="720"/>
        <w:rPr>
          <w:rFonts w:hint="eastAsia" w:ascii="黑体" w:hAnsi="黑体" w:eastAsia="黑体" w:cs="黑体"/>
          <w:sz w:val="32"/>
          <w:szCs w:val="32"/>
          <w:lang w:val="zh-CN"/>
        </w:rPr>
      </w:pPr>
      <w:r>
        <w:rPr>
          <w:rFonts w:hint="eastAsia" w:ascii="黑体" w:hAnsi="黑体" w:eastAsia="黑体" w:cs="黑体"/>
          <w:sz w:val="32"/>
          <w:szCs w:val="32"/>
          <w:lang w:val="zh-CN"/>
        </w:rPr>
        <w:t>二、项目资金申报及使用情况</w:t>
      </w:r>
    </w:p>
    <w:p>
      <w:pPr>
        <w:adjustRightInd w:val="0"/>
        <w:snapToGrid w:val="0"/>
        <w:spacing w:line="56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（一）项目资金申报及批复情况</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本项目资金是年初纳入部门预算申报并获得批复，无预算调整。</w:t>
      </w:r>
    </w:p>
    <w:p>
      <w:pPr>
        <w:adjustRightInd w:val="0"/>
        <w:snapToGrid w:val="0"/>
        <w:spacing w:line="56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（二）资金计划、到位及使用情况如下：</w:t>
      </w:r>
    </w:p>
    <w:tbl>
      <w:tblPr>
        <w:tblStyle w:val="14"/>
        <w:tblW w:w="9529" w:type="dxa"/>
        <w:tblInd w:w="0" w:type="dxa"/>
        <w:tblLayout w:type="autofit"/>
        <w:tblCellMar>
          <w:top w:w="0" w:type="dxa"/>
          <w:left w:w="0" w:type="dxa"/>
          <w:bottom w:w="0" w:type="dxa"/>
          <w:right w:w="0" w:type="dxa"/>
        </w:tblCellMar>
      </w:tblPr>
      <w:tblGrid>
        <w:gridCol w:w="3250"/>
        <w:gridCol w:w="2221"/>
        <w:gridCol w:w="2053"/>
        <w:gridCol w:w="2005"/>
      </w:tblGrid>
      <w:tr>
        <w:tblPrEx>
          <w:tblCellMar>
            <w:top w:w="0" w:type="dxa"/>
            <w:left w:w="0" w:type="dxa"/>
            <w:bottom w:w="0" w:type="dxa"/>
            <w:right w:w="0" w:type="dxa"/>
          </w:tblCellMar>
        </w:tblPrEx>
        <w:trPr>
          <w:trHeight w:val="420" w:hRule="atLeast"/>
        </w:trPr>
        <w:tc>
          <w:tcPr>
            <w:tcW w:w="325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rPr>
              <w:t>项目名称</w:t>
            </w:r>
          </w:p>
        </w:tc>
        <w:tc>
          <w:tcPr>
            <w:tcW w:w="2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rPr>
              <w:t>资金预算（元）</w:t>
            </w:r>
          </w:p>
        </w:tc>
        <w:tc>
          <w:tcPr>
            <w:tcW w:w="2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rPr>
              <w:t>资金到位（元）</w:t>
            </w:r>
          </w:p>
        </w:tc>
        <w:tc>
          <w:tcPr>
            <w:tcW w:w="2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rPr>
              <w:t>资金使用（元）</w:t>
            </w:r>
          </w:p>
        </w:tc>
      </w:tr>
      <w:tr>
        <w:tblPrEx>
          <w:tblCellMar>
            <w:top w:w="0" w:type="dxa"/>
            <w:left w:w="0" w:type="dxa"/>
            <w:bottom w:w="0" w:type="dxa"/>
            <w:right w:w="0" w:type="dxa"/>
          </w:tblCellMar>
        </w:tblPrEx>
        <w:trPr>
          <w:trHeight w:val="420" w:hRule="atLeast"/>
        </w:trPr>
        <w:tc>
          <w:tcPr>
            <w:tcW w:w="32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32"/>
                <w:szCs w:val="3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rPr>
              <w:t>财政资金</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rPr>
              <w:t>财政资金</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rPr>
              <w:t>财政资金</w:t>
            </w:r>
          </w:p>
        </w:tc>
      </w:tr>
      <w:tr>
        <w:tblPrEx>
          <w:tblCellMar>
            <w:top w:w="0" w:type="dxa"/>
            <w:left w:w="0" w:type="dxa"/>
            <w:bottom w:w="0" w:type="dxa"/>
            <w:right w:w="0" w:type="dxa"/>
          </w:tblCellMar>
        </w:tblPrEx>
        <w:trPr>
          <w:trHeight w:val="460" w:hRule="atLeast"/>
        </w:trPr>
        <w:tc>
          <w:tcPr>
            <w:tcW w:w="3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聘用教师管理人员工资</w:t>
            </w:r>
          </w:p>
        </w:tc>
        <w:tc>
          <w:tcPr>
            <w:tcW w:w="2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150000</w:t>
            </w:r>
          </w:p>
        </w:tc>
        <w:tc>
          <w:tcPr>
            <w:tcW w:w="2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150000</w:t>
            </w:r>
          </w:p>
        </w:tc>
        <w:tc>
          <w:tcPr>
            <w:tcW w:w="2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150000</w:t>
            </w:r>
          </w:p>
        </w:tc>
      </w:tr>
    </w:tbl>
    <w:p>
      <w:pPr>
        <w:adjustRightInd w:val="0"/>
        <w:snapToGrid w:val="0"/>
        <w:spacing w:line="560" w:lineRule="exact"/>
        <w:rPr>
          <w:rFonts w:hint="eastAsia" w:ascii="仿宋" w:hAnsi="仿宋" w:eastAsia="仿宋" w:cs="仿宋"/>
          <w:sz w:val="32"/>
          <w:szCs w:val="32"/>
          <w:lang w:val="zh-CN"/>
        </w:rPr>
      </w:pPr>
    </w:p>
    <w:p>
      <w:pPr>
        <w:adjustRightInd w:val="0"/>
        <w:snapToGrid w:val="0"/>
        <w:spacing w:line="560" w:lineRule="exact"/>
        <w:ind w:firstLine="720"/>
        <w:rPr>
          <w:rFonts w:hint="eastAsia" w:ascii="仿宋" w:hAnsi="仿宋" w:eastAsia="仿宋" w:cs="仿宋"/>
          <w:sz w:val="32"/>
          <w:szCs w:val="32"/>
        </w:rPr>
      </w:pPr>
      <w:r>
        <w:rPr>
          <w:rFonts w:hint="eastAsia" w:ascii="仿宋" w:hAnsi="仿宋" w:eastAsia="仿宋" w:cs="仿宋"/>
          <w:sz w:val="32"/>
          <w:szCs w:val="32"/>
          <w:lang w:val="zh-CN"/>
        </w:rPr>
        <w:t>1．资金计划。</w:t>
      </w:r>
      <w:r>
        <w:rPr>
          <w:rFonts w:hint="eastAsia" w:ascii="仿宋" w:hAnsi="仿宋" w:eastAsia="仿宋" w:cs="仿宋"/>
          <w:sz w:val="32"/>
          <w:szCs w:val="32"/>
        </w:rPr>
        <w:t>项目资金计划150000元，均为财政资金。</w:t>
      </w:r>
    </w:p>
    <w:p>
      <w:pPr>
        <w:adjustRightInd w:val="0"/>
        <w:snapToGrid w:val="0"/>
        <w:spacing w:line="560" w:lineRule="exact"/>
        <w:ind w:firstLine="720"/>
        <w:rPr>
          <w:rFonts w:hint="eastAsia" w:ascii="仿宋" w:hAnsi="仿宋" w:eastAsia="仿宋" w:cs="仿宋"/>
          <w:sz w:val="32"/>
          <w:szCs w:val="32"/>
        </w:rPr>
      </w:pPr>
      <w:r>
        <w:rPr>
          <w:rFonts w:hint="eastAsia" w:ascii="仿宋" w:hAnsi="仿宋" w:eastAsia="仿宋" w:cs="仿宋"/>
          <w:sz w:val="32"/>
          <w:szCs w:val="32"/>
          <w:lang w:val="zh-CN"/>
        </w:rPr>
        <w:t>2．资金到位。资金到位率</w:t>
      </w:r>
      <w:r>
        <w:rPr>
          <w:rFonts w:hint="eastAsia" w:ascii="仿宋" w:hAnsi="仿宋" w:eastAsia="仿宋" w:cs="仿宋"/>
          <w:sz w:val="32"/>
          <w:szCs w:val="32"/>
        </w:rPr>
        <w:t>100%，</w:t>
      </w:r>
      <w:r>
        <w:rPr>
          <w:rFonts w:hint="eastAsia" w:ascii="仿宋" w:hAnsi="仿宋" w:eastAsia="仿宋" w:cs="仿宋"/>
          <w:sz w:val="32"/>
          <w:szCs w:val="32"/>
          <w:lang w:val="zh-CN"/>
        </w:rPr>
        <w:t>到位及时率</w:t>
      </w:r>
      <w:r>
        <w:rPr>
          <w:rFonts w:hint="eastAsia" w:ascii="仿宋" w:hAnsi="仿宋" w:eastAsia="仿宋" w:cs="仿宋"/>
          <w:sz w:val="32"/>
          <w:szCs w:val="32"/>
        </w:rPr>
        <w:t>100%.</w:t>
      </w:r>
    </w:p>
    <w:p>
      <w:pPr>
        <w:adjustRightInd w:val="0"/>
        <w:snapToGrid w:val="0"/>
        <w:spacing w:line="560" w:lineRule="exact"/>
        <w:ind w:firstLine="720"/>
        <w:rPr>
          <w:rFonts w:hint="eastAsia" w:ascii="仿宋" w:hAnsi="仿宋" w:eastAsia="仿宋" w:cs="仿宋"/>
          <w:sz w:val="32"/>
          <w:szCs w:val="32"/>
          <w:highlight w:val="red"/>
          <w:lang w:val="zh-CN"/>
        </w:rPr>
      </w:pPr>
      <w:r>
        <w:rPr>
          <w:rFonts w:hint="eastAsia" w:ascii="仿宋" w:hAnsi="仿宋" w:eastAsia="仿宋" w:cs="仿宋"/>
          <w:sz w:val="32"/>
          <w:szCs w:val="32"/>
          <w:lang w:val="zh-CN"/>
        </w:rPr>
        <w:t>3．资金使用。资金支出</w:t>
      </w:r>
      <w:r>
        <w:rPr>
          <w:rFonts w:hint="eastAsia" w:ascii="仿宋" w:hAnsi="仿宋" w:eastAsia="仿宋" w:cs="仿宋"/>
          <w:sz w:val="32"/>
          <w:szCs w:val="32"/>
        </w:rPr>
        <w:t>150000元，</w:t>
      </w:r>
      <w:r>
        <w:rPr>
          <w:rFonts w:hint="eastAsia" w:ascii="仿宋" w:hAnsi="仿宋" w:eastAsia="仿宋" w:cs="仿宋"/>
          <w:sz w:val="32"/>
          <w:szCs w:val="32"/>
          <w:lang w:val="zh-CN"/>
        </w:rPr>
        <w:t>资金使用安全、规范、效果显著。资金支付范围</w:t>
      </w:r>
      <w:r>
        <w:rPr>
          <w:rFonts w:hint="eastAsia" w:ascii="仿宋" w:hAnsi="仿宋" w:eastAsia="仿宋" w:cs="仿宋"/>
          <w:sz w:val="32"/>
          <w:szCs w:val="32"/>
        </w:rPr>
        <w:t>全</w:t>
      </w:r>
      <w:r>
        <w:rPr>
          <w:rFonts w:hint="eastAsia" w:ascii="仿宋" w:hAnsi="仿宋" w:eastAsia="仿宋" w:cs="仿宋"/>
          <w:sz w:val="32"/>
          <w:szCs w:val="32"/>
          <w:lang w:val="zh-CN"/>
        </w:rPr>
        <w:t>用于聘用教师管理人员工资。支付标准均按照财政资金管理限额（标准）执行，</w:t>
      </w:r>
      <w:r>
        <w:rPr>
          <w:rFonts w:hint="eastAsia" w:ascii="仿宋" w:hAnsi="仿宋" w:eastAsia="仿宋" w:cs="仿宋"/>
          <w:sz w:val="32"/>
          <w:szCs w:val="32"/>
        </w:rPr>
        <w:t>聘用教师课时费100元/节、管理人员补助1000元/人/年</w:t>
      </w:r>
      <w:r>
        <w:rPr>
          <w:rFonts w:hint="eastAsia" w:ascii="仿宋" w:hAnsi="仿宋" w:eastAsia="仿宋" w:cs="仿宋"/>
          <w:sz w:val="32"/>
          <w:szCs w:val="32"/>
          <w:lang w:val="zh-CN"/>
        </w:rPr>
        <w:t>。根据项目实施进度支付款项，支付依据合规合法，支出金额与预算相符。</w:t>
      </w:r>
    </w:p>
    <w:p>
      <w:pPr>
        <w:adjustRightInd w:val="0"/>
        <w:snapToGrid w:val="0"/>
        <w:spacing w:line="56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（三）项目财务管理情况</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本单位财务管理制度健全，严格执行财务管理制度，账务处理及时，会计核算规范。</w:t>
      </w:r>
    </w:p>
    <w:p>
      <w:pPr>
        <w:adjustRightInd w:val="0"/>
        <w:snapToGrid w:val="0"/>
        <w:spacing w:line="560" w:lineRule="exact"/>
        <w:ind w:firstLine="720"/>
        <w:rPr>
          <w:rFonts w:hint="eastAsia" w:ascii="黑体" w:hAnsi="黑体" w:eastAsia="黑体" w:cs="黑体"/>
          <w:sz w:val="32"/>
          <w:szCs w:val="32"/>
          <w:lang w:val="zh-CN"/>
        </w:rPr>
      </w:pPr>
      <w:r>
        <w:rPr>
          <w:rFonts w:hint="eastAsia" w:ascii="黑体" w:hAnsi="黑体" w:eastAsia="黑体" w:cs="黑体"/>
          <w:sz w:val="32"/>
          <w:szCs w:val="32"/>
          <w:lang w:val="zh-CN"/>
        </w:rPr>
        <w:t>三、项目实施及管理情况</w:t>
      </w:r>
    </w:p>
    <w:p>
      <w:pPr>
        <w:adjustRightInd w:val="0"/>
        <w:snapToGrid w:val="0"/>
        <w:spacing w:line="560" w:lineRule="exact"/>
        <w:ind w:firstLine="720"/>
        <w:rPr>
          <w:rFonts w:hint="eastAsia" w:ascii="仿宋" w:hAnsi="仿宋" w:eastAsia="仿宋" w:cs="仿宋"/>
          <w:b/>
          <w:sz w:val="32"/>
          <w:szCs w:val="32"/>
          <w:lang w:val="zh-CN"/>
        </w:rPr>
      </w:pPr>
      <w:r>
        <w:rPr>
          <w:rFonts w:hint="eastAsia" w:ascii="仿宋" w:hAnsi="仿宋" w:eastAsia="仿宋" w:cs="仿宋"/>
          <w:bCs/>
          <w:sz w:val="32"/>
          <w:szCs w:val="32"/>
          <w:lang w:val="zh-CN"/>
        </w:rPr>
        <w:t>（一）</w:t>
      </w:r>
      <w:r>
        <w:rPr>
          <w:rFonts w:hint="eastAsia" w:ascii="仿宋" w:hAnsi="仿宋" w:eastAsia="仿宋" w:cs="仿宋"/>
          <w:sz w:val="32"/>
          <w:szCs w:val="32"/>
          <w:lang w:val="zh-CN"/>
        </w:rPr>
        <w:t>项目组织架构及实施流程。我单位成立了项目领导小组负责项目统筹安排及管理，安排专人具体负责实施。</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bCs/>
          <w:sz w:val="32"/>
          <w:szCs w:val="32"/>
          <w:lang w:val="zh-CN"/>
        </w:rPr>
        <w:t>（二）</w:t>
      </w:r>
      <w:r>
        <w:rPr>
          <w:rFonts w:hint="eastAsia" w:ascii="仿宋" w:hAnsi="仿宋" w:eastAsia="仿宋" w:cs="仿宋"/>
          <w:sz w:val="32"/>
          <w:szCs w:val="32"/>
          <w:lang w:val="zh-CN"/>
        </w:rPr>
        <w:t>项目管理情况。我单位严格执行相关法律法规及项目管理制度，管理有序，质量较高，取得了良好的效果。</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bCs/>
          <w:sz w:val="32"/>
          <w:szCs w:val="32"/>
          <w:lang w:val="zh-CN"/>
        </w:rPr>
        <w:t>（三）</w:t>
      </w:r>
      <w:r>
        <w:rPr>
          <w:rFonts w:hint="eastAsia" w:ascii="仿宋" w:hAnsi="仿宋" w:eastAsia="仿宋" w:cs="仿宋"/>
          <w:sz w:val="32"/>
          <w:szCs w:val="32"/>
          <w:lang w:val="zh-CN"/>
        </w:rPr>
        <w:t>项目监管情况。我单位项目主要是</w:t>
      </w:r>
      <w:r>
        <w:rPr>
          <w:rFonts w:hint="eastAsia" w:ascii="仿宋" w:hAnsi="仿宋" w:eastAsia="仿宋" w:cs="仿宋"/>
          <w:sz w:val="32"/>
          <w:szCs w:val="32"/>
        </w:rPr>
        <w:t>人员</w:t>
      </w:r>
      <w:r>
        <w:rPr>
          <w:rFonts w:hint="eastAsia" w:ascii="仿宋" w:hAnsi="仿宋" w:eastAsia="仿宋" w:cs="仿宋"/>
          <w:sz w:val="32"/>
          <w:szCs w:val="32"/>
          <w:lang w:val="zh-CN"/>
        </w:rPr>
        <w:t>经费，费用支出经过逐级审核，项目实施中纪检部门进行监管，按照单位内控控制制度实施监管，有力的促进了项目顺利实施，圆满完成，监管效果良好。</w:t>
      </w:r>
    </w:p>
    <w:p>
      <w:pPr>
        <w:adjustRightInd w:val="0"/>
        <w:snapToGrid w:val="0"/>
        <w:spacing w:line="560" w:lineRule="exact"/>
        <w:ind w:firstLine="720"/>
        <w:rPr>
          <w:rFonts w:hint="eastAsia" w:ascii="黑体" w:hAnsi="黑体" w:eastAsia="黑体" w:cs="黑体"/>
          <w:sz w:val="32"/>
          <w:szCs w:val="32"/>
          <w:lang w:val="zh-CN"/>
        </w:rPr>
      </w:pPr>
      <w:r>
        <w:rPr>
          <w:rFonts w:hint="eastAsia" w:ascii="黑体" w:hAnsi="黑体" w:eastAsia="黑体" w:cs="黑体"/>
          <w:sz w:val="32"/>
          <w:szCs w:val="32"/>
          <w:lang w:val="zh-CN"/>
        </w:rPr>
        <w:t>四、项目绩效情况</w:t>
      </w:r>
      <w:r>
        <w:rPr>
          <w:rFonts w:hint="eastAsia" w:ascii="黑体" w:hAnsi="黑体" w:eastAsia="黑体" w:cs="黑体"/>
          <w:sz w:val="32"/>
          <w:szCs w:val="32"/>
          <w:lang w:val="zh-CN"/>
        </w:rPr>
        <w:tab/>
      </w:r>
    </w:p>
    <w:p>
      <w:pPr>
        <w:adjustRightInd w:val="0"/>
        <w:snapToGrid w:val="0"/>
        <w:spacing w:line="560" w:lineRule="exact"/>
        <w:ind w:firstLine="720"/>
        <w:rPr>
          <w:rFonts w:hint="eastAsia" w:ascii="仿宋" w:hAnsi="仿宋" w:eastAsia="仿宋" w:cs="仿宋"/>
          <w:b/>
          <w:bCs/>
          <w:sz w:val="32"/>
          <w:szCs w:val="32"/>
          <w:lang w:val="zh-CN"/>
        </w:rPr>
      </w:pPr>
      <w:r>
        <w:rPr>
          <w:rFonts w:hint="eastAsia" w:ascii="仿宋" w:hAnsi="仿宋" w:eastAsia="仿宋" w:cs="仿宋"/>
          <w:b/>
          <w:bCs/>
          <w:sz w:val="32"/>
          <w:szCs w:val="32"/>
          <w:lang w:val="zh-CN"/>
        </w:rPr>
        <w:t>（一）项目完成情况</w:t>
      </w:r>
    </w:p>
    <w:p>
      <w:pPr>
        <w:adjustRightInd w:val="0"/>
        <w:snapToGrid w:val="0"/>
        <w:spacing w:line="560" w:lineRule="exact"/>
        <w:ind w:firstLine="720"/>
        <w:rPr>
          <w:rFonts w:hint="eastAsia" w:ascii="仿宋" w:hAnsi="仿宋" w:eastAsia="仿宋" w:cs="仿宋"/>
          <w:sz w:val="32"/>
          <w:szCs w:val="32"/>
        </w:rPr>
      </w:pPr>
      <w:r>
        <w:rPr>
          <w:rFonts w:hint="eastAsia" w:ascii="仿宋" w:hAnsi="仿宋" w:eastAsia="仿宋" w:cs="仿宋"/>
          <w:sz w:val="32"/>
          <w:szCs w:val="32"/>
          <w:lang w:val="zh-CN"/>
        </w:rPr>
        <w:t>项目全部完成预期目标，已完成</w:t>
      </w:r>
      <w:r>
        <w:rPr>
          <w:rFonts w:hint="eastAsia" w:ascii="仿宋" w:hAnsi="仿宋" w:eastAsia="仿宋" w:cs="仿宋"/>
          <w:sz w:val="32"/>
          <w:szCs w:val="32"/>
          <w:lang w:val="en-US" w:eastAsia="zh-CN"/>
        </w:rPr>
        <w:t>学</w:t>
      </w:r>
      <w:r>
        <w:rPr>
          <w:rFonts w:hint="eastAsia" w:ascii="仿宋" w:hAnsi="仿宋" w:eastAsia="仿宋" w:cs="仿宋"/>
          <w:sz w:val="32"/>
          <w:szCs w:val="32"/>
        </w:rPr>
        <w:t>习资源建设整合，研究制定老年人学习发展指南、为不同年龄层次的老年人提供包括学习规划在内的教学咨询服务。参加3-4次省、市举办的重阳节、敬老月、红叶风采、书</w:t>
      </w:r>
      <w:r>
        <w:rPr>
          <w:rFonts w:hint="eastAsia" w:ascii="仿宋" w:hAnsi="仿宋" w:eastAsia="仿宋" w:cs="仿宋"/>
          <w:sz w:val="32"/>
          <w:szCs w:val="32"/>
          <w:lang w:val="en-US" w:eastAsia="zh-CN"/>
        </w:rPr>
        <w:t>画</w:t>
      </w:r>
      <w:r>
        <w:rPr>
          <w:rFonts w:hint="eastAsia" w:ascii="仿宋" w:hAnsi="仿宋" w:eastAsia="仿宋" w:cs="仿宋"/>
          <w:sz w:val="32"/>
          <w:szCs w:val="32"/>
        </w:rPr>
        <w:t>展等活动大型老年活动比赛并取得优异成绩，选取4-5个爱老敬老社区开展共同联系办学及教学成果展示点。</w:t>
      </w:r>
      <w:r>
        <w:rPr>
          <w:rFonts w:hint="eastAsia" w:ascii="仿宋" w:hAnsi="仿宋" w:eastAsia="仿宋" w:cs="仿宋"/>
          <w:sz w:val="32"/>
          <w:szCs w:val="32"/>
          <w:lang w:val="zh-CN"/>
        </w:rPr>
        <w:t>均达到数量计划值，质量良好、按时完成、未超预算，无资金结余，无违规违纪情况。</w:t>
      </w:r>
      <w:r>
        <w:rPr>
          <w:rFonts w:hint="eastAsia" w:ascii="仿宋" w:hAnsi="仿宋" w:eastAsia="仿宋" w:cs="仿宋"/>
          <w:sz w:val="32"/>
          <w:szCs w:val="32"/>
        </w:rPr>
        <w:t xml:space="preserve">      </w:t>
      </w:r>
    </w:p>
    <w:p>
      <w:pPr>
        <w:numPr>
          <w:ilvl w:val="0"/>
          <w:numId w:val="8"/>
        </w:numPr>
        <w:adjustRightInd w:val="0"/>
        <w:snapToGrid w:val="0"/>
        <w:spacing w:line="560" w:lineRule="exact"/>
        <w:ind w:firstLine="720"/>
        <w:rPr>
          <w:rFonts w:hint="eastAsia" w:ascii="仿宋" w:hAnsi="仿宋" w:eastAsia="仿宋" w:cs="仿宋"/>
          <w:b/>
          <w:bCs/>
          <w:sz w:val="32"/>
          <w:szCs w:val="32"/>
        </w:rPr>
      </w:pPr>
      <w:r>
        <w:rPr>
          <w:rFonts w:hint="eastAsia" w:ascii="仿宋" w:hAnsi="仿宋" w:eastAsia="仿宋" w:cs="仿宋"/>
          <w:b/>
          <w:bCs/>
          <w:sz w:val="32"/>
          <w:szCs w:val="32"/>
          <w:lang w:val="zh-CN"/>
        </w:rPr>
        <w:t>项目效益情况</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zh-CN"/>
        </w:rPr>
        <w:t>项目取得了良好的社会效益、可持续效益。通过</w:t>
      </w:r>
      <w:r>
        <w:rPr>
          <w:rFonts w:hint="eastAsia" w:ascii="仿宋" w:hAnsi="仿宋" w:eastAsia="仿宋" w:cs="仿宋"/>
          <w:sz w:val="32"/>
          <w:szCs w:val="32"/>
        </w:rPr>
        <w:t>学习资源建设整合，研究制定老年人学习发展指南、为不同年龄层次的老年人提供包括学习规划在内的教学咨询服务。参加省、市举办的重阳节、敬老月、红叶风采、书</w:t>
      </w:r>
      <w:r>
        <w:rPr>
          <w:rFonts w:hint="eastAsia" w:ascii="仿宋" w:hAnsi="仿宋" w:eastAsia="仿宋" w:cs="仿宋"/>
          <w:sz w:val="32"/>
          <w:szCs w:val="32"/>
          <w:lang w:val="en-US" w:eastAsia="zh-CN"/>
        </w:rPr>
        <w:t>画</w:t>
      </w:r>
      <w:r>
        <w:rPr>
          <w:rFonts w:hint="eastAsia" w:ascii="仿宋" w:hAnsi="仿宋" w:eastAsia="仿宋" w:cs="仿宋"/>
          <w:sz w:val="32"/>
          <w:szCs w:val="32"/>
        </w:rPr>
        <w:t>展等活动大型老年活动比赛，取得了优异成绩，选取了4-5个爱老敬老社区开展共同联系办学及教学成果展示点，推动了老年教育发展，提高了老年人教育程度。老年学员满意度达100%。</w:t>
      </w:r>
    </w:p>
    <w:p>
      <w:pPr>
        <w:adjustRightInd w:val="0"/>
        <w:snapToGrid w:val="0"/>
        <w:spacing w:line="560" w:lineRule="exact"/>
        <w:ind w:firstLine="720"/>
        <w:rPr>
          <w:rFonts w:hint="eastAsia" w:ascii="黑体" w:hAnsi="黑体" w:eastAsia="黑体" w:cs="黑体"/>
          <w:sz w:val="32"/>
          <w:szCs w:val="32"/>
          <w:lang w:val="zh-CN"/>
        </w:rPr>
      </w:pPr>
      <w:r>
        <w:rPr>
          <w:rFonts w:hint="eastAsia" w:ascii="黑体" w:hAnsi="黑体" w:eastAsia="黑体" w:cs="黑体"/>
          <w:sz w:val="32"/>
          <w:szCs w:val="32"/>
          <w:lang w:val="zh-CN"/>
        </w:rPr>
        <w:t>五、评价结论及建议</w:t>
      </w:r>
    </w:p>
    <w:p>
      <w:pPr>
        <w:adjustRightInd w:val="0"/>
        <w:snapToGrid w:val="0"/>
        <w:spacing w:line="56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（一）评价结论</w:t>
      </w:r>
    </w:p>
    <w:p>
      <w:pPr>
        <w:adjustRightInd w:val="0"/>
        <w:snapToGrid w:val="0"/>
        <w:spacing w:line="560" w:lineRule="exact"/>
        <w:ind w:firstLine="640" w:firstLineChars="200"/>
        <w:rPr>
          <w:rFonts w:hint="eastAsia" w:ascii="仿宋" w:hAnsi="仿宋" w:eastAsia="仿宋" w:cs="仿宋"/>
          <w:sz w:val="32"/>
          <w:szCs w:val="32"/>
          <w:bdr w:val="single" w:color="auto" w:sz="4" w:space="0"/>
        </w:rPr>
      </w:pPr>
      <w:r>
        <w:rPr>
          <w:rFonts w:hint="eastAsia" w:ascii="仿宋" w:hAnsi="仿宋" w:eastAsia="仿宋" w:cs="仿宋"/>
          <w:sz w:val="32"/>
          <w:szCs w:val="32"/>
        </w:rPr>
        <w:t>项目管理良好，实施有序，绩效显著。均达到了预期目标</w:t>
      </w:r>
      <w:r>
        <w:rPr>
          <w:rFonts w:hint="eastAsia" w:ascii="仿宋" w:hAnsi="仿宋" w:eastAsia="仿宋" w:cs="仿宋"/>
          <w:sz w:val="32"/>
          <w:szCs w:val="32"/>
          <w:lang w:val="zh-CN"/>
        </w:rPr>
        <w:t>。评价得分</w:t>
      </w:r>
      <w:r>
        <w:rPr>
          <w:rFonts w:hint="eastAsia" w:ascii="仿宋" w:hAnsi="仿宋" w:eastAsia="仿宋" w:cs="仿宋"/>
          <w:sz w:val="32"/>
          <w:szCs w:val="32"/>
        </w:rPr>
        <w:t>100分。</w:t>
      </w:r>
    </w:p>
    <w:p>
      <w:pPr>
        <w:adjustRightInd w:val="0"/>
        <w:snapToGrid w:val="0"/>
        <w:spacing w:line="56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（二）存在的问题</w:t>
      </w:r>
    </w:p>
    <w:p>
      <w:pPr>
        <w:adjustRightInd w:val="0"/>
        <w:snapToGrid w:val="0"/>
        <w:spacing w:line="56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无。</w:t>
      </w:r>
      <w:r>
        <w:rPr>
          <w:rFonts w:hint="eastAsia" w:ascii="仿宋" w:hAnsi="仿宋" w:eastAsia="仿宋" w:cs="仿宋"/>
          <w:sz w:val="32"/>
          <w:szCs w:val="32"/>
          <w:lang w:val="zh-CN"/>
        </w:rPr>
        <w:tab/>
      </w:r>
    </w:p>
    <w:p>
      <w:pPr>
        <w:adjustRightInd w:val="0"/>
        <w:snapToGrid w:val="0"/>
        <w:spacing w:line="56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（三）相关建议</w:t>
      </w:r>
    </w:p>
    <w:p>
      <w:pPr>
        <w:adjustRightInd w:val="0"/>
        <w:snapToGrid w:val="0"/>
        <w:spacing w:line="560" w:lineRule="exact"/>
        <w:ind w:firstLine="640" w:firstLineChars="200"/>
        <w:rPr>
          <w:rFonts w:hint="eastAsia" w:ascii="黑体" w:hAnsi="黑体" w:eastAsia="黑体" w:cs="黑体"/>
          <w:color w:val="auto"/>
          <w:sz w:val="32"/>
          <w:szCs w:val="32"/>
          <w:highlight w:val="none"/>
        </w:rPr>
      </w:pPr>
      <w:r>
        <w:rPr>
          <w:rFonts w:hint="eastAsia" w:ascii="仿宋" w:hAnsi="仿宋" w:eastAsia="仿宋" w:cs="仿宋"/>
          <w:sz w:val="32"/>
          <w:szCs w:val="32"/>
          <w:lang w:val="zh-CN"/>
        </w:rPr>
        <w:t>一是加强业务培训，进一步提高工作人员财政资金绩效意识；二是进一步细化项目预算，严格控制各项费用，过紧日子；三是今后对于财政资金项目，加大评价结果应用，真正做到“用钱必问效，无效必问责”。</w:t>
      </w: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仿宋_GB2312" w:hAnsi="仿宋_GB2312" w:eastAsia="黑体" w:cs="仿宋_GB2312"/>
          <w:color w:val="auto"/>
          <w:sz w:val="32"/>
          <w:szCs w:val="32"/>
          <w:highlight w:val="none"/>
          <w:lang w:val="en-US" w:eastAsia="zh-CN"/>
        </w:rPr>
      </w:pPr>
      <w:r>
        <w:rPr>
          <w:rFonts w:hint="eastAsia" w:ascii="黑体" w:hAnsi="黑体" w:eastAsia="黑体" w:cs="黑体"/>
          <w:color w:val="auto"/>
          <w:sz w:val="32"/>
          <w:szCs w:val="32"/>
          <w:highlight w:val="none"/>
        </w:rPr>
        <w:t>附</w:t>
      </w:r>
      <w:r>
        <w:rPr>
          <w:rFonts w:hint="eastAsia" w:ascii="黑体" w:hAnsi="黑体" w:eastAsia="黑体" w:cs="黑体"/>
          <w:color w:val="auto"/>
          <w:sz w:val="32"/>
          <w:szCs w:val="32"/>
          <w:highlight w:val="none"/>
          <w:lang w:val="en-US" w:eastAsia="zh-CN"/>
        </w:rPr>
        <w:t>表</w:t>
      </w:r>
    </w:p>
    <w:tbl>
      <w:tblPr>
        <w:tblStyle w:val="14"/>
        <w:tblpPr w:leftFromText="180" w:rightFromText="180" w:vertAnchor="text" w:horzAnchor="page" w:tblpX="1292" w:tblpY="202"/>
        <w:tblOverlap w:val="never"/>
        <w:tblW w:w="95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3"/>
        <w:gridCol w:w="889"/>
        <w:gridCol w:w="1535"/>
        <w:gridCol w:w="2233"/>
        <w:gridCol w:w="1799"/>
        <w:gridCol w:w="21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bookmarkStart w:id="48" w:name="_Toc15396618"/>
            <w:r>
              <w:rPr>
                <w:rFonts w:hint="eastAsia" w:ascii="宋体" w:hAnsi="宋体" w:eastAsia="宋体" w:cs="宋体"/>
                <w:b/>
                <w:i w:val="0"/>
                <w:color w:val="auto"/>
                <w:sz w:val="32"/>
                <w:szCs w:val="32"/>
                <w:highlight w:val="none"/>
                <w:u w:val="none"/>
                <w:lang w:val="en-US" w:eastAsia="zh-CN"/>
              </w:rPr>
              <w:t>2021年部门预算项目绩效目标自评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3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rPr>
              <w:t>广元市民政局</w:t>
            </w:r>
            <w:r>
              <w:rPr>
                <w:rFonts w:hint="eastAsia" w:ascii="宋体" w:hAnsi="宋体" w:cs="宋体"/>
                <w:i w:val="0"/>
                <w:color w:val="auto"/>
                <w:sz w:val="24"/>
                <w:szCs w:val="24"/>
                <w:u w:val="none"/>
                <w:lang w:val="en-US" w:eastAsia="zh-CN"/>
              </w:rPr>
              <w:t>343910</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308"/>
              </w:tabs>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广元市老年大学（广元市老年活动中心）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18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15</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8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15</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18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 w:hRule="atLeast"/>
        </w:trPr>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46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65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1"/>
                <w:szCs w:val="21"/>
                <w:u w:val="none"/>
              </w:rPr>
            </w:pPr>
            <w:r>
              <w:rPr>
                <w:rFonts w:hint="eastAsia" w:ascii="宋体" w:hAnsi="宋体" w:eastAsia="宋体" w:cs="宋体"/>
                <w:i w:val="0"/>
                <w:color w:val="auto"/>
                <w:sz w:val="24"/>
                <w:szCs w:val="24"/>
                <w:u w:val="none"/>
              </w:rPr>
              <w:t>学习资源建设整合计划，研究制定老年人学习发展指南，为不同年龄层次的老年人提供包括学习规划在内的咨询服务。</w:t>
            </w:r>
          </w:p>
        </w:tc>
        <w:tc>
          <w:tcPr>
            <w:tcW w:w="393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1"/>
                <w:szCs w:val="21"/>
                <w:u w:val="none"/>
              </w:rPr>
            </w:pPr>
            <w:r>
              <w:rPr>
                <w:rFonts w:hint="eastAsia" w:ascii="宋体" w:hAnsi="宋体" w:eastAsia="宋体" w:cs="宋体"/>
                <w:i w:val="0"/>
                <w:color w:val="auto"/>
                <w:sz w:val="24"/>
                <w:szCs w:val="24"/>
                <w:u w:val="none"/>
              </w:rPr>
              <w:t>学习资源建设整合，研究制定老年人学习发展指南，为不同年龄层次的老年人提供包括学习规划在内的教学和咨询服务。 补充教学所需设备，提升供给能力，加强基础能力建设。 参加3-4次省、市举办的大型老年活动比赛，争取优异成绩；举办重阳节、敬老月、红叶风采、书画展等活动。 选择4-5个爱老敬老社区开展共同联系办学及教学成果展示点。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8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98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数量指标</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1.聘用教师课时费2.管理人员补助费</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sz w:val="24"/>
                <w:szCs w:val="24"/>
                <w:u w:val="none"/>
              </w:rPr>
              <w:t>1000元/人/年</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1000元/人/年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8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质量指标</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1.工资支付率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2.补助支付率</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sz w:val="24"/>
                <w:szCs w:val="24"/>
                <w:u w:val="none"/>
              </w:rPr>
              <w:t>100元/节</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100元/节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98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时效指标</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费用支付时效</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sz w:val="24"/>
                <w:szCs w:val="24"/>
                <w:u w:val="none"/>
                <w:lang w:val="en-US" w:eastAsia="zh-CN"/>
              </w:rPr>
              <w:t>100%</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8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成本指标</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费用使用金额</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sz w:val="24"/>
                <w:szCs w:val="24"/>
                <w:u w:val="none"/>
                <w:lang w:val="en-US" w:eastAsia="zh-CN"/>
              </w:rPr>
              <w:t>100%</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8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经济效益  指标</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sz w:val="24"/>
                <w:szCs w:val="24"/>
                <w:u w:val="none"/>
              </w:rPr>
              <w:t>推动老年教育发展</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sz w:val="24"/>
                <w:szCs w:val="24"/>
                <w:u w:val="none"/>
              </w:rPr>
              <w:t>有序提高</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sz w:val="24"/>
                <w:szCs w:val="24"/>
                <w:u w:val="none"/>
              </w:rPr>
              <w:t>有序提高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8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社会效益  指标</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sz w:val="24"/>
                <w:szCs w:val="24"/>
                <w:u w:val="none"/>
              </w:rPr>
              <w:t>推动老年教育发展</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sz w:val="24"/>
                <w:szCs w:val="24"/>
                <w:u w:val="none"/>
              </w:rPr>
              <w:t>有序提高</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sz w:val="24"/>
                <w:szCs w:val="24"/>
                <w:u w:val="none"/>
              </w:rPr>
              <w:t>有序提高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8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可持续影响 指标</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sz w:val="24"/>
                <w:szCs w:val="24"/>
                <w:u w:val="none"/>
              </w:rPr>
              <w:t>推动老年教育发展</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sz w:val="24"/>
                <w:szCs w:val="24"/>
                <w:u w:val="none"/>
              </w:rPr>
              <w:t>有序提高</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sz w:val="24"/>
                <w:szCs w:val="24"/>
                <w:u w:val="none"/>
              </w:rPr>
              <w:t>有序提高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98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度指标</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sz w:val="24"/>
                <w:szCs w:val="24"/>
                <w:u w:val="none"/>
              </w:rPr>
              <w:t>老年学员满意度</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sz w:val="24"/>
                <w:szCs w:val="24"/>
                <w:u w:val="none"/>
                <w:lang w:val="en-US" w:eastAsia="zh-CN"/>
              </w:rPr>
              <w:t>100%</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sz w:val="24"/>
                <w:szCs w:val="24"/>
                <w:u w:val="none"/>
                <w:lang w:val="en-US" w:eastAsia="zh-CN"/>
              </w:rPr>
              <w:t>100%</w:t>
            </w:r>
          </w:p>
        </w:tc>
      </w:tr>
    </w:tbl>
    <w:p>
      <w:pPr>
        <w:spacing w:line="600" w:lineRule="exact"/>
        <w:jc w:val="both"/>
        <w:outlineLvl w:val="0"/>
        <w:rPr>
          <w:rFonts w:hint="eastAsia" w:ascii="黑体" w:hAnsi="黑体" w:eastAsia="黑体"/>
          <w:color w:val="auto"/>
          <w:sz w:val="44"/>
          <w:szCs w:val="44"/>
          <w:highlight w:val="none"/>
        </w:rPr>
      </w:pPr>
    </w:p>
    <w:p>
      <w:pPr>
        <w:pStyle w:val="2"/>
        <w:rPr>
          <w:rFonts w:hint="eastAsia"/>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7"/>
          <w:rFonts w:hint="eastAsia" w:ascii="黑体" w:hAnsi="黑体" w:eastAsia="黑体"/>
          <w:b w:val="0"/>
          <w:color w:val="auto"/>
          <w:highlight w:val="none"/>
        </w:rPr>
        <w:t>五部分 附表</w:t>
      </w:r>
      <w:bookmarkEnd w:id="46"/>
      <w:bookmarkEnd w:id="48"/>
      <w:bookmarkStart w:id="49" w:name="_Toc15396619"/>
    </w:p>
    <w:p>
      <w:pPr>
        <w:pStyle w:val="4"/>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auto"/>
          <w:highlight w:val="none"/>
        </w:rPr>
      </w:pPr>
      <w:r>
        <w:rPr>
          <w:rFonts w:hint="eastAsia" w:ascii="仿宋" w:hAnsi="仿宋" w:eastAsia="仿宋"/>
          <w:b w:val="0"/>
          <w:color w:val="auto"/>
          <w:highlight w:val="none"/>
        </w:rPr>
        <w:t>一、收</w:t>
      </w:r>
      <w:r>
        <w:rPr>
          <w:rStyle w:val="28"/>
          <w:rFonts w:hint="eastAsia" w:ascii="仿宋" w:hAnsi="仿宋" w:eastAsia="仿宋"/>
          <w:b w:val="0"/>
          <w:bCs w:val="0"/>
          <w:color w:val="auto"/>
          <w:highlight w:val="none"/>
        </w:rPr>
        <w:t>入支出决算总表</w:t>
      </w:r>
      <w:bookmarkEnd w:id="49"/>
    </w:p>
    <w:p>
      <w:pPr>
        <w:pStyle w:val="4"/>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auto"/>
          <w:highlight w:val="none"/>
        </w:rPr>
      </w:pPr>
      <w:bookmarkStart w:id="50" w:name="_Toc15396620"/>
      <w:r>
        <w:rPr>
          <w:rFonts w:hint="eastAsia" w:ascii="仿宋" w:hAnsi="仿宋" w:eastAsia="仿宋"/>
          <w:b w:val="0"/>
          <w:color w:val="auto"/>
          <w:highlight w:val="none"/>
        </w:rPr>
        <w:t>二、收</w:t>
      </w:r>
      <w:r>
        <w:rPr>
          <w:rStyle w:val="28"/>
          <w:rFonts w:hint="eastAsia" w:ascii="仿宋" w:hAnsi="仿宋" w:eastAsia="仿宋"/>
          <w:b w:val="0"/>
          <w:bCs w:val="0"/>
          <w:color w:val="auto"/>
          <w:highlight w:val="none"/>
        </w:rPr>
        <w:t>入决算表</w:t>
      </w:r>
      <w:bookmarkEnd w:id="50"/>
    </w:p>
    <w:p>
      <w:pPr>
        <w:pStyle w:val="4"/>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auto"/>
          <w:highlight w:val="none"/>
        </w:rPr>
      </w:pPr>
      <w:bookmarkStart w:id="51" w:name="_Toc15396621"/>
      <w:r>
        <w:rPr>
          <w:rStyle w:val="28"/>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8"/>
          <w:rFonts w:hint="eastAsia" w:ascii="仿宋" w:hAnsi="仿宋" w:eastAsia="仿宋"/>
          <w:b w:val="0"/>
          <w:bCs w:val="0"/>
          <w:color w:val="auto"/>
          <w:highlight w:val="none"/>
        </w:rPr>
        <w:t>出决算表</w:t>
      </w:r>
      <w:bookmarkEnd w:id="51"/>
    </w:p>
    <w:p>
      <w:pPr>
        <w:pStyle w:val="4"/>
        <w:pageBreakBefore w:val="0"/>
        <w:widowControl w:val="0"/>
        <w:kinsoku/>
        <w:wordWrap/>
        <w:overflowPunct/>
        <w:topLinePunct w:val="0"/>
        <w:autoSpaceDE/>
        <w:autoSpaceDN/>
        <w:bidi w:val="0"/>
        <w:adjustRightInd/>
        <w:snapToGrid/>
        <w:spacing w:line="560" w:lineRule="exact"/>
        <w:textAlignment w:val="auto"/>
        <w:rPr>
          <w:rFonts w:ascii="仿宋" w:hAnsi="仿宋" w:eastAsia="仿宋"/>
          <w:b w:val="0"/>
          <w:color w:val="auto"/>
          <w:highlight w:val="none"/>
        </w:rPr>
      </w:pPr>
      <w:bookmarkStart w:id="52" w:name="_Toc15396622"/>
      <w:r>
        <w:rPr>
          <w:rStyle w:val="28"/>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8"/>
          <w:rFonts w:hint="eastAsia" w:ascii="仿宋" w:hAnsi="仿宋" w:eastAsia="仿宋"/>
          <w:b w:val="0"/>
          <w:bCs w:val="0"/>
          <w:color w:val="auto"/>
          <w:highlight w:val="none"/>
        </w:rPr>
        <w:t>政拨款收入支出决算总表</w:t>
      </w:r>
      <w:bookmarkEnd w:id="52"/>
    </w:p>
    <w:p>
      <w:pPr>
        <w:pStyle w:val="4"/>
        <w:pageBreakBefore w:val="0"/>
        <w:widowControl w:val="0"/>
        <w:kinsoku/>
        <w:wordWrap/>
        <w:overflowPunct/>
        <w:topLinePunct w:val="0"/>
        <w:autoSpaceDE/>
        <w:autoSpaceDN/>
        <w:bidi w:val="0"/>
        <w:adjustRightInd/>
        <w:snapToGrid/>
        <w:spacing w:line="560" w:lineRule="exact"/>
        <w:textAlignment w:val="auto"/>
        <w:rPr>
          <w:rStyle w:val="28"/>
          <w:rFonts w:ascii="仿宋" w:hAnsi="仿宋" w:eastAsia="仿宋"/>
          <w:b w:val="0"/>
          <w:bCs w:val="0"/>
          <w:color w:val="auto"/>
          <w:highlight w:val="none"/>
        </w:rPr>
      </w:pPr>
      <w:bookmarkStart w:id="53" w:name="_Toc15396623"/>
      <w:r>
        <w:rPr>
          <w:rStyle w:val="28"/>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8"/>
          <w:rFonts w:hint="eastAsia" w:ascii="仿宋" w:hAnsi="仿宋" w:eastAsia="仿宋"/>
          <w:b w:val="0"/>
          <w:bCs w:val="0"/>
          <w:color w:val="auto"/>
          <w:highlight w:val="none"/>
        </w:rPr>
        <w:t>政拨款支出决算明细表</w:t>
      </w:r>
      <w:bookmarkEnd w:id="53"/>
      <w:bookmarkStart w:id="54" w:name="_Toc15396624"/>
    </w:p>
    <w:p>
      <w:pPr>
        <w:pStyle w:val="4"/>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auto"/>
          <w:highlight w:val="none"/>
        </w:rPr>
      </w:pPr>
      <w:r>
        <w:rPr>
          <w:rStyle w:val="28"/>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般公共预算财政拨款支出决算表</w:t>
      </w:r>
      <w:bookmarkEnd w:id="54"/>
    </w:p>
    <w:p>
      <w:pPr>
        <w:pStyle w:val="4"/>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auto"/>
          <w:highlight w:val="none"/>
        </w:rPr>
      </w:pPr>
      <w:bookmarkStart w:id="55" w:name="_Toc15396625"/>
      <w:r>
        <w:rPr>
          <w:rStyle w:val="28"/>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般公共预算财政拨款支出决算明细表</w:t>
      </w:r>
      <w:bookmarkEnd w:id="55"/>
    </w:p>
    <w:p>
      <w:pPr>
        <w:pStyle w:val="4"/>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auto"/>
          <w:highlight w:val="none"/>
        </w:rPr>
      </w:pPr>
      <w:bookmarkStart w:id="56" w:name="_Toc15396626"/>
      <w:r>
        <w:rPr>
          <w:rStyle w:val="28"/>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般公共预算财政拨款基本支出决算表</w:t>
      </w:r>
      <w:bookmarkEnd w:id="56"/>
    </w:p>
    <w:p>
      <w:pPr>
        <w:pStyle w:val="4"/>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auto"/>
          <w:highlight w:val="none"/>
        </w:rPr>
      </w:pPr>
      <w:bookmarkStart w:id="57" w:name="_Toc15396627"/>
      <w:r>
        <w:rPr>
          <w:rStyle w:val="28"/>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般公共预算财政拨款项目支出决算表</w:t>
      </w:r>
      <w:bookmarkEnd w:id="57"/>
    </w:p>
    <w:p>
      <w:pPr>
        <w:pStyle w:val="4"/>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auto"/>
          <w:highlight w:val="none"/>
        </w:rPr>
      </w:pPr>
      <w:bookmarkStart w:id="58" w:name="_Toc15396628"/>
      <w:r>
        <w:rPr>
          <w:rStyle w:val="28"/>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般公共预算财政拨款“三公”经费支出决算表</w:t>
      </w:r>
      <w:bookmarkEnd w:id="58"/>
    </w:p>
    <w:p>
      <w:pPr>
        <w:pStyle w:val="4"/>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auto"/>
          <w:highlight w:val="none"/>
        </w:rPr>
      </w:pPr>
      <w:bookmarkStart w:id="59" w:name="_Toc15396629"/>
      <w:r>
        <w:rPr>
          <w:rStyle w:val="28"/>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8"/>
          <w:rFonts w:hint="eastAsia" w:ascii="仿宋" w:hAnsi="仿宋" w:eastAsia="仿宋"/>
          <w:b w:val="0"/>
          <w:bCs w:val="0"/>
          <w:color w:val="auto"/>
          <w:highlight w:val="none"/>
        </w:rPr>
        <w:t>府性基金预算财政拨款收入支出决算表</w:t>
      </w:r>
      <w:bookmarkEnd w:id="59"/>
    </w:p>
    <w:p>
      <w:pPr>
        <w:pStyle w:val="4"/>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auto"/>
          <w:highlight w:val="none"/>
        </w:rPr>
      </w:pPr>
      <w:bookmarkStart w:id="60" w:name="_Toc15396630"/>
      <w:r>
        <w:rPr>
          <w:rStyle w:val="28"/>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8"/>
          <w:rFonts w:hint="eastAsia" w:ascii="仿宋" w:hAnsi="仿宋" w:eastAsia="仿宋"/>
          <w:b w:val="0"/>
          <w:bCs w:val="0"/>
          <w:color w:val="auto"/>
          <w:highlight w:val="none"/>
        </w:rPr>
        <w:t>府性基金预算财政拨款“三公”经费支出决算表</w:t>
      </w:r>
      <w:bookmarkEnd w:id="60"/>
    </w:p>
    <w:p>
      <w:pPr>
        <w:pStyle w:val="4"/>
        <w:pageBreakBefore w:val="0"/>
        <w:widowControl w:val="0"/>
        <w:kinsoku/>
        <w:wordWrap/>
        <w:overflowPunct/>
        <w:topLinePunct w:val="0"/>
        <w:autoSpaceDE/>
        <w:autoSpaceDN/>
        <w:bidi w:val="0"/>
        <w:adjustRightInd/>
        <w:snapToGrid/>
        <w:spacing w:line="560" w:lineRule="exact"/>
        <w:textAlignment w:val="auto"/>
        <w:rPr>
          <w:rStyle w:val="28"/>
          <w:rFonts w:hint="eastAsia" w:ascii="仿宋" w:hAnsi="仿宋" w:eastAsia="仿宋"/>
          <w:b w:val="0"/>
          <w:bCs w:val="0"/>
          <w:color w:val="auto"/>
          <w:highlight w:val="none"/>
        </w:rPr>
      </w:pPr>
      <w:bookmarkStart w:id="61" w:name="_Toc15396631"/>
      <w:r>
        <w:rPr>
          <w:rStyle w:val="28"/>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8"/>
          <w:rFonts w:hint="eastAsia" w:ascii="仿宋" w:hAnsi="仿宋" w:eastAsia="仿宋"/>
          <w:b w:val="0"/>
          <w:bCs w:val="0"/>
          <w:color w:val="auto"/>
          <w:highlight w:val="none"/>
        </w:rPr>
        <w:t>有资本经营预算</w:t>
      </w:r>
      <w:r>
        <w:rPr>
          <w:rStyle w:val="28"/>
          <w:rFonts w:hint="eastAsia" w:ascii="仿宋" w:hAnsi="仿宋" w:eastAsia="仿宋"/>
          <w:b w:val="0"/>
          <w:bCs w:val="0"/>
          <w:color w:val="auto"/>
          <w:highlight w:val="none"/>
          <w:lang w:eastAsia="zh-CN"/>
        </w:rPr>
        <w:t>财政拨款收入</w:t>
      </w:r>
      <w:r>
        <w:rPr>
          <w:rStyle w:val="28"/>
          <w:rFonts w:hint="eastAsia" w:ascii="仿宋" w:hAnsi="仿宋" w:eastAsia="仿宋"/>
          <w:b w:val="0"/>
          <w:bCs w:val="0"/>
          <w:color w:val="auto"/>
          <w:highlight w:val="none"/>
        </w:rPr>
        <w:t>支出决算表</w:t>
      </w:r>
      <w:bookmarkEnd w:id="61"/>
    </w:p>
    <w:p>
      <w:pPr>
        <w:pageBreakBefore w:val="0"/>
        <w:widowControl w:val="0"/>
        <w:kinsoku/>
        <w:wordWrap/>
        <w:overflowPunct/>
        <w:topLinePunct w:val="0"/>
        <w:autoSpaceDE/>
        <w:autoSpaceDN/>
        <w:bidi w:val="0"/>
        <w:adjustRightInd/>
        <w:snapToGrid/>
        <w:spacing w:line="560" w:lineRule="exact"/>
        <w:textAlignment w:val="auto"/>
        <w:rPr>
          <w:rFonts w:hint="eastAsia" w:eastAsia="仿宋"/>
          <w:color w:val="auto"/>
          <w:highlight w:val="none"/>
          <w:lang w:eastAsia="zh-CN"/>
        </w:rPr>
      </w:pPr>
      <w:r>
        <w:rPr>
          <w:rStyle w:val="28"/>
          <w:rFonts w:hint="eastAsia" w:ascii="仿宋" w:hAnsi="仿宋" w:eastAsia="仿宋"/>
          <w:b w:val="0"/>
          <w:bCs w:val="0"/>
          <w:color w:val="auto"/>
          <w:highlight w:val="none"/>
          <w:lang w:eastAsia="zh-CN"/>
        </w:rPr>
        <w:t>十四、国有资本经营预算财政拨款支出决算表</w:t>
      </w:r>
    </w:p>
    <w:sectPr>
      <w:footerReference r:id="rId8" w:type="first"/>
      <w:footerReference r:id="rId7"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54BE9F4"/>
    <w:multiLevelType w:val="singleLevel"/>
    <w:tmpl w:val="D54BE9F4"/>
    <w:lvl w:ilvl="0" w:tentative="0">
      <w:start w:val="2"/>
      <w:numFmt w:val="decimal"/>
      <w:suff w:val="nothing"/>
      <w:lvlText w:val="%1．"/>
      <w:lvlJc w:val="left"/>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EB800425"/>
    <w:multiLevelType w:val="singleLevel"/>
    <w:tmpl w:val="EB800425"/>
    <w:lvl w:ilvl="0" w:tentative="0">
      <w:start w:val="1"/>
      <w:numFmt w:val="decimal"/>
      <w:lvlText w:val="%1."/>
      <w:lvlJc w:val="left"/>
      <w:pPr>
        <w:tabs>
          <w:tab w:val="left" w:pos="312"/>
        </w:tabs>
      </w:p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352B60BD"/>
    <w:multiLevelType w:val="singleLevel"/>
    <w:tmpl w:val="352B60BD"/>
    <w:lvl w:ilvl="0" w:tentative="0">
      <w:start w:val="1"/>
      <w:numFmt w:val="decimal"/>
      <w:lvlText w:val="%1."/>
      <w:lvlJc w:val="left"/>
      <w:pPr>
        <w:tabs>
          <w:tab w:val="left" w:pos="312"/>
        </w:tabs>
      </w:pPr>
    </w:lvl>
  </w:abstractNum>
  <w:abstractNum w:abstractNumId="6">
    <w:nsid w:val="59271687"/>
    <w:multiLevelType w:val="singleLevel"/>
    <w:tmpl w:val="59271687"/>
    <w:lvl w:ilvl="0" w:tentative="0">
      <w:start w:val="3"/>
      <w:numFmt w:val="decimal"/>
      <w:suff w:val="nothing"/>
      <w:lvlText w:val="%1．"/>
      <w:lvlJc w:val="left"/>
    </w:lvl>
  </w:abstractNum>
  <w:abstractNum w:abstractNumId="7">
    <w:nsid w:val="63D8710B"/>
    <w:multiLevelType w:val="singleLevel"/>
    <w:tmpl w:val="63D8710B"/>
    <w:lvl w:ilvl="0" w:tentative="0">
      <w:start w:val="2"/>
      <w:numFmt w:val="chineseCounting"/>
      <w:suff w:val="nothing"/>
      <w:lvlText w:val="（%1）"/>
      <w:lvlJc w:val="left"/>
      <w:rPr>
        <w:rFonts w:hint="eastAsia"/>
      </w:rPr>
    </w:lvl>
  </w:abstractNum>
  <w:num w:numId="1">
    <w:abstractNumId w:val="4"/>
  </w:num>
  <w:num w:numId="2">
    <w:abstractNumId w:val="0"/>
  </w:num>
  <w:num w:numId="3">
    <w:abstractNumId w:val="2"/>
  </w:num>
  <w:num w:numId="4">
    <w:abstractNumId w:val="1"/>
  </w:num>
  <w:num w:numId="5">
    <w:abstractNumId w:val="6"/>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hMDJjOGQ5MGZlMzU5ZThlYTEyNGRkNTQyOTg4Mj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06D1"/>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671A"/>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86C64"/>
    <w:rsid w:val="013D5C9E"/>
    <w:rsid w:val="02D2294B"/>
    <w:rsid w:val="030D7ED2"/>
    <w:rsid w:val="04257844"/>
    <w:rsid w:val="0A2032A3"/>
    <w:rsid w:val="0A5C680F"/>
    <w:rsid w:val="0B821067"/>
    <w:rsid w:val="0B8A37D8"/>
    <w:rsid w:val="0BF56037"/>
    <w:rsid w:val="0C3E3CF3"/>
    <w:rsid w:val="0DC06511"/>
    <w:rsid w:val="0DF5231E"/>
    <w:rsid w:val="0E41633E"/>
    <w:rsid w:val="0E5E6115"/>
    <w:rsid w:val="10C055FF"/>
    <w:rsid w:val="110E7012"/>
    <w:rsid w:val="118107EC"/>
    <w:rsid w:val="11DD6519"/>
    <w:rsid w:val="120478A1"/>
    <w:rsid w:val="12EA420E"/>
    <w:rsid w:val="136F5D25"/>
    <w:rsid w:val="146D5C20"/>
    <w:rsid w:val="156979A9"/>
    <w:rsid w:val="16AB3EC2"/>
    <w:rsid w:val="16BB723D"/>
    <w:rsid w:val="18015F3F"/>
    <w:rsid w:val="18F171D0"/>
    <w:rsid w:val="19CB3103"/>
    <w:rsid w:val="1A6C342A"/>
    <w:rsid w:val="1B23583A"/>
    <w:rsid w:val="1BE8440E"/>
    <w:rsid w:val="1C0227D6"/>
    <w:rsid w:val="1C391ECC"/>
    <w:rsid w:val="1C5E17F0"/>
    <w:rsid w:val="1D155CEE"/>
    <w:rsid w:val="1D5523BA"/>
    <w:rsid w:val="1D6D125D"/>
    <w:rsid w:val="1E6C3F37"/>
    <w:rsid w:val="20CC567E"/>
    <w:rsid w:val="20F57F95"/>
    <w:rsid w:val="21600BCC"/>
    <w:rsid w:val="2224589E"/>
    <w:rsid w:val="240371BF"/>
    <w:rsid w:val="25BC0CF5"/>
    <w:rsid w:val="25C741E6"/>
    <w:rsid w:val="25E307B6"/>
    <w:rsid w:val="27842671"/>
    <w:rsid w:val="27C9064C"/>
    <w:rsid w:val="27CD2278"/>
    <w:rsid w:val="28072F22"/>
    <w:rsid w:val="29FD04D3"/>
    <w:rsid w:val="2ABE7A3E"/>
    <w:rsid w:val="2AD9212B"/>
    <w:rsid w:val="2ADF5628"/>
    <w:rsid w:val="2CBD1BCC"/>
    <w:rsid w:val="2DAA4A7C"/>
    <w:rsid w:val="2DE7182C"/>
    <w:rsid w:val="2E505623"/>
    <w:rsid w:val="2EFA178C"/>
    <w:rsid w:val="2FA964D4"/>
    <w:rsid w:val="30170F7D"/>
    <w:rsid w:val="30B46D73"/>
    <w:rsid w:val="30FA25FC"/>
    <w:rsid w:val="312B5ED3"/>
    <w:rsid w:val="319F7F4E"/>
    <w:rsid w:val="32495E16"/>
    <w:rsid w:val="32A22B7F"/>
    <w:rsid w:val="35CF1D31"/>
    <w:rsid w:val="367333D8"/>
    <w:rsid w:val="3747231F"/>
    <w:rsid w:val="3768607A"/>
    <w:rsid w:val="38E627E6"/>
    <w:rsid w:val="38FA68B7"/>
    <w:rsid w:val="39AE70AB"/>
    <w:rsid w:val="3A0E0140"/>
    <w:rsid w:val="3A583AA0"/>
    <w:rsid w:val="3C0C0783"/>
    <w:rsid w:val="3C3E2F5F"/>
    <w:rsid w:val="3DCC3B32"/>
    <w:rsid w:val="3EDC6ACB"/>
    <w:rsid w:val="3F3325F5"/>
    <w:rsid w:val="3F3E5024"/>
    <w:rsid w:val="3F795B0E"/>
    <w:rsid w:val="3F9F3A96"/>
    <w:rsid w:val="40350D30"/>
    <w:rsid w:val="40D82ED1"/>
    <w:rsid w:val="423F358D"/>
    <w:rsid w:val="42D77022"/>
    <w:rsid w:val="43B81849"/>
    <w:rsid w:val="4547535B"/>
    <w:rsid w:val="45693255"/>
    <w:rsid w:val="45793884"/>
    <w:rsid w:val="46F648FA"/>
    <w:rsid w:val="470902D0"/>
    <w:rsid w:val="476A10AC"/>
    <w:rsid w:val="477E657B"/>
    <w:rsid w:val="48655D5B"/>
    <w:rsid w:val="487C65D8"/>
    <w:rsid w:val="48C00647"/>
    <w:rsid w:val="493C27E9"/>
    <w:rsid w:val="496F39ED"/>
    <w:rsid w:val="49FF41D3"/>
    <w:rsid w:val="4A185DC8"/>
    <w:rsid w:val="4B162DF6"/>
    <w:rsid w:val="4BE068DB"/>
    <w:rsid w:val="4BF6002B"/>
    <w:rsid w:val="4C697BB1"/>
    <w:rsid w:val="4C78362F"/>
    <w:rsid w:val="4ECE2238"/>
    <w:rsid w:val="507E6855"/>
    <w:rsid w:val="51391DDA"/>
    <w:rsid w:val="51DB4B86"/>
    <w:rsid w:val="51E666D2"/>
    <w:rsid w:val="53F94FED"/>
    <w:rsid w:val="551E6F6A"/>
    <w:rsid w:val="55333C3E"/>
    <w:rsid w:val="556919D2"/>
    <w:rsid w:val="567B6B37"/>
    <w:rsid w:val="578B3481"/>
    <w:rsid w:val="58472E98"/>
    <w:rsid w:val="5A314B18"/>
    <w:rsid w:val="5C9A1F15"/>
    <w:rsid w:val="5D2918A9"/>
    <w:rsid w:val="5D3B5E2A"/>
    <w:rsid w:val="5D5C397C"/>
    <w:rsid w:val="5DA90C92"/>
    <w:rsid w:val="5F930CBD"/>
    <w:rsid w:val="61E75EF5"/>
    <w:rsid w:val="621B2F88"/>
    <w:rsid w:val="62B55B1C"/>
    <w:rsid w:val="636447A9"/>
    <w:rsid w:val="644826BE"/>
    <w:rsid w:val="64CA39A1"/>
    <w:rsid w:val="65206A3B"/>
    <w:rsid w:val="6530528B"/>
    <w:rsid w:val="65AC55F5"/>
    <w:rsid w:val="66AD290B"/>
    <w:rsid w:val="66CA5630"/>
    <w:rsid w:val="682E35D8"/>
    <w:rsid w:val="6A47109C"/>
    <w:rsid w:val="6BA936A1"/>
    <w:rsid w:val="6C4A05C8"/>
    <w:rsid w:val="6D176D30"/>
    <w:rsid w:val="6D967C55"/>
    <w:rsid w:val="6DB36A59"/>
    <w:rsid w:val="6DBA27CE"/>
    <w:rsid w:val="6E4823F4"/>
    <w:rsid w:val="6E89472D"/>
    <w:rsid w:val="700A492A"/>
    <w:rsid w:val="72113D47"/>
    <w:rsid w:val="72734D90"/>
    <w:rsid w:val="72B312A9"/>
    <w:rsid w:val="73905147"/>
    <w:rsid w:val="74B035A9"/>
    <w:rsid w:val="75810501"/>
    <w:rsid w:val="75B82733"/>
    <w:rsid w:val="75EE7637"/>
    <w:rsid w:val="772E7150"/>
    <w:rsid w:val="77B70207"/>
    <w:rsid w:val="78224434"/>
    <w:rsid w:val="78AB13CA"/>
    <w:rsid w:val="7914164D"/>
    <w:rsid w:val="796706F8"/>
    <w:rsid w:val="796B643A"/>
    <w:rsid w:val="79E7B28D"/>
    <w:rsid w:val="7A812132"/>
    <w:rsid w:val="7BDE7397"/>
    <w:rsid w:val="7C775BAB"/>
    <w:rsid w:val="7DC50AE8"/>
    <w:rsid w:val="7F625BE9"/>
    <w:rsid w:val="7F9F20EE"/>
    <w:rsid w:val="7FDB4C8B"/>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beforeLines="30"/>
    </w:pPr>
    <w:rPr>
      <w:rFonts w:ascii="仿宋_GB2312" w:eastAsia="仿宋_GB2312"/>
      <w:kern w:val="0"/>
      <w:sz w:val="30"/>
    </w:rPr>
  </w:style>
  <w:style w:type="paragraph" w:styleId="6">
    <w:name w:val="Body Text Indent"/>
    <w:basedOn w:val="1"/>
    <w:qFormat/>
    <w:uiPriority w:val="99"/>
    <w:pPr>
      <w:spacing w:after="120"/>
      <w:ind w:left="420" w:leftChars="200"/>
    </w:p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qFormat/>
    <w:uiPriority w:val="99"/>
    <w:pPr>
      <w:ind w:firstLine="420" w:firstLineChars="200"/>
    </w:pPr>
    <w:rPr>
      <w:kern w:val="0"/>
      <w:sz w:val="20"/>
      <w:szCs w:val="22"/>
    </w:rPr>
  </w:style>
  <w:style w:type="character" w:styleId="16">
    <w:name w:val="Strong"/>
    <w:basedOn w:val="15"/>
    <w:qFormat/>
    <w:uiPriority w:val="99"/>
    <w:rPr>
      <w:b/>
    </w:rPr>
  </w:style>
  <w:style w:type="character" w:styleId="17">
    <w:name w:val="page number"/>
    <w:basedOn w:val="15"/>
    <w:qFormat/>
    <w:uiPriority w:val="0"/>
  </w:style>
  <w:style w:type="character" w:styleId="18">
    <w:name w:val="Hyperlink"/>
    <w:basedOn w:val="15"/>
    <w:unhideWhenUsed/>
    <w:qFormat/>
    <w:uiPriority w:val="99"/>
    <w:rPr>
      <w:color w:val="0000FF" w:themeColor="hyperlink"/>
      <w:u w:val="single"/>
      <w14:textFill>
        <w14:solidFill>
          <w14:schemeClr w14:val="hlink"/>
        </w14:solidFill>
      </w14:textFill>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Char"/>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Char"/>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Char"/>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5"/>
    <w:link w:val="3"/>
    <w:qFormat/>
    <w:uiPriority w:val="9"/>
    <w:rPr>
      <w:rFonts w:ascii="Times New Roman" w:hAnsi="Times New Roman"/>
      <w:b/>
      <w:bCs/>
      <w:kern w:val="44"/>
      <w:sz w:val="44"/>
      <w:szCs w:val="44"/>
    </w:rPr>
  </w:style>
  <w:style w:type="character" w:customStyle="1" w:styleId="28">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5"/>
    <w:link w:val="8"/>
    <w:semiHidden/>
    <w:qFormat/>
    <w:uiPriority w:val="99"/>
    <w:rPr>
      <w:rFonts w:ascii="Times New Roman" w:hAnsi="Times New Roman"/>
      <w:kern w:val="2"/>
      <w:sz w:val="18"/>
      <w:szCs w:val="18"/>
    </w:rPr>
  </w:style>
  <w:style w:type="character" w:customStyle="1" w:styleId="31">
    <w:name w:val="标题 3 Char"/>
    <w:basedOn w:val="15"/>
    <w:link w:val="5"/>
    <w:qFormat/>
    <w:uiPriority w:val="9"/>
    <w:rPr>
      <w:rFonts w:ascii="Times New Roman" w:hAnsi="Times New Roman"/>
      <w:b/>
      <w:bCs/>
      <w:kern w:val="2"/>
      <w:sz w:val="32"/>
      <w:szCs w:val="32"/>
    </w:rPr>
  </w:style>
  <w:style w:type="paragraph" w:customStyle="1" w:styleId="32">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baseline="0">
                <a:solidFill>
                  <a:schemeClr val="tx1"/>
                </a:solidFill>
                <a:latin typeface="+mn-lt"/>
                <a:ea typeface="+mn-ea"/>
                <a:cs typeface="+mn-cs"/>
              </a:defRPr>
            </a:pPr>
            <a:r>
              <a:rPr>
                <a:solidFill>
                  <a:schemeClr val="tx1"/>
                </a:solidFill>
              </a:rPr>
              <a:t>收、支决算总计变动情况图</a:t>
            </a:r>
            <a:endParaRPr>
              <a:solidFill>
                <a:schemeClr val="tx1"/>
              </a:solidFill>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2020年（万元）</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Sheet1!$A$2:$A$3</c:f>
              <c:strCache>
                <c:ptCount val="2"/>
                <c:pt idx="0">
                  <c:v>2020年</c:v>
                </c:pt>
                <c:pt idx="1">
                  <c:v>2021年</c:v>
                </c:pt>
              </c:strCache>
            </c:strRef>
          </c:cat>
          <c:val>
            <c:numRef>
              <c:f>Sheet1!$B$2:$B$3</c:f>
              <c:numCache>
                <c:formatCode>General</c:formatCode>
                <c:ptCount val="2"/>
                <c:pt idx="0">
                  <c:v>0</c:v>
                </c:pt>
                <c:pt idx="1">
                  <c:v>0</c:v>
                </c:pt>
              </c:numCache>
            </c:numRef>
          </c:val>
        </c:ser>
        <c:ser>
          <c:idx val="1"/>
          <c:order val="1"/>
          <c:tx>
            <c:strRef>
              <c:f>Sheet1!$C$1</c:f>
              <c:strCache>
                <c:ptCount val="1"/>
                <c:pt idx="0">
                  <c:v>2021年（万元）</c:v>
                </c:pt>
              </c:strCache>
            </c:strRef>
          </c:tx>
          <c:spPr>
            <a:solidFill>
              <a:schemeClr val="accent2"/>
            </a:solidFill>
            <a:ln>
              <a:noFill/>
            </a:ln>
            <a:effectLst>
              <a:outerShdw blurRad="40000" dist="23000" dir="5400000" rotWithShape="0">
                <a:srgbClr val="000000">
                  <a:alpha val="35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Sheet1!$A$2:$A$3</c:f>
              <c:strCache>
                <c:ptCount val="2"/>
                <c:pt idx="0">
                  <c:v>2020年</c:v>
                </c:pt>
                <c:pt idx="1">
                  <c:v>2021年</c:v>
                </c:pt>
              </c:strCache>
            </c:strRef>
          </c:cat>
          <c:val>
            <c:numRef>
              <c:f>Sheet1!$C$2:$C$3</c:f>
              <c:numCache>
                <c:formatCode>General</c:formatCode>
                <c:ptCount val="2"/>
                <c:pt idx="0">
                  <c:v>0</c:v>
                </c:pt>
                <c:pt idx="1">
                  <c:v>343.92</c:v>
                </c:pt>
              </c:numCache>
            </c:numRef>
          </c:val>
        </c:ser>
        <c:ser>
          <c:idx val="2"/>
          <c:order val="2"/>
          <c:tx>
            <c:strRef>
              <c:f>Sheet1!#REF!</c:f>
              <c:strCache>
                <c:ptCount val="1"/>
                <c:pt idx="0">
                  <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Sheet1!$A$2:$A$3</c:f>
              <c:strCache>
                <c:ptCount val="2"/>
                <c:pt idx="0">
                  <c:v>2020年</c:v>
                </c:pt>
                <c:pt idx="1">
                  <c:v>2021年</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100"/>
        <c:overlap val="-24"/>
        <c:axId val="424208556"/>
        <c:axId val="47296063"/>
      </c:barChart>
      <c:catAx>
        <c:axId val="424208556"/>
        <c:scaling>
          <c:orientation val="minMax"/>
        </c:scaling>
        <c:delete val="0"/>
        <c:axPos val="b"/>
        <c:majorTickMark val="none"/>
        <c:minorTickMark val="none"/>
        <c:tickLblPos val="nextTo"/>
        <c:spPr>
          <a:noFill/>
          <a:ln w="9525" cap="flat" cmpd="sng" algn="ctr">
            <a:solidFill>
              <a:schemeClr val="tx2">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crossAx val="47296063"/>
        <c:crosses val="autoZero"/>
        <c:auto val="1"/>
        <c:lblAlgn val="ctr"/>
        <c:lblOffset val="100"/>
        <c:noMultiLvlLbl val="0"/>
      </c:catAx>
      <c:valAx>
        <c:axId val="47296063"/>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crossAx val="424208556"/>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solidFill>
                <a:latin typeface="+mn-lt"/>
                <a:ea typeface="+mn-ea"/>
                <a:cs typeface="+mn-cs"/>
              </a:defRPr>
            </a:pPr>
            <a:r>
              <a:rPr sz="1400" b="0">
                <a:solidFill>
                  <a:schemeClr val="tx1"/>
                </a:solidFill>
              </a:rPr>
              <a:t>收入决算结构图</a:t>
            </a:r>
            <a:endParaRPr sz="1400" b="0">
              <a:solidFill>
                <a:schemeClr val="tx1"/>
              </a:solidFill>
            </a:endParaRP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tx1"/>
                    </a:solidFill>
                    <a:latin typeface="+mn-lt"/>
                    <a:ea typeface="+mn-ea"/>
                    <a:cs typeface="+mn-cs"/>
                  </a:defRPr>
                </a:pPr>
              </a:p>
            </c:txPr>
            <c:dLblPos val="ct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一般公共预算财政拨款收入（万元）</c:v>
                </c:pt>
                <c:pt idx="1">
                  <c:v>其他收入（万元）</c:v>
                </c:pt>
              </c:strCache>
            </c:strRef>
          </c:cat>
          <c:val>
            <c:numRef>
              <c:f>Sheet1!$B$2:$B$3</c:f>
              <c:numCache>
                <c:formatCode>General</c:formatCode>
                <c:ptCount val="2"/>
                <c:pt idx="0">
                  <c:v>337.12</c:v>
                </c:pt>
                <c:pt idx="1">
                  <c:v>6.17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noFill/>
    <a:ln w="9525" cap="flat" cmpd="sng" algn="ctr">
      <a:solidFill>
        <a:schemeClr val="tx1"/>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dLbl>
              <c:idx val="1"/>
              <c:layout>
                <c:manualLayout>
                  <c:x val="0.0736422529588416"/>
                  <c:y val="0.169357092190891"/>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tx1"/>
                    </a:solidFill>
                    <a:latin typeface="+mn-lt"/>
                    <a:ea typeface="+mn-ea"/>
                    <a:cs typeface="+mn-cs"/>
                  </a:defRPr>
                </a:pPr>
              </a:p>
            </c:txPr>
            <c:dLblPos val="ct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基本支出（万元）</c:v>
                </c:pt>
                <c:pt idx="1">
                  <c:v>项目支出（万元）</c:v>
                </c:pt>
              </c:strCache>
            </c:strRef>
          </c:cat>
          <c:val>
            <c:numRef>
              <c:f>Sheet1!$B$2:$B$3</c:f>
              <c:numCache>
                <c:formatCode>General</c:formatCode>
                <c:ptCount val="2"/>
                <c:pt idx="0">
                  <c:v>158.34</c:v>
                </c:pt>
                <c:pt idx="1">
                  <c:v>35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noFill/>
    <a:ln w="9525" cap="flat" cmpd="sng" algn="ctr">
      <a:solidFill>
        <a:schemeClr val="tx1"/>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baseline="0">
                <a:solidFill>
                  <a:schemeClr val="tx1"/>
                </a:solidFill>
                <a:latin typeface="+mn-lt"/>
                <a:ea typeface="+mn-ea"/>
                <a:cs typeface="+mn-cs"/>
              </a:defRPr>
            </a:pPr>
            <a:r>
              <a:rPr>
                <a:solidFill>
                  <a:schemeClr val="tx1"/>
                </a:solidFill>
              </a:rPr>
              <a:t>财政拨款收、支决算总计变动情况</a:t>
            </a:r>
            <a:endParaRPr>
              <a:solidFill>
                <a:schemeClr val="tx1"/>
              </a:solidFill>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2020年（万元）</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Sheet1!$A$2:$A$3</c:f>
              <c:strCache>
                <c:ptCount val="2"/>
                <c:pt idx="0">
                  <c:v>2020年</c:v>
                </c:pt>
                <c:pt idx="1">
                  <c:v>2021年</c:v>
                </c:pt>
              </c:strCache>
            </c:strRef>
          </c:cat>
          <c:val>
            <c:numRef>
              <c:f>Sheet1!$B$2:$B$3</c:f>
              <c:numCache>
                <c:formatCode>General</c:formatCode>
                <c:ptCount val="2"/>
                <c:pt idx="0">
                  <c:v>0</c:v>
                </c:pt>
                <c:pt idx="1">
                  <c:v>0</c:v>
                </c:pt>
              </c:numCache>
            </c:numRef>
          </c:val>
        </c:ser>
        <c:ser>
          <c:idx val="1"/>
          <c:order val="1"/>
          <c:tx>
            <c:strRef>
              <c:f>Sheet1!$C$1</c:f>
              <c:strCache>
                <c:ptCount val="1"/>
                <c:pt idx="0">
                  <c:v>2021年（万元）</c:v>
                </c:pt>
              </c:strCache>
            </c:strRef>
          </c:tx>
          <c:spPr>
            <a:solidFill>
              <a:schemeClr val="accent2"/>
            </a:solidFill>
            <a:ln>
              <a:noFill/>
            </a:ln>
            <a:effectLst>
              <a:outerShdw blurRad="40000" dist="23000" dir="5400000" rotWithShape="0">
                <a:srgbClr val="000000">
                  <a:alpha val="35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Sheet1!$A$2:$A$3</c:f>
              <c:strCache>
                <c:ptCount val="2"/>
                <c:pt idx="0">
                  <c:v>2020年</c:v>
                </c:pt>
                <c:pt idx="1">
                  <c:v>2021年</c:v>
                </c:pt>
              </c:strCache>
            </c:strRef>
          </c:cat>
          <c:val>
            <c:numRef>
              <c:f>Sheet1!$C$2:$C$3</c:f>
              <c:numCache>
                <c:formatCode>General</c:formatCode>
                <c:ptCount val="2"/>
                <c:pt idx="0">
                  <c:v>0</c:v>
                </c:pt>
                <c:pt idx="1">
                  <c:v>337.12</c:v>
                </c:pt>
              </c:numCache>
            </c:numRef>
          </c:val>
        </c:ser>
        <c:ser>
          <c:idx val="2"/>
          <c:order val="2"/>
          <c:tx>
            <c:strRef>
              <c:f>Sheet1!#REF!</c:f>
              <c:strCache>
                <c:ptCount val="1"/>
                <c:pt idx="0">
                  <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Sheet1!$A$2:$A$3</c:f>
              <c:strCache>
                <c:ptCount val="2"/>
                <c:pt idx="0">
                  <c:v>2020年</c:v>
                </c:pt>
                <c:pt idx="1">
                  <c:v>2021年</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100"/>
        <c:overlap val="-24"/>
        <c:axId val="424208556"/>
        <c:axId val="47296063"/>
      </c:barChart>
      <c:catAx>
        <c:axId val="424208556"/>
        <c:scaling>
          <c:orientation val="minMax"/>
        </c:scaling>
        <c:delete val="0"/>
        <c:axPos val="b"/>
        <c:majorTickMark val="none"/>
        <c:minorTickMark val="none"/>
        <c:tickLblPos val="nextTo"/>
        <c:spPr>
          <a:noFill/>
          <a:ln w="9525" cap="flat" cmpd="sng" algn="ctr">
            <a:solidFill>
              <a:schemeClr val="tx2">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crossAx val="47296063"/>
        <c:crosses val="autoZero"/>
        <c:auto val="1"/>
        <c:lblAlgn val="ctr"/>
        <c:lblOffset val="100"/>
        <c:noMultiLvlLbl val="0"/>
      </c:catAx>
      <c:valAx>
        <c:axId val="47296063"/>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crossAx val="424208556"/>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baseline="0">
                <a:solidFill>
                  <a:schemeClr val="tx1"/>
                </a:solidFill>
                <a:latin typeface="+mn-lt"/>
                <a:ea typeface="+mn-ea"/>
                <a:cs typeface="+mn-cs"/>
              </a:defRPr>
            </a:pPr>
            <a:r>
              <a:rPr>
                <a:solidFill>
                  <a:schemeClr val="tx1"/>
                </a:solidFill>
              </a:rPr>
              <a:t>一般公共预算财政拨款支出决算变动情况</a:t>
            </a:r>
            <a:endParaRPr>
              <a:solidFill>
                <a:schemeClr val="tx1"/>
              </a:solidFill>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2020年（万元）</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Sheet1!$A$2:$A$3</c:f>
              <c:strCache>
                <c:ptCount val="2"/>
                <c:pt idx="0">
                  <c:v>2020年</c:v>
                </c:pt>
                <c:pt idx="1">
                  <c:v>2021年</c:v>
                </c:pt>
              </c:strCache>
            </c:strRef>
          </c:cat>
          <c:val>
            <c:numRef>
              <c:f>Sheet1!$B$2:$B$3</c:f>
              <c:numCache>
                <c:formatCode>General</c:formatCode>
                <c:ptCount val="2"/>
                <c:pt idx="0">
                  <c:v>0</c:v>
                </c:pt>
                <c:pt idx="1">
                  <c:v>0</c:v>
                </c:pt>
              </c:numCache>
            </c:numRef>
          </c:val>
        </c:ser>
        <c:ser>
          <c:idx val="1"/>
          <c:order val="1"/>
          <c:tx>
            <c:strRef>
              <c:f>Sheet1!$C$1</c:f>
              <c:strCache>
                <c:ptCount val="1"/>
                <c:pt idx="0">
                  <c:v>2021年（万元）</c:v>
                </c:pt>
              </c:strCache>
            </c:strRef>
          </c:tx>
          <c:spPr>
            <a:solidFill>
              <a:schemeClr val="accent2"/>
            </a:solidFill>
            <a:ln>
              <a:noFill/>
            </a:ln>
            <a:effectLst>
              <a:outerShdw blurRad="40000" dist="23000" dir="5400000" rotWithShape="0">
                <a:srgbClr val="000000">
                  <a:alpha val="35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Sheet1!$A$2:$A$3</c:f>
              <c:strCache>
                <c:ptCount val="2"/>
                <c:pt idx="0">
                  <c:v>2020年</c:v>
                </c:pt>
                <c:pt idx="1">
                  <c:v>2021年</c:v>
                </c:pt>
              </c:strCache>
            </c:strRef>
          </c:cat>
          <c:val>
            <c:numRef>
              <c:f>Sheet1!$C$2:$C$3</c:f>
              <c:numCache>
                <c:formatCode>General</c:formatCode>
                <c:ptCount val="2"/>
                <c:pt idx="0">
                  <c:v>0</c:v>
                </c:pt>
                <c:pt idx="1">
                  <c:v>193.25</c:v>
                </c:pt>
              </c:numCache>
            </c:numRef>
          </c:val>
        </c:ser>
        <c:ser>
          <c:idx val="2"/>
          <c:order val="2"/>
          <c:tx>
            <c:strRef>
              <c:f>Sheet1!#REF!</c:f>
              <c:strCache>
                <c:ptCount val="1"/>
                <c:pt idx="0">
                  <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Sheet1!$A$2:$A$3</c:f>
              <c:strCache>
                <c:ptCount val="2"/>
                <c:pt idx="0">
                  <c:v>2020年</c:v>
                </c:pt>
                <c:pt idx="1">
                  <c:v>2021年</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100"/>
        <c:overlap val="-24"/>
        <c:axId val="424208556"/>
        <c:axId val="47296063"/>
      </c:barChart>
      <c:catAx>
        <c:axId val="424208556"/>
        <c:scaling>
          <c:orientation val="minMax"/>
        </c:scaling>
        <c:delete val="0"/>
        <c:axPos val="b"/>
        <c:majorTickMark val="none"/>
        <c:minorTickMark val="none"/>
        <c:tickLblPos val="nextTo"/>
        <c:spPr>
          <a:noFill/>
          <a:ln w="9525" cap="flat" cmpd="sng" algn="ctr">
            <a:solidFill>
              <a:schemeClr val="tx2">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crossAx val="47296063"/>
        <c:crosses val="autoZero"/>
        <c:auto val="1"/>
        <c:lblAlgn val="ctr"/>
        <c:lblOffset val="100"/>
        <c:noMultiLvlLbl val="0"/>
      </c:catAx>
      <c:valAx>
        <c:axId val="47296063"/>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crossAx val="424208556"/>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6733409610984"/>
          <c:y val="0.00896057347670251"/>
        </c:manualLayout>
      </c:layout>
      <c:overlay val="0"/>
      <c:spPr>
        <a:noFill/>
        <a:ln>
          <a:noFill/>
        </a:ln>
        <a:effectLst/>
      </c:spPr>
      <c:txPr>
        <a:bodyPr rot="0" spcFirstLastPara="0" vertOverflow="ellipsis" vert="horz" wrap="square" anchor="ctr" anchorCtr="1"/>
        <a:lstStyle/>
        <a:p>
          <a:pPr>
            <a:defRPr lang="zh-CN" sz="1400" b="0"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dLbl>
              <c:idx val="0"/>
              <c:layout>
                <c:manualLayout>
                  <c:x val="0.190703906190376"/>
                  <c:y val="-0.0515021372065704"/>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tx1"/>
                        </a:solidFill>
                        <a:latin typeface="+mn-lt"/>
                        <a:ea typeface="+mn-ea"/>
                        <a:cs typeface="+mn-cs"/>
                      </a:defRPr>
                    </a:pPr>
                    <a:r>
                      <a:t>175.1, 90</a:t>
                    </a:r>
                    <a:r>
                      <a:rPr lang="en-US" altLang="zh-CN"/>
                      <a:t>.6</a:t>
                    </a:r>
                    <a:r>
                      <a:t>%</a:t>
                    </a:r>
                  </a:p>
                </c:rich>
              </c:tx>
              <c:dLblPos val="bestFit"/>
              <c:showLegendKey val="0"/>
              <c:showVal val="1"/>
              <c:showCatName val="0"/>
              <c:showSerName val="0"/>
              <c:showPercent val="1"/>
              <c:showBubbleSize val="0"/>
              <c:extLst>
                <c:ext xmlns:c15="http://schemas.microsoft.com/office/drawing/2012/chart" uri="{CE6537A1-D6FC-4f65-9D91-7224C49458BB}">
                  <c15:layout>
                    <c:manualLayout>
                      <c:w val="0.193077803203661"/>
                      <c:h val="0.0860215053763441"/>
                    </c:manualLayout>
                  </c15:layout>
                </c:ext>
              </c:extLst>
            </c:dLbl>
            <c:dLbl>
              <c:idx val="1"/>
              <c:layout>
                <c:manualLayout>
                  <c:x val="-0.0857118613146741"/>
                  <c:y val="0.00450304874135772"/>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tx1"/>
                        </a:solidFill>
                        <a:latin typeface="+mn-lt"/>
                        <a:ea typeface="+mn-ea"/>
                        <a:cs typeface="+mn-cs"/>
                      </a:defRPr>
                    </a:pPr>
                    <a:r>
                      <a:t>5.19</a:t>
                    </a:r>
                    <a:r>
                      <a:t>, </a:t>
                    </a:r>
                    <a:r>
                      <a:rPr lang="en-US" altLang="zh-CN"/>
                      <a:t>2.7</a:t>
                    </a:r>
                    <a:r>
                      <a:t>%</a:t>
                    </a:r>
                  </a:p>
                </c:rich>
              </c:tx>
              <c:dLblPos val="bestFit"/>
              <c:showLegendKey val="0"/>
              <c:showVal val="1"/>
              <c:showCatName val="0"/>
              <c:showSerName val="0"/>
              <c:showPercent val="1"/>
              <c:showBubbleSize val="0"/>
              <c:extLst>
                <c:ext xmlns:c15="http://schemas.microsoft.com/office/drawing/2012/chart" uri="{CE6537A1-D6FC-4f65-9D91-7224C49458BB}">
                  <c15:layout>
                    <c:manualLayout>
                      <c:w val="0.175629290617849"/>
                      <c:h val="0.163978494623656"/>
                    </c:manualLayout>
                  </c15:layout>
                </c:ext>
              </c:extLst>
            </c:dLbl>
            <c:dLbl>
              <c:idx val="2"/>
              <c:layout>
                <c:manualLayout>
                  <c:x val="0.169464284845356"/>
                  <c:y val="0.0153259799392258"/>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tx1"/>
                        </a:solidFill>
                        <a:latin typeface="+mn-lt"/>
                        <a:ea typeface="+mn-ea"/>
                        <a:cs typeface="+mn-cs"/>
                      </a:defRPr>
                    </a:pPr>
                    <a:r>
                      <a:t>12.96</a:t>
                    </a:r>
                    <a:r>
                      <a:t>, </a:t>
                    </a:r>
                    <a:r>
                      <a:rPr lang="en-US" altLang="zh-CN"/>
                      <a:t>6.7</a:t>
                    </a:r>
                    <a:r>
                      <a:t>%</a:t>
                    </a:r>
                  </a:p>
                </c:rich>
              </c:tx>
              <c:dLblPos val="bestFit"/>
              <c:showLegendKey val="0"/>
              <c:showVal val="1"/>
              <c:showCatName val="0"/>
              <c:showSerName val="0"/>
              <c:showPercent val="1"/>
              <c:showBubbleSize val="0"/>
              <c:extLst>
                <c:ext xmlns:c15="http://schemas.microsoft.com/office/drawing/2012/chart" uri="{CE6537A1-D6FC-4f65-9D91-7224C49458BB}">
                  <c15:layout>
                    <c:manualLayout>
                      <c:w val="0.230692219679634"/>
                      <c:h val="0.0931899641577061"/>
                    </c:manualLayout>
                  </c15:layout>
                </c:ext>
              </c:extLst>
            </c:dLbl>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tx1"/>
                    </a:solidFill>
                    <a:latin typeface="+mn-lt"/>
                    <a:ea typeface="+mn-ea"/>
                    <a:cs typeface="+mn-cs"/>
                  </a:defRPr>
                </a:pPr>
              </a:p>
            </c:txPr>
            <c:dLblPos val="ct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Sheet1!$A$2:$A$4</c:f>
              <c:strCache>
                <c:ptCount val="3"/>
                <c:pt idx="0">
                  <c:v>社会保障就业支出（万元）</c:v>
                </c:pt>
                <c:pt idx="1">
                  <c:v>卫生健康支出（万元）</c:v>
                </c:pt>
                <c:pt idx="2">
                  <c:v>住房保障支出（万元）</c:v>
                </c:pt>
              </c:strCache>
            </c:strRef>
          </c:cat>
          <c:val>
            <c:numRef>
              <c:f>Sheet1!$B$2:$B$4</c:f>
              <c:numCache>
                <c:formatCode>General</c:formatCode>
                <c:ptCount val="3"/>
                <c:pt idx="0">
                  <c:v>175.1</c:v>
                </c:pt>
                <c:pt idx="1">
                  <c:v>5.19</c:v>
                </c:pt>
                <c:pt idx="2">
                  <c:v>12.96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50600686498856"/>
          <c:y val="0.426821983273596"/>
          <c:w val="0.332236842105263"/>
          <c:h val="0.263739545997611"/>
        </c:manualLayout>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noFill/>
    <a:ln w="9525" cap="flat" cmpd="sng" algn="ctr">
      <a:solidFill>
        <a:schemeClr val="tx1"/>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Lbls>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tx1"/>
                    </a:solidFill>
                    <a:latin typeface="+mn-lt"/>
                    <a:ea typeface="+mn-ea"/>
                    <a:cs typeface="+mn-cs"/>
                  </a:defRPr>
                </a:pPr>
              </a:p>
            </c:txPr>
            <c:dLblPos val="ct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numRef>
              <c:f>Sheet1!$A$2</c:f>
              <c:numCache>
                <c:formatCode>General</c:formatCode>
                <c:ptCount val="1"/>
              </c:numCache>
            </c:numRef>
          </c:cat>
          <c:val>
            <c:numRef>
              <c:f>Sheet1!$B$2</c:f>
              <c:numCache>
                <c:formatCode>General</c:formatCode>
                <c:ptCount val="1"/>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noFill/>
    <a:ln w="9525" cap="flat" cmpd="sng" algn="ctr">
      <a:solidFill>
        <a:schemeClr val="tx1"/>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25</Pages>
  <Words>9045</Words>
  <Characters>10320</Characters>
  <Lines>61</Lines>
  <Paragraphs>17</Paragraphs>
  <TotalTime>14</TotalTime>
  <ScaleCrop>false</ScaleCrop>
  <LinksUpToDate>false</LinksUpToDate>
  <CharactersWithSpaces>10465</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菡</cp:lastModifiedBy>
  <cp:lastPrinted>2023-06-28T07:39:00Z</cp:lastPrinted>
  <dcterms:modified xsi:type="dcterms:W3CDTF">2023-09-11T03:49:23Z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92D884BEFD7C43B7BECF8B82DF9E5EF1_13</vt:lpwstr>
  </property>
</Properties>
</file>