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425"/>
      <w:bookmarkStart w:id="3" w:name="_Toc15377193"/>
      <w:bookmarkStart w:id="4" w:name="_Toc15378441"/>
      <w:bookmarkStart w:id="5" w:name="_Toc15396597"/>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7194"/>
      <w:bookmarkStart w:id="8" w:name="_Toc15378442"/>
      <w:bookmarkStart w:id="9" w:name="_Toc15396476"/>
      <w:bookmarkStart w:id="10" w:name="_Toc15396598"/>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自然资源储备交易中心单位决算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公开时间：2022年9月30日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rFonts w:ascii="宋体" w:hAnsi="宋体" w:cs="宋体"/>
          <w:sz w:val="24"/>
        </w:rPr>
      </w:pPr>
      <w:r>
        <w:rPr>
          <w:rFonts w:hint="eastAsia"/>
          <w:sz w:val="24"/>
        </w:rPr>
        <w:t>一、职能简介……………………………………………………………………4</w:t>
      </w:r>
    </w:p>
    <w:p>
      <w:pPr>
        <w:pStyle w:val="11"/>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二、2021年重点工作完成情况…………………………………………………4</w:t>
      </w:r>
    </w:p>
    <w:p>
      <w:pPr>
        <w:pStyle w:val="10"/>
        <w:adjustRightInd w:val="0"/>
        <w:snapToGrid w:val="0"/>
        <w:spacing w:before="0" w:line="440" w:lineRule="exact"/>
        <w:jc w:val="left"/>
        <w:rPr>
          <w:sz w:val="24"/>
          <w:szCs w:val="24"/>
        </w:rPr>
      </w:pPr>
      <w:r>
        <w:rPr>
          <w:rFonts w:hint="eastAsia"/>
          <w:sz w:val="24"/>
        </w:rPr>
        <w:t>第二部分 2021年度单位决算情况说明</w:t>
      </w:r>
    </w:p>
    <w:p>
      <w:pPr>
        <w:pStyle w:val="11"/>
        <w:adjustRightInd w:val="0"/>
        <w:snapToGrid w:val="0"/>
        <w:spacing w:line="440" w:lineRule="exact"/>
        <w:jc w:val="left"/>
        <w:rPr>
          <w:rFonts w:ascii="仿宋" w:hAnsi="仿宋" w:cstheme="minorBidi"/>
          <w:sz w:val="24"/>
        </w:rPr>
      </w:pPr>
      <w:r>
        <w:rPr>
          <w:rFonts w:hint="eastAsia"/>
          <w:sz w:val="24"/>
        </w:rPr>
        <w:t>一、收入支出决算总体情况说明………………………………………………7</w:t>
      </w:r>
    </w:p>
    <w:p>
      <w:pPr>
        <w:pStyle w:val="11"/>
        <w:adjustRightInd w:val="0"/>
        <w:snapToGrid w:val="0"/>
        <w:spacing w:line="440" w:lineRule="exact"/>
        <w:jc w:val="left"/>
        <w:rPr>
          <w:rFonts w:ascii="仿宋" w:hAnsi="仿宋" w:cstheme="minorBidi"/>
          <w:sz w:val="24"/>
        </w:rPr>
      </w:pPr>
      <w:r>
        <w:rPr>
          <w:rFonts w:hint="eastAsia"/>
          <w:sz w:val="24"/>
        </w:rPr>
        <w:t>二、收入决算情况说明…………………………………………………………7</w:t>
      </w:r>
    </w:p>
    <w:p>
      <w:pPr>
        <w:pStyle w:val="11"/>
        <w:adjustRightInd w:val="0"/>
        <w:snapToGrid w:val="0"/>
        <w:spacing w:line="440" w:lineRule="exact"/>
        <w:jc w:val="left"/>
        <w:rPr>
          <w:rFonts w:ascii="仿宋" w:hAnsi="仿宋" w:cstheme="minorBidi"/>
          <w:sz w:val="24"/>
        </w:rPr>
      </w:pPr>
      <w:r>
        <w:rPr>
          <w:rFonts w:hint="eastAsia"/>
          <w:sz w:val="24"/>
        </w:rPr>
        <w:t>三、支出决算情况说明…………………………………………………………8</w:t>
      </w:r>
    </w:p>
    <w:p>
      <w:pPr>
        <w:pStyle w:val="11"/>
        <w:adjustRightInd w:val="0"/>
        <w:snapToGrid w:val="0"/>
        <w:spacing w:line="440" w:lineRule="exact"/>
        <w:jc w:val="left"/>
        <w:rPr>
          <w:rFonts w:ascii="仿宋" w:hAnsi="仿宋" w:cstheme="minorBidi"/>
          <w:sz w:val="24"/>
        </w:rPr>
      </w:pPr>
      <w:r>
        <w:rPr>
          <w:rFonts w:hint="eastAsia"/>
          <w:sz w:val="24"/>
        </w:rPr>
        <w:t>四、财政拨款收入支出决算总体情况说明……………………………………8</w:t>
      </w:r>
    </w:p>
    <w:p>
      <w:pPr>
        <w:pStyle w:val="11"/>
        <w:adjustRightInd w:val="0"/>
        <w:snapToGrid w:val="0"/>
        <w:spacing w:line="440" w:lineRule="exact"/>
        <w:jc w:val="left"/>
        <w:rPr>
          <w:rFonts w:ascii="仿宋" w:hAnsi="仿宋" w:cstheme="minorBidi"/>
          <w:sz w:val="24"/>
        </w:rPr>
      </w:pPr>
      <w:r>
        <w:rPr>
          <w:rFonts w:hint="eastAsia"/>
          <w:sz w:val="24"/>
        </w:rPr>
        <w:t>五、一般公共预算财政拨款支出决算情况说明………………………………9</w:t>
      </w:r>
    </w:p>
    <w:p>
      <w:pPr>
        <w:pStyle w:val="11"/>
        <w:adjustRightInd w:val="0"/>
        <w:snapToGrid w:val="0"/>
        <w:spacing w:line="440" w:lineRule="exact"/>
        <w:jc w:val="left"/>
        <w:rPr>
          <w:rFonts w:ascii="仿宋" w:hAnsi="仿宋" w:cstheme="minorBidi"/>
          <w:sz w:val="24"/>
        </w:rPr>
      </w:pPr>
      <w:r>
        <w:rPr>
          <w:rFonts w:hint="eastAsia"/>
          <w:sz w:val="24"/>
        </w:rPr>
        <w:t>六、一般公共预算财政拨款基本支出决算情况说明…………………………11</w:t>
      </w:r>
    </w:p>
    <w:p>
      <w:pPr>
        <w:pStyle w:val="11"/>
        <w:adjustRightInd w:val="0"/>
        <w:snapToGrid w:val="0"/>
        <w:spacing w:line="440" w:lineRule="exact"/>
        <w:jc w:val="left"/>
        <w:rPr>
          <w:rFonts w:ascii="仿宋" w:hAnsi="仿宋" w:cstheme="minorBidi"/>
          <w:sz w:val="24"/>
        </w:rPr>
      </w:pPr>
      <w:r>
        <w:rPr>
          <w:rFonts w:hint="eastAsia"/>
          <w:sz w:val="24"/>
        </w:rPr>
        <w:t>七、“三公”经费财政拨款支出决算情况说明………………………………11八、政府性基金预算支出决算情况明…………………………………………13</w:t>
      </w:r>
    </w:p>
    <w:p>
      <w:pPr>
        <w:pStyle w:val="11"/>
        <w:tabs>
          <w:tab w:val="left" w:pos="5872"/>
          <w:tab w:val="clear" w:pos="8296"/>
        </w:tabs>
        <w:adjustRightInd w:val="0"/>
        <w:snapToGrid w:val="0"/>
        <w:spacing w:line="440" w:lineRule="exact"/>
        <w:jc w:val="left"/>
        <w:rPr>
          <w:sz w:val="24"/>
        </w:rPr>
      </w:pPr>
      <w:r>
        <w:rPr>
          <w:rFonts w:hint="eastAsia"/>
          <w:sz w:val="24"/>
        </w:rPr>
        <w:t>九、国有资本经营预算支出决算情况说明……………………………………13</w:t>
      </w:r>
    </w:p>
    <w:p>
      <w:pPr>
        <w:pStyle w:val="11"/>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预算绩效管理情况…………………………………………………………13</w:t>
      </w:r>
    </w:p>
    <w:p>
      <w:pPr>
        <w:pStyle w:val="11"/>
        <w:adjustRightInd w:val="0"/>
        <w:snapToGrid w:val="0"/>
        <w:spacing w:line="440" w:lineRule="exact"/>
        <w:jc w:val="left"/>
      </w:pPr>
      <w:r>
        <w:rPr>
          <w:rFonts w:hint="eastAsia"/>
          <w:sz w:val="24"/>
        </w:rPr>
        <w:t>十一、其他重要事项的情况说明………………………………………………13</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名词解释…………………………………………………………………15</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附件………………………………………………………………………18</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附表………………………………………………………………………24</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十、一般公共预算财政拨款“三公”经费支出决算表</w:t>
      </w:r>
    </w:p>
    <w:p>
      <w:pPr>
        <w:pStyle w:val="11"/>
        <w:adjustRightInd w:val="0"/>
        <w:snapToGrid w:val="0"/>
        <w:spacing w:line="440" w:lineRule="exact"/>
        <w:jc w:val="left"/>
        <w:rPr>
          <w:sz w:val="24"/>
        </w:rPr>
      </w:pPr>
      <w:r>
        <w:rPr>
          <w:rFonts w:hint="eastAsia"/>
          <w:sz w:val="24"/>
        </w:rPr>
        <w:t>十一、政府性基金预算财政拨款收入支出决算表</w:t>
      </w:r>
    </w:p>
    <w:p>
      <w:pPr>
        <w:pStyle w:val="11"/>
        <w:adjustRightInd w:val="0"/>
        <w:snapToGrid w:val="0"/>
        <w:spacing w:line="440" w:lineRule="exact"/>
        <w:jc w:val="left"/>
        <w:rPr>
          <w:sz w:val="24"/>
        </w:rPr>
      </w:pPr>
      <w:r>
        <w:rPr>
          <w:rFonts w:hint="eastAsia"/>
          <w:sz w:val="24"/>
        </w:rPr>
        <w:t>十二、政府性基金预算财政拨款“三公”经费支出决算表</w:t>
      </w:r>
    </w:p>
    <w:p>
      <w:pPr>
        <w:pStyle w:val="11"/>
        <w:adjustRightInd w:val="0"/>
        <w:snapToGrid w:val="0"/>
        <w:spacing w:line="440" w:lineRule="exact"/>
        <w:jc w:val="left"/>
        <w:rPr>
          <w:sz w:val="24"/>
        </w:rPr>
      </w:pPr>
      <w:r>
        <w:rPr>
          <w:rFonts w:hint="eastAsia"/>
          <w:sz w:val="24"/>
        </w:rPr>
        <w:t>十三、国有资本经营预算财政拨款收入支出决算表</w:t>
      </w:r>
    </w:p>
    <w:p>
      <w:pPr>
        <w:pStyle w:val="11"/>
        <w:adjustRightInd w:val="0"/>
        <w:snapToGrid w:val="0"/>
        <w:spacing w:line="440" w:lineRule="exact"/>
        <w:jc w:val="left"/>
        <w:rPr>
          <w:sz w:val="24"/>
        </w:rPr>
      </w:pPr>
      <w:r>
        <w:rPr>
          <w:rFonts w:hint="eastAsia"/>
          <w:sz w:val="24"/>
        </w:rPr>
        <w:t>十四、国有资本经营预算财政拨款支出决算表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widowControl/>
        <w:jc w:val="left"/>
        <w:rPr>
          <w:rFonts w:ascii="黑体" w:eastAsia="黑体"/>
          <w:sz w:val="32"/>
          <w:szCs w:val="32"/>
        </w:rPr>
      </w:pPr>
    </w:p>
    <w:p>
      <w:pPr>
        <w:pStyle w:val="2"/>
        <w:spacing w:before="0" w:after="0" w:line="500" w:lineRule="exact"/>
        <w:rPr>
          <w:rFonts w:ascii="黑体" w:hAnsi="黑体" w:eastAsia="黑体" w:cs="黑体"/>
          <w:b w:val="0"/>
          <w:bCs w:val="0"/>
          <w:color w:val="000000"/>
          <w:sz w:val="30"/>
          <w:szCs w:val="30"/>
        </w:rPr>
      </w:pPr>
      <w:bookmarkStart w:id="14" w:name="_Toc15377197"/>
      <w:bookmarkStart w:id="15" w:name="_Toc15396600"/>
      <w:r>
        <w:rPr>
          <w:rFonts w:hint="eastAsia" w:ascii="黑体" w:hAnsi="黑体" w:eastAsia="黑体" w:cs="黑体"/>
          <w:b w:val="0"/>
          <w:bCs w:val="0"/>
          <w:color w:val="000000"/>
          <w:sz w:val="30"/>
          <w:szCs w:val="30"/>
        </w:rPr>
        <w:t>一、职能简介</w:t>
      </w:r>
      <w:bookmarkStart w:id="16" w:name="_Toc15377198"/>
      <w:bookmarkStart w:id="17" w:name="_Toc15378445"/>
    </w:p>
    <w:p>
      <w:pPr>
        <w:pStyle w:val="2"/>
        <w:spacing w:before="0" w:after="0" w:line="500" w:lineRule="exact"/>
        <w:rPr>
          <w:rFonts w:ascii="黑体" w:hAnsi="黑体" w:eastAsia="黑体" w:cs="黑体"/>
          <w:b w:val="0"/>
          <w:bCs w:val="0"/>
          <w:color w:val="000000"/>
          <w:sz w:val="30"/>
          <w:szCs w:val="30"/>
        </w:rPr>
      </w:pPr>
      <w:r>
        <w:rPr>
          <w:rFonts w:hint="eastAsia" w:ascii="黑体" w:hAnsi="黑体" w:eastAsia="黑体" w:cs="黑体"/>
          <w:b w:val="0"/>
          <w:bCs w:val="0"/>
          <w:color w:val="000000"/>
          <w:sz w:val="30"/>
          <w:szCs w:val="30"/>
        </w:rPr>
        <w:t>（一）基本职能</w:t>
      </w:r>
      <w:bookmarkEnd w:id="16"/>
      <w:bookmarkEnd w:id="17"/>
    </w:p>
    <w:p>
      <w:pPr>
        <w:spacing w:line="540" w:lineRule="exact"/>
        <w:ind w:firstLine="640" w:firstLineChars="200"/>
      </w:pPr>
      <w:r>
        <w:rPr>
          <w:rFonts w:hint="eastAsia" w:ascii="仿宋_GB2312" w:eastAsia="仿宋_GB2312"/>
          <w:sz w:val="32"/>
          <w:szCs w:val="32"/>
        </w:rPr>
        <w:t>负责编制市本级土地储备计划并实施；负责储备土地实施前期开发和管护；配合土地储备专项债券发行工作；承担国有建设用地供应事务性工作；负责国有建设用地二级市场相关工作。</w:t>
      </w:r>
    </w:p>
    <w:p>
      <w:pPr>
        <w:rPr>
          <w:rStyle w:val="26"/>
          <w:rFonts w:ascii="黑体" w:hAnsi="黑体" w:eastAsia="黑体"/>
          <w:b w:val="0"/>
          <w:bCs w:val="0"/>
        </w:rPr>
      </w:pPr>
      <w:r>
        <w:rPr>
          <w:rStyle w:val="26"/>
          <w:rFonts w:hint="eastAsia" w:ascii="黑体" w:hAnsi="黑体" w:eastAsia="黑体"/>
          <w:b w:val="0"/>
          <w:bCs w:val="0"/>
        </w:rPr>
        <w:t>二、2021年重点工作</w:t>
      </w:r>
      <w:bookmarkEnd w:id="14"/>
      <w:bookmarkEnd w:id="15"/>
      <w:r>
        <w:rPr>
          <w:rStyle w:val="26"/>
          <w:rFonts w:hint="eastAsia" w:ascii="黑体" w:hAnsi="黑体" w:eastAsia="黑体"/>
          <w:b w:val="0"/>
          <w:bCs w:val="0"/>
        </w:rPr>
        <w:t>完成情况</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2021年，我中心在新冠肺炎疫情大环境下，主动担当，在做好土地规划指标核实、权属来源及勘测定界调查、地质灾害危险性评估委托、地价评估委托、征拆完成情况核实等供地前期准备工作的基础上，报请市政府召开15次市土管会，审议我中心编制和报批的供地方案或审批表49份，审议通过49份；按程序录入、下载、修改报批国有建设用地使用权出让合同19份，颁发划拨决定书11份，国有建设用地使用权出让合同变更协议17份，签订收回协议2份。拍卖成交出让土地2宗、面积142亩（不含棚改、旧城等产业项目用地以及已供土地改变利用条件），签订成交土地出让合同价款9.3亿元。</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截止12月14日，我中心全年实现上缴财政入库土地价款21.8168亿元，其中，土地出让价款收入19.2309亿元、划拨价款0.1050亿元、补缴土地出让价款（超容积率、续期、改变用途等2.1300亿元、其他土地收入0.3509亿元，超额完成下达的20亿元目标任务，完成率109%。</w:t>
      </w:r>
    </w:p>
    <w:p>
      <w:pPr>
        <w:spacing w:line="360" w:lineRule="auto"/>
        <w:ind w:firstLine="640" w:firstLineChars="200"/>
        <w:rPr>
          <w:rFonts w:ascii="仿宋" w:hAnsi="仿宋" w:eastAsia="仿宋" w:cs="仿宋"/>
          <w:sz w:val="32"/>
          <w:szCs w:val="32"/>
        </w:rPr>
      </w:pPr>
      <w:r>
        <w:rPr>
          <w:rFonts w:hint="eastAsia" w:ascii="楷体" w:hAnsi="楷体" w:eastAsia="楷体" w:cs="楷体"/>
          <w:sz w:val="32"/>
          <w:szCs w:val="32"/>
        </w:rPr>
        <w:t>(一)土地交易、收回，处理遗留问题工作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2021年，我中心认真贯彻落实上级对产业项目用地保障工作的安排和要求，委托拍卖康养产业园医院项目（KY02）用地、凤凰山棚户区改造项目1号地块内A地块、位于广元市利州区东坝办事处莲花片区莲花B安置点东侧、北二环南侧、电子路北延线西侧(东坪社区一二三组、莲花社区二组)地块；在做好保障产业项目用地工作的同时，继续推进棚户区项目供地，按照棚户区改造进度，完善人才市场、解家岩、凤凰山等棚改项目用地手续，保障限价商品房项目供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收回武警广元支队嘉陵路105号营区、213教导队营区和103原一中队营区3宗土地和“南岸.半山”项目国有建设用地使用权；收回位于广元市利州区东坝办事处瓷莲路东侧、莲花社区四组用于建设碧翠园公租房项目二期的住宅用地，将该宗地有低价拍卖出让，用于限价商品房建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处理“高金.凤琴岚湾”调整地下用地边界、“天润.新天地”项目一期开时间认定、“阳光.壹号院”周边零星地块征收、“广元凤凰城”明确开竣工期限等历史遗留问题。</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（二）土地储备和储备土地日常管护工作</w:t>
      </w:r>
    </w:p>
    <w:p>
      <w:pPr>
        <w:spacing w:line="360" w:lineRule="auto"/>
        <w:ind w:firstLine="640" w:firstLineChars="200"/>
        <w:rPr>
          <w:rFonts w:ascii="楷体" w:hAnsi="楷体" w:eastAsia="楷体" w:cs="楷体"/>
          <w:sz w:val="32"/>
          <w:szCs w:val="32"/>
        </w:rPr>
      </w:pPr>
      <w:r>
        <w:rPr>
          <w:rFonts w:hint="eastAsia" w:ascii="仿宋" w:hAnsi="仿宋" w:eastAsia="仿宋" w:cs="仿宋"/>
          <w:sz w:val="32"/>
          <w:szCs w:val="32"/>
        </w:rPr>
        <w:t>在市局安排下，编制年度工作计划，确保年度经营性供地和产业项目等用地计划落实到位。2021年，我中心继续采取聘请看护值班人员、安排专职工作人员等方式巡查管护储备土地，保障储备土地场内秩序和规范，未发生乱弃、乱倒、乱占储备土地的行为。</w:t>
      </w:r>
      <w:r>
        <w:rPr>
          <w:rFonts w:hint="eastAsia" w:ascii="仿宋" w:hAnsi="仿宋" w:eastAsia="仿宋"/>
          <w:kern w:val="0"/>
          <w:sz w:val="32"/>
          <w:szCs w:val="32"/>
        </w:rPr>
        <w:t>加强对已建成弃土场的安全管理工作。安排专人值班并定期对弃土场常态化安全巡查和督导，继续执行《雪峰、瓷莲路弃土场汛期应急预案》</w:t>
      </w:r>
      <w:r>
        <w:rPr>
          <w:rFonts w:hint="eastAsia" w:ascii="仿宋" w:hAnsi="仿宋" w:eastAsia="仿宋"/>
          <w:sz w:val="32"/>
          <w:szCs w:val="32"/>
        </w:rPr>
        <w:t>，做好隐患排查和预防工作。</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（三）档案管理工作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我中心在做好储备交易、土地收回、遗留问题处理等工作的同时，高度重视档案管理工作，落实专人管理档案，今年共计梳理、移交档案馆资产档案45宗。</w:t>
      </w:r>
    </w:p>
    <w:p>
      <w:pPr>
        <w:pStyle w:val="2"/>
        <w:rPr>
          <w:rFonts w:ascii="仿宋" w:hAnsi="仿宋" w:eastAsia="仿宋" w:cs="仿宋"/>
        </w:rPr>
      </w:pPr>
    </w:p>
    <w:p>
      <w:pPr>
        <w:rPr>
          <w:rFonts w:ascii="仿宋" w:hAnsi="仿宋" w:eastAsia="仿宋" w:cs="仿宋"/>
          <w:sz w:val="32"/>
          <w:szCs w:val="32"/>
        </w:rPr>
      </w:pPr>
    </w:p>
    <w:p>
      <w:pPr>
        <w:pStyle w:val="2"/>
        <w:rPr>
          <w:rFonts w:ascii="仿宋" w:hAnsi="仿宋" w:eastAsia="仿宋" w:cs="仿宋"/>
        </w:rPr>
      </w:pPr>
    </w:p>
    <w:p>
      <w:pPr>
        <w:rPr>
          <w:rFonts w:ascii="仿宋" w:hAnsi="仿宋" w:eastAsia="仿宋" w:cs="仿宋"/>
          <w:sz w:val="32"/>
          <w:szCs w:val="32"/>
        </w:rPr>
      </w:pPr>
    </w:p>
    <w:p>
      <w:pPr>
        <w:pStyle w:val="2"/>
      </w:pPr>
    </w:p>
    <w:p>
      <w:pPr>
        <w:pStyle w:val="2"/>
        <w:rPr>
          <w:rFonts w:ascii="仿宋" w:hAnsi="仿宋" w:eastAsia="仿宋" w:cs="仿宋"/>
        </w:rPr>
      </w:pPr>
    </w:p>
    <w:p/>
    <w:p>
      <w:pPr>
        <w:pStyle w:val="3"/>
        <w:ind w:right="440"/>
        <w:jc w:val="center"/>
        <w:rPr>
          <w:rStyle w:val="25"/>
          <w:rFonts w:ascii="黑体" w:hAnsi="黑体" w:eastAsia="黑体"/>
          <w:b w:val="0"/>
          <w:bCs/>
        </w:rPr>
      </w:pPr>
      <w:bookmarkStart w:id="18" w:name="_Toc15396602"/>
      <w:bookmarkStart w:id="19" w:name="_Toc15377204"/>
      <w:r>
        <w:rPr>
          <w:rFonts w:hint="eastAsia" w:ascii="黑体" w:hAnsi="黑体" w:eastAsia="黑体"/>
          <w:b w:val="0"/>
        </w:rPr>
        <w:t>第二部分 2021年度</w:t>
      </w:r>
      <w:r>
        <w:rPr>
          <w:rStyle w:val="25"/>
          <w:rFonts w:hint="eastAsia" w:ascii="黑体" w:hAnsi="黑体" w:eastAsia="黑体"/>
          <w:b w:val="0"/>
          <w:bCs/>
        </w:rPr>
        <w:t>单位决算情况说明</w:t>
      </w:r>
      <w:bookmarkEnd w:id="18"/>
      <w:bookmarkEnd w:id="19"/>
    </w:p>
    <w:p/>
    <w:p>
      <w:pPr>
        <w:pStyle w:val="24"/>
        <w:numPr>
          <w:ilvl w:val="0"/>
          <w:numId w:val="1"/>
        </w:numPr>
        <w:spacing w:line="600" w:lineRule="exact"/>
        <w:ind w:firstLineChars="0"/>
        <w:outlineLvl w:val="1"/>
        <w:rPr>
          <w:rStyle w:val="26"/>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6"/>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2021年度收、支总计3054.07万元。与2020年相比，收、支总计各增加1894.26万元，增加</w:t>
      </w:r>
      <w:r>
        <w:rPr>
          <w:rFonts w:hint="eastAsia" w:ascii="仿宋" w:hAnsi="仿宋" w:eastAsia="仿宋"/>
          <w:sz w:val="32"/>
          <w:szCs w:val="32"/>
          <w:lang w:val="en-US" w:eastAsia="zh-CN"/>
        </w:rPr>
        <w:t>163.32</w:t>
      </w:r>
      <w:r>
        <w:rPr>
          <w:rFonts w:ascii="仿宋" w:hAnsi="仿宋" w:eastAsia="仿宋"/>
          <w:sz w:val="32"/>
          <w:szCs w:val="32"/>
        </w:rPr>
        <w:t>%</w:t>
      </w:r>
      <w:r>
        <w:rPr>
          <w:rFonts w:hint="eastAsia" w:ascii="仿宋" w:hAnsi="仿宋" w:eastAsia="仿宋"/>
          <w:sz w:val="32"/>
          <w:szCs w:val="32"/>
        </w:rPr>
        <w:t>。主要变动原因是征地和拆迁补偿支出增加。</w:t>
      </w:r>
    </w:p>
    <w:p>
      <w:pPr>
        <w:pStyle w:val="23"/>
      </w:pPr>
      <w:r>
        <w:rPr>
          <w:rFonts w:hint="eastAsia"/>
        </w:rPr>
        <w:t xml:space="preserve">                   </w:t>
      </w:r>
      <w:r>
        <w:drawing>
          <wp:inline distT="0" distB="0" distL="114300" distR="114300">
            <wp:extent cx="4706620" cy="3387090"/>
            <wp:effectExtent l="4445" t="4445" r="13335" b="69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3"/>
      </w:pPr>
    </w:p>
    <w:p>
      <w:pPr>
        <w:pStyle w:val="24"/>
        <w:numPr>
          <w:ilvl w:val="0"/>
          <w:numId w:val="1"/>
        </w:numPr>
        <w:spacing w:line="600" w:lineRule="exact"/>
        <w:ind w:firstLineChars="0"/>
        <w:outlineLvl w:val="1"/>
        <w:rPr>
          <w:rStyle w:val="26"/>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6"/>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21年本年收入合计2915.72万元，其中：一般公共预算财政拨款收入2915.69万元，占99.99</w:t>
      </w:r>
      <w:r>
        <w:rPr>
          <w:rFonts w:ascii="仿宋" w:hAnsi="仿宋" w:eastAsia="仿宋"/>
          <w:sz w:val="32"/>
          <w:szCs w:val="32"/>
        </w:rPr>
        <w:t>%</w:t>
      </w:r>
      <w:r>
        <w:rPr>
          <w:rFonts w:hint="eastAsia" w:ascii="仿宋" w:hAnsi="仿宋" w:eastAsia="仿宋"/>
          <w:sz w:val="32"/>
          <w:szCs w:val="32"/>
        </w:rPr>
        <w:t>；其他收入0.03万元，占0.01</w:t>
      </w:r>
      <w:r>
        <w:rPr>
          <w:rFonts w:ascii="仿宋" w:hAnsi="仿宋" w:eastAsia="仿宋"/>
          <w:sz w:val="32"/>
          <w:szCs w:val="32"/>
        </w:rPr>
        <w:t>%</w:t>
      </w:r>
      <w:r>
        <w:rPr>
          <w:rFonts w:hint="eastAsia" w:ascii="仿宋" w:hAnsi="仿宋" w:eastAsia="仿宋"/>
          <w:sz w:val="32"/>
          <w:szCs w:val="32"/>
        </w:rPr>
        <w:t>。</w:t>
      </w:r>
    </w:p>
    <w:p>
      <w:pPr>
        <w:pStyle w:val="23"/>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547235" cy="2495550"/>
            <wp:effectExtent l="4445" t="4445" r="508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（图2：收入决算结构图）</w:t>
      </w:r>
    </w:p>
    <w:p>
      <w:pPr>
        <w:pStyle w:val="24"/>
        <w:numPr>
          <w:ilvl w:val="0"/>
          <w:numId w:val="1"/>
        </w:numPr>
        <w:spacing w:line="600" w:lineRule="exact"/>
        <w:ind w:firstLineChars="0"/>
        <w:outlineLvl w:val="1"/>
        <w:rPr>
          <w:rStyle w:val="26"/>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6"/>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21年本年支出合计2915.5万元，其中：基本支出203.27万元，占7</w:t>
      </w:r>
      <w:r>
        <w:rPr>
          <w:rFonts w:ascii="仿宋" w:hAnsi="仿宋" w:eastAsia="仿宋"/>
          <w:sz w:val="32"/>
          <w:szCs w:val="32"/>
        </w:rPr>
        <w:t>%</w:t>
      </w:r>
      <w:r>
        <w:rPr>
          <w:rFonts w:hint="eastAsia" w:ascii="仿宋" w:hAnsi="仿宋" w:eastAsia="仿宋"/>
          <w:sz w:val="32"/>
          <w:szCs w:val="32"/>
        </w:rPr>
        <w:t>；项目支出2712.23万元，占93%。</w:t>
      </w:r>
    </w:p>
    <w:p>
      <w:pPr>
        <w:pStyle w:val="23"/>
        <w:rPr>
          <w:rFonts w:hAnsi="仿宋"/>
          <w:color w:val="auto"/>
          <w:sz w:val="32"/>
          <w:szCs w:val="32"/>
          <w:shd w:val="pct10" w:color="auto" w:fill="FFFFFF"/>
        </w:rPr>
      </w:pPr>
      <w:r>
        <w:rPr>
          <w:rFonts w:hint="eastAsia" w:hAnsi="仿宋"/>
          <w:color w:val="auto"/>
          <w:sz w:val="32"/>
          <w:szCs w:val="32"/>
          <w:shd w:val="pct10" w:color="auto" w:fill="FFFFFF"/>
        </w:rPr>
        <w:t xml:space="preserve">  </w:t>
      </w:r>
      <w:r>
        <w:rPr>
          <w:rFonts w:hint="eastAsia" w:hAnsi="仿宋"/>
          <w:color w:val="auto"/>
          <w:sz w:val="32"/>
          <w:szCs w:val="32"/>
          <w:shd w:val="pct10" w:color="auto" w:fill="FFFFFF"/>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6"/>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6"/>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21年财政拨款收、支总计2956.4万元。与</w:t>
      </w:r>
      <w:r>
        <w:rPr>
          <w:rFonts w:ascii="仿宋" w:hAnsi="仿宋" w:eastAsia="仿宋"/>
          <w:sz w:val="32"/>
          <w:szCs w:val="32"/>
        </w:rPr>
        <w:t>20</w:t>
      </w:r>
      <w:r>
        <w:rPr>
          <w:rFonts w:hint="eastAsia" w:ascii="仿宋" w:hAnsi="仿宋" w:eastAsia="仿宋"/>
          <w:sz w:val="32"/>
          <w:szCs w:val="32"/>
        </w:rPr>
        <w:t>20年相比，财政拨款收、支总计各增加1904.46万元，增加</w:t>
      </w:r>
      <w:r>
        <w:rPr>
          <w:rFonts w:hint="eastAsia" w:ascii="仿宋" w:hAnsi="仿宋" w:eastAsia="仿宋"/>
          <w:sz w:val="32"/>
          <w:szCs w:val="32"/>
          <w:lang w:val="en-US" w:eastAsia="zh-CN"/>
        </w:rPr>
        <w:t>181.04</w:t>
      </w:r>
      <w:r>
        <w:rPr>
          <w:rFonts w:ascii="仿宋" w:hAnsi="仿宋" w:eastAsia="仿宋"/>
          <w:sz w:val="32"/>
          <w:szCs w:val="32"/>
        </w:rPr>
        <w:t>%</w:t>
      </w:r>
      <w:r>
        <w:rPr>
          <w:rFonts w:hint="eastAsia" w:ascii="仿宋" w:hAnsi="仿宋" w:eastAsia="仿宋"/>
          <w:sz w:val="32"/>
          <w:szCs w:val="32"/>
        </w:rPr>
        <w:t>。主要变动原因是征地和拆迁补偿支出增加。</w:t>
      </w:r>
    </w:p>
    <w:p>
      <w:pPr>
        <w:pStyle w:val="23"/>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5218430" cy="2578735"/>
            <wp:effectExtent l="4445" t="4445" r="1968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1280" w:firstLineChars="4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8"/>
      <w:bookmarkEnd w:id="29"/>
    </w:p>
    <w:p>
      <w:pPr>
        <w:spacing w:line="600" w:lineRule="exact"/>
        <w:ind w:firstLine="642"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21年一般公共预算财政拨款支出203.27万元，占本年支出合计的7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20年相比，一般公共预算财政拨款支出减少5.7万元，下降2.7</w:t>
      </w:r>
      <w:r>
        <w:rPr>
          <w:rFonts w:ascii="仿宋" w:hAnsi="仿宋" w:eastAsia="仿宋"/>
          <w:sz w:val="32"/>
          <w:szCs w:val="32"/>
        </w:rPr>
        <w:t>%</w:t>
      </w:r>
      <w:r>
        <w:rPr>
          <w:rFonts w:hint="eastAsia" w:ascii="仿宋" w:hAnsi="仿宋" w:eastAsia="仿宋"/>
          <w:sz w:val="32"/>
          <w:szCs w:val="32"/>
        </w:rPr>
        <w:t>。主要变动原因是例行节约，压减支出。</w:t>
      </w:r>
    </w:p>
    <w:p>
      <w:pPr>
        <w:pStyle w:val="23"/>
        <w:rPr>
          <w:rFonts w:hAnsi="仿宋"/>
          <w:color w:val="auto"/>
          <w:sz w:val="32"/>
          <w:szCs w:val="32"/>
        </w:rPr>
      </w:pPr>
      <w:r>
        <w:rPr>
          <w:rFonts w:hint="eastAsia" w:hAnsi="仿宋"/>
          <w:color w:val="auto"/>
          <w:sz w:val="32"/>
          <w:szCs w:val="32"/>
        </w:rPr>
        <w:drawing>
          <wp:inline distT="0" distB="0" distL="114300" distR="114300">
            <wp:extent cx="5501640" cy="2531110"/>
            <wp:effectExtent l="4445" t="4445" r="1079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21年一般公共预算财政拨款支出203.27万元，主要用于以下方面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支出14.87万元，占7.3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卫生健康支出7.44</w:t>
      </w:r>
      <w:r>
        <w:rPr>
          <w:rFonts w:hint="eastAsia" w:ascii="仿宋" w:hAnsi="仿宋" w:eastAsia="仿宋"/>
          <w:sz w:val="32"/>
          <w:szCs w:val="32"/>
        </w:rPr>
        <w:t>万元，占3.7</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b/>
          <w:bCs/>
          <w:color w:val="000000"/>
          <w:sz w:val="32"/>
          <w:szCs w:val="32"/>
        </w:rPr>
        <w:t>自然资源海洋气象等</w:t>
      </w:r>
      <w:r>
        <w:rPr>
          <w:rFonts w:hint="eastAsia" w:ascii="仿宋_GB2312" w:hAnsi="仿宋_GB2312" w:eastAsia="仿宋_GB2312" w:cs="仿宋_GB2312"/>
          <w:color w:val="000000"/>
          <w:sz w:val="32"/>
          <w:szCs w:val="32"/>
        </w:rPr>
        <w:t>支出164.81万元，占 81.1%；</w:t>
      </w:r>
      <w:r>
        <w:rPr>
          <w:rFonts w:hint="eastAsia" w:ascii="仿宋" w:hAnsi="仿宋" w:eastAsia="仿宋"/>
          <w:b/>
          <w:bCs/>
          <w:sz w:val="32"/>
          <w:szCs w:val="32"/>
        </w:rPr>
        <w:t>住房保障支出</w:t>
      </w:r>
      <w:r>
        <w:rPr>
          <w:rFonts w:hint="eastAsia" w:ascii="仿宋" w:hAnsi="仿宋" w:eastAsia="仿宋"/>
          <w:sz w:val="32"/>
          <w:szCs w:val="32"/>
        </w:rPr>
        <w:t>16.15元，占7.9%。</w:t>
      </w:r>
    </w:p>
    <w:p>
      <w:pPr>
        <w:pStyle w:val="23"/>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741545" cy="2798445"/>
            <wp:effectExtent l="4445" t="4445" r="889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2" w:firstLineChars="200"/>
        <w:outlineLvl w:val="2"/>
        <w:rPr>
          <w:rFonts w:ascii="仿宋" w:hAnsi="仿宋" w:eastAsia="仿宋"/>
          <w:b/>
          <w:sz w:val="32"/>
          <w:szCs w:val="32"/>
        </w:rPr>
      </w:pPr>
      <w:bookmarkStart w:id="33" w:name="_Toc15377444"/>
      <w:bookmarkStart w:id="34" w:name="_Toc15378460"/>
      <w:bookmarkStart w:id="35" w:name="_Toc15377213"/>
      <w:r>
        <w:rPr>
          <w:rFonts w:hint="eastAsia" w:ascii="仿宋" w:hAnsi="仿宋" w:eastAsia="仿宋"/>
          <w:b/>
          <w:sz w:val="32"/>
          <w:szCs w:val="32"/>
        </w:rPr>
        <w:t>2021年一般公共预算支出决算数为203.27万元</w:t>
      </w:r>
      <w:r>
        <w:rPr>
          <w:rFonts w:hint="eastAsia" w:ascii="仿宋" w:hAnsi="仿宋" w:eastAsia="仿宋"/>
          <w:sz w:val="32"/>
          <w:szCs w:val="32"/>
        </w:rPr>
        <w:t>，</w:t>
      </w:r>
      <w:r>
        <w:rPr>
          <w:rStyle w:val="15"/>
          <w:rFonts w:hint="eastAsia" w:ascii="仿宋" w:hAnsi="仿宋" w:eastAsia="仿宋"/>
          <w:bCs/>
          <w:sz w:val="32"/>
          <w:szCs w:val="32"/>
        </w:rPr>
        <w:t>完成预算99.9</w:t>
      </w:r>
      <w:r>
        <w:rPr>
          <w:rStyle w:val="15"/>
          <w:rFonts w:ascii="仿宋" w:hAnsi="仿宋" w:eastAsia="仿宋"/>
          <w:bCs/>
          <w:sz w:val="32"/>
          <w:szCs w:val="32"/>
        </w:rPr>
        <w:t>%</w:t>
      </w:r>
      <w:r>
        <w:rPr>
          <w:rStyle w:val="15"/>
          <w:rFonts w:hint="eastAsia" w:ascii="仿宋" w:hAnsi="仿宋" w:eastAsia="仿宋"/>
          <w:bCs/>
          <w:sz w:val="32"/>
          <w:szCs w:val="32"/>
        </w:rPr>
        <w:t>。其中：</w:t>
      </w:r>
      <w:bookmarkEnd w:id="33"/>
      <w:bookmarkEnd w:id="34"/>
      <w:bookmarkEnd w:id="35"/>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1</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社会保障和就业（类）行政事业单位</w:t>
      </w:r>
      <w:r>
        <w:rPr>
          <w:rFonts w:hint="eastAsia" w:ascii="仿宋_GB2312" w:hAnsi="仿宋_GB2312" w:eastAsia="仿宋_GB2312" w:cs="仿宋_GB2312"/>
          <w:b/>
          <w:bCs/>
          <w:color w:val="000000"/>
          <w:sz w:val="32"/>
          <w:szCs w:val="32"/>
          <w:lang w:eastAsia="zh-CN"/>
        </w:rPr>
        <w:t>养老支出</w:t>
      </w:r>
      <w:r>
        <w:rPr>
          <w:rFonts w:hint="eastAsia" w:ascii="仿宋_GB2312" w:hAnsi="仿宋_GB2312" w:eastAsia="仿宋_GB2312" w:cs="仿宋_GB2312"/>
          <w:b/>
          <w:bCs/>
          <w:color w:val="000000"/>
          <w:sz w:val="32"/>
          <w:szCs w:val="32"/>
        </w:rPr>
        <w:t>（款）机关事业单位基本养老保险缴费支出（项）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支出决算为14.87万元，完成预算100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卫生健康（类）行政事业单位医疗（款）事业单位医疗（项）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支出决算为7.44万元，完成预算100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5"/>
          <w:rFonts w:hint="eastAsia" w:ascii="仿宋" w:hAnsi="仿宋" w:eastAsia="仿宋"/>
          <w:b w:val="0"/>
          <w:bCs/>
          <w:sz w:val="32"/>
          <w:szCs w:val="32"/>
        </w:rPr>
        <w:t>。</w:t>
      </w:r>
    </w:p>
    <w:p>
      <w:pPr>
        <w:widowControl/>
        <w:spacing w:line="546" w:lineRule="exact"/>
        <w:ind w:firstLine="640" w:firstLineChars="200"/>
        <w:jc w:val="left"/>
        <w:rPr>
          <w:rFonts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b/>
          <w:bCs/>
          <w:color w:val="000000"/>
          <w:sz w:val="32"/>
          <w:szCs w:val="32"/>
        </w:rPr>
        <w:t>3.自然资源海洋气象等支出（类）自然资源事务（款）事业运行(项）：</w:t>
      </w:r>
      <w:r>
        <w:rPr>
          <w:rFonts w:hint="eastAsia" w:ascii="仿宋_GB2312" w:hAnsi="仿宋_GB2312" w:eastAsia="仿宋_GB2312" w:cs="仿宋_GB2312"/>
          <w:color w:val="000000"/>
          <w:sz w:val="32"/>
          <w:szCs w:val="32"/>
        </w:rPr>
        <w:t>支出决算为164.81万元，</w:t>
      </w:r>
      <w:r>
        <w:rPr>
          <w:rFonts w:hint="eastAsia" w:ascii="仿宋_GB2312" w:hAnsi="仿宋_GB2312" w:eastAsia="仿宋_GB2312" w:cs="仿宋_GB2312"/>
          <w:sz w:val="32"/>
          <w:szCs w:val="32"/>
        </w:rPr>
        <w:t>完成预算99.87%，决算数决算数与预算数基本持平。</w:t>
      </w:r>
    </w:p>
    <w:p>
      <w:pPr>
        <w:widowControl/>
        <w:spacing w:line="546" w:lineRule="exact"/>
        <w:ind w:firstLine="420" w:firstLineChars="200"/>
        <w:jc w:val="left"/>
        <w:rPr>
          <w:rFonts w:ascii="仿宋_GB2312" w:hAnsi="仿宋_GB2312" w:eastAsia="仿宋_GB2312" w:cs="仿宋_GB2312"/>
          <w:color w:val="000000"/>
          <w:sz w:val="32"/>
          <w:szCs w:val="32"/>
        </w:rPr>
      </w:pPr>
      <w:r>
        <w:rPr>
          <w:rFonts w:hint="eastAsia" w:eastAsia="仿宋_GB2312"/>
        </w:rPr>
        <w:t xml:space="preserve">   </w:t>
      </w:r>
      <w:r>
        <w:rPr>
          <w:rFonts w:hint="eastAsia" w:ascii="仿宋_GB2312" w:hAnsi="仿宋_GB2312" w:eastAsia="仿宋_GB2312" w:cs="仿宋_GB2312"/>
          <w:b/>
          <w:bCs/>
          <w:color w:val="000000"/>
          <w:sz w:val="32"/>
          <w:szCs w:val="32"/>
        </w:rPr>
        <w:t xml:space="preserve"> 4.住房保障（类）住房改革（款）住房公积金（项）:</w:t>
      </w:r>
      <w:r>
        <w:rPr>
          <w:rFonts w:hint="eastAsia" w:ascii="仿宋_GB2312" w:hAnsi="仿宋_GB2312" w:eastAsia="仿宋_GB2312" w:cs="仿宋_GB2312"/>
          <w:color w:val="000000"/>
          <w:sz w:val="32"/>
          <w:szCs w:val="32"/>
        </w:rPr>
        <w:t>支出决算为16.15万元，完成预算100%，决算数与预算数持平。</w:t>
      </w:r>
    </w:p>
    <w:p>
      <w:pPr>
        <w:tabs>
          <w:tab w:val="right" w:pos="8306"/>
        </w:tabs>
        <w:spacing w:line="600" w:lineRule="exact"/>
        <w:ind w:firstLine="640"/>
        <w:outlineLvl w:val="1"/>
        <w:rPr>
          <w:rStyle w:val="26"/>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6"/>
      <w:bookmarkEnd w:id="37"/>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21年一般公共预算财政拨款基本支出203.27万元，其中：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人员经费183.06万元，主要包括：基本工资、津贴补贴、绩效工资、机关事业单位基本养老保险缴费、职工</w:t>
      </w:r>
      <w:r>
        <w:rPr>
          <w:rFonts w:ascii="仿宋" w:hAnsi="仿宋" w:eastAsia="仿宋"/>
          <w:sz w:val="32"/>
          <w:szCs w:val="32"/>
        </w:rPr>
        <w:t>基本医疗保险缴费、</w:t>
      </w:r>
      <w:r>
        <w:rPr>
          <w:rFonts w:hint="eastAsia" w:ascii="仿宋" w:hAnsi="仿宋" w:eastAsia="仿宋"/>
          <w:sz w:val="32"/>
          <w:szCs w:val="32"/>
        </w:rPr>
        <w:t>其他社会保障缴费、其他工资福利支出、奖励金、住房公积金等。</w:t>
      </w:r>
    </w:p>
    <w:p>
      <w:pPr>
        <w:spacing w:line="600" w:lineRule="exact"/>
        <w:ind w:firstLine="645"/>
        <w:rPr>
          <w:rFonts w:ascii="仿宋" w:hAnsi="仿宋" w:eastAsia="仿宋"/>
          <w:b/>
          <w:sz w:val="32"/>
          <w:szCs w:val="32"/>
        </w:rPr>
      </w:pPr>
      <w:r>
        <w:rPr>
          <w:rFonts w:hint="eastAsia" w:ascii="仿宋" w:hAnsi="仿宋" w:eastAsia="仿宋"/>
          <w:sz w:val="32"/>
          <w:szCs w:val="32"/>
        </w:rPr>
        <w:t>公用经费20.21万元，主要包括：办公费、印刷费、咨询费</w:t>
      </w:r>
      <w:r>
        <w:rPr>
          <w:rFonts w:ascii="仿宋" w:hAnsi="仿宋" w:eastAsia="仿宋"/>
          <w:sz w:val="32"/>
          <w:szCs w:val="32"/>
        </w:rPr>
        <w:t>、</w:t>
      </w:r>
      <w:r>
        <w:rPr>
          <w:rFonts w:hint="eastAsia" w:ascii="仿宋" w:hAnsi="仿宋" w:eastAsia="仿宋"/>
          <w:sz w:val="32"/>
          <w:szCs w:val="32"/>
        </w:rPr>
        <w:t>手续费、水费、邮电费、物业管理费、差旅费、租赁费、劳务费、工会经费、福利费、其他交通费、税金及附加、其他商品和服务支出等。</w:t>
      </w:r>
    </w:p>
    <w:p>
      <w:pPr>
        <w:spacing w:line="600" w:lineRule="exact"/>
        <w:ind w:firstLine="640"/>
        <w:outlineLvl w:val="1"/>
        <w:rPr>
          <w:rStyle w:val="26"/>
          <w:rFonts w:ascii="黑体" w:hAnsi="黑体" w:eastAsia="黑体"/>
          <w:b w:val="0"/>
        </w:rPr>
      </w:pPr>
      <w:bookmarkStart w:id="38" w:name="_Toc15396609"/>
      <w:bookmarkStart w:id="39"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21年“三公”经费财政拨款支出决算为1万元，完成预算0</w:t>
      </w:r>
      <w:r>
        <w:rPr>
          <w:rFonts w:ascii="仿宋" w:hAnsi="仿宋" w:eastAsia="仿宋"/>
          <w:sz w:val="32"/>
          <w:szCs w:val="32"/>
        </w:rPr>
        <w:t>%</w:t>
      </w:r>
      <w:r>
        <w:rPr>
          <w:rFonts w:hint="eastAsia" w:ascii="仿宋" w:hAnsi="仿宋" w:eastAsia="仿宋"/>
          <w:sz w:val="32"/>
          <w:szCs w:val="32"/>
        </w:rPr>
        <w:t>，决算数小于预算数的主要原因是本单位无公务用车，未产生经费，</w:t>
      </w:r>
      <w:r>
        <w:rPr>
          <w:rFonts w:hint="eastAsia" w:ascii="仿宋_GB2312" w:hAnsi="仿宋_GB2312" w:eastAsia="仿宋_GB2312" w:cs="仿宋_GB2312"/>
          <w:sz w:val="32"/>
          <w:szCs w:val="32"/>
        </w:rPr>
        <w:t>严格控制三公经费，压缩三公经费开支。</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21年“三公”经费财政拨款支出决算中，因公出国（境）费支出决算0万元，年初未安排预算；公务用车购置及运行维护费支出决算0万元，年初未安排预算；公务接待费支出决算0万元，主要原因为</w:t>
      </w:r>
      <w:r>
        <w:rPr>
          <w:rFonts w:hint="eastAsia" w:ascii="仿宋_GB2312" w:hAnsi="仿宋_GB2312" w:eastAsia="仿宋_GB2312" w:cs="仿宋_GB2312"/>
          <w:sz w:val="32"/>
          <w:szCs w:val="32"/>
        </w:rPr>
        <w:t>严格控制三公经费，压缩三公经费开支</w:t>
      </w:r>
      <w:r>
        <w:rPr>
          <w:rFonts w:hint="eastAsia" w:ascii="仿宋" w:hAnsi="仿宋" w:eastAsia="仿宋"/>
          <w:sz w:val="32"/>
          <w:szCs w:val="32"/>
        </w:rPr>
        <w:t>。具体情况如下：</w:t>
      </w:r>
    </w:p>
    <w:p>
      <w:pPr>
        <w:pStyle w:val="23"/>
        <w:rPr>
          <w:rFonts w:hAnsi="仿宋"/>
          <w:color w:val="auto"/>
          <w:sz w:val="32"/>
          <w:szCs w:val="32"/>
        </w:rPr>
      </w:pPr>
      <w:r>
        <w:rPr>
          <w:rFonts w:hint="eastAsia" w:hAnsi="仿宋"/>
          <w:color w:val="auto"/>
          <w:sz w:val="32"/>
          <w:szCs w:val="32"/>
        </w:rPr>
        <w:t xml:space="preserve">    </w:t>
      </w:r>
      <w:r>
        <w:rPr>
          <w:rFonts w:hint="eastAsia" w:hAnsi="仿宋"/>
          <w:color w:val="auto"/>
          <w:sz w:val="32"/>
          <w:szCs w:val="32"/>
        </w:rPr>
        <w:drawing>
          <wp:inline distT="0" distB="0" distL="114300" distR="114300">
            <wp:extent cx="4636770" cy="2771775"/>
            <wp:effectExtent l="4445" t="4445" r="6985"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5"/>
          <w:rFonts w:hint="eastAsia" w:ascii="仿宋" w:hAnsi="仿宋" w:eastAsia="仿宋"/>
          <w:b w:val="0"/>
          <w:bCs/>
          <w:sz w:val="32"/>
          <w:szCs w:val="32"/>
        </w:rPr>
        <w:t>年初未安排预算</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年初未安排预算。</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20年无变化。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w:t>
      </w:r>
    </w:p>
    <w:p>
      <w:pPr>
        <w:spacing w:line="600" w:lineRule="exact"/>
        <w:ind w:firstLine="642" w:firstLineChars="20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r>
        <w:rPr>
          <w:rFonts w:hint="eastAsia" w:ascii="仿宋" w:hAnsi="仿宋" w:eastAsia="仿宋" w:cs="仿宋"/>
          <w:sz w:val="32"/>
          <w:szCs w:val="32"/>
        </w:rPr>
        <w:t>年初未安排预算。</w:t>
      </w:r>
    </w:p>
    <w:p>
      <w:pPr>
        <w:numPr>
          <w:ilvl w:val="0"/>
          <w:numId w:val="2"/>
        </w:numPr>
        <w:spacing w:line="600" w:lineRule="exact"/>
        <w:ind w:firstLine="640"/>
        <w:rPr>
          <w:rFonts w:ascii="仿宋_GB2312" w:eastAsia="仿宋_GB2312"/>
          <w:sz w:val="32"/>
          <w:szCs w:val="32"/>
        </w:rPr>
      </w:pPr>
      <w:r>
        <w:rPr>
          <w:rFonts w:hint="eastAsia" w:ascii="仿宋_GB2312" w:eastAsia="仿宋_GB2312"/>
          <w:b/>
          <w:sz w:val="32"/>
          <w:szCs w:val="32"/>
        </w:rPr>
        <w:t>公务接待费支出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20年减少0.13万元，下降100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sz w:val="32"/>
          <w:szCs w:val="32"/>
        </w:rPr>
        <w:t>严格控制经费，按照厉行节约的原则压缩各项开支</w:t>
      </w:r>
      <w:r>
        <w:rPr>
          <w:rFonts w:hint="eastAsia" w:ascii="仿宋_GB2312" w:eastAsia="仿宋_GB2312"/>
          <w:sz w:val="32"/>
          <w:szCs w:val="32"/>
        </w:rPr>
        <w:t>。其中：</w:t>
      </w:r>
    </w:p>
    <w:p>
      <w:pPr>
        <w:spacing w:line="600" w:lineRule="exact"/>
        <w:ind w:firstLine="642" w:firstLineChars="20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42" w:name="_Toc15377218"/>
      <w:bookmarkStart w:id="43" w:name="_Toc15396610"/>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2"/>
      <w:bookmarkEnd w:id="43"/>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21年政府性基金预算财政拨款支出2712.23万元。</w:t>
      </w:r>
      <w:r>
        <w:rPr>
          <w:rFonts w:hint="eastAsia" w:ascii="仿宋" w:hAnsi="仿宋" w:eastAsia="仿宋" w:cs="仿宋"/>
          <w:sz w:val="32"/>
          <w:szCs w:val="32"/>
        </w:rPr>
        <w:t>未在政府性基金预算拨款安排“三公经费”支出。</w:t>
      </w:r>
    </w:p>
    <w:p>
      <w:pPr>
        <w:numPr>
          <w:ilvl w:val="0"/>
          <w:numId w:val="3"/>
        </w:numPr>
        <w:spacing w:line="600" w:lineRule="exact"/>
        <w:ind w:firstLine="640"/>
        <w:outlineLvl w:val="1"/>
        <w:rPr>
          <w:rStyle w:val="26"/>
          <w:rFonts w:ascii="黑体" w:hAnsi="黑体" w:eastAsia="黑体"/>
          <w:b w:val="0"/>
        </w:rPr>
      </w:pPr>
      <w:bookmarkStart w:id="44" w:name="_Toc15396611"/>
      <w:bookmarkStart w:id="45" w:name="_Toc15377219"/>
      <w:r>
        <w:rPr>
          <w:rStyle w:val="26"/>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3"/>
        </w:numPr>
        <w:spacing w:line="600" w:lineRule="exact"/>
        <w:ind w:firstLine="640"/>
        <w:outlineLvl w:val="1"/>
        <w:rPr>
          <w:rStyle w:val="26"/>
          <w:rFonts w:ascii="黑体" w:hAnsi="黑体" w:eastAsia="黑体"/>
          <w:b w:val="0"/>
        </w:rPr>
      </w:pPr>
      <w:bookmarkStart w:id="46" w:name="_Toc15396612"/>
      <w:bookmarkStart w:id="47" w:name="_Toc15377221"/>
      <w:r>
        <w:rPr>
          <w:rStyle w:val="26"/>
          <w:rFonts w:hint="eastAsia" w:ascii="黑体" w:hAnsi="黑体" w:eastAsia="黑体"/>
          <w:b w:val="0"/>
        </w:rPr>
        <w:t>预算绩效管理情况</w:t>
      </w:r>
    </w:p>
    <w:p>
      <w:pPr>
        <w:spacing w:line="580" w:lineRule="exact"/>
        <w:ind w:firstLine="640" w:firstLineChars="200"/>
      </w:pPr>
      <w:r>
        <w:rPr>
          <w:rFonts w:hint="eastAsia" w:ascii="仿宋_GB2312" w:hAnsi="仿宋_GB2312" w:eastAsia="仿宋_GB2312" w:cs="仿宋_GB2312"/>
          <w:sz w:val="32"/>
          <w:szCs w:val="32"/>
        </w:rPr>
        <w:t>根据预算绩效管理要求，本单位在2021年度预算编制阶段，组织对0个项目开展了预算事前绩效评估，对0个项目编制了绩效目标，预算执行过程中，选取0个项目开展绩效监控，年终执行完毕后，对0个项目开展了绩效自评。</w:t>
      </w:r>
      <w:r>
        <w:rPr>
          <w:rFonts w:hint="eastAsia" w:ascii="仿宋" w:hAnsi="仿宋" w:eastAsia="仿宋" w:cs="仿宋"/>
          <w:sz w:val="32"/>
          <w:szCs w:val="32"/>
        </w:rPr>
        <w:t>广元市自然资源储备交易中心</w:t>
      </w:r>
      <w:r>
        <w:rPr>
          <w:rFonts w:hint="eastAsia" w:ascii="仿宋_GB2312" w:hAnsi="仿宋_GB2312" w:eastAsia="仿宋_GB2312" w:cs="仿宋_GB2312"/>
          <w:color w:val="000000"/>
          <w:sz w:val="32"/>
          <w:szCs w:val="32"/>
        </w:rPr>
        <w:t>按要求对2021年部门整体支出绩效评价情况开展了自评，《</w:t>
      </w:r>
      <w:r>
        <w:rPr>
          <w:rFonts w:hint="eastAsia" w:ascii="仿宋" w:hAnsi="仿宋" w:eastAsia="仿宋" w:cs="仿宋"/>
          <w:sz w:val="32"/>
          <w:szCs w:val="32"/>
        </w:rPr>
        <w:t>广元市自然资源储备交易中心</w:t>
      </w:r>
      <w:r>
        <w:rPr>
          <w:rFonts w:hint="eastAsia" w:ascii="仿宋_GB2312" w:hAnsi="仿宋_GB2312" w:eastAsia="仿宋_GB2312" w:cs="仿宋_GB2312"/>
          <w:color w:val="000000"/>
          <w:sz w:val="32"/>
          <w:szCs w:val="32"/>
        </w:rPr>
        <w:t>2021年部门整体支出绩效评价自评报告》</w:t>
      </w:r>
      <w:r>
        <w:rPr>
          <w:rFonts w:hint="eastAsia" w:ascii="仿宋_GB2312" w:hAnsi="仿宋_GB2312" w:eastAsia="仿宋_GB2312" w:cs="仿宋_GB2312"/>
          <w:sz w:val="32"/>
          <w:szCs w:val="32"/>
        </w:rPr>
        <w:t>见附件（第四部分）。</w:t>
      </w:r>
    </w:p>
    <w:p>
      <w:pPr>
        <w:numPr>
          <w:ilvl w:val="0"/>
          <w:numId w:val="3"/>
        </w:numPr>
        <w:spacing w:line="600" w:lineRule="exact"/>
        <w:ind w:firstLine="640"/>
        <w:outlineLvl w:val="1"/>
        <w:rPr>
          <w:rStyle w:val="26"/>
          <w:rFonts w:ascii="黑体" w:hAnsi="黑体" w:eastAsia="黑体"/>
          <w:b w:val="0"/>
        </w:rPr>
      </w:pPr>
      <w:r>
        <w:rPr>
          <w:rStyle w:val="26"/>
          <w:rFonts w:hint="eastAsia" w:ascii="黑体" w:hAnsi="黑体" w:eastAsia="黑体"/>
          <w:b w:val="0"/>
        </w:rPr>
        <w:t>其他重要事项的情况说明</w:t>
      </w:r>
      <w:bookmarkEnd w:id="46"/>
      <w:bookmarkEnd w:id="47"/>
    </w:p>
    <w:p>
      <w:pPr>
        <w:spacing w:line="600" w:lineRule="exact"/>
        <w:ind w:firstLine="642"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cs="仿宋"/>
          <w:sz w:val="32"/>
          <w:szCs w:val="32"/>
        </w:rPr>
        <w:t>广元市自然资源储备交易中心</w:t>
      </w:r>
      <w:r>
        <w:rPr>
          <w:rFonts w:hint="eastAsia" w:ascii="仿宋_GB2312" w:eastAsia="仿宋_GB2312"/>
          <w:sz w:val="32"/>
          <w:szCs w:val="32"/>
        </w:rPr>
        <w:t>未发生机关运行经费，</w:t>
      </w:r>
      <w:r>
        <w:rPr>
          <w:rFonts w:hint="eastAsia" w:ascii="仿宋_GB2312" w:hAnsi="仿宋_GB2312" w:eastAsia="仿宋_GB2312" w:cs="仿宋_GB2312"/>
          <w:sz w:val="32"/>
          <w:szCs w:val="32"/>
        </w:rPr>
        <w:t>与2020年无变化，年初未安排预算。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cs="仿宋"/>
          <w:sz w:val="32"/>
          <w:szCs w:val="32"/>
        </w:rPr>
        <w:t>广元市自然资源储备交易中心</w:t>
      </w:r>
      <w:r>
        <w:rPr>
          <w:rFonts w:hint="eastAsia" w:ascii="仿宋_GB2312" w:eastAsia="仿宋_GB2312"/>
          <w:sz w:val="32"/>
          <w:szCs w:val="32"/>
        </w:rPr>
        <w:t>政府采购支出总额0万元，年初未安排预算。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cs="仿宋"/>
          <w:sz w:val="32"/>
          <w:szCs w:val="32"/>
        </w:rPr>
        <w:t>广元市自然资源储备交易中心</w:t>
      </w:r>
      <w:r>
        <w:rPr>
          <w:rFonts w:hint="eastAsia" w:ascii="仿宋_GB2312" w:eastAsia="仿宋_GB2312"/>
          <w:sz w:val="32"/>
          <w:szCs w:val="32"/>
        </w:rPr>
        <w:t>共有车辆0辆，其中：主要领导干部用0辆、机要通信用车0辆、应急保障用车0辆、其他用车0辆，其他用车主要是用于</w:t>
      </w:r>
      <w:r>
        <w:rPr>
          <w:rFonts w:hint="eastAsia" w:ascii="仿宋_GB2312" w:hAnsi="仿宋_GB2312" w:eastAsia="仿宋_GB2312" w:cs="仿宋_GB2312"/>
          <w:color w:val="000000"/>
          <w:sz w:val="32"/>
          <w:szCs w:val="32"/>
        </w:rPr>
        <w:t>一般公务、业务用车。</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5"/>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5"/>
          <w:rFonts w:hint="eastAsia" w:ascii="黑体" w:hAnsi="黑体" w:eastAsia="黑体"/>
          <w:b w:val="0"/>
        </w:rPr>
        <w:t>词解释</w:t>
      </w:r>
      <w:bookmarkEnd w:id="51"/>
      <w:bookmarkEnd w:id="52"/>
    </w:p>
    <w:p>
      <w:pPr>
        <w:spacing w:line="600" w:lineRule="exact"/>
        <w:jc w:val="left"/>
        <w:rPr>
          <w:rFonts w:ascii="宋体"/>
          <w:b/>
          <w:sz w:val="44"/>
          <w:szCs w:val="44"/>
        </w:rPr>
      </w:pPr>
    </w:p>
    <w:p>
      <w:pPr>
        <w:pStyle w:val="23"/>
        <w:spacing w:line="580" w:lineRule="exact"/>
        <w:ind w:firstLine="640" w:firstLineChars="200"/>
        <w:rPr>
          <w:rFonts w:ascii="仿宋_GB2312" w:hAnsi="仿宋_GB2312" w:eastAsia="仿宋_GB2312" w:cs="仿宋_GB2312"/>
          <w:sz w:val="32"/>
          <w:szCs w:val="32"/>
        </w:rPr>
      </w:pPr>
      <w:bookmarkStart w:id="53" w:name="_Toc15377226"/>
      <w:r>
        <w:rPr>
          <w:rFonts w:hint="eastAsia" w:ascii="仿宋_GB2312" w:hAnsi="仿宋_GB2312" w:eastAsia="仿宋_GB2312" w:cs="仿宋_GB2312"/>
          <w:sz w:val="32"/>
          <w:szCs w:val="32"/>
        </w:rPr>
        <w:t>1.财政拨款收入：指单位从同级财政部门取得的财政预算资金。</w:t>
      </w:r>
    </w:p>
    <w:p>
      <w:pPr>
        <w:pStyle w:val="23"/>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2.其他收入：指单位取得的除上述收入以外的各项收入。主要是单位银行存款利息和财政未通过大平台拨付的项目资金。</w:t>
      </w:r>
    </w:p>
    <w:p>
      <w:pPr>
        <w:pStyle w:val="23"/>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3.年初结转和结余：指以前年度尚未完成、结转到本年按有关规定继续使用的资金。</w:t>
      </w:r>
    </w:p>
    <w:p>
      <w:pPr>
        <w:pStyle w:val="23"/>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4.年末结转和结余：指单位按有关规定结转到下年或以后年度继续使用的资金。</w:t>
      </w:r>
    </w:p>
    <w:p>
      <w:pPr>
        <w:spacing w:line="580" w:lineRule="exact"/>
        <w:ind w:firstLine="642"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5.社会保障和就业（类）行政事业单位</w:t>
      </w:r>
      <w:r>
        <w:rPr>
          <w:rStyle w:val="15"/>
          <w:rFonts w:hint="eastAsia" w:ascii="仿宋_GB2312" w:hAnsi="仿宋_GB2312" w:eastAsia="仿宋_GB2312" w:cs="仿宋_GB2312"/>
          <w:bCs/>
          <w:color w:val="000000"/>
          <w:sz w:val="32"/>
          <w:szCs w:val="32"/>
          <w:lang w:eastAsia="zh-CN"/>
        </w:rPr>
        <w:t>养老支出</w:t>
      </w:r>
      <w:r>
        <w:rPr>
          <w:rStyle w:val="15"/>
          <w:rFonts w:hint="eastAsia" w:ascii="仿宋_GB2312" w:hAnsi="仿宋_GB2312" w:eastAsia="仿宋_GB2312" w:cs="仿宋_GB2312"/>
          <w:bCs/>
          <w:color w:val="000000"/>
          <w:sz w:val="32"/>
          <w:szCs w:val="32"/>
        </w:rPr>
        <w:t>（款）机关事业单位基本养老保险缴费支出（项）:</w:t>
      </w:r>
      <w:r>
        <w:rPr>
          <w:rStyle w:val="15"/>
          <w:rFonts w:hint="eastAsia" w:ascii="仿宋_GB2312" w:hAnsi="仿宋_GB2312" w:eastAsia="仿宋_GB2312" w:cs="仿宋_GB2312"/>
          <w:b w:val="0"/>
          <w:sz w:val="32"/>
          <w:szCs w:val="32"/>
        </w:rPr>
        <w:t>指机关事业单位</w:t>
      </w:r>
      <w:r>
        <w:rPr>
          <w:rStyle w:val="15"/>
          <w:rFonts w:hint="eastAsia" w:ascii="仿宋_GB2312" w:hAnsi="仿宋_GB2312" w:eastAsia="仿宋_GB2312" w:cs="仿宋_GB2312"/>
          <w:b w:val="0"/>
          <w:color w:val="000000"/>
          <w:sz w:val="32"/>
          <w:szCs w:val="32"/>
        </w:rPr>
        <w:t>实施养老保险制度由单位缴纳的基本养老保险费支出。</w:t>
      </w:r>
    </w:p>
    <w:p>
      <w:pPr>
        <w:spacing w:line="580" w:lineRule="exact"/>
        <w:ind w:firstLine="640" w:firstLineChars="200"/>
        <w:rPr>
          <w:rStyle w:val="15"/>
          <w:rFonts w:ascii="仿宋_GB2312" w:hAnsi="仿宋_GB2312" w:eastAsia="仿宋_GB2312" w:cs="仿宋_GB2312"/>
          <w:b w:val="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Cs/>
          <w:color w:val="000000"/>
          <w:sz w:val="32"/>
          <w:szCs w:val="32"/>
        </w:rPr>
        <w:t>（类）行政事业单位医疗（款）事业单位医疗（项）</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sz w:val="32"/>
          <w:szCs w:val="32"/>
        </w:rPr>
        <w:t>指</w:t>
      </w:r>
      <w:r>
        <w:rPr>
          <w:rFonts w:hint="eastAsia" w:ascii="仿宋_GB2312" w:hAnsi="仿宋_GB2312" w:eastAsia="仿宋_GB2312" w:cs="仿宋_GB2312"/>
          <w:sz w:val="32"/>
          <w:szCs w:val="32"/>
          <w:shd w:val="clear" w:color="auto" w:fill="FFFFFF"/>
        </w:rPr>
        <w:t>事业单位用于缴纳单位基本医疗保险支出。</w:t>
      </w:r>
    </w:p>
    <w:p>
      <w:pPr>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城区社区（类）其他城区社区支出（款）土地开发及出让支出（项）</w:t>
      </w:r>
      <w:r>
        <w:rPr>
          <w:rFonts w:hint="eastAsia" w:ascii="仿宋_GB2312" w:hAnsi="仿宋_GB2312" w:eastAsia="仿宋_GB2312" w:cs="仿宋_GB2312"/>
          <w:color w:val="000000"/>
          <w:sz w:val="32"/>
          <w:szCs w:val="32"/>
        </w:rPr>
        <w:t>：指土地开发及出让项目发生的业务支出、土地拆迁补偿支出、土地出让业务支出。</w:t>
      </w:r>
    </w:p>
    <w:p>
      <w:pPr>
        <w:spacing w:line="58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自然资源海洋气象等（类）自然资源事务（款)、事</w:t>
      </w:r>
      <w:bookmarkStart w:id="69" w:name="_GoBack"/>
      <w:bookmarkEnd w:id="69"/>
      <w:r>
        <w:rPr>
          <w:rFonts w:hint="eastAsia" w:ascii="仿宋_GB2312" w:hAnsi="仿宋_GB2312" w:eastAsia="仿宋_GB2312" w:cs="仿宋_GB2312"/>
          <w:b/>
          <w:bCs/>
          <w:color w:val="000000"/>
          <w:sz w:val="32"/>
          <w:szCs w:val="32"/>
        </w:rPr>
        <w:t>业运行（项）：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shd w:val="clear" w:color="auto" w:fill="FFFFFF"/>
        </w:rPr>
        <w:t>局事业单位用于保障机构正常运行、开展日常工作的基本支出。</w:t>
      </w:r>
    </w:p>
    <w:p>
      <w:pPr>
        <w:spacing w:line="580" w:lineRule="exact"/>
        <w:ind w:firstLine="640" w:firstLineChars="200"/>
        <w:rPr>
          <w:rFonts w:ascii="仿宋_GB2312" w:hAnsi="仿宋_GB2312" w:eastAsia="仿宋_GB2312" w:cs="仿宋_GB2312"/>
          <w:color w:val="000000"/>
          <w:sz w:val="32"/>
          <w:szCs w:val="32"/>
        </w:rPr>
      </w:pPr>
      <w:r>
        <w:rPr>
          <w:rStyle w:val="15"/>
          <w:rFonts w:ascii="仿宋_GB2312" w:hAnsi="仿宋_GB2312" w:eastAsia="仿宋_GB2312" w:cs="仿宋_GB2312"/>
          <w:b w:val="0"/>
          <w:bCs/>
          <w:color w:val="000000"/>
          <w:sz w:val="32"/>
          <w:szCs w:val="32"/>
        </w:rPr>
        <w:t>9</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color w:val="000000"/>
          <w:sz w:val="32"/>
          <w:szCs w:val="32"/>
        </w:rPr>
        <w:t>自然资源海洋气象等支出（类）自然资源事务（款）其他自然资源事务（项）</w:t>
      </w:r>
      <w:r>
        <w:rPr>
          <w:rStyle w:val="15"/>
          <w:rFonts w:hint="eastAsia" w:ascii="仿宋_GB2312" w:hAnsi="仿宋_GB2312" w:eastAsia="仿宋_GB2312" w:cs="仿宋_GB2312"/>
          <w:b w:val="0"/>
          <w:bCs/>
          <w:color w:val="000000"/>
          <w:sz w:val="32"/>
          <w:szCs w:val="32"/>
        </w:rPr>
        <w:t>：指除财政一般公共预算安排的项目之外的项目支出。</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rPr>
        <w:t>指局机关及事业单位按行政事业单位按人力资源部和社会保障部、财政部规定的基本工资和津贴补贴以及规定比例为职工缴纳的住房公积金。</w:t>
      </w:r>
    </w:p>
    <w:p>
      <w:pPr>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spacing w:line="58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pStyle w:val="23"/>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sz w:val="44"/>
          <w:szCs w:val="44"/>
        </w:rPr>
        <w:br w:type="page"/>
      </w:r>
      <w:bookmarkStart w:id="54" w:name="_Toc15396614"/>
      <w:r>
        <w:rPr>
          <w:rFonts w:hint="eastAsia" w:ascii="黑体" w:hAnsi="黑体" w:eastAsia="黑体"/>
          <w:sz w:val="44"/>
          <w:szCs w:val="44"/>
        </w:rPr>
        <w:t>第</w:t>
      </w:r>
      <w:r>
        <w:rPr>
          <w:rStyle w:val="25"/>
          <w:rFonts w:hint="eastAsia" w:ascii="黑体" w:hAnsi="黑体" w:eastAsia="黑体"/>
          <w:b w:val="0"/>
        </w:rPr>
        <w:t>四部分 附件</w:t>
      </w:r>
      <w:bookmarkEnd w:id="54"/>
    </w:p>
    <w:p>
      <w:pPr>
        <w:pStyle w:val="5"/>
        <w:spacing w:before="93"/>
        <w:rPr>
          <w:rFonts w:ascii="方正小标宋简体" w:hAnsi="方正小标宋简体" w:eastAsia="方正小标宋简体" w:cs="方正小标宋简体"/>
          <w:sz w:val="32"/>
          <w:szCs w:val="32"/>
        </w:rPr>
      </w:pPr>
      <w:r>
        <w:rPr>
          <w:rFonts w:hint="eastAsia" w:hAnsi="宋体" w:cs="宋体"/>
          <w:sz w:val="32"/>
          <w:szCs w:val="32"/>
          <w:shd w:val="clear" w:color="auto" w:fill="FFFFFF"/>
          <w:lang w:val="zh-CN"/>
        </w:rPr>
        <w:t>附件</w:t>
      </w:r>
    </w:p>
    <w:p>
      <w:pPr>
        <w:spacing w:line="580" w:lineRule="exact"/>
        <w:jc w:val="center"/>
        <w:rPr>
          <w:rFonts w:ascii="方正小标宋简体" w:hAnsi="方正小标宋简体" w:eastAsia="方正小标宋简体" w:cs="方正小标宋简体"/>
          <w:sz w:val="44"/>
          <w:szCs w:val="44"/>
        </w:rPr>
      </w:pPr>
    </w:p>
    <w:p>
      <w:pPr>
        <w:spacing w:line="560" w:lineRule="exact"/>
        <w:jc w:val="center"/>
        <w:outlineLvl w:val="0"/>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广元市自然资源储备交易中心</w:t>
      </w:r>
    </w:p>
    <w:p>
      <w:pPr>
        <w:spacing w:line="560" w:lineRule="exact"/>
        <w:jc w:val="center"/>
        <w:outlineLvl w:val="0"/>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2021年部门整体支出绩效评价自评报告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80" w:lineRule="exact"/>
        <w:ind w:firstLine="640" w:firstLineChars="200"/>
        <w:rPr>
          <w:rFonts w:ascii="黑体" w:hAnsi="黑体" w:eastAsia="黑体"/>
          <w:bCs/>
          <w:sz w:val="32"/>
          <w:szCs w:val="32"/>
        </w:rPr>
      </w:pPr>
      <w:r>
        <w:rPr>
          <w:rFonts w:hint="eastAsia" w:ascii="黑体" w:hAnsi="黑体" w:eastAsia="黑体"/>
          <w:bCs/>
          <w:sz w:val="32"/>
          <w:szCs w:val="32"/>
        </w:rPr>
        <w:t>一、部门概况</w:t>
      </w:r>
    </w:p>
    <w:p>
      <w:pPr>
        <w:pStyle w:val="5"/>
        <w:adjustRightInd w:val="0"/>
        <w:snapToGrid w:val="0"/>
        <w:spacing w:before="93" w:line="580" w:lineRule="exact"/>
        <w:ind w:firstLine="672" w:firstLineChars="210"/>
        <w:outlineLvl w:val="2"/>
        <w:rPr>
          <w:rFonts w:ascii="楷体_GB2312" w:eastAsia="楷体_GB2312"/>
          <w:bCs/>
          <w:sz w:val="32"/>
          <w:szCs w:val="32"/>
        </w:rPr>
      </w:pPr>
      <w:bookmarkStart w:id="55" w:name="_Toc15396618"/>
      <w:r>
        <w:rPr>
          <w:rFonts w:hint="eastAsia" w:ascii="楷体_GB2312" w:eastAsia="楷体_GB2312"/>
          <w:sz w:val="32"/>
          <w:szCs w:val="32"/>
        </w:rPr>
        <w:t>(</w:t>
      </w:r>
      <w:r>
        <w:rPr>
          <w:rFonts w:hint="eastAsia" w:ascii="楷体_GB2312" w:eastAsia="楷体_GB2312"/>
          <w:bCs/>
          <w:sz w:val="32"/>
          <w:szCs w:val="32"/>
        </w:rPr>
        <w:t>一）基本职能</w:t>
      </w:r>
    </w:p>
    <w:p>
      <w:pPr>
        <w:spacing w:line="576"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负责编制市本级土地储备计划并实施；负责储备土地实施前期开发和管护；配合土地储备专项债券发行工作；承担国有建设用地供应事务性工作；负责国有建设用地二级市场相关工作。</w:t>
      </w:r>
    </w:p>
    <w:p>
      <w:pPr>
        <w:numPr>
          <w:ilvl w:val="0"/>
          <w:numId w:val="5"/>
        </w:numPr>
        <w:spacing w:line="580" w:lineRule="exact"/>
        <w:ind w:firstLine="640" w:firstLineChars="200"/>
        <w:rPr>
          <w:rFonts w:ascii="楷体_GB2312" w:eastAsia="楷体_GB2312"/>
          <w:bCs/>
          <w:sz w:val="32"/>
          <w:szCs w:val="32"/>
        </w:rPr>
      </w:pPr>
      <w:r>
        <w:rPr>
          <w:rFonts w:hint="eastAsia" w:ascii="楷体_GB2312" w:eastAsia="楷体_GB2312"/>
          <w:bCs/>
          <w:sz w:val="32"/>
          <w:szCs w:val="32"/>
        </w:rPr>
        <w:t>基本情况</w:t>
      </w:r>
    </w:p>
    <w:p>
      <w:pPr>
        <w:widowControl/>
        <w:adjustRightInd w:val="0"/>
        <w:snapToGrid w:val="0"/>
        <w:spacing w:line="500" w:lineRule="exact"/>
        <w:ind w:firstLine="640" w:firstLineChars="200"/>
        <w:jc w:val="left"/>
        <w:rPr>
          <w:rFonts w:ascii="仿宋_GB2312" w:hAnsi="仿宋_GB2312" w:eastAsia="仿宋_GB2312" w:cs="仿宋_GB2312"/>
          <w:color w:val="000000"/>
          <w:kern w:val="0"/>
          <w:sz w:val="30"/>
          <w:szCs w:val="30"/>
          <w:shd w:val="clear" w:color="auto" w:fill="FFFFFF"/>
        </w:rPr>
      </w:pPr>
      <w:r>
        <w:rPr>
          <w:rFonts w:hint="eastAsia" w:ascii="楷体_GB2312" w:eastAsia="楷体_GB2312"/>
          <w:bCs/>
          <w:sz w:val="32"/>
          <w:szCs w:val="32"/>
        </w:rPr>
        <w:t xml:space="preserve">1.人员情况  </w:t>
      </w:r>
      <w:r>
        <w:rPr>
          <w:rFonts w:hint="eastAsia" w:ascii="仿宋_GB2312" w:hAnsi="仿宋_GB2312" w:eastAsia="仿宋_GB2312" w:cs="仿宋_GB2312"/>
          <w:color w:val="000000"/>
          <w:kern w:val="0"/>
          <w:sz w:val="30"/>
          <w:szCs w:val="30"/>
          <w:shd w:val="clear" w:color="auto" w:fill="FFFFFF"/>
          <w:lang w:val="zh-CN"/>
        </w:rPr>
        <w:t xml:space="preserve"> 广元市自然资源储备交易中心在职编制数</w:t>
      </w:r>
      <w:r>
        <w:rPr>
          <w:rFonts w:hint="eastAsia" w:ascii="仿宋_GB2312" w:hAnsi="仿宋_GB2312" w:eastAsia="仿宋_GB2312" w:cs="仿宋_GB2312"/>
          <w:color w:val="000000"/>
          <w:kern w:val="0"/>
          <w:sz w:val="30"/>
          <w:szCs w:val="30"/>
          <w:shd w:val="clear" w:color="auto" w:fill="FFFFFF"/>
        </w:rPr>
        <w:t>14名。年末在职人员14人。</w:t>
      </w:r>
    </w:p>
    <w:p>
      <w:pPr>
        <w:spacing w:line="576" w:lineRule="exact"/>
        <w:ind w:firstLine="600" w:firstLineChars="200"/>
        <w:rPr>
          <w:rFonts w:ascii="仿宋" w:hAnsi="仿宋" w:eastAsia="仿宋" w:cs="仿宋_GB2312"/>
          <w:b/>
          <w:bCs/>
          <w:kern w:val="0"/>
          <w:sz w:val="30"/>
          <w:szCs w:val="30"/>
        </w:rPr>
      </w:pPr>
      <w:r>
        <w:rPr>
          <w:rFonts w:hint="eastAsia" w:ascii="仿宋_GB2312" w:hAnsi="仿宋_GB2312" w:eastAsia="仿宋_GB2312" w:cs="仿宋_GB2312"/>
          <w:color w:val="000000"/>
          <w:kern w:val="0"/>
          <w:sz w:val="30"/>
          <w:szCs w:val="30"/>
          <w:shd w:val="clear" w:color="auto" w:fill="FFFFFF"/>
        </w:rPr>
        <w:t>2.</w:t>
      </w:r>
      <w:r>
        <w:rPr>
          <w:rFonts w:hint="eastAsia" w:ascii="楷体_GB2312" w:eastAsia="楷体_GB2312"/>
          <w:bCs/>
          <w:sz w:val="32"/>
          <w:szCs w:val="32"/>
        </w:rPr>
        <w:t>部门自评步骤及方法</w:t>
      </w:r>
    </w:p>
    <w:p>
      <w:pPr>
        <w:spacing w:line="576"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对照《广元市部门整体支出绩效评价指标体系》，对2021年预算编制和执行情况、财政资金收支管理情况以及项目资金管理情况逐一核实、打分。</w:t>
      </w:r>
    </w:p>
    <w:p>
      <w:pPr>
        <w:spacing w:line="576" w:lineRule="exact"/>
        <w:ind w:firstLine="600" w:firstLineChars="200"/>
        <w:rPr>
          <w:rFonts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3.部分支出绩效评价得分情况</w:t>
      </w:r>
    </w:p>
    <w:tbl>
      <w:tblPr>
        <w:tblStyle w:val="13"/>
        <w:tblW w:w="8607" w:type="dxa"/>
        <w:tblInd w:w="93" w:type="dxa"/>
        <w:tblLayout w:type="fixed"/>
        <w:tblCellMar>
          <w:top w:w="0" w:type="dxa"/>
          <w:left w:w="108" w:type="dxa"/>
          <w:bottom w:w="0" w:type="dxa"/>
          <w:right w:w="108" w:type="dxa"/>
        </w:tblCellMar>
      </w:tblPr>
      <w:tblGrid>
        <w:gridCol w:w="1260"/>
        <w:gridCol w:w="1660"/>
        <w:gridCol w:w="3642"/>
        <w:gridCol w:w="1077"/>
        <w:gridCol w:w="968"/>
      </w:tblGrid>
      <w:tr>
        <w:tblPrEx>
          <w:tblCellMar>
            <w:top w:w="0" w:type="dxa"/>
            <w:left w:w="108" w:type="dxa"/>
            <w:bottom w:w="0" w:type="dxa"/>
            <w:right w:w="108" w:type="dxa"/>
          </w:tblCellMar>
        </w:tblPrEx>
        <w:trPr>
          <w:trHeight w:val="525" w:hRule="atLeast"/>
        </w:trPr>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一级指标</w:t>
            </w:r>
          </w:p>
        </w:tc>
        <w:tc>
          <w:tcPr>
            <w:tcW w:w="166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二级指标</w:t>
            </w:r>
          </w:p>
        </w:tc>
        <w:tc>
          <w:tcPr>
            <w:tcW w:w="364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三级指标</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仿宋" w:hAnsi="仿宋" w:eastAsia="仿宋" w:cs="Arial"/>
                <w:bCs/>
                <w:color w:val="000000"/>
                <w:kern w:val="0"/>
                <w:sz w:val="24"/>
              </w:rPr>
              <w:t>分值</w:t>
            </w:r>
          </w:p>
        </w:tc>
        <w:tc>
          <w:tcPr>
            <w:tcW w:w="968"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仿宋" w:hAnsi="仿宋" w:eastAsia="仿宋" w:cs="Arial"/>
                <w:bCs/>
                <w:color w:val="000000"/>
                <w:kern w:val="0"/>
                <w:sz w:val="24"/>
              </w:rPr>
              <w:t>得分</w:t>
            </w:r>
          </w:p>
        </w:tc>
      </w:tr>
      <w:tr>
        <w:tblPrEx>
          <w:tblCellMar>
            <w:top w:w="0" w:type="dxa"/>
            <w:left w:w="108" w:type="dxa"/>
            <w:bottom w:w="0" w:type="dxa"/>
            <w:right w:w="108" w:type="dxa"/>
          </w:tblCellMar>
        </w:tblPrEx>
        <w:trPr>
          <w:trHeight w:val="465" w:hRule="atLeast"/>
        </w:trPr>
        <w:tc>
          <w:tcPr>
            <w:tcW w:w="12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预算编制（6分）</w:t>
            </w: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报送时间</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报送时效</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编制质量</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预算编制准确</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预算执行（12分）</w:t>
            </w: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执行进度</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部门预算执行进度</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预算调整</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预算执行可行性</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行政成本</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“三公”经费</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决算</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部门决算编制和审查</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绩效管理（19份）</w:t>
            </w:r>
          </w:p>
        </w:tc>
        <w:tc>
          <w:tcPr>
            <w:tcW w:w="1660"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绩效目标</w:t>
            </w:r>
          </w:p>
        </w:tc>
        <w:tc>
          <w:tcPr>
            <w:tcW w:w="3642" w:type="dxa"/>
            <w:tcBorders>
              <w:top w:val="nil"/>
              <w:left w:val="nil"/>
              <w:bottom w:val="single" w:color="auto" w:sz="4" w:space="0"/>
              <w:right w:val="single" w:color="auto" w:sz="4" w:space="0"/>
            </w:tcBorders>
            <w:vAlign w:val="center"/>
          </w:tcPr>
          <w:p>
            <w:pPr>
              <w:widowControl/>
              <w:rPr>
                <w:rFonts w:ascii="仿宋" w:hAnsi="仿宋" w:eastAsia="仿宋" w:cs="宋体"/>
                <w:bCs/>
                <w:color w:val="000000"/>
                <w:kern w:val="0"/>
                <w:sz w:val="24"/>
              </w:rPr>
            </w:pPr>
            <w:r>
              <w:rPr>
                <w:rFonts w:hint="eastAsia" w:ascii="仿宋" w:hAnsi="仿宋" w:eastAsia="仿宋" w:cs="宋体"/>
                <w:bCs/>
                <w:color w:val="000000"/>
                <w:kern w:val="0"/>
                <w:sz w:val="24"/>
              </w:rPr>
              <w:t>部门整体绩效目标</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continue"/>
            <w:tcBorders>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rPr>
                <w:rFonts w:ascii="仿宋" w:hAnsi="仿宋" w:eastAsia="仿宋" w:cs="宋体"/>
                <w:bCs/>
                <w:color w:val="000000"/>
                <w:kern w:val="0"/>
                <w:sz w:val="24"/>
              </w:rPr>
            </w:pPr>
            <w:r>
              <w:rPr>
                <w:rFonts w:hint="eastAsia" w:ascii="仿宋" w:hAnsi="仿宋" w:eastAsia="仿宋" w:cs="宋体"/>
                <w:bCs/>
                <w:color w:val="000000"/>
                <w:kern w:val="0"/>
                <w:sz w:val="24"/>
              </w:rPr>
              <w:t>项目绩效评价</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绩效监控</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跟踪监控开展情况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continue"/>
            <w:tcBorders>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监控结果运用情况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restart"/>
            <w:tcBorders>
              <w:top w:val="nil"/>
              <w:left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绩效评价</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评价开展情况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4</w:t>
            </w:r>
          </w:p>
        </w:tc>
      </w:tr>
      <w:tr>
        <w:tblPrEx>
          <w:tblCellMar>
            <w:top w:w="0" w:type="dxa"/>
            <w:left w:w="108" w:type="dxa"/>
            <w:bottom w:w="0" w:type="dxa"/>
            <w:right w:w="108" w:type="dxa"/>
          </w:tblCellMar>
        </w:tblPrEx>
        <w:trPr>
          <w:trHeight w:val="465" w:hRule="atLeast"/>
        </w:trPr>
        <w:tc>
          <w:tcPr>
            <w:tcW w:w="126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166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评价结果报告</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465" w:hRule="atLeast"/>
        </w:trPr>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综合管理（33分）</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非税收入   执收情况</w:t>
            </w:r>
          </w:p>
        </w:tc>
        <w:tc>
          <w:tcPr>
            <w:tcW w:w="364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非税收入征收情况</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非税收入上缴情况</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政府采购</w:t>
            </w:r>
          </w:p>
        </w:tc>
        <w:tc>
          <w:tcPr>
            <w:tcW w:w="364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政府采购实施计划编制</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single" w:color="auto" w:sz="4" w:space="0"/>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政府采购实施计划执行</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资产管理</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资产管理信息系统建设情况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行政事业单位资产清查开展情况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行政事业单位资产报表上报情况</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1</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1</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tcBorders>
              <w:top w:val="nil"/>
              <w:left w:val="nil"/>
              <w:bottom w:val="single" w:color="auto"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内部控制管理</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内部控制制度健全完整</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信息公开</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预算公开</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决算公开</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46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绩效信息公开</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财政政策执行</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公务卡改革</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预算执行动态监控</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授权支付退票</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财经纪律执行</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违规记录</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bCs/>
                <w:color w:val="000000"/>
                <w:kern w:val="0"/>
                <w:sz w:val="24"/>
              </w:rPr>
            </w:pP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存在问题整改是否到位</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Cs/>
                <w:color w:val="000000"/>
                <w:kern w:val="0"/>
                <w:sz w:val="24"/>
              </w:rPr>
            </w:pPr>
            <w:r>
              <w:rPr>
                <w:rFonts w:ascii="Arial" w:hAnsi="Arial" w:cs="Arial"/>
                <w:bCs/>
                <w:color w:val="000000"/>
                <w:kern w:val="0"/>
                <w:sz w:val="24"/>
              </w:rPr>
              <w:t>2</w:t>
            </w:r>
          </w:p>
        </w:tc>
      </w:tr>
      <w:tr>
        <w:tblPrEx>
          <w:tblCellMar>
            <w:top w:w="0" w:type="dxa"/>
            <w:left w:w="108" w:type="dxa"/>
            <w:bottom w:w="0" w:type="dxa"/>
            <w:right w:w="108" w:type="dxa"/>
          </w:tblCellMar>
        </w:tblPrEx>
        <w:trPr>
          <w:trHeight w:val="375" w:hRule="atLeast"/>
        </w:trPr>
        <w:tc>
          <w:tcPr>
            <w:tcW w:w="1260" w:type="dxa"/>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评价结果应用  （30分）</w:t>
            </w:r>
          </w:p>
        </w:tc>
        <w:tc>
          <w:tcPr>
            <w:tcW w:w="1660" w:type="dxa"/>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项目绩效评价结果</w:t>
            </w:r>
          </w:p>
        </w:tc>
        <w:tc>
          <w:tcPr>
            <w:tcW w:w="3642" w:type="dxa"/>
            <w:tcBorders>
              <w:top w:val="nil"/>
              <w:left w:val="nil"/>
              <w:bottom w:val="single" w:color="auto" w:sz="4" w:space="0"/>
              <w:right w:val="single" w:color="auto" w:sz="4" w:space="0"/>
            </w:tcBorders>
            <w:vAlign w:val="center"/>
          </w:tcPr>
          <w:p>
            <w:pPr>
              <w:widowControl/>
              <w:jc w:val="left"/>
              <w:rPr>
                <w:rFonts w:ascii="仿宋" w:hAnsi="仿宋" w:eastAsia="仿宋" w:cs="宋体"/>
                <w:bCs/>
                <w:color w:val="000000"/>
                <w:kern w:val="0"/>
                <w:sz w:val="24"/>
              </w:rPr>
            </w:pPr>
            <w:r>
              <w:rPr>
                <w:rFonts w:hint="eastAsia" w:ascii="仿宋" w:hAnsi="仿宋" w:eastAsia="仿宋" w:cs="宋体"/>
                <w:bCs/>
                <w:color w:val="000000"/>
                <w:kern w:val="0"/>
                <w:sz w:val="24"/>
              </w:rPr>
              <w:t>项目绩效评价结果</w:t>
            </w:r>
          </w:p>
        </w:tc>
        <w:tc>
          <w:tcPr>
            <w:tcW w:w="1077"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30</w:t>
            </w:r>
          </w:p>
        </w:tc>
        <w:tc>
          <w:tcPr>
            <w:tcW w:w="968" w:type="dxa"/>
            <w:tcBorders>
              <w:top w:val="nil"/>
              <w:left w:val="nil"/>
              <w:bottom w:val="single" w:color="auto" w:sz="4" w:space="0"/>
              <w:right w:val="single" w:color="auto" w:sz="4" w:space="0"/>
            </w:tcBorders>
            <w:vAlign w:val="center"/>
          </w:tcPr>
          <w:p>
            <w:pPr>
              <w:widowControl/>
              <w:jc w:val="center"/>
              <w:rPr>
                <w:rFonts w:ascii="Arial" w:hAnsi="Arial" w:cs="Arial"/>
                <w:bCs/>
                <w:color w:val="000000"/>
                <w:kern w:val="0"/>
                <w:sz w:val="24"/>
              </w:rPr>
            </w:pPr>
            <w:r>
              <w:rPr>
                <w:rFonts w:hint="eastAsia" w:ascii="Arial" w:hAnsi="Arial" w:cs="Arial"/>
                <w:bCs/>
                <w:color w:val="000000"/>
                <w:kern w:val="0"/>
                <w:sz w:val="24"/>
              </w:rPr>
              <w:t>30</w:t>
            </w:r>
          </w:p>
        </w:tc>
      </w:tr>
      <w:tr>
        <w:tblPrEx>
          <w:tblCellMar>
            <w:top w:w="0" w:type="dxa"/>
            <w:left w:w="108" w:type="dxa"/>
            <w:bottom w:w="0" w:type="dxa"/>
            <w:right w:w="108" w:type="dxa"/>
          </w:tblCellMar>
        </w:tblPrEx>
        <w:trPr>
          <w:trHeight w:val="540" w:hRule="atLeast"/>
        </w:trPr>
        <w:tc>
          <w:tcPr>
            <w:tcW w:w="656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Cs/>
                <w:color w:val="000000"/>
                <w:kern w:val="0"/>
                <w:sz w:val="24"/>
              </w:rPr>
            </w:pPr>
            <w:r>
              <w:rPr>
                <w:rFonts w:hint="eastAsia" w:ascii="仿宋" w:hAnsi="仿宋" w:eastAsia="仿宋" w:cs="宋体"/>
                <w:bCs/>
                <w:color w:val="000000"/>
                <w:kern w:val="0"/>
                <w:sz w:val="24"/>
              </w:rPr>
              <w:t>合  计</w:t>
            </w:r>
          </w:p>
        </w:tc>
        <w:tc>
          <w:tcPr>
            <w:tcW w:w="1077" w:type="dxa"/>
            <w:tcBorders>
              <w:top w:val="nil"/>
              <w:left w:val="nil"/>
              <w:bottom w:val="single" w:color="auto" w:sz="4" w:space="0"/>
              <w:right w:val="single" w:color="auto" w:sz="4" w:space="0"/>
            </w:tcBorders>
            <w:noWrap/>
            <w:vAlign w:val="center"/>
          </w:tcPr>
          <w:p>
            <w:pPr>
              <w:widowControl/>
              <w:jc w:val="center"/>
              <w:rPr>
                <w:rFonts w:ascii="Arial" w:hAnsi="Arial" w:cs="Arial"/>
                <w:b/>
                <w:bCs/>
                <w:color w:val="000000"/>
                <w:kern w:val="0"/>
                <w:sz w:val="24"/>
              </w:rPr>
            </w:pPr>
            <w:r>
              <w:rPr>
                <w:rFonts w:ascii="Arial" w:hAnsi="Arial" w:cs="Arial"/>
                <w:b/>
                <w:bCs/>
                <w:color w:val="000000"/>
                <w:kern w:val="0"/>
                <w:sz w:val="24"/>
              </w:rPr>
              <w:t>100</w:t>
            </w:r>
          </w:p>
        </w:tc>
        <w:tc>
          <w:tcPr>
            <w:tcW w:w="968" w:type="dxa"/>
            <w:tcBorders>
              <w:top w:val="nil"/>
              <w:left w:val="nil"/>
              <w:bottom w:val="single" w:color="auto" w:sz="4" w:space="0"/>
              <w:right w:val="single" w:color="auto" w:sz="4" w:space="0"/>
            </w:tcBorders>
            <w:noWrap/>
            <w:vAlign w:val="center"/>
          </w:tcPr>
          <w:p>
            <w:pPr>
              <w:widowControl/>
              <w:jc w:val="center"/>
              <w:rPr>
                <w:rFonts w:ascii="Arial" w:hAnsi="Arial" w:cs="Arial"/>
                <w:b/>
                <w:bCs/>
                <w:color w:val="000000"/>
                <w:kern w:val="0"/>
                <w:sz w:val="24"/>
              </w:rPr>
            </w:pPr>
            <w:r>
              <w:rPr>
                <w:rFonts w:hint="eastAsia" w:ascii="Arial" w:hAnsi="Arial" w:cs="Arial"/>
                <w:b/>
                <w:bCs/>
                <w:color w:val="000000"/>
                <w:kern w:val="0"/>
                <w:sz w:val="24"/>
              </w:rPr>
              <w:t>99</w:t>
            </w:r>
          </w:p>
        </w:tc>
      </w:tr>
    </w:tbl>
    <w:p>
      <w:pPr>
        <w:widowControl/>
        <w:adjustRightInd w:val="0"/>
        <w:snapToGrid w:val="0"/>
        <w:spacing w:line="500" w:lineRule="exact"/>
        <w:jc w:val="left"/>
        <w:rPr>
          <w:rFonts w:hAnsi="仿宋_GB2312" w:cs="仿宋_GB2312"/>
          <w:color w:val="000000"/>
          <w:sz w:val="30"/>
          <w:szCs w:val="30"/>
        </w:rPr>
      </w:pPr>
    </w:p>
    <w:p>
      <w:pPr>
        <w:spacing w:line="500" w:lineRule="exact"/>
        <w:ind w:firstLine="720"/>
        <w:rPr>
          <w:rFonts w:ascii="仿宋_GB2312" w:hAnsi="仿宋_GB2312" w:eastAsia="仿宋_GB2312" w:cs="仿宋_GB2312"/>
          <w:sz w:val="30"/>
          <w:szCs w:val="30"/>
        </w:rPr>
      </w:pPr>
      <w:r>
        <w:rPr>
          <w:rFonts w:hint="eastAsia" w:ascii="仿宋_GB2312" w:hAnsi="仿宋_GB2312" w:eastAsia="仿宋_GB2312" w:cs="仿宋_GB2312"/>
          <w:sz w:val="30"/>
          <w:szCs w:val="30"/>
        </w:rPr>
        <w:t>二.部门总体评价</w:t>
      </w:r>
    </w:p>
    <w:p>
      <w:pPr>
        <w:spacing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shd w:val="clear" w:color="auto" w:fill="FFFFFF"/>
          <w:lang w:val="zh-CN"/>
        </w:rPr>
        <w:t>广元市自然资源储备交易中心</w:t>
      </w:r>
      <w:r>
        <w:rPr>
          <w:rFonts w:hint="eastAsia" w:ascii="仿宋_GB2312" w:hAnsi="仿宋_GB2312" w:eastAsia="仿宋_GB2312" w:cs="仿宋_GB2312"/>
          <w:sz w:val="30"/>
          <w:szCs w:val="30"/>
        </w:rPr>
        <w:t>总体支出绩效评价得分99分。</w:t>
      </w:r>
      <w:r>
        <w:rPr>
          <w:rFonts w:hint="eastAsia" w:ascii="仿宋" w:hAnsi="仿宋" w:eastAsia="仿宋" w:cs="仿宋_GB2312"/>
          <w:kern w:val="0"/>
          <w:sz w:val="30"/>
          <w:szCs w:val="30"/>
        </w:rPr>
        <w:t>对照《部门支出绩效评价指标体系》，我单位2021年部门支出绩效评价自评得分99分。</w:t>
      </w:r>
    </w:p>
    <w:p>
      <w:pPr>
        <w:spacing w:line="580" w:lineRule="exact"/>
        <w:ind w:left="627"/>
        <w:rPr>
          <w:rFonts w:ascii="黑体" w:hAnsi="黑体" w:eastAsia="黑体"/>
          <w:sz w:val="32"/>
          <w:szCs w:val="32"/>
        </w:rPr>
      </w:pPr>
      <w:r>
        <w:rPr>
          <w:rFonts w:hint="eastAsia" w:ascii="黑体" w:hAnsi="黑体" w:eastAsia="黑体"/>
          <w:sz w:val="32"/>
          <w:szCs w:val="32"/>
        </w:rPr>
        <w:t>三.部门财政支出管理情况</w:t>
      </w:r>
    </w:p>
    <w:p>
      <w:pPr>
        <w:spacing w:line="580" w:lineRule="exact"/>
        <w:rPr>
          <w:rFonts w:ascii="楷体_GB2312" w:hAnsi="黑体" w:eastAsia="楷体_GB2312"/>
          <w:sz w:val="32"/>
          <w:szCs w:val="32"/>
        </w:rPr>
      </w:pPr>
      <w:r>
        <w:rPr>
          <w:rFonts w:hint="eastAsia" w:ascii="楷体_GB2312" w:hAnsi="黑体" w:eastAsia="楷体_GB2312"/>
          <w:sz w:val="32"/>
          <w:szCs w:val="32"/>
        </w:rPr>
        <w:t xml:space="preserve">    （一）预算编制</w:t>
      </w:r>
    </w:p>
    <w:p>
      <w:pPr>
        <w:spacing w:line="580" w:lineRule="exact"/>
        <w:rPr>
          <w:rFonts w:ascii="仿宋_GB2312" w:eastAsia="仿宋_GB2312"/>
          <w:sz w:val="32"/>
          <w:szCs w:val="32"/>
        </w:rPr>
      </w:pPr>
      <w:r>
        <w:rPr>
          <w:rFonts w:hint="eastAsia" w:ascii="仿宋_GB2312" w:eastAsia="仿宋_GB2312"/>
          <w:sz w:val="32"/>
          <w:szCs w:val="32"/>
        </w:rPr>
        <w:t xml:space="preserve">    1.报送时效。我单位严格按财政部门预算编制要求的时间及时报送了部门预算和项目绩效目标,并规范准确完整地填制和报送预算报表，合理反映了本部门年度职责履行情况。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编制质量。我单位严格按照财政要求编制部门预算，达到了财政预算编制质量要求。做到编制完整无漏项，预算编制准确，基础信息和科目使用准确，单位编制、人员情况与供养人员横向联网系统数据相符。预算编制规范，项目名称、绩效指标、项目内容说明等合符规范。总之，基本支出按人员编制和定额标准，项目支出按照本单位职能职责根据上级和市委市政府下达的工作目标任务进行编制，做到了资料完整、依据充分。</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（二）预算执行</w:t>
      </w:r>
    </w:p>
    <w:p>
      <w:pPr>
        <w:spacing w:line="580" w:lineRule="exact"/>
        <w:ind w:firstLine="640" w:firstLineChars="200"/>
        <w:rPr>
          <w:rFonts w:ascii="仿宋_GB2312" w:hAnsi="宋体" w:eastAsia="仿宋_GB2312" w:cs="宋体"/>
          <w:kern w:val="0"/>
          <w:sz w:val="32"/>
          <w:szCs w:val="32"/>
        </w:rPr>
      </w:pPr>
      <w:r>
        <w:rPr>
          <w:rFonts w:hint="eastAsia" w:ascii="仿宋_GB2312" w:eastAsia="仿宋_GB2312"/>
          <w:bCs/>
          <w:sz w:val="32"/>
          <w:szCs w:val="32"/>
        </w:rPr>
        <w:t>1.预算执行进度</w:t>
      </w:r>
      <w:r>
        <w:rPr>
          <w:rFonts w:hint="eastAsia" w:ascii="仿宋_GB2312" w:eastAsia="仿宋_GB2312"/>
          <w:b/>
          <w:sz w:val="32"/>
          <w:szCs w:val="32"/>
        </w:rPr>
        <w:t>。</w:t>
      </w:r>
      <w:r>
        <w:rPr>
          <w:rFonts w:hint="eastAsia" w:ascii="仿宋_GB2312" w:hAnsi="宋体" w:eastAsia="仿宋_GB2312" w:cs="宋体"/>
          <w:kern w:val="0"/>
          <w:sz w:val="32"/>
          <w:szCs w:val="32"/>
        </w:rPr>
        <w:t>本年度预算执行收支平衡，完成本部门经济和社会事业发展职能职责，人员支出部分按时间进度执行。</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2.预算平衡调整。</w:t>
      </w:r>
      <w:r>
        <w:rPr>
          <w:rFonts w:hint="eastAsia" w:ascii="仿宋_GB2312" w:eastAsia="仿宋_GB2312"/>
          <w:sz w:val="32"/>
          <w:szCs w:val="32"/>
        </w:rPr>
        <w:t>我单位严格执行预算，执行中不调整项目。</w:t>
      </w:r>
    </w:p>
    <w:p>
      <w:pPr>
        <w:spacing w:line="580" w:lineRule="exact"/>
        <w:ind w:firstLine="640"/>
        <w:rPr>
          <w:rFonts w:ascii="仿宋_GB2312" w:hAnsi="仿宋_GB2312" w:eastAsia="仿宋_GB2312" w:cs="仿宋_GB2312"/>
          <w:color w:val="000000"/>
          <w:sz w:val="32"/>
          <w:szCs w:val="32"/>
        </w:rPr>
      </w:pPr>
      <w:r>
        <w:rPr>
          <w:rFonts w:hint="eastAsia" w:ascii="仿宋_GB2312" w:hAnsi="宋体" w:eastAsia="仿宋_GB2312" w:cs="宋体"/>
          <w:kern w:val="0"/>
          <w:sz w:val="32"/>
          <w:szCs w:val="32"/>
        </w:rPr>
        <w:t>3.三公经费执行情况</w:t>
      </w:r>
      <w:r>
        <w:rPr>
          <w:rFonts w:hint="eastAsia" w:ascii="仿宋_GB2312" w:hAnsi="宋体" w:eastAsia="仿宋_GB2312" w:cs="宋体"/>
          <w:b/>
          <w:bCs/>
          <w:kern w:val="0"/>
          <w:sz w:val="32"/>
          <w:szCs w:val="32"/>
        </w:rPr>
        <w:t>。</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21年“三公”经费预算1万元，其中:公务接待1万元，车辆运行维护费0万元。全年支出 0万元。其中：公务接待费0万元，车辆运行维护费0万元，具体情况如下：</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（1）公务用车运行维护费支出0万元。我单位现公务用车在编数量为0。</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（2）公务接待费支出0万元，决算数小于预算数是因为贯彻执行厉行节约政策、努力压缩开支。</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4.部门决算编制和审查。</w:t>
      </w:r>
      <w:r>
        <w:rPr>
          <w:rFonts w:hint="eastAsia" w:ascii="仿宋_GB2312" w:hAnsi="宋体" w:eastAsia="仿宋_GB2312" w:cs="宋体"/>
          <w:kern w:val="0"/>
          <w:sz w:val="32"/>
          <w:szCs w:val="32"/>
        </w:rPr>
        <w:t>及时进行年终账务清算，核实各项预算收支，按规定时间报送决算报表，做到了帐表一致，决算数据真实准确，部门决算编制人员与供养人员系统数据相符。</w:t>
      </w:r>
    </w:p>
    <w:p>
      <w:pPr>
        <w:spacing w:line="580" w:lineRule="exact"/>
        <w:rPr>
          <w:rFonts w:ascii="楷体_GB2312" w:eastAsia="楷体_GB2312"/>
          <w:sz w:val="32"/>
          <w:szCs w:val="32"/>
        </w:rPr>
      </w:pPr>
      <w:r>
        <w:rPr>
          <w:rFonts w:hint="eastAsia" w:ascii="楷体_GB2312" w:eastAsia="楷体_GB2312"/>
          <w:bCs/>
          <w:sz w:val="32"/>
          <w:szCs w:val="32"/>
        </w:rPr>
        <w:t xml:space="preserve">    （三）财政资金综合管理情况</w:t>
      </w:r>
    </w:p>
    <w:p>
      <w:pPr>
        <w:spacing w:line="580" w:lineRule="exact"/>
        <w:rPr>
          <w:rFonts w:ascii="仿宋_GB2312" w:eastAsia="仿宋_GB2312"/>
          <w:sz w:val="32"/>
          <w:szCs w:val="32"/>
        </w:rPr>
      </w:pPr>
      <w:r>
        <w:rPr>
          <w:rFonts w:hint="eastAsia" w:ascii="仿宋_GB2312" w:eastAsia="仿宋_GB2312"/>
          <w:b/>
          <w:bCs/>
          <w:sz w:val="32"/>
          <w:szCs w:val="32"/>
        </w:rPr>
        <w:t xml:space="preserve">    </w:t>
      </w:r>
      <w:r>
        <w:rPr>
          <w:rFonts w:hint="eastAsia" w:ascii="仿宋_GB2312" w:eastAsia="仿宋_GB2312"/>
          <w:sz w:val="32"/>
          <w:szCs w:val="32"/>
        </w:rPr>
        <w:t>1.非税收入征收、上缴情况。</w:t>
      </w:r>
      <w:r>
        <w:rPr>
          <w:rFonts w:hint="eastAsia" w:ascii="仿宋_GB2312" w:hAnsi="宋体" w:eastAsia="仿宋_GB2312" w:cs="宋体"/>
          <w:kern w:val="0"/>
          <w:sz w:val="32"/>
          <w:szCs w:val="32"/>
        </w:rPr>
        <w:t>我单位无非税收入征收、上缴工作。</w:t>
      </w:r>
    </w:p>
    <w:p>
      <w:pPr>
        <w:spacing w:line="580" w:lineRule="exact"/>
        <w:rPr>
          <w:rFonts w:ascii="仿宋_GB2312" w:hAnsi="宋体" w:eastAsia="仿宋_GB2312" w:cs="宋体"/>
          <w:kern w:val="0"/>
          <w:sz w:val="32"/>
          <w:szCs w:val="32"/>
        </w:rPr>
      </w:pPr>
      <w:r>
        <w:rPr>
          <w:rFonts w:hint="eastAsia" w:ascii="仿宋_GB2312" w:eastAsia="仿宋_GB2312"/>
          <w:b/>
          <w:bCs/>
          <w:sz w:val="32"/>
          <w:szCs w:val="32"/>
        </w:rPr>
        <w:t xml:space="preserve">   </w:t>
      </w:r>
      <w:r>
        <w:rPr>
          <w:rFonts w:hint="eastAsia" w:ascii="仿宋_GB2312" w:eastAsia="仿宋_GB2312"/>
          <w:sz w:val="32"/>
          <w:szCs w:val="32"/>
        </w:rPr>
        <w:t xml:space="preserve"> 2.政府采购实施计划编制执行情况。</w:t>
      </w:r>
      <w:r>
        <w:rPr>
          <w:rFonts w:hint="eastAsia" w:ascii="仿宋_GB2312" w:hAnsi="宋体" w:eastAsia="仿宋_GB2312" w:cs="宋体"/>
          <w:kern w:val="0"/>
          <w:sz w:val="32"/>
          <w:szCs w:val="32"/>
        </w:rPr>
        <w:t>认真编制政府采购预算，做到应编尽编，不遗漏；规范采购行为，执行政府采购政策，做到应采尽采。全年一般公共预算采购预算为0万元，实际采购金额0万元。</w:t>
      </w:r>
    </w:p>
    <w:p>
      <w:pPr>
        <w:spacing w:line="580"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 xml:space="preserve"> 3.资产管理信息系统建设、资产清查上报情况。本部门的新增和减少资产已严格按照要求录入资产管理系统，并按照上级要求及时、准确、全面上报资产报表，严格按照财政资产管理科和市机关事务管理局的相关政策进行资产清理和上报，使资产管理系统和财务会计资产系统账账相符。</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部门内部控制制度健全情况。我单位内部管理制度比较健全，设置有《岗位责任制》，《廉政风险三同防控图》，依据了《广元市自然资源系统内部审计管理办法》、《广元市自然资源局财务管理制度》，具体内容包括经费审批制度、现金管理、票据管理、会计档案管理、资产管理等。</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5.预决算及绩效信息公开情况。我单位严格按照财政要求，及时、准确、全面的在政府网站和局域内门户网站公开预决算和绩效信息。</w:t>
      </w:r>
    </w:p>
    <w:p>
      <w:pPr>
        <w:spacing w:line="580" w:lineRule="exact"/>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6.绩效评价开展、评价结果报告情况。积极对我单位</w:t>
      </w:r>
      <w:r>
        <w:rPr>
          <w:rFonts w:hint="eastAsia" w:ascii="仿宋_GB2312" w:eastAsia="仿宋_GB2312"/>
          <w:color w:val="000000"/>
          <w:sz w:val="32"/>
          <w:szCs w:val="32"/>
        </w:rPr>
        <w:t>开展了绩效自评，通过对支出总体评价，自评得分99分。</w:t>
      </w:r>
    </w:p>
    <w:p>
      <w:pPr>
        <w:spacing w:line="580" w:lineRule="exact"/>
        <w:ind w:firstLine="640" w:firstLineChars="200"/>
        <w:rPr>
          <w:rFonts w:ascii="仿宋_GB2312" w:eastAsia="仿宋_GB2312"/>
          <w:sz w:val="32"/>
          <w:szCs w:val="32"/>
        </w:rPr>
      </w:pPr>
      <w:r>
        <w:rPr>
          <w:rFonts w:hint="eastAsia" w:ascii="仿宋_GB2312" w:eastAsia="仿宋_GB2312"/>
          <w:color w:val="000000"/>
          <w:sz w:val="32"/>
          <w:szCs w:val="32"/>
        </w:rPr>
        <w:t>7.绩效管理工作开展情况。我单位严格按照绩效管理评价工作的要求，积极落实，</w:t>
      </w:r>
      <w:r>
        <w:rPr>
          <w:rFonts w:hint="eastAsia" w:ascii="仿宋_GB2312" w:hAnsi="仿宋_GB2312" w:eastAsia="仿宋_GB2312" w:cs="仿宋_GB2312"/>
          <w:bCs/>
          <w:kern w:val="0"/>
          <w:sz w:val="32"/>
          <w:szCs w:val="32"/>
        </w:rPr>
        <w:t>认真组织本部门相关人员开展绩效评价工作。</w:t>
      </w:r>
    </w:p>
    <w:p>
      <w:pPr>
        <w:spacing w:line="580"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 xml:space="preserve"> 8.财政政策执行情况</w:t>
      </w:r>
    </w:p>
    <w:p>
      <w:pPr>
        <w:spacing w:line="580" w:lineRule="exact"/>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    （</w:t>
      </w:r>
      <w:r>
        <w:rPr>
          <w:rFonts w:hint="eastAsia" w:ascii="仿宋_GB2312" w:hAnsi="宋体" w:eastAsia="仿宋_GB2312" w:cs="宋体"/>
          <w:kern w:val="0"/>
          <w:sz w:val="32"/>
          <w:szCs w:val="32"/>
        </w:rPr>
        <w:t>1）国库集中支付。我单位严格执行国库集中支付规定，当年部门预算支出中直接支付比例超过市本级当期平均水平。</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（2）公务卡改革。严格按公务卡强制结算目录，公务用车燃油费、职工出差培训费、住宿费、公务机票等都使用公务卡进行结算。</w:t>
      </w:r>
    </w:p>
    <w:p>
      <w:pPr>
        <w:spacing w:line="58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（3）政府采购政策执行。认真编制政府采购预算，做到应编尽编，不遗漏；规范采购行为，执行政府采购政策，做到应采尽采。</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（4）非税收入征收管理。我单位无非税收入征收业务。</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（5）厉行节约。按照相关规定进行经费开支，无违反规定支出行为，无超标准开支行为；“三公”经费严格按财政规定限额标准进行限制和压缩。</w:t>
      </w:r>
    </w:p>
    <w:p>
      <w:pPr>
        <w:spacing w:line="58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9.财经纪律执行情况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（1）审计监察。接受了审计局及相关部门检查组对我单位2020年度财政预算收支情况的检查，以及财政等部门的其他相关检查。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（2）预算执行动态监控。所有收支均通过财政大平台实行动态监控，资金管理较规范，按市财政国库动态监控预警无违规支付行为。</w:t>
      </w:r>
    </w:p>
    <w:p>
      <w:pPr>
        <w:spacing w:line="580" w:lineRule="exact"/>
        <w:ind w:firstLine="640" w:firstLineChars="200"/>
        <w:rPr>
          <w:rFonts w:ascii="黑体" w:hAnsi="黑体" w:eastAsia="黑体"/>
          <w:bCs/>
          <w:sz w:val="32"/>
          <w:szCs w:val="32"/>
        </w:rPr>
      </w:pPr>
      <w:r>
        <w:rPr>
          <w:rFonts w:hint="eastAsia" w:ascii="黑体" w:hAnsi="黑体" w:eastAsia="黑体"/>
          <w:bCs/>
          <w:sz w:val="32"/>
          <w:szCs w:val="32"/>
        </w:rPr>
        <w:t>三、存在问题</w:t>
      </w:r>
    </w:p>
    <w:p>
      <w:pPr>
        <w:autoSpaceDE w:val="0"/>
        <w:autoSpaceDN w:val="0"/>
        <w:adjustRightInd w:val="0"/>
        <w:spacing w:line="576" w:lineRule="atLeas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加强内控制度的衔接与建立，确保内控制度全覆盖。我们也会今后在工作中不断改进和加强各项支出管理，确保整体支出绩效达到最佳水平。</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四、整改建议和意见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下一步改进措施：一是建议财政加强对单位及其财务人员项目绩效评价和内控制度建设等方面的培训力度，为适应新形势新要求，让每一个财务人员及时正确掌握政策，把握好财经纪律。建议将财务人员定期培训工作纳入目标任务。二是建议通过财政支出和项目绩效评价结果，财政根据各单位的项目工作任务及政府目标考核内容纳入项目工作经费，确保各单位履行行政职能职责有保障。</w:t>
      </w:r>
    </w:p>
    <w:p>
      <w:pPr>
        <w:pStyle w:val="2"/>
      </w:pPr>
    </w:p>
    <w:p>
      <w:pPr>
        <w:pStyle w:val="8"/>
        <w:rPr>
          <w:rFonts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3"/>
      <w:bookmarkEnd w:id="55"/>
      <w:bookmarkStart w:id="56" w:name="_Toc15396619"/>
    </w:p>
    <w:p>
      <w:pPr>
        <w:pStyle w:val="2"/>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6"/>
    </w:p>
    <w:p>
      <w:pPr>
        <w:pStyle w:val="2"/>
        <w:rPr>
          <w:rFonts w:ascii="仿宋" w:hAnsi="仿宋" w:eastAsia="仿宋"/>
        </w:rPr>
      </w:pPr>
      <w:bookmarkStart w:id="57" w:name="_Toc15396620"/>
      <w:r>
        <w:rPr>
          <w:rFonts w:hint="eastAsia" w:ascii="仿宋" w:hAnsi="仿宋" w:eastAsia="仿宋"/>
          <w:b w:val="0"/>
        </w:rPr>
        <w:t>二、收</w:t>
      </w:r>
      <w:r>
        <w:rPr>
          <w:rStyle w:val="26"/>
          <w:rFonts w:hint="eastAsia" w:ascii="仿宋" w:hAnsi="仿宋" w:eastAsia="仿宋"/>
          <w:b w:val="0"/>
          <w:bCs w:val="0"/>
        </w:rPr>
        <w:t>入决算表</w:t>
      </w:r>
      <w:bookmarkEnd w:id="57"/>
    </w:p>
    <w:p>
      <w:pPr>
        <w:pStyle w:val="2"/>
        <w:rPr>
          <w:rFonts w:ascii="仿宋" w:hAnsi="仿宋" w:eastAsia="仿宋"/>
        </w:rPr>
      </w:pPr>
      <w:bookmarkStart w:id="58"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8"/>
    </w:p>
    <w:p>
      <w:pPr>
        <w:pStyle w:val="2"/>
        <w:rPr>
          <w:rFonts w:ascii="仿宋" w:hAnsi="仿宋" w:eastAsia="仿宋"/>
          <w:b w:val="0"/>
        </w:rPr>
      </w:pPr>
      <w:bookmarkStart w:id="59"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9"/>
    </w:p>
    <w:p>
      <w:pPr>
        <w:pStyle w:val="2"/>
        <w:rPr>
          <w:rStyle w:val="26"/>
          <w:rFonts w:ascii="仿宋" w:hAnsi="仿宋" w:eastAsia="仿宋"/>
          <w:b w:val="0"/>
          <w:bCs w:val="0"/>
        </w:rPr>
      </w:pPr>
      <w:bookmarkStart w:id="60"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0"/>
      <w:bookmarkStart w:id="61" w:name="_Toc15396624"/>
    </w:p>
    <w:p>
      <w:pPr>
        <w:pStyle w:val="2"/>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1"/>
    </w:p>
    <w:p>
      <w:pPr>
        <w:pStyle w:val="2"/>
        <w:rPr>
          <w:rFonts w:ascii="仿宋" w:hAnsi="仿宋" w:eastAsia="仿宋"/>
        </w:rPr>
      </w:pPr>
      <w:bookmarkStart w:id="62"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2"/>
    </w:p>
    <w:p>
      <w:pPr>
        <w:pStyle w:val="2"/>
        <w:rPr>
          <w:rFonts w:ascii="仿宋" w:hAnsi="仿宋" w:eastAsia="仿宋"/>
        </w:rPr>
      </w:pPr>
      <w:bookmarkStart w:id="63"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3"/>
    </w:p>
    <w:p>
      <w:pPr>
        <w:pStyle w:val="2"/>
        <w:rPr>
          <w:rFonts w:ascii="仿宋" w:hAnsi="仿宋" w:eastAsia="仿宋"/>
        </w:rPr>
      </w:pPr>
      <w:bookmarkStart w:id="64"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4"/>
    </w:p>
    <w:p>
      <w:pPr>
        <w:pStyle w:val="2"/>
        <w:rPr>
          <w:rFonts w:ascii="仿宋" w:hAnsi="仿宋" w:eastAsia="仿宋"/>
        </w:rPr>
      </w:pPr>
      <w:bookmarkStart w:id="65"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5"/>
    </w:p>
    <w:p>
      <w:pPr>
        <w:pStyle w:val="2"/>
        <w:rPr>
          <w:rFonts w:ascii="仿宋" w:hAnsi="仿宋" w:eastAsia="仿宋"/>
        </w:rPr>
      </w:pPr>
      <w:bookmarkStart w:id="66"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6"/>
    </w:p>
    <w:p>
      <w:pPr>
        <w:pStyle w:val="2"/>
        <w:rPr>
          <w:rFonts w:ascii="仿宋" w:hAnsi="仿宋" w:eastAsia="仿宋"/>
        </w:rPr>
      </w:pPr>
      <w:bookmarkStart w:id="67"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67"/>
    </w:p>
    <w:p>
      <w:pPr>
        <w:pStyle w:val="2"/>
        <w:rPr>
          <w:rStyle w:val="26"/>
          <w:rFonts w:ascii="仿宋" w:hAnsi="仿宋" w:eastAsia="仿宋"/>
          <w:b w:val="0"/>
          <w:bCs w:val="0"/>
        </w:rPr>
      </w:pPr>
      <w:bookmarkStart w:id="68" w:name="_Toc15396631"/>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68"/>
    </w:p>
    <w:p>
      <w:pPr>
        <w:rPr>
          <w:rFonts w:eastAsia="仿宋"/>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8C7ED72"/>
    <w:multiLevelType w:val="singleLevel"/>
    <w:tmpl w:val="28C7ED72"/>
    <w:lvl w:ilvl="0" w:tentative="0">
      <w:start w:val="2"/>
      <w:numFmt w:val="chineseCounting"/>
      <w:suff w:val="nothing"/>
      <w:lvlText w:val="（%1）"/>
      <w:lvlJc w:val="left"/>
      <w:rPr>
        <w:rFonts w:hint="eastAsia"/>
      </w:rPr>
    </w:lvl>
  </w:abstractNum>
  <w:abstractNum w:abstractNumId="4">
    <w:nsid w:val="2FDE545C"/>
    <w:multiLevelType w:val="singleLevel"/>
    <w:tmpl w:val="2FDE545C"/>
    <w:lvl w:ilvl="0" w:tentative="0">
      <w:start w:val="3"/>
      <w:numFmt w:val="decimal"/>
      <w:lvlText w:val="%1."/>
      <w:lvlJc w:val="left"/>
      <w:pPr>
        <w:tabs>
          <w:tab w:val="left" w:pos="312"/>
        </w:tabs>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DBmYmQ1NzZkZmQ3ZTc5NjI2NjJhYTZmMGE1ZjIifQ=="/>
  </w:docVars>
  <w:rsids>
    <w:rsidRoot w:val="00F1361C"/>
    <w:rsid w:val="000222C6"/>
    <w:rsid w:val="0002549F"/>
    <w:rsid w:val="000468DB"/>
    <w:rsid w:val="0006487A"/>
    <w:rsid w:val="00065F8F"/>
    <w:rsid w:val="00070A43"/>
    <w:rsid w:val="000768F2"/>
    <w:rsid w:val="0008172A"/>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13A4D"/>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4A09"/>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DA1"/>
    <w:rsid w:val="006A3141"/>
    <w:rsid w:val="006A5E34"/>
    <w:rsid w:val="006B2422"/>
    <w:rsid w:val="006B2B9A"/>
    <w:rsid w:val="006B4202"/>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1B1F"/>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CDF"/>
    <w:rsid w:val="00F602DF"/>
    <w:rsid w:val="00F754A1"/>
    <w:rsid w:val="00F81FD9"/>
    <w:rsid w:val="00F83F44"/>
    <w:rsid w:val="00F841AA"/>
    <w:rsid w:val="00F84A94"/>
    <w:rsid w:val="00F87E96"/>
    <w:rsid w:val="00FA23E8"/>
    <w:rsid w:val="00FD3CC1"/>
    <w:rsid w:val="00FF1E02"/>
    <w:rsid w:val="00FF30B4"/>
    <w:rsid w:val="013E50E2"/>
    <w:rsid w:val="0A2032A3"/>
    <w:rsid w:val="0B8A37D8"/>
    <w:rsid w:val="0BDF3BB6"/>
    <w:rsid w:val="10154878"/>
    <w:rsid w:val="10C055FF"/>
    <w:rsid w:val="118107EC"/>
    <w:rsid w:val="11DD6519"/>
    <w:rsid w:val="16321CA0"/>
    <w:rsid w:val="16480C1F"/>
    <w:rsid w:val="16BB723D"/>
    <w:rsid w:val="17297CE3"/>
    <w:rsid w:val="18015F3F"/>
    <w:rsid w:val="188F365D"/>
    <w:rsid w:val="197A7DA1"/>
    <w:rsid w:val="1BA97497"/>
    <w:rsid w:val="1BE8440E"/>
    <w:rsid w:val="1CCE660E"/>
    <w:rsid w:val="1D155CEE"/>
    <w:rsid w:val="1E881EC3"/>
    <w:rsid w:val="20F57F95"/>
    <w:rsid w:val="240371BF"/>
    <w:rsid w:val="243279D1"/>
    <w:rsid w:val="244F2815"/>
    <w:rsid w:val="250002FB"/>
    <w:rsid w:val="25770175"/>
    <w:rsid w:val="25C741E6"/>
    <w:rsid w:val="270A37D0"/>
    <w:rsid w:val="27842671"/>
    <w:rsid w:val="27C22E19"/>
    <w:rsid w:val="297468DC"/>
    <w:rsid w:val="29FD04D3"/>
    <w:rsid w:val="29FD282F"/>
    <w:rsid w:val="2ABE7A3E"/>
    <w:rsid w:val="2D6009A2"/>
    <w:rsid w:val="2EFA178C"/>
    <w:rsid w:val="30B46D73"/>
    <w:rsid w:val="31322DBE"/>
    <w:rsid w:val="319F7F4E"/>
    <w:rsid w:val="3434719C"/>
    <w:rsid w:val="386A72E1"/>
    <w:rsid w:val="388D158C"/>
    <w:rsid w:val="39AE70AB"/>
    <w:rsid w:val="3A246869"/>
    <w:rsid w:val="3B0F2544"/>
    <w:rsid w:val="3B586984"/>
    <w:rsid w:val="3C0C0783"/>
    <w:rsid w:val="3EB72C41"/>
    <w:rsid w:val="3F795B0E"/>
    <w:rsid w:val="3F9F3A96"/>
    <w:rsid w:val="401F7E48"/>
    <w:rsid w:val="40350D30"/>
    <w:rsid w:val="40385F17"/>
    <w:rsid w:val="407927B7"/>
    <w:rsid w:val="41215ADF"/>
    <w:rsid w:val="41876D06"/>
    <w:rsid w:val="44A23E00"/>
    <w:rsid w:val="451C5060"/>
    <w:rsid w:val="491C608F"/>
    <w:rsid w:val="493C27E9"/>
    <w:rsid w:val="496F39ED"/>
    <w:rsid w:val="49FF41D3"/>
    <w:rsid w:val="4A185DC8"/>
    <w:rsid w:val="4BE068DB"/>
    <w:rsid w:val="4BF6002B"/>
    <w:rsid w:val="4C7D77B7"/>
    <w:rsid w:val="4D3E751D"/>
    <w:rsid w:val="4D8A3B03"/>
    <w:rsid w:val="4ECE2238"/>
    <w:rsid w:val="4F0B3776"/>
    <w:rsid w:val="4F5070A2"/>
    <w:rsid w:val="508A1E77"/>
    <w:rsid w:val="50903205"/>
    <w:rsid w:val="5196408D"/>
    <w:rsid w:val="51DB4B86"/>
    <w:rsid w:val="51F55903"/>
    <w:rsid w:val="54365C20"/>
    <w:rsid w:val="54406A2F"/>
    <w:rsid w:val="55333C3E"/>
    <w:rsid w:val="581D67E1"/>
    <w:rsid w:val="591B75C2"/>
    <w:rsid w:val="5A3F1711"/>
    <w:rsid w:val="5BE41A30"/>
    <w:rsid w:val="64CA39A1"/>
    <w:rsid w:val="66A440C2"/>
    <w:rsid w:val="68A6351C"/>
    <w:rsid w:val="6C4A05C8"/>
    <w:rsid w:val="6D195FA7"/>
    <w:rsid w:val="72734D90"/>
    <w:rsid w:val="72B1775D"/>
    <w:rsid w:val="756F5626"/>
    <w:rsid w:val="77771C03"/>
    <w:rsid w:val="78FB5F09"/>
    <w:rsid w:val="79E7B28D"/>
    <w:rsid w:val="7C603B17"/>
    <w:rsid w:val="7C775BAB"/>
    <w:rsid w:val="7F9F20EE"/>
    <w:rsid w:val="7FE231CE"/>
    <w:rsid w:val="9E3A10E2"/>
    <w:rsid w:val="BF7FB188"/>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2">
    <w:name w:val="heading 2"/>
    <w:basedOn w:val="3"/>
    <w:next w:val="1"/>
    <w:link w:val="26"/>
    <w:unhideWhenUsed/>
    <w:qFormat/>
    <w:uiPriority w:val="9"/>
    <w:pPr>
      <w:spacing w:before="260" w:after="260" w:line="416" w:lineRule="auto"/>
      <w:outlineLvl w:val="1"/>
    </w:pPr>
    <w:rPr>
      <w:rFonts w:asciiTheme="majorHAnsi" w:hAnsiTheme="majorHAnsi" w:eastAsiaTheme="majorEastAsia" w:cstheme="majorBidi"/>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2"/>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9"/>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2020年度支总计</c:v>
                </c:pt>
                <c:pt idx="1">
                  <c:v>2021年度收、支总计</c:v>
                </c:pt>
              </c:strCache>
            </c:strRef>
          </c:cat>
          <c:val>
            <c:numRef>
              <c:f>Sheet1!$B$2:$B$3</c:f>
              <c:numCache>
                <c:formatCode>General</c:formatCode>
                <c:ptCount val="2"/>
                <c:pt idx="0">
                  <c:v>1159.81</c:v>
                </c:pt>
                <c:pt idx="1">
                  <c:v>3054.07</c:v>
                </c:pt>
              </c:numCache>
            </c:numRef>
          </c:val>
        </c:ser>
        <c:dLbls>
          <c:showLegendKey val="false"/>
          <c:showVal val="false"/>
          <c:showCatName val="false"/>
          <c:showSerName val="false"/>
          <c:showPercent val="false"/>
          <c:showBubbleSize val="false"/>
        </c:dLbls>
        <c:gapWidth val="219"/>
        <c:overlap val="-27"/>
        <c:axId val="286498848"/>
        <c:axId val="286499240"/>
      </c:barChart>
      <c:catAx>
        <c:axId val="286498848"/>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6499240"/>
        <c:crosses val="autoZero"/>
        <c:auto val="true"/>
        <c:lblAlgn val="ctr"/>
        <c:lblOffset val="100"/>
        <c:noMultiLvlLbl val="false"/>
      </c:catAx>
      <c:valAx>
        <c:axId val="28649924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86498848"/>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2915.69</c:v>
                </c:pt>
                <c:pt idx="1">
                  <c:v>0.03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203.27</c:v>
                </c:pt>
                <c:pt idx="1">
                  <c:v>2712.23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2020年财政拨款收、支总计</c:v>
                </c:pt>
                <c:pt idx="1">
                  <c:v>2021年财政拨款收、支总计</c:v>
                </c:pt>
              </c:strCache>
            </c:strRef>
          </c:cat>
          <c:val>
            <c:numRef>
              <c:f>Sheet1!$B$2:$B$3</c:f>
              <c:numCache>
                <c:formatCode>General</c:formatCode>
                <c:ptCount val="2"/>
                <c:pt idx="0">
                  <c:v>1051.94</c:v>
                </c:pt>
                <c:pt idx="1">
                  <c:v>2956.4</c:v>
                </c:pt>
              </c:numCache>
            </c:numRef>
          </c:val>
        </c:ser>
        <c:dLbls>
          <c:showLegendKey val="false"/>
          <c:showVal val="false"/>
          <c:showCatName val="false"/>
          <c:showSerName val="false"/>
          <c:showPercent val="false"/>
          <c:showBubbleSize val="false"/>
        </c:dLbls>
        <c:gapWidth val="219"/>
        <c:overlap val="-27"/>
        <c:axId val="361007424"/>
        <c:axId val="361007816"/>
      </c:barChart>
      <c:catAx>
        <c:axId val="361007424"/>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1007816"/>
        <c:crosses val="autoZero"/>
        <c:auto val="true"/>
        <c:lblAlgn val="ctr"/>
        <c:lblOffset val="100"/>
        <c:noMultiLvlLbl val="false"/>
      </c:catAx>
      <c:valAx>
        <c:axId val="36100781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1007424"/>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General</c:formatCode>
                <c:ptCount val="2"/>
                <c:pt idx="0">
                  <c:v>208.97</c:v>
                </c:pt>
                <c:pt idx="1">
                  <c:v>203.27</c:v>
                </c:pt>
              </c:numCache>
            </c:numRef>
          </c:val>
        </c:ser>
        <c:dLbls>
          <c:showLegendKey val="false"/>
          <c:showVal val="false"/>
          <c:showCatName val="false"/>
          <c:showSerName val="false"/>
          <c:showPercent val="false"/>
          <c:showBubbleSize val="false"/>
        </c:dLbls>
        <c:gapWidth val="219"/>
        <c:overlap val="-27"/>
        <c:axId val="361008600"/>
        <c:axId val="278919384"/>
      </c:barChart>
      <c:catAx>
        <c:axId val="361008600"/>
        <c:scaling>
          <c:orientation val="minMax"/>
        </c:scaling>
        <c:delete val="false"/>
        <c:axPos val="b"/>
        <c:numFmt formatCode="General" sourceLinked="fals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8919384"/>
        <c:crosses val="autoZero"/>
        <c:auto val="true"/>
        <c:lblAlgn val="ctr"/>
        <c:lblOffset val="100"/>
        <c:noMultiLvlLbl val="false"/>
      </c:catAx>
      <c:valAx>
        <c:axId val="27891938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61008600"/>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社会保障和就业（类）支出</c:v>
                </c:pt>
                <c:pt idx="1">
                  <c:v>卫生健康支出</c:v>
                </c:pt>
                <c:pt idx="2">
                  <c:v>自然资源海洋气象等支出</c:v>
                </c:pt>
                <c:pt idx="3">
                  <c:v>住房保障支出</c:v>
                </c:pt>
              </c:strCache>
            </c:strRef>
          </c:cat>
          <c:val>
            <c:numRef>
              <c:f>Sheet1!$B$2:$B$5</c:f>
              <c:numCache>
                <c:formatCode>General</c:formatCode>
                <c:ptCount val="4"/>
                <c:pt idx="0">
                  <c:v>15.74</c:v>
                </c:pt>
                <c:pt idx="1">
                  <c:v>7.87</c:v>
                </c:pt>
                <c:pt idx="2">
                  <c:v>158.63</c:v>
                </c:pt>
                <c:pt idx="3">
                  <c:v>16.8</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323445631333881"/>
          <c:y val="0.217365406643757"/>
          <c:w val="0.353108737332238"/>
          <c:h val="0.590698739977091"/>
        </c:manualLayout>
      </c:layout>
      <c:pieChart>
        <c:varyColors val="true"/>
        <c:ser>
          <c:idx val="0"/>
          <c:order val="0"/>
          <c:tx>
            <c:strRef>
              <c:f>Sheet1!$B$1</c:f>
              <c:strCache>
                <c:ptCount val="1"/>
                <c:pt idx="0">
                  <c:v>“三公”经费财政拨款支出结构</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0</c:v>
                </c:pt>
                <c:pt idx="2">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7867</Words>
  <Characters>8298</Characters>
  <Lines>62</Lines>
  <Paragraphs>17</Paragraphs>
  <TotalTime>40</TotalTime>
  <ScaleCrop>false</ScaleCrop>
  <LinksUpToDate>false</LinksUpToDate>
  <CharactersWithSpaces>8394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2022-08-06T10:23:00Z</cp:lastPrinted>
  <dcterms:modified xsi:type="dcterms:W3CDTF">2023-09-15T16:24:36Z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