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440"/>
        <w:jc w:val="center"/>
        <w:outlineLvl w:val="9"/>
        <w:rPr>
          <w:rFonts w:ascii="方正小标宋简体" w:eastAsia="方正小标宋简体"/>
          <w:sz w:val="72"/>
          <w:szCs w:val="72"/>
        </w:rPr>
      </w:pPr>
      <w:bookmarkStart w:id="0" w:name="_Toc15306267"/>
    </w:p>
    <w:p>
      <w:pPr>
        <w:spacing w:line="600" w:lineRule="exact"/>
        <w:ind w:firstLine="1440"/>
        <w:jc w:val="center"/>
        <w:outlineLvl w:val="9"/>
        <w:rPr>
          <w:rFonts w:ascii="方正小标宋简体" w:eastAsia="方正小标宋简体"/>
          <w:sz w:val="72"/>
          <w:szCs w:val="72"/>
        </w:rPr>
      </w:pPr>
    </w:p>
    <w:p>
      <w:pPr>
        <w:spacing w:line="600" w:lineRule="exact"/>
        <w:ind w:firstLine="1440"/>
        <w:jc w:val="center"/>
        <w:outlineLvl w:val="9"/>
        <w:rPr>
          <w:rFonts w:ascii="方正小标宋简体" w:eastAsia="方正小标宋简体"/>
          <w:sz w:val="72"/>
          <w:szCs w:val="72"/>
        </w:rPr>
      </w:pPr>
    </w:p>
    <w:p>
      <w:pPr>
        <w:spacing w:line="600" w:lineRule="exact"/>
        <w:ind w:firstLine="1440"/>
        <w:jc w:val="center"/>
        <w:outlineLvl w:val="9"/>
        <w:rPr>
          <w:rFonts w:ascii="方正小标宋简体" w:eastAsia="方正小标宋简体"/>
          <w:sz w:val="72"/>
          <w:szCs w:val="72"/>
        </w:rPr>
      </w:pPr>
    </w:p>
    <w:p>
      <w:pPr>
        <w:spacing w:line="360" w:lineRule="auto"/>
        <w:ind w:firstLine="0" w:firstLineChars="0"/>
        <w:jc w:val="center"/>
        <w:rPr>
          <w:rFonts w:ascii="方正小标宋简体" w:eastAsia="方正小标宋简体"/>
          <w:sz w:val="84"/>
          <w:szCs w:val="84"/>
        </w:rPr>
      </w:pPr>
      <w:bookmarkStart w:id="1" w:name="_Toc15396597"/>
      <w:bookmarkStart w:id="2" w:name="_Toc15378441"/>
      <w:bookmarkStart w:id="3" w:name="_Toc15396475"/>
      <w:bookmarkStart w:id="4" w:name="_Toc15377425"/>
      <w:bookmarkStart w:id="5" w:name="_Toc15377193"/>
      <w:r>
        <w:rPr>
          <w:rFonts w:hint="eastAsia" w:ascii="方正小标宋简体" w:eastAsia="方正小标宋简体"/>
          <w:sz w:val="84"/>
          <w:szCs w:val="84"/>
        </w:rPr>
        <w:t>2021年度</w:t>
      </w:r>
      <w:bookmarkEnd w:id="1"/>
      <w:bookmarkEnd w:id="2"/>
      <w:bookmarkEnd w:id="3"/>
      <w:bookmarkEnd w:id="4"/>
      <w:bookmarkEnd w:id="5"/>
    </w:p>
    <w:p>
      <w:pPr>
        <w:spacing w:line="360" w:lineRule="auto"/>
        <w:ind w:firstLine="0" w:firstLineChars="0"/>
        <w:jc w:val="center"/>
        <w:rPr>
          <w:rFonts w:ascii="方正小标宋简体" w:eastAsia="方正小标宋简体"/>
          <w:sz w:val="84"/>
          <w:szCs w:val="84"/>
        </w:rPr>
      </w:pPr>
      <w:bookmarkStart w:id="6" w:name="_Toc15377194"/>
      <w:bookmarkStart w:id="7" w:name="_Toc15377426"/>
      <w:bookmarkStart w:id="8" w:name="_Toc15378442"/>
      <w:bookmarkStart w:id="9" w:name="_Toc15396598"/>
      <w:bookmarkStart w:id="10" w:name="_Toc15396476"/>
      <w:r>
        <w:rPr>
          <w:rFonts w:hint="eastAsia" w:ascii="方正小标宋简体" w:eastAsia="方正小标宋简体"/>
          <w:sz w:val="84"/>
          <w:szCs w:val="84"/>
        </w:rPr>
        <w:t>广元市</w:t>
      </w:r>
      <w:bookmarkEnd w:id="0"/>
      <w:bookmarkEnd w:id="6"/>
      <w:bookmarkEnd w:id="7"/>
      <w:bookmarkEnd w:id="8"/>
      <w:bookmarkEnd w:id="9"/>
      <w:bookmarkEnd w:id="10"/>
      <w:r>
        <w:rPr>
          <w:rFonts w:hint="eastAsia" w:ascii="方正小标宋简体" w:eastAsia="方正小标宋简体"/>
          <w:sz w:val="84"/>
          <w:szCs w:val="84"/>
        </w:rPr>
        <w:t>农民工</w:t>
      </w:r>
    </w:p>
    <w:p>
      <w:pPr>
        <w:spacing w:line="360" w:lineRule="auto"/>
        <w:ind w:firstLine="0" w:firstLineChars="0"/>
        <w:jc w:val="center"/>
        <w:rPr>
          <w:rFonts w:ascii="方正小标宋简体" w:eastAsia="方正小标宋简体"/>
          <w:sz w:val="84"/>
          <w:szCs w:val="84"/>
        </w:rPr>
      </w:pPr>
      <w:r>
        <w:rPr>
          <w:rFonts w:hint="eastAsia" w:ascii="方正小标宋简体" w:eastAsia="方正小标宋简体"/>
          <w:sz w:val="84"/>
          <w:szCs w:val="84"/>
        </w:rPr>
        <w:t>服务中心</w:t>
      </w:r>
      <w:r>
        <w:rPr>
          <w:rFonts w:hint="eastAsia" w:ascii="方正小标宋简体" w:eastAsia="方正小标宋简体"/>
          <w:sz w:val="84"/>
          <w:szCs w:val="84"/>
          <w:lang w:val="en-US" w:eastAsia="zh-CN"/>
        </w:rPr>
        <w:t>(原广元市城乡居民社会养老保险局)</w:t>
      </w:r>
      <w:r>
        <w:rPr>
          <w:rFonts w:hint="eastAsia" w:ascii="方正小标宋简体" w:eastAsia="方正小标宋简体"/>
          <w:sz w:val="84"/>
          <w:szCs w:val="84"/>
        </w:rPr>
        <w:t>单位决算</w:t>
      </w:r>
    </w:p>
    <w:p>
      <w:pPr>
        <w:widowControl/>
        <w:ind w:firstLine="720"/>
        <w:jc w:val="center"/>
        <w:rPr>
          <w:rFonts w:hint="eastAsia" w:ascii="黑体" w:eastAsia="黑体"/>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hapStyle="1"/>
          <w:cols w:space="720" w:num="1"/>
          <w:titlePg/>
          <w:docGrid w:type="lines" w:linePitch="312" w:charSpace="-6553"/>
        </w:sectPr>
      </w:pPr>
    </w:p>
    <w:p>
      <w:pPr>
        <w:widowControl/>
        <w:ind w:firstLine="720"/>
        <w:jc w:val="center"/>
        <w:rPr>
          <w:rFonts w:ascii="黑体" w:eastAsia="黑体"/>
          <w:sz w:val="48"/>
          <w:szCs w:val="48"/>
        </w:rPr>
      </w:pPr>
      <w:r>
        <w:rPr>
          <w:rFonts w:hint="eastAsia" w:ascii="黑体" w:eastAsia="黑体"/>
          <w:sz w:val="48"/>
          <w:szCs w:val="48"/>
        </w:rPr>
        <w:t>目录</w:t>
      </w:r>
    </w:p>
    <w:p>
      <w:pPr>
        <w:widowControl/>
        <w:ind w:firstLine="560"/>
        <w:jc w:val="center"/>
        <w:rPr>
          <w:rFonts w:ascii="黑体" w:eastAsia="黑体" w:cs="Arial"/>
          <w:sz w:val="28"/>
          <w:szCs w:val="28"/>
        </w:rPr>
      </w:pPr>
    </w:p>
    <w:p>
      <w:pPr>
        <w:pStyle w:val="12"/>
        <w:ind w:firstLine="560"/>
        <w:rPr>
          <w:rFonts w:hint="eastAsia"/>
        </w:rPr>
      </w:pPr>
      <w:r>
        <w:rPr>
          <w:rFonts w:hint="eastAsia"/>
        </w:rPr>
        <w:t>公开时间：2022年9月30日</w:t>
      </w:r>
    </w:p>
    <w:sdt>
      <w:sdtPr>
        <w:rPr>
          <w:rFonts w:ascii="宋体" w:hAnsi="宋体" w:eastAsia="宋体" w:cs="Times New Roman"/>
          <w:kern w:val="2"/>
          <w:sz w:val="21"/>
          <w:szCs w:val="24"/>
          <w:lang w:val="en-US" w:eastAsia="zh-CN" w:bidi="ar-SA"/>
        </w:rPr>
        <w:id w:val="147476308"/>
        <w15:color w:val="DBDBDB"/>
        <w:docPartObj>
          <w:docPartGallery w:val="Table of Contents"/>
          <w:docPartUnique/>
        </w:docPartObj>
      </w:sdtPr>
      <w:sdtEndPr>
        <w:rPr>
          <w:rFonts w:ascii="Times New Roman" w:hAnsi="Times New Roman" w:eastAsia="CESI仿宋-GB2312" w:cs="Times New Roman"/>
          <w:b/>
          <w:kern w:val="2"/>
          <w:sz w:val="32"/>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7"/>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_Toc10929 </w:instrText>
          </w:r>
          <w:r>
            <w:rPr>
              <w:b/>
            </w:rPr>
            <w:fldChar w:fldCharType="separate"/>
          </w:r>
          <w:r>
            <w:rPr>
              <w:b/>
            </w:rPr>
            <w:t>第一部分 单位概况</w:t>
          </w:r>
          <w:r>
            <w:rPr>
              <w:b/>
            </w:rPr>
            <w:tab/>
          </w:r>
          <w:r>
            <w:rPr>
              <w:b/>
            </w:rPr>
            <w:fldChar w:fldCharType="begin"/>
          </w:r>
          <w:r>
            <w:rPr>
              <w:b/>
            </w:rPr>
            <w:instrText xml:space="preserve"> PAGEREF _Toc10929 \h </w:instrText>
          </w:r>
          <w:r>
            <w:rPr>
              <w:b/>
            </w:rPr>
            <w:fldChar w:fldCharType="separate"/>
          </w:r>
          <w:r>
            <w:rPr>
              <w:b/>
            </w:rPr>
            <w:t>1</w:t>
          </w:r>
          <w:r>
            <w:rPr>
              <w:b/>
            </w:rPr>
            <w:fldChar w:fldCharType="end"/>
          </w:r>
          <w:r>
            <w:rPr>
              <w:b/>
            </w:rPr>
            <w:fldChar w:fldCharType="end"/>
          </w:r>
        </w:p>
        <w:p>
          <w:pPr>
            <w:pStyle w:val="38"/>
            <w:tabs>
              <w:tab w:val="right" w:leader="dot" w:pos="8306"/>
            </w:tabs>
          </w:pPr>
          <w:r>
            <w:fldChar w:fldCharType="begin"/>
          </w:r>
          <w:r>
            <w:instrText xml:space="preserve"> HYPERLINK \l _Toc5553 </w:instrText>
          </w:r>
          <w:r>
            <w:fldChar w:fldCharType="separate"/>
          </w:r>
          <w:r>
            <w:t>一、职能简介</w:t>
          </w:r>
          <w:r>
            <w:tab/>
          </w:r>
          <w:r>
            <w:fldChar w:fldCharType="begin"/>
          </w:r>
          <w:r>
            <w:instrText xml:space="preserve"> PAGEREF _Toc5553 \h </w:instrText>
          </w:r>
          <w:r>
            <w:fldChar w:fldCharType="separate"/>
          </w:r>
          <w:r>
            <w:t>1</w:t>
          </w:r>
          <w:r>
            <w:fldChar w:fldCharType="end"/>
          </w:r>
          <w:r>
            <w:fldChar w:fldCharType="end"/>
          </w:r>
        </w:p>
        <w:p>
          <w:pPr>
            <w:pStyle w:val="38"/>
            <w:tabs>
              <w:tab w:val="right" w:leader="dot" w:pos="8306"/>
            </w:tabs>
          </w:pPr>
          <w:r>
            <w:fldChar w:fldCharType="begin"/>
          </w:r>
          <w:r>
            <w:instrText xml:space="preserve"> HYPERLINK \l _Toc12668 </w:instrText>
          </w:r>
          <w:r>
            <w:fldChar w:fldCharType="separate"/>
          </w:r>
          <w:r>
            <w:t>二、2021年重点工作完成情况</w:t>
          </w:r>
          <w:r>
            <w:tab/>
          </w:r>
          <w:r>
            <w:fldChar w:fldCharType="begin"/>
          </w:r>
          <w:r>
            <w:instrText xml:space="preserve"> PAGEREF _Toc12668 \h </w:instrText>
          </w:r>
          <w:r>
            <w:fldChar w:fldCharType="separate"/>
          </w:r>
          <w:r>
            <w:t>1</w:t>
          </w:r>
          <w:r>
            <w:fldChar w:fldCharType="end"/>
          </w:r>
          <w:r>
            <w:fldChar w:fldCharType="end"/>
          </w:r>
        </w:p>
        <w:p>
          <w:pPr>
            <w:pStyle w:val="37"/>
            <w:tabs>
              <w:tab w:val="right" w:leader="dot" w:pos="8306"/>
            </w:tabs>
            <w:rPr>
              <w:b/>
            </w:rPr>
          </w:pPr>
          <w:r>
            <w:rPr>
              <w:b/>
            </w:rPr>
            <w:fldChar w:fldCharType="begin"/>
          </w:r>
          <w:r>
            <w:rPr>
              <w:b/>
            </w:rPr>
            <w:instrText xml:space="preserve"> HYPERLINK \l _Toc8232 </w:instrText>
          </w:r>
          <w:r>
            <w:rPr>
              <w:b/>
            </w:rPr>
            <w:fldChar w:fldCharType="separate"/>
          </w:r>
          <w:r>
            <w:rPr>
              <w:b/>
            </w:rPr>
            <w:t>第二部分 2021年度单位决算情况说明</w:t>
          </w:r>
          <w:r>
            <w:rPr>
              <w:b/>
            </w:rPr>
            <w:tab/>
          </w:r>
          <w:r>
            <w:rPr>
              <w:b/>
            </w:rPr>
            <w:fldChar w:fldCharType="begin"/>
          </w:r>
          <w:r>
            <w:rPr>
              <w:b/>
            </w:rPr>
            <w:instrText xml:space="preserve"> PAGEREF _Toc8232 \h </w:instrText>
          </w:r>
          <w:r>
            <w:rPr>
              <w:b/>
            </w:rPr>
            <w:fldChar w:fldCharType="separate"/>
          </w:r>
          <w:r>
            <w:rPr>
              <w:b/>
            </w:rPr>
            <w:t>2</w:t>
          </w:r>
          <w:r>
            <w:rPr>
              <w:b/>
            </w:rPr>
            <w:fldChar w:fldCharType="end"/>
          </w:r>
          <w:r>
            <w:rPr>
              <w:b/>
            </w:rPr>
            <w:fldChar w:fldCharType="end"/>
          </w:r>
        </w:p>
        <w:p>
          <w:pPr>
            <w:pStyle w:val="38"/>
            <w:tabs>
              <w:tab w:val="right" w:leader="dot" w:pos="8306"/>
            </w:tabs>
          </w:pPr>
          <w:r>
            <w:fldChar w:fldCharType="begin"/>
          </w:r>
          <w:r>
            <w:instrText xml:space="preserve"> HYPERLINK \l _Toc30252 </w:instrText>
          </w:r>
          <w:r>
            <w:fldChar w:fldCharType="separate"/>
          </w:r>
          <w:r>
            <w:t>一、收入支出决算总体情况说明</w:t>
          </w:r>
          <w:r>
            <w:tab/>
          </w:r>
          <w:r>
            <w:fldChar w:fldCharType="begin"/>
          </w:r>
          <w:r>
            <w:instrText xml:space="preserve"> PAGEREF _Toc30252 \h </w:instrText>
          </w:r>
          <w:r>
            <w:fldChar w:fldCharType="separate"/>
          </w:r>
          <w:r>
            <w:t>2</w:t>
          </w:r>
          <w:r>
            <w:fldChar w:fldCharType="end"/>
          </w:r>
          <w:r>
            <w:fldChar w:fldCharType="end"/>
          </w:r>
        </w:p>
        <w:p>
          <w:pPr>
            <w:pStyle w:val="38"/>
            <w:tabs>
              <w:tab w:val="right" w:leader="dot" w:pos="8306"/>
            </w:tabs>
          </w:pPr>
          <w:r>
            <w:fldChar w:fldCharType="begin"/>
          </w:r>
          <w:r>
            <w:instrText xml:space="preserve"> HYPERLINK \l _Toc25202 </w:instrText>
          </w:r>
          <w:r>
            <w:fldChar w:fldCharType="separate"/>
          </w:r>
          <w:r>
            <w:t>二、收入决算情况说明</w:t>
          </w:r>
          <w:r>
            <w:tab/>
          </w:r>
          <w:r>
            <w:fldChar w:fldCharType="begin"/>
          </w:r>
          <w:r>
            <w:instrText xml:space="preserve"> PAGEREF _Toc25202 \h </w:instrText>
          </w:r>
          <w:r>
            <w:fldChar w:fldCharType="separate"/>
          </w:r>
          <w:r>
            <w:t>3</w:t>
          </w:r>
          <w:r>
            <w:fldChar w:fldCharType="end"/>
          </w:r>
          <w:r>
            <w:fldChar w:fldCharType="end"/>
          </w:r>
        </w:p>
        <w:p>
          <w:pPr>
            <w:pStyle w:val="38"/>
            <w:tabs>
              <w:tab w:val="right" w:leader="dot" w:pos="8306"/>
            </w:tabs>
          </w:pPr>
          <w:r>
            <w:fldChar w:fldCharType="begin"/>
          </w:r>
          <w:r>
            <w:instrText xml:space="preserve"> HYPERLINK \l _Toc3412 </w:instrText>
          </w:r>
          <w:r>
            <w:fldChar w:fldCharType="separate"/>
          </w:r>
          <w:r>
            <w:t>三、支出决算情况说明</w:t>
          </w:r>
          <w:r>
            <w:tab/>
          </w:r>
          <w:r>
            <w:fldChar w:fldCharType="begin"/>
          </w:r>
          <w:r>
            <w:instrText xml:space="preserve"> PAGEREF _Toc3412 \h </w:instrText>
          </w:r>
          <w:r>
            <w:fldChar w:fldCharType="separate"/>
          </w:r>
          <w:r>
            <w:t>4</w:t>
          </w:r>
          <w:r>
            <w:fldChar w:fldCharType="end"/>
          </w:r>
          <w:r>
            <w:fldChar w:fldCharType="end"/>
          </w:r>
        </w:p>
        <w:p>
          <w:pPr>
            <w:pStyle w:val="38"/>
            <w:tabs>
              <w:tab w:val="right" w:leader="dot" w:pos="8306"/>
            </w:tabs>
          </w:pPr>
          <w:r>
            <w:fldChar w:fldCharType="begin"/>
          </w:r>
          <w:r>
            <w:instrText xml:space="preserve"> HYPERLINK \l _Toc19320 </w:instrText>
          </w:r>
          <w:r>
            <w:fldChar w:fldCharType="separate"/>
          </w:r>
          <w:r>
            <w:t>四、财政拨款收入支出决算总体情况说明</w:t>
          </w:r>
          <w:r>
            <w:tab/>
          </w:r>
          <w:r>
            <w:fldChar w:fldCharType="begin"/>
          </w:r>
          <w:r>
            <w:instrText xml:space="preserve"> PAGEREF _Toc19320 \h </w:instrText>
          </w:r>
          <w:r>
            <w:fldChar w:fldCharType="separate"/>
          </w:r>
          <w:r>
            <w:t>4</w:t>
          </w:r>
          <w:r>
            <w:fldChar w:fldCharType="end"/>
          </w:r>
          <w:r>
            <w:fldChar w:fldCharType="end"/>
          </w:r>
        </w:p>
        <w:p>
          <w:pPr>
            <w:pStyle w:val="38"/>
            <w:tabs>
              <w:tab w:val="right" w:leader="dot" w:pos="8306"/>
            </w:tabs>
          </w:pPr>
          <w:r>
            <w:fldChar w:fldCharType="begin"/>
          </w:r>
          <w:r>
            <w:instrText xml:space="preserve"> HYPERLINK \l _Toc22118 </w:instrText>
          </w:r>
          <w:r>
            <w:fldChar w:fldCharType="separate"/>
          </w:r>
          <w:r>
            <w:t>五、一般公共预算财政拨款支出决算情况说明</w:t>
          </w:r>
          <w:r>
            <w:tab/>
          </w:r>
          <w:r>
            <w:fldChar w:fldCharType="begin"/>
          </w:r>
          <w:r>
            <w:instrText xml:space="preserve"> PAGEREF _Toc22118 \h </w:instrText>
          </w:r>
          <w:r>
            <w:fldChar w:fldCharType="separate"/>
          </w:r>
          <w:r>
            <w:t>5</w:t>
          </w:r>
          <w:r>
            <w:fldChar w:fldCharType="end"/>
          </w:r>
          <w:r>
            <w:fldChar w:fldCharType="end"/>
          </w:r>
        </w:p>
        <w:p>
          <w:pPr>
            <w:pStyle w:val="38"/>
            <w:tabs>
              <w:tab w:val="right" w:leader="dot" w:pos="8306"/>
            </w:tabs>
          </w:pPr>
          <w:r>
            <w:fldChar w:fldCharType="begin"/>
          </w:r>
          <w:r>
            <w:instrText xml:space="preserve"> HYPERLINK \l _Toc6855 </w:instrText>
          </w:r>
          <w:r>
            <w:fldChar w:fldCharType="separate"/>
          </w:r>
          <w:r>
            <w:rPr>
              <w:rFonts w:hint="eastAsia" w:ascii="Cambria" w:hAnsi="Cambria" w:eastAsia="黑体"/>
              <w:bCs/>
              <w:szCs w:val="32"/>
            </w:rPr>
            <w:t>六、一般公共预算财政拨款基本支出决算情况说明</w:t>
          </w:r>
          <w:r>
            <w:tab/>
          </w:r>
          <w:r>
            <w:fldChar w:fldCharType="begin"/>
          </w:r>
          <w:r>
            <w:instrText xml:space="preserve"> PAGEREF _Toc6855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_Toc27944 </w:instrText>
          </w:r>
          <w:r>
            <w:fldChar w:fldCharType="separate"/>
          </w:r>
          <w:r>
            <w:t>七、“三公”经费财政拨款支出决算情况说明</w:t>
          </w:r>
          <w:r>
            <w:tab/>
          </w:r>
          <w:r>
            <w:fldChar w:fldCharType="begin"/>
          </w:r>
          <w:r>
            <w:instrText xml:space="preserve"> PAGEREF _Toc27944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_Toc4469 </w:instrText>
          </w:r>
          <w:r>
            <w:fldChar w:fldCharType="separate"/>
          </w:r>
          <w:r>
            <w:t>八、政府性基金预算支出决算情况说明</w:t>
          </w:r>
          <w:r>
            <w:tab/>
          </w:r>
          <w:r>
            <w:fldChar w:fldCharType="begin"/>
          </w:r>
          <w:r>
            <w:instrText xml:space="preserve"> PAGEREF _Toc4469 \h </w:instrText>
          </w:r>
          <w:r>
            <w:fldChar w:fldCharType="separate"/>
          </w:r>
          <w:r>
            <w:t>8</w:t>
          </w:r>
          <w:r>
            <w:fldChar w:fldCharType="end"/>
          </w:r>
          <w:r>
            <w:fldChar w:fldCharType="end"/>
          </w:r>
        </w:p>
        <w:p>
          <w:pPr>
            <w:pStyle w:val="38"/>
            <w:tabs>
              <w:tab w:val="right" w:leader="dot" w:pos="8306"/>
            </w:tabs>
          </w:pPr>
          <w:r>
            <w:fldChar w:fldCharType="begin"/>
          </w:r>
          <w:r>
            <w:instrText xml:space="preserve"> HYPERLINK \l _Toc29423 </w:instrText>
          </w:r>
          <w:r>
            <w:fldChar w:fldCharType="separate"/>
          </w:r>
          <w:r>
            <w:t>九、国有资本经营预算支出决算情况说明</w:t>
          </w:r>
          <w:r>
            <w:tab/>
          </w:r>
          <w:r>
            <w:fldChar w:fldCharType="begin"/>
          </w:r>
          <w:r>
            <w:instrText xml:space="preserve"> PAGEREF _Toc29423 \h </w:instrText>
          </w:r>
          <w:r>
            <w:fldChar w:fldCharType="separate"/>
          </w:r>
          <w:r>
            <w:t>8</w:t>
          </w:r>
          <w:r>
            <w:fldChar w:fldCharType="end"/>
          </w:r>
          <w:r>
            <w:fldChar w:fldCharType="end"/>
          </w:r>
        </w:p>
        <w:p>
          <w:pPr>
            <w:pStyle w:val="38"/>
            <w:tabs>
              <w:tab w:val="right" w:leader="dot" w:pos="8306"/>
            </w:tabs>
          </w:pPr>
          <w:r>
            <w:fldChar w:fldCharType="begin"/>
          </w:r>
          <w:r>
            <w:instrText xml:space="preserve"> HYPERLINK \l _Toc16724 </w:instrText>
          </w:r>
          <w:r>
            <w:fldChar w:fldCharType="separate"/>
          </w:r>
          <w:r>
            <w:t>十、预算绩效管理情况</w:t>
          </w:r>
          <w:r>
            <w:tab/>
          </w:r>
          <w:r>
            <w:fldChar w:fldCharType="begin"/>
          </w:r>
          <w:r>
            <w:instrText xml:space="preserve"> PAGEREF _Toc16724 \h </w:instrText>
          </w:r>
          <w:r>
            <w:fldChar w:fldCharType="separate"/>
          </w:r>
          <w:r>
            <w:t>8</w:t>
          </w:r>
          <w:r>
            <w:fldChar w:fldCharType="end"/>
          </w:r>
          <w:r>
            <w:fldChar w:fldCharType="end"/>
          </w:r>
        </w:p>
        <w:p>
          <w:pPr>
            <w:pStyle w:val="38"/>
            <w:tabs>
              <w:tab w:val="right" w:leader="dot" w:pos="8306"/>
            </w:tabs>
          </w:pPr>
          <w:r>
            <w:fldChar w:fldCharType="begin"/>
          </w:r>
          <w:r>
            <w:instrText xml:space="preserve"> HYPERLINK \l _Toc9177 </w:instrText>
          </w:r>
          <w:r>
            <w:fldChar w:fldCharType="separate"/>
          </w:r>
          <w:r>
            <w:t>十一、其他重要事项的情况说明</w:t>
          </w:r>
          <w:r>
            <w:tab/>
          </w:r>
          <w:r>
            <w:fldChar w:fldCharType="begin"/>
          </w:r>
          <w:r>
            <w:instrText xml:space="preserve"> PAGEREF _Toc9177 \h </w:instrText>
          </w:r>
          <w:r>
            <w:fldChar w:fldCharType="separate"/>
          </w:r>
          <w:r>
            <w:t>9</w:t>
          </w:r>
          <w:r>
            <w:fldChar w:fldCharType="end"/>
          </w:r>
          <w:r>
            <w:fldChar w:fldCharType="end"/>
          </w:r>
        </w:p>
        <w:p>
          <w:pPr>
            <w:pStyle w:val="37"/>
            <w:tabs>
              <w:tab w:val="right" w:leader="dot" w:pos="8306"/>
            </w:tabs>
            <w:rPr>
              <w:b/>
            </w:rPr>
          </w:pPr>
          <w:r>
            <w:rPr>
              <w:b/>
            </w:rPr>
            <w:fldChar w:fldCharType="begin"/>
          </w:r>
          <w:r>
            <w:rPr>
              <w:b/>
            </w:rPr>
            <w:instrText xml:space="preserve"> HYPERLINK \l _Toc24733 </w:instrText>
          </w:r>
          <w:r>
            <w:rPr>
              <w:b/>
            </w:rPr>
            <w:fldChar w:fldCharType="separate"/>
          </w:r>
          <w:r>
            <w:rPr>
              <w:b/>
            </w:rPr>
            <w:t>第三部分 名词解释</w:t>
          </w:r>
          <w:r>
            <w:rPr>
              <w:b/>
            </w:rPr>
            <w:tab/>
          </w:r>
          <w:r>
            <w:rPr>
              <w:b/>
            </w:rPr>
            <w:fldChar w:fldCharType="begin"/>
          </w:r>
          <w:r>
            <w:rPr>
              <w:b/>
            </w:rPr>
            <w:instrText xml:space="preserve"> PAGEREF _Toc24733 \h </w:instrText>
          </w:r>
          <w:r>
            <w:rPr>
              <w:b/>
            </w:rPr>
            <w:fldChar w:fldCharType="separate"/>
          </w:r>
          <w:r>
            <w:rPr>
              <w:b/>
            </w:rPr>
            <w:t>10</w:t>
          </w:r>
          <w:r>
            <w:rPr>
              <w:b/>
            </w:rPr>
            <w:fldChar w:fldCharType="end"/>
          </w:r>
          <w:r>
            <w:rPr>
              <w:b/>
            </w:rPr>
            <w:fldChar w:fldCharType="end"/>
          </w:r>
        </w:p>
        <w:p>
          <w:pPr>
            <w:pStyle w:val="37"/>
            <w:tabs>
              <w:tab w:val="right" w:leader="dot" w:pos="8306"/>
            </w:tabs>
            <w:rPr>
              <w:b/>
            </w:rPr>
          </w:pPr>
          <w:r>
            <w:rPr>
              <w:b/>
            </w:rPr>
            <w:fldChar w:fldCharType="begin"/>
          </w:r>
          <w:r>
            <w:rPr>
              <w:b/>
            </w:rPr>
            <w:instrText xml:space="preserve"> HYPERLINK \l _Toc12422 </w:instrText>
          </w:r>
          <w:r>
            <w:rPr>
              <w:b/>
            </w:rPr>
            <w:fldChar w:fldCharType="separate"/>
          </w:r>
          <w:r>
            <w:rPr>
              <w:rFonts w:hint="eastAsia"/>
              <w:b/>
            </w:rPr>
            <w:t>第四部分 附件</w:t>
          </w:r>
          <w:r>
            <w:rPr>
              <w:b/>
            </w:rPr>
            <w:tab/>
          </w:r>
          <w:r>
            <w:rPr>
              <w:b/>
            </w:rPr>
            <w:fldChar w:fldCharType="begin"/>
          </w:r>
          <w:r>
            <w:rPr>
              <w:b/>
            </w:rPr>
            <w:instrText xml:space="preserve"> PAGEREF _Toc12422 \h </w:instrText>
          </w:r>
          <w:r>
            <w:rPr>
              <w:b/>
            </w:rPr>
            <w:fldChar w:fldCharType="separate"/>
          </w:r>
          <w:r>
            <w:rPr>
              <w:b/>
            </w:rPr>
            <w:t>13</w:t>
          </w:r>
          <w:r>
            <w:rPr>
              <w:b/>
            </w:rPr>
            <w:fldChar w:fldCharType="end"/>
          </w:r>
          <w:r>
            <w:rPr>
              <w:b/>
            </w:rPr>
            <w:fldChar w:fldCharType="end"/>
          </w:r>
        </w:p>
        <w:p>
          <w:pPr>
            <w:pStyle w:val="37"/>
            <w:tabs>
              <w:tab w:val="right" w:leader="dot" w:pos="8306"/>
            </w:tabs>
            <w:rPr>
              <w:b/>
            </w:rPr>
          </w:pPr>
          <w:r>
            <w:rPr>
              <w:b/>
            </w:rPr>
            <w:fldChar w:fldCharType="begin"/>
          </w:r>
          <w:r>
            <w:rPr>
              <w:b/>
            </w:rPr>
            <w:instrText xml:space="preserve"> HYPERLINK \l _Toc17207 </w:instrText>
          </w:r>
          <w:r>
            <w:rPr>
              <w:b/>
            </w:rPr>
            <w:fldChar w:fldCharType="separate"/>
          </w:r>
          <w:r>
            <w:rPr>
              <w:rFonts w:hint="eastAsia" w:ascii="黑体" w:eastAsia="黑体"/>
              <w:b/>
              <w:szCs w:val="44"/>
            </w:rPr>
            <w:t>第</w:t>
          </w:r>
          <w:r>
            <w:rPr>
              <w:rFonts w:hint="eastAsia" w:ascii="黑体" w:eastAsia="黑体"/>
              <w:b/>
            </w:rPr>
            <w:t>五部分 附表</w:t>
          </w:r>
          <w:r>
            <w:rPr>
              <w:b/>
            </w:rPr>
            <w:tab/>
          </w:r>
          <w:r>
            <w:rPr>
              <w:b/>
            </w:rPr>
            <w:fldChar w:fldCharType="begin"/>
          </w:r>
          <w:r>
            <w:rPr>
              <w:b/>
            </w:rPr>
            <w:instrText xml:space="preserve"> PAGEREF _Toc17207 \h </w:instrText>
          </w:r>
          <w:r>
            <w:rPr>
              <w:b/>
            </w:rPr>
            <w:fldChar w:fldCharType="separate"/>
          </w:r>
          <w:r>
            <w:rPr>
              <w:b/>
            </w:rPr>
            <w:t>25</w:t>
          </w:r>
          <w:r>
            <w:rPr>
              <w:b/>
            </w:rPr>
            <w:fldChar w:fldCharType="end"/>
          </w:r>
          <w:r>
            <w:rPr>
              <w:b/>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_Toc6308 </w:instrText>
          </w:r>
          <w:r>
            <w:rPr>
              <w:rFonts w:ascii="Times New Roman" w:hAnsi="Times New Roman" w:eastAsia="宋体" w:cs="Times New Roman"/>
            </w:rPr>
            <w:fldChar w:fldCharType="separate"/>
          </w:r>
          <w:r>
            <w:rPr>
              <w:rFonts w:hint="eastAsia" w:ascii="Times New Roman" w:hAnsi="Times New Roman" w:eastAsia="宋体" w:cs="Times New Roman"/>
            </w:rPr>
            <w:t>一、收入支出决算总表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_Toc6308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_Toc8606 </w:instrText>
          </w:r>
          <w:r>
            <w:rPr>
              <w:rFonts w:ascii="Times New Roman" w:hAnsi="Times New Roman" w:eastAsia="宋体" w:cs="Times New Roman"/>
            </w:rPr>
            <w:fldChar w:fldCharType="separate"/>
          </w:r>
          <w:r>
            <w:rPr>
              <w:rFonts w:hint="eastAsia" w:ascii="Times New Roman" w:hAnsi="Times New Roman" w:eastAsia="宋体" w:cs="Times New Roman"/>
            </w:rPr>
            <w:t>二、收入决算表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_Toc8606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_Toc1954 </w:instrText>
          </w:r>
          <w:r>
            <w:rPr>
              <w:rFonts w:ascii="Times New Roman" w:hAnsi="Times New Roman" w:eastAsia="宋体" w:cs="Times New Roman"/>
            </w:rPr>
            <w:fldChar w:fldCharType="separate"/>
          </w:r>
          <w:r>
            <w:rPr>
              <w:rFonts w:hint="eastAsia" w:ascii="Times New Roman" w:hAnsi="Times New Roman" w:eastAsia="宋体" w:cs="Times New Roman"/>
            </w:rPr>
            <w:t>三、支出决算表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_Toc1954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_Toc15535 </w:instrText>
          </w:r>
          <w:r>
            <w:rPr>
              <w:rFonts w:ascii="Times New Roman" w:hAnsi="Times New Roman" w:eastAsia="宋体" w:cs="Times New Roman"/>
            </w:rPr>
            <w:fldChar w:fldCharType="separate"/>
          </w:r>
          <w:r>
            <w:rPr>
              <w:rFonts w:hint="eastAsia" w:ascii="Times New Roman" w:hAnsi="Times New Roman" w:eastAsia="宋体" w:cs="Times New Roman"/>
            </w:rPr>
            <w:t>四、财政拨款收入支出决算总表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_Toc15535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_Toc27240 </w:instrText>
          </w:r>
          <w:r>
            <w:rPr>
              <w:rFonts w:ascii="Times New Roman" w:hAnsi="Times New Roman" w:eastAsia="宋体" w:cs="Times New Roman"/>
            </w:rPr>
            <w:fldChar w:fldCharType="separate"/>
          </w:r>
          <w:r>
            <w:rPr>
              <w:rFonts w:hint="eastAsia" w:ascii="Times New Roman" w:hAnsi="Times New Roman" w:eastAsia="宋体" w:cs="Times New Roman"/>
            </w:rPr>
            <w:t>五、财政拨款支出决算明细表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_Toc27240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_Toc13328 </w:instrText>
          </w:r>
          <w:r>
            <w:rPr>
              <w:rFonts w:ascii="Times New Roman" w:hAnsi="Times New Roman" w:eastAsia="宋体" w:cs="Times New Roman"/>
            </w:rPr>
            <w:fldChar w:fldCharType="separate"/>
          </w:r>
          <w:r>
            <w:rPr>
              <w:rFonts w:hint="eastAsia" w:ascii="Times New Roman" w:hAnsi="Times New Roman" w:eastAsia="宋体" w:cs="Times New Roman"/>
            </w:rPr>
            <w:t>六、一般公共预算财政拨款支出决算表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_Toc13328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_Toc29267 </w:instrText>
          </w:r>
          <w:r>
            <w:rPr>
              <w:rFonts w:ascii="Times New Roman" w:hAnsi="Times New Roman" w:eastAsia="宋体" w:cs="Times New Roman"/>
            </w:rPr>
            <w:fldChar w:fldCharType="separate"/>
          </w:r>
          <w:r>
            <w:rPr>
              <w:rFonts w:hint="eastAsia" w:ascii="Times New Roman" w:hAnsi="Times New Roman" w:eastAsia="宋体" w:cs="Times New Roman"/>
            </w:rPr>
            <w:t>七、一般公共预算财政拨款支出决算明细表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_Toc29267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_Toc27331 </w:instrText>
          </w:r>
          <w:r>
            <w:rPr>
              <w:rFonts w:ascii="Times New Roman" w:hAnsi="Times New Roman" w:eastAsia="宋体" w:cs="Times New Roman"/>
            </w:rPr>
            <w:fldChar w:fldCharType="separate"/>
          </w:r>
          <w:r>
            <w:rPr>
              <w:rFonts w:hint="eastAsia" w:ascii="Times New Roman" w:hAnsi="Times New Roman" w:eastAsia="宋体" w:cs="Times New Roman"/>
            </w:rPr>
            <w:t>八、一般公共预算财政拨款基本支出决算表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_Toc27331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_Toc6388 </w:instrText>
          </w:r>
          <w:r>
            <w:rPr>
              <w:rFonts w:ascii="Times New Roman" w:hAnsi="Times New Roman" w:eastAsia="宋体" w:cs="Times New Roman"/>
            </w:rPr>
            <w:fldChar w:fldCharType="separate"/>
          </w:r>
          <w:r>
            <w:rPr>
              <w:rFonts w:hint="eastAsia" w:ascii="Times New Roman" w:hAnsi="Times New Roman" w:eastAsia="宋体" w:cs="Times New Roman"/>
            </w:rPr>
            <w:t>九、一般公共预算财政拨款项目支出决算表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_Toc6388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_Toc29776 </w:instrText>
          </w:r>
          <w:r>
            <w:rPr>
              <w:rFonts w:ascii="Times New Roman" w:hAnsi="Times New Roman" w:eastAsia="宋体" w:cs="Times New Roman"/>
            </w:rPr>
            <w:fldChar w:fldCharType="separate"/>
          </w:r>
          <w:r>
            <w:rPr>
              <w:rFonts w:hint="eastAsia" w:ascii="Times New Roman" w:hAnsi="Times New Roman" w:eastAsia="宋体" w:cs="Times New Roman"/>
            </w:rPr>
            <w:t>十、一般公共预算财政拨款“三公”经费支出决算表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_Toc29776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_Toc27423 </w:instrText>
          </w:r>
          <w:r>
            <w:rPr>
              <w:rFonts w:ascii="Times New Roman" w:hAnsi="Times New Roman" w:eastAsia="宋体" w:cs="Times New Roman"/>
            </w:rPr>
            <w:fldChar w:fldCharType="separate"/>
          </w:r>
          <w:r>
            <w:rPr>
              <w:rFonts w:hint="eastAsia" w:ascii="Times New Roman" w:hAnsi="Times New Roman" w:eastAsia="宋体" w:cs="Times New Roman"/>
            </w:rPr>
            <w:t>十一、政府性基金预算财政拨款收入支出决算表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_Toc27423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_Toc31736 </w:instrText>
          </w:r>
          <w:r>
            <w:rPr>
              <w:rFonts w:ascii="Times New Roman" w:hAnsi="Times New Roman" w:eastAsia="宋体" w:cs="Times New Roman"/>
            </w:rPr>
            <w:fldChar w:fldCharType="separate"/>
          </w:r>
          <w:r>
            <w:rPr>
              <w:rFonts w:hint="eastAsia" w:ascii="Times New Roman" w:hAnsi="Times New Roman" w:eastAsia="宋体" w:cs="Times New Roman"/>
            </w:rPr>
            <w:t>十二、政府性基金预算财政拨款“三公”经费支出决算表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_Toc31736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_Toc31179 </w:instrText>
          </w:r>
          <w:r>
            <w:rPr>
              <w:rFonts w:ascii="Times New Roman" w:hAnsi="Times New Roman" w:eastAsia="宋体" w:cs="Times New Roman"/>
            </w:rPr>
            <w:fldChar w:fldCharType="separate"/>
          </w:r>
          <w:r>
            <w:rPr>
              <w:rFonts w:hint="eastAsia" w:ascii="Times New Roman" w:hAnsi="Times New Roman" w:eastAsia="宋体" w:cs="Times New Roman"/>
            </w:rPr>
            <w:t>十三、国有资本经营预算财政拨款收入支出决算表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_Toc31179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38"/>
            <w:tabs>
              <w:tab w:val="right" w:leader="dot" w:pos="8306"/>
            </w:tabs>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_Toc32428 </w:instrText>
          </w:r>
          <w:r>
            <w:rPr>
              <w:rFonts w:ascii="Times New Roman" w:hAnsi="Times New Roman" w:eastAsia="宋体" w:cs="Times New Roman"/>
            </w:rPr>
            <w:fldChar w:fldCharType="separate"/>
          </w:r>
          <w:r>
            <w:rPr>
              <w:rFonts w:hint="eastAsia" w:ascii="Times New Roman" w:hAnsi="Times New Roman" w:eastAsia="宋体" w:cs="Times New Roman"/>
            </w:rPr>
            <w:t>十四、国有资本经营预算财政拨款支出决算表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_Toc32428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r>
            <w:rPr>
              <w:b/>
            </w:rPr>
            <w:fldChar w:fldCharType="end"/>
          </w:r>
        </w:p>
      </w:sdtContent>
    </w:sdt>
    <w:p>
      <w:pPr>
        <w:ind w:firstLine="640"/>
        <w:sectPr>
          <w:footerReference r:id="rId12" w:type="first"/>
          <w:footerReference r:id="rId11" w:type="default"/>
          <w:pgSz w:w="11906" w:h="16838"/>
          <w:pgMar w:top="1440" w:right="1800" w:bottom="1440" w:left="1800" w:header="851" w:footer="992" w:gutter="0"/>
          <w:pgNumType w:start="1" w:chapStyle="1"/>
          <w:cols w:space="720" w:num="1"/>
          <w:docGrid w:type="lines" w:linePitch="312" w:charSpace="-6553"/>
        </w:sectPr>
      </w:pPr>
    </w:p>
    <w:p>
      <w:pPr>
        <w:pStyle w:val="2"/>
      </w:pPr>
    </w:p>
    <w:p>
      <w:pPr>
        <w:pStyle w:val="3"/>
        <w:ind w:firstLine="880"/>
      </w:pPr>
      <w:bookmarkStart w:id="11" w:name="_Toc97403163"/>
      <w:bookmarkStart w:id="12" w:name="_Toc15377196"/>
      <w:bookmarkStart w:id="13" w:name="_Toc10929"/>
      <w:bookmarkStart w:id="14" w:name="_Toc15396599"/>
      <w:bookmarkStart w:id="15" w:name="_Toc97403289"/>
      <w:r>
        <w:t>第一部分 单位概况</w:t>
      </w:r>
      <w:bookmarkEnd w:id="11"/>
      <w:bookmarkEnd w:id="12"/>
      <w:bookmarkEnd w:id="13"/>
      <w:bookmarkEnd w:id="14"/>
      <w:bookmarkEnd w:id="15"/>
    </w:p>
    <w:p>
      <w:pPr>
        <w:widowControl/>
        <w:ind w:firstLine="640"/>
        <w:jc w:val="left"/>
        <w:rPr>
          <w:rFonts w:ascii="黑体" w:eastAsia="黑体"/>
          <w:szCs w:val="32"/>
        </w:rPr>
      </w:pPr>
    </w:p>
    <w:p>
      <w:pPr>
        <w:pStyle w:val="4"/>
        <w:ind w:firstLine="640"/>
      </w:pPr>
      <w:bookmarkStart w:id="16" w:name="_Toc97403164"/>
      <w:bookmarkStart w:id="17" w:name="_Toc97403290"/>
      <w:bookmarkStart w:id="18" w:name="_Toc5553"/>
      <w:bookmarkStart w:id="19" w:name="_Toc15396600"/>
      <w:bookmarkStart w:id="20" w:name="_Toc15377197"/>
      <w:r>
        <w:t>一、职能简介</w:t>
      </w:r>
      <w:bookmarkEnd w:id="16"/>
      <w:bookmarkEnd w:id="17"/>
      <w:bookmarkEnd w:id="18"/>
    </w:p>
    <w:p>
      <w:pPr>
        <w:pStyle w:val="4"/>
        <w:ind w:firstLine="960" w:firstLineChars="300"/>
        <w:rPr>
          <w:rFonts w:ascii="仿宋_GB2312" w:hAnsi="仿宋_GB2312" w:eastAsia="仿宋_GB2312" w:cs="仿宋_GB2312"/>
          <w:color w:val="000000"/>
          <w:kern w:val="0"/>
        </w:rPr>
      </w:pPr>
      <w:bookmarkStart w:id="21" w:name="_Toc9323"/>
      <w:bookmarkStart w:id="22" w:name="_Toc97403165"/>
      <w:bookmarkStart w:id="23" w:name="_Toc97403291"/>
      <w:r>
        <w:rPr>
          <w:rFonts w:hint="eastAsia" w:ascii="仿宋_GB2312" w:hAnsi="仿宋_GB2312" w:eastAsia="仿宋_GB2312" w:cs="仿宋_GB2312"/>
          <w:color w:val="333333"/>
          <w:kern w:val="0"/>
          <w:shd w:val="clear" w:color="auto" w:fill="FFFFFF"/>
        </w:rPr>
        <w:t>1.</w:t>
      </w:r>
      <w:r>
        <w:rPr>
          <w:rFonts w:hint="eastAsia" w:ascii="仿宋_GB2312" w:hAnsi="仿宋_GB2312" w:eastAsia="仿宋_GB2312" w:cs="仿宋_GB2312"/>
          <w:color w:val="000000"/>
          <w:kern w:val="0"/>
        </w:rPr>
        <w:t>宣传贯彻农民工服务保障工作法律法规和政策；</w:t>
      </w:r>
      <w:bookmarkEnd w:id="21"/>
    </w:p>
    <w:p>
      <w:pPr>
        <w:pStyle w:val="4"/>
        <w:ind w:firstLine="960" w:firstLineChars="300"/>
        <w:rPr>
          <w:rFonts w:ascii="仿宋_GB2312" w:hAnsi="仿宋_GB2312" w:eastAsia="仿宋_GB2312" w:cs="仿宋_GB2312"/>
          <w:color w:val="000000"/>
          <w:kern w:val="0"/>
        </w:rPr>
      </w:pPr>
      <w:bookmarkStart w:id="24" w:name="_Toc21569"/>
      <w:r>
        <w:rPr>
          <w:rFonts w:hint="eastAsia" w:ascii="仿宋_GB2312" w:hAnsi="仿宋_GB2312" w:eastAsia="仿宋_GB2312" w:cs="仿宋_GB2312"/>
          <w:color w:val="000000"/>
          <w:kern w:val="0"/>
        </w:rPr>
        <w:t>2.组织实施全市农民工服务体系标准化建设工作；</w:t>
      </w:r>
      <w:bookmarkEnd w:id="24"/>
    </w:p>
    <w:p>
      <w:pPr>
        <w:pStyle w:val="4"/>
        <w:ind w:firstLine="960" w:firstLineChars="300"/>
        <w:rPr>
          <w:rFonts w:ascii="仿宋_GB2312" w:hAnsi="仿宋_GB2312" w:eastAsia="仿宋_GB2312" w:cs="仿宋_GB2312"/>
          <w:color w:val="000000"/>
          <w:kern w:val="0"/>
        </w:rPr>
      </w:pPr>
      <w:bookmarkStart w:id="25" w:name="_Toc3871"/>
      <w:r>
        <w:rPr>
          <w:rFonts w:hint="eastAsia" w:ascii="仿宋_GB2312" w:hAnsi="仿宋_GB2312" w:eastAsia="仿宋_GB2312" w:cs="仿宋_GB2312"/>
          <w:color w:val="000000"/>
          <w:kern w:val="0"/>
        </w:rPr>
        <w:t>3.建设和管理驻外农民工工作站，承担农民工信息化建设工作；</w:t>
      </w:r>
      <w:bookmarkEnd w:id="25"/>
    </w:p>
    <w:p>
      <w:pPr>
        <w:pStyle w:val="4"/>
        <w:ind w:firstLine="960" w:firstLineChars="300"/>
        <w:rPr>
          <w:rFonts w:ascii="仿宋_GB2312" w:hAnsi="仿宋_GB2312" w:eastAsia="仿宋_GB2312" w:cs="仿宋_GB2312"/>
          <w:color w:val="000000"/>
          <w:kern w:val="0"/>
        </w:rPr>
      </w:pPr>
      <w:bookmarkStart w:id="26" w:name="_Toc9233"/>
      <w:r>
        <w:rPr>
          <w:rFonts w:hint="eastAsia" w:ascii="仿宋_GB2312" w:hAnsi="仿宋_GB2312" w:eastAsia="仿宋_GB2312" w:cs="仿宋_GB2312"/>
          <w:color w:val="000000"/>
          <w:kern w:val="0"/>
        </w:rPr>
        <w:t>4.组织开展农民工回引创业、职业培训等工作，组织农民工参加创新创业大赛活动；</w:t>
      </w:r>
      <w:bookmarkEnd w:id="26"/>
    </w:p>
    <w:p>
      <w:pPr>
        <w:pStyle w:val="4"/>
        <w:ind w:firstLine="960" w:firstLineChars="300"/>
        <w:rPr>
          <w:rFonts w:ascii="仿宋_GB2312" w:hAnsi="仿宋_GB2312" w:eastAsia="仿宋_GB2312" w:cs="仿宋_GB2312"/>
          <w:color w:val="000000"/>
          <w:kern w:val="0"/>
        </w:rPr>
      </w:pPr>
      <w:bookmarkStart w:id="27" w:name="_Toc26249"/>
      <w:r>
        <w:rPr>
          <w:rFonts w:hint="eastAsia" w:ascii="仿宋_GB2312" w:hAnsi="仿宋_GB2312" w:eastAsia="仿宋_GB2312" w:cs="仿宋_GB2312"/>
          <w:color w:val="000000"/>
          <w:kern w:val="0"/>
        </w:rPr>
        <w:t>5.会同有关部门开展农民工维权救助、法律援助、治理欠薪等工作；</w:t>
      </w:r>
      <w:bookmarkEnd w:id="27"/>
    </w:p>
    <w:p>
      <w:pPr>
        <w:pStyle w:val="4"/>
        <w:ind w:firstLine="960" w:firstLineChars="300"/>
        <w:rPr>
          <w:rFonts w:ascii="仿宋_GB2312" w:hAnsi="仿宋_GB2312" w:eastAsia="仿宋_GB2312" w:cs="仿宋_GB2312"/>
          <w:color w:val="000000"/>
          <w:kern w:val="0"/>
        </w:rPr>
      </w:pPr>
      <w:bookmarkStart w:id="28" w:name="_Toc25961"/>
      <w:r>
        <w:rPr>
          <w:rFonts w:hint="eastAsia" w:ascii="仿宋_GB2312" w:hAnsi="仿宋_GB2312" w:eastAsia="仿宋_GB2312" w:cs="仿宋_GB2312"/>
          <w:color w:val="000000"/>
          <w:kern w:val="0"/>
        </w:rPr>
        <w:t>6.组织实施农民工走访慰问、关心关爱等活动，会同有关部门开展农民工文化艺术、体育竞技等活动；</w:t>
      </w:r>
      <w:bookmarkEnd w:id="28"/>
    </w:p>
    <w:p>
      <w:pPr>
        <w:pStyle w:val="4"/>
        <w:ind w:firstLine="960" w:firstLineChars="300"/>
        <w:rPr>
          <w:rFonts w:ascii="仿宋_GB2312" w:hAnsi="仿宋_GB2312" w:eastAsia="仿宋_GB2312" w:cs="仿宋_GB2312"/>
          <w:color w:val="000000"/>
          <w:kern w:val="0"/>
        </w:rPr>
      </w:pPr>
      <w:bookmarkStart w:id="29" w:name="_Toc30556"/>
      <w:r>
        <w:rPr>
          <w:rFonts w:hint="eastAsia" w:ascii="仿宋_GB2312" w:hAnsi="仿宋_GB2312" w:eastAsia="仿宋_GB2312" w:cs="仿宋_GB2312"/>
          <w:color w:val="000000"/>
          <w:kern w:val="0"/>
        </w:rPr>
        <w:t>7.完成市人力资源社会保障局交办的其他任务。</w:t>
      </w:r>
      <w:bookmarkEnd w:id="29"/>
    </w:p>
    <w:p>
      <w:pPr>
        <w:pStyle w:val="4"/>
        <w:ind w:firstLine="640"/>
      </w:pPr>
      <w:bookmarkStart w:id="30" w:name="_Toc12668"/>
      <w:r>
        <w:t>二、2021年重点工作</w:t>
      </w:r>
      <w:bookmarkEnd w:id="19"/>
      <w:bookmarkEnd w:id="20"/>
      <w:r>
        <w:t>完成情况</w:t>
      </w:r>
      <w:bookmarkEnd w:id="22"/>
      <w:bookmarkEnd w:id="23"/>
      <w:bookmarkEnd w:id="30"/>
    </w:p>
    <w:p>
      <w:pPr>
        <w:pStyle w:val="15"/>
        <w:widowControl/>
        <w:shd w:val="clear" w:color="auto" w:fill="FFFFFF"/>
        <w:spacing w:before="210" w:after="210" w:line="360" w:lineRule="atLeast"/>
        <w:ind w:firstLine="640"/>
        <w:rPr>
          <w:rFonts w:ascii="仿宋_GB2312" w:hAnsi="仿宋_GB2312" w:eastAsia="仿宋_GB2312" w:cs="仿宋_GB2312"/>
          <w:sz w:val="32"/>
          <w:szCs w:val="32"/>
        </w:rPr>
      </w:pPr>
      <w:bookmarkStart w:id="31" w:name="_Toc15377204"/>
      <w:bookmarkStart w:id="32" w:name="_Toc15396602"/>
      <w:r>
        <w:rPr>
          <w:rFonts w:hint="eastAsia" w:ascii="仿宋_GB2312" w:hAnsi="仿宋_GB2312" w:eastAsia="仿宋_GB2312" w:cs="仿宋_GB2312"/>
          <w:color w:val="333333"/>
          <w:sz w:val="32"/>
          <w:szCs w:val="32"/>
          <w:shd w:val="clear" w:color="auto" w:fill="FFFFFF"/>
        </w:rPr>
        <w:t>持续抓好农民工服务保障。做好农民工疫情防控工作，开展“点对点、一站式”返岗务工直达运输服务，组织专列、专车助农民工返岗复工。持续做好走访慰问、就业创业、权益维护、证照办理、情满旅途等十件实事。深化东西部劳务协作和省内对口帮扶，稳定农村劳动力转移就业规模。加强协调农民工均等享有城市基本公共服务，提升县域农民工市民化质量。持续推进驻外农民工工作站、乡村两级农民工服务机构标准化建设，打造一批示范站点，以点带面，提升服务质效。高质量完成全国金保工程二期农民工综合信息系统试点，完善农民工基本信息数据库，精准施策提供服务，加大农民工服务平台宣传推广力度，办好廊桥返乡创业图片展，营造关心关爱农民工和鼓励返乡创业良好氛围。精心组织参加全省农民工技能大赛、创业大赛等各类活动。全市农村劳动力转移就业稳定在95万人左右，做大做强“农民工经济”。</w:t>
      </w:r>
    </w:p>
    <w:p>
      <w:pPr>
        <w:pStyle w:val="15"/>
        <w:widowControl/>
        <w:shd w:val="clear" w:color="auto" w:fill="FFFFFF"/>
        <w:spacing w:before="210" w:after="210" w:line="360" w:lineRule="atLeast"/>
        <w:ind w:firstLine="64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做好农民工返乡创业就业工作。进一步完善返乡下乡创业企业服务机制，落实“每个重点企业确定一名联系领导、发放一张连心卡、落实一个服务专员”制度，创新困难问题会商会形式，常态化解决企业困难问题。评选一批返乡下乡创业工作先进县、明星村镇，开展农民工返乡创业项目库建设、项目推介、集中签约和创业指导服务活动。依托国有人力资源公司、大专院校，积极创建“川字号”特色劳务品牌，培育市级特色劳务品牌。</w:t>
      </w:r>
    </w:p>
    <w:p>
      <w:pPr>
        <w:pStyle w:val="7"/>
        <w:spacing w:before="93"/>
        <w:ind w:firstLine="600"/>
      </w:pPr>
    </w:p>
    <w:p>
      <w:pPr>
        <w:pStyle w:val="3"/>
        <w:ind w:firstLine="880"/>
      </w:pPr>
      <w:bookmarkStart w:id="33" w:name="_Toc97403292"/>
      <w:bookmarkStart w:id="34" w:name="_Toc97403166"/>
      <w:bookmarkStart w:id="35" w:name="_Toc8232"/>
      <w:r>
        <w:t>第二部分 2021年度单位决算情况说明</w:t>
      </w:r>
      <w:bookmarkEnd w:id="31"/>
      <w:bookmarkEnd w:id="32"/>
      <w:bookmarkEnd w:id="33"/>
      <w:bookmarkEnd w:id="34"/>
      <w:bookmarkEnd w:id="35"/>
    </w:p>
    <w:p>
      <w:pPr>
        <w:ind w:firstLine="640"/>
      </w:pPr>
    </w:p>
    <w:p>
      <w:pPr>
        <w:pStyle w:val="4"/>
        <w:ind w:firstLine="640"/>
      </w:pPr>
      <w:bookmarkStart w:id="36" w:name="_Toc30252"/>
      <w:bookmarkStart w:id="37" w:name="_Toc15377205"/>
      <w:bookmarkStart w:id="38" w:name="_Toc97403293"/>
      <w:bookmarkStart w:id="39" w:name="_Toc15396603"/>
      <w:bookmarkStart w:id="40" w:name="_Toc97403167"/>
      <w:r>
        <w:t>一、收入支出决算总体情况说明</w:t>
      </w:r>
      <w:bookmarkEnd w:id="36"/>
      <w:bookmarkEnd w:id="37"/>
      <w:bookmarkEnd w:id="38"/>
      <w:bookmarkEnd w:id="39"/>
      <w:bookmarkEnd w:id="40"/>
    </w:p>
    <w:p>
      <w:pPr>
        <w:spacing w:line="600" w:lineRule="exact"/>
        <w:ind w:firstLine="640"/>
        <w:rPr>
          <w:rFonts w:ascii="仿宋" w:hAnsi="仿宋" w:eastAsia="仿宋"/>
          <w:color w:val="000000"/>
          <w:szCs w:val="32"/>
        </w:rPr>
      </w:pPr>
      <w:bookmarkStart w:id="41" w:name="_Toc97403294"/>
      <w:bookmarkStart w:id="42" w:name="_Toc15396604"/>
      <w:bookmarkStart w:id="43" w:name="_Toc15377206"/>
      <w:bookmarkStart w:id="44" w:name="_Toc97403168"/>
      <w:r>
        <w:rPr>
          <w:rFonts w:ascii="仿宋" w:hAnsi="仿宋" w:eastAsia="仿宋"/>
          <w:szCs w:val="32"/>
        </w:rPr>
        <w:t>202</w:t>
      </w:r>
      <w:r>
        <w:rPr>
          <w:rFonts w:hint="eastAsia" w:ascii="仿宋" w:hAnsi="仿宋" w:eastAsia="仿宋"/>
          <w:szCs w:val="32"/>
        </w:rPr>
        <w:t>1年度收、支总计238.39万元。与</w:t>
      </w:r>
      <w:r>
        <w:rPr>
          <w:rFonts w:ascii="仿宋" w:hAnsi="仿宋" w:eastAsia="仿宋"/>
          <w:szCs w:val="32"/>
        </w:rPr>
        <w:t>20</w:t>
      </w:r>
      <w:r>
        <w:rPr>
          <w:rFonts w:hint="eastAsia" w:ascii="仿宋" w:hAnsi="仿宋" w:eastAsia="仿宋"/>
          <w:szCs w:val="32"/>
        </w:rPr>
        <w:t>20年相比，收、支总计各增加了</w:t>
      </w:r>
      <w:r>
        <w:rPr>
          <w:rFonts w:hint="eastAsia" w:ascii="仿宋" w:hAnsi="仿宋" w:eastAsia="仿宋"/>
          <w:szCs w:val="32"/>
          <w:lang w:val="en-US" w:eastAsia="zh-CN"/>
        </w:rPr>
        <w:t>88.86</w:t>
      </w:r>
      <w:r>
        <w:rPr>
          <w:rFonts w:hint="eastAsia" w:ascii="仿宋" w:hAnsi="仿宋" w:eastAsia="仿宋"/>
          <w:szCs w:val="32"/>
        </w:rPr>
        <w:t>万元，上升了</w:t>
      </w:r>
      <w:r>
        <w:rPr>
          <w:rFonts w:hint="eastAsia" w:ascii="仿宋" w:hAnsi="仿宋" w:eastAsia="仿宋"/>
          <w:szCs w:val="32"/>
          <w:lang w:val="en-US" w:eastAsia="zh-CN"/>
        </w:rPr>
        <w:t>59.43</w:t>
      </w:r>
      <w:r>
        <w:rPr>
          <w:rFonts w:ascii="仿宋" w:hAnsi="仿宋" w:eastAsia="仿宋"/>
          <w:szCs w:val="32"/>
        </w:rPr>
        <w:t>%</w:t>
      </w:r>
      <w:r>
        <w:rPr>
          <w:rFonts w:hint="eastAsia" w:ascii="仿宋" w:hAnsi="仿宋" w:eastAsia="仿宋"/>
          <w:szCs w:val="32"/>
        </w:rPr>
        <w:t>。主</w:t>
      </w:r>
      <w:r>
        <w:rPr>
          <w:rFonts w:hint="eastAsia" w:ascii="仿宋" w:hAnsi="仿宋" w:eastAsia="仿宋"/>
          <w:color w:val="000000"/>
          <w:szCs w:val="32"/>
        </w:rPr>
        <w:t>要变动原因是人员、项目经费增加。</w:t>
      </w:r>
    </w:p>
    <w:p>
      <w:pPr>
        <w:spacing w:line="240" w:lineRule="auto"/>
        <w:ind w:firstLine="640"/>
        <w:rPr>
          <w:rFonts w:ascii="仿宋" w:hAnsi="仿宋" w:eastAsia="仿宋"/>
          <w:color w:val="000000"/>
          <w:szCs w:val="32"/>
        </w:rPr>
      </w:pPr>
      <w:r>
        <w:rPr>
          <w:rFonts w:hint="eastAsia" w:ascii="仿宋" w:hAnsi="仿宋" w:eastAsia="仿宋"/>
          <w:color w:val="000000"/>
          <w:szCs w:val="32"/>
        </w:rPr>
        <w:t xml:space="preserve">  </w:t>
      </w:r>
      <w:r>
        <w:drawing>
          <wp:inline distT="0" distB="0" distL="114300" distR="114300">
            <wp:extent cx="4572000" cy="274320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2240" w:firstLineChars="7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1</w:t>
      </w:r>
      <w:r>
        <w:rPr>
          <w:rFonts w:hint="eastAsia" w:ascii="仿宋" w:hAnsi="仿宋" w:eastAsia="仿宋"/>
          <w:color w:val="000000"/>
          <w:szCs w:val="32"/>
        </w:rPr>
        <w:t>：收、支决算总计变动情况图）</w:t>
      </w:r>
    </w:p>
    <w:p>
      <w:pPr>
        <w:pStyle w:val="4"/>
        <w:ind w:firstLine="640"/>
      </w:pPr>
      <w:bookmarkStart w:id="45" w:name="_Toc25202"/>
      <w:r>
        <w:t>二、收入决算情况说明</w:t>
      </w:r>
      <w:bookmarkEnd w:id="41"/>
      <w:bookmarkEnd w:id="42"/>
      <w:bookmarkEnd w:id="43"/>
      <w:bookmarkEnd w:id="44"/>
      <w:bookmarkEnd w:id="45"/>
    </w:p>
    <w:p>
      <w:pPr>
        <w:spacing w:line="600" w:lineRule="exact"/>
        <w:ind w:firstLine="640"/>
        <w:outlineLvl w:val="1"/>
        <w:rPr>
          <w:rFonts w:ascii="仿宋" w:hAnsi="仿宋" w:eastAsia="仿宋"/>
          <w:szCs w:val="32"/>
        </w:rPr>
      </w:pPr>
      <w:bookmarkStart w:id="46" w:name="_Toc5469"/>
      <w:bookmarkStart w:id="47" w:name="_Toc97403169"/>
      <w:bookmarkStart w:id="48" w:name="_Toc15396605"/>
      <w:bookmarkStart w:id="49" w:name="_Toc97403295"/>
      <w:bookmarkStart w:id="50" w:name="_Toc15377207"/>
      <w:r>
        <w:rPr>
          <w:rFonts w:ascii="仿宋" w:hAnsi="仿宋" w:eastAsia="仿宋"/>
          <w:szCs w:val="32"/>
        </w:rPr>
        <w:t>202</w:t>
      </w:r>
      <w:r>
        <w:rPr>
          <w:rFonts w:hint="eastAsia" w:ascii="仿宋" w:hAnsi="仿宋" w:eastAsia="仿宋"/>
          <w:szCs w:val="32"/>
        </w:rPr>
        <w:t>1年本年收入合计238.39万元，其中：一般公共预算财政拨款收入238.39万元，占100</w:t>
      </w:r>
      <w:r>
        <w:rPr>
          <w:rFonts w:ascii="仿宋" w:hAnsi="仿宋" w:eastAsia="仿宋"/>
          <w:szCs w:val="32"/>
        </w:rPr>
        <w:t>%</w:t>
      </w:r>
      <w:r>
        <w:rPr>
          <w:rFonts w:hint="eastAsia" w:ascii="仿宋" w:hAnsi="仿宋" w:eastAsia="仿宋"/>
          <w:szCs w:val="32"/>
        </w:rPr>
        <w:t>。</w:t>
      </w:r>
      <w:bookmarkEnd w:id="46"/>
    </w:p>
    <w:p>
      <w:pPr>
        <w:spacing w:line="240" w:lineRule="auto"/>
        <w:ind w:firstLine="643"/>
        <w:outlineLvl w:val="9"/>
        <w:rPr>
          <w:rFonts w:ascii="仿宋" w:hAnsi="仿宋" w:eastAsia="仿宋"/>
          <w:color w:val="000000"/>
          <w:szCs w:val="32"/>
        </w:rPr>
      </w:pPr>
      <w:r>
        <w:rPr>
          <w:rFonts w:hint="eastAsia" w:ascii="仿宋" w:hAnsi="仿宋" w:eastAsia="仿宋"/>
          <w:b/>
          <w:color w:val="FF0000"/>
          <w:szCs w:val="32"/>
        </w:rPr>
        <w:drawing>
          <wp:inline distT="0" distB="0" distL="114300" distR="114300">
            <wp:extent cx="3975735" cy="2726055"/>
            <wp:effectExtent l="0" t="0" r="1905" b="1905"/>
            <wp:docPr id="3" name="图片 2" descr="8884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8844444"/>
                    <pic:cNvPicPr>
                      <a:picLocks noChangeAspect="1"/>
                    </pic:cNvPicPr>
                  </pic:nvPicPr>
                  <pic:blipFill>
                    <a:blip r:embed="rId17" cstate="print"/>
                    <a:stretch>
                      <a:fillRect/>
                    </a:stretch>
                  </pic:blipFill>
                  <pic:spPr>
                    <a:xfrm>
                      <a:off x="0" y="0"/>
                      <a:ext cx="3975735" cy="2726055"/>
                    </a:xfrm>
                    <a:prstGeom prst="rect">
                      <a:avLst/>
                    </a:prstGeom>
                    <a:noFill/>
                    <a:ln>
                      <a:noFill/>
                    </a:ln>
                  </pic:spPr>
                </pic:pic>
              </a:graphicData>
            </a:graphic>
          </wp:inline>
        </w:drawing>
      </w:r>
    </w:p>
    <w:p>
      <w:pPr>
        <w:spacing w:line="600" w:lineRule="exact"/>
        <w:ind w:firstLine="1920" w:firstLineChars="600"/>
        <w:rPr>
          <w:rFonts w:ascii="仿宋_GB2312" w:eastAsia="仿宋_GB2312"/>
          <w:color w:val="FF0000"/>
          <w:szCs w:val="32"/>
        </w:rPr>
      </w:pPr>
      <w:r>
        <w:rPr>
          <w:rFonts w:hint="eastAsia" w:ascii="仿宋" w:hAnsi="仿宋" w:eastAsia="仿宋"/>
          <w:color w:val="000000"/>
          <w:szCs w:val="32"/>
        </w:rPr>
        <w:t>（图</w:t>
      </w:r>
      <w:r>
        <w:rPr>
          <w:rFonts w:ascii="仿宋" w:hAnsi="仿宋" w:eastAsia="仿宋"/>
          <w:color w:val="000000"/>
          <w:szCs w:val="32"/>
        </w:rPr>
        <w:t>2</w:t>
      </w:r>
      <w:r>
        <w:rPr>
          <w:rFonts w:hint="eastAsia" w:ascii="仿宋" w:hAnsi="仿宋" w:eastAsia="仿宋"/>
          <w:color w:val="000000"/>
          <w:szCs w:val="32"/>
        </w:rPr>
        <w:t>：收入决算结构图）</w:t>
      </w:r>
    </w:p>
    <w:p>
      <w:pPr>
        <w:pStyle w:val="4"/>
        <w:ind w:firstLine="640"/>
      </w:pPr>
      <w:bookmarkStart w:id="51" w:name="_Toc3412"/>
      <w:r>
        <w:t>三、支出决算情况说明</w:t>
      </w:r>
      <w:bookmarkEnd w:id="47"/>
      <w:bookmarkEnd w:id="48"/>
      <w:bookmarkEnd w:id="49"/>
      <w:bookmarkEnd w:id="50"/>
      <w:bookmarkEnd w:id="51"/>
    </w:p>
    <w:p>
      <w:pPr>
        <w:ind w:firstLine="640"/>
      </w:pPr>
      <w:r>
        <w:t>2021年本年支出合计</w:t>
      </w:r>
      <w:r>
        <w:rPr>
          <w:rFonts w:hint="eastAsia"/>
        </w:rPr>
        <w:t>183.73</w:t>
      </w:r>
      <w:r>
        <w:t>万元，其中：基本支出</w:t>
      </w:r>
      <w:r>
        <w:rPr>
          <w:rFonts w:hint="eastAsia"/>
        </w:rPr>
        <w:t>131.74</w:t>
      </w:r>
      <w:r>
        <w:t>万元，占</w:t>
      </w:r>
      <w:r>
        <w:rPr>
          <w:rFonts w:hint="eastAsia"/>
        </w:rPr>
        <w:t>72</w:t>
      </w:r>
      <w:r>
        <w:t>%；项目支出</w:t>
      </w:r>
      <w:r>
        <w:rPr>
          <w:rFonts w:hint="eastAsia"/>
        </w:rPr>
        <w:t>51.99</w:t>
      </w:r>
      <w:r>
        <w:t>万元，占</w:t>
      </w:r>
      <w:r>
        <w:rPr>
          <w:rFonts w:hint="eastAsia"/>
        </w:rPr>
        <w:t>28</w:t>
      </w:r>
      <w:r>
        <w:t>%。</w:t>
      </w:r>
    </w:p>
    <w:p>
      <w:pPr>
        <w:spacing w:line="240" w:lineRule="auto"/>
        <w:ind w:firstLine="640" w:firstLineChars="0"/>
        <w:jc w:val="center"/>
        <w:rPr>
          <w:rFonts w:ascii="仿宋" w:eastAsia="仿宋"/>
          <w:szCs w:val="32"/>
        </w:rPr>
      </w:pPr>
      <w:r>
        <mc:AlternateContent>
          <mc:Choice Requires="wps">
            <w:drawing>
              <wp:anchor distT="0" distB="0" distL="114300" distR="114300" simplePos="0" relativeHeight="251659264" behindDoc="0" locked="0" layoutInCell="1" allowOverlap="1">
                <wp:simplePos x="0" y="0"/>
                <wp:positionH relativeFrom="column">
                  <wp:posOffset>3526790</wp:posOffset>
                </wp:positionH>
                <wp:positionV relativeFrom="paragraph">
                  <wp:posOffset>24130</wp:posOffset>
                </wp:positionV>
                <wp:extent cx="1153795" cy="516255"/>
                <wp:effectExtent l="0" t="0" r="0" b="0"/>
                <wp:wrapNone/>
                <wp:docPr id="5" name="文本框 5"/>
                <wp:cNvGraphicFramePr/>
                <a:graphic xmlns:a="http://schemas.openxmlformats.org/drawingml/2006/main">
                  <a:graphicData uri="http://schemas.microsoft.com/office/word/2010/wordprocessingShape">
                    <wps:wsp>
                      <wps:cNvSpPr txBox="1"/>
                      <wps:spPr>
                        <a:xfrm>
                          <a:off x="4838700" y="2185035"/>
                          <a:ext cx="1153795" cy="516255"/>
                        </a:xfrm>
                        <a:prstGeom prst="rect">
                          <a:avLst/>
                        </a:prstGeom>
                        <a:noFill/>
                        <a:ln w="6350">
                          <a:noFill/>
                        </a:ln>
                        <a:effectLst/>
                      </wps:spPr>
                      <wps:txbx>
                        <w:txbxContent>
                          <w:p>
                            <w:pPr>
                              <w:ind w:firstLine="0" w:firstLineChars="0"/>
                              <w:rPr>
                                <w:rFonts w:ascii="黑体" w:hAnsi="黑体" w:eastAsia="黑体" w:cs="黑体"/>
                                <w:color w:val="FFFFFF" w:themeColor="background1"/>
                                <w14:textFill>
                                  <w14:solidFill>
                                    <w14:schemeClr w14:val="bg1"/>
                                  </w14:solidFill>
                                </w14:textFill>
                              </w:rPr>
                            </w:pPr>
                            <w:r>
                              <w:rPr>
                                <w:rFonts w:hint="eastAsia" w:ascii="黑体" w:hAnsi="黑体" w:eastAsia="黑体" w:cs="黑体"/>
                              </w:rPr>
                              <w:t>（</w:t>
                            </w:r>
                            <w:r>
                              <w:rPr>
                                <w:rFonts w:hint="eastAsia" w:ascii="黑体" w:hAnsi="黑体" w:eastAsia="黑体" w:cs="黑体"/>
                                <w:b w:val="0"/>
                                <w:bCs w:val="0"/>
                              </w:rPr>
                              <w:t>万元</w:t>
                            </w:r>
                            <w:r>
                              <w:rPr>
                                <w:rFonts w:hint="eastAsia" w:ascii="黑体" w:hAnsi="黑体" w:eastAsia="黑体" w:cs="黑体"/>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7pt;margin-top:1.9pt;height:40.65pt;width:90.85pt;z-index:251659264;mso-width-relative:page;mso-height-relative:page;" filled="f" stroked="f" coordsize="21600,21600" o:gfxdata="UEsDBAoAAAAAAIdO4kAAAAAAAAAAAAAAAAAEAAAAZHJzL1BLAwQUAAAACACHTuJA8ePY+9kAAAAI&#10;AQAADwAAAGRycy9kb3ducmV2LnhtbE2PzUvDQBTE74L/w/IEb3aT1tgQsykSKILoobUXby/Z1yS4&#10;HzG7/dC/3uepHocZZn5Trs7WiCNNYfBOQTpLQJBrvR5cp2D3vr7LQYSITqPxjhR8U4BVdX1VYqH9&#10;yW3ouI2d4BIXClTQxzgWUoa2J4th5kdy7O39ZDGynDqpJzxxuTVyniQP0uLgeKHHkeqe2s/twSp4&#10;qddvuGnmNv8x9fPr/mn82n1kSt3epMkjiEjneAnDHz6jQ8VMjT84HYRRkGXZPUcVLPgB+8vFMgXR&#10;KMizFGRVyv8Hql9QSwMEFAAAAAgAh07iQCH04thPAgAAgAQAAA4AAABkcnMvZTJvRG9jLnhtbK1U&#10;S27bMBDdF+gdCO5rSbblOEbkwE3gooDRBHCLrmmKigSQHJakLbkHaG/QVTfd91w+R4eU7QRpF1l0&#10;Q89wnt7wzcdX152SZCesa0AXNBuklAjNoWz0Q0E/fVy+mVLiPNMlk6BFQffC0ev561dXrZmJIdQg&#10;S2EJkmg3a01Ba+/NLEkcr4VibgBGaAxWYBXz6NqHpLSsRXYlk2GaTpIWbGkscOEc3t72QXpktC8h&#10;hKpquLgFvlVC+57VCsk8SnJ1Yxydx9dWleD+rqqc8EQWFJX6eGIStDfhTOZXbPZgmakbfnwCe8kT&#10;nmlSrNGY9Ex1yzwjW9v8RaUabsFB5QccVNILiRVBFVn6rDbrmhkRtWCpnTkX3f0/Wv5hd29JUxY0&#10;p0QzhQ0//Ph++Pn78OsbyUN5WuNmiFobxPnuLXQ4NKd7h5dBdVdZFX5RD8H4eDqaXqRY4n1Bh9k0&#10;T0eRic1E5wkPBFk+urjEjBwReTYZ5hGQPDIZ6/w7AYoEo6AWGxnry3Yr5/FVCD1BQmINy0bK2Eyp&#10;SVvQyShP4wfnCH4hdcCKOBZHmqCuVxEs3226o+QNlHtUbKEfGWf4ssGnrJjz98zijKA83CJ/h0cl&#10;AVPC0aKkBvv1X/cBj63DKCUtzlxB3Zcts4IS+V5jUy+z8TgMaXTG+cUQHfs0snka0Vt1AzjWGe6r&#10;4dEMeC9PZmVBfcZlW4SsGGKaY+6C+pN54/tNwGXlYrGIIBxLw/xKrw0P1H1xF1sPVRPrHsrU1wab&#10;EBwczNiO4xKFyX/qR9TjH8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Hj2PvZAAAACAEAAA8A&#10;AAAAAAAAAQAgAAAAIgAAAGRycy9kb3ducmV2LnhtbFBLAQIUABQAAAAIAIdO4kAh9OLYTwIAAIAE&#10;AAAOAAAAAAAAAAEAIAAAACgBAABkcnMvZTJvRG9jLnhtbFBLBQYAAAAABgAGAFkBAADpBQAAAAA=&#10;">
                <v:fill on="f" focussize="0,0"/>
                <v:stroke on="f" weight="0.5pt"/>
                <v:imagedata o:title=""/>
                <o:lock v:ext="edit" aspectratio="f"/>
                <v:textbox>
                  <w:txbxContent>
                    <w:p>
                      <w:pPr>
                        <w:ind w:firstLine="0" w:firstLineChars="0"/>
                        <w:rPr>
                          <w:rFonts w:ascii="黑体" w:hAnsi="黑体" w:eastAsia="黑体" w:cs="黑体"/>
                          <w:color w:val="FFFFFF" w:themeColor="background1"/>
                          <w14:textFill>
                            <w14:solidFill>
                              <w14:schemeClr w14:val="bg1"/>
                            </w14:solidFill>
                          </w14:textFill>
                        </w:rPr>
                      </w:pPr>
                      <w:r>
                        <w:rPr>
                          <w:rFonts w:hint="eastAsia" w:ascii="黑体" w:hAnsi="黑体" w:eastAsia="黑体" w:cs="黑体"/>
                        </w:rPr>
                        <w:t>（</w:t>
                      </w:r>
                      <w:r>
                        <w:rPr>
                          <w:rFonts w:hint="eastAsia" w:ascii="黑体" w:hAnsi="黑体" w:eastAsia="黑体" w:cs="黑体"/>
                          <w:b w:val="0"/>
                          <w:bCs w:val="0"/>
                        </w:rPr>
                        <w:t>万元</w:t>
                      </w:r>
                      <w:r>
                        <w:rPr>
                          <w:rFonts w:hint="eastAsia" w:ascii="黑体" w:hAnsi="黑体" w:eastAsia="黑体" w:cs="黑体"/>
                        </w:rPr>
                        <w:t>）</w:t>
                      </w:r>
                    </w:p>
                  </w:txbxContent>
                </v:textbox>
              </v:shape>
            </w:pict>
          </mc:Fallback>
        </mc:AlternateContent>
      </w:r>
      <w:r>
        <w:drawing>
          <wp:inline distT="0" distB="0" distL="114300" distR="114300">
            <wp:extent cx="3636645" cy="2460625"/>
            <wp:effectExtent l="4445" t="4445" r="16510" b="190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jc w:val="center"/>
        <w:rPr>
          <w:rFonts w:ascii="仿宋_GB2312" w:eastAsia="仿宋_GB2312"/>
          <w:szCs w:val="32"/>
        </w:rPr>
      </w:pPr>
      <w:r>
        <w:rPr>
          <w:rFonts w:hint="eastAsia" w:ascii="仿宋" w:eastAsia="仿宋"/>
          <w:szCs w:val="32"/>
        </w:rPr>
        <w:t>（图3：支出决算结构图）</w:t>
      </w:r>
    </w:p>
    <w:p>
      <w:pPr>
        <w:pStyle w:val="4"/>
        <w:ind w:firstLine="640"/>
      </w:pPr>
      <w:bookmarkStart w:id="52" w:name="_Toc15377208"/>
      <w:bookmarkStart w:id="53" w:name="_Toc19320"/>
      <w:bookmarkStart w:id="54" w:name="_Toc15396606"/>
      <w:bookmarkStart w:id="55" w:name="_Toc97403296"/>
      <w:bookmarkStart w:id="56" w:name="_Toc97403170"/>
      <w:r>
        <w:t>四、财政拨款收入支出决算总体情况说明</w:t>
      </w:r>
      <w:bookmarkEnd w:id="52"/>
      <w:bookmarkEnd w:id="53"/>
      <w:bookmarkEnd w:id="54"/>
      <w:bookmarkEnd w:id="55"/>
      <w:bookmarkEnd w:id="56"/>
    </w:p>
    <w:p>
      <w:pPr>
        <w:spacing w:line="600" w:lineRule="exact"/>
        <w:ind w:firstLine="640"/>
        <w:rPr>
          <w:rFonts w:ascii="仿宋" w:hAnsi="仿宋" w:eastAsia="仿宋"/>
          <w:color w:val="000000"/>
          <w:szCs w:val="32"/>
        </w:rPr>
      </w:pPr>
      <w:r>
        <w:rPr>
          <w:rFonts w:ascii="仿宋" w:hAnsi="仿宋" w:eastAsia="仿宋"/>
          <w:szCs w:val="32"/>
        </w:rPr>
        <w:t>202</w:t>
      </w:r>
      <w:r>
        <w:rPr>
          <w:rFonts w:hint="eastAsia" w:ascii="仿宋" w:hAnsi="仿宋" w:eastAsia="仿宋"/>
          <w:szCs w:val="32"/>
        </w:rPr>
        <w:t>1年度收、支总计238.39万元。与</w:t>
      </w:r>
      <w:r>
        <w:rPr>
          <w:rFonts w:ascii="仿宋" w:hAnsi="仿宋" w:eastAsia="仿宋"/>
          <w:szCs w:val="32"/>
        </w:rPr>
        <w:t>20</w:t>
      </w:r>
      <w:r>
        <w:rPr>
          <w:rFonts w:hint="eastAsia" w:ascii="仿宋" w:hAnsi="仿宋" w:eastAsia="仿宋"/>
          <w:szCs w:val="32"/>
        </w:rPr>
        <w:t>20年相比，收、支总计各增加了96.57万元，上升</w:t>
      </w:r>
      <w:r>
        <w:rPr>
          <w:rFonts w:hint="eastAsia" w:ascii="仿宋" w:hAnsi="仿宋" w:eastAsia="仿宋"/>
          <w:szCs w:val="32"/>
          <w:lang w:val="en-US" w:eastAsia="zh-CN"/>
        </w:rPr>
        <w:t>68.09</w:t>
      </w:r>
      <w:r>
        <w:rPr>
          <w:rFonts w:ascii="仿宋" w:hAnsi="仿宋" w:eastAsia="仿宋"/>
          <w:szCs w:val="32"/>
        </w:rPr>
        <w:t>%</w:t>
      </w:r>
      <w:r>
        <w:rPr>
          <w:rFonts w:hint="eastAsia" w:ascii="仿宋" w:hAnsi="仿宋" w:eastAsia="仿宋"/>
          <w:szCs w:val="32"/>
        </w:rPr>
        <w:t>。主</w:t>
      </w:r>
      <w:r>
        <w:rPr>
          <w:rFonts w:hint="eastAsia" w:ascii="仿宋" w:hAnsi="仿宋" w:eastAsia="仿宋"/>
          <w:color w:val="000000"/>
          <w:szCs w:val="32"/>
        </w:rPr>
        <w:t>要变动原因是人员、项目经费增加。</w:t>
      </w:r>
    </w:p>
    <w:p>
      <w:pPr>
        <w:spacing w:line="240" w:lineRule="auto"/>
        <w:ind w:firstLine="640"/>
        <w:rPr>
          <w:rFonts w:ascii="仿宋" w:hAnsi="仿宋" w:eastAsia="仿宋"/>
          <w:color w:val="000000"/>
          <w:szCs w:val="32"/>
        </w:rPr>
      </w:pPr>
      <w:r>
        <w:drawing>
          <wp:inline distT="0" distB="0" distL="114300" distR="114300">
            <wp:extent cx="4013200" cy="2632710"/>
            <wp:effectExtent l="4445" t="4445" r="5715" b="146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7"/>
        <w:spacing w:before="93" w:line="240" w:lineRule="auto"/>
        <w:ind w:firstLine="640"/>
        <w:jc w:val="center"/>
        <w:rPr>
          <w:rFonts w:ascii="仿宋" w:eastAsia="仿宋"/>
          <w:sz w:val="32"/>
          <w:szCs w:val="32"/>
        </w:rPr>
      </w:pPr>
    </w:p>
    <w:p>
      <w:pPr>
        <w:ind w:firstLine="640"/>
      </w:pPr>
      <w:r>
        <w:t>（图4：财政拨款收、支决算总计变动情况</w:t>
      </w:r>
      <w:r>
        <w:rPr>
          <w:rFonts w:hint="eastAsia"/>
          <w:lang w:val="en-US" w:eastAsia="zh-CN"/>
        </w:rPr>
        <w:t>图</w:t>
      </w:r>
      <w:r>
        <w:t>）</w:t>
      </w:r>
    </w:p>
    <w:p>
      <w:pPr>
        <w:pStyle w:val="4"/>
        <w:ind w:firstLine="640"/>
      </w:pPr>
      <w:bookmarkStart w:id="57" w:name="_Toc97403171"/>
      <w:bookmarkStart w:id="58" w:name="_Toc15396607"/>
      <w:bookmarkStart w:id="59" w:name="_Toc22118"/>
      <w:bookmarkStart w:id="60" w:name="_Toc15377209"/>
      <w:bookmarkStart w:id="61" w:name="_Toc97403297"/>
      <w:r>
        <w:t>五、一般公共预算财政拨款支出决算情况说明</w:t>
      </w:r>
      <w:bookmarkEnd w:id="57"/>
      <w:bookmarkEnd w:id="58"/>
      <w:bookmarkEnd w:id="59"/>
      <w:bookmarkEnd w:id="60"/>
      <w:bookmarkEnd w:id="61"/>
    </w:p>
    <w:p>
      <w:pPr>
        <w:pStyle w:val="5"/>
        <w:ind w:firstLine="643"/>
      </w:pPr>
      <w:bookmarkStart w:id="62" w:name="_Toc15377210"/>
      <w:r>
        <w:t>（一）一般公共预算财政拨款支出决算总体情况</w:t>
      </w:r>
      <w:bookmarkEnd w:id="62"/>
    </w:p>
    <w:p>
      <w:pPr>
        <w:ind w:firstLine="640"/>
      </w:pPr>
      <w:r>
        <w:t>2021年一般公共预算财政拨款支出</w:t>
      </w:r>
      <w:r>
        <w:rPr>
          <w:rFonts w:hint="eastAsia"/>
        </w:rPr>
        <w:t>183.73</w:t>
      </w:r>
      <w:r>
        <w:t>万元，占本年支出合计的100%。与2020年相比，一般公共预算财政拨款支出增加</w:t>
      </w:r>
      <w:r>
        <w:rPr>
          <w:rFonts w:hint="eastAsia"/>
        </w:rPr>
        <w:t>37.5</w:t>
      </w:r>
      <w:r>
        <w:t>万元，增长</w:t>
      </w:r>
      <w:r>
        <w:rPr>
          <w:rFonts w:hint="eastAsia"/>
          <w:lang w:val="en-US" w:eastAsia="zh-CN"/>
        </w:rPr>
        <w:t>25.64</w:t>
      </w:r>
      <w:r>
        <w:t>%。主要变动原因是在职人员</w:t>
      </w:r>
      <w:r>
        <w:rPr>
          <w:rFonts w:hint="eastAsia"/>
        </w:rPr>
        <w:t>、项目经费</w:t>
      </w:r>
      <w:r>
        <w:t>增加。</w:t>
      </w:r>
    </w:p>
    <w:p>
      <w:pPr>
        <w:pStyle w:val="7"/>
        <w:spacing w:before="93" w:line="240" w:lineRule="auto"/>
        <w:ind w:firstLine="640"/>
        <w:jc w:val="center"/>
      </w:pPr>
      <w:r>
        <w:rPr>
          <w:sz w:val="32"/>
        </w:rPr>
        <mc:AlternateContent>
          <mc:Choice Requires="wps">
            <w:drawing>
              <wp:anchor distT="0" distB="0" distL="114300" distR="114300" simplePos="0" relativeHeight="251660288" behindDoc="0" locked="0" layoutInCell="1" allowOverlap="1">
                <wp:simplePos x="0" y="0"/>
                <wp:positionH relativeFrom="column">
                  <wp:posOffset>4288790</wp:posOffset>
                </wp:positionH>
                <wp:positionV relativeFrom="paragraph">
                  <wp:posOffset>3810</wp:posOffset>
                </wp:positionV>
                <wp:extent cx="1153795" cy="5162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53795" cy="516255"/>
                        </a:xfrm>
                        <a:prstGeom prst="rect">
                          <a:avLst/>
                        </a:prstGeom>
                        <a:noFill/>
                        <a:ln w="6350">
                          <a:noFill/>
                        </a:ln>
                        <a:effectLst/>
                      </wps:spPr>
                      <wps:txbx>
                        <w:txbxContent>
                          <w:p>
                            <w:pPr>
                              <w:ind w:firstLine="0" w:firstLineChars="0"/>
                              <w:rPr>
                                <w:rFonts w:ascii="仿宋_GB2312" w:hAnsi="仿宋_GB2312" w:eastAsia="仿宋_GB2312" w:cs="仿宋_GB2312"/>
                                <w:color w:val="FFFFFF" w:themeColor="background1"/>
                                <w14:textFill>
                                  <w14:solidFill>
                                    <w14:schemeClr w14:val="bg1"/>
                                  </w14:solidFill>
                                </w14:textFill>
                              </w:rPr>
                            </w:pPr>
                            <w:r>
                              <w:rPr>
                                <w:rFonts w:hint="eastAsia" w:ascii="仿宋_GB2312" w:hAnsi="仿宋_GB2312" w:eastAsia="仿宋_GB2312" w:cs="仿宋_GB2312"/>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7pt;margin-top:0.3pt;height:40.65pt;width:90.85pt;z-index:251660288;mso-width-relative:page;mso-height-relative:page;" filled="f" stroked="f" coordsize="21600,21600" o:gfxdata="UEsDBAoAAAAAAIdO4kAAAAAAAAAAAAAAAAAEAAAAZHJzL1BLAwQUAAAACACHTuJAE3/bUdcAAAAH&#10;AQAADwAAAGRycy9kb3ducmV2LnhtbE2OzU7DMBCE70i8g7VI3KiTirQhxKlQpAoJwaGlF26b2E0i&#10;7HWI3R94epZTuc1oRjNfuTo7K45mCoMnBeksAWGo9XqgTsHufX2XgwgRSaP1ZBR8mwCr6vqqxEL7&#10;E23McRs7wSMUClTQxzgWUoa2Nw7DzI+GONv7yWFkO3VST3jicWflPEkW0uFA/NDjaOretJ/bg1Pw&#10;Uq/fcNPMXf5j6+fX/dP4tfvIlLq9SZNHENGc46UMf/iMDhUzNf5AOgirYLHM7rnKAgTHebZMQTQs&#10;0geQVSn/81e/UEsDBBQAAAAIAIdO4kDhQQrQQQIAAHQEAAAOAAAAZHJzL2Uyb0RvYy54bWytVMGO&#10;2jAQvVfqP1i+lxCWsF1EWNFFVJVQdyVa9Wwch0SyPa5tSOgHtH+wp15673fxHR07wKJtD3voJYw9&#10;4zd+b56Z3LZKkp2wrgad07TXp0RoDkWtNzn9/Gnx5i0lzjNdMAla5HQvHL2dvn41acxYDKACWQhL&#10;EES7cWNyWnlvxknieCUUcz0wQmOyBKuYx6XdJIVlDaIrmQz6/VHSgC2MBS6cw915l6RHRPsSQCjL&#10;mos58K0S2neoVkjmkZKrauPoNN62LAX392XphCcyp8jUxy82wXgdvsl0wsYby0xV8+MV2Euu8IyT&#10;YrXGpmeoOfOMbG39F5SquQUHpe9xUElHJCqCLNL+M21WFTMickGpnTmL7v4fLP+4e7CkLnI6okQz&#10;hQM/PP44/Px9+PWdjII8jXFjrFoZrPPtO2jRNKd9h5uBdVtaFX6RD8E8irs/iytaT3g4lGZX1zcZ&#10;JRxzWToaZFmASZ5OG+v8ewGKhCCnFocXNWW7pfNd6akkNNOwqKWMA5SaNMjgKuvHA+cMgksdakW0&#10;whEmMOpuHiLfrtsjzTUUe2RpobOJM3xR41WWzPkHZtEXSAxfjr/HTykBW8IxoqQC++1f+6Eex4VZ&#10;Shr0WU7d1y2zghL5QeMgb9LhMBgzLobZ9QAX9jKzvszorboDtHKKb9TwGIZ6L09haUF9wQc2C10x&#10;xTTH3jn1p/DOd+7HB8rFbBaL0IqG+aVeGR6gO3FnWw9lHXUPMnXa4LzCAs0YJ3d8OMHtl+tY9fRn&#10;Mf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3/bUdcAAAAHAQAADwAAAAAAAAABACAAAAAiAAAA&#10;ZHJzL2Rvd25yZXYueG1sUEsBAhQAFAAAAAgAh07iQOFBCtBBAgAAdAQAAA4AAAAAAAAAAQAgAAAA&#10;JgEAAGRycy9lMm9Eb2MueG1sUEsFBgAAAAAGAAYAWQEAANkFAAAAAA==&#10;">
                <v:fill on="f" focussize="0,0"/>
                <v:stroke on="f" weight="0.5pt"/>
                <v:imagedata o:title=""/>
                <o:lock v:ext="edit" aspectratio="f"/>
                <v:textbox>
                  <w:txbxContent>
                    <w:p>
                      <w:pPr>
                        <w:ind w:firstLine="0" w:firstLineChars="0"/>
                        <w:rPr>
                          <w:rFonts w:ascii="仿宋_GB2312" w:hAnsi="仿宋_GB2312" w:eastAsia="仿宋_GB2312" w:cs="仿宋_GB2312"/>
                          <w:color w:val="FFFFFF" w:themeColor="background1"/>
                          <w14:textFill>
                            <w14:solidFill>
                              <w14:schemeClr w14:val="bg1"/>
                            </w14:solidFill>
                          </w14:textFill>
                        </w:rPr>
                      </w:pPr>
                      <w:r>
                        <w:rPr>
                          <w:rFonts w:hint="eastAsia" w:ascii="仿宋_GB2312" w:hAnsi="仿宋_GB2312" w:eastAsia="仿宋_GB2312" w:cs="仿宋_GB2312"/>
                        </w:rPr>
                        <w:t>（万元）</w:t>
                      </w:r>
                    </w:p>
                  </w:txbxContent>
                </v:textbox>
              </v:shape>
            </w:pict>
          </mc:Fallback>
        </mc:AlternateContent>
      </w: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ind w:firstLine="960" w:firstLineChars="300"/>
      </w:pPr>
      <w:r>
        <w:t>（图5：一般公共预算财政拨款支出决算变动情况</w:t>
      </w:r>
      <w:r>
        <w:rPr>
          <w:rFonts w:hint="eastAsia"/>
          <w:lang w:val="en-US" w:eastAsia="zh-CN"/>
        </w:rPr>
        <w:t>图</w:t>
      </w:r>
      <w:r>
        <w:t>）</w:t>
      </w:r>
    </w:p>
    <w:p>
      <w:pPr>
        <w:pStyle w:val="5"/>
        <w:ind w:firstLine="643"/>
      </w:pPr>
      <w:bookmarkStart w:id="63" w:name="_Toc15377211"/>
      <w:r>
        <w:t>（二）一般公共预算财政拨款支出决算结构情况</w:t>
      </w:r>
      <w:bookmarkEnd w:id="63"/>
    </w:p>
    <w:p>
      <w:pPr>
        <w:spacing w:line="600" w:lineRule="exact"/>
        <w:ind w:firstLine="640"/>
        <w:rPr>
          <w:rFonts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1年一般公共预算财政拨款支出183.73万元，主要用于以下方面</w:t>
      </w:r>
      <w:r>
        <w:rPr>
          <w:rFonts w:ascii="仿宋" w:hAnsi="仿宋" w:eastAsia="仿宋"/>
          <w:color w:val="000000"/>
          <w:szCs w:val="32"/>
        </w:rPr>
        <w:t>:</w:t>
      </w:r>
      <w:r>
        <w:rPr>
          <w:rFonts w:hint="eastAsia" w:ascii="仿宋" w:hAnsi="仿宋" w:eastAsia="仿宋"/>
          <w:b/>
          <w:color w:val="000000"/>
          <w:szCs w:val="32"/>
        </w:rPr>
        <w:t>社会保障和就业支出</w:t>
      </w:r>
      <w:r>
        <w:rPr>
          <w:rFonts w:hint="eastAsia" w:ascii="仿宋" w:hAnsi="仿宋" w:eastAsia="仿宋"/>
          <w:color w:val="000000"/>
          <w:szCs w:val="32"/>
        </w:rPr>
        <w:t>162.1</w:t>
      </w:r>
      <w:r>
        <w:rPr>
          <w:rFonts w:hint="eastAsia" w:ascii="仿宋" w:hAnsi="仿宋" w:eastAsia="仿宋"/>
          <w:color w:val="000000"/>
          <w:szCs w:val="32"/>
          <w:lang w:val="en-US" w:eastAsia="zh-CN"/>
        </w:rPr>
        <w:t>6</w:t>
      </w:r>
      <w:bookmarkStart w:id="177" w:name="_GoBack"/>
      <w:bookmarkEnd w:id="177"/>
      <w:r>
        <w:rPr>
          <w:rFonts w:hint="eastAsia" w:ascii="仿宋" w:hAnsi="仿宋" w:eastAsia="仿宋"/>
          <w:color w:val="000000"/>
          <w:szCs w:val="32"/>
        </w:rPr>
        <w:t>万元，占88</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卫生健康支出</w:t>
      </w:r>
      <w:r>
        <w:rPr>
          <w:rFonts w:hint="eastAsia" w:ascii="仿宋" w:hAnsi="仿宋" w:eastAsia="仿宋"/>
          <w:color w:val="000000"/>
          <w:szCs w:val="32"/>
        </w:rPr>
        <w:t>5.13万元，占3</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住房保障支出16.44</w:t>
      </w:r>
      <w:r>
        <w:rPr>
          <w:rFonts w:hint="eastAsia" w:ascii="仿宋" w:hAnsi="仿宋" w:eastAsia="仿宋"/>
          <w:color w:val="000000"/>
          <w:szCs w:val="32"/>
        </w:rPr>
        <w:t>万元，占9</w:t>
      </w:r>
      <w:r>
        <w:rPr>
          <w:rFonts w:ascii="仿宋" w:hAnsi="仿宋" w:eastAsia="仿宋"/>
          <w:color w:val="000000"/>
          <w:szCs w:val="32"/>
        </w:rPr>
        <w:t>%</w:t>
      </w:r>
      <w:r>
        <w:rPr>
          <w:rFonts w:hint="eastAsia" w:ascii="仿宋" w:hAnsi="仿宋" w:eastAsia="仿宋"/>
          <w:color w:val="000000"/>
          <w:szCs w:val="32"/>
        </w:rPr>
        <w:t>。</w:t>
      </w:r>
    </w:p>
    <w:p>
      <w:pPr>
        <w:spacing w:line="240" w:lineRule="auto"/>
        <w:ind w:firstLine="640" w:firstLineChars="0"/>
        <w:jc w:val="center"/>
        <w:rPr>
          <w:rFonts w:ascii="仿宋" w:eastAsia="仿宋"/>
          <w:szCs w:val="32"/>
        </w:rPr>
      </w:pPr>
      <w:r>
        <mc:AlternateContent>
          <mc:Choice Requires="wps">
            <w:drawing>
              <wp:anchor distT="0" distB="0" distL="114300" distR="114300" simplePos="0" relativeHeight="251661312" behindDoc="0" locked="0" layoutInCell="1" allowOverlap="1">
                <wp:simplePos x="0" y="0"/>
                <wp:positionH relativeFrom="column">
                  <wp:posOffset>4130040</wp:posOffset>
                </wp:positionH>
                <wp:positionV relativeFrom="paragraph">
                  <wp:posOffset>-63500</wp:posOffset>
                </wp:positionV>
                <wp:extent cx="1153795" cy="5162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53795" cy="516255"/>
                        </a:xfrm>
                        <a:prstGeom prst="rect">
                          <a:avLst/>
                        </a:prstGeom>
                        <a:noFill/>
                        <a:ln w="6350">
                          <a:noFill/>
                        </a:ln>
                        <a:effectLst/>
                      </wps:spPr>
                      <wps:txbx>
                        <w:txbxContent>
                          <w:p>
                            <w:pPr>
                              <w:ind w:firstLine="0" w:firstLineChars="0"/>
                              <w:rPr>
                                <w:rFonts w:ascii="黑体" w:hAnsi="黑体" w:eastAsia="黑体" w:cs="黑体"/>
                                <w:color w:val="FFFFFF" w:themeColor="background1"/>
                                <w14:textFill>
                                  <w14:solidFill>
                                    <w14:schemeClr w14:val="bg1"/>
                                  </w14:solidFill>
                                </w14:textFill>
                              </w:rPr>
                            </w:pPr>
                            <w:r>
                              <w:rPr>
                                <w:rFonts w:hint="eastAsia" w:ascii="黑体" w:hAnsi="黑体" w:eastAsia="黑体" w:cs="黑体"/>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2pt;margin-top:-5pt;height:40.65pt;width:90.85pt;z-index:251661312;mso-width-relative:page;mso-height-relative:page;" filled="f" stroked="f" coordsize="21600,21600" o:gfxdata="UEsDBAoAAAAAAIdO4kAAAAAAAAAAAAAAAAAEAAAAZHJzL1BLAwQUAAAACACHTuJAIlqaPNsAAAAK&#10;AQAADwAAAGRycy9kb3ducmV2LnhtbE2Py07DMBBF90j8gzVI7FrbKS1RyKRCkSokBIuWbtg58TSJ&#10;8CPE7gO+HrOC5WiO7j23XF+sYSeawuAdgpwLYORarwfXIezfNrMcWIjKaWW8I4QvCrCurq9KVWh/&#10;dls67WLHUogLhULoYxwLzkPbk1Vh7kdy6Xfwk1UxnVPH9aTOKdwangmx4lYNLjX0aqS6p/Zjd7QI&#10;z/XmVW2bzObfpn56OTyOn/v3JeLtjRQPwCJd4h8Mv/pJHark1Pij04EZhNVS3CUUYSZFGpWIfJFJ&#10;YA3CvVwAr0r+f0L1A1BLAwQUAAAACACHTuJA+Tid8UICAAB0BAAADgAAAGRycy9lMm9Eb2MueG1s&#10;rVTBjtowEL1X6j9YvpcQlrAFEVZ0EVWlVXclWvVsHIdEsj2ubUjoB7R/sKdeeu938R0dO8CibQ97&#10;6CWMPeM3fm+emd60SpKdsK4GndO016dEaA5FrTc5/fxp+eYtJc4zXTAJWuR0Lxy9mb1+NW3MRAyg&#10;AlkISxBEu0ljclp5byZJ4nglFHM9MEJjsgSrmMel3SSFZQ2iK5kM+v1R0oAtjAUunMPdRZekR0T7&#10;EkAoy5qLBfCtEtp3qFZI5pGSq2rj6CzetiwF9/dl6YQnMqfI1McvNsF4Hb7JbMomG8tMVfPjFdhL&#10;rvCMk2K1xqZnqAXzjGxt/ReUqrkFB6XvcVBJRyQqgizS/jNtVhUzInJBqZ05i+7+Hyz/uHuwpC5y&#10;OqZEM4UDPzz+OPz8ffj1nYyDPI1xE6xaGazz7Tto0TSnfYebgXVbWhV+kQ/BPIq7P4srWk94OJRm&#10;V9fjjBKOuSwdDbIswCRPp411/r0ARUKQU4vDi5qy3Z3zXempJDTTsKyljAOUmjQ5HV1l/XjgnEFw&#10;qUOtiFY4wgRG3c1D5Nt1e6S5hmKPLC10NnGGL2u8yh1z/oFZ9AUSw5fj7/FTSsCWcIwoqcB++9d+&#10;qMdxYZaSBn2WU/d1y6ygRH7QOMhxOhwGY8bFMLse4MJeZtaXGb1Vt4BWTvGNGh7DUO/lKSwtqC/4&#10;wOahK6aY5tg7p/4U3vrO/fhAuZjPYxFa0TB/p1eGB+hO3PnWQ1lH3YNMnTY4r7BAM8bJHR9OcPvl&#10;OlY9/VnM/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iWpo82wAAAAoBAAAPAAAAAAAAAAEAIAAA&#10;ACIAAABkcnMvZG93bnJldi54bWxQSwECFAAUAAAACACHTuJA+Tid8UICAAB0BAAADgAAAAAAAAAB&#10;ACAAAAAqAQAAZHJzL2Uyb0RvYy54bWxQSwUGAAAAAAYABgBZAQAA3gUAAAAA&#10;">
                <v:fill on="f" focussize="0,0"/>
                <v:stroke on="f" weight="0.5pt"/>
                <v:imagedata o:title=""/>
                <o:lock v:ext="edit" aspectratio="f"/>
                <v:textbox>
                  <w:txbxContent>
                    <w:p>
                      <w:pPr>
                        <w:ind w:firstLine="0" w:firstLineChars="0"/>
                        <w:rPr>
                          <w:rFonts w:ascii="黑体" w:hAnsi="黑体" w:eastAsia="黑体" w:cs="黑体"/>
                          <w:color w:val="FFFFFF" w:themeColor="background1"/>
                          <w14:textFill>
                            <w14:solidFill>
                              <w14:schemeClr w14:val="bg1"/>
                            </w14:solidFill>
                          </w14:textFill>
                        </w:rPr>
                      </w:pPr>
                      <w:r>
                        <w:rPr>
                          <w:rFonts w:hint="eastAsia" w:ascii="黑体" w:hAnsi="黑体" w:eastAsia="黑体" w:cs="黑体"/>
                        </w:rPr>
                        <w:t>（万元）</w:t>
                      </w:r>
                    </w:p>
                  </w:txbxContent>
                </v:textbox>
              </v:shape>
            </w:pict>
          </mc:Fallback>
        </mc:AlternateContent>
      </w:r>
      <w:r>
        <w:drawing>
          <wp:inline distT="0" distB="0" distL="114300" distR="114300">
            <wp:extent cx="4572000" cy="2743200"/>
            <wp:effectExtent l="4445" t="4445" r="10795" b="10795"/>
            <wp:docPr id="8" name="图表 2"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600" w:lineRule="exact"/>
        <w:ind w:firstLine="1280" w:firstLineChars="400"/>
        <w:rPr>
          <w:rFonts w:ascii="仿宋" w:eastAsia="仿宋"/>
          <w:szCs w:val="32"/>
        </w:rPr>
      </w:pPr>
      <w:r>
        <w:rPr>
          <w:rFonts w:hint="eastAsia" w:ascii="仿宋" w:eastAsia="仿宋"/>
          <w:szCs w:val="32"/>
        </w:rPr>
        <w:t>（图6：一般公共预算财政拨款支出决算结构</w:t>
      </w:r>
      <w:r>
        <w:rPr>
          <w:rFonts w:hint="eastAsia" w:ascii="仿宋" w:eastAsia="仿宋"/>
          <w:szCs w:val="32"/>
          <w:lang w:val="en-US" w:eastAsia="zh-CN"/>
        </w:rPr>
        <w:t>图</w:t>
      </w:r>
      <w:r>
        <w:rPr>
          <w:rFonts w:hint="eastAsia" w:ascii="仿宋" w:eastAsia="仿宋"/>
          <w:szCs w:val="32"/>
        </w:rPr>
        <w:t>）</w:t>
      </w:r>
    </w:p>
    <w:p>
      <w:pPr>
        <w:pStyle w:val="5"/>
        <w:ind w:firstLine="643"/>
      </w:pPr>
      <w:bookmarkStart w:id="64" w:name="_Toc15377212"/>
      <w:r>
        <w:t>（三）一般公共预算财政拨款支出决算具体情况</w:t>
      </w:r>
      <w:bookmarkEnd w:id="64"/>
    </w:p>
    <w:p>
      <w:pPr>
        <w:ind w:firstLine="640"/>
        <w:rPr>
          <w:szCs w:val="32"/>
        </w:rPr>
      </w:pPr>
      <w:bookmarkStart w:id="65" w:name="_Toc15377444"/>
      <w:bookmarkStart w:id="66" w:name="_Toc15377213"/>
      <w:bookmarkStart w:id="67" w:name="_Toc15378460"/>
      <w:bookmarkStart w:id="68" w:name="_Toc15396608"/>
      <w:bookmarkStart w:id="69" w:name="_Toc15377214"/>
      <w:bookmarkStart w:id="70" w:name="_Toc97403172"/>
      <w:bookmarkStart w:id="71" w:name="_Toc97403298"/>
      <w:r>
        <w:rPr>
          <w:rFonts w:hint="eastAsia"/>
          <w:szCs w:val="32"/>
        </w:rPr>
        <w:t>2021年一般公共预算支出决算数为183.73万元，完成预算100</w:t>
      </w:r>
      <w:r>
        <w:rPr>
          <w:szCs w:val="32"/>
        </w:rPr>
        <w:t>%</w:t>
      </w:r>
      <w:r>
        <w:rPr>
          <w:rFonts w:hint="eastAsia"/>
          <w:szCs w:val="32"/>
        </w:rPr>
        <w:t>。其中：</w:t>
      </w:r>
      <w:bookmarkEnd w:id="65"/>
      <w:bookmarkEnd w:id="66"/>
      <w:bookmarkEnd w:id="67"/>
    </w:p>
    <w:p>
      <w:pPr>
        <w:numPr>
          <w:ilvl w:val="0"/>
          <w:numId w:val="1"/>
        </w:numPr>
        <w:spacing w:line="600" w:lineRule="exact"/>
        <w:ind w:firstLine="643"/>
        <w:rPr>
          <w:rStyle w:val="18"/>
          <w:rFonts w:hint="eastAsia" w:ascii="仿宋" w:hAnsi="仿宋" w:eastAsia="仿宋"/>
          <w:b w:val="0"/>
          <w:bCs/>
          <w:szCs w:val="32"/>
        </w:rPr>
      </w:pPr>
      <w:r>
        <w:rPr>
          <w:rStyle w:val="18"/>
          <w:rFonts w:hint="eastAsia" w:ascii="仿宋" w:hAnsi="仿宋" w:eastAsia="仿宋" w:cs="仿宋"/>
          <w:bCs/>
          <w:color w:val="000000"/>
          <w:szCs w:val="32"/>
        </w:rPr>
        <w:t>社会保障和就业（类）人力资源和社会保障管理事务（款）社会保险业务管理事务（项）</w:t>
      </w:r>
      <w:r>
        <w:rPr>
          <w:rStyle w:val="18"/>
          <w:rFonts w:ascii="仿宋" w:hAnsi="仿宋" w:eastAsia="仿宋"/>
          <w:bCs/>
          <w:szCs w:val="32"/>
        </w:rPr>
        <w:t>:</w:t>
      </w:r>
      <w:r>
        <w:rPr>
          <w:rStyle w:val="18"/>
          <w:rFonts w:ascii="仿宋" w:hAnsi="仿宋" w:eastAsia="仿宋"/>
          <w:b w:val="0"/>
          <w:bCs/>
          <w:szCs w:val="32"/>
        </w:rPr>
        <w:t xml:space="preserve"> </w:t>
      </w:r>
      <w:r>
        <w:rPr>
          <w:rStyle w:val="18"/>
          <w:rFonts w:hint="eastAsia" w:ascii="仿宋" w:hAnsi="仿宋" w:eastAsia="仿宋"/>
          <w:b w:val="0"/>
          <w:bCs/>
          <w:szCs w:val="32"/>
        </w:rPr>
        <w:t>支出决算为152.74万元，完成预算100</w:t>
      </w:r>
      <w:r>
        <w:rPr>
          <w:rStyle w:val="18"/>
          <w:rFonts w:ascii="仿宋" w:hAnsi="仿宋" w:eastAsia="仿宋"/>
          <w:b w:val="0"/>
          <w:bCs/>
          <w:szCs w:val="32"/>
        </w:rPr>
        <w:t>%</w:t>
      </w:r>
      <w:r>
        <w:rPr>
          <w:rStyle w:val="18"/>
          <w:rFonts w:hint="eastAsia" w:ascii="仿宋" w:hAnsi="仿宋" w:eastAsia="仿宋"/>
          <w:b w:val="0"/>
          <w:bCs/>
          <w:szCs w:val="32"/>
        </w:rPr>
        <w:t>。</w:t>
      </w:r>
    </w:p>
    <w:p>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pPr>
      <w:r>
        <w:rPr>
          <w:rStyle w:val="18"/>
          <w:rFonts w:hint="eastAsia" w:ascii="仿宋" w:hAnsi="仿宋" w:eastAsia="仿宋" w:cs="仿宋"/>
          <w:bCs/>
          <w:color w:val="000000"/>
          <w:szCs w:val="32"/>
        </w:rPr>
        <w:t>社会保障和就业（类）行政事业单位养老支出（款）  机关事业单位基本养老保险缴费支出（项）</w:t>
      </w:r>
      <w:r>
        <w:rPr>
          <w:rStyle w:val="18"/>
          <w:rFonts w:ascii="仿宋" w:hAnsi="仿宋" w:eastAsia="仿宋"/>
          <w:bCs/>
          <w:szCs w:val="32"/>
        </w:rPr>
        <w:t>:</w:t>
      </w:r>
      <w:r>
        <w:rPr>
          <w:rStyle w:val="18"/>
          <w:rFonts w:ascii="仿宋" w:hAnsi="仿宋" w:eastAsia="仿宋"/>
          <w:b w:val="0"/>
          <w:bCs/>
          <w:szCs w:val="32"/>
        </w:rPr>
        <w:t xml:space="preserve"> </w:t>
      </w:r>
      <w:r>
        <w:rPr>
          <w:rStyle w:val="18"/>
          <w:rFonts w:hint="eastAsia" w:ascii="仿宋" w:hAnsi="仿宋" w:eastAsia="仿宋"/>
          <w:b w:val="0"/>
          <w:bCs/>
          <w:szCs w:val="32"/>
        </w:rPr>
        <w:t>支出决算为</w:t>
      </w:r>
      <w:r>
        <w:rPr>
          <w:rStyle w:val="18"/>
          <w:rFonts w:hint="eastAsia" w:ascii="仿宋" w:hAnsi="仿宋" w:eastAsia="仿宋"/>
          <w:b w:val="0"/>
          <w:bCs/>
          <w:szCs w:val="32"/>
          <w:lang w:val="en-US" w:eastAsia="zh-CN"/>
        </w:rPr>
        <w:t>8.49</w:t>
      </w:r>
      <w:r>
        <w:rPr>
          <w:rStyle w:val="18"/>
          <w:rFonts w:hint="eastAsia" w:ascii="仿宋" w:hAnsi="仿宋" w:eastAsia="仿宋"/>
          <w:b w:val="0"/>
          <w:bCs/>
          <w:szCs w:val="32"/>
        </w:rPr>
        <w:t>万元，完成预算100</w:t>
      </w:r>
      <w:r>
        <w:rPr>
          <w:rStyle w:val="18"/>
          <w:rFonts w:ascii="仿宋" w:hAnsi="仿宋" w:eastAsia="仿宋"/>
          <w:b w:val="0"/>
          <w:bCs/>
          <w:szCs w:val="32"/>
        </w:rPr>
        <w:t>%</w:t>
      </w:r>
      <w:r>
        <w:rPr>
          <w:rStyle w:val="18"/>
          <w:rFonts w:hint="eastAsia" w:ascii="仿宋" w:hAnsi="仿宋" w:eastAsia="仿宋"/>
          <w:b w:val="0"/>
          <w:bCs/>
          <w:szCs w:val="32"/>
        </w:rPr>
        <w:t>。</w:t>
      </w:r>
    </w:p>
    <w:p>
      <w:pPr>
        <w:spacing w:line="600" w:lineRule="exact"/>
        <w:ind w:firstLine="643"/>
        <w:rPr>
          <w:rStyle w:val="18"/>
          <w:rFonts w:ascii="仿宋" w:hAnsi="仿宋" w:eastAsia="仿宋"/>
          <w:b w:val="0"/>
          <w:bCs/>
          <w:szCs w:val="32"/>
        </w:rPr>
      </w:pPr>
      <w:r>
        <w:rPr>
          <w:rStyle w:val="18"/>
          <w:rFonts w:hint="eastAsia" w:ascii="仿宋" w:hAnsi="仿宋" w:eastAsia="仿宋" w:cs="仿宋"/>
          <w:bCs/>
          <w:color w:val="000000"/>
          <w:szCs w:val="32"/>
          <w:lang w:val="en-US" w:eastAsia="zh-CN"/>
        </w:rPr>
        <w:t>3</w:t>
      </w:r>
      <w:r>
        <w:rPr>
          <w:rStyle w:val="18"/>
          <w:rFonts w:hint="eastAsia" w:ascii="仿宋" w:hAnsi="仿宋" w:eastAsia="仿宋" w:cs="仿宋"/>
          <w:bCs/>
          <w:color w:val="000000"/>
          <w:szCs w:val="32"/>
        </w:rPr>
        <w:t xml:space="preserve">.社会保障和就业（类）行政事业单位养老支出（款）机关事业单位职业年金缴费支出（项）: </w:t>
      </w:r>
      <w:r>
        <w:rPr>
          <w:rStyle w:val="18"/>
          <w:rFonts w:hint="eastAsia" w:ascii="仿宋" w:hAnsi="仿宋" w:eastAsia="仿宋"/>
          <w:b w:val="0"/>
          <w:bCs/>
          <w:szCs w:val="32"/>
        </w:rPr>
        <w:t>支出决算为</w:t>
      </w:r>
      <w:r>
        <w:rPr>
          <w:rStyle w:val="18"/>
          <w:rFonts w:hint="eastAsia" w:ascii="仿宋" w:hAnsi="仿宋" w:eastAsia="仿宋"/>
          <w:b w:val="0"/>
          <w:bCs/>
          <w:szCs w:val="32"/>
          <w:lang w:val="en-US" w:eastAsia="zh-CN"/>
        </w:rPr>
        <w:t>0.93</w:t>
      </w:r>
      <w:r>
        <w:rPr>
          <w:rStyle w:val="18"/>
          <w:rFonts w:hint="eastAsia" w:ascii="仿宋" w:hAnsi="仿宋" w:eastAsia="仿宋"/>
          <w:b w:val="0"/>
          <w:bCs/>
          <w:szCs w:val="32"/>
        </w:rPr>
        <w:t>万元，完成预算100%。</w:t>
      </w:r>
    </w:p>
    <w:p>
      <w:pPr>
        <w:spacing w:line="600" w:lineRule="exact"/>
        <w:ind w:firstLine="643"/>
        <w:rPr>
          <w:rFonts w:ascii="仿宋" w:hAnsi="仿宋" w:eastAsia="仿宋"/>
          <w:b/>
          <w:szCs w:val="32"/>
        </w:rPr>
      </w:pPr>
      <w:r>
        <w:rPr>
          <w:rFonts w:hint="eastAsia" w:ascii="仿宋" w:hAnsi="仿宋" w:eastAsia="仿宋" w:cs="仿宋"/>
          <w:b/>
          <w:bCs/>
          <w:color w:val="000000"/>
          <w:szCs w:val="32"/>
          <w:lang w:val="en-US" w:eastAsia="zh-CN"/>
        </w:rPr>
        <w:t>4</w:t>
      </w:r>
      <w:r>
        <w:rPr>
          <w:rFonts w:hint="eastAsia" w:ascii="仿宋" w:hAnsi="仿宋" w:eastAsia="仿宋" w:cs="仿宋"/>
          <w:b/>
          <w:bCs/>
          <w:color w:val="000000"/>
          <w:szCs w:val="32"/>
        </w:rPr>
        <w:t>.卫生健康</w:t>
      </w:r>
      <w:r>
        <w:rPr>
          <w:rStyle w:val="18"/>
          <w:rFonts w:hint="eastAsia" w:ascii="仿宋" w:hAnsi="仿宋" w:eastAsia="仿宋" w:cs="仿宋"/>
          <w:bCs/>
          <w:color w:val="000000"/>
          <w:szCs w:val="32"/>
        </w:rPr>
        <w:t>（类）行政事业单位医疗（款）事业单位医疗（项）:</w:t>
      </w:r>
      <w:r>
        <w:rPr>
          <w:rStyle w:val="18"/>
          <w:rFonts w:hint="eastAsia" w:ascii="仿宋" w:hAnsi="仿宋" w:eastAsia="仿宋"/>
          <w:b w:val="0"/>
          <w:bCs/>
          <w:szCs w:val="32"/>
        </w:rPr>
        <w:t>支出决算为5.13万元，完成预算100</w:t>
      </w:r>
      <w:r>
        <w:rPr>
          <w:rStyle w:val="18"/>
          <w:rFonts w:ascii="仿宋" w:hAnsi="仿宋" w:eastAsia="仿宋"/>
          <w:b w:val="0"/>
          <w:bCs/>
          <w:szCs w:val="32"/>
        </w:rPr>
        <w:t>%</w:t>
      </w:r>
      <w:r>
        <w:rPr>
          <w:rStyle w:val="18"/>
          <w:rFonts w:hint="eastAsia" w:ascii="仿宋" w:hAnsi="仿宋" w:eastAsia="仿宋"/>
          <w:b w:val="0"/>
          <w:bCs/>
          <w:szCs w:val="32"/>
        </w:rPr>
        <w:t>。</w:t>
      </w:r>
    </w:p>
    <w:p>
      <w:pPr>
        <w:tabs>
          <w:tab w:val="right" w:pos="8306"/>
        </w:tabs>
        <w:spacing w:line="600" w:lineRule="exact"/>
        <w:ind w:firstLine="640" w:firstLineChars="0"/>
        <w:outlineLvl w:val="1"/>
        <w:rPr>
          <w:rStyle w:val="18"/>
          <w:rFonts w:ascii="仿宋" w:hAnsi="仿宋" w:eastAsia="仿宋"/>
          <w:b w:val="0"/>
          <w:bCs/>
          <w:szCs w:val="32"/>
        </w:rPr>
      </w:pPr>
      <w:bookmarkStart w:id="72" w:name="_Toc32573"/>
      <w:r>
        <w:rPr>
          <w:rFonts w:hint="eastAsia" w:ascii="仿宋" w:hAnsi="仿宋" w:eastAsia="仿宋" w:cs="仿宋"/>
          <w:b/>
          <w:bCs/>
          <w:color w:val="000000"/>
          <w:szCs w:val="32"/>
          <w:lang w:val="en-US" w:eastAsia="zh-CN"/>
        </w:rPr>
        <w:t>5</w:t>
      </w:r>
      <w:r>
        <w:rPr>
          <w:rFonts w:hint="eastAsia" w:ascii="仿宋" w:hAnsi="仿宋" w:eastAsia="仿宋" w:cs="仿宋"/>
          <w:b/>
          <w:bCs/>
          <w:color w:val="000000"/>
          <w:szCs w:val="32"/>
        </w:rPr>
        <w:t>.住房保障支出（类）住房改革支出（款）住房公积金（项）</w:t>
      </w:r>
      <w:r>
        <w:rPr>
          <w:rFonts w:hint="eastAsia" w:ascii="仿宋" w:hAnsi="仿宋" w:eastAsia="仿宋" w:cs="仿宋"/>
          <w:bCs/>
          <w:color w:val="000000"/>
          <w:szCs w:val="32"/>
        </w:rPr>
        <w:t>:</w:t>
      </w:r>
      <w:r>
        <w:rPr>
          <w:rStyle w:val="18"/>
          <w:rFonts w:hint="eastAsia" w:ascii="仿宋" w:hAnsi="仿宋" w:eastAsia="仿宋"/>
          <w:b w:val="0"/>
          <w:bCs/>
          <w:szCs w:val="32"/>
        </w:rPr>
        <w:t>支出决算为16.44万元，完成预算100</w:t>
      </w:r>
      <w:r>
        <w:rPr>
          <w:rStyle w:val="18"/>
          <w:rFonts w:ascii="仿宋" w:hAnsi="仿宋" w:eastAsia="仿宋"/>
          <w:b w:val="0"/>
          <w:bCs/>
          <w:szCs w:val="32"/>
        </w:rPr>
        <w:t>%</w:t>
      </w:r>
      <w:r>
        <w:rPr>
          <w:rStyle w:val="18"/>
          <w:rFonts w:hint="eastAsia" w:ascii="仿宋" w:hAnsi="仿宋" w:eastAsia="仿宋"/>
          <w:b w:val="0"/>
          <w:bCs/>
          <w:szCs w:val="32"/>
        </w:rPr>
        <w:t>。</w:t>
      </w:r>
      <w:bookmarkEnd w:id="72"/>
    </w:p>
    <w:p>
      <w:pPr>
        <w:tabs>
          <w:tab w:val="right" w:pos="8306"/>
        </w:tabs>
        <w:spacing w:line="600" w:lineRule="exact"/>
        <w:ind w:firstLine="640" w:firstLineChars="0"/>
        <w:outlineLvl w:val="9"/>
        <w:rPr>
          <w:rStyle w:val="18"/>
          <w:rFonts w:ascii="仿宋" w:hAnsi="仿宋" w:eastAsia="仿宋"/>
          <w:b w:val="0"/>
          <w:bCs/>
          <w:szCs w:val="32"/>
        </w:rPr>
      </w:pPr>
    </w:p>
    <w:p>
      <w:pPr>
        <w:tabs>
          <w:tab w:val="right" w:pos="8306"/>
        </w:tabs>
        <w:spacing w:line="600" w:lineRule="exact"/>
        <w:ind w:firstLine="640" w:firstLineChars="0"/>
        <w:outlineLvl w:val="1"/>
        <w:rPr>
          <w:rStyle w:val="21"/>
        </w:rPr>
      </w:pPr>
      <w:bookmarkStart w:id="73" w:name="_Toc6855"/>
      <w:r>
        <w:rPr>
          <w:rFonts w:hint="eastAsia" w:ascii="Cambria" w:hAnsi="Cambria" w:eastAsia="黑体"/>
          <w:bCs/>
          <w:szCs w:val="32"/>
        </w:rPr>
        <w:t>六、一般公共预算财政拨款基本支出决算情况说明</w:t>
      </w:r>
      <w:bookmarkEnd w:id="68"/>
      <w:bookmarkEnd w:id="69"/>
      <w:bookmarkEnd w:id="73"/>
      <w:r>
        <w:rPr>
          <w:rStyle w:val="21"/>
          <w:rFonts w:ascii="黑体"/>
        </w:rPr>
        <w:tab/>
      </w:r>
      <w:bookmarkEnd w:id="70"/>
      <w:bookmarkEnd w:id="71"/>
    </w:p>
    <w:p>
      <w:pPr>
        <w:spacing w:line="600" w:lineRule="exact"/>
        <w:ind w:firstLine="640"/>
        <w:rPr>
          <w:rFonts w:ascii="仿宋" w:hAnsi="仿宋" w:eastAsia="仿宋"/>
          <w:szCs w:val="32"/>
        </w:rPr>
      </w:pPr>
      <w:bookmarkStart w:id="74" w:name="_Toc97403299"/>
      <w:bookmarkStart w:id="75" w:name="_Toc97403173"/>
      <w:bookmarkStart w:id="76" w:name="_Toc15377215"/>
      <w:bookmarkStart w:id="77" w:name="_Toc15396609"/>
      <w:r>
        <w:rPr>
          <w:rFonts w:ascii="仿宋" w:hAnsi="仿宋" w:eastAsia="仿宋"/>
          <w:szCs w:val="32"/>
        </w:rPr>
        <w:t>20</w:t>
      </w:r>
      <w:r>
        <w:rPr>
          <w:rFonts w:hint="eastAsia" w:ascii="仿宋" w:hAnsi="仿宋" w:eastAsia="仿宋"/>
          <w:szCs w:val="32"/>
        </w:rPr>
        <w:t>21年一般公共预算财政拨款基本支出131.74万元，其中：</w:t>
      </w:r>
    </w:p>
    <w:p>
      <w:pPr>
        <w:spacing w:line="600" w:lineRule="exact"/>
        <w:ind w:firstLine="640"/>
        <w:rPr>
          <w:rFonts w:hint="eastAsia" w:ascii="仿宋" w:hAnsi="仿宋" w:eastAsia="仿宋"/>
          <w:szCs w:val="32"/>
          <w:lang w:eastAsia="zh-CN"/>
        </w:rPr>
      </w:pPr>
      <w:r>
        <w:rPr>
          <w:rFonts w:hint="eastAsia" w:ascii="仿宋" w:hAnsi="仿宋" w:eastAsia="仿宋"/>
          <w:szCs w:val="32"/>
        </w:rPr>
        <w:t>人员经费109.29万元，主要包括：基本工资、津贴补贴、机关事业单位基本养老保险缴费、职业年金缴费、职工基本医疗保险缴费、其他社会保障缴费、住房公积金、其他工资福利支出</w:t>
      </w:r>
      <w:r>
        <w:rPr>
          <w:rFonts w:hint="eastAsia" w:ascii="仿宋" w:hAnsi="仿宋" w:eastAsia="仿宋"/>
          <w:szCs w:val="32"/>
          <w:lang w:eastAsia="zh-CN"/>
        </w:rPr>
        <w:t>、生活补助</w:t>
      </w:r>
      <w:r>
        <w:rPr>
          <w:rFonts w:hint="eastAsia" w:ascii="仿宋" w:hAnsi="仿宋" w:eastAsia="仿宋"/>
          <w:szCs w:val="32"/>
          <w:lang w:val="en-US" w:eastAsia="zh-CN"/>
        </w:rPr>
        <w:t>、奖励金、</w:t>
      </w:r>
      <w:r>
        <w:rPr>
          <w:rFonts w:hint="eastAsia" w:ascii="仿宋" w:hAnsi="仿宋" w:eastAsia="仿宋"/>
          <w:color w:val="auto"/>
          <w:sz w:val="32"/>
          <w:szCs w:val="32"/>
          <w:highlight w:val="none"/>
        </w:rPr>
        <w:t>其他对个人和家庭的补助支出等</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szCs w:val="32"/>
        </w:rPr>
      </w:pPr>
      <w:r>
        <w:rPr>
          <w:rFonts w:hint="eastAsia" w:ascii="仿宋" w:hAnsi="仿宋" w:eastAsia="仿宋"/>
          <w:szCs w:val="32"/>
        </w:rPr>
        <w:t>公用经费22.45万元，主要包括：办公费、邮电费、差旅费、维修（护）费、公务接待费、劳务费、工会经费、福利费、其他交通费用</w:t>
      </w:r>
      <w:r>
        <w:rPr>
          <w:rFonts w:hint="eastAsia" w:ascii="仿宋" w:hAnsi="仿宋" w:eastAsia="仿宋"/>
          <w:szCs w:val="32"/>
          <w:lang w:eastAsia="zh-CN"/>
        </w:rPr>
        <w:t>、</w:t>
      </w:r>
      <w:r>
        <w:rPr>
          <w:rFonts w:hint="eastAsia" w:ascii="仿宋" w:hAnsi="仿宋" w:eastAsia="仿宋"/>
          <w:szCs w:val="32"/>
        </w:rPr>
        <w:t>其他商品和服务支出。</w:t>
      </w:r>
    </w:p>
    <w:p>
      <w:pPr>
        <w:pStyle w:val="4"/>
        <w:ind w:firstLine="640"/>
      </w:pPr>
      <w:bookmarkStart w:id="78" w:name="_Toc27944"/>
      <w:r>
        <w:t>七、“三公”经费财政拨款支出决算情况说明</w:t>
      </w:r>
      <w:bookmarkEnd w:id="74"/>
      <w:bookmarkEnd w:id="75"/>
      <w:bookmarkEnd w:id="76"/>
      <w:bookmarkEnd w:id="77"/>
      <w:bookmarkEnd w:id="78"/>
    </w:p>
    <w:p>
      <w:pPr>
        <w:pStyle w:val="5"/>
        <w:ind w:firstLine="643"/>
      </w:pPr>
      <w:bookmarkStart w:id="79" w:name="_Toc15377216"/>
      <w:r>
        <w:t>（一）“三公”经费财政拨款支出决算总体情况说明</w:t>
      </w:r>
      <w:bookmarkEnd w:id="79"/>
    </w:p>
    <w:p>
      <w:pPr>
        <w:ind w:firstLine="640"/>
      </w:pPr>
      <w:r>
        <w:rPr>
          <w:rFonts w:ascii="仿宋" w:hAnsi="仿宋" w:eastAsia="仿宋"/>
          <w:szCs w:val="32"/>
        </w:rPr>
        <w:t>20</w:t>
      </w:r>
      <w:r>
        <w:rPr>
          <w:rFonts w:hint="eastAsia" w:ascii="仿宋" w:hAnsi="仿宋" w:eastAsia="仿宋"/>
          <w:szCs w:val="32"/>
        </w:rPr>
        <w:t>21年“三公”经费财政拨款支出决算为0.34万元，完成预算68</w:t>
      </w:r>
      <w:r>
        <w:rPr>
          <w:rFonts w:ascii="仿宋" w:hAnsi="仿宋" w:eastAsia="仿宋"/>
          <w:szCs w:val="32"/>
        </w:rPr>
        <w:t>%</w:t>
      </w:r>
      <w:r>
        <w:rPr>
          <w:rFonts w:hint="eastAsia" w:ascii="仿宋" w:hAnsi="仿宋" w:eastAsia="仿宋"/>
          <w:szCs w:val="32"/>
        </w:rPr>
        <w:t>，</w:t>
      </w:r>
      <w:r>
        <w:t>决算数小于预算数的主要原因是落实转变作风、厉行节约有关要求，严格控制“三公”经费支出。</w:t>
      </w:r>
    </w:p>
    <w:p>
      <w:pPr>
        <w:pStyle w:val="5"/>
        <w:ind w:firstLine="643"/>
      </w:pPr>
      <w:bookmarkStart w:id="80" w:name="_Toc15377217"/>
      <w:r>
        <w:t>（二）“三公”经费财政拨款支出决算具体情况说明</w:t>
      </w:r>
      <w:bookmarkEnd w:id="80"/>
    </w:p>
    <w:p>
      <w:pPr>
        <w:spacing w:line="600" w:lineRule="exact"/>
        <w:ind w:firstLine="640" w:firstLineChars="0"/>
        <w:rPr>
          <w:rFonts w:ascii="仿宋" w:hAnsi="仿宋" w:eastAsia="仿宋"/>
          <w:szCs w:val="32"/>
        </w:rPr>
      </w:pPr>
      <w:r>
        <w:rPr>
          <w:rFonts w:ascii="仿宋" w:hAnsi="仿宋" w:eastAsia="仿宋"/>
          <w:szCs w:val="32"/>
        </w:rPr>
        <w:t>20</w:t>
      </w:r>
      <w:r>
        <w:rPr>
          <w:rFonts w:hint="eastAsia" w:ascii="仿宋" w:hAnsi="仿宋" w:eastAsia="仿宋"/>
          <w:szCs w:val="32"/>
        </w:rPr>
        <w:t>21年“三公”经费财政拨款支出决算中，因公出国（境）费支出决算0万元，占0</w:t>
      </w:r>
      <w:r>
        <w:rPr>
          <w:rFonts w:ascii="仿宋" w:hAnsi="仿宋" w:eastAsia="仿宋"/>
          <w:szCs w:val="32"/>
        </w:rPr>
        <w:t>%</w:t>
      </w:r>
      <w:r>
        <w:rPr>
          <w:rFonts w:hint="eastAsia" w:ascii="仿宋" w:hAnsi="仿宋" w:eastAsia="仿宋"/>
          <w:szCs w:val="32"/>
        </w:rPr>
        <w:t>；公务用车购置及运行维护费支出决算0万元，占0</w:t>
      </w:r>
      <w:r>
        <w:rPr>
          <w:rFonts w:ascii="仿宋" w:hAnsi="仿宋" w:eastAsia="仿宋"/>
          <w:szCs w:val="32"/>
        </w:rPr>
        <w:t>%</w:t>
      </w:r>
      <w:r>
        <w:rPr>
          <w:rFonts w:hint="eastAsia" w:ascii="仿宋" w:hAnsi="仿宋" w:eastAsia="仿宋"/>
          <w:szCs w:val="32"/>
        </w:rPr>
        <w:t>；公务接待费支出决算0.34万元，占100</w:t>
      </w:r>
      <w:r>
        <w:rPr>
          <w:rFonts w:ascii="仿宋" w:hAnsi="仿宋" w:eastAsia="仿宋"/>
          <w:szCs w:val="32"/>
        </w:rPr>
        <w:t>%</w:t>
      </w:r>
      <w:r>
        <w:rPr>
          <w:rFonts w:hint="eastAsia" w:ascii="仿宋" w:hAnsi="仿宋" w:eastAsia="仿宋"/>
          <w:szCs w:val="32"/>
        </w:rPr>
        <w:t xml:space="preserve">。      </w:t>
      </w:r>
    </w:p>
    <w:p>
      <w:pPr>
        <w:spacing w:line="600" w:lineRule="exact"/>
        <w:ind w:firstLine="640" w:firstLineChars="0"/>
        <w:rPr>
          <w:rFonts w:ascii="仿宋_GB2312" w:eastAsia="仿宋_GB2312"/>
          <w:b/>
          <w:szCs w:val="32"/>
        </w:rPr>
      </w:pPr>
      <w:r>
        <w:rPr>
          <w:rFonts w:hint="eastAsia"/>
          <w:b/>
          <w:bCs/>
        </w:rPr>
        <w:t>1.</w:t>
      </w:r>
      <w:r>
        <w:rPr>
          <w:b/>
          <w:bCs/>
        </w:rPr>
        <w:t>因公出国（境）经费支出0万元</w:t>
      </w:r>
      <w:r>
        <w:t>，年初未安排预算。</w:t>
      </w:r>
    </w:p>
    <w:p>
      <w:pPr>
        <w:spacing w:line="600" w:lineRule="exact"/>
        <w:ind w:firstLine="640" w:firstLineChars="0"/>
      </w:pPr>
      <w:r>
        <w:rPr>
          <w:b/>
          <w:bCs/>
        </w:rPr>
        <w:t>2.公务用车购置及运行维护费支出0万元</w:t>
      </w:r>
      <w:r>
        <w:t>,年初未安排预算。</w:t>
      </w:r>
    </w:p>
    <w:p>
      <w:pPr>
        <w:spacing w:line="600" w:lineRule="exact"/>
        <w:ind w:firstLine="643"/>
        <w:rPr>
          <w:rFonts w:ascii="仿宋_GB2312" w:eastAsia="仿宋_GB2312"/>
          <w:b/>
          <w:szCs w:val="32"/>
        </w:rPr>
      </w:pPr>
      <w:bookmarkStart w:id="81" w:name="_Toc97403300"/>
      <w:bookmarkStart w:id="82" w:name="_Toc15377218"/>
      <w:bookmarkStart w:id="83" w:name="_Toc15396610"/>
      <w:bookmarkStart w:id="84" w:name="_Toc97403174"/>
      <w:r>
        <w:rPr>
          <w:rFonts w:ascii="仿宋_GB2312" w:eastAsia="仿宋_GB2312"/>
          <w:b/>
          <w:szCs w:val="32"/>
        </w:rPr>
        <w:t>3.</w:t>
      </w:r>
      <w:r>
        <w:rPr>
          <w:rFonts w:hint="eastAsia" w:ascii="仿宋_GB2312" w:eastAsia="仿宋_GB2312"/>
          <w:b/>
          <w:szCs w:val="32"/>
        </w:rPr>
        <w:t>公务接待费支出0.</w:t>
      </w:r>
      <w:r>
        <w:rPr>
          <w:rFonts w:hint="eastAsia" w:ascii="仿宋_GB2312" w:eastAsia="仿宋_GB2312"/>
          <w:szCs w:val="32"/>
        </w:rPr>
        <w:t>34万元，</w:t>
      </w:r>
      <w:r>
        <w:rPr>
          <w:rStyle w:val="18"/>
          <w:rFonts w:hint="eastAsia" w:ascii="仿宋" w:hAnsi="仿宋" w:eastAsia="仿宋"/>
          <w:b w:val="0"/>
          <w:bCs/>
          <w:szCs w:val="32"/>
        </w:rPr>
        <w:t>完成预算100</w:t>
      </w:r>
      <w:r>
        <w:rPr>
          <w:rStyle w:val="18"/>
          <w:rFonts w:ascii="仿宋" w:hAnsi="仿宋" w:eastAsia="仿宋"/>
          <w:b w:val="0"/>
          <w:bCs/>
          <w:szCs w:val="32"/>
        </w:rPr>
        <w:t>%</w:t>
      </w:r>
      <w:r>
        <w:rPr>
          <w:rStyle w:val="18"/>
          <w:rFonts w:hint="eastAsia" w:ascii="仿宋" w:hAnsi="仿宋" w:eastAsia="仿宋"/>
          <w:b w:val="0"/>
          <w:bCs/>
          <w:szCs w:val="32"/>
        </w:rPr>
        <w:t>。</w:t>
      </w:r>
      <w:r>
        <w:rPr>
          <w:rFonts w:hint="eastAsia" w:ascii="仿宋_GB2312" w:eastAsia="仿宋_GB2312"/>
          <w:szCs w:val="32"/>
        </w:rPr>
        <w:t>公务接待费支出决算</w:t>
      </w:r>
      <w:r>
        <w:rPr>
          <w:rStyle w:val="18"/>
          <w:rFonts w:hint="eastAsia" w:ascii="仿宋" w:hAnsi="仿宋" w:eastAsia="仿宋"/>
          <w:b w:val="0"/>
          <w:bCs/>
          <w:szCs w:val="32"/>
        </w:rPr>
        <w:t>决算较2020年无变化。</w:t>
      </w:r>
    </w:p>
    <w:p>
      <w:pPr>
        <w:spacing w:line="600" w:lineRule="exact"/>
        <w:ind w:firstLine="640"/>
        <w:rPr>
          <w:rFonts w:ascii="仿宋_GB2312" w:eastAsia="仿宋_GB2312"/>
          <w:szCs w:val="32"/>
        </w:rPr>
      </w:pPr>
      <w:r>
        <w:rPr>
          <w:rFonts w:hint="eastAsia" w:ascii="仿宋_GB2312" w:eastAsia="仿宋_GB2312"/>
          <w:szCs w:val="32"/>
        </w:rPr>
        <w:t>其中：</w:t>
      </w:r>
      <w:r>
        <w:rPr>
          <w:rFonts w:hint="eastAsia" w:ascii="仿宋" w:hAnsi="仿宋" w:eastAsia="仿宋"/>
          <w:b/>
          <w:szCs w:val="32"/>
        </w:rPr>
        <w:t>国内公务接待支出0.34</w:t>
      </w:r>
      <w:r>
        <w:rPr>
          <w:rFonts w:hint="eastAsia" w:ascii="仿宋_GB2312" w:eastAsia="仿宋_GB2312"/>
          <w:szCs w:val="32"/>
        </w:rPr>
        <w:t>万元，</w:t>
      </w:r>
      <w:r>
        <w:rPr>
          <w:rFonts w:hint="eastAsia" w:ascii="仿宋" w:hAnsi="仿宋" w:eastAsia="仿宋" w:cs="仿宋"/>
          <w:color w:val="000000"/>
          <w:szCs w:val="32"/>
        </w:rPr>
        <w:t>主要用于执行公务、开展业务活动开支的用餐费等。</w:t>
      </w:r>
    </w:p>
    <w:p>
      <w:pPr>
        <w:pStyle w:val="4"/>
        <w:ind w:firstLine="640"/>
      </w:pPr>
      <w:bookmarkStart w:id="85" w:name="_Toc4469"/>
      <w:r>
        <w:t>八、政府性基金预算支出决算情况说明</w:t>
      </w:r>
      <w:bookmarkEnd w:id="81"/>
      <w:bookmarkEnd w:id="82"/>
      <w:bookmarkEnd w:id="83"/>
      <w:bookmarkEnd w:id="84"/>
      <w:bookmarkEnd w:id="85"/>
    </w:p>
    <w:p>
      <w:pPr>
        <w:spacing w:line="600" w:lineRule="exact"/>
        <w:ind w:firstLine="640"/>
        <w:rPr>
          <w:rFonts w:hint="eastAsia" w:eastAsia="CESI仿宋-GB2312"/>
          <w:lang w:val="en-US" w:eastAsia="zh-CN"/>
        </w:rPr>
      </w:pPr>
      <w:r>
        <w:t>广元市</w:t>
      </w:r>
      <w:r>
        <w:rPr>
          <w:rFonts w:hint="eastAsia"/>
        </w:rPr>
        <w:t>农民工服务中心</w:t>
      </w:r>
      <w:r>
        <w:t>2021年无政府性基金预算财政拨款支出。</w:t>
      </w:r>
      <w:r>
        <w:rPr>
          <w:rFonts w:hint="eastAsia" w:ascii="仿宋_GB2312" w:eastAsia="仿宋_GB2312" w:cs="仿宋"/>
          <w:color w:val="000000"/>
          <w:kern w:val="0"/>
          <w:sz w:val="32"/>
          <w:szCs w:val="32"/>
          <w:lang w:val="en-US" w:eastAsia="zh-CN" w:bidi="ar-SA"/>
        </w:rPr>
        <w:t>也未在政府性基金预算拨款安排“三公经费”支出</w:t>
      </w:r>
      <w:r>
        <w:rPr>
          <w:rFonts w:hint="eastAsia" w:ascii="仿宋_GB2312" w:eastAsia="仿宋_GB2312"/>
          <w:color w:val="auto"/>
          <w:sz w:val="32"/>
          <w:szCs w:val="32"/>
          <w:highlight w:val="none"/>
        </w:rPr>
        <w:t>。</w:t>
      </w:r>
    </w:p>
    <w:p>
      <w:pPr>
        <w:pStyle w:val="4"/>
        <w:ind w:firstLine="640"/>
      </w:pPr>
      <w:bookmarkStart w:id="86" w:name="_Toc29423"/>
      <w:bookmarkStart w:id="87" w:name="_Toc97403301"/>
      <w:bookmarkStart w:id="88" w:name="_Toc97403175"/>
      <w:bookmarkStart w:id="89" w:name="_Toc15377219"/>
      <w:bookmarkStart w:id="90" w:name="_Toc15396611"/>
      <w:r>
        <w:t>九、国有资本经营预算支出决算情况说明</w:t>
      </w:r>
      <w:bookmarkEnd w:id="86"/>
      <w:bookmarkEnd w:id="87"/>
      <w:bookmarkEnd w:id="88"/>
      <w:bookmarkEnd w:id="89"/>
      <w:bookmarkEnd w:id="90"/>
    </w:p>
    <w:p>
      <w:pPr>
        <w:ind w:firstLine="640"/>
      </w:pPr>
      <w:r>
        <w:t>广元市</w:t>
      </w:r>
      <w:r>
        <w:rPr>
          <w:rFonts w:hint="eastAsia"/>
        </w:rPr>
        <w:t>农民工服务中心</w:t>
      </w:r>
      <w:r>
        <w:t>2020年无国有资本经营预算拨款支出。</w:t>
      </w:r>
    </w:p>
    <w:p>
      <w:pPr>
        <w:pStyle w:val="4"/>
        <w:ind w:firstLine="640"/>
      </w:pPr>
      <w:bookmarkStart w:id="91" w:name="_Toc16724"/>
      <w:bookmarkStart w:id="92" w:name="_Toc97403176"/>
      <w:bookmarkStart w:id="93" w:name="_Toc97403302"/>
      <w:bookmarkStart w:id="94" w:name="_Toc15396612"/>
      <w:bookmarkStart w:id="95" w:name="_Toc15377221"/>
      <w:r>
        <w:t>十、预算绩效管理情况</w:t>
      </w:r>
      <w:bookmarkEnd w:id="91"/>
      <w:bookmarkEnd w:id="92"/>
      <w:bookmarkEnd w:id="93"/>
    </w:p>
    <w:p>
      <w:pPr>
        <w:spacing w:line="580" w:lineRule="exact"/>
        <w:ind w:firstLine="640"/>
        <w:rPr>
          <w:rFonts w:eastAsiaTheme="minorEastAsia"/>
        </w:rPr>
      </w:pPr>
      <w:bookmarkStart w:id="96" w:name="_Toc97403303"/>
      <w:bookmarkStart w:id="97" w:name="_Toc97403177"/>
      <w:r>
        <w:rPr>
          <w:rFonts w:hint="eastAsia" w:ascii="仿宋_GB2312" w:hAnsi="仿宋_GB2312" w:eastAsia="仿宋_GB2312" w:cs="仿宋_GB2312"/>
          <w:szCs w:val="32"/>
        </w:rPr>
        <w:t>根据预算绩效管理要求，本单位的项目属于经常性项目，不属于重点建设项目，因此不需要开展预算事前绩效评估。</w:t>
      </w:r>
      <w:r>
        <w:rPr>
          <w:rFonts w:hint="eastAsia" w:ascii="仿宋" w:hAnsi="仿宋" w:eastAsia="仿宋"/>
          <w:color w:val="000000"/>
          <w:szCs w:val="32"/>
        </w:rPr>
        <w:t>在年初预算编制阶段，</w:t>
      </w:r>
      <w:r>
        <w:rPr>
          <w:rFonts w:hint="eastAsia" w:ascii="仿宋_GB2312" w:hAnsi="仿宋_GB2312" w:eastAsia="仿宋_GB2312" w:cs="仿宋_GB2312"/>
          <w:szCs w:val="32"/>
        </w:rPr>
        <w:t>对“农民工服务保障经费”“驻省外农民工工作站奖补经费”项目编制了绩效目标。预算执行过程中，开展绩效监控。年终执行完毕后，开展了绩效自评。2021年部门预算项目绩效目标自评表见附件（第四部分）。</w:t>
      </w:r>
    </w:p>
    <w:p>
      <w:pPr>
        <w:pStyle w:val="4"/>
        <w:ind w:firstLine="640"/>
      </w:pPr>
      <w:bookmarkStart w:id="98" w:name="_Toc9177"/>
      <w:r>
        <w:t>十一、其他重要事项的情况说明</w:t>
      </w:r>
      <w:bookmarkEnd w:id="94"/>
      <w:bookmarkEnd w:id="95"/>
      <w:bookmarkEnd w:id="96"/>
      <w:bookmarkEnd w:id="97"/>
      <w:bookmarkEnd w:id="98"/>
    </w:p>
    <w:p>
      <w:pPr>
        <w:pStyle w:val="5"/>
        <w:ind w:firstLine="643"/>
      </w:pPr>
      <w:bookmarkStart w:id="99" w:name="_Toc15377222"/>
      <w:r>
        <w:t>（一）机关运行经费支出情况</w:t>
      </w:r>
      <w:bookmarkEnd w:id="99"/>
    </w:p>
    <w:p>
      <w:pPr>
        <w:ind w:firstLine="640"/>
      </w:pPr>
      <w:r>
        <w:t>2021年，广元市</w:t>
      </w:r>
      <w:r>
        <w:rPr>
          <w:rFonts w:hint="eastAsia"/>
        </w:rPr>
        <w:t>农民工服务中心</w:t>
      </w:r>
      <w:r>
        <w:t>机关运行经费支出</w:t>
      </w:r>
      <w:r>
        <w:rPr>
          <w:rFonts w:hint="eastAsia"/>
        </w:rPr>
        <w:t>22.45</w:t>
      </w:r>
      <w:r>
        <w:t>万元，比2020年</w:t>
      </w:r>
      <w:r>
        <w:rPr>
          <w:rFonts w:hint="eastAsia"/>
        </w:rPr>
        <w:t>减少1.66</w:t>
      </w:r>
      <w:r>
        <w:t>万元，</w:t>
      </w:r>
      <w:r>
        <w:rPr>
          <w:rFonts w:hint="eastAsia"/>
        </w:rPr>
        <w:t>减少10.73</w:t>
      </w:r>
      <w:r>
        <w:t>%。</w:t>
      </w:r>
    </w:p>
    <w:p>
      <w:pPr>
        <w:pStyle w:val="5"/>
        <w:ind w:firstLine="643"/>
      </w:pPr>
      <w:bookmarkStart w:id="100" w:name="_Toc15377223"/>
      <w:r>
        <w:t>（二）政府采购支出情况</w:t>
      </w:r>
      <w:bookmarkEnd w:id="100"/>
    </w:p>
    <w:p>
      <w:pPr>
        <w:ind w:firstLine="640"/>
      </w:pPr>
      <w:r>
        <w:t>2021年，广元市</w:t>
      </w:r>
      <w:r>
        <w:rPr>
          <w:rFonts w:hint="eastAsia"/>
        </w:rPr>
        <w:t>农民工服务中心</w:t>
      </w:r>
      <w:r>
        <w:t>无政府采购支出情况。</w:t>
      </w:r>
    </w:p>
    <w:p>
      <w:pPr>
        <w:pStyle w:val="5"/>
        <w:ind w:firstLine="643"/>
      </w:pPr>
      <w:bookmarkStart w:id="101" w:name="_Toc15377224"/>
      <w:r>
        <w:t>（三）国有资产占有使用情况</w:t>
      </w:r>
      <w:bookmarkEnd w:id="101"/>
    </w:p>
    <w:p>
      <w:pPr>
        <w:ind w:firstLine="640"/>
      </w:pPr>
      <w:r>
        <w:t>截至2021年12月31日，广元市</w:t>
      </w:r>
      <w:r>
        <w:rPr>
          <w:rFonts w:hint="eastAsia"/>
        </w:rPr>
        <w:t>农民工服务中心</w:t>
      </w:r>
      <w:r>
        <w:t>共有车辆0辆，单价50万元以上通用设备0台（套），单价100万元以上专用设备0台（套）。</w:t>
      </w:r>
    </w:p>
    <w:p>
      <w:pPr>
        <w:widowControl/>
        <w:ind w:firstLine="643"/>
        <w:jc w:val="left"/>
        <w:rPr>
          <w:rFonts w:ascii="仿宋_GB2312" w:eastAsia="仿宋_GB2312"/>
          <w:b/>
          <w:szCs w:val="32"/>
        </w:rPr>
      </w:pPr>
      <w:r>
        <w:rPr>
          <w:rFonts w:ascii="仿宋_GB2312" w:eastAsia="仿宋_GB2312"/>
          <w:b/>
          <w:szCs w:val="32"/>
        </w:rPr>
        <w:br w:type="page"/>
      </w:r>
    </w:p>
    <w:p>
      <w:pPr>
        <w:pStyle w:val="3"/>
        <w:ind w:firstLine="880"/>
      </w:pPr>
      <w:bookmarkStart w:id="102" w:name="_Toc97403304"/>
      <w:bookmarkStart w:id="103" w:name="_Toc15377225"/>
      <w:bookmarkStart w:id="104" w:name="_Toc15396613"/>
      <w:bookmarkStart w:id="105" w:name="_Toc24733"/>
      <w:bookmarkStart w:id="106" w:name="_Toc97403178"/>
      <w:r>
        <w:t>第三部分 名词解释</w:t>
      </w:r>
      <w:bookmarkEnd w:id="102"/>
      <w:bookmarkEnd w:id="103"/>
      <w:bookmarkEnd w:id="104"/>
      <w:bookmarkEnd w:id="105"/>
      <w:bookmarkEnd w:id="106"/>
    </w:p>
    <w:p>
      <w:pPr>
        <w:spacing w:line="600" w:lineRule="exact"/>
        <w:ind w:firstLine="883"/>
        <w:jc w:val="left"/>
        <w:rPr>
          <w:rFonts w:ascii="宋体" w:hAnsi="宋体"/>
          <w:b/>
          <w:sz w:val="44"/>
          <w:szCs w:val="44"/>
        </w:rPr>
      </w:pPr>
    </w:p>
    <w:p>
      <w:pPr>
        <w:ind w:firstLine="640"/>
        <w:outlineLvl w:val="1"/>
      </w:pPr>
      <w:bookmarkStart w:id="107" w:name="_Toc21770"/>
      <w:r>
        <w:t>1.财政拨款收入：指单位从同级财政部门取得的财政预算资金。</w:t>
      </w:r>
      <w:bookmarkEnd w:id="107"/>
    </w:p>
    <w:p>
      <w:pPr>
        <w:ind w:firstLine="640"/>
      </w:pPr>
      <w:r>
        <w:t xml:space="preserve">2.年初结转和结余：指以前年度尚未完成、结转到本年按有关规定继续使用的资金。 </w:t>
      </w:r>
    </w:p>
    <w:p>
      <w:pPr>
        <w:ind w:firstLine="640"/>
      </w:pPr>
      <w:r>
        <w:t>3</w:t>
      </w:r>
      <w:r>
        <w:rPr>
          <w:rFonts w:hint="eastAsia"/>
        </w:rPr>
        <w:t>.</w:t>
      </w:r>
      <w:r>
        <w:t>年末结转和结余：指单位按有关规定结转到下年或以后年度继续使用的资金。</w:t>
      </w:r>
    </w:p>
    <w:p>
      <w:pPr>
        <w:pStyle w:val="2"/>
        <w:ind w:left="0" w:leftChars="0" w:firstLine="640" w:firstLineChars="200"/>
        <w:rPr>
          <w:rFonts w:eastAsia="CESI仿宋-GB2312"/>
        </w:rPr>
      </w:pPr>
      <w:r>
        <w:rPr>
          <w:rFonts w:hint="eastAsia" w:eastAsia="CESI仿宋-GB2312"/>
        </w:rPr>
        <w:t>4.社会保障和就业支出（类）人力资源和社会保障管理事务（款）社会保险业务管理事务（项）：反映社会保险业务管理和基金监督方面的支出。</w:t>
      </w:r>
    </w:p>
    <w:p>
      <w:pPr>
        <w:ind w:firstLine="640"/>
      </w:pPr>
      <w:r>
        <w:t>5. 社会保障和就业支出（类）行政事业单位养老支出（款）机关事业单位基本养老保险缴费支出（项）：反映机关事业单位实施养老保险制度由单位缴纳的基本养老保险费支出。</w:t>
      </w:r>
    </w:p>
    <w:p>
      <w:pPr>
        <w:ind w:firstLine="640"/>
      </w:pPr>
      <w:r>
        <w:t>6. 社会保障和就业支出（类）行政事业单位养老支出（款）机关事业单位职业年金缴费支出（项）:反映机关事业单位实施养老保险制度由单位实际缴纳的职业年金支出。</w:t>
      </w:r>
    </w:p>
    <w:p>
      <w:pPr>
        <w:ind w:firstLine="640"/>
      </w:pPr>
      <w:r>
        <w:t>7. 卫生健康支出（类）行政事业单位医疗（款）事业单位医疗（项）:反映财政部门集中安排的事业单位基本医疗保险缴费经费，未参加医疗保险的事业单位公费医疗经费，按国家规定享受离退休人员待遇的医疗经费。</w:t>
      </w:r>
    </w:p>
    <w:p>
      <w:pPr>
        <w:ind w:firstLine="640"/>
      </w:pPr>
      <w:r>
        <w:t>8. 住房保障支出（类）住房改革支出（款）住房公积金（项）:反映行政事业单位按人力资源和社会保障部、财政部规定的基本工资和津贴补贴以及规定比例为职工缴纳的住房公积金。</w:t>
      </w:r>
    </w:p>
    <w:p>
      <w:pPr>
        <w:ind w:firstLine="640"/>
      </w:pPr>
      <w:r>
        <w:t>9.基本支出：指为保障机构正常运转、完成日常工作任务而发生的人员支出和公用支出。</w:t>
      </w:r>
    </w:p>
    <w:p>
      <w:pPr>
        <w:ind w:firstLine="640"/>
      </w:pPr>
      <w:r>
        <w:t xml:space="preserve">10.项目支出：指在基本支出之外为完成特定行政任务和事业发展目标所发生的支出。 </w:t>
      </w:r>
    </w:p>
    <w:p>
      <w:pPr>
        <w:ind w:firstLine="640"/>
      </w:pPr>
      <w: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pPr>
      <w: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pPr>
      <w:bookmarkStart w:id="108" w:name="_Toc15396614"/>
      <w:bookmarkStart w:id="109" w:name="_Toc15377226"/>
    </w:p>
    <w:p>
      <w:pPr>
        <w:ind w:firstLine="640"/>
      </w:pPr>
    </w:p>
    <w:bookmarkEnd w:id="108"/>
    <w:p>
      <w:pPr>
        <w:pStyle w:val="3"/>
        <w:ind w:firstLine="0" w:firstLineChars="0"/>
        <w:jc w:val="both"/>
        <w:rPr>
          <w:rFonts w:ascii="宋体" w:hAnsi="宋体" w:eastAsia="宋体" w:cs="宋体"/>
          <w:color w:val="000000"/>
          <w:sz w:val="42"/>
          <w:szCs w:val="42"/>
        </w:rPr>
      </w:pPr>
      <w:bookmarkStart w:id="110" w:name="_Toc12422"/>
      <w:r>
        <w:rPr>
          <w:rFonts w:hint="eastAsia"/>
        </w:rPr>
        <w:t>第四部分 附件</w:t>
      </w:r>
      <w:bookmarkEnd w:id="110"/>
      <w:r>
        <w:rPr>
          <w:rFonts w:hint="eastAsia" w:ascii="仿宋" w:hAnsi="仿宋" w:eastAsia="仿宋" w:cs="仿宋"/>
          <w:b/>
          <w:sz w:val="32"/>
          <w:szCs w:val="32"/>
        </w:rPr>
        <w:t xml:space="preserve">                                                                                                                                                                                                                                                                                                                                                                                                                                                                                                                                                                                                                                                                                                                                                                                                                                                                                                                                                                                                                                                                                                                                                                                                                                                                                                                                                                                                                                                                                                                                                                                                                                                                                                                                                                                                                                                                                                                                                                                                                                                                                                                                                                                                                                                                                                                                                                                                                                                                                                                                                                                                                                                                                                                                                                                                                                                                                                                                                                                                                                                                                                                                                                                                                                                                                                                                                                                                                                                                                                                                                                                                                                                                                                                                                                                                                                                                                                                                                                                                                                                                                                                                                                                                                </w:t>
      </w:r>
      <w:r>
        <w:rPr>
          <w:rFonts w:hint="eastAsia" w:ascii="仿宋" w:hAnsi="仿宋" w:eastAsia="仿宋" w:cs="仿宋"/>
          <w:b/>
          <w:sz w:val="32"/>
          <w:szCs w:val="32"/>
        </w:rPr>
        <w:t xml:space="preserve">                                                                                                                                                                                                                                                                                                                                                                                                                                                                                                                                                                                                                                                                                                                                                                                                                                                                                                                                                                                                                                                                                                                                                                                                                                                                                                                                                                                                                                                                                                                                                                                                                                                                                                                                                                                                                                                                                      </w:t>
      </w:r>
    </w:p>
    <w:p>
      <w:pPr>
        <w:spacing w:line="540" w:lineRule="exact"/>
        <w:ind w:firstLine="883"/>
        <w:jc w:val="center"/>
        <w:rPr>
          <w:rFonts w:ascii="方正小标宋简体" w:eastAsia="方正小标宋简体"/>
          <w:b/>
          <w:sz w:val="44"/>
          <w:szCs w:val="44"/>
        </w:rPr>
      </w:pPr>
    </w:p>
    <w:p>
      <w:pPr>
        <w:spacing w:line="540" w:lineRule="exact"/>
        <w:ind w:firstLine="883"/>
        <w:jc w:val="center"/>
        <w:rPr>
          <w:rFonts w:ascii="方正小标宋简体" w:eastAsia="方正小标宋简体"/>
          <w:b/>
          <w:sz w:val="44"/>
          <w:szCs w:val="44"/>
        </w:rPr>
      </w:pPr>
      <w:r>
        <w:rPr>
          <w:rFonts w:hint="eastAsia" w:ascii="方正小标宋简体" w:eastAsia="方正小标宋简体"/>
          <w:b/>
          <w:sz w:val="44"/>
          <w:szCs w:val="44"/>
        </w:rPr>
        <w:t>广元市农民工服务中心</w:t>
      </w:r>
    </w:p>
    <w:p>
      <w:pPr>
        <w:spacing w:line="540" w:lineRule="exact"/>
        <w:ind w:firstLine="883"/>
        <w:jc w:val="center"/>
        <w:rPr>
          <w:rFonts w:ascii="方正小标宋简体" w:eastAsia="方正小标宋简体"/>
          <w:b/>
          <w:sz w:val="44"/>
          <w:szCs w:val="44"/>
        </w:rPr>
      </w:pPr>
      <w:r>
        <w:rPr>
          <w:rFonts w:ascii="方正小标宋简体" w:eastAsia="方正小标宋简体"/>
          <w:b/>
          <w:sz w:val="44"/>
          <w:szCs w:val="44"/>
        </w:rPr>
        <w:t>202</w:t>
      </w:r>
      <w:r>
        <w:rPr>
          <w:rFonts w:hint="eastAsia" w:ascii="方正小标宋简体" w:eastAsia="方正小标宋简体"/>
          <w:b/>
          <w:sz w:val="44"/>
          <w:szCs w:val="44"/>
        </w:rPr>
        <w:t>1年项目支出绩效自评报告</w:t>
      </w:r>
    </w:p>
    <w:p>
      <w:pPr>
        <w:spacing w:line="540" w:lineRule="exact"/>
        <w:ind w:firstLine="883"/>
        <w:jc w:val="center"/>
        <w:rPr>
          <w:rFonts w:ascii="方正小标宋简体" w:eastAsia="方正小标宋简体"/>
          <w:b/>
          <w:sz w:val="44"/>
          <w:szCs w:val="44"/>
        </w:rPr>
      </w:pP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市财政局：</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根据工作要求，我中心对2021年项目支出绩效认真进行了自评，具体情况如下：</w:t>
      </w:r>
    </w:p>
    <w:p>
      <w:pPr>
        <w:pStyle w:val="15"/>
        <w:widowControl/>
        <w:spacing w:line="571" w:lineRule="atLeast"/>
        <w:ind w:firstLine="643"/>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（农民工服务保障经费）</w:t>
      </w:r>
    </w:p>
    <w:p>
      <w:pPr>
        <w:ind w:firstLine="643"/>
        <w:rPr>
          <w:rFonts w:ascii="黑体" w:eastAsia="黑体"/>
          <w:b/>
          <w:szCs w:val="32"/>
        </w:rPr>
      </w:pPr>
      <w:r>
        <w:rPr>
          <w:rFonts w:hint="eastAsia" w:ascii="黑体" w:eastAsia="黑体"/>
          <w:b/>
          <w:szCs w:val="32"/>
        </w:rPr>
        <w:t>一、项目概况</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（一）项目基本情况。</w:t>
      </w:r>
    </w:p>
    <w:p>
      <w:pPr>
        <w:pStyle w:val="15"/>
        <w:widowControl/>
        <w:spacing w:line="571" w:lineRule="atLeast"/>
        <w:ind w:firstLine="640"/>
        <w:jc w:val="left"/>
        <w:outlineLvl w:val="1"/>
        <w:rPr>
          <w:rFonts w:ascii="仿宋" w:hAnsi="仿宋" w:eastAsia="仿宋" w:cs="仿宋"/>
          <w:color w:val="000000"/>
          <w:sz w:val="32"/>
          <w:szCs w:val="32"/>
        </w:rPr>
      </w:pPr>
      <w:bookmarkStart w:id="111" w:name="_Toc2297"/>
      <w:r>
        <w:rPr>
          <w:rFonts w:hint="eastAsia" w:ascii="仿宋" w:hAnsi="仿宋" w:eastAsia="仿宋" w:cs="仿宋"/>
          <w:color w:val="000000"/>
          <w:sz w:val="32"/>
          <w:szCs w:val="32"/>
        </w:rPr>
        <w:t>1. 说明项目主管部门（单位）在该项目管理中的职能。</w:t>
      </w:r>
      <w:bookmarkEnd w:id="111"/>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农民工服务保障经费，是发挥农民工在外务工的主动性和积极的重要保障经费，是维护农民工在外务工的安全性的重要保障经费，2021年农民工服务保障经费发挥了重要作用，总体运行平稳，发布信息质量良好，切实发挥农民工服务服务平台作用。　　　　　　　　　　　</w:t>
      </w:r>
    </w:p>
    <w:p>
      <w:pPr>
        <w:pStyle w:val="15"/>
        <w:widowControl/>
        <w:spacing w:line="571" w:lineRule="atLeast"/>
        <w:ind w:firstLine="640"/>
        <w:jc w:val="left"/>
        <w:outlineLvl w:val="1"/>
        <w:rPr>
          <w:rFonts w:ascii="仿宋" w:hAnsi="仿宋" w:eastAsia="仿宋" w:cs="仿宋"/>
          <w:color w:val="000000"/>
          <w:sz w:val="32"/>
          <w:szCs w:val="32"/>
        </w:rPr>
      </w:pPr>
      <w:bookmarkStart w:id="112" w:name="_Toc16223"/>
      <w:r>
        <w:rPr>
          <w:rFonts w:hint="eastAsia" w:ascii="仿宋" w:hAnsi="仿宋" w:eastAsia="仿宋" w:cs="仿宋"/>
          <w:color w:val="000000"/>
          <w:sz w:val="32"/>
          <w:szCs w:val="32"/>
        </w:rPr>
        <w:t>2. 项目立项、资金申报的依据。</w:t>
      </w:r>
      <w:bookmarkEnd w:id="112"/>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 xml:space="preserve">省委办公厅、省政府办公厅出台《关于印发〈加强农民工服务保障十六条措施〉的通知》（川委办〔2018〕48号），明确提出“各级党委、政府要进一步提高对做好农民工服务保障工作重要性的认识，将农民工服务保障工作纳入市县党委、政府年度目标考核内容，建立健全党委、政府主要负责同志统筹协调、劳务开发暨农民工工作领导小组牵头组织、有关部门各司其职共同参与的工作机制。要强化经费保障，将开展农民工服务保障工作所需经费纳入同级财政预算”。同时，从2021年起，将各地保障落实农民工工作经费情况纳入省委省政府对市州党委政府乡村振兴绩效考核重要内容，明确要求只增不减。 </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（二）项目主要内容。</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1.宣传贯彻农民工服务保障工作法律法规和政策。</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2.组织实施全市农民工服务体系标准化建设工作。</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3.建设和管理驻外农民工工作站，承担农民工信息化建设工作。</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4.组织开展农民工回引创业、职业培训等工作，组织农民工参加创新创业大赛活动。</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5.会同有关部门开展农民工维权救助、法律援助、治理欠薪等工作。</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6.组织实施农民工走访慰问、关心关爱等活动，会同有关部门开展农民工文化艺术、体育竞技等活动。</w:t>
      </w:r>
    </w:p>
    <w:p>
      <w:pPr>
        <w:pStyle w:val="15"/>
        <w:widowControl/>
        <w:spacing w:line="571" w:lineRule="atLeast"/>
        <w:ind w:firstLine="624"/>
        <w:jc w:val="left"/>
        <w:rPr>
          <w:rFonts w:ascii="仿宋_GB2312" w:eastAsia="仿宋_GB2312"/>
          <w:spacing w:val="-4"/>
          <w:sz w:val="32"/>
          <w:szCs w:val="32"/>
        </w:rPr>
      </w:pPr>
      <w:r>
        <w:rPr>
          <w:rFonts w:hint="eastAsia" w:ascii="仿宋_GB2312" w:eastAsia="仿宋_GB2312"/>
          <w:spacing w:val="-4"/>
          <w:sz w:val="32"/>
          <w:szCs w:val="32"/>
        </w:rPr>
        <w:t xml:space="preserve">7.完成市人力资源社会保障局交办的其他任务。 </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8.分析评价申报内容是否与实际相符，申报目标是否合理 可行。</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申报内容与工作相符，目标合理可行。</w:t>
      </w:r>
    </w:p>
    <w:p>
      <w:pPr>
        <w:ind w:firstLine="643"/>
        <w:rPr>
          <w:rFonts w:ascii="黑体" w:eastAsia="黑体"/>
          <w:b/>
          <w:szCs w:val="32"/>
        </w:rPr>
      </w:pPr>
      <w:r>
        <w:rPr>
          <w:rFonts w:hint="eastAsia" w:ascii="黑体" w:eastAsia="黑体"/>
          <w:b/>
          <w:szCs w:val="32"/>
        </w:rPr>
        <w:t>二、项目资金申报及使用情况</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（一）项目申报及批复情况。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申报资金30万元，批复资金30万元。</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（二）资金计划、到位及使用情况。</w:t>
      </w:r>
    </w:p>
    <w:p>
      <w:pPr>
        <w:pStyle w:val="15"/>
        <w:widowControl/>
        <w:spacing w:line="571" w:lineRule="atLeast"/>
        <w:ind w:firstLine="640"/>
        <w:jc w:val="left"/>
        <w:outlineLvl w:val="1"/>
        <w:rPr>
          <w:rFonts w:ascii="仿宋" w:hAnsi="仿宋" w:eastAsia="仿宋" w:cs="仿宋"/>
          <w:color w:val="000000"/>
          <w:sz w:val="32"/>
          <w:szCs w:val="32"/>
        </w:rPr>
      </w:pPr>
      <w:bookmarkStart w:id="113" w:name="_Toc7069"/>
      <w:r>
        <w:rPr>
          <w:rFonts w:hint="eastAsia" w:ascii="仿宋" w:hAnsi="仿宋" w:eastAsia="仿宋" w:cs="仿宋"/>
          <w:color w:val="000000"/>
          <w:sz w:val="32"/>
          <w:szCs w:val="32"/>
        </w:rPr>
        <w:t>1.资金计划。该项目资金计划30万元。</w:t>
      </w:r>
      <w:bookmarkEnd w:id="113"/>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2.资金到位。该项目资金到位30万元，到位率100%,为本级财政拨款资金。</w:t>
      </w:r>
    </w:p>
    <w:p>
      <w:pPr>
        <w:spacing w:line="576" w:lineRule="exact"/>
        <w:ind w:firstLine="640"/>
        <w:rPr>
          <w:rFonts w:ascii="仿宋_GB2312" w:hAnsi="宋体" w:eastAsia="仿宋_GB2312"/>
          <w:szCs w:val="32"/>
        </w:rPr>
      </w:pPr>
      <w:r>
        <w:rPr>
          <w:rFonts w:hint="eastAsia" w:ascii="仿宋" w:hAnsi="仿宋" w:eastAsia="仿宋" w:cs="仿宋"/>
          <w:color w:val="000000"/>
          <w:szCs w:val="32"/>
        </w:rPr>
        <w:t>3. 资金使用。截至到2021年底，该项目资金完成支付246084.21.00元。由于疫情原因，我中心到各农民工工作站开展返乡创业对接和走访慰问活动无法进行，故有资金结余，根据农民工服务的政策宣传、维权行动、走访慰问等活动开展，总体运行平稳，</w:t>
      </w:r>
      <w:r>
        <w:rPr>
          <w:rFonts w:hint="eastAsia" w:ascii="仿宋_GB2312" w:hAnsi="宋体" w:eastAsia="仿宋_GB2312"/>
          <w:szCs w:val="32"/>
        </w:rPr>
        <w:t>预算支出未发现无预算、超预算支出，</w:t>
      </w:r>
      <w:r>
        <w:rPr>
          <w:rFonts w:hint="eastAsia" w:ascii="仿宋_GB2312" w:hAnsi="宋体" w:eastAsia="仿宋_GB2312"/>
          <w:szCs w:val="32"/>
          <w:lang w:val="zh-CN"/>
        </w:rPr>
        <w:t>资金使用安全、规范及有效，资金支付范围、支付标准、支付进度、与预算相符，</w:t>
      </w:r>
      <w:r>
        <w:rPr>
          <w:rFonts w:hint="eastAsia" w:ascii="仿宋_GB2312" w:hAnsi="宋体" w:eastAsia="仿宋_GB2312"/>
          <w:szCs w:val="32"/>
        </w:rPr>
        <w:t>未发现虚列支出、挤占、挪用、转移财政资金行为。</w:t>
      </w:r>
    </w:p>
    <w:p>
      <w:pPr>
        <w:ind w:firstLine="643"/>
        <w:rPr>
          <w:rFonts w:ascii="黑体" w:eastAsia="黑体"/>
          <w:b/>
          <w:szCs w:val="32"/>
        </w:rPr>
      </w:pPr>
      <w:r>
        <w:rPr>
          <w:rFonts w:hint="eastAsia" w:ascii="黑体" w:eastAsia="黑体"/>
          <w:b/>
          <w:szCs w:val="32"/>
        </w:rPr>
        <w:t>三、项目实施及管理情况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结合项目组织实施管理办法，重点围绕以下内容进行分析评价，并对自评中发现的问题分析说明。</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（一）项目组织架构及实施流程。</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预算测算标准及测算过程信息质量良好，切实发挥农民工服务保障平台作用。</w:t>
      </w:r>
    </w:p>
    <w:p>
      <w:pPr>
        <w:pStyle w:val="15"/>
        <w:widowControl/>
        <w:spacing w:line="571" w:lineRule="atLeast"/>
        <w:ind w:left="600" w:firstLine="0" w:firstLineChars="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（二）项目管理情况。</w:t>
      </w:r>
    </w:p>
    <w:p>
      <w:pPr>
        <w:pStyle w:val="15"/>
        <w:widowControl/>
        <w:spacing w:line="571" w:lineRule="atLeast"/>
        <w:ind w:left="600" w:firstLine="0" w:firstLineChars="0"/>
        <w:jc w:val="left"/>
        <w:rPr>
          <w:rFonts w:ascii="仿宋" w:hAnsi="仿宋" w:eastAsia="仿宋" w:cs="仿宋"/>
          <w:color w:val="000000"/>
          <w:sz w:val="32"/>
          <w:szCs w:val="32"/>
        </w:rPr>
      </w:pPr>
      <w:r>
        <w:rPr>
          <w:rFonts w:hint="eastAsia" w:ascii="仿宋" w:hAnsi="仿宋" w:eastAsia="仿宋" w:cs="仿宋"/>
          <w:color w:val="000000"/>
          <w:sz w:val="32"/>
          <w:szCs w:val="32"/>
        </w:rPr>
        <w:t>根据《财务管理制度》严格审核票据，降低工作成本。</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（三） 项目监管情况。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明确了具体责任人，对工作开展情况进行严格监管，有效降低运行成本。</w:t>
      </w:r>
    </w:p>
    <w:p>
      <w:pPr>
        <w:pStyle w:val="15"/>
        <w:widowControl/>
        <w:spacing w:line="571" w:lineRule="atLeast"/>
        <w:ind w:firstLine="643"/>
        <w:jc w:val="left"/>
        <w:rPr>
          <w:rFonts w:ascii="仿宋" w:hAnsi="仿宋" w:eastAsia="仿宋" w:cs="仿宋"/>
          <w:color w:val="000000"/>
          <w:sz w:val="32"/>
          <w:szCs w:val="32"/>
        </w:rPr>
      </w:pPr>
      <w:r>
        <w:rPr>
          <w:rFonts w:hint="eastAsia" w:ascii="黑体" w:eastAsia="黑体"/>
          <w:b/>
          <w:sz w:val="32"/>
          <w:szCs w:val="32"/>
        </w:rPr>
        <w:t>四、项目绩效情况</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（一）项目完成情况。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实现了农民工外出务工的安全性和幸福感。广元市农民工服务工作2020-2021一直排列在全省第一.</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（二）项目效益情况。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农民工服务保障经费的运行，对广元市籍农民工返乡创业投资创造了条件；维护来农民工的利益，传递市委、政府对农民工的关心关爱，促进了就业，维护了社会稳定。服务对象满意度：全市外出务工97万农民工满意度100%。</w:t>
      </w:r>
    </w:p>
    <w:p>
      <w:pPr>
        <w:pStyle w:val="15"/>
        <w:widowControl/>
        <w:spacing w:line="571" w:lineRule="atLeast"/>
        <w:ind w:firstLine="643"/>
        <w:jc w:val="left"/>
        <w:rPr>
          <w:rFonts w:ascii="黑体" w:eastAsia="黑体"/>
          <w:b/>
          <w:sz w:val="32"/>
          <w:szCs w:val="32"/>
        </w:rPr>
      </w:pPr>
      <w:r>
        <w:rPr>
          <w:rFonts w:hint="eastAsia" w:ascii="黑体" w:eastAsia="黑体"/>
          <w:b/>
          <w:sz w:val="32"/>
          <w:szCs w:val="32"/>
        </w:rPr>
        <w:t>五、评价结论及建议</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（一）评价结论。</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通过项目实施，保障了广元市籍外出务工农民工的安全感、幸福感 ，促进了就业，增加来收入，维护了社会稳定。</w:t>
      </w:r>
    </w:p>
    <w:p>
      <w:pPr>
        <w:pStyle w:val="15"/>
        <w:widowControl/>
        <w:spacing w:line="571" w:lineRule="atLeast"/>
        <w:ind w:left="630" w:firstLine="0" w:firstLineChars="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（二）存在的问题。</w:t>
      </w:r>
    </w:p>
    <w:p>
      <w:pPr>
        <w:ind w:firstLine="640"/>
        <w:rPr>
          <w:rFonts w:ascii="仿宋" w:hAnsi="仿宋" w:eastAsia="仿宋" w:cs="仿宋"/>
          <w:color w:val="000000"/>
          <w:szCs w:val="32"/>
        </w:rPr>
      </w:pPr>
      <w:r>
        <w:rPr>
          <w:rFonts w:hint="eastAsia" w:ascii="仿宋" w:hAnsi="仿宋" w:eastAsia="仿宋" w:cs="仿宋"/>
          <w:color w:val="000000"/>
          <w:szCs w:val="32"/>
        </w:rPr>
        <w:t xml:space="preserve">广元籍农民工外出务工人员众多，全市外出务工人员96万人，在各片区管理上还存在人企对接精细化不够，人岗匹配度不高，难以满足所有外出务工农民工的需要。 </w:t>
      </w:r>
    </w:p>
    <w:p>
      <w:pPr>
        <w:pStyle w:val="15"/>
        <w:widowControl/>
        <w:spacing w:line="571" w:lineRule="atLeast"/>
        <w:ind w:left="630" w:firstLine="0" w:firstLineChars="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（三）相关建议。</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适当增加和保持原有经费预算，确实增加广元籍外出务工人员的幸福感。 </w:t>
      </w:r>
    </w:p>
    <w:p>
      <w:pPr>
        <w:pStyle w:val="15"/>
        <w:widowControl/>
        <w:spacing w:line="571" w:lineRule="atLeast"/>
        <w:ind w:firstLine="643"/>
        <w:rPr>
          <w:rFonts w:ascii="楷体" w:hAnsi="楷体" w:eastAsia="楷体" w:cs="楷体"/>
          <w:b/>
          <w:bCs/>
          <w:color w:val="000000"/>
          <w:sz w:val="32"/>
          <w:szCs w:val="32"/>
        </w:rPr>
      </w:pPr>
    </w:p>
    <w:p>
      <w:pPr>
        <w:pStyle w:val="15"/>
        <w:widowControl/>
        <w:spacing w:line="571" w:lineRule="atLeast"/>
        <w:ind w:firstLine="643"/>
        <w:jc w:val="center"/>
        <w:rPr>
          <w:rFonts w:ascii="楷体" w:hAnsi="楷体" w:eastAsia="楷体" w:cs="楷体"/>
          <w:b/>
          <w:bCs/>
          <w:color w:val="000000"/>
          <w:sz w:val="32"/>
          <w:szCs w:val="32"/>
        </w:rPr>
      </w:pPr>
      <w:r>
        <w:rPr>
          <w:rFonts w:hint="eastAsia" w:ascii="楷体" w:hAnsi="楷体" w:eastAsia="楷体" w:cs="楷体"/>
          <w:b/>
          <w:bCs/>
          <w:color w:val="000000"/>
          <w:sz w:val="32"/>
          <w:szCs w:val="32"/>
        </w:rPr>
        <w:t>（驻省外农民工工作站奖补经费）</w:t>
      </w:r>
    </w:p>
    <w:p>
      <w:pPr>
        <w:ind w:firstLine="643"/>
        <w:rPr>
          <w:rFonts w:ascii="黑体" w:eastAsia="黑体"/>
          <w:b/>
          <w:szCs w:val="32"/>
        </w:rPr>
      </w:pPr>
      <w:r>
        <w:rPr>
          <w:rFonts w:hint="eastAsia" w:ascii="黑体" w:eastAsia="黑体"/>
          <w:b/>
          <w:szCs w:val="32"/>
        </w:rPr>
        <w:t>一、项目概况</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（一）项目基本情况。</w:t>
      </w:r>
    </w:p>
    <w:p>
      <w:pPr>
        <w:pStyle w:val="15"/>
        <w:widowControl/>
        <w:spacing w:line="571" w:lineRule="atLeast"/>
        <w:ind w:firstLine="640"/>
        <w:jc w:val="left"/>
        <w:outlineLvl w:val="1"/>
        <w:rPr>
          <w:rFonts w:ascii="仿宋" w:hAnsi="仿宋" w:eastAsia="仿宋" w:cs="仿宋"/>
          <w:color w:val="000000"/>
          <w:sz w:val="32"/>
          <w:szCs w:val="32"/>
        </w:rPr>
      </w:pPr>
      <w:bookmarkStart w:id="114" w:name="_Toc3204"/>
      <w:r>
        <w:rPr>
          <w:rFonts w:hint="eastAsia" w:ascii="仿宋" w:hAnsi="仿宋" w:eastAsia="仿宋" w:cs="仿宋"/>
          <w:color w:val="000000"/>
          <w:sz w:val="32"/>
          <w:szCs w:val="32"/>
        </w:rPr>
        <w:t>1. 说明项目主管部门（单位）在该项目管理中的职能。</w:t>
      </w:r>
      <w:bookmarkEnd w:id="114"/>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驻省外农民工工作站奖补经费，是发挥农民工在外务工的主动性和积极的重要保障经费，是维护农民工在外务工的安全性的重要保障经费，2021年驻省外农民工工作站奖补经费发挥了重要作用，总体运行平稳，发布信息质量良好，切实发挥农民工工作站服务平台作用。</w:t>
      </w:r>
    </w:p>
    <w:p>
      <w:pPr>
        <w:pStyle w:val="15"/>
        <w:widowControl/>
        <w:spacing w:line="571" w:lineRule="atLeast"/>
        <w:ind w:firstLine="640"/>
        <w:jc w:val="left"/>
        <w:outlineLvl w:val="1"/>
        <w:rPr>
          <w:rFonts w:ascii="仿宋" w:hAnsi="仿宋" w:eastAsia="仿宋" w:cs="仿宋"/>
          <w:color w:val="000000"/>
          <w:sz w:val="32"/>
          <w:szCs w:val="32"/>
        </w:rPr>
      </w:pPr>
      <w:bookmarkStart w:id="115" w:name="_Toc23840"/>
      <w:r>
        <w:rPr>
          <w:rFonts w:hint="eastAsia" w:ascii="仿宋" w:hAnsi="仿宋" w:eastAsia="仿宋" w:cs="仿宋"/>
          <w:color w:val="000000"/>
          <w:sz w:val="32"/>
          <w:szCs w:val="32"/>
        </w:rPr>
        <w:t>2. 项目立项、资金申报的依据。</w:t>
      </w:r>
      <w:bookmarkEnd w:id="115"/>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全市农民工转移就业96万余人，其中70%分布在市外省外，是推动我市经济社会高质量发展的重要力量。市本级先后在北京、广州、宁波、重庆等地建立11个驻外农民工工作站，常态化开展返乡创业回引、关心关爱和权益维护等服务保障。根据市政府办公室《关于印发〈广元市促进返乡下乡创业二十二条措施实施意见〉的通知》（广府办发〔2019〕2号），第二十条明确规定：“整合驻外农民工工作站、招商分局力量，开展返乡下乡创业项目推介、对接、回引等活动，保障必备的工作经费。 </w:t>
      </w:r>
    </w:p>
    <w:p>
      <w:pPr>
        <w:pStyle w:val="15"/>
        <w:widowControl/>
        <w:spacing w:line="571" w:lineRule="atLeast"/>
        <w:ind w:firstLine="624"/>
        <w:jc w:val="left"/>
        <w:rPr>
          <w:rFonts w:ascii="仿宋" w:hAnsi="仿宋" w:eastAsia="仿宋" w:cs="仿宋"/>
          <w:b/>
          <w:bCs/>
          <w:color w:val="000000"/>
          <w:sz w:val="32"/>
          <w:szCs w:val="32"/>
        </w:rPr>
      </w:pPr>
      <w:r>
        <w:rPr>
          <w:rFonts w:hint="eastAsia" w:ascii="仿宋_GB2312" w:eastAsia="仿宋_GB2312"/>
          <w:spacing w:val="-4"/>
          <w:sz w:val="32"/>
          <w:szCs w:val="32"/>
        </w:rPr>
        <w:t xml:space="preserve"> </w:t>
      </w:r>
      <w:r>
        <w:rPr>
          <w:rFonts w:hint="eastAsia" w:ascii="仿宋" w:hAnsi="仿宋" w:eastAsia="仿宋" w:cs="仿宋"/>
          <w:b/>
          <w:bCs/>
          <w:color w:val="000000"/>
          <w:sz w:val="32"/>
          <w:szCs w:val="32"/>
        </w:rPr>
        <w:t>（二）项目主要内容。</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对11个农民工工作站开展返乡创业对接活动，走访慰问的工作经费。 充分发挥驻外农民工工作站协调服务作用，建立工作激励机制，构建就业、培训、关爱、维权“四位一体”服务机制，协同当地人社部门和务工企业，做好广元籍在外农民工服务保障，帮助解决实际困难问题。 </w:t>
      </w:r>
    </w:p>
    <w:p>
      <w:pPr>
        <w:ind w:firstLine="643"/>
        <w:rPr>
          <w:rFonts w:ascii="黑体" w:eastAsia="黑体"/>
          <w:b/>
          <w:szCs w:val="32"/>
        </w:rPr>
      </w:pPr>
      <w:r>
        <w:rPr>
          <w:rFonts w:hint="eastAsia" w:ascii="黑体" w:eastAsia="黑体"/>
          <w:b/>
          <w:szCs w:val="32"/>
        </w:rPr>
        <w:t>二、项目资金申报及使用情况</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（一）项目申报及批复情况。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申报资金33万元，批复资金33万元。</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（二）资金计划、到位及使用情况。</w:t>
      </w:r>
    </w:p>
    <w:p>
      <w:pPr>
        <w:pStyle w:val="15"/>
        <w:widowControl/>
        <w:spacing w:line="571" w:lineRule="atLeast"/>
        <w:ind w:firstLine="640"/>
        <w:jc w:val="left"/>
        <w:outlineLvl w:val="1"/>
        <w:rPr>
          <w:rFonts w:ascii="仿宋" w:hAnsi="仿宋" w:eastAsia="仿宋" w:cs="仿宋"/>
          <w:color w:val="000000"/>
          <w:sz w:val="32"/>
          <w:szCs w:val="32"/>
        </w:rPr>
      </w:pPr>
      <w:bookmarkStart w:id="116" w:name="_Toc9412"/>
      <w:r>
        <w:rPr>
          <w:rFonts w:hint="eastAsia" w:ascii="仿宋" w:hAnsi="仿宋" w:eastAsia="仿宋" w:cs="仿宋"/>
          <w:color w:val="000000"/>
          <w:sz w:val="32"/>
          <w:szCs w:val="32"/>
        </w:rPr>
        <w:t>1.资金计划。该项目资金计划33万元。</w:t>
      </w:r>
      <w:bookmarkEnd w:id="116"/>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2.资金到位。该项目资金到位33万元，到位率100%,为本级财政拨款资金。</w:t>
      </w:r>
    </w:p>
    <w:p>
      <w:pPr>
        <w:spacing w:line="576" w:lineRule="exact"/>
        <w:ind w:firstLine="640"/>
        <w:rPr>
          <w:rFonts w:ascii="仿宋_GB2312" w:hAnsi="宋体" w:eastAsia="仿宋_GB2312"/>
          <w:szCs w:val="32"/>
        </w:rPr>
      </w:pPr>
      <w:r>
        <w:rPr>
          <w:rFonts w:hint="eastAsia" w:ascii="仿宋" w:hAnsi="仿宋" w:eastAsia="仿宋" w:cs="仿宋"/>
          <w:color w:val="000000"/>
          <w:szCs w:val="32"/>
        </w:rPr>
        <w:t>3. 资金使用。截至到2021年底该项目资金完成支付272591元。由于疫情原因，我中心到工作站开展返乡创业对接和走访慰问活动无法进行，故有资金结余，但全年资金使用</w:t>
      </w:r>
      <w:r>
        <w:rPr>
          <w:rFonts w:hint="eastAsia" w:ascii="仿宋_GB2312" w:hAnsi="宋体" w:eastAsia="仿宋_GB2312"/>
          <w:szCs w:val="32"/>
        </w:rPr>
        <w:t>未发现无预算、超预算支出，</w:t>
      </w:r>
      <w:r>
        <w:rPr>
          <w:rFonts w:hint="eastAsia" w:ascii="仿宋_GB2312" w:hAnsi="宋体" w:eastAsia="仿宋_GB2312"/>
          <w:szCs w:val="32"/>
          <w:lang w:val="zh-CN"/>
        </w:rPr>
        <w:t>资金使用安全、规范有效，资金支付范围、支付标准、支付进度、与预算相符，</w:t>
      </w:r>
      <w:r>
        <w:rPr>
          <w:rFonts w:hint="eastAsia" w:ascii="仿宋_GB2312" w:hAnsi="宋体" w:eastAsia="仿宋_GB2312"/>
          <w:szCs w:val="32"/>
        </w:rPr>
        <w:t>未发现虚列支出、挤占、挪用、转移财政资金行为。</w:t>
      </w:r>
    </w:p>
    <w:p>
      <w:pPr>
        <w:ind w:firstLine="643"/>
        <w:rPr>
          <w:rFonts w:ascii="黑体" w:eastAsia="黑体"/>
          <w:b/>
          <w:szCs w:val="32"/>
        </w:rPr>
      </w:pPr>
      <w:r>
        <w:rPr>
          <w:rFonts w:hint="eastAsia" w:ascii="黑体" w:eastAsia="黑体"/>
          <w:b/>
          <w:szCs w:val="32"/>
        </w:rPr>
        <w:t>三、项目实施及管理情况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结合项目组织实施管理办法，重点围绕以下内容进行分析评价，并对自评中发现的问题分析说明。</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（一）项目组织架构及实施流程。</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驻省外农民工工作站总体运行平稳，2021年共开展返乡创业对接活动8次，走访慰问6次，充分发挥了各工作站的职能作用。 </w:t>
      </w:r>
    </w:p>
    <w:p>
      <w:pPr>
        <w:pStyle w:val="15"/>
        <w:widowControl/>
        <w:spacing w:line="571" w:lineRule="atLeast"/>
        <w:ind w:left="600" w:firstLine="0" w:firstLineChars="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（二）项目管理情况。</w:t>
      </w:r>
    </w:p>
    <w:p>
      <w:pPr>
        <w:pStyle w:val="15"/>
        <w:widowControl/>
        <w:spacing w:line="571" w:lineRule="atLeast"/>
        <w:ind w:left="600" w:firstLine="0" w:firstLineChars="0"/>
        <w:jc w:val="left"/>
        <w:rPr>
          <w:rFonts w:ascii="仿宋" w:hAnsi="仿宋" w:eastAsia="仿宋" w:cs="仿宋"/>
          <w:color w:val="000000"/>
          <w:sz w:val="32"/>
          <w:szCs w:val="32"/>
        </w:rPr>
      </w:pPr>
      <w:r>
        <w:rPr>
          <w:rFonts w:hint="eastAsia" w:ascii="仿宋" w:hAnsi="仿宋" w:eastAsia="仿宋" w:cs="仿宋"/>
          <w:color w:val="000000"/>
          <w:sz w:val="32"/>
          <w:szCs w:val="32"/>
        </w:rPr>
        <w:t>根据《财务管理制度》严格审核票据，降低工作成本。</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（三）项目监管情况。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明确了具体责任人，对工作开展情况进行严格监管，有效降低运行成本。</w:t>
      </w:r>
    </w:p>
    <w:p>
      <w:pPr>
        <w:ind w:firstLine="643"/>
        <w:rPr>
          <w:rFonts w:ascii="黑体" w:eastAsia="黑体"/>
          <w:b/>
          <w:szCs w:val="32"/>
        </w:rPr>
      </w:pPr>
      <w:r>
        <w:rPr>
          <w:rFonts w:hint="eastAsia" w:ascii="黑体" w:eastAsia="黑体"/>
          <w:b/>
          <w:szCs w:val="32"/>
        </w:rPr>
        <w:t>四、项目绩效情况</w:t>
      </w:r>
    </w:p>
    <w:p>
      <w:pPr>
        <w:pStyle w:val="15"/>
        <w:widowControl/>
        <w:spacing w:line="571" w:lineRule="atLeast"/>
        <w:ind w:firstLine="643"/>
        <w:jc w:val="left"/>
        <w:rPr>
          <w:rFonts w:ascii="仿宋" w:hAnsi="仿宋" w:eastAsia="仿宋" w:cs="仿宋"/>
          <w:color w:val="000000"/>
          <w:sz w:val="32"/>
          <w:szCs w:val="32"/>
        </w:rPr>
      </w:pPr>
      <w:r>
        <w:rPr>
          <w:rFonts w:hint="eastAsia" w:ascii="仿宋" w:hAnsi="仿宋" w:eastAsia="仿宋" w:cs="仿宋"/>
          <w:b/>
          <w:bCs/>
          <w:color w:val="000000"/>
          <w:sz w:val="32"/>
          <w:szCs w:val="32"/>
        </w:rPr>
        <w:t>（一）项目完成情况。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充分发挥驻外农民工工作站协调服务作用，建立工作激励机制，构建就业、培训、关爱、维权“四位一体”服务机制，协同当地人社部门和务工企业，做好广元籍在外农民工服务保障，帮助解决实际困难问题。 </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（二）项目效益情况。</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驻省外农民工工作站总体运行平稳，2021年共开展返乡创业对接活动8次，走访慰问6次，充分发挥了各工作站的职能作用。 </w:t>
      </w:r>
    </w:p>
    <w:p>
      <w:pPr>
        <w:ind w:firstLine="640"/>
        <w:rPr>
          <w:rFonts w:ascii="黑体" w:eastAsia="黑体"/>
          <w:b/>
          <w:szCs w:val="32"/>
        </w:rPr>
      </w:pPr>
      <w:r>
        <w:rPr>
          <w:rFonts w:hint="eastAsia" w:ascii="仿宋" w:hAnsi="仿宋" w:eastAsia="仿宋" w:cs="仿宋"/>
          <w:color w:val="000000"/>
          <w:szCs w:val="32"/>
        </w:rPr>
        <w:t xml:space="preserve"> </w:t>
      </w:r>
      <w:r>
        <w:rPr>
          <w:rFonts w:hint="eastAsia" w:ascii="黑体" w:eastAsia="黑体"/>
          <w:b/>
          <w:szCs w:val="32"/>
        </w:rPr>
        <w:t>五、评价结论及建议</w:t>
      </w:r>
    </w:p>
    <w:p>
      <w:pPr>
        <w:pStyle w:val="15"/>
        <w:widowControl/>
        <w:spacing w:line="571" w:lineRule="atLeast"/>
        <w:ind w:firstLine="643"/>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（一）评价结论。</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充分发挥驻外农民工工作站协调服务作用，建立工作激励机制，构建就业、培训、关爱、维权“四位一体”服务机制，协同当地人社部门和务工企业，做好广元籍在外农民工服务保障，帮助解决实际困难问题。 </w:t>
      </w:r>
    </w:p>
    <w:p>
      <w:pPr>
        <w:pStyle w:val="15"/>
        <w:widowControl/>
        <w:numPr>
          <w:ilvl w:val="0"/>
          <w:numId w:val="2"/>
        </w:numPr>
        <w:spacing w:line="571" w:lineRule="atLeast"/>
        <w:ind w:firstLine="640"/>
        <w:jc w:val="left"/>
        <w:rPr>
          <w:rFonts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存在的问题。</w:t>
      </w:r>
    </w:p>
    <w:p>
      <w:pPr>
        <w:ind w:firstLine="640"/>
        <w:rPr>
          <w:rFonts w:ascii="仿宋" w:hAnsi="仿宋" w:eastAsia="仿宋" w:cs="仿宋"/>
          <w:b/>
          <w:bCs/>
          <w:color w:val="000000"/>
          <w:szCs w:val="32"/>
        </w:rPr>
      </w:pPr>
      <w:r>
        <w:rPr>
          <w:rFonts w:hint="eastAsia" w:ascii="仿宋" w:hAnsi="仿宋" w:eastAsia="仿宋" w:cs="仿宋"/>
          <w:color w:val="000000"/>
          <w:szCs w:val="32"/>
        </w:rPr>
        <w:t xml:space="preserve">广元籍农民工外出务工人员众多，全市外出务工人员96万人，在各片区管理上还存在人企对接精细化不够，人岗匹配度不高，难以满足所有外出务工农民工的需要。 </w:t>
      </w:r>
    </w:p>
    <w:p>
      <w:pPr>
        <w:pStyle w:val="15"/>
        <w:widowControl/>
        <w:numPr>
          <w:ilvl w:val="0"/>
          <w:numId w:val="2"/>
        </w:numPr>
        <w:spacing w:line="571" w:lineRule="atLeast"/>
        <w:ind w:firstLine="600" w:firstLineChars="0"/>
        <w:jc w:val="left"/>
        <w:rPr>
          <w:rFonts w:ascii="仿宋" w:hAnsi="仿宋" w:eastAsia="仿宋" w:cs="仿宋"/>
          <w:b/>
          <w:bCs/>
          <w:color w:val="000000"/>
          <w:sz w:val="32"/>
          <w:szCs w:val="32"/>
        </w:rPr>
      </w:pPr>
      <w:r>
        <w:rPr>
          <w:rFonts w:hint="eastAsia" w:ascii="仿宋" w:hAnsi="仿宋" w:eastAsia="仿宋" w:cs="仿宋"/>
          <w:b/>
          <w:bCs/>
          <w:color w:val="000000"/>
          <w:sz w:val="32"/>
          <w:szCs w:val="32"/>
        </w:rPr>
        <w:t>相关建议。</w:t>
      </w:r>
    </w:p>
    <w:p>
      <w:pPr>
        <w:pStyle w:val="15"/>
        <w:widowControl/>
        <w:spacing w:line="571" w:lineRule="atLeas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适当增加和保持原有经费预算，确实增加广元籍外出务工人员的幸福感。 </w:t>
      </w:r>
    </w:p>
    <w:p>
      <w:pPr>
        <w:spacing w:line="600" w:lineRule="exact"/>
        <w:ind w:firstLine="800"/>
        <w:jc w:val="center"/>
        <w:rPr>
          <w:rFonts w:ascii="方正小标宋简体" w:eastAsia="方正小标宋简体" w:cs="方正小标宋简体"/>
          <w:sz w:val="40"/>
          <w:szCs w:val="40"/>
        </w:rPr>
      </w:pPr>
    </w:p>
    <w:p>
      <w:pPr>
        <w:pStyle w:val="7"/>
        <w:spacing w:before="93"/>
        <w:ind w:firstLine="800"/>
        <w:rPr>
          <w:rFonts w:ascii="方正小标宋简体" w:eastAsia="方正小标宋简体" w:cs="方正小标宋简体"/>
          <w:kern w:val="2"/>
          <w:sz w:val="40"/>
          <w:szCs w:val="40"/>
        </w:rPr>
      </w:pPr>
    </w:p>
    <w:p>
      <w:pPr>
        <w:pStyle w:val="7"/>
        <w:spacing w:before="93"/>
        <w:ind w:firstLine="800"/>
        <w:rPr>
          <w:rFonts w:ascii="方正小标宋简体" w:eastAsia="方正小标宋简体" w:cs="方正小标宋简体"/>
          <w:kern w:val="2"/>
          <w:sz w:val="40"/>
          <w:szCs w:val="40"/>
        </w:rPr>
      </w:pPr>
    </w:p>
    <w:p>
      <w:pPr>
        <w:pStyle w:val="7"/>
        <w:spacing w:before="93"/>
        <w:ind w:firstLine="800"/>
        <w:rPr>
          <w:rFonts w:ascii="方正小标宋简体" w:eastAsia="方正小标宋简体" w:cs="方正小标宋简体"/>
          <w:kern w:val="2"/>
          <w:sz w:val="40"/>
          <w:szCs w:val="40"/>
        </w:rPr>
      </w:pPr>
    </w:p>
    <w:p>
      <w:pPr>
        <w:pStyle w:val="7"/>
        <w:spacing w:before="93"/>
        <w:ind w:firstLine="600"/>
        <w:rPr>
          <w:lang w:val="zh-CN"/>
        </w:rPr>
      </w:pPr>
    </w:p>
    <w:p>
      <w:pPr>
        <w:spacing w:line="572" w:lineRule="exact"/>
        <w:ind w:firstLine="640"/>
        <w:jc w:val="left"/>
        <w:outlineLvl w:val="0"/>
        <w:rPr>
          <w:rFonts w:ascii="黑体" w:eastAsia="黑体" w:cs="黑体"/>
          <w:szCs w:val="32"/>
        </w:rPr>
      </w:pPr>
      <w:bookmarkStart w:id="117" w:name="_Toc30493"/>
      <w:r>
        <w:rPr>
          <w:rFonts w:hint="eastAsia" w:ascii="黑体" w:eastAsia="黑体" w:cs="黑体"/>
          <w:szCs w:val="32"/>
        </w:rPr>
        <w:t>附表</w:t>
      </w:r>
      <w:bookmarkEnd w:id="117"/>
    </w:p>
    <w:tbl>
      <w:tblPr>
        <w:tblStyle w:val="16"/>
        <w:tblW w:w="9451" w:type="dxa"/>
        <w:tblInd w:w="96" w:type="dxa"/>
        <w:tblLayout w:type="fixed"/>
        <w:tblCellMar>
          <w:top w:w="0" w:type="dxa"/>
          <w:left w:w="108" w:type="dxa"/>
          <w:bottom w:w="0" w:type="dxa"/>
          <w:right w:w="108" w:type="dxa"/>
        </w:tblCellMar>
      </w:tblPr>
      <w:tblGrid>
        <w:gridCol w:w="849"/>
        <w:gridCol w:w="1150"/>
        <w:gridCol w:w="1116"/>
        <w:gridCol w:w="3150"/>
        <w:gridCol w:w="3186"/>
      </w:tblGrid>
      <w:tr>
        <w:tblPrEx>
          <w:tblCellMar>
            <w:top w:w="0" w:type="dxa"/>
            <w:left w:w="108" w:type="dxa"/>
            <w:bottom w:w="0" w:type="dxa"/>
            <w:right w:w="108" w:type="dxa"/>
          </w:tblCellMar>
        </w:tblPrEx>
        <w:trPr>
          <w:trHeight w:val="675" w:hRule="atLeast"/>
        </w:trPr>
        <w:tc>
          <w:tcPr>
            <w:tcW w:w="9451" w:type="dxa"/>
            <w:gridSpan w:val="5"/>
            <w:tcBorders>
              <w:top w:val="nil"/>
              <w:left w:val="nil"/>
              <w:bottom w:val="nil"/>
              <w:right w:val="nil"/>
            </w:tcBorders>
            <w:shd w:val="clear" w:color="auto" w:fill="auto"/>
            <w:vAlign w:val="center"/>
          </w:tcPr>
          <w:p>
            <w:pPr>
              <w:widowControl/>
              <w:ind w:firstLine="0" w:firstLineChars="0"/>
              <w:textAlignment w:val="center"/>
              <w:rPr>
                <w:rFonts w:ascii="宋体" w:hAnsi="宋体" w:eastAsia="宋体" w:cs="宋体"/>
                <w:b/>
                <w:bCs/>
                <w:color w:val="000000"/>
                <w:kern w:val="0"/>
                <w:sz w:val="28"/>
                <w:szCs w:val="28"/>
              </w:rPr>
            </w:pPr>
          </w:p>
          <w:p>
            <w:pPr>
              <w:widowControl/>
              <w:ind w:firstLine="562"/>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广元市农民工服务中心2021年预算项目支出绩效目标自评表（一）</w:t>
            </w:r>
          </w:p>
        </w:tc>
      </w:tr>
      <w:tr>
        <w:tblPrEx>
          <w:tblCellMar>
            <w:top w:w="0" w:type="dxa"/>
            <w:left w:w="108" w:type="dxa"/>
            <w:bottom w:w="0" w:type="dxa"/>
            <w:right w:w="108" w:type="dxa"/>
          </w:tblCellMar>
        </w:tblPrEx>
        <w:trPr>
          <w:trHeight w:val="375" w:hRule="atLeast"/>
        </w:trPr>
        <w:tc>
          <w:tcPr>
            <w:tcW w:w="9451" w:type="dxa"/>
            <w:gridSpan w:val="5"/>
            <w:tcBorders>
              <w:top w:val="nil"/>
              <w:left w:val="nil"/>
              <w:bottom w:val="nil"/>
              <w:right w:val="nil"/>
            </w:tcBorders>
            <w:shd w:val="clear" w:color="auto" w:fill="auto"/>
            <w:vAlign w:val="center"/>
          </w:tcPr>
          <w:p>
            <w:pPr>
              <w:widowControl/>
              <w:ind w:firstLine="480"/>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30"/>
                <w:rFonts w:eastAsia="宋体"/>
              </w:rPr>
              <w:t xml:space="preserve"> 2021</w:t>
            </w:r>
            <w:r>
              <w:rPr>
                <w:rStyle w:val="29"/>
                <w:rFonts w:hint="default"/>
              </w:rPr>
              <w:t>年度）</w:t>
            </w:r>
          </w:p>
        </w:tc>
      </w:tr>
      <w:tr>
        <w:tblPrEx>
          <w:tblCellMar>
            <w:top w:w="0" w:type="dxa"/>
            <w:left w:w="108" w:type="dxa"/>
            <w:bottom w:w="0" w:type="dxa"/>
            <w:right w:w="108" w:type="dxa"/>
          </w:tblCellMar>
        </w:tblPrEx>
        <w:trPr>
          <w:trHeight w:val="439" w:hRule="atLeast"/>
        </w:trPr>
        <w:tc>
          <w:tcPr>
            <w:tcW w:w="3115" w:type="dxa"/>
            <w:gridSpan w:val="3"/>
            <w:tcBorders>
              <w:top w:val="single" w:color="000000" w:sz="4" w:space="0"/>
              <w:left w:val="single" w:color="000000" w:sz="4" w:space="0"/>
              <w:bottom w:val="single" w:color="000000" w:sz="4" w:space="0"/>
              <w:right w:val="nil"/>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项目名称</w:t>
            </w:r>
          </w:p>
        </w:tc>
        <w:tc>
          <w:tcPr>
            <w:tcW w:w="6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驻省外农民工工作站奖补经费</w:t>
            </w:r>
          </w:p>
        </w:tc>
      </w:tr>
      <w:tr>
        <w:tblPrEx>
          <w:tblCellMar>
            <w:top w:w="0" w:type="dxa"/>
            <w:left w:w="108" w:type="dxa"/>
            <w:bottom w:w="0" w:type="dxa"/>
            <w:right w:w="108" w:type="dxa"/>
          </w:tblCellMar>
        </w:tblPrEx>
        <w:trPr>
          <w:trHeight w:val="439" w:hRule="atLeast"/>
        </w:trPr>
        <w:tc>
          <w:tcPr>
            <w:tcW w:w="3115" w:type="dxa"/>
            <w:gridSpan w:val="3"/>
            <w:tcBorders>
              <w:top w:val="single" w:color="000000" w:sz="4" w:space="0"/>
              <w:left w:val="single" w:color="000000" w:sz="4" w:space="0"/>
              <w:bottom w:val="single" w:color="000000" w:sz="4" w:space="0"/>
              <w:right w:val="nil"/>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预算单位</w:t>
            </w:r>
          </w:p>
        </w:tc>
        <w:tc>
          <w:tcPr>
            <w:tcW w:w="6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广元市农民工服务中心</w:t>
            </w:r>
          </w:p>
        </w:tc>
      </w:tr>
      <w:tr>
        <w:tblPrEx>
          <w:tblCellMar>
            <w:top w:w="0" w:type="dxa"/>
            <w:left w:w="108" w:type="dxa"/>
            <w:bottom w:w="0" w:type="dxa"/>
            <w:right w:w="108" w:type="dxa"/>
          </w:tblCellMar>
        </w:tblPrEx>
        <w:trPr>
          <w:trHeight w:val="439" w:hRule="atLeast"/>
        </w:trPr>
        <w:tc>
          <w:tcPr>
            <w:tcW w:w="3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（万元）</w:t>
            </w:r>
          </w:p>
        </w:tc>
        <w:tc>
          <w:tcPr>
            <w:tcW w:w="6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年度资金总额：33万元</w:t>
            </w:r>
          </w:p>
        </w:tc>
      </w:tr>
      <w:tr>
        <w:tblPrEx>
          <w:tblCellMar>
            <w:top w:w="0" w:type="dxa"/>
            <w:left w:w="108" w:type="dxa"/>
            <w:bottom w:w="0" w:type="dxa"/>
            <w:right w:w="108" w:type="dxa"/>
          </w:tblCellMar>
        </w:tblPrEx>
        <w:trPr>
          <w:trHeight w:val="439" w:hRule="atLeast"/>
        </w:trPr>
        <w:tc>
          <w:tcPr>
            <w:tcW w:w="3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6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其中：财政拨款33万元</w:t>
            </w:r>
          </w:p>
        </w:tc>
      </w:tr>
      <w:tr>
        <w:tblPrEx>
          <w:tblCellMar>
            <w:top w:w="0" w:type="dxa"/>
            <w:left w:w="108" w:type="dxa"/>
            <w:bottom w:w="0" w:type="dxa"/>
            <w:right w:w="108" w:type="dxa"/>
          </w:tblCellMar>
        </w:tblPrEx>
        <w:trPr>
          <w:trHeight w:val="439" w:hRule="atLeast"/>
        </w:trPr>
        <w:tc>
          <w:tcPr>
            <w:tcW w:w="3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6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其他资金</w:t>
            </w:r>
          </w:p>
        </w:tc>
      </w:tr>
      <w:tr>
        <w:tblPrEx>
          <w:tblCellMar>
            <w:top w:w="0" w:type="dxa"/>
            <w:left w:w="108" w:type="dxa"/>
            <w:bottom w:w="0" w:type="dxa"/>
            <w:right w:w="108" w:type="dxa"/>
          </w:tblCellMar>
        </w:tblPrEx>
        <w:trPr>
          <w:trHeight w:val="439"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体</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目</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w:t>
            </w:r>
          </w:p>
        </w:tc>
        <w:tc>
          <w:tcPr>
            <w:tcW w:w="8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年度目标</w:t>
            </w:r>
          </w:p>
        </w:tc>
      </w:tr>
      <w:tr>
        <w:tblPrEx>
          <w:tblCellMar>
            <w:top w:w="0" w:type="dxa"/>
            <w:left w:w="108" w:type="dxa"/>
            <w:bottom w:w="0" w:type="dxa"/>
            <w:right w:w="108" w:type="dxa"/>
          </w:tblCellMar>
        </w:tblPrEx>
        <w:trPr>
          <w:trHeight w:val="68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8602"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ind w:firstLine="44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发挥驻外农民工工作站协调服务作用，建立工作激励机制，构建技能培训、就业、维权“三位一体”工作机制，协调当地人社部门做好广元籍在外务工人员就业维权服务工作。</w:t>
            </w:r>
          </w:p>
        </w:tc>
      </w:tr>
      <w:tr>
        <w:tblPrEx>
          <w:tblCellMar>
            <w:top w:w="0" w:type="dxa"/>
            <w:left w:w="108" w:type="dxa"/>
            <w:bottom w:w="0" w:type="dxa"/>
            <w:right w:w="108" w:type="dxa"/>
          </w:tblCellMar>
        </w:tblPrEx>
        <w:trPr>
          <w:trHeight w:val="94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指</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二级指标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三级指标</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指标值（包含数字及文字描述）</w:t>
            </w:r>
          </w:p>
        </w:tc>
      </w:tr>
      <w:tr>
        <w:tblPrEx>
          <w:tblCellMar>
            <w:top w:w="0" w:type="dxa"/>
            <w:left w:w="108" w:type="dxa"/>
            <w:bottom w:w="0" w:type="dxa"/>
            <w:right w:w="108" w:type="dxa"/>
          </w:tblCellMar>
        </w:tblPrEx>
        <w:trPr>
          <w:trHeight w:val="55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项目完成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奖励补助驻外农民工工作站经费</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11个</w:t>
            </w:r>
          </w:p>
        </w:tc>
      </w:tr>
      <w:tr>
        <w:tblPrEx>
          <w:tblCellMar>
            <w:top w:w="0" w:type="dxa"/>
            <w:left w:w="108" w:type="dxa"/>
            <w:bottom w:w="0" w:type="dxa"/>
            <w:right w:w="108" w:type="dxa"/>
          </w:tblCellMar>
        </w:tblPrEx>
        <w:trPr>
          <w:trHeight w:val="55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质量指标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向省外农民工提供技能培训、就业、维权</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均等化服务和人性化关心关爱</w:t>
            </w:r>
          </w:p>
        </w:tc>
      </w:tr>
      <w:tr>
        <w:tblPrEx>
          <w:tblCellMar>
            <w:top w:w="0" w:type="dxa"/>
            <w:left w:w="108" w:type="dxa"/>
            <w:bottom w:w="0" w:type="dxa"/>
            <w:right w:w="108" w:type="dxa"/>
          </w:tblCellMar>
        </w:tblPrEx>
        <w:trPr>
          <w:trHeight w:val="55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时效指标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完成时间</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2021年12月前</w:t>
            </w:r>
          </w:p>
        </w:tc>
      </w:tr>
      <w:tr>
        <w:tblPrEx>
          <w:tblCellMar>
            <w:top w:w="0" w:type="dxa"/>
            <w:left w:w="108" w:type="dxa"/>
            <w:bottom w:w="0" w:type="dxa"/>
            <w:right w:w="108" w:type="dxa"/>
          </w:tblCellMar>
        </w:tblPrEx>
        <w:trPr>
          <w:trHeight w:val="96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成本指标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奖励补助11个驻外农民工工作站经费</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按3万元／个奖励补助，需33万元</w:t>
            </w:r>
          </w:p>
        </w:tc>
      </w:tr>
      <w:tr>
        <w:tblPrEx>
          <w:tblCellMar>
            <w:top w:w="0" w:type="dxa"/>
            <w:left w:w="108" w:type="dxa"/>
            <w:bottom w:w="0" w:type="dxa"/>
            <w:right w:w="108" w:type="dxa"/>
          </w:tblCellMar>
        </w:tblPrEx>
        <w:trPr>
          <w:trHeight w:val="141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社会效益指标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强化农民工服务管理</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维护农民工合法权益</w:t>
            </w:r>
          </w:p>
        </w:tc>
      </w:tr>
      <w:tr>
        <w:tblPrEx>
          <w:tblCellMar>
            <w:top w:w="0" w:type="dxa"/>
            <w:left w:w="108" w:type="dxa"/>
            <w:bottom w:w="0" w:type="dxa"/>
            <w:right w:w="108" w:type="dxa"/>
          </w:tblCellMar>
        </w:tblPrEx>
        <w:trPr>
          <w:trHeight w:val="720"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可持续影响指标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向广大农民工提供均等化公共服务和人性化关心关爱</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增强农民工获得感、幸福感和安全感</w:t>
            </w:r>
          </w:p>
        </w:tc>
      </w:tr>
      <w:tr>
        <w:tblPrEx>
          <w:tblCellMar>
            <w:top w:w="0" w:type="dxa"/>
            <w:left w:w="108" w:type="dxa"/>
            <w:bottom w:w="0" w:type="dxa"/>
            <w:right w:w="108" w:type="dxa"/>
          </w:tblCellMar>
        </w:tblPrEx>
        <w:trPr>
          <w:trHeight w:val="73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满意度指标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满意度指标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农民工幸福感</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r>
              <w:rPr>
                <w:rStyle w:val="31"/>
                <w:rFonts w:hint="default"/>
              </w:rPr>
              <w:t>8%</w:t>
            </w:r>
          </w:p>
        </w:tc>
      </w:tr>
      <w:tr>
        <w:tblPrEx>
          <w:tblCellMar>
            <w:top w:w="0" w:type="dxa"/>
            <w:left w:w="108" w:type="dxa"/>
            <w:bottom w:w="0" w:type="dxa"/>
            <w:right w:w="108" w:type="dxa"/>
          </w:tblCellMar>
        </w:tblPrEx>
        <w:trPr>
          <w:trHeight w:val="62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农民工安全感</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r>
              <w:rPr>
                <w:rStyle w:val="31"/>
                <w:rFonts w:hint="default"/>
              </w:rPr>
              <w:t>8%</w:t>
            </w:r>
          </w:p>
        </w:tc>
      </w:tr>
    </w:tbl>
    <w:p>
      <w:pPr>
        <w:pStyle w:val="7"/>
        <w:spacing w:before="93"/>
        <w:ind w:firstLine="640"/>
        <w:rPr>
          <w:rFonts w:ascii="黑体" w:eastAsia="黑体" w:cs="黑体"/>
          <w:sz w:val="32"/>
          <w:szCs w:val="32"/>
        </w:rPr>
      </w:pPr>
    </w:p>
    <w:tbl>
      <w:tblPr>
        <w:tblStyle w:val="16"/>
        <w:tblW w:w="9427" w:type="dxa"/>
        <w:tblInd w:w="-279" w:type="dxa"/>
        <w:tblLayout w:type="fixed"/>
        <w:tblCellMar>
          <w:top w:w="0" w:type="dxa"/>
          <w:left w:w="108" w:type="dxa"/>
          <w:bottom w:w="0" w:type="dxa"/>
          <w:right w:w="108" w:type="dxa"/>
        </w:tblCellMar>
      </w:tblPr>
      <w:tblGrid>
        <w:gridCol w:w="1076"/>
        <w:gridCol w:w="1281"/>
        <w:gridCol w:w="1400"/>
        <w:gridCol w:w="2017"/>
        <w:gridCol w:w="3653"/>
      </w:tblGrid>
      <w:tr>
        <w:tblPrEx>
          <w:tblCellMar>
            <w:top w:w="0" w:type="dxa"/>
            <w:left w:w="108" w:type="dxa"/>
            <w:bottom w:w="0" w:type="dxa"/>
            <w:right w:w="108" w:type="dxa"/>
          </w:tblCellMar>
        </w:tblPrEx>
        <w:trPr>
          <w:trHeight w:val="1248" w:hRule="atLeast"/>
        </w:trPr>
        <w:tc>
          <w:tcPr>
            <w:tcW w:w="9427" w:type="dxa"/>
            <w:gridSpan w:val="5"/>
            <w:tcBorders>
              <w:top w:val="nil"/>
              <w:left w:val="nil"/>
              <w:bottom w:val="single" w:color="000000" w:sz="4" w:space="0"/>
              <w:right w:val="nil"/>
            </w:tcBorders>
            <w:shd w:val="clear" w:color="auto" w:fill="auto"/>
            <w:vAlign w:val="center"/>
          </w:tcPr>
          <w:p>
            <w:pPr>
              <w:widowControl/>
              <w:ind w:firstLine="562"/>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广元市农民工服务中心2021年预算项目支出绩效目标自评表（二）</w:t>
            </w:r>
          </w:p>
          <w:p>
            <w:pPr>
              <w:widowControl/>
              <w:ind w:firstLine="480"/>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32"/>
                <w:rFonts w:eastAsia="宋体"/>
              </w:rPr>
              <w:t xml:space="preserve"> 2021</w:t>
            </w:r>
            <w:r>
              <w:rPr>
                <w:rStyle w:val="33"/>
                <w:rFonts w:hint="default"/>
              </w:rPr>
              <w:t>年度）</w:t>
            </w:r>
          </w:p>
        </w:tc>
      </w:tr>
      <w:tr>
        <w:tblPrEx>
          <w:tblCellMar>
            <w:top w:w="0" w:type="dxa"/>
            <w:left w:w="108" w:type="dxa"/>
            <w:bottom w:w="0" w:type="dxa"/>
            <w:right w:w="108" w:type="dxa"/>
          </w:tblCellMar>
        </w:tblPrEx>
        <w:trPr>
          <w:trHeight w:val="288" w:hRule="atLeast"/>
        </w:trPr>
        <w:tc>
          <w:tcPr>
            <w:tcW w:w="3757" w:type="dxa"/>
            <w:gridSpan w:val="3"/>
            <w:tcBorders>
              <w:top w:val="single" w:color="000000" w:sz="4" w:space="0"/>
              <w:left w:val="single" w:color="000000" w:sz="4" w:space="0"/>
              <w:bottom w:val="single" w:color="000000" w:sz="4" w:space="0"/>
              <w:right w:val="nil"/>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项目名称</w:t>
            </w: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农民工服务保障专项经费</w:t>
            </w:r>
          </w:p>
        </w:tc>
      </w:tr>
      <w:tr>
        <w:tblPrEx>
          <w:tblCellMar>
            <w:top w:w="0" w:type="dxa"/>
            <w:left w:w="108" w:type="dxa"/>
            <w:bottom w:w="0" w:type="dxa"/>
            <w:right w:w="108" w:type="dxa"/>
          </w:tblCellMar>
        </w:tblPrEx>
        <w:trPr>
          <w:trHeight w:val="288" w:hRule="atLeast"/>
        </w:trPr>
        <w:tc>
          <w:tcPr>
            <w:tcW w:w="3757" w:type="dxa"/>
            <w:gridSpan w:val="3"/>
            <w:tcBorders>
              <w:top w:val="single" w:color="000000" w:sz="4" w:space="0"/>
              <w:left w:val="single" w:color="000000" w:sz="4" w:space="0"/>
              <w:bottom w:val="single" w:color="000000" w:sz="4" w:space="0"/>
              <w:right w:val="nil"/>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预算单位</w:t>
            </w: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广元市农民工服务中心</w:t>
            </w:r>
          </w:p>
        </w:tc>
      </w:tr>
      <w:tr>
        <w:tblPrEx>
          <w:tblCellMar>
            <w:top w:w="0" w:type="dxa"/>
            <w:left w:w="108" w:type="dxa"/>
            <w:bottom w:w="0" w:type="dxa"/>
            <w:right w:w="108" w:type="dxa"/>
          </w:tblCellMar>
        </w:tblPrEx>
        <w:trPr>
          <w:trHeight w:val="288" w:hRule="atLeast"/>
        </w:trPr>
        <w:tc>
          <w:tcPr>
            <w:tcW w:w="37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（万元）</w:t>
            </w: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年度资金总额：30万元</w:t>
            </w:r>
          </w:p>
        </w:tc>
      </w:tr>
      <w:tr>
        <w:tblPrEx>
          <w:tblCellMar>
            <w:top w:w="0" w:type="dxa"/>
            <w:left w:w="108" w:type="dxa"/>
            <w:bottom w:w="0" w:type="dxa"/>
            <w:right w:w="108" w:type="dxa"/>
          </w:tblCellMar>
        </w:tblPrEx>
        <w:trPr>
          <w:trHeight w:val="288" w:hRule="atLeast"/>
        </w:trPr>
        <w:tc>
          <w:tcPr>
            <w:tcW w:w="37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其中：财政拨款30万元</w:t>
            </w:r>
          </w:p>
        </w:tc>
      </w:tr>
      <w:tr>
        <w:tblPrEx>
          <w:tblCellMar>
            <w:top w:w="0" w:type="dxa"/>
            <w:left w:w="108" w:type="dxa"/>
            <w:bottom w:w="0" w:type="dxa"/>
            <w:right w:w="108" w:type="dxa"/>
          </w:tblCellMar>
        </w:tblPrEx>
        <w:trPr>
          <w:trHeight w:val="288" w:hRule="atLeast"/>
        </w:trPr>
        <w:tc>
          <w:tcPr>
            <w:tcW w:w="37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其他资金</w:t>
            </w:r>
          </w:p>
        </w:tc>
      </w:tr>
      <w:tr>
        <w:tblPrEx>
          <w:tblCellMar>
            <w:top w:w="0" w:type="dxa"/>
            <w:left w:w="108" w:type="dxa"/>
            <w:bottom w:w="0" w:type="dxa"/>
            <w:right w:w="108" w:type="dxa"/>
          </w:tblCellMar>
        </w:tblPrEx>
        <w:trPr>
          <w:trHeight w:val="288"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体</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目</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w:t>
            </w:r>
          </w:p>
        </w:tc>
        <w:tc>
          <w:tcPr>
            <w:tcW w:w="8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年度目标</w:t>
            </w:r>
          </w:p>
        </w:tc>
      </w:tr>
      <w:tr>
        <w:tblPrEx>
          <w:tblCellMar>
            <w:top w:w="0" w:type="dxa"/>
            <w:left w:w="108" w:type="dxa"/>
            <w:bottom w:w="0" w:type="dxa"/>
            <w:right w:w="108" w:type="dxa"/>
          </w:tblCellMar>
        </w:tblPrEx>
        <w:trPr>
          <w:trHeight w:val="81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8351"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ind w:firstLine="440"/>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促进农民工转移就业和返乡创业，开展农民工走访慰问、专车专列、技能培训、权益维护、留守关爱等服务保障，参加全省农民工竞赛活动，举办全市农民工工作会议，深入农民工务工集中地关爱慰问等，向广大农民工提供均等化公共服务和人性化关心关爱，增强农民工获得感、幸福感和安全感。</w:t>
            </w:r>
          </w:p>
        </w:tc>
      </w:tr>
      <w:tr>
        <w:tblPrEx>
          <w:tblCellMar>
            <w:top w:w="0" w:type="dxa"/>
            <w:left w:w="108" w:type="dxa"/>
            <w:bottom w:w="0" w:type="dxa"/>
            <w:right w:w="108" w:type="dxa"/>
          </w:tblCellMar>
        </w:tblPrEx>
        <w:trPr>
          <w:trHeight w:val="576"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w:t>
            </w:r>
          </w:p>
          <w:p>
            <w:pPr>
              <w:widowControl/>
              <w:ind w:firstLine="440"/>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指</w:t>
            </w:r>
          </w:p>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二级指标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三级指标</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指标值（包含数字及文字描述）</w:t>
            </w:r>
          </w:p>
        </w:tc>
      </w:tr>
      <w:tr>
        <w:tblPrEx>
          <w:tblCellMar>
            <w:top w:w="0" w:type="dxa"/>
            <w:left w:w="108" w:type="dxa"/>
            <w:bottom w:w="0" w:type="dxa"/>
            <w:right w:w="108" w:type="dxa"/>
          </w:tblCellMar>
        </w:tblPrEx>
        <w:trPr>
          <w:trHeight w:val="576"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项目完成</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1.开展返乡创业项目推介、在外能人回引对接活动</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2次</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2.市委市政府春节期间召开农民工迎春座谈会</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1次</w:t>
            </w:r>
          </w:p>
        </w:tc>
      </w:tr>
      <w:tr>
        <w:tblPrEx>
          <w:tblCellMar>
            <w:top w:w="0" w:type="dxa"/>
            <w:left w:w="108" w:type="dxa"/>
            <w:bottom w:w="0" w:type="dxa"/>
            <w:right w:w="108" w:type="dxa"/>
          </w:tblCellMar>
        </w:tblPrEx>
        <w:trPr>
          <w:trHeight w:val="576"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3.市领导带队到我市农民工务工集中地开展调研慰问活动</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分4个组</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质量指标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向广大农民工提供公共服务</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均等化服务和人性化关心关爱</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时效指标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完成时间</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2021年12月前</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成本指标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1.返乡创业项目推介、在外能人回引对接活动</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按照会议费360元／人测算，40人1天会议，2次会议共计2.9万元</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2.农民工代表座谈会</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按照会议费360元／人测算，60人1天座谈会，支出2.1万元</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3.农民工调研慰问活动</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10万元</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4.印制农民工政策宣传资料</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10万份，共10万元</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5.东西部扶贫劳务协作对接等工作差旅费</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5万元</w:t>
            </w:r>
          </w:p>
        </w:tc>
      </w:tr>
      <w:tr>
        <w:tblPrEx>
          <w:tblCellMar>
            <w:top w:w="0" w:type="dxa"/>
            <w:left w:w="108" w:type="dxa"/>
            <w:bottom w:w="0" w:type="dxa"/>
            <w:right w:w="108" w:type="dxa"/>
          </w:tblCellMar>
        </w:tblPrEx>
        <w:trPr>
          <w:trHeight w:val="576"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社会效益</w:t>
            </w:r>
          </w:p>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强化农民工服务管理</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维护农民工合法权益</w:t>
            </w:r>
          </w:p>
        </w:tc>
      </w:tr>
      <w:tr>
        <w:tblPrEx>
          <w:tblCellMar>
            <w:top w:w="0" w:type="dxa"/>
            <w:left w:w="108" w:type="dxa"/>
            <w:bottom w:w="0" w:type="dxa"/>
            <w:right w:w="108" w:type="dxa"/>
          </w:tblCellMar>
        </w:tblPrEx>
        <w:trPr>
          <w:trHeight w:val="576"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可持续影响指标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向广大农民工提供均等化公共服务和人性化关心关爱</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增强农民工获得感、幸福感和安全感</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满意度指标</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满意度指标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农民工幸福感</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w:t>
            </w:r>
          </w:p>
        </w:tc>
      </w:tr>
      <w:tr>
        <w:tblPrEx>
          <w:tblCellMar>
            <w:top w:w="0" w:type="dxa"/>
            <w:left w:w="108" w:type="dxa"/>
            <w:bottom w:w="0" w:type="dxa"/>
            <w:right w:w="108" w:type="dxa"/>
          </w:tblCellMar>
        </w:tblPrEx>
        <w:trPr>
          <w:trHeight w:val="288"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ascii="宋体" w:hAnsi="宋体" w:eastAsia="宋体" w:cs="宋体"/>
                <w:color w:val="000000"/>
                <w:sz w:val="22"/>
                <w:szCs w:val="22"/>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农民工安全感</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0"/>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w:t>
            </w:r>
          </w:p>
        </w:tc>
      </w:tr>
    </w:tbl>
    <w:p>
      <w:pPr>
        <w:pStyle w:val="7"/>
        <w:spacing w:before="93"/>
        <w:ind w:firstLine="640"/>
        <w:rPr>
          <w:rFonts w:ascii="黑体" w:eastAsia="黑体" w:cs="黑体"/>
          <w:sz w:val="32"/>
          <w:szCs w:val="32"/>
        </w:rPr>
      </w:pPr>
    </w:p>
    <w:p>
      <w:pPr>
        <w:pStyle w:val="7"/>
        <w:spacing w:before="93"/>
        <w:ind w:firstLine="640"/>
        <w:rPr>
          <w:rFonts w:ascii="黑体" w:eastAsia="黑体" w:cs="黑体"/>
          <w:sz w:val="32"/>
          <w:szCs w:val="32"/>
        </w:rPr>
      </w:pPr>
    </w:p>
    <w:p>
      <w:pPr>
        <w:pStyle w:val="7"/>
        <w:spacing w:before="93"/>
        <w:ind w:firstLine="640"/>
        <w:rPr>
          <w:rFonts w:ascii="黑体" w:eastAsia="黑体" w:cs="黑体"/>
          <w:sz w:val="32"/>
          <w:szCs w:val="32"/>
        </w:rPr>
      </w:pPr>
    </w:p>
    <w:p>
      <w:pPr>
        <w:pStyle w:val="7"/>
        <w:spacing w:before="93"/>
        <w:ind w:firstLine="0" w:firstLineChars="0"/>
        <w:rPr>
          <w:rFonts w:ascii="黑体" w:eastAsia="黑体" w:cs="黑体"/>
          <w:sz w:val="32"/>
          <w:szCs w:val="32"/>
        </w:rPr>
      </w:pPr>
    </w:p>
    <w:p>
      <w:pPr>
        <w:pStyle w:val="7"/>
        <w:spacing w:before="93"/>
        <w:ind w:firstLine="640"/>
        <w:rPr>
          <w:rFonts w:ascii="黑体" w:eastAsia="黑体" w:cs="黑体"/>
          <w:sz w:val="32"/>
          <w:szCs w:val="32"/>
        </w:rPr>
      </w:pPr>
    </w:p>
    <w:p>
      <w:pPr>
        <w:pStyle w:val="7"/>
        <w:spacing w:before="93"/>
        <w:ind w:firstLine="640"/>
        <w:rPr>
          <w:rFonts w:ascii="黑体" w:eastAsia="黑体" w:cs="黑体"/>
          <w:sz w:val="32"/>
          <w:szCs w:val="32"/>
        </w:rPr>
      </w:pPr>
    </w:p>
    <w:p>
      <w:pPr>
        <w:pStyle w:val="7"/>
        <w:spacing w:before="93"/>
        <w:ind w:firstLine="640"/>
        <w:rPr>
          <w:rFonts w:ascii="黑体" w:eastAsia="黑体" w:cs="黑体"/>
          <w:sz w:val="32"/>
          <w:szCs w:val="32"/>
        </w:rPr>
      </w:pPr>
    </w:p>
    <w:p>
      <w:pPr>
        <w:spacing w:line="600" w:lineRule="exact"/>
        <w:ind w:firstLine="2640" w:firstLineChars="600"/>
        <w:outlineLvl w:val="9"/>
        <w:rPr>
          <w:rFonts w:ascii="黑体" w:eastAsia="黑体"/>
          <w:sz w:val="44"/>
          <w:szCs w:val="44"/>
        </w:rPr>
      </w:pPr>
      <w:bookmarkStart w:id="118" w:name="_Toc97403179"/>
      <w:bookmarkStart w:id="119" w:name="_Toc15396618"/>
      <w:bookmarkStart w:id="120" w:name="_Toc97403306"/>
    </w:p>
    <w:p>
      <w:pPr>
        <w:spacing w:line="600" w:lineRule="exact"/>
        <w:ind w:firstLine="2640" w:firstLineChars="600"/>
        <w:outlineLvl w:val="9"/>
        <w:rPr>
          <w:rFonts w:ascii="黑体" w:eastAsia="黑体"/>
          <w:sz w:val="44"/>
          <w:szCs w:val="44"/>
        </w:rPr>
      </w:pPr>
    </w:p>
    <w:p>
      <w:pPr>
        <w:spacing w:line="600" w:lineRule="exact"/>
        <w:ind w:firstLine="2640" w:firstLineChars="600"/>
        <w:outlineLvl w:val="9"/>
        <w:rPr>
          <w:rFonts w:ascii="黑体" w:eastAsia="黑体"/>
          <w:sz w:val="44"/>
          <w:szCs w:val="44"/>
        </w:rPr>
      </w:pPr>
    </w:p>
    <w:p>
      <w:pPr>
        <w:spacing w:line="600" w:lineRule="exact"/>
        <w:ind w:firstLine="2640" w:firstLineChars="600"/>
        <w:outlineLvl w:val="9"/>
        <w:rPr>
          <w:rFonts w:ascii="黑体" w:eastAsia="黑体"/>
          <w:sz w:val="44"/>
          <w:szCs w:val="44"/>
        </w:rPr>
      </w:pPr>
    </w:p>
    <w:p>
      <w:pPr>
        <w:spacing w:line="600" w:lineRule="exact"/>
        <w:ind w:firstLine="2640" w:firstLineChars="600"/>
        <w:outlineLvl w:val="9"/>
        <w:rPr>
          <w:rFonts w:ascii="黑体" w:eastAsia="黑体"/>
          <w:sz w:val="44"/>
          <w:szCs w:val="44"/>
        </w:rPr>
      </w:pPr>
    </w:p>
    <w:p>
      <w:pPr>
        <w:pStyle w:val="2"/>
        <w:ind w:left="1520" w:hanging="880"/>
        <w:rPr>
          <w:rFonts w:ascii="黑体" w:eastAsia="黑体"/>
          <w:sz w:val="44"/>
          <w:szCs w:val="44"/>
        </w:rPr>
      </w:pPr>
    </w:p>
    <w:p>
      <w:pPr>
        <w:ind w:firstLine="640"/>
      </w:pPr>
    </w:p>
    <w:p>
      <w:pPr>
        <w:spacing w:line="600" w:lineRule="exact"/>
        <w:ind w:firstLine="2640" w:firstLineChars="600"/>
        <w:outlineLvl w:val="9"/>
        <w:rPr>
          <w:rFonts w:ascii="黑体" w:eastAsia="黑体"/>
          <w:sz w:val="44"/>
          <w:szCs w:val="44"/>
        </w:rPr>
      </w:pPr>
    </w:p>
    <w:p>
      <w:pPr>
        <w:spacing w:line="600" w:lineRule="exact"/>
        <w:ind w:firstLine="2640" w:firstLineChars="600"/>
        <w:outlineLvl w:val="0"/>
        <w:rPr>
          <w:rFonts w:ascii="仿宋" w:eastAsia="仿宋"/>
        </w:rPr>
      </w:pPr>
      <w:bookmarkStart w:id="121" w:name="_Toc17207"/>
      <w:r>
        <w:rPr>
          <w:rFonts w:hint="eastAsia" w:ascii="黑体" w:eastAsia="黑体"/>
          <w:sz w:val="44"/>
          <w:szCs w:val="44"/>
        </w:rPr>
        <w:t>第</w:t>
      </w:r>
      <w:r>
        <w:rPr>
          <w:rStyle w:val="20"/>
          <w:rFonts w:hint="eastAsia" w:ascii="黑体" w:eastAsia="黑体"/>
        </w:rPr>
        <w:t>五部分 附表</w:t>
      </w:r>
      <w:bookmarkEnd w:id="109"/>
      <w:bookmarkEnd w:id="118"/>
      <w:bookmarkEnd w:id="119"/>
      <w:bookmarkEnd w:id="120"/>
      <w:bookmarkEnd w:id="121"/>
      <w:bookmarkStart w:id="122" w:name="_Toc15396619"/>
    </w:p>
    <w:p>
      <w:pPr>
        <w:pStyle w:val="4"/>
        <w:ind w:firstLine="640"/>
        <w:outlineLvl w:val="9"/>
        <w:rPr>
          <w:rFonts w:ascii="仿宋" w:eastAsia="仿宋"/>
        </w:rPr>
      </w:pPr>
      <w:bookmarkStart w:id="123" w:name="_Toc97403307"/>
      <w:bookmarkStart w:id="124" w:name="_Toc97403180"/>
    </w:p>
    <w:p>
      <w:pPr>
        <w:pStyle w:val="4"/>
        <w:ind w:firstLine="640"/>
        <w:rPr>
          <w:rFonts w:ascii="仿宋" w:eastAsia="仿宋"/>
        </w:rPr>
      </w:pPr>
      <w:bookmarkStart w:id="125" w:name="_Toc6308"/>
      <w:r>
        <w:rPr>
          <w:rFonts w:hint="eastAsia" w:ascii="仿宋" w:eastAsia="仿宋"/>
        </w:rPr>
        <w:t>一、收</w:t>
      </w:r>
      <w:r>
        <w:rPr>
          <w:rStyle w:val="21"/>
          <w:rFonts w:hint="eastAsia" w:ascii="仿宋" w:eastAsia="仿宋"/>
          <w:bCs w:val="0"/>
        </w:rPr>
        <w:t>入支出决算总表</w:t>
      </w:r>
      <w:bookmarkEnd w:id="122"/>
      <w:bookmarkEnd w:id="123"/>
      <w:bookmarkEnd w:id="124"/>
      <w:bookmarkEnd w:id="125"/>
    </w:p>
    <w:p>
      <w:pPr>
        <w:pStyle w:val="4"/>
        <w:ind w:firstLine="640"/>
        <w:rPr>
          <w:rFonts w:ascii="仿宋" w:eastAsia="仿宋"/>
        </w:rPr>
      </w:pPr>
      <w:bookmarkStart w:id="126" w:name="_Toc8606"/>
      <w:bookmarkStart w:id="127" w:name="_Toc97403308"/>
      <w:bookmarkStart w:id="128" w:name="_Toc15396620"/>
      <w:bookmarkStart w:id="129" w:name="_Toc97403181"/>
      <w:r>
        <w:rPr>
          <w:rFonts w:hint="eastAsia" w:ascii="仿宋" w:eastAsia="仿宋"/>
        </w:rPr>
        <w:t>二、收</w:t>
      </w:r>
      <w:r>
        <w:rPr>
          <w:rStyle w:val="21"/>
          <w:rFonts w:hint="eastAsia" w:ascii="仿宋" w:eastAsia="仿宋"/>
          <w:bCs w:val="0"/>
        </w:rPr>
        <w:t>入决算表</w:t>
      </w:r>
      <w:bookmarkEnd w:id="126"/>
      <w:bookmarkEnd w:id="127"/>
      <w:bookmarkEnd w:id="128"/>
      <w:bookmarkEnd w:id="129"/>
    </w:p>
    <w:p>
      <w:pPr>
        <w:pStyle w:val="4"/>
        <w:ind w:firstLine="640"/>
        <w:rPr>
          <w:rFonts w:ascii="仿宋" w:eastAsia="仿宋"/>
        </w:rPr>
      </w:pPr>
      <w:bookmarkStart w:id="130" w:name="_Toc1954"/>
      <w:bookmarkStart w:id="131" w:name="_Toc97403182"/>
      <w:bookmarkStart w:id="132" w:name="_Toc97403309"/>
      <w:bookmarkStart w:id="133" w:name="_Toc15396621"/>
      <w:r>
        <w:rPr>
          <w:rStyle w:val="21"/>
          <w:rFonts w:hint="eastAsia" w:ascii="仿宋" w:eastAsia="仿宋"/>
          <w:bCs w:val="0"/>
        </w:rPr>
        <w:t>三、</w:t>
      </w:r>
      <w:r>
        <w:rPr>
          <w:rFonts w:hint="eastAsia" w:ascii="仿宋" w:eastAsia="仿宋"/>
        </w:rPr>
        <w:t>支</w:t>
      </w:r>
      <w:r>
        <w:rPr>
          <w:rStyle w:val="21"/>
          <w:rFonts w:hint="eastAsia" w:ascii="仿宋" w:eastAsia="仿宋"/>
          <w:bCs w:val="0"/>
        </w:rPr>
        <w:t>出决算表</w:t>
      </w:r>
      <w:bookmarkEnd w:id="130"/>
      <w:bookmarkEnd w:id="131"/>
      <w:bookmarkEnd w:id="132"/>
      <w:bookmarkEnd w:id="133"/>
    </w:p>
    <w:p>
      <w:pPr>
        <w:pStyle w:val="4"/>
        <w:ind w:firstLine="640"/>
        <w:rPr>
          <w:rFonts w:ascii="仿宋" w:eastAsia="仿宋"/>
        </w:rPr>
      </w:pPr>
      <w:bookmarkStart w:id="134" w:name="_Toc15535"/>
      <w:bookmarkStart w:id="135" w:name="_Toc15396622"/>
      <w:bookmarkStart w:id="136" w:name="_Toc97403310"/>
      <w:bookmarkStart w:id="137" w:name="_Toc97403183"/>
      <w:r>
        <w:rPr>
          <w:rStyle w:val="21"/>
          <w:rFonts w:hint="eastAsia" w:ascii="仿宋" w:eastAsia="仿宋"/>
          <w:bCs w:val="0"/>
        </w:rPr>
        <w:t>四、</w:t>
      </w:r>
      <w:r>
        <w:rPr>
          <w:rFonts w:hint="eastAsia" w:ascii="仿宋" w:eastAsia="仿宋"/>
        </w:rPr>
        <w:t>财</w:t>
      </w:r>
      <w:r>
        <w:rPr>
          <w:rStyle w:val="21"/>
          <w:rFonts w:hint="eastAsia" w:ascii="仿宋" w:eastAsia="仿宋"/>
          <w:bCs w:val="0"/>
        </w:rPr>
        <w:t>政拨款收入支出决算总表</w:t>
      </w:r>
      <w:bookmarkEnd w:id="134"/>
      <w:bookmarkEnd w:id="135"/>
      <w:bookmarkEnd w:id="136"/>
      <w:bookmarkEnd w:id="137"/>
    </w:p>
    <w:p>
      <w:pPr>
        <w:pStyle w:val="4"/>
        <w:ind w:firstLine="640"/>
        <w:rPr>
          <w:rStyle w:val="21"/>
          <w:rFonts w:ascii="仿宋" w:eastAsia="仿宋"/>
          <w:bCs w:val="0"/>
        </w:rPr>
      </w:pPr>
      <w:bookmarkStart w:id="138" w:name="_Toc97403311"/>
      <w:bookmarkStart w:id="139" w:name="_Toc27240"/>
      <w:bookmarkStart w:id="140" w:name="_Toc15396623"/>
      <w:bookmarkStart w:id="141" w:name="_Toc97403184"/>
      <w:r>
        <w:rPr>
          <w:rStyle w:val="21"/>
          <w:rFonts w:hint="eastAsia" w:ascii="仿宋" w:eastAsia="仿宋"/>
          <w:bCs w:val="0"/>
        </w:rPr>
        <w:t>五、</w:t>
      </w:r>
      <w:r>
        <w:rPr>
          <w:rFonts w:hint="eastAsia" w:ascii="仿宋" w:eastAsia="仿宋"/>
        </w:rPr>
        <w:t>财</w:t>
      </w:r>
      <w:r>
        <w:rPr>
          <w:rStyle w:val="21"/>
          <w:rFonts w:hint="eastAsia" w:ascii="仿宋" w:eastAsia="仿宋"/>
          <w:bCs w:val="0"/>
        </w:rPr>
        <w:t>政拨款支出决算明细表</w:t>
      </w:r>
      <w:bookmarkEnd w:id="138"/>
      <w:bookmarkEnd w:id="139"/>
      <w:bookmarkEnd w:id="140"/>
      <w:bookmarkEnd w:id="141"/>
      <w:bookmarkStart w:id="142" w:name="_Toc15396624"/>
    </w:p>
    <w:p>
      <w:pPr>
        <w:pStyle w:val="4"/>
        <w:ind w:firstLine="640"/>
        <w:rPr>
          <w:rFonts w:ascii="仿宋" w:eastAsia="仿宋"/>
        </w:rPr>
      </w:pPr>
      <w:bookmarkStart w:id="143" w:name="_Toc97403185"/>
      <w:bookmarkStart w:id="144" w:name="_Toc13328"/>
      <w:bookmarkStart w:id="145" w:name="_Toc97403312"/>
      <w:r>
        <w:rPr>
          <w:rStyle w:val="21"/>
          <w:rFonts w:hint="eastAsia" w:ascii="仿宋" w:eastAsia="仿宋"/>
          <w:bCs w:val="0"/>
        </w:rPr>
        <w:t>六、</w:t>
      </w:r>
      <w:r>
        <w:rPr>
          <w:rFonts w:hint="eastAsia" w:ascii="仿宋" w:eastAsia="仿宋"/>
        </w:rPr>
        <w:t>一</w:t>
      </w:r>
      <w:r>
        <w:rPr>
          <w:rStyle w:val="21"/>
          <w:rFonts w:hint="eastAsia" w:ascii="仿宋" w:eastAsia="仿宋"/>
          <w:bCs w:val="0"/>
        </w:rPr>
        <w:t>般公共预算财政拨款支出决算表</w:t>
      </w:r>
      <w:bookmarkEnd w:id="142"/>
      <w:bookmarkEnd w:id="143"/>
      <w:bookmarkEnd w:id="144"/>
      <w:bookmarkEnd w:id="145"/>
    </w:p>
    <w:p>
      <w:pPr>
        <w:pStyle w:val="4"/>
        <w:ind w:firstLine="640"/>
        <w:rPr>
          <w:rFonts w:ascii="仿宋" w:eastAsia="仿宋"/>
        </w:rPr>
      </w:pPr>
      <w:bookmarkStart w:id="146" w:name="_Toc15396625"/>
      <w:bookmarkStart w:id="147" w:name="_Toc97403313"/>
      <w:bookmarkStart w:id="148" w:name="_Toc29267"/>
      <w:bookmarkStart w:id="149" w:name="_Toc97403186"/>
      <w:r>
        <w:rPr>
          <w:rStyle w:val="21"/>
          <w:rFonts w:hint="eastAsia" w:ascii="仿宋" w:eastAsia="仿宋"/>
          <w:bCs w:val="0"/>
        </w:rPr>
        <w:t>七、</w:t>
      </w:r>
      <w:r>
        <w:rPr>
          <w:rFonts w:hint="eastAsia" w:ascii="仿宋" w:eastAsia="仿宋"/>
        </w:rPr>
        <w:t>一</w:t>
      </w:r>
      <w:r>
        <w:rPr>
          <w:rStyle w:val="21"/>
          <w:rFonts w:hint="eastAsia" w:ascii="仿宋" w:eastAsia="仿宋"/>
          <w:bCs w:val="0"/>
        </w:rPr>
        <w:t>般公共预算财政拨款支出决算明细表</w:t>
      </w:r>
      <w:bookmarkEnd w:id="146"/>
      <w:bookmarkEnd w:id="147"/>
      <w:bookmarkEnd w:id="148"/>
      <w:bookmarkEnd w:id="149"/>
    </w:p>
    <w:p>
      <w:pPr>
        <w:pStyle w:val="4"/>
        <w:ind w:firstLine="640"/>
        <w:rPr>
          <w:rFonts w:ascii="仿宋" w:eastAsia="仿宋"/>
        </w:rPr>
      </w:pPr>
      <w:bookmarkStart w:id="150" w:name="_Toc15396626"/>
      <w:bookmarkStart w:id="151" w:name="_Toc97403314"/>
      <w:bookmarkStart w:id="152" w:name="_Toc27331"/>
      <w:bookmarkStart w:id="153" w:name="_Toc97403187"/>
      <w:r>
        <w:rPr>
          <w:rStyle w:val="21"/>
          <w:rFonts w:hint="eastAsia" w:ascii="仿宋" w:eastAsia="仿宋"/>
          <w:bCs w:val="0"/>
        </w:rPr>
        <w:t>八、</w:t>
      </w:r>
      <w:r>
        <w:rPr>
          <w:rFonts w:hint="eastAsia" w:ascii="仿宋" w:eastAsia="仿宋"/>
        </w:rPr>
        <w:t>一</w:t>
      </w:r>
      <w:r>
        <w:rPr>
          <w:rStyle w:val="21"/>
          <w:rFonts w:hint="eastAsia" w:ascii="仿宋" w:eastAsia="仿宋"/>
          <w:bCs w:val="0"/>
        </w:rPr>
        <w:t>般公共预算财政拨款基本支出决算表</w:t>
      </w:r>
      <w:bookmarkEnd w:id="150"/>
      <w:bookmarkEnd w:id="151"/>
      <w:bookmarkEnd w:id="152"/>
      <w:bookmarkEnd w:id="153"/>
    </w:p>
    <w:p>
      <w:pPr>
        <w:pStyle w:val="4"/>
        <w:ind w:firstLine="640"/>
        <w:rPr>
          <w:rFonts w:ascii="仿宋" w:eastAsia="仿宋"/>
        </w:rPr>
      </w:pPr>
      <w:bookmarkStart w:id="154" w:name="_Toc15396627"/>
      <w:bookmarkStart w:id="155" w:name="_Toc97403188"/>
      <w:bookmarkStart w:id="156" w:name="_Toc97403315"/>
      <w:bookmarkStart w:id="157" w:name="_Toc6388"/>
      <w:r>
        <w:rPr>
          <w:rStyle w:val="21"/>
          <w:rFonts w:hint="eastAsia" w:ascii="仿宋" w:eastAsia="仿宋"/>
          <w:bCs w:val="0"/>
        </w:rPr>
        <w:t>九、</w:t>
      </w:r>
      <w:r>
        <w:rPr>
          <w:rFonts w:hint="eastAsia" w:ascii="仿宋" w:eastAsia="仿宋"/>
        </w:rPr>
        <w:t>一</w:t>
      </w:r>
      <w:r>
        <w:rPr>
          <w:rStyle w:val="21"/>
          <w:rFonts w:hint="eastAsia" w:ascii="仿宋" w:eastAsia="仿宋"/>
          <w:bCs w:val="0"/>
        </w:rPr>
        <w:t>般公共预算财政拨款项目支出决算表</w:t>
      </w:r>
      <w:bookmarkEnd w:id="154"/>
      <w:bookmarkEnd w:id="155"/>
      <w:bookmarkEnd w:id="156"/>
      <w:bookmarkEnd w:id="157"/>
    </w:p>
    <w:p>
      <w:pPr>
        <w:pStyle w:val="4"/>
        <w:ind w:firstLine="640"/>
        <w:rPr>
          <w:rFonts w:ascii="仿宋" w:eastAsia="仿宋"/>
        </w:rPr>
      </w:pPr>
      <w:bookmarkStart w:id="158" w:name="_Toc97403189"/>
      <w:bookmarkStart w:id="159" w:name="_Toc29776"/>
      <w:bookmarkStart w:id="160" w:name="_Toc15396628"/>
      <w:bookmarkStart w:id="161" w:name="_Toc97403316"/>
      <w:r>
        <w:rPr>
          <w:rStyle w:val="21"/>
          <w:rFonts w:hint="eastAsia" w:ascii="仿宋" w:eastAsia="仿宋"/>
          <w:bCs w:val="0"/>
        </w:rPr>
        <w:t>十、</w:t>
      </w:r>
      <w:r>
        <w:rPr>
          <w:rFonts w:hint="eastAsia" w:ascii="仿宋" w:eastAsia="仿宋"/>
        </w:rPr>
        <w:t>一</w:t>
      </w:r>
      <w:r>
        <w:rPr>
          <w:rStyle w:val="21"/>
          <w:rFonts w:hint="eastAsia" w:ascii="仿宋" w:eastAsia="仿宋"/>
          <w:bCs w:val="0"/>
        </w:rPr>
        <w:t>般公共预算财政拨款“三公”经费支出决算表</w:t>
      </w:r>
      <w:bookmarkEnd w:id="158"/>
      <w:bookmarkEnd w:id="159"/>
      <w:bookmarkEnd w:id="160"/>
      <w:bookmarkEnd w:id="161"/>
    </w:p>
    <w:p>
      <w:pPr>
        <w:pStyle w:val="4"/>
        <w:ind w:firstLine="640"/>
        <w:rPr>
          <w:rFonts w:ascii="仿宋" w:eastAsia="仿宋"/>
        </w:rPr>
      </w:pPr>
      <w:bookmarkStart w:id="162" w:name="_Toc97403317"/>
      <w:bookmarkStart w:id="163" w:name="_Toc27423"/>
      <w:bookmarkStart w:id="164" w:name="_Toc97403190"/>
      <w:bookmarkStart w:id="165" w:name="_Toc15396629"/>
      <w:r>
        <w:rPr>
          <w:rStyle w:val="21"/>
          <w:rFonts w:hint="eastAsia" w:ascii="仿宋" w:eastAsia="仿宋"/>
          <w:bCs w:val="0"/>
        </w:rPr>
        <w:t>十一、</w:t>
      </w:r>
      <w:r>
        <w:rPr>
          <w:rFonts w:hint="eastAsia" w:ascii="仿宋" w:eastAsia="仿宋"/>
        </w:rPr>
        <w:t>政</w:t>
      </w:r>
      <w:r>
        <w:rPr>
          <w:rStyle w:val="21"/>
          <w:rFonts w:hint="eastAsia" w:ascii="仿宋" w:eastAsia="仿宋"/>
          <w:bCs w:val="0"/>
        </w:rPr>
        <w:t>府性基金预算财政拨款收入支出决算表</w:t>
      </w:r>
      <w:bookmarkEnd w:id="162"/>
      <w:bookmarkEnd w:id="163"/>
      <w:bookmarkEnd w:id="164"/>
      <w:bookmarkEnd w:id="165"/>
    </w:p>
    <w:p>
      <w:pPr>
        <w:pStyle w:val="4"/>
        <w:ind w:firstLine="640"/>
        <w:rPr>
          <w:rFonts w:ascii="仿宋" w:eastAsia="仿宋"/>
        </w:rPr>
      </w:pPr>
      <w:bookmarkStart w:id="166" w:name="_Toc31736"/>
      <w:bookmarkStart w:id="167" w:name="_Toc97403318"/>
      <w:bookmarkStart w:id="168" w:name="_Toc15396630"/>
      <w:bookmarkStart w:id="169" w:name="_Toc97403191"/>
      <w:r>
        <w:rPr>
          <w:rStyle w:val="21"/>
          <w:rFonts w:hint="eastAsia" w:ascii="仿宋" w:eastAsia="仿宋"/>
          <w:bCs w:val="0"/>
        </w:rPr>
        <w:t>十二、</w:t>
      </w:r>
      <w:r>
        <w:rPr>
          <w:rFonts w:hint="eastAsia" w:ascii="仿宋" w:eastAsia="仿宋"/>
        </w:rPr>
        <w:t>政</w:t>
      </w:r>
      <w:r>
        <w:rPr>
          <w:rStyle w:val="21"/>
          <w:rFonts w:hint="eastAsia" w:ascii="仿宋" w:eastAsia="仿宋"/>
          <w:bCs w:val="0"/>
        </w:rPr>
        <w:t>府性基金预算财政拨款“三公”经费支出决算表</w:t>
      </w:r>
      <w:bookmarkEnd w:id="166"/>
      <w:bookmarkEnd w:id="167"/>
      <w:bookmarkEnd w:id="168"/>
      <w:bookmarkEnd w:id="169"/>
    </w:p>
    <w:p>
      <w:pPr>
        <w:pStyle w:val="4"/>
        <w:ind w:firstLine="640"/>
        <w:rPr>
          <w:rStyle w:val="21"/>
          <w:rFonts w:ascii="仿宋" w:eastAsia="仿宋"/>
          <w:bCs w:val="0"/>
        </w:rPr>
      </w:pPr>
      <w:bookmarkStart w:id="170" w:name="_Toc97403319"/>
      <w:bookmarkStart w:id="171" w:name="_Toc97403192"/>
      <w:bookmarkStart w:id="172" w:name="_Toc15396631"/>
      <w:bookmarkStart w:id="173" w:name="_Toc31179"/>
      <w:r>
        <w:rPr>
          <w:rStyle w:val="21"/>
          <w:rFonts w:hint="eastAsia" w:ascii="仿宋" w:eastAsia="仿宋"/>
          <w:bCs w:val="0"/>
        </w:rPr>
        <w:t>十三、</w:t>
      </w:r>
      <w:r>
        <w:rPr>
          <w:rFonts w:hint="eastAsia" w:ascii="仿宋" w:eastAsia="仿宋"/>
        </w:rPr>
        <w:t>国</w:t>
      </w:r>
      <w:r>
        <w:rPr>
          <w:rStyle w:val="21"/>
          <w:rFonts w:hint="eastAsia" w:ascii="仿宋" w:eastAsia="仿宋"/>
          <w:bCs w:val="0"/>
        </w:rPr>
        <w:t>有资本经营预算财政拨款收入支出决算表</w:t>
      </w:r>
      <w:bookmarkEnd w:id="170"/>
      <w:bookmarkEnd w:id="171"/>
      <w:bookmarkEnd w:id="172"/>
      <w:bookmarkEnd w:id="173"/>
    </w:p>
    <w:p>
      <w:pPr>
        <w:ind w:firstLine="640"/>
        <w:rPr>
          <w:rFonts w:eastAsia="仿宋"/>
        </w:rPr>
      </w:pPr>
      <w:bookmarkStart w:id="174" w:name="_Toc97403320"/>
      <w:bookmarkStart w:id="175" w:name="_Toc97403193"/>
      <w:bookmarkStart w:id="176" w:name="_Toc32428"/>
      <w:r>
        <w:rPr>
          <w:rStyle w:val="21"/>
          <w:rFonts w:hint="eastAsia" w:ascii="仿宋" w:eastAsia="仿宋"/>
          <w:bCs w:val="0"/>
        </w:rPr>
        <w:t>十四、国有资本经营预算财政拨款支出决算表</w:t>
      </w:r>
      <w:bookmarkEnd w:id="174"/>
      <w:bookmarkEnd w:id="175"/>
      <w:bookmarkEnd w:id="176"/>
    </w:p>
    <w:sectPr>
      <w:footerReference r:id="rId14" w:type="first"/>
      <w:footerReference r:id="rId13" w:type="default"/>
      <w:pgSz w:w="11906" w:h="16838"/>
      <w:pgMar w:top="1440" w:right="1800" w:bottom="1440" w:left="1800" w:header="851" w:footer="992" w:gutter="0"/>
      <w:pgNumType w:fmt="decimal" w:start="1" w:chapStyle="1"/>
      <w:cols w:space="720" w:num="1"/>
      <w:titlePg/>
      <w:docGrid w:type="lines" w:linePitch="312"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仿宋-GB2312">
    <w:altName w:val="仿宋"/>
    <w:panose1 w:val="00000000000000000000"/>
    <w:charset w:val="86"/>
    <w:family w:val="script"/>
    <w:pitch w:val="default"/>
    <w:sig w:usb0="00000000" w:usb1="00000000" w:usb2="00000010" w:usb3="00000000" w:csb0="0004000F" w:csb1="00000000"/>
  </w:font>
  <w:font w:name="方正小标宋_GBK">
    <w:altName w:val="Arial Unicode MS"/>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qcYM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wElcdzixM8/f5x//Tn//k6u&#10;sz59gBrTHgImpuGDHzB39gM6M+1BRZu/SIhgHKFOF3XlkIjIj1bL1arCkMDYfEF89vg8REgfpbck&#10;Gw2NOL6iKj/eQRpT55RczflbbUwZoXH/ORAze1jufewxW2nYDROhnW9PyKfHyTfU4aJTYj45FBb7&#10;S7MRZ2M3G4cQ9b4rW5TrQXh/SNhE6S1XGGGnwjiywm5ar7wT/95L1uMv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anGDIAQAAmg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2Oic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y&#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l2OiccBAACbAwAADgAAAAAAAAABACAAAAAeAQAAZHJzL2Uyb0RvYy54&#10;bWxQSwUGAAAAAAYABgBZAQAAV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UWFs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R4rjFiV9+/rj8+nP5/Z0s&#10;l1mgPkCNefcBM9Pwzg+YPPsBnZn3oKLNX2REMI7ynq/yyiERkR+tV+t1hSGBsfmC+OzheYiQ3ktv&#10;STYaGnF+RVZ++ghpTJ1TcjXn77QxZYbG/eNAzOxhufexx2ylYT9MhPa+PSOfHkffUIebTon54FDZ&#10;vCWzEWdjPxvHEPWhK2uU60G4PSZsovSWK4ywU2GcWWE37Vdeisf3kvXw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dRYWyQEAAJs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spacing w:line="240" w:lineRule="auto"/>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B0120"/>
    <w:multiLevelType w:val="singleLevel"/>
    <w:tmpl w:val="418B0120"/>
    <w:lvl w:ilvl="0" w:tentative="0">
      <w:start w:val="1"/>
      <w:numFmt w:val="decimal"/>
      <w:lvlText w:val="%1."/>
      <w:lvlJc w:val="left"/>
      <w:pPr>
        <w:tabs>
          <w:tab w:val="left" w:pos="312"/>
        </w:tabs>
      </w:pPr>
    </w:lvl>
  </w:abstractNum>
  <w:abstractNum w:abstractNumId="1">
    <w:nsid w:val="677A38A2"/>
    <w:multiLevelType w:val="singleLevel"/>
    <w:tmpl w:val="677A38A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WM0NDVmZWRjYWMzMTdjNWNhYzUxM2I3MmFjYjYifQ=="/>
  </w:docVars>
  <w:rsids>
    <w:rsidRoot w:val="0079490E"/>
    <w:rsid w:val="0079490E"/>
    <w:rsid w:val="009116CE"/>
    <w:rsid w:val="00ED1367"/>
    <w:rsid w:val="00FB6BC5"/>
    <w:rsid w:val="01BD17FD"/>
    <w:rsid w:val="02551A35"/>
    <w:rsid w:val="02DF57A3"/>
    <w:rsid w:val="04223B99"/>
    <w:rsid w:val="056926DE"/>
    <w:rsid w:val="05816FE5"/>
    <w:rsid w:val="06900E70"/>
    <w:rsid w:val="085E1823"/>
    <w:rsid w:val="088210AA"/>
    <w:rsid w:val="0D6E7E4F"/>
    <w:rsid w:val="0D99376A"/>
    <w:rsid w:val="0DD51C7C"/>
    <w:rsid w:val="0E8518F4"/>
    <w:rsid w:val="0F3F1AA3"/>
    <w:rsid w:val="10A122E9"/>
    <w:rsid w:val="116752E1"/>
    <w:rsid w:val="127545C2"/>
    <w:rsid w:val="13F866C4"/>
    <w:rsid w:val="15BA784E"/>
    <w:rsid w:val="160E21CF"/>
    <w:rsid w:val="16663DB9"/>
    <w:rsid w:val="167E5244"/>
    <w:rsid w:val="1800023D"/>
    <w:rsid w:val="19801636"/>
    <w:rsid w:val="1A2A2744"/>
    <w:rsid w:val="1C9F6277"/>
    <w:rsid w:val="1E26477C"/>
    <w:rsid w:val="1FB97650"/>
    <w:rsid w:val="21466CC1"/>
    <w:rsid w:val="22097682"/>
    <w:rsid w:val="225418B2"/>
    <w:rsid w:val="23DC4779"/>
    <w:rsid w:val="25E76599"/>
    <w:rsid w:val="2A9D36CA"/>
    <w:rsid w:val="2B3D7387"/>
    <w:rsid w:val="2BDB26FC"/>
    <w:rsid w:val="2BF11F1F"/>
    <w:rsid w:val="2C6B6E0B"/>
    <w:rsid w:val="2CC118F2"/>
    <w:rsid w:val="2E395F4D"/>
    <w:rsid w:val="2EA05384"/>
    <w:rsid w:val="2EA414CB"/>
    <w:rsid w:val="2EE15AF9"/>
    <w:rsid w:val="306C44D5"/>
    <w:rsid w:val="32266EBD"/>
    <w:rsid w:val="32827D75"/>
    <w:rsid w:val="32867865"/>
    <w:rsid w:val="342A7BA0"/>
    <w:rsid w:val="366652B8"/>
    <w:rsid w:val="370A247A"/>
    <w:rsid w:val="37296A11"/>
    <w:rsid w:val="37F214F9"/>
    <w:rsid w:val="394803E2"/>
    <w:rsid w:val="39A44A75"/>
    <w:rsid w:val="3A1F5EA9"/>
    <w:rsid w:val="3B141786"/>
    <w:rsid w:val="3B765F9D"/>
    <w:rsid w:val="3D4F2B1C"/>
    <w:rsid w:val="3ED36397"/>
    <w:rsid w:val="3F49270E"/>
    <w:rsid w:val="3F7153F9"/>
    <w:rsid w:val="3FEB610D"/>
    <w:rsid w:val="40860A30"/>
    <w:rsid w:val="42A15FF5"/>
    <w:rsid w:val="42FE0D52"/>
    <w:rsid w:val="44E1092B"/>
    <w:rsid w:val="44FA7C3F"/>
    <w:rsid w:val="453710E3"/>
    <w:rsid w:val="45611A6C"/>
    <w:rsid w:val="456D6663"/>
    <w:rsid w:val="46B53E1D"/>
    <w:rsid w:val="482A09BB"/>
    <w:rsid w:val="485338EE"/>
    <w:rsid w:val="4A114D9C"/>
    <w:rsid w:val="4A192915"/>
    <w:rsid w:val="4AC46D25"/>
    <w:rsid w:val="4AD54A8E"/>
    <w:rsid w:val="4C001FDF"/>
    <w:rsid w:val="4F766114"/>
    <w:rsid w:val="50942CF5"/>
    <w:rsid w:val="51A80F9B"/>
    <w:rsid w:val="51AE6039"/>
    <w:rsid w:val="52C84ED8"/>
    <w:rsid w:val="531E0F9C"/>
    <w:rsid w:val="542B1BC3"/>
    <w:rsid w:val="565F5B54"/>
    <w:rsid w:val="56E30533"/>
    <w:rsid w:val="5A660DB3"/>
    <w:rsid w:val="5AA33B0F"/>
    <w:rsid w:val="5E4A533B"/>
    <w:rsid w:val="5EEF17FD"/>
    <w:rsid w:val="5FC1162D"/>
    <w:rsid w:val="5FED5F7E"/>
    <w:rsid w:val="613D2F35"/>
    <w:rsid w:val="61B34FA6"/>
    <w:rsid w:val="62EE44E7"/>
    <w:rsid w:val="631F0B45"/>
    <w:rsid w:val="6377272F"/>
    <w:rsid w:val="667B42A9"/>
    <w:rsid w:val="66E83943"/>
    <w:rsid w:val="66FB5425"/>
    <w:rsid w:val="67310E46"/>
    <w:rsid w:val="682E182A"/>
    <w:rsid w:val="68555008"/>
    <w:rsid w:val="693B2024"/>
    <w:rsid w:val="6A682DD1"/>
    <w:rsid w:val="6AF8566F"/>
    <w:rsid w:val="6BA240C1"/>
    <w:rsid w:val="6C710D22"/>
    <w:rsid w:val="6D853C9A"/>
    <w:rsid w:val="6E6451A8"/>
    <w:rsid w:val="71265794"/>
    <w:rsid w:val="72E90827"/>
    <w:rsid w:val="73893DB8"/>
    <w:rsid w:val="73F230C5"/>
    <w:rsid w:val="74045ECC"/>
    <w:rsid w:val="748051BB"/>
    <w:rsid w:val="75502DDF"/>
    <w:rsid w:val="75622175"/>
    <w:rsid w:val="75E672A0"/>
    <w:rsid w:val="76DE441B"/>
    <w:rsid w:val="780763BA"/>
    <w:rsid w:val="7A304541"/>
    <w:rsid w:val="7B9B0B2D"/>
    <w:rsid w:val="7C093CE8"/>
    <w:rsid w:val="7C18217D"/>
    <w:rsid w:val="7D7C2A1B"/>
    <w:rsid w:val="7DFC1D56"/>
    <w:rsid w:val="7EF87DB2"/>
    <w:rsid w:val="E5B3D195"/>
    <w:rsid w:val="FEFD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CESI仿宋-GB2312" w:cs="Times New Roman"/>
      <w:kern w:val="2"/>
      <w:sz w:val="32"/>
      <w:szCs w:val="24"/>
      <w:lang w:val="en-US" w:eastAsia="zh-CN" w:bidi="ar-SA"/>
    </w:rPr>
  </w:style>
  <w:style w:type="paragraph" w:styleId="3">
    <w:name w:val="heading 1"/>
    <w:basedOn w:val="1"/>
    <w:next w:val="1"/>
    <w:link w:val="20"/>
    <w:qFormat/>
    <w:uiPriority w:val="0"/>
    <w:pPr>
      <w:keepNext/>
      <w:keepLines/>
      <w:jc w:val="center"/>
      <w:outlineLvl w:val="0"/>
    </w:pPr>
    <w:rPr>
      <w:rFonts w:eastAsia="方正小标宋_GBK"/>
      <w:bCs/>
      <w:kern w:val="44"/>
      <w:sz w:val="44"/>
      <w:szCs w:val="44"/>
    </w:rPr>
  </w:style>
  <w:style w:type="paragraph" w:styleId="4">
    <w:name w:val="heading 2"/>
    <w:basedOn w:val="1"/>
    <w:next w:val="1"/>
    <w:link w:val="21"/>
    <w:qFormat/>
    <w:uiPriority w:val="0"/>
    <w:pPr>
      <w:keepNext/>
      <w:keepLines/>
      <w:outlineLvl w:val="1"/>
    </w:pPr>
    <w:rPr>
      <w:rFonts w:ascii="Cambria" w:hAnsi="Cambria" w:eastAsia="黑体"/>
      <w:bCs/>
      <w:szCs w:val="32"/>
    </w:rPr>
  </w:style>
  <w:style w:type="paragraph" w:styleId="5">
    <w:name w:val="heading 3"/>
    <w:basedOn w:val="1"/>
    <w:next w:val="1"/>
    <w:qFormat/>
    <w:uiPriority w:val="0"/>
    <w:pPr>
      <w:keepNext/>
      <w:keepLines/>
      <w:outlineLvl w:val="2"/>
    </w:pPr>
    <w:rPr>
      <w:b/>
      <w:bCs/>
      <w:szCs w:val="32"/>
    </w:rPr>
  </w:style>
  <w:style w:type="paragraph" w:styleId="6">
    <w:name w:val="heading 4"/>
    <w:basedOn w:val="1"/>
    <w:next w:val="1"/>
    <w:unhideWhenUsed/>
    <w:qFormat/>
    <w:uiPriority w:val="0"/>
    <w:pPr>
      <w:keepNext/>
      <w:keepLines/>
      <w:spacing w:line="360" w:lineRule="auto"/>
      <w:outlineLvl w:val="3"/>
    </w:pPr>
    <w:rPr>
      <w:rFonts w:eastAsia="宋体"/>
      <w:b/>
      <w:bCs/>
      <w:sz w:val="24"/>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_GB2312"/>
    </w:rPr>
  </w:style>
  <w:style w:type="paragraph" w:styleId="7">
    <w:name w:val="Body Text"/>
    <w:basedOn w:val="1"/>
    <w:qFormat/>
    <w:uiPriority w:val="0"/>
    <w:pPr>
      <w:spacing w:beforeLines="30"/>
    </w:pPr>
    <w:rPr>
      <w:rFonts w:ascii="仿宋_GB2312" w:eastAsia="仿宋_GB2312"/>
      <w:kern w:val="0"/>
      <w:sz w:val="30"/>
    </w:rPr>
  </w:style>
  <w:style w:type="paragraph" w:styleId="8">
    <w:name w:val="toc 3"/>
    <w:basedOn w:val="1"/>
    <w:next w:val="1"/>
    <w:qFormat/>
    <w:uiPriority w:val="39"/>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link w:val="3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35"/>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39"/>
    <w:pPr>
      <w:tabs>
        <w:tab w:val="right" w:leader="dot" w:pos="8296"/>
      </w:tabs>
      <w:spacing w:before="93"/>
      <w:jc w:val="center"/>
    </w:pPr>
    <w:rPr>
      <w:rFonts w:ascii="仿宋" w:eastAsia="仿宋"/>
      <w:sz w:val="28"/>
      <w:szCs w:val="28"/>
    </w:rPr>
  </w:style>
  <w:style w:type="paragraph" w:styleId="13">
    <w:name w:val="footnote text"/>
    <w:basedOn w:val="1"/>
    <w:qFormat/>
    <w:uiPriority w:val="0"/>
    <w:pPr>
      <w:snapToGrid w:val="0"/>
      <w:spacing w:line="240" w:lineRule="auto"/>
      <w:ind w:firstLine="0" w:firstLineChars="0"/>
      <w:jc w:val="left"/>
    </w:pPr>
    <w:rPr>
      <w:rFonts w:eastAsia="宋体"/>
      <w:sz w:val="18"/>
      <w:szCs w:val="18"/>
    </w:rPr>
  </w:style>
  <w:style w:type="paragraph" w:styleId="14">
    <w:name w:val="toc 2"/>
    <w:basedOn w:val="1"/>
    <w:next w:val="1"/>
    <w:qFormat/>
    <w:uiPriority w:val="39"/>
    <w:pPr>
      <w:tabs>
        <w:tab w:val="right" w:leader="dot" w:pos="8296"/>
      </w:tabs>
      <w:ind w:left="200" w:leftChars="200"/>
    </w:pPr>
  </w:style>
  <w:style w:type="paragraph" w:styleId="15">
    <w:name w:val="Normal (Web)"/>
    <w:basedOn w:val="1"/>
    <w:qFormat/>
    <w:uiPriority w:val="0"/>
    <w:rPr>
      <w:sz w:val="24"/>
    </w:rPr>
  </w:style>
  <w:style w:type="character" w:styleId="18">
    <w:name w:val="Strong"/>
    <w:basedOn w:val="17"/>
    <w:qFormat/>
    <w:uiPriority w:val="0"/>
    <w:rPr>
      <w:b/>
    </w:rPr>
  </w:style>
  <w:style w:type="character" w:styleId="19">
    <w:name w:val="Hyperlink"/>
    <w:basedOn w:val="17"/>
    <w:qFormat/>
    <w:uiPriority w:val="99"/>
    <w:rPr>
      <w:color w:val="0000FF"/>
      <w:u w:val="single"/>
    </w:rPr>
  </w:style>
  <w:style w:type="character" w:customStyle="1" w:styleId="20">
    <w:name w:val="标题 1 Char"/>
    <w:basedOn w:val="17"/>
    <w:link w:val="3"/>
    <w:qFormat/>
    <w:uiPriority w:val="0"/>
    <w:rPr>
      <w:rFonts w:ascii="Times New Roman" w:hAnsi="Times New Roman" w:eastAsia="方正小标宋_GBK" w:cs="Times New Roman"/>
      <w:bCs/>
      <w:kern w:val="44"/>
      <w:sz w:val="44"/>
      <w:szCs w:val="44"/>
      <w:lang w:val="en-US" w:eastAsia="zh-CN" w:bidi="ar-SA"/>
    </w:rPr>
  </w:style>
  <w:style w:type="character" w:customStyle="1" w:styleId="21">
    <w:name w:val="标题 2 Char"/>
    <w:basedOn w:val="17"/>
    <w:link w:val="4"/>
    <w:qFormat/>
    <w:uiPriority w:val="0"/>
    <w:rPr>
      <w:rFonts w:ascii="Cambria" w:hAnsi="Cambria" w:eastAsia="黑体" w:cs="Times New Roman"/>
      <w:bCs/>
      <w:kern w:val="2"/>
      <w:sz w:val="32"/>
      <w:szCs w:val="32"/>
      <w:lang w:val="en-US" w:eastAsia="zh-CN" w:bidi="ar-SA"/>
    </w:rPr>
  </w:style>
  <w:style w:type="character" w:customStyle="1" w:styleId="22">
    <w:name w:val="Header Char"/>
    <w:basedOn w:val="17"/>
    <w:qFormat/>
    <w:uiPriority w:val="0"/>
    <w:rPr>
      <w:rFonts w:ascii="Times New Roman" w:hAnsi="Times New Roman"/>
      <w:sz w:val="18"/>
      <w:szCs w:val="18"/>
    </w:rPr>
  </w:style>
  <w:style w:type="character" w:customStyle="1" w:styleId="23">
    <w:name w:val="Footer Char"/>
    <w:basedOn w:val="17"/>
    <w:qFormat/>
    <w:uiPriority w:val="0"/>
    <w:rPr>
      <w:rFonts w:ascii="Times New Roman" w:hAnsi="Times New Roman"/>
      <w:sz w:val="18"/>
      <w:szCs w:val="18"/>
    </w:rPr>
  </w:style>
  <w:style w:type="character" w:customStyle="1" w:styleId="24">
    <w:name w:val="Body Text Char"/>
    <w:basedOn w:val="17"/>
    <w:qFormat/>
    <w:uiPriority w:val="0"/>
    <w:rPr>
      <w:rFonts w:ascii="Times New Roman" w:hAnsi="Times New Roman"/>
      <w:szCs w:val="24"/>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6">
    <w:name w:val="List Paragraph"/>
    <w:basedOn w:val="1"/>
    <w:qFormat/>
    <w:uiPriority w:val="0"/>
  </w:style>
  <w:style w:type="paragraph" w:customStyle="1" w:styleId="27">
    <w:name w:val="TOC 标题1"/>
    <w:basedOn w:val="3"/>
    <w:next w:val="1"/>
    <w:qFormat/>
    <w:uiPriority w:val="0"/>
    <w:pPr>
      <w:widowControl/>
      <w:spacing w:before="480" w:line="276" w:lineRule="auto"/>
      <w:jc w:val="left"/>
      <w:outlineLvl w:val="9"/>
    </w:pPr>
    <w:rPr>
      <w:rFonts w:ascii="Cambria" w:hAnsi="Cambria" w:eastAsia="宋体"/>
      <w:color w:val="376092"/>
      <w:kern w:val="0"/>
      <w:sz w:val="28"/>
      <w:szCs w:val="28"/>
    </w:rPr>
  </w:style>
  <w:style w:type="paragraph" w:customStyle="1" w:styleId="28">
    <w:name w:val="TOC 标题2"/>
    <w:basedOn w:val="3"/>
    <w:next w:val="1"/>
    <w:qFormat/>
    <w:uiPriority w:val="0"/>
    <w:pPr>
      <w:widowControl/>
      <w:spacing w:before="480" w:line="276" w:lineRule="auto"/>
      <w:jc w:val="left"/>
      <w:outlineLvl w:val="9"/>
    </w:pPr>
    <w:rPr>
      <w:rFonts w:ascii="Cambria" w:hAnsi="Cambria" w:eastAsia="宋体"/>
      <w:color w:val="376092"/>
      <w:kern w:val="0"/>
      <w:sz w:val="28"/>
      <w:szCs w:val="28"/>
    </w:rPr>
  </w:style>
  <w:style w:type="character" w:customStyle="1" w:styleId="29">
    <w:name w:val="font21"/>
    <w:basedOn w:val="17"/>
    <w:qFormat/>
    <w:uiPriority w:val="0"/>
    <w:rPr>
      <w:rFonts w:hint="eastAsia" w:ascii="宋体" w:hAnsi="宋体" w:eastAsia="宋体" w:cs="宋体"/>
      <w:color w:val="000000"/>
      <w:sz w:val="24"/>
      <w:szCs w:val="24"/>
      <w:u w:val="none"/>
    </w:rPr>
  </w:style>
  <w:style w:type="character" w:customStyle="1" w:styleId="30">
    <w:name w:val="font81"/>
    <w:basedOn w:val="17"/>
    <w:qFormat/>
    <w:uiPriority w:val="0"/>
    <w:rPr>
      <w:rFonts w:hint="default" w:ascii="Times New Roman" w:hAnsi="Times New Roman" w:cs="Times New Roman"/>
      <w:color w:val="000000"/>
      <w:sz w:val="24"/>
      <w:szCs w:val="24"/>
      <w:u w:val="none"/>
    </w:rPr>
  </w:style>
  <w:style w:type="character" w:customStyle="1" w:styleId="31">
    <w:name w:val="font51"/>
    <w:basedOn w:val="17"/>
    <w:qFormat/>
    <w:uiPriority w:val="0"/>
    <w:rPr>
      <w:rFonts w:hint="eastAsia" w:ascii="宋体" w:hAnsi="宋体" w:eastAsia="宋体" w:cs="宋体"/>
      <w:color w:val="000000"/>
      <w:sz w:val="22"/>
      <w:szCs w:val="22"/>
      <w:u w:val="none"/>
    </w:rPr>
  </w:style>
  <w:style w:type="character" w:customStyle="1" w:styleId="32">
    <w:name w:val="font41"/>
    <w:basedOn w:val="17"/>
    <w:qFormat/>
    <w:uiPriority w:val="0"/>
    <w:rPr>
      <w:rFonts w:hint="default" w:ascii="Times New Roman" w:hAnsi="Times New Roman" w:cs="Times New Roman"/>
      <w:color w:val="000000"/>
      <w:sz w:val="24"/>
      <w:szCs w:val="24"/>
      <w:u w:val="none"/>
    </w:rPr>
  </w:style>
  <w:style w:type="character" w:customStyle="1" w:styleId="33">
    <w:name w:val="font61"/>
    <w:basedOn w:val="17"/>
    <w:qFormat/>
    <w:uiPriority w:val="0"/>
    <w:rPr>
      <w:rFonts w:hint="eastAsia" w:ascii="宋体" w:hAnsi="宋体" w:eastAsia="宋体" w:cs="宋体"/>
      <w:color w:val="000000"/>
      <w:sz w:val="24"/>
      <w:szCs w:val="24"/>
      <w:u w:val="none"/>
    </w:rPr>
  </w:style>
  <w:style w:type="paragraph" w:customStyle="1" w:styleId="34">
    <w:name w:val="TOC Heading"/>
    <w:basedOn w:val="3"/>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35">
    <w:name w:val="页眉 Char"/>
    <w:basedOn w:val="17"/>
    <w:link w:val="11"/>
    <w:qFormat/>
    <w:uiPriority w:val="99"/>
    <w:rPr>
      <w:rFonts w:ascii="Calibri" w:hAnsi="Calibri" w:eastAsia="CESI仿宋-GB2312"/>
      <w:sz w:val="18"/>
      <w:szCs w:val="18"/>
    </w:rPr>
  </w:style>
  <w:style w:type="character" w:customStyle="1" w:styleId="36">
    <w:name w:val="页脚 Char"/>
    <w:basedOn w:val="17"/>
    <w:link w:val="10"/>
    <w:qFormat/>
    <w:uiPriority w:val="99"/>
    <w:rPr>
      <w:rFonts w:ascii="Calibri" w:hAnsi="Calibri" w:eastAsia="CESI仿宋-GB2312"/>
      <w:sz w:val="18"/>
      <w:szCs w:val="18"/>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image" Target="media/image1.png"/><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收支决算总计变动情况表（万元）</a:t>
            </a:r>
          </a:p>
        </c:rich>
      </c:tx>
      <c:layout/>
      <c:overlay val="0"/>
      <c:spPr>
        <a:noFill/>
        <a:ln>
          <a:noFill/>
        </a:ln>
        <a:effectLst/>
      </c:spPr>
    </c:title>
    <c:autoTitleDeleted val="0"/>
    <c:plotArea>
      <c:layout>
        <c:manualLayout>
          <c:layoutTarget val="inner"/>
          <c:xMode val="edge"/>
          <c:yMode val="edge"/>
          <c:x val="0.0748055555555556"/>
          <c:y val="0.181944444444444"/>
          <c:w val="0.894638888888889"/>
          <c:h val="0.711666666666667"/>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149.53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[工作簿1]Sheet2!$F$3:$G$3</c:f>
              <c:strCache>
                <c:ptCount val="2"/>
                <c:pt idx="0">
                  <c:v>2020年</c:v>
                </c:pt>
                <c:pt idx="1">
                  <c:v>2021年</c:v>
                </c:pt>
              </c:strCache>
            </c:strRef>
          </c:cat>
          <c:val>
            <c:numRef>
              <c:f>[工作簿1]Sheet2!$F$4:$G$4</c:f>
              <c:numCache>
                <c:formatCode>General</c:formatCode>
                <c:ptCount val="2"/>
                <c:pt idx="0">
                  <c:v>141.82</c:v>
                </c:pt>
                <c:pt idx="1">
                  <c:v>238.39</c:v>
                </c:pt>
              </c:numCache>
            </c:numRef>
          </c:val>
        </c:ser>
        <c:dLbls>
          <c:showLegendKey val="0"/>
          <c:showVal val="1"/>
          <c:showCatName val="0"/>
          <c:showSerName val="0"/>
          <c:showPercent val="0"/>
          <c:showBubbleSize val="0"/>
        </c:dLbls>
        <c:gapWidth val="219"/>
        <c:overlap val="-27"/>
        <c:axId val="276391808"/>
        <c:axId val="276393344"/>
      </c:barChart>
      <c:catAx>
        <c:axId val="2763918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93344"/>
        <c:crosses val="autoZero"/>
        <c:auto val="1"/>
        <c:lblAlgn val="ctr"/>
        <c:lblOffset val="100"/>
        <c:noMultiLvlLbl val="0"/>
      </c:catAx>
      <c:valAx>
        <c:axId val="276393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91808"/>
        <c:crosses val="autoZero"/>
        <c:crossBetween val="between"/>
      </c:valAx>
      <c:spPr>
        <a:gradFill>
          <a:gsLst>
            <a:gs pos="0">
              <a:schemeClr val="lt1"/>
            </a:gs>
            <a:gs pos="39000">
              <a:schemeClr val="lt1"/>
            </a:gs>
            <a:gs pos="100000">
              <a:schemeClr val="lt1">
                <a:lumMod val="75000"/>
              </a:schemeClr>
            </a:gs>
          </a:gsLst>
          <a:path path="circle"/>
        </a:gradFill>
        <a:ln>
          <a:noFill/>
        </a:ln>
        <a:effectLst>
          <a:outerShdw blurRad="50800" dist="38100" dir="2700000" algn="tl" rotWithShape="0">
            <a:prstClr val="black">
              <a:alpha val="40000"/>
            </a:prstClr>
          </a:outerShdw>
        </a:effectLst>
      </c:spPr>
    </c:plotArea>
    <c:plotVisOnly val="1"/>
    <c:dispBlanksAs val="gap"/>
    <c:showDLblsOverMax val="0"/>
  </c:chart>
  <c:spPr>
    <a:gradFill>
      <a:gsLst>
        <a:gs pos="0">
          <a:schemeClr val="lt1"/>
        </a:gs>
        <a:gs pos="39000">
          <a:schemeClr val="lt1"/>
        </a:gs>
        <a:gs pos="100000">
          <a:schemeClr val="lt1">
            <a:lumMod val="75000"/>
          </a:schemeClr>
        </a:gs>
      </a:gsLst>
      <a:path path="circle"/>
    </a:gra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600" b="0"/>
              <a:t>支出决算结构图</a:t>
            </a:r>
            <a:endParaRPr sz="1600" b="0"/>
          </a:p>
        </c:rich>
      </c:tx>
      <c:layout>
        <c:manualLayout>
          <c:xMode val="edge"/>
          <c:yMode val="edge"/>
          <c:x val="0.320150165880915"/>
          <c:y val="0.048"/>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[工作簿1]Sheet1!$E$5:$F$5</c:f>
              <c:strCache>
                <c:ptCount val="2"/>
                <c:pt idx="0">
                  <c:v>基本支出</c:v>
                </c:pt>
                <c:pt idx="1">
                  <c:v>项目支出</c:v>
                </c:pt>
              </c:strCache>
            </c:strRef>
          </c:cat>
          <c:val>
            <c:numRef>
              <c:f>[工作簿1]Sheet1!$E$6:$F$6</c:f>
              <c:numCache>
                <c:formatCode>General</c:formatCode>
                <c:ptCount val="2"/>
                <c:pt idx="0">
                  <c:v>131.74</c:v>
                </c:pt>
                <c:pt idx="1">
                  <c:v>51.99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1587147272908"/>
          <c:y val="0.46610162147996"/>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收支决算总计变动情况表（万元）</a:t>
            </a:r>
          </a:p>
        </c:rich>
      </c:tx>
      <c:layout/>
      <c:overlay val="0"/>
      <c:spPr>
        <a:noFill/>
        <a:ln>
          <a:noFill/>
        </a:ln>
        <a:effectLst/>
      </c:spPr>
    </c:title>
    <c:autoTitleDeleted val="0"/>
    <c:plotArea>
      <c:layout>
        <c:manualLayout>
          <c:layoutTarget val="inner"/>
          <c:xMode val="edge"/>
          <c:yMode val="edge"/>
          <c:x val="0.0748055555555556"/>
          <c:y val="0.181944444444444"/>
          <c:w val="0.894638888888889"/>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[工作簿1]Sheet2!$F$3:$G$3</c:f>
              <c:strCache>
                <c:ptCount val="2"/>
                <c:pt idx="0">
                  <c:v>2020年</c:v>
                </c:pt>
                <c:pt idx="1">
                  <c:v>2021年</c:v>
                </c:pt>
              </c:strCache>
            </c:strRef>
          </c:cat>
          <c:val>
            <c:numRef>
              <c:f>[工作簿1]Sheet2!$F$4:$G$4</c:f>
              <c:numCache>
                <c:formatCode>General</c:formatCode>
                <c:ptCount val="2"/>
                <c:pt idx="0">
                  <c:v>141.82</c:v>
                </c:pt>
                <c:pt idx="1">
                  <c:v>238.39</c:v>
                </c:pt>
              </c:numCache>
            </c:numRef>
          </c:val>
        </c:ser>
        <c:dLbls>
          <c:showLegendKey val="0"/>
          <c:showVal val="1"/>
          <c:showCatName val="0"/>
          <c:showSerName val="0"/>
          <c:showPercent val="0"/>
          <c:showBubbleSize val="0"/>
        </c:dLbls>
        <c:gapWidth val="219"/>
        <c:overlap val="-27"/>
        <c:axId val="276785408"/>
        <c:axId val="276815872"/>
      </c:barChart>
      <c:catAx>
        <c:axId val="276785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815872"/>
        <c:crosses val="autoZero"/>
        <c:auto val="1"/>
        <c:lblAlgn val="ctr"/>
        <c:lblOffset val="100"/>
        <c:noMultiLvlLbl val="0"/>
      </c:catAx>
      <c:valAx>
        <c:axId val="276815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785408"/>
        <c:crosses val="autoZero"/>
        <c:crossBetween val="between"/>
      </c:valAx>
      <c:spPr>
        <a:gradFill>
          <a:gsLst>
            <a:gs pos="0">
              <a:schemeClr val="lt1"/>
            </a:gs>
            <a:gs pos="39000">
              <a:schemeClr val="lt1"/>
            </a:gs>
            <a:gs pos="100000">
              <a:schemeClr val="lt1">
                <a:lumMod val="75000"/>
              </a:schemeClr>
            </a:gs>
          </a:gsLst>
          <a:path path="circle"/>
        </a:gradFill>
        <a:ln>
          <a:noFill/>
        </a:ln>
        <a:effectLst>
          <a:outerShdw blurRad="50800" dist="38100" dir="2700000" algn="tl" rotWithShape="0">
            <a:prstClr val="black">
              <a:alpha val="40000"/>
            </a:prstClr>
          </a:outerShdw>
        </a:effectLst>
      </c:spPr>
    </c:plotArea>
    <c:plotVisOnly val="1"/>
    <c:dispBlanksAs val="gap"/>
    <c:showDLblsOverMax val="0"/>
  </c:chart>
  <c:spPr>
    <a:gradFill>
      <a:gsLst>
        <a:gs pos="0">
          <a:schemeClr val="lt1"/>
        </a:gs>
        <a:gs pos="39000">
          <a:schemeClr val="lt1"/>
        </a:gs>
        <a:gs pos="100000">
          <a:schemeClr val="lt1">
            <a:lumMod val="75000"/>
          </a:schemeClr>
        </a:gs>
      </a:gsLst>
      <a:path path="circle"/>
    </a:gra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[工作簿1]Sheet1!$B$10:$C$10</c:f>
              <c:strCache>
                <c:ptCount val="2"/>
                <c:pt idx="0">
                  <c:v>2020年</c:v>
                </c:pt>
                <c:pt idx="1">
                  <c:v>2021年</c:v>
                </c:pt>
              </c:strCache>
            </c:strRef>
          </c:cat>
          <c:val>
            <c:numRef>
              <c:f>[工作簿1]Sheet1!$B$11:$C$11</c:f>
              <c:numCache>
                <c:formatCode>General</c:formatCode>
                <c:ptCount val="2"/>
                <c:pt idx="0">
                  <c:v>146.23</c:v>
                </c:pt>
                <c:pt idx="1">
                  <c:v>183.73</c:v>
                </c:pt>
              </c:numCache>
            </c:numRef>
          </c:val>
        </c:ser>
        <c:dLbls>
          <c:showLegendKey val="0"/>
          <c:showVal val="1"/>
          <c:showCatName val="0"/>
          <c:showSerName val="0"/>
          <c:showPercent val="0"/>
          <c:showBubbleSize val="0"/>
        </c:dLbls>
        <c:gapWidth val="219"/>
        <c:overlap val="-27"/>
        <c:axId val="276823424"/>
        <c:axId val="277660800"/>
      </c:barChart>
      <c:catAx>
        <c:axId val="2768234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660800"/>
        <c:crosses val="autoZero"/>
        <c:auto val="1"/>
        <c:lblAlgn val="ctr"/>
        <c:lblOffset val="100"/>
        <c:noMultiLvlLbl val="0"/>
      </c:catAx>
      <c:valAx>
        <c:axId val="277660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823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a:p>
            <a:pPr>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a:solidFill>
              <a:srgbClr val="5B9BD5"/>
            </a:solidFill>
          </c:spPr>
          <c:explosion val="0"/>
          <c:dPt>
            <c:idx val="0"/>
            <c:bubble3D val="0"/>
            <c:spPr>
              <a:solidFill>
                <a:srgbClr val="5B9BD5"/>
              </a:solidFill>
              <a:ln>
                <a:noFill/>
              </a:ln>
              <a:effectLst>
                <a:outerShdw blurRad="254000" sx="102000" sy="102000" algn="ctr" rotWithShape="0">
                  <a:prstClr val="black">
                    <a:alpha val="20000"/>
                  </a:prstClr>
                </a:outerShdw>
              </a:effectLst>
            </c:spPr>
          </c:dPt>
          <c:dPt>
            <c:idx val="1"/>
            <c:bubble3D val="0"/>
            <c:spPr>
              <a:solidFill>
                <a:srgbClr val="ED7D31">
                  <a:lumMod val="40000"/>
                  <a:lumOff val="60000"/>
                </a:srgbClr>
              </a:solidFill>
              <a:ln>
                <a:noFill/>
              </a:ln>
              <a:effectLst>
                <a:outerShdw blurRad="254000" sx="102000" sy="102000" algn="ctr" rotWithShape="0">
                  <a:prstClr val="black">
                    <a:alpha val="20000"/>
                  </a:prstClr>
                </a:outerShdw>
              </a:effectLst>
            </c:spPr>
          </c:dPt>
          <c:dPt>
            <c:idx val="2"/>
            <c:bubble3D val="0"/>
            <c:spPr>
              <a:solidFill>
                <a:srgbClr val="70AD47"/>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'[图表 在 工作簿2]Sheet1'!$B$6:$D$6</c:f>
              <c:strCache>
                <c:ptCount val="3"/>
                <c:pt idx="0">
                  <c:v>社会保障和就业支出</c:v>
                </c:pt>
                <c:pt idx="1">
                  <c:v>卫生健康支出</c:v>
                </c:pt>
                <c:pt idx="2">
                  <c:v>住房保障支出</c:v>
                </c:pt>
              </c:strCache>
            </c:strRef>
          </c:cat>
          <c:val>
            <c:numRef>
              <c:f>'[图表 在 工作簿2]Sheet1'!$B$7:$D$7</c:f>
              <c:numCache>
                <c:formatCode>General</c:formatCode>
                <c:ptCount val="3"/>
                <c:pt idx="0">
                  <c:v>162.17</c:v>
                </c:pt>
                <c:pt idx="1">
                  <c:v>5.13</c:v>
                </c:pt>
                <c:pt idx="2">
                  <c:v>16.44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solidFill>
          <a:schemeClr val="lt1">
            <a:lumMod val="95000"/>
            <a:alpha val="39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7F611-F17A-4ABE-9147-308677587C2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8349</Words>
  <Characters>8827</Characters>
  <Lines>106</Lines>
  <Paragraphs>30</Paragraphs>
  <TotalTime>6</TotalTime>
  <ScaleCrop>false</ScaleCrop>
  <LinksUpToDate>false</LinksUpToDate>
  <CharactersWithSpaces>14895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Administrator</cp:lastModifiedBy>
  <cp:lastPrinted>2022-08-08T02:23:00Z</cp:lastPrinted>
  <dcterms:modified xsi:type="dcterms:W3CDTF">2023-09-13T07:45:54Z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83BB88DCB1D14AACB5D14793762326C6_13</vt:lpwstr>
  </property>
</Properties>
</file>