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微软雅黑" w:hAnsi="宋体" w:eastAsia="微软雅黑"/>
          <w:color w:val="000000"/>
          <w:sz w:val="72"/>
          <w:szCs w:val="72"/>
        </w:rPr>
      </w:pPr>
      <w:bookmarkStart w:id="0" w:name="_Toc15306267"/>
    </w:p>
    <w:p>
      <w:pPr>
        <w:spacing w:line="600" w:lineRule="exact"/>
        <w:jc w:val="center"/>
        <w:outlineLvl w:val="0"/>
        <w:rPr>
          <w:rFonts w:ascii="微软雅黑" w:hAnsi="宋体" w:eastAsia="微软雅黑"/>
          <w:color w:val="000000"/>
          <w:sz w:val="72"/>
          <w:szCs w:val="72"/>
        </w:rPr>
      </w:pPr>
    </w:p>
    <w:p>
      <w:pPr>
        <w:spacing w:line="600" w:lineRule="exact"/>
        <w:jc w:val="center"/>
        <w:outlineLvl w:val="0"/>
        <w:rPr>
          <w:rFonts w:ascii="微软雅黑" w:hAnsi="宋体" w:eastAsia="微软雅黑"/>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1" w:name="_Toc15396475"/>
      <w:bookmarkStart w:id="2" w:name="_Toc15396597"/>
      <w:bookmarkStart w:id="3" w:name="_Toc15377425"/>
      <w:bookmarkStart w:id="4" w:name="_Toc15378441"/>
      <w:bookmarkStart w:id="5" w:name="_Toc15377193"/>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1</w:t>
      </w:r>
      <w:r>
        <w:rPr>
          <w:rFonts w:hint="eastAsia" w:ascii="方正小标宋简体" w:hAnsi="方正小标宋简体" w:eastAsia="方正小标宋简体" w:cs="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lang w:eastAsia="zh-CN"/>
        </w:rPr>
      </w:pPr>
      <w:bookmarkStart w:id="6" w:name="_Toc15396476"/>
      <w:bookmarkStart w:id="7" w:name="_Toc15378442"/>
      <w:bookmarkStart w:id="8" w:name="_Toc15396598"/>
      <w:bookmarkStart w:id="9" w:name="_Toc15306268"/>
      <w:bookmarkStart w:id="10" w:name="_Toc15377194"/>
      <w:bookmarkStart w:id="11" w:name="_Toc15377426"/>
      <w:r>
        <w:rPr>
          <w:rFonts w:hint="eastAsia" w:ascii="方正小标宋简体" w:hAnsi="方正小标宋简体" w:eastAsia="方正小标宋简体" w:cs="方正小标宋简体"/>
          <w:color w:val="000000"/>
          <w:sz w:val="72"/>
          <w:szCs w:val="72"/>
          <w:lang w:eastAsia="zh-CN"/>
        </w:rPr>
        <w:t>广元经济技术开发区</w:t>
      </w: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lang w:eastAsia="zh-CN"/>
        </w:rPr>
        <w:t>下西坝办事处单位决算</w:t>
      </w:r>
      <w:bookmarkEnd w:id="6"/>
      <w:bookmarkEnd w:id="7"/>
      <w:bookmarkEnd w:id="8"/>
      <w:bookmarkEnd w:id="9"/>
      <w:bookmarkEnd w:id="10"/>
      <w:bookmarkEnd w:id="11"/>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编</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制</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说</w:t>
      </w:r>
    </w:p>
    <w:p>
      <w:pPr>
        <w:adjustRightInd w:val="0"/>
        <w:snapToGrid w:val="0"/>
        <w:spacing w:line="360" w:lineRule="auto"/>
        <w:jc w:val="center"/>
        <w:outlineLvl w:val="0"/>
        <w:rPr>
          <w:rFonts w:ascii="黑体" w:hAnsi="黑体" w:eastAsia="黑体"/>
          <w:color w:val="000000"/>
          <w:sz w:val="48"/>
          <w:szCs w:val="48"/>
        </w:rPr>
      </w:pPr>
      <w:r>
        <w:rPr>
          <w:rFonts w:hint="eastAsia" w:ascii="微软雅黑" w:hAnsi="宋体" w:eastAsia="微软雅黑"/>
          <w:color w:val="000000"/>
          <w:sz w:val="72"/>
          <w:szCs w:val="72"/>
        </w:rPr>
        <w:t>明</w:t>
      </w:r>
      <w:r>
        <w:rPr>
          <w:rFonts w:ascii="微软雅黑" w:hAnsi="宋体" w:eastAsia="微软雅黑"/>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3"/>
      </w:pPr>
      <w:r>
        <w:rPr>
          <w:rFonts w:hint="eastAsia"/>
        </w:rPr>
        <w:t>公开时间：202</w:t>
      </w:r>
      <w:r>
        <w:rPr>
          <w:rFonts w:hint="eastAsia"/>
          <w:lang w:val="en-US" w:eastAsia="zh-CN"/>
        </w:rPr>
        <w:t>2</w:t>
      </w:r>
      <w:r>
        <w:rPr>
          <w:rFonts w:hint="eastAsia"/>
        </w:rPr>
        <w:t>年9月</w:t>
      </w:r>
      <w:r>
        <w:rPr>
          <w:rFonts w:hint="eastAsia"/>
          <w:lang w:val="en-US" w:eastAsia="zh-CN"/>
        </w:rPr>
        <w:t>26</w:t>
      </w:r>
      <w:r>
        <w:rPr>
          <w:rFonts w:hint="eastAsia"/>
        </w:rPr>
        <w:t>日</w:t>
      </w:r>
    </w:p>
    <w:p/>
    <w:p>
      <w:pPr>
        <w:pStyle w:val="13"/>
        <w:rPr>
          <w:rFonts w:cstheme="minorBidi"/>
        </w:rPr>
      </w:pPr>
      <w:r>
        <w:fldChar w:fldCharType="begin"/>
      </w:r>
      <w:r>
        <w:instrText xml:space="preserve"> HYPERLINK \l "_Toc15396599" </w:instrText>
      </w:r>
      <w:r>
        <w:fldChar w:fldCharType="separate"/>
      </w:r>
      <w:r>
        <w:rPr>
          <w:rStyle w:val="20"/>
          <w:rFonts w:hint="eastAsia"/>
        </w:rPr>
        <w:t>第一部分部门概况</w:t>
      </w:r>
      <w:r>
        <w:tab/>
      </w:r>
      <w:r>
        <w:rPr>
          <w:rFonts w:hint="eastAsia"/>
        </w:rPr>
        <w:t>8</w:t>
      </w:r>
      <w:r>
        <w:rPr>
          <w:rFonts w:hint="eastAsia"/>
        </w:rPr>
        <w:fldChar w:fldCharType="end"/>
      </w:r>
    </w:p>
    <w:p>
      <w:pPr>
        <w:pStyle w:val="15"/>
        <w:rPr>
          <w:rFonts w:ascii="仿宋" w:hAnsi="仿宋" w:eastAsia="仿宋" w:cstheme="minorBidi"/>
          <w:sz w:val="28"/>
          <w:szCs w:val="28"/>
        </w:rPr>
      </w:pPr>
      <w:r>
        <w:fldChar w:fldCharType="begin"/>
      </w:r>
      <w:r>
        <w:instrText xml:space="preserve"> HYPERLINK \l "_Toc15396600" </w:instrText>
      </w:r>
      <w:r>
        <w:fldChar w:fldCharType="separate"/>
      </w:r>
      <w:r>
        <w:rPr>
          <w:rStyle w:val="20"/>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"_Toc15396601" </w:instrText>
      </w:r>
      <w:r>
        <w:fldChar w:fldCharType="separate"/>
      </w:r>
      <w:r>
        <w:rPr>
          <w:rStyle w:val="20"/>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3"/>
      </w:pPr>
      <w:r>
        <w:fldChar w:fldCharType="begin"/>
      </w:r>
      <w:r>
        <w:instrText xml:space="preserve"> HYPERLINK \l "_Toc15396602" </w:instrText>
      </w:r>
      <w:r>
        <w:fldChar w:fldCharType="separate"/>
      </w:r>
      <w:r>
        <w:rPr>
          <w:rStyle w:val="20"/>
          <w:rFonts w:hint="eastAsia"/>
        </w:rPr>
        <w:t>第二部分</w:t>
      </w:r>
      <w:r>
        <w:rPr>
          <w:rStyle w:val="20"/>
        </w:rPr>
        <w:t xml:space="preserve"> </w:t>
      </w:r>
      <w:r>
        <w:rPr>
          <w:rStyle w:val="20"/>
          <w:rFonts w:hint="eastAsia"/>
        </w:rPr>
        <w:t>202</w:t>
      </w:r>
      <w:r>
        <w:rPr>
          <w:rStyle w:val="20"/>
          <w:rFonts w:hint="eastAsia"/>
          <w:lang w:val="en-US" w:eastAsia="zh-CN"/>
        </w:rPr>
        <w:t>1</w:t>
      </w:r>
      <w:r>
        <w:rPr>
          <w:rStyle w:val="20"/>
          <w:rFonts w:hint="eastAsia"/>
        </w:rPr>
        <w:t>年度部门决算情况说明</w:t>
      </w:r>
      <w:r>
        <w:tab/>
      </w:r>
      <w:r>
        <w:rPr>
          <w:rFonts w:hint="eastAsia"/>
        </w:rPr>
        <w:t>9</w:t>
      </w:r>
      <w:r>
        <w:rPr>
          <w:rFonts w:hint="eastAsia"/>
        </w:rPr>
        <w:fldChar w:fldCharType="end"/>
      </w:r>
    </w:p>
    <w:p>
      <w:pPr>
        <w:pStyle w:val="15"/>
        <w:rPr>
          <w:rFonts w:ascii="仿宋" w:hAnsi="仿宋" w:eastAsia="仿宋" w:cstheme="minorBidi"/>
          <w:sz w:val="28"/>
          <w:szCs w:val="28"/>
        </w:rPr>
      </w:pPr>
      <w:r>
        <w:fldChar w:fldCharType="begin"/>
      </w:r>
      <w:r>
        <w:instrText xml:space="preserve"> HYPERLINK \l "_Toc15396603" </w:instrText>
      </w:r>
      <w:r>
        <w:fldChar w:fldCharType="separate"/>
      </w:r>
      <w:r>
        <w:rPr>
          <w:rStyle w:val="20"/>
          <w:rFonts w:hint="eastAsia" w:ascii="仿宋" w:hAnsi="仿宋" w:eastAsia="仿宋" w:cstheme="majorBidi"/>
          <w:bCs/>
          <w:sz w:val="28"/>
          <w:szCs w:val="28"/>
        </w:rPr>
        <w:t>一、</w:t>
      </w:r>
      <w:r>
        <w:rPr>
          <w:rStyle w:val="20"/>
          <w:rFonts w:hint="eastAsia" w:ascii="仿宋" w:hAnsi="仿宋" w:eastAsia="仿宋"/>
          <w:sz w:val="28"/>
          <w:szCs w:val="28"/>
        </w:rPr>
        <w:t>收</w:t>
      </w:r>
      <w:r>
        <w:rPr>
          <w:rStyle w:val="20"/>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"_Toc15396604" </w:instrText>
      </w:r>
      <w:r>
        <w:fldChar w:fldCharType="separate"/>
      </w:r>
      <w:r>
        <w:rPr>
          <w:rStyle w:val="20"/>
          <w:rFonts w:hint="eastAsia" w:ascii="仿宋" w:hAnsi="仿宋" w:eastAsia="仿宋" w:cstheme="majorBidi"/>
          <w:bCs/>
          <w:sz w:val="28"/>
          <w:szCs w:val="28"/>
        </w:rPr>
        <w:t>二、</w:t>
      </w:r>
      <w:r>
        <w:rPr>
          <w:rStyle w:val="20"/>
          <w:rFonts w:hint="eastAsia" w:ascii="仿宋" w:hAnsi="仿宋" w:eastAsia="仿宋"/>
          <w:sz w:val="28"/>
          <w:szCs w:val="28"/>
        </w:rPr>
        <w:t>收</w:t>
      </w:r>
      <w:r>
        <w:rPr>
          <w:rStyle w:val="20"/>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"_Toc15396605" </w:instrText>
      </w:r>
      <w:r>
        <w:fldChar w:fldCharType="separate"/>
      </w:r>
      <w:r>
        <w:rPr>
          <w:rStyle w:val="20"/>
          <w:rFonts w:hint="eastAsia" w:ascii="仿宋" w:hAnsi="仿宋" w:eastAsia="仿宋" w:cstheme="majorBidi"/>
          <w:bCs/>
          <w:sz w:val="28"/>
          <w:szCs w:val="28"/>
        </w:rPr>
        <w:t>三、</w:t>
      </w:r>
      <w:r>
        <w:rPr>
          <w:rStyle w:val="20"/>
          <w:rFonts w:hint="eastAsia" w:ascii="仿宋" w:hAnsi="仿宋" w:eastAsia="仿宋"/>
          <w:sz w:val="28"/>
          <w:szCs w:val="28"/>
        </w:rPr>
        <w:t>支</w:t>
      </w:r>
      <w:r>
        <w:rPr>
          <w:rStyle w:val="20"/>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9</w:t>
      </w:r>
      <w:r>
        <w:rPr>
          <w:rFonts w:hint="eastAsia"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20"/>
          <w:rFonts w:hint="eastAsia" w:ascii="仿宋" w:hAnsi="仿宋" w:eastAsia="仿宋"/>
          <w:sz w:val="28"/>
          <w:szCs w:val="28"/>
        </w:rPr>
        <w:t>四、财</w:t>
      </w:r>
      <w:r>
        <w:rPr>
          <w:rStyle w:val="20"/>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5"/>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20"/>
          <w:rFonts w:hint="eastAsia" w:ascii="仿宋" w:hAnsi="仿宋" w:eastAsia="仿宋"/>
          <w:sz w:val="28"/>
          <w:szCs w:val="28"/>
        </w:rPr>
        <w:t>五、一</w:t>
      </w:r>
      <w:r>
        <w:rPr>
          <w:rStyle w:val="20"/>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7</w:t>
      </w:r>
    </w:p>
    <w:p>
      <w:pPr>
        <w:pStyle w:val="15"/>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0"/>
          <w:rFonts w:hint="eastAsia" w:ascii="仿宋" w:hAnsi="仿宋" w:eastAsia="仿宋"/>
          <w:sz w:val="28"/>
          <w:szCs w:val="28"/>
        </w:rPr>
        <w:t>六、一</w:t>
      </w:r>
      <w:r>
        <w:rPr>
          <w:rStyle w:val="20"/>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7</w:t>
      </w:r>
    </w:p>
    <w:p>
      <w:pPr>
        <w:pStyle w:val="15"/>
        <w:rPr>
          <w:rFonts w:ascii="仿宋" w:hAnsi="仿宋" w:eastAsia="仿宋" w:cstheme="minorBidi"/>
          <w:sz w:val="28"/>
          <w:szCs w:val="28"/>
        </w:rPr>
      </w:pPr>
      <w:r>
        <w:fldChar w:fldCharType="begin"/>
      </w:r>
      <w:r>
        <w:instrText xml:space="preserve"> HYPERLINK \l "_Toc15396609" </w:instrText>
      </w:r>
      <w:r>
        <w:fldChar w:fldCharType="separate"/>
      </w:r>
      <w:r>
        <w:rPr>
          <w:rStyle w:val="20"/>
          <w:rFonts w:hint="eastAsia" w:ascii="仿宋" w:hAnsi="仿宋" w:eastAsia="仿宋"/>
          <w:sz w:val="28"/>
          <w:szCs w:val="28"/>
        </w:rPr>
        <w:t>七、</w:t>
      </w:r>
      <w:r>
        <w:rPr>
          <w:rStyle w:val="20"/>
          <w:rFonts w:ascii="仿宋" w:hAnsi="仿宋" w:eastAsia="仿宋"/>
          <w:sz w:val="28"/>
          <w:szCs w:val="28"/>
        </w:rPr>
        <w:t>“</w:t>
      </w:r>
      <w:r>
        <w:rPr>
          <w:rStyle w:val="20"/>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"_Toc15396610" </w:instrText>
      </w:r>
      <w:r>
        <w:fldChar w:fldCharType="separate"/>
      </w:r>
      <w:r>
        <w:rPr>
          <w:rStyle w:val="20"/>
          <w:rFonts w:hint="eastAsia" w:ascii="仿宋" w:hAnsi="仿宋" w:eastAsia="仿宋"/>
          <w:sz w:val="28"/>
          <w:szCs w:val="28"/>
        </w:rPr>
        <w:t>八、</w:t>
      </w:r>
      <w:r>
        <w:rPr>
          <w:rStyle w:val="20"/>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"_Toc15396611" </w:instrText>
      </w:r>
      <w:r>
        <w:fldChar w:fldCharType="separate"/>
      </w:r>
      <w:r>
        <w:rPr>
          <w:rStyle w:val="20"/>
          <w:rFonts w:hint="eastAsia" w:ascii="仿宋" w:hAnsi="仿宋" w:eastAsia="仿宋" w:cstheme="majorBidi"/>
          <w:bCs/>
          <w:sz w:val="28"/>
          <w:szCs w:val="28"/>
        </w:rPr>
        <w:t>九、</w:t>
      </w:r>
      <w:r>
        <w:rPr>
          <w:rStyle w:val="20"/>
          <w:rFonts w:hint="eastAsia" w:ascii="仿宋" w:hAnsi="仿宋" w:eastAsia="仿宋"/>
          <w:sz w:val="28"/>
          <w:szCs w:val="28"/>
        </w:rPr>
        <w:t xml:space="preserve"> 国</w:t>
      </w:r>
      <w:r>
        <w:rPr>
          <w:rStyle w:val="20"/>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20"/>
          <w:rFonts w:hint="eastAsia" w:ascii="仿宋" w:hAnsi="仿宋" w:eastAsia="仿宋"/>
          <w:sz w:val="28"/>
          <w:szCs w:val="28"/>
        </w:rPr>
        <w:t>十</w:t>
      </w:r>
      <w:r>
        <w:rPr>
          <w:rStyle w:val="20"/>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8</w:t>
      </w:r>
    </w:p>
    <w:p>
      <w:pPr>
        <w:pStyle w:val="13"/>
        <w:rPr>
          <w:rFonts w:hint="eastAsia"/>
        </w:rPr>
      </w:pPr>
      <w:r>
        <w:fldChar w:fldCharType="begin"/>
      </w:r>
      <w:r>
        <w:instrText xml:space="preserve"> HYPERLINK \l "_Toc15396613" </w:instrText>
      </w:r>
      <w:r>
        <w:fldChar w:fldCharType="separate"/>
      </w:r>
      <w:r>
        <w:rPr>
          <w:rStyle w:val="20"/>
          <w:rFonts w:hint="eastAsia"/>
          <w:bCs/>
          <w:kern w:val="44"/>
        </w:rPr>
        <w:t>第三部分</w:t>
      </w:r>
      <w:r>
        <w:rPr>
          <w:rStyle w:val="20"/>
          <w:rFonts w:hint="eastAsia"/>
        </w:rPr>
        <w:t xml:space="preserve"> 名</w:t>
      </w:r>
      <w:r>
        <w:rPr>
          <w:rStyle w:val="20"/>
          <w:rFonts w:hint="eastAsia"/>
          <w:bCs/>
          <w:kern w:val="44"/>
        </w:rPr>
        <w:t>词解释</w:t>
      </w:r>
      <w:r>
        <w:tab/>
      </w:r>
      <w:r>
        <w:rPr>
          <w:rFonts w:hint="eastAsia"/>
        </w:rPr>
        <w:t>2</w:t>
      </w:r>
      <w:r>
        <w:rPr>
          <w:rFonts w:hint="eastAsia"/>
          <w:lang w:val="en-US" w:eastAsia="zh-CN"/>
        </w:rPr>
        <w:t>3</w:t>
      </w:r>
      <w:r>
        <w:rPr>
          <w:rFonts w:hint="eastAsia"/>
        </w:rPr>
        <w:fldChar w:fldCharType="end"/>
      </w:r>
    </w:p>
    <w:p>
      <w:pPr>
        <w:pStyle w:val="13"/>
        <w:rPr>
          <w:rFonts w:hint="eastAsia"/>
          <w:lang w:val="en-US" w:eastAsia="zh-CN"/>
        </w:rPr>
      </w:pPr>
      <w:r>
        <w:fldChar w:fldCharType="begin"/>
      </w:r>
      <w:r>
        <w:instrText xml:space="preserve"> HYPERLINK \l "_Toc15396618" </w:instrText>
      </w:r>
      <w:r>
        <w:fldChar w:fldCharType="separate"/>
      </w:r>
      <w:r>
        <w:rPr>
          <w:rStyle w:val="20"/>
          <w:rFonts w:hint="eastAsia"/>
        </w:rPr>
        <w:t>第</w:t>
      </w:r>
      <w:r>
        <w:rPr>
          <w:rStyle w:val="20"/>
          <w:rFonts w:hint="eastAsia"/>
          <w:bCs/>
          <w:kern w:val="44"/>
        </w:rPr>
        <w:t>四部分</w:t>
      </w:r>
      <w:r>
        <w:rPr>
          <w:rStyle w:val="20"/>
          <w:rFonts w:hint="eastAsia"/>
          <w:bCs/>
          <w:kern w:val="44"/>
          <w:lang w:eastAsia="zh-CN"/>
        </w:rPr>
        <w:t>附件</w:t>
      </w:r>
      <w:r>
        <w:tab/>
      </w:r>
      <w:r>
        <w:rPr>
          <w:rFonts w:hint="eastAsia"/>
          <w:lang w:val="en-US" w:eastAsia="zh-CN"/>
        </w:rPr>
        <w:t>2</w:t>
      </w:r>
      <w:r>
        <w:rPr>
          <w:rFonts w:hint="eastAsia"/>
        </w:rPr>
        <w:fldChar w:fldCharType="end"/>
      </w:r>
      <w:r>
        <w:rPr>
          <w:rFonts w:hint="eastAsia"/>
          <w:lang w:val="en-US" w:eastAsia="zh-CN"/>
        </w:rPr>
        <w:t>5</w:t>
      </w:r>
    </w:p>
    <w:p>
      <w:pPr>
        <w:pStyle w:val="13"/>
        <w:rPr>
          <w:rFonts w:hint="eastAsia" w:eastAsia="仿宋" w:cstheme="minorBidi"/>
          <w:lang w:val="en-US" w:eastAsia="zh-CN"/>
        </w:rPr>
      </w:pPr>
      <w:r>
        <w:fldChar w:fldCharType="begin"/>
      </w:r>
      <w:r>
        <w:instrText xml:space="preserve"> HYPERLINK \l "_Toc15396618" </w:instrText>
      </w:r>
      <w:r>
        <w:fldChar w:fldCharType="separate"/>
      </w:r>
      <w:r>
        <w:rPr>
          <w:rStyle w:val="20"/>
          <w:rFonts w:hint="eastAsia"/>
        </w:rPr>
        <w:t>第</w:t>
      </w:r>
      <w:r>
        <w:rPr>
          <w:rStyle w:val="20"/>
          <w:rFonts w:hint="eastAsia"/>
          <w:lang w:eastAsia="zh-CN"/>
        </w:rPr>
        <w:t>五</w:t>
      </w:r>
      <w:r>
        <w:rPr>
          <w:rStyle w:val="20"/>
          <w:rFonts w:hint="eastAsia"/>
          <w:bCs/>
          <w:kern w:val="44"/>
        </w:rPr>
        <w:t>部分附表</w:t>
      </w:r>
      <w:r>
        <w:tab/>
      </w:r>
      <w:r>
        <w:rPr>
          <w:rFonts w:hint="eastAsia"/>
          <w:lang w:val="en-US" w:eastAsia="zh-CN"/>
        </w:rPr>
        <w:t>3</w:t>
      </w:r>
      <w:r>
        <w:rPr>
          <w:rFonts w:hint="eastAsia"/>
        </w:rPr>
        <w:fldChar w:fldCharType="end"/>
      </w:r>
      <w:r>
        <w:rPr>
          <w:rFonts w:hint="eastAsia"/>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0"/>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0"/>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0"/>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0"/>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0"/>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0"/>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0"/>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0"/>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4"/>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0"/>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ascii="仿宋" w:hAnsi="仿宋" w:eastAsia="仿宋"/>
          <w:color w:val="000000"/>
          <w:sz w:val="24"/>
        </w:rPr>
        <w:fldChar w:fldCharType="end"/>
      </w:r>
      <w:r>
        <w:rPr>
          <w:rFonts w:hint="eastAsia" w:ascii="仿宋" w:hAnsi="仿宋" w:eastAsia="仿宋"/>
          <w:color w:val="auto"/>
          <w:sz w:val="28"/>
          <w:szCs w:val="28"/>
          <w:lang w:eastAsia="zh-CN"/>
        </w:rPr>
        <w:t>十一、政府性基金预算财政拨款收入支出决算表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Theme="minorEastAsia" w:hAnsiTheme="minorEastAsia" w:eastAsiaTheme="minorEastAsia" w:cstheme="minorEastAsia"/>
          <w:color w:val="auto"/>
          <w:sz w:val="24"/>
          <w:highlight w:val="none"/>
          <w:lang w:val="en-US" w:eastAsia="zh-CN"/>
        </w:rPr>
      </w:pPr>
      <w:r>
        <w:rPr>
          <w:rFonts w:hint="eastAsia" w:ascii="仿宋" w:hAnsi="仿宋" w:eastAsia="仿宋"/>
          <w:color w:val="auto"/>
          <w:sz w:val="28"/>
          <w:szCs w:val="28"/>
          <w:lang w:eastAsia="zh-CN"/>
        </w:rPr>
        <w:t>十二、政府性基金预算财政拨款“三公”经费支出决算</w:t>
      </w:r>
      <w:r>
        <w:rPr>
          <w:rFonts w:hint="eastAsia" w:asciiTheme="minorEastAsia" w:hAnsiTheme="minorEastAsia" w:eastAsiaTheme="minorEastAsia" w:cstheme="minorEastAsia"/>
          <w:color w:val="auto"/>
          <w:sz w:val="24"/>
          <w:highlight w:val="none"/>
        </w:rPr>
        <w:t>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十三、国有资本经营预算财政拨款收入支出决算表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十四、国有资本经营预算财政拨款支出决算表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widowControl/>
        <w:jc w:val="left"/>
        <w:rPr>
          <w:rFonts w:ascii="仿宋" w:hAnsi="仿宋" w:eastAsia="仿宋"/>
          <w:color w:val="000000"/>
          <w:sz w:val="24"/>
        </w:rPr>
      </w:pP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4"/>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5"/>
        <w:rPr>
          <w:rStyle w:val="3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pPr>
        <w:pStyle w:val="2"/>
        <w:adjustRightInd w:val="0"/>
        <w:snapToGrid w:val="0"/>
        <w:spacing w:beforeLines="0" w:line="560" w:lineRule="exact"/>
        <w:ind w:firstLine="672" w:firstLineChars="210"/>
        <w:rPr>
          <w:rFonts w:hAnsi="楷体_GB2312" w:cs="楷体_GB2312"/>
          <w:color w:val="000000"/>
          <w:sz w:val="32"/>
          <w:szCs w:val="32"/>
        </w:rPr>
      </w:pPr>
      <w:bookmarkStart w:id="18" w:name="_Toc15377199"/>
      <w:bookmarkStart w:id="19" w:name="_Toc15378446"/>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p>
      <w:pPr>
        <w:pStyle w:val="2"/>
        <w:adjustRightInd w:val="0"/>
        <w:snapToGrid w:val="0"/>
        <w:spacing w:beforeLines="0" w:line="560" w:lineRule="exact"/>
        <w:ind w:firstLine="672" w:firstLineChars="210"/>
        <w:rPr>
          <w:rFonts w:hAnsi="楷体_GB2312" w:cs="楷体_GB2312"/>
          <w:color w:val="000000"/>
          <w:sz w:val="32"/>
          <w:szCs w:val="32"/>
        </w:rPr>
      </w:pPr>
      <w:r>
        <w:rPr>
          <w:rFonts w:hint="eastAsia" w:hAnsi="楷体_GB2312" w:cs="楷体_GB2312"/>
          <w:color w:val="000000"/>
          <w:sz w:val="32"/>
          <w:szCs w:val="32"/>
        </w:rPr>
        <w:t>（二）主要工作。</w:t>
      </w:r>
    </w:p>
    <w:p>
      <w:pPr>
        <w:spacing w:line="554"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一、202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年主要工作情况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lang w:val="en-US" w:eastAsia="zh-CN"/>
        </w:rPr>
        <w:t>聚力发展，</w:t>
      </w:r>
      <w:r>
        <w:rPr>
          <w:rFonts w:hint="eastAsia" w:ascii="楷体_GB2312" w:hAnsi="楷体_GB2312" w:eastAsia="楷体_GB2312" w:cs="楷体_GB2312"/>
          <w:b/>
          <w:bCs/>
          <w:color w:val="auto"/>
          <w:sz w:val="32"/>
          <w:szCs w:val="32"/>
          <w:lang w:eastAsia="zh-CN"/>
        </w:rPr>
        <w:t>经济</w:t>
      </w:r>
      <w:r>
        <w:rPr>
          <w:rFonts w:hint="eastAsia" w:ascii="楷体_GB2312" w:hAnsi="楷体_GB2312" w:eastAsia="楷体_GB2312" w:cs="楷体_GB2312"/>
          <w:b/>
          <w:bCs/>
          <w:color w:val="auto"/>
          <w:sz w:val="32"/>
          <w:szCs w:val="32"/>
          <w:lang w:val="en-US" w:eastAsia="zh-CN"/>
        </w:rPr>
        <w:t>增速持续向好</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color w:val="auto"/>
          <w:sz w:val="32"/>
          <w:szCs w:val="32"/>
          <w:lang w:eastAsia="zh-CN"/>
        </w:rPr>
        <w:t>一是</w:t>
      </w:r>
      <w:r>
        <w:rPr>
          <w:rFonts w:hint="eastAsia" w:ascii="仿宋_GB2312" w:hAnsi="仿宋_GB2312" w:eastAsia="仿宋_GB2312" w:cs="仿宋_GB2312"/>
          <w:b/>
          <w:color w:val="auto"/>
          <w:sz w:val="32"/>
          <w:szCs w:val="32"/>
          <w:lang w:val="en-US" w:eastAsia="zh-CN"/>
        </w:rPr>
        <w:t>企业健康有序发展</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val="en-US" w:eastAsia="zh-CN"/>
        </w:rPr>
        <w:t>精准高效</w:t>
      </w:r>
      <w:r>
        <w:rPr>
          <w:rFonts w:hint="eastAsia" w:ascii="仿宋_GB2312" w:hAnsi="仿宋_GB2312" w:eastAsia="仿宋_GB2312" w:cs="仿宋_GB2312"/>
          <w:b w:val="0"/>
          <w:bCs/>
          <w:color w:val="auto"/>
          <w:sz w:val="32"/>
          <w:szCs w:val="32"/>
          <w:lang w:eastAsia="zh-CN"/>
        </w:rPr>
        <w:t>做好企业运行服务保障，</w:t>
      </w:r>
      <w:r>
        <w:rPr>
          <w:rFonts w:hint="eastAsia" w:ascii="仿宋_GB2312" w:hAnsi="仿宋_GB2312" w:eastAsia="仿宋_GB2312" w:cs="仿宋_GB2312"/>
          <w:b w:val="0"/>
          <w:bCs/>
          <w:color w:val="auto"/>
          <w:sz w:val="32"/>
          <w:szCs w:val="32"/>
          <w:lang w:val="en-US" w:eastAsia="zh-CN"/>
        </w:rPr>
        <w:t>属地</w:t>
      </w:r>
      <w:r>
        <w:rPr>
          <w:rFonts w:hint="eastAsia" w:ascii="仿宋_GB2312" w:hAnsi="仿宋_GB2312" w:eastAsia="仿宋_GB2312" w:cs="仿宋_GB2312"/>
          <w:b w:val="0"/>
          <w:bCs/>
          <w:color w:val="auto"/>
          <w:sz w:val="32"/>
          <w:szCs w:val="32"/>
          <w:lang w:eastAsia="zh-CN"/>
        </w:rPr>
        <w:t>长虹、娃哈哈、</w:t>
      </w:r>
      <w:r>
        <w:rPr>
          <w:rFonts w:hint="eastAsia" w:ascii="仿宋_GB2312" w:hAnsi="仿宋_GB2312" w:eastAsia="仿宋_GB2312" w:cs="仿宋_GB2312"/>
          <w:b w:val="0"/>
          <w:bCs/>
          <w:color w:val="auto"/>
          <w:sz w:val="32"/>
          <w:szCs w:val="32"/>
          <w:lang w:val="en-US" w:eastAsia="zh-CN"/>
        </w:rPr>
        <w:t>金贝儿</w:t>
      </w:r>
      <w:r>
        <w:rPr>
          <w:rFonts w:hint="eastAsia" w:ascii="仿宋_GB2312" w:hAnsi="仿宋_GB2312" w:eastAsia="仿宋_GB2312" w:cs="仿宋_GB2312"/>
          <w:b w:val="0"/>
          <w:bCs/>
          <w:color w:val="auto"/>
          <w:sz w:val="32"/>
          <w:szCs w:val="32"/>
          <w:lang w:eastAsia="zh-CN"/>
        </w:rPr>
        <w:t>等重点企业运行平稳有序，</w:t>
      </w:r>
      <w:r>
        <w:rPr>
          <w:rFonts w:hint="eastAsia" w:ascii="仿宋_GB2312" w:hAnsi="仿宋_GB2312" w:eastAsia="仿宋_GB2312" w:cs="仿宋_GB2312"/>
          <w:b w:val="0"/>
          <w:bCs/>
          <w:color w:val="auto"/>
          <w:sz w:val="32"/>
          <w:szCs w:val="32"/>
          <w:lang w:val="en-US" w:eastAsia="zh-CN"/>
        </w:rPr>
        <w:t>国际商贸城、工贸家世界等企业壮大发展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000000"/>
          <w:sz w:val="32"/>
          <w:szCs w:val="32"/>
          <w:lang w:val="en-US" w:eastAsia="zh-CN"/>
        </w:rPr>
        <w:t>截止10月，</w:t>
      </w:r>
      <w:r>
        <w:rPr>
          <w:rFonts w:hint="eastAsia" w:ascii="仿宋_GB2312" w:hAnsi="仿宋_GB2312" w:eastAsia="仿宋_GB2312" w:cs="仿宋_GB2312"/>
          <w:b w:val="0"/>
          <w:bCs/>
          <w:color w:val="auto"/>
          <w:sz w:val="32"/>
          <w:szCs w:val="32"/>
          <w:lang w:eastAsia="zh-CN"/>
        </w:rPr>
        <w:t>规模以上工业企业实现生产产值</w:t>
      </w:r>
      <w:r>
        <w:rPr>
          <w:rFonts w:hint="eastAsia" w:ascii="仿宋_GB2312" w:hAnsi="仿宋_GB2312" w:eastAsia="仿宋_GB2312" w:cs="仿宋_GB2312"/>
          <w:sz w:val="32"/>
          <w:szCs w:val="32"/>
          <w:lang w:val="en-US" w:eastAsia="zh-CN"/>
        </w:rPr>
        <w:t>132.5</w:t>
      </w:r>
      <w:r>
        <w:rPr>
          <w:rFonts w:hint="eastAsia" w:ascii="仿宋_GB2312" w:hAnsi="仿宋_GB2312" w:eastAsia="仿宋_GB2312" w:cs="仿宋_GB2312"/>
          <w:b w:val="0"/>
          <w:bCs/>
          <w:color w:val="auto"/>
          <w:sz w:val="32"/>
          <w:szCs w:val="32"/>
          <w:lang w:eastAsia="zh-CN"/>
        </w:rPr>
        <w:t>亿元，销售产值</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b w:val="0"/>
          <w:bCs/>
          <w:color w:val="auto"/>
          <w:sz w:val="32"/>
          <w:szCs w:val="32"/>
          <w:lang w:eastAsia="zh-CN"/>
        </w:rPr>
        <w:t>亿元，</w:t>
      </w:r>
      <w:r>
        <w:rPr>
          <w:rFonts w:hint="eastAsia" w:ascii="仿宋_GB2312" w:hAnsi="仿宋_GB2312" w:eastAsia="仿宋_GB2312" w:cs="仿宋_GB2312"/>
          <w:sz w:val="32"/>
          <w:szCs w:val="32"/>
        </w:rPr>
        <w:t>预计到</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rPr>
        <w:t>规上工业企业实现产值</w:t>
      </w:r>
      <w:r>
        <w:rPr>
          <w:rFonts w:hint="eastAsia" w:ascii="仿宋_GB2312" w:hAnsi="仿宋_GB2312" w:eastAsia="仿宋_GB2312" w:cs="仿宋_GB2312"/>
          <w:sz w:val="32"/>
          <w:szCs w:val="32"/>
          <w:lang w:val="en-US" w:eastAsia="zh-CN"/>
        </w:rPr>
        <w:t>159亿元，</w:t>
      </w:r>
      <w:r>
        <w:rPr>
          <w:rFonts w:hint="eastAsia" w:ascii="仿宋_GB2312" w:hAnsi="仿宋_GB2312" w:eastAsia="仿宋_GB2312" w:cs="仿宋_GB2312"/>
          <w:sz w:val="32"/>
          <w:szCs w:val="32"/>
        </w:rPr>
        <w:t>实现销售</w:t>
      </w:r>
      <w:r>
        <w:rPr>
          <w:rFonts w:hint="eastAsia" w:ascii="仿宋_GB2312" w:hAnsi="仿宋_GB2312" w:eastAsia="仿宋_GB2312" w:cs="仿宋_GB2312"/>
          <w:sz w:val="32"/>
          <w:szCs w:val="32"/>
          <w:lang w:eastAsia="zh-CN"/>
        </w:rPr>
        <w:t>产值</w:t>
      </w: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亿元，实现增加值</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二是项目投资有力有效。</w:t>
      </w:r>
      <w:r>
        <w:rPr>
          <w:rFonts w:hint="eastAsia" w:ascii="仿宋_GB2312" w:hAnsi="仿宋_GB2312" w:eastAsia="仿宋_GB2312" w:cs="仿宋_GB2312"/>
          <w:sz w:val="32"/>
          <w:szCs w:val="32"/>
          <w:lang w:val="en-US" w:eastAsia="zh-CN"/>
        </w:rPr>
        <w:t>切实强化工作保障，与园区指挥部互促互进，全力以赴抓好项目投资工作。</w:t>
      </w:r>
      <w:r>
        <w:rPr>
          <w:rFonts w:hint="eastAsia" w:ascii="仿宋_GB2312" w:hAnsi="仿宋_GB2312" w:eastAsia="仿宋_GB2312" w:cs="仿宋_GB2312"/>
          <w:color w:val="auto"/>
          <w:sz w:val="32"/>
          <w:szCs w:val="32"/>
          <w:lang w:val="en-US" w:eastAsia="zh-CN"/>
        </w:rPr>
        <w:t>截至9月，全社会固定资产投资累计完成22.3188亿元，超时间进度8688万元，预计可圆满完成全年目标任务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w:t>
      </w:r>
      <w:r>
        <w:rPr>
          <w:rFonts w:ascii="仿宋" w:hAnsi="仿宋" w:eastAsia="仿宋"/>
          <w:b/>
          <w:sz w:val="32"/>
        </w:rPr>
        <w:t>招商引资</w:t>
      </w:r>
      <w:r>
        <w:rPr>
          <w:rFonts w:hint="eastAsia" w:ascii="仿宋" w:hAnsi="仿宋" w:eastAsia="仿宋"/>
          <w:b/>
          <w:sz w:val="32"/>
          <w:lang w:eastAsia="zh-CN"/>
        </w:rPr>
        <w:t>稳步推进。</w:t>
      </w:r>
      <w:r>
        <w:rPr>
          <w:rFonts w:hint="eastAsia" w:ascii="仿宋_GB2312" w:hAnsi="仿宋_GB2312" w:eastAsia="仿宋_GB2312" w:cs="仿宋_GB2312"/>
          <w:sz w:val="32"/>
        </w:rPr>
        <w:t>主动作为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抢抓机遇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招商引资工作铺开新局面。截</w:t>
      </w:r>
      <w:r>
        <w:rPr>
          <w:rFonts w:hint="eastAsia" w:ascii="仿宋_GB2312" w:hAnsi="仿宋_GB2312" w:eastAsia="仿宋_GB2312" w:cs="仿宋_GB2312"/>
          <w:sz w:val="32"/>
          <w:lang w:eastAsia="zh-CN"/>
        </w:rPr>
        <w:t>至</w:t>
      </w:r>
      <w:r>
        <w:rPr>
          <w:rFonts w:hint="eastAsia" w:ascii="仿宋_GB2312" w:hAnsi="仿宋_GB2312" w:eastAsia="仿宋_GB2312" w:cs="仿宋_GB2312"/>
          <w:sz w:val="32"/>
        </w:rPr>
        <w:t>11月，共计引资</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个重大项目，总投资共计</w:t>
      </w:r>
      <w:r>
        <w:rPr>
          <w:rFonts w:hint="eastAsia" w:ascii="仿宋_GB2312" w:hAnsi="仿宋_GB2312" w:eastAsia="仿宋_GB2312" w:cs="仿宋_GB2312"/>
          <w:sz w:val="32"/>
          <w:lang w:val="en-US" w:eastAsia="zh-CN"/>
        </w:rPr>
        <w:t>42</w:t>
      </w:r>
      <w:r>
        <w:rPr>
          <w:rFonts w:hint="eastAsia" w:ascii="仿宋_GB2312" w:hAnsi="仿宋_GB2312" w:eastAsia="仿宋_GB2312" w:cs="仿宋_GB2312"/>
          <w:sz w:val="32"/>
        </w:rPr>
        <w:t>亿元，到位资金</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亿元，捕捉招商信息</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lang w:eastAsia="zh-CN"/>
        </w:rPr>
        <w:t>余</w:t>
      </w:r>
      <w:r>
        <w:rPr>
          <w:rFonts w:hint="eastAsia" w:ascii="仿宋_GB2312" w:hAnsi="仿宋_GB2312" w:eastAsia="仿宋_GB2312" w:cs="仿宋_GB2312"/>
          <w:sz w:val="32"/>
        </w:rPr>
        <w:t>条。</w:t>
      </w:r>
    </w:p>
    <w:p>
      <w:pPr>
        <w:keepNext w:val="0"/>
        <w:keepLines w:val="0"/>
        <w:pageBreakBefore w:val="0"/>
        <w:widowControl/>
        <w:suppressLineNumbers w:val="0"/>
        <w:tabs>
          <w:tab w:val="left" w:pos="5250"/>
        </w:tabs>
        <w:kinsoku/>
        <w:wordWrap/>
        <w:overflowPunct/>
        <w:topLinePunct w:val="0"/>
        <w:autoSpaceDE/>
        <w:autoSpaceDN/>
        <w:bidi w:val="0"/>
        <w:adjustRightInd/>
        <w:snapToGrid/>
        <w:spacing w:line="576"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（二）强抓项目，全域城市化快速推进。</w:t>
      </w:r>
      <w:r>
        <w:rPr>
          <w:rFonts w:hint="eastAsia" w:ascii="仿宋_GB2312" w:hAnsi="仿宋_GB2312" w:eastAsia="仿宋_GB2312" w:cs="仿宋_GB2312"/>
          <w:b/>
          <w:bCs/>
          <w:color w:val="auto"/>
          <w:sz w:val="32"/>
          <w:szCs w:val="32"/>
          <w:lang w:val="en-US" w:eastAsia="zh-CN"/>
        </w:rPr>
        <w:t>一是重点项目全力推进</w:t>
      </w:r>
      <w:r>
        <w:rPr>
          <w:rFonts w:hint="eastAsia" w:ascii="仿宋_GB2312" w:hAnsi="仿宋_GB2312" w:eastAsia="仿宋_GB2312" w:cs="仿宋_GB2312"/>
          <w:b w:val="0"/>
          <w:bCs w:val="0"/>
          <w:color w:val="auto"/>
          <w:sz w:val="32"/>
          <w:szCs w:val="32"/>
          <w:lang w:val="en-US" w:eastAsia="zh-CN"/>
        </w:rPr>
        <w:t>。全力以赴抓好</w:t>
      </w:r>
      <w:r>
        <w:rPr>
          <w:rFonts w:hint="eastAsia" w:ascii="仿宋_GB2312" w:hAnsi="仿宋_GB2312" w:eastAsia="仿宋_GB2312" w:cs="仿宋_GB2312"/>
          <w:b w:val="0"/>
          <w:bCs w:val="0"/>
          <w:sz w:val="32"/>
          <w:szCs w:val="32"/>
          <w:lang w:val="en-US" w:eastAsia="zh-CN"/>
        </w:rPr>
        <w:t>利州西路棚户区改造、曾家桥棚户区等重点项目</w:t>
      </w:r>
      <w:r>
        <w:rPr>
          <w:rFonts w:hint="eastAsia" w:ascii="仿宋_GB2312" w:hAnsi="仿宋_GB2312" w:eastAsia="仿宋_GB2312" w:cs="仿宋_GB2312"/>
          <w:b w:val="0"/>
          <w:bCs w:val="0"/>
          <w:color w:val="auto"/>
          <w:sz w:val="32"/>
          <w:szCs w:val="32"/>
          <w:lang w:val="en-US" w:eastAsia="zh-CN"/>
        </w:rPr>
        <w:t>建设，利州西路</w:t>
      </w:r>
      <w:r>
        <w:rPr>
          <w:rFonts w:hint="eastAsia" w:ascii="仿宋_GB2312" w:hAnsi="仿宋_GB2312" w:eastAsia="仿宋_GB2312" w:cs="仿宋_GB2312"/>
          <w:b w:val="0"/>
          <w:bCs w:val="0"/>
          <w:sz w:val="32"/>
          <w:szCs w:val="32"/>
          <w:lang w:val="en-US" w:eastAsia="zh-CN"/>
        </w:rPr>
        <w:t>棚户区改造项目完成拆迁协议签订55户，搬家40户，安置人口</w:t>
      </w:r>
      <w:r>
        <w:rPr>
          <w:rFonts w:hint="eastAsia" w:ascii="仿宋_GB2312" w:hAnsi="仿宋_GB2312" w:eastAsia="仿宋_GB2312" w:cs="仿宋_GB2312"/>
          <w:b w:val="0"/>
          <w:bCs w:val="0"/>
          <w:color w:val="auto"/>
          <w:sz w:val="32"/>
          <w:szCs w:val="32"/>
          <w:lang w:val="en-US" w:eastAsia="zh-CN"/>
        </w:rPr>
        <w:t>305</w:t>
      </w:r>
      <w:r>
        <w:rPr>
          <w:rFonts w:hint="eastAsia" w:ascii="仿宋_GB2312" w:hAnsi="仿宋_GB2312" w:eastAsia="仿宋_GB2312" w:cs="仿宋_GB2312"/>
          <w:b w:val="0"/>
          <w:bCs w:val="0"/>
          <w:sz w:val="32"/>
          <w:szCs w:val="32"/>
          <w:lang w:val="en-US" w:eastAsia="zh-CN"/>
        </w:rPr>
        <w:t>人，兑付资金7000余万元；曾家桥棚户区项目（老旧小区改造配套项目）完成协议签订14户，拆迁面积4200余平方米，安置人口42</w:t>
      </w:r>
      <w:r>
        <w:rPr>
          <w:rFonts w:hint="eastAsia" w:ascii="仿宋_GB2312" w:hAnsi="仿宋_GB2312" w:eastAsia="仿宋_GB2312" w:cs="仿宋_GB2312"/>
          <w:b w:val="0"/>
          <w:bCs w:val="0"/>
          <w:color w:val="auto"/>
          <w:sz w:val="32"/>
          <w:szCs w:val="32"/>
          <w:lang w:val="en-US" w:eastAsia="zh-CN"/>
        </w:rPr>
        <w:t>人，兑付资金1300余万元。</w:t>
      </w:r>
      <w:r>
        <w:rPr>
          <w:rFonts w:hint="eastAsia" w:ascii="仿宋_GB2312" w:hAnsi="仿宋_GB2312" w:eastAsia="仿宋_GB2312" w:cs="仿宋_GB2312"/>
          <w:b/>
          <w:bCs/>
          <w:color w:val="auto"/>
          <w:sz w:val="32"/>
          <w:szCs w:val="32"/>
          <w:lang w:val="en-US" w:eastAsia="zh-CN"/>
        </w:rPr>
        <w:t>二是城市建设步伐不断加快。</w:t>
      </w:r>
      <w:r>
        <w:rPr>
          <w:rFonts w:hint="eastAsia" w:ascii="仿宋_GB2312" w:hAnsi="仿宋_GB2312" w:eastAsia="仿宋_GB2312" w:cs="仿宋_GB2312"/>
          <w:b w:val="0"/>
          <w:bCs w:val="0"/>
          <w:color w:val="auto"/>
          <w:sz w:val="32"/>
          <w:szCs w:val="32"/>
          <w:lang w:val="en-US" w:eastAsia="zh-CN"/>
        </w:rPr>
        <w:t>全力推动树人中学改扩建、红轮机械异地搬迁技改、市第四人民医院科教综合楼等项目建设，做好阳光印江山、国成百合郡、驰天万象、邦泰花园城等城市项目协调服务和要素保障，城市开发项目快速有序推进。</w:t>
      </w:r>
      <w:r>
        <w:rPr>
          <w:rFonts w:hint="eastAsia" w:ascii="仿宋_GB2312" w:hAnsi="仿宋_GB2312" w:eastAsia="仿宋_GB2312" w:cs="仿宋_GB2312"/>
          <w:b/>
          <w:bCs/>
          <w:color w:val="auto"/>
          <w:sz w:val="32"/>
          <w:szCs w:val="32"/>
          <w:lang w:val="en-US" w:eastAsia="zh-CN"/>
        </w:rPr>
        <w:t>三是老旧小区改造项目稳步推进。</w:t>
      </w:r>
      <w:r>
        <w:rPr>
          <w:rFonts w:hint="eastAsia" w:ascii="仿宋_GB2312" w:hAnsi="仿宋_GB2312" w:eastAsia="仿宋_GB2312" w:cs="仿宋_GB2312"/>
          <w:b w:val="0"/>
          <w:bCs w:val="0"/>
          <w:color w:val="auto"/>
          <w:sz w:val="32"/>
          <w:szCs w:val="32"/>
          <w:lang w:val="en-US" w:eastAsia="zh-CN"/>
        </w:rPr>
        <w:t>落责任强措施，扎实做好老旧小区改造，目前，铁路社区老旧小区改造一分会小区等3个小区已完成改造并通过验收，二分会小区、活力小区已完工并准备验收，三分会小区正在稳步推进，预计12月底竣工。</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2" w:firstLineChars="200"/>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sz w:val="32"/>
          <w:szCs w:val="32"/>
          <w:lang w:val="en-US" w:eastAsia="zh-CN"/>
        </w:rPr>
        <w:t>（三）</w:t>
      </w:r>
      <w:r>
        <w:rPr>
          <w:rFonts w:hint="default" w:ascii="楷体_GB2312" w:hAnsi="楷体_GB2312" w:eastAsia="楷体_GB2312" w:cs="楷体_GB2312"/>
          <w:b/>
          <w:bCs/>
          <w:color w:val="auto"/>
          <w:sz w:val="32"/>
          <w:szCs w:val="32"/>
          <w:lang w:val="en-US" w:eastAsia="zh-CN"/>
        </w:rPr>
        <w:t>以人</w:t>
      </w:r>
      <w:r>
        <w:rPr>
          <w:rFonts w:hint="eastAsia" w:ascii="楷体_GB2312" w:hAnsi="楷体_GB2312" w:eastAsia="楷体_GB2312" w:cs="楷体_GB2312"/>
          <w:b/>
          <w:bCs/>
          <w:color w:val="auto"/>
          <w:sz w:val="32"/>
          <w:szCs w:val="32"/>
          <w:lang w:val="en-US" w:eastAsia="zh-CN"/>
        </w:rPr>
        <w:t>为本</w:t>
      </w:r>
      <w:r>
        <w:rPr>
          <w:rFonts w:hint="default"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lang w:val="en-US" w:eastAsia="zh-CN"/>
        </w:rPr>
        <w:t>社会民生事业健康发展</w:t>
      </w:r>
      <w:r>
        <w:rPr>
          <w:rFonts w:hint="eastAsia" w:ascii="楷体_GB2312" w:hAnsi="楷体_GB2312" w:eastAsia="楷体_GB2312" w:cs="楷体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一是</w:t>
      </w:r>
      <w:r>
        <w:rPr>
          <w:rFonts w:hint="default" w:ascii="Times New Roman" w:hAnsi="Times New Roman" w:eastAsia="仿宋_GB2312" w:cs="Times New Roman"/>
          <w:b/>
          <w:sz w:val="32"/>
          <w:szCs w:val="32"/>
        </w:rPr>
        <w:t>民生保障持续加强。</w:t>
      </w:r>
      <w:r>
        <w:rPr>
          <w:rFonts w:hint="eastAsia" w:ascii="Times New Roman" w:hAnsi="Times New Roman" w:eastAsia="仿宋_GB2312" w:cs="Times New Roman"/>
          <w:color w:val="000000"/>
          <w:sz w:val="32"/>
          <w:szCs w:val="32"/>
          <w:lang w:val="en-US" w:eastAsia="zh-CN"/>
        </w:rPr>
        <w:t>全面</w:t>
      </w:r>
      <w:r>
        <w:rPr>
          <w:rFonts w:hint="default" w:ascii="Times New Roman" w:hAnsi="Times New Roman" w:eastAsia="仿宋_GB2312" w:cs="Times New Roman"/>
          <w:color w:val="000000"/>
          <w:sz w:val="32"/>
          <w:szCs w:val="32"/>
        </w:rPr>
        <w:t>完成城镇居民医疗保险、城乡居民养老保险续保和征缴工作</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城乡低保、五保救助、残疾</w:t>
      </w:r>
      <w:r>
        <w:rPr>
          <w:rFonts w:hint="default" w:ascii="Times New Roman" w:hAnsi="Times New Roman" w:eastAsia="仿宋_GB2312" w:cs="Times New Roman"/>
          <w:b w:val="0"/>
          <w:bCs w:val="0"/>
          <w:color w:val="000000"/>
          <w:sz w:val="32"/>
          <w:szCs w:val="32"/>
        </w:rPr>
        <w:t>人等弱势群体的保障金定期足额发放</w:t>
      </w:r>
      <w:r>
        <w:rPr>
          <w:rFonts w:hint="eastAsia" w:ascii="Times New Roman" w:hAnsi="Times New Roman" w:eastAsia="仿宋_GB2312" w:cs="Times New Roman"/>
          <w:b w:val="0"/>
          <w:bCs w:val="0"/>
          <w:color w:val="000000"/>
          <w:sz w:val="32"/>
          <w:szCs w:val="32"/>
          <w:lang w:val="en-US" w:eastAsia="zh-CN"/>
        </w:rPr>
        <w:t>。</w:t>
      </w:r>
      <w:r>
        <w:rPr>
          <w:rFonts w:hint="eastAsia" w:ascii="仿宋_GB2312" w:hAnsi="仿宋_GB2312" w:eastAsia="仿宋_GB2312" w:cs="仿宋_GB2312"/>
          <w:b w:val="0"/>
          <w:bCs w:val="0"/>
          <w:color w:val="auto"/>
          <w:sz w:val="32"/>
          <w:szCs w:val="32"/>
          <w:lang w:val="en-US" w:eastAsia="zh-CN"/>
        </w:rPr>
        <w:t>全年</w:t>
      </w:r>
      <w:r>
        <w:rPr>
          <w:rFonts w:hint="eastAsia" w:ascii="仿宋_GB2312" w:hAnsi="仿宋_GB2312" w:eastAsia="仿宋_GB2312" w:cs="仿宋_GB2312"/>
          <w:color w:val="000000"/>
          <w:sz w:val="32"/>
          <w:szCs w:val="32"/>
        </w:rPr>
        <w:t>共保障城</w:t>
      </w:r>
      <w:r>
        <w:rPr>
          <w:rFonts w:hint="eastAsia" w:ascii="仿宋_GB2312" w:hAnsi="仿宋_GB2312" w:eastAsia="仿宋_GB2312" w:cs="仿宋_GB2312"/>
          <w:color w:val="000000"/>
          <w:sz w:val="32"/>
          <w:szCs w:val="32"/>
          <w:lang w:eastAsia="zh-CN"/>
        </w:rPr>
        <w:t>乡低保</w:t>
      </w:r>
      <w:r>
        <w:rPr>
          <w:rFonts w:hint="eastAsia" w:ascii="仿宋_GB2312" w:hAnsi="仿宋_GB2312" w:eastAsia="仿宋_GB2312" w:cs="仿宋_GB2312"/>
          <w:color w:val="000000"/>
          <w:sz w:val="32"/>
          <w:szCs w:val="32"/>
          <w:lang w:val="en-US" w:eastAsia="zh-CN"/>
        </w:rPr>
        <w:t>1128</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发放低保金</w:t>
      </w:r>
      <w:r>
        <w:rPr>
          <w:rFonts w:hint="eastAsia" w:ascii="仿宋_GB2312" w:hAnsi="仿宋_GB2312" w:eastAsia="仿宋_GB2312" w:cs="仿宋_GB2312"/>
          <w:color w:val="000000"/>
          <w:sz w:val="32"/>
          <w:szCs w:val="32"/>
          <w:lang w:val="en-US" w:eastAsia="zh-CN"/>
        </w:rPr>
        <w:t>422.1963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救助医疗特困家庭</w:t>
      </w:r>
      <w:r>
        <w:rPr>
          <w:rFonts w:hint="eastAsia" w:ascii="仿宋_GB2312" w:hAnsi="仿宋_GB2312" w:eastAsia="仿宋_GB2312" w:cs="仿宋_GB2312"/>
          <w:color w:val="000000"/>
          <w:sz w:val="32"/>
          <w:szCs w:val="32"/>
          <w:lang w:val="en-US" w:eastAsia="zh-CN"/>
        </w:rPr>
        <w:t>139人次，</w:t>
      </w:r>
      <w:r>
        <w:rPr>
          <w:rFonts w:hint="eastAsia" w:ascii="仿宋_GB2312" w:hAnsi="仿宋_GB2312" w:eastAsia="仿宋_GB2312" w:cs="仿宋_GB2312"/>
          <w:color w:val="000000"/>
          <w:sz w:val="32"/>
          <w:szCs w:val="32"/>
        </w:rPr>
        <w:t>临时生活救助</w:t>
      </w:r>
      <w:r>
        <w:rPr>
          <w:rFonts w:hint="eastAsia" w:ascii="仿宋_GB2312" w:hAnsi="仿宋_GB2312" w:eastAsia="仿宋_GB2312" w:cs="仿宋_GB2312"/>
          <w:color w:val="000000"/>
          <w:sz w:val="32"/>
          <w:szCs w:val="32"/>
          <w:lang w:val="en-US" w:eastAsia="zh-CN"/>
        </w:rPr>
        <w:t>39</w:t>
      </w:r>
      <w:r>
        <w:rPr>
          <w:rFonts w:hint="eastAsia" w:ascii="仿宋_GB2312" w:hAnsi="仿宋_GB2312" w:eastAsia="仿宋_GB2312" w:cs="仿宋_GB2312"/>
          <w:color w:val="000000"/>
          <w:sz w:val="32"/>
          <w:szCs w:val="32"/>
        </w:rPr>
        <w:t>人，发放救助金</w:t>
      </w:r>
      <w:r>
        <w:rPr>
          <w:rFonts w:hint="eastAsia" w:ascii="仿宋_GB2312" w:hAnsi="仿宋_GB2312" w:eastAsia="仿宋_GB2312" w:cs="仿宋_GB2312"/>
          <w:color w:val="000000"/>
          <w:sz w:val="32"/>
          <w:szCs w:val="32"/>
          <w:lang w:val="en-US" w:eastAsia="zh-CN"/>
        </w:rPr>
        <w:t>5.19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rPr>
        <w:t>发放困难残疾人生活补贴</w:t>
      </w:r>
      <w:r>
        <w:rPr>
          <w:rFonts w:hint="eastAsia" w:ascii="仿宋_GB2312" w:hAnsi="仿宋_GB2312" w:eastAsia="仿宋_GB2312" w:cs="仿宋_GB2312"/>
          <w:color w:val="000000"/>
          <w:sz w:val="32"/>
          <w:szCs w:val="32"/>
          <w:highlight w:val="none"/>
          <w:lang w:val="en-US" w:eastAsia="zh-CN"/>
        </w:rPr>
        <w:t>21.36万</w:t>
      </w:r>
      <w:r>
        <w:rPr>
          <w:rFonts w:hint="eastAsia" w:ascii="仿宋_GB2312" w:hAnsi="仿宋_GB2312" w:eastAsia="仿宋_GB2312" w:cs="仿宋_GB2312"/>
          <w:color w:val="000000"/>
          <w:sz w:val="32"/>
          <w:szCs w:val="32"/>
          <w:highlight w:val="none"/>
        </w:rPr>
        <w:t>元，重度残疾人生活补贴</w:t>
      </w:r>
      <w:r>
        <w:rPr>
          <w:rFonts w:hint="eastAsia" w:ascii="仿宋_GB2312" w:hAnsi="仿宋_GB2312" w:eastAsia="仿宋_GB2312" w:cs="仿宋_GB2312"/>
          <w:color w:val="000000"/>
          <w:sz w:val="32"/>
          <w:szCs w:val="32"/>
          <w:highlight w:val="none"/>
          <w:lang w:val="en-US" w:eastAsia="zh-CN"/>
        </w:rPr>
        <w:t>10.2万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val="en-US" w:eastAsia="zh-CN"/>
        </w:rPr>
        <w:t>二是</w:t>
      </w:r>
      <w:r>
        <w:rPr>
          <w:rFonts w:hint="eastAsia" w:hAnsi="仿宋_GB2312" w:cs="仿宋_GB2312"/>
          <w:b/>
          <w:bCs/>
          <w:color w:val="000000"/>
          <w:sz w:val="32"/>
          <w:szCs w:val="32"/>
          <w:lang w:val="en-US" w:eastAsia="zh-CN"/>
        </w:rPr>
        <w:t>扎实办好</w:t>
      </w:r>
      <w:r>
        <w:rPr>
          <w:rFonts w:hint="eastAsia" w:ascii="仿宋_GB2312" w:hAnsi="仿宋_GB2312" w:eastAsia="仿宋_GB2312" w:cs="仿宋_GB2312"/>
          <w:b/>
          <w:bCs/>
          <w:color w:val="auto"/>
          <w:spacing w:val="0"/>
          <w:sz w:val="32"/>
          <w:szCs w:val="32"/>
          <w:lang w:eastAsia="zh-CN"/>
        </w:rPr>
        <w:t>民生实事</w:t>
      </w:r>
      <w:r>
        <w:rPr>
          <w:rFonts w:hint="eastAsia" w:ascii="仿宋_GB2312" w:hAnsi="仿宋_GB2312" w:eastAsia="仿宋_GB2312" w:cs="仿宋_GB2312"/>
          <w:b/>
          <w:bCs/>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大力推进民生项目实施，做好八一社区移民后扶、南陵社区供水管网</w:t>
      </w:r>
      <w:r>
        <w:rPr>
          <w:rFonts w:hint="eastAsia" w:hAnsi="仿宋_GB2312" w:cs="仿宋_GB2312"/>
          <w:b w:val="0"/>
          <w:bCs w:val="0"/>
          <w:color w:val="auto"/>
          <w:spacing w:val="0"/>
          <w:sz w:val="32"/>
          <w:szCs w:val="32"/>
          <w:lang w:eastAsia="zh-CN"/>
        </w:rPr>
        <w:t>、王家营道路提升</w:t>
      </w:r>
      <w:r>
        <w:rPr>
          <w:rFonts w:hint="eastAsia" w:ascii="仿宋_GB2312" w:hAnsi="仿宋_GB2312" w:eastAsia="仿宋_GB2312" w:cs="仿宋_GB2312"/>
          <w:b w:val="0"/>
          <w:bCs w:val="0"/>
          <w:color w:val="auto"/>
          <w:spacing w:val="0"/>
          <w:sz w:val="32"/>
          <w:szCs w:val="32"/>
          <w:lang w:eastAsia="zh-CN"/>
        </w:rPr>
        <w:t>等项目实施，进一步完善城乡基础设施网络。全力解决上石盘枢纽工程污水管网整治、圆梦家园小区物业费收缴、活力社区消防安全等群众反映强烈的问题，</w:t>
      </w:r>
      <w:r>
        <w:rPr>
          <w:rFonts w:hint="eastAsia" w:hAnsi="仿宋_GB2312" w:cs="仿宋_GB2312"/>
          <w:b w:val="0"/>
          <w:bCs w:val="0"/>
          <w:color w:val="auto"/>
          <w:spacing w:val="0"/>
          <w:sz w:val="32"/>
          <w:szCs w:val="32"/>
          <w:lang w:eastAsia="zh-CN"/>
        </w:rPr>
        <w:t>切实</w:t>
      </w:r>
      <w:r>
        <w:rPr>
          <w:rFonts w:hint="eastAsia" w:ascii="仿宋_GB2312" w:hAnsi="仿宋_GB2312" w:eastAsia="仿宋_GB2312" w:cs="仿宋_GB2312"/>
          <w:b w:val="0"/>
          <w:bCs w:val="0"/>
          <w:color w:val="auto"/>
          <w:spacing w:val="0"/>
          <w:sz w:val="32"/>
          <w:szCs w:val="32"/>
          <w:lang w:eastAsia="zh-CN"/>
        </w:rPr>
        <w:t>改善群众生产生活条件。</w:t>
      </w:r>
      <w:r>
        <w:rPr>
          <w:rFonts w:hint="eastAsia" w:ascii="仿宋_GB2312" w:hAnsi="仿宋_GB2312" w:eastAsia="仿宋_GB2312" w:cs="仿宋_GB2312"/>
          <w:spacing w:val="10"/>
          <w:sz w:val="32"/>
          <w:szCs w:val="32"/>
          <w:lang w:val="en-US" w:eastAsia="zh-CN"/>
        </w:rPr>
        <w:t>打造了9个</w:t>
      </w:r>
      <w:r>
        <w:rPr>
          <w:rFonts w:hint="eastAsia" w:ascii="仿宋_GB2312" w:hAnsi="仿宋_GB2312" w:eastAsia="仿宋_GB2312" w:cs="仿宋_GB2312"/>
          <w:spacing w:val="10"/>
          <w:sz w:val="32"/>
          <w:szCs w:val="32"/>
          <w:lang w:eastAsia="zh-CN"/>
        </w:rPr>
        <w:t>新</w:t>
      </w:r>
      <w:r>
        <w:rPr>
          <w:rFonts w:hint="eastAsia" w:ascii="仿宋_GB2312" w:hAnsi="仿宋_GB2312" w:eastAsia="仿宋_GB2312" w:cs="仿宋_GB2312"/>
          <w:spacing w:val="10"/>
          <w:sz w:val="32"/>
          <w:szCs w:val="32"/>
          <w:lang w:val="en-US" w:eastAsia="zh-CN"/>
        </w:rPr>
        <w:t>时代文明实践所（站），</w:t>
      </w:r>
      <w:r>
        <w:rPr>
          <w:rFonts w:hint="eastAsia" w:ascii="仿宋_GB2312" w:hAnsi="仿宋_GB2312" w:eastAsia="仿宋_GB2312" w:cs="仿宋_GB2312"/>
          <w:spacing w:val="10"/>
          <w:sz w:val="32"/>
          <w:szCs w:val="32"/>
        </w:rPr>
        <w:t>丰富群众的文体生活，推进精神文明建设。</w:t>
      </w:r>
      <w:r>
        <w:rPr>
          <w:rFonts w:hint="eastAsia" w:ascii="仿宋_GB2312" w:hAnsi="仿宋_GB2312" w:eastAsia="仿宋_GB2312" w:cs="仿宋_GB2312"/>
          <w:b/>
          <w:bCs/>
          <w:color w:val="auto"/>
          <w:kern w:val="2"/>
          <w:sz w:val="32"/>
          <w:szCs w:val="32"/>
          <w:lang w:val="en-US" w:eastAsia="zh-CN"/>
        </w:rPr>
        <w:t>三是织密疫情防控网络。</w:t>
      </w:r>
      <w:r>
        <w:rPr>
          <w:rFonts w:hint="eastAsia" w:ascii="仿宋_GB2312" w:hAnsi="仿宋_GB2312" w:eastAsia="仿宋_GB2312" w:cs="仿宋_GB2312"/>
          <w:color w:val="auto"/>
          <w:kern w:val="2"/>
          <w:sz w:val="32"/>
          <w:szCs w:val="32"/>
          <w:lang w:val="en-US" w:eastAsia="zh-CN"/>
        </w:rPr>
        <w:t>精准落实中央、省、市、区疫情防控工作部署，严格抓好“外防输入、内防反弹”工作，坚持联防联控机制，</w:t>
      </w:r>
      <w:r>
        <w:rPr>
          <w:rFonts w:hint="eastAsia" w:ascii="仿宋_GB2312" w:hAnsi="仿宋_GB2312" w:eastAsia="仿宋_GB2312" w:cs="仿宋_GB2312"/>
          <w:b w:val="0"/>
          <w:bCs w:val="0"/>
          <w:color w:val="auto"/>
          <w:sz w:val="32"/>
          <w:szCs w:val="32"/>
          <w:lang w:eastAsia="zh-CN"/>
        </w:rPr>
        <w:t>严格实行网格化管理，</w:t>
      </w:r>
      <w:r>
        <w:rPr>
          <w:rFonts w:hint="eastAsia" w:ascii="仿宋_GB2312" w:hAnsi="仿宋_GB2312" w:eastAsia="仿宋_GB2312" w:cs="仿宋_GB2312"/>
          <w:color w:val="auto"/>
          <w:kern w:val="2"/>
          <w:sz w:val="32"/>
          <w:szCs w:val="32"/>
          <w:lang w:val="en-US" w:eastAsia="zh-CN"/>
        </w:rPr>
        <w:t>常态化开展来</w:t>
      </w:r>
      <w:r>
        <w:rPr>
          <w:rFonts w:hint="eastAsia" w:hAnsi="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返</w:t>
      </w:r>
      <w:r>
        <w:rPr>
          <w:rFonts w:hint="eastAsia" w:hAnsi="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广人员排查工作。全力做好疫苗接种工作，</w:t>
      </w:r>
      <w:r>
        <w:rPr>
          <w:rFonts w:hint="eastAsia" w:hAnsi="仿宋_GB2312" w:cs="仿宋_GB2312"/>
          <w:color w:val="auto"/>
          <w:kern w:val="2"/>
          <w:sz w:val="32"/>
          <w:szCs w:val="32"/>
          <w:lang w:val="en-US" w:eastAsia="zh-CN"/>
        </w:rPr>
        <w:t>截至目前，</w:t>
      </w:r>
      <w:r>
        <w:rPr>
          <w:rFonts w:hint="eastAsia" w:ascii="仿宋_GB2312" w:hAnsi="仿宋_GB2312" w:eastAsia="仿宋_GB2312" w:cs="仿宋_GB2312"/>
          <w:b w:val="0"/>
          <w:bCs w:val="0"/>
          <w:sz w:val="32"/>
          <w:szCs w:val="32"/>
          <w:lang w:val="en-US" w:eastAsia="zh-CN"/>
        </w:rPr>
        <w:t>第一剂</w:t>
      </w:r>
      <w:r>
        <w:rPr>
          <w:rFonts w:hint="eastAsia" w:hAnsi="仿宋_GB2312" w:cs="仿宋_GB2312"/>
          <w:b w:val="0"/>
          <w:bCs w:val="0"/>
          <w:sz w:val="32"/>
          <w:szCs w:val="32"/>
          <w:lang w:val="en-US" w:eastAsia="zh-CN"/>
        </w:rPr>
        <w:t>共</w:t>
      </w:r>
      <w:r>
        <w:rPr>
          <w:rFonts w:hint="eastAsia" w:ascii="仿宋_GB2312" w:hAnsi="仿宋_GB2312" w:eastAsia="仿宋_GB2312" w:cs="仿宋_GB2312"/>
          <w:b w:val="0"/>
          <w:bCs w:val="0"/>
          <w:sz w:val="32"/>
          <w:szCs w:val="32"/>
          <w:lang w:val="en-US" w:eastAsia="zh-CN"/>
        </w:rPr>
        <w:t>接种27628人，第二剂接种26989人，</w:t>
      </w:r>
      <w:r>
        <w:rPr>
          <w:rFonts w:hint="eastAsia" w:hAnsi="仿宋_GB2312" w:cs="仿宋_GB2312"/>
          <w:b w:val="0"/>
          <w:bCs w:val="0"/>
          <w:sz w:val="32"/>
          <w:szCs w:val="32"/>
          <w:lang w:val="en-US" w:eastAsia="zh-CN"/>
        </w:rPr>
        <w:t>3-11岁接种52人，</w:t>
      </w:r>
      <w:r>
        <w:rPr>
          <w:rFonts w:hint="eastAsia" w:ascii="仿宋_GB2312" w:hAnsi="仿宋_GB2312" w:eastAsia="仿宋_GB2312" w:cs="仿宋_GB2312"/>
          <w:b w:val="0"/>
          <w:bCs w:val="0"/>
          <w:sz w:val="32"/>
          <w:szCs w:val="32"/>
          <w:lang w:val="en-US" w:eastAsia="zh-CN"/>
        </w:rPr>
        <w:t>加强针接种 111人</w:t>
      </w:r>
      <w:r>
        <w:rPr>
          <w:rFonts w:hint="eastAsia" w:hAnsi="仿宋_GB2312" w:cs="仿宋_GB2312"/>
          <w:b w:val="0"/>
          <w:bCs w:val="0"/>
          <w:sz w:val="32"/>
          <w:szCs w:val="32"/>
          <w:lang w:val="en-US" w:eastAsia="zh-CN"/>
        </w:rPr>
        <w:t>，预计年底可完成接种任务。</w:t>
      </w:r>
    </w:p>
    <w:p>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shd w:val="clear" w:color="auto" w:fill="FFFFFF"/>
          <w:lang w:eastAsia="zh-CN"/>
        </w:rPr>
        <w:t>（四）</w:t>
      </w:r>
      <w:r>
        <w:rPr>
          <w:rFonts w:hint="eastAsia" w:ascii="楷体_GB2312" w:hAnsi="楷体_GB2312" w:eastAsia="楷体_GB2312" w:cs="楷体_GB2312"/>
          <w:b/>
          <w:bCs/>
          <w:color w:val="auto"/>
          <w:sz w:val="32"/>
          <w:szCs w:val="32"/>
          <w:shd w:val="clear" w:color="auto" w:fill="FFFFFF"/>
          <w:lang w:val="en-US" w:eastAsia="zh-CN"/>
        </w:rPr>
        <w:t>精细管理，</w:t>
      </w:r>
      <w:r>
        <w:rPr>
          <w:rFonts w:hint="eastAsia" w:ascii="楷体_GB2312" w:hAnsi="楷体_GB2312" w:eastAsia="楷体_GB2312" w:cs="楷体_GB2312"/>
          <w:b/>
          <w:bCs/>
          <w:color w:val="auto"/>
          <w:sz w:val="32"/>
          <w:szCs w:val="32"/>
          <w:shd w:val="clear" w:color="auto" w:fill="FFFFFF"/>
          <w:lang w:eastAsia="zh-CN"/>
        </w:rPr>
        <w:t>社会治理能力</w:t>
      </w:r>
      <w:r>
        <w:rPr>
          <w:rFonts w:hint="eastAsia" w:ascii="楷体_GB2312" w:hAnsi="楷体_GB2312" w:eastAsia="楷体_GB2312" w:cs="楷体_GB2312"/>
          <w:b/>
          <w:bCs/>
          <w:color w:val="auto"/>
          <w:sz w:val="32"/>
          <w:szCs w:val="32"/>
          <w:shd w:val="clear" w:color="auto" w:fill="FFFFFF"/>
          <w:lang w:val="en-US" w:eastAsia="zh-CN"/>
        </w:rPr>
        <w:t>全面</w:t>
      </w:r>
      <w:r>
        <w:rPr>
          <w:rFonts w:hint="eastAsia" w:ascii="楷体_GB2312" w:hAnsi="楷体_GB2312" w:eastAsia="楷体_GB2312" w:cs="楷体_GB2312"/>
          <w:b/>
          <w:bCs/>
          <w:color w:val="auto"/>
          <w:sz w:val="32"/>
          <w:szCs w:val="32"/>
          <w:shd w:val="clear" w:color="auto" w:fill="FFFFFF"/>
          <w:lang w:eastAsia="zh-CN"/>
        </w:rPr>
        <w:t>提升。</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bCs/>
          <w:color w:val="auto"/>
          <w:sz w:val="32"/>
          <w:szCs w:val="32"/>
          <w:lang w:eastAsia="zh-CN"/>
        </w:rPr>
        <w:t>安全生产常抓不懈</w:t>
      </w:r>
      <w:r>
        <w:rPr>
          <w:rFonts w:hint="eastAsia" w:ascii="仿宋_GB2312" w:hAnsi="仿宋_GB2312" w:eastAsia="仿宋_GB2312" w:cs="仿宋_GB2312"/>
          <w:bCs/>
          <w:color w:val="auto"/>
          <w:sz w:val="32"/>
          <w:szCs w:val="32"/>
        </w:rPr>
        <w:t>。</w:t>
      </w:r>
      <w:r>
        <w:rPr>
          <w:rFonts w:hint="eastAsia" w:hAnsi="仿宋_GB2312" w:cs="仿宋_GB2312"/>
          <w:color w:val="auto"/>
          <w:sz w:val="32"/>
          <w:szCs w:val="32"/>
          <w:lang w:eastAsia="zh-CN"/>
        </w:rPr>
        <w:t>深入开展安全生产检查，切实加强</w:t>
      </w:r>
      <w:r>
        <w:rPr>
          <w:rFonts w:hint="eastAsia" w:ascii="仿宋_GB2312" w:hAnsi="仿宋_GB2312" w:eastAsia="仿宋_GB2312" w:cs="仿宋_GB2312"/>
          <w:sz w:val="32"/>
          <w:szCs w:val="32"/>
          <w:lang w:val="en-US" w:eastAsia="zh-CN"/>
        </w:rPr>
        <w:t>对危化品、非煤矿山、工贸企业、高层建筑、学校医院、道路交通、再生资源回收等行业领域检查整治工作，全年共检查160家（次），开展重点时段安全检查</w:t>
      </w:r>
      <w:r>
        <w:rPr>
          <w:rFonts w:hint="eastAsia" w:hAnsi="仿宋_GB2312" w:cs="仿宋_GB2312"/>
          <w:sz w:val="32"/>
          <w:szCs w:val="32"/>
          <w:lang w:val="en-US" w:eastAsia="zh-CN"/>
        </w:rPr>
        <w:t>5次，累计</w:t>
      </w:r>
      <w:r>
        <w:rPr>
          <w:rFonts w:hint="eastAsia" w:ascii="仿宋_GB2312" w:hAnsi="仿宋_GB2312" w:eastAsia="仿宋_GB2312" w:cs="仿宋_GB2312"/>
          <w:sz w:val="32"/>
          <w:szCs w:val="32"/>
          <w:lang w:val="en-US" w:eastAsia="zh-CN"/>
        </w:rPr>
        <w:t>发现并</w:t>
      </w:r>
      <w:r>
        <w:rPr>
          <w:rFonts w:hint="eastAsia" w:ascii="仿宋_GB2312" w:hAnsi="仿宋_GB2312" w:eastAsia="仿宋_GB2312" w:cs="仿宋_GB2312"/>
          <w:sz w:val="32"/>
          <w:szCs w:val="32"/>
          <w:lang w:eastAsia="zh-CN"/>
        </w:rPr>
        <w:t>处置隐患</w:t>
      </w:r>
      <w:r>
        <w:rPr>
          <w:rFonts w:hint="eastAsia" w:hAnsi="仿宋_GB2312" w:cs="仿宋_GB2312"/>
          <w:sz w:val="32"/>
          <w:szCs w:val="32"/>
          <w:lang w:val="en-US" w:eastAsia="zh-CN"/>
        </w:rPr>
        <w:t>113</w:t>
      </w:r>
      <w:r>
        <w:rPr>
          <w:rFonts w:hint="eastAsia" w:ascii="仿宋_GB2312" w:hAnsi="仿宋_GB2312" w:eastAsia="仿宋_GB2312" w:cs="仿宋_GB2312"/>
          <w:sz w:val="32"/>
          <w:szCs w:val="32"/>
          <w:lang w:val="en-US" w:eastAsia="zh-CN"/>
        </w:rPr>
        <w:t>处，整治隐患</w:t>
      </w:r>
      <w:r>
        <w:rPr>
          <w:rFonts w:hint="eastAsia" w:hAnsi="仿宋_GB2312" w:cs="仿宋_GB2312"/>
          <w:sz w:val="32"/>
          <w:szCs w:val="32"/>
          <w:lang w:val="en-US" w:eastAsia="zh-CN"/>
        </w:rPr>
        <w:t>50</w:t>
      </w:r>
      <w:r>
        <w:rPr>
          <w:rFonts w:hint="eastAsia" w:ascii="仿宋_GB2312" w:hAnsi="仿宋_GB2312" w:eastAsia="仿宋_GB2312" w:cs="仿宋_GB2312"/>
          <w:sz w:val="32"/>
          <w:szCs w:val="32"/>
          <w:lang w:val="en-US" w:eastAsia="zh-CN"/>
        </w:rPr>
        <w:t>处</w:t>
      </w:r>
      <w:r>
        <w:rPr>
          <w:rFonts w:hint="eastAsia" w:hAnsi="仿宋_GB2312" w:cs="仿宋_GB2312"/>
          <w:b/>
          <w:bCs/>
          <w:sz w:val="32"/>
          <w:szCs w:val="32"/>
          <w:lang w:val="en-US" w:eastAsia="zh-CN"/>
        </w:rPr>
        <w:t>。</w:t>
      </w:r>
      <w:r>
        <w:rPr>
          <w:rFonts w:hint="eastAsia" w:ascii="仿宋_GB2312" w:hAnsi="仿宋_GB2312" w:eastAsia="仿宋_GB2312" w:cs="仿宋_GB2312"/>
          <w:color w:val="auto"/>
          <w:sz w:val="32"/>
          <w:szCs w:val="32"/>
        </w:rPr>
        <w:t>狠抓应急救援体系建设</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组建兼职应急救援队伍8支，应急管理工作有序开展。</w:t>
      </w:r>
      <w:r>
        <w:rPr>
          <w:rFonts w:hint="eastAsia" w:hAnsi="仿宋_GB2312" w:cs="仿宋_GB2312"/>
          <w:color w:val="auto"/>
          <w:sz w:val="32"/>
          <w:szCs w:val="32"/>
          <w:lang w:eastAsia="zh-CN"/>
        </w:rPr>
        <w:t>同时，</w:t>
      </w:r>
      <w:r>
        <w:rPr>
          <w:rFonts w:hint="eastAsia" w:ascii="仿宋_GB2312" w:hAnsi="仿宋_GB2312" w:eastAsia="仿宋_GB2312" w:cs="仿宋_GB2312"/>
          <w:color w:val="auto"/>
          <w:sz w:val="32"/>
          <w:szCs w:val="32"/>
          <w:lang w:eastAsia="zh-CN"/>
        </w:rPr>
        <w:t>扎实开展省级安全社区复评迎检工作，省级安全社区复评迎检顺利成功。</w:t>
      </w:r>
      <w:r>
        <w:rPr>
          <w:rFonts w:hint="eastAsia" w:ascii="仿宋_GB2312" w:hAnsi="仿宋_GB2312" w:eastAsia="仿宋_GB2312" w:cs="仿宋_GB2312"/>
          <w:b/>
          <w:bCs/>
          <w:color w:val="auto"/>
          <w:sz w:val="32"/>
          <w:szCs w:val="32"/>
          <w:lang w:eastAsia="zh-CN"/>
        </w:rPr>
        <w:t>二是</w:t>
      </w:r>
      <w:r>
        <w:rPr>
          <w:rFonts w:hint="eastAsia" w:hAnsi="仿宋_GB2312" w:cs="仿宋_GB2312"/>
          <w:b/>
          <w:bCs/>
          <w:color w:val="auto"/>
          <w:sz w:val="32"/>
          <w:szCs w:val="32"/>
          <w:lang w:eastAsia="zh-CN"/>
        </w:rPr>
        <w:t>社会</w:t>
      </w:r>
      <w:r>
        <w:rPr>
          <w:rFonts w:hint="eastAsia" w:ascii="仿宋_GB2312" w:hAnsi="仿宋_GB2312" w:eastAsia="仿宋_GB2312" w:cs="仿宋_GB2312"/>
          <w:b/>
          <w:bCs/>
          <w:color w:val="auto"/>
          <w:sz w:val="32"/>
          <w:szCs w:val="32"/>
          <w:lang w:eastAsia="zh-CN"/>
        </w:rPr>
        <w:t>稳定</w:t>
      </w:r>
      <w:r>
        <w:rPr>
          <w:rFonts w:hint="eastAsia" w:hAnsi="仿宋_GB2312" w:cs="仿宋_GB2312"/>
          <w:b/>
          <w:bCs/>
          <w:color w:val="auto"/>
          <w:sz w:val="32"/>
          <w:szCs w:val="32"/>
          <w:lang w:eastAsia="zh-CN"/>
        </w:rPr>
        <w:t>工作持续深化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全面落实信访维稳责任制，</w:t>
      </w:r>
      <w:r>
        <w:rPr>
          <w:rFonts w:hint="eastAsia" w:hAnsi="仿宋_GB2312" w:cs="仿宋_GB2312"/>
          <w:color w:val="auto"/>
          <w:sz w:val="32"/>
          <w:szCs w:val="32"/>
          <w:lang w:eastAsia="zh-CN"/>
        </w:rPr>
        <w:t>深入开展</w:t>
      </w:r>
      <w:r>
        <w:rPr>
          <w:rFonts w:hint="eastAsia" w:ascii="仿宋_GB2312" w:hAnsi="仿宋_GB2312" w:eastAsia="仿宋_GB2312" w:cs="仿宋_GB2312"/>
          <w:color w:val="auto"/>
          <w:sz w:val="32"/>
          <w:szCs w:val="32"/>
          <w:lang w:eastAsia="zh-CN"/>
        </w:rPr>
        <w:t>矛盾纠纷双排查、化解，全年调查处理回复信访件13件，处理各类上访、集访事件6批次100余人，</w:t>
      </w:r>
      <w:r>
        <w:rPr>
          <w:rFonts w:hint="eastAsia" w:hAnsi="仿宋_GB2312" w:cs="仿宋_GB2312"/>
          <w:color w:val="auto"/>
          <w:sz w:val="32"/>
          <w:szCs w:val="32"/>
          <w:lang w:eastAsia="zh-CN"/>
        </w:rPr>
        <w:t>成功调处矛盾纠纷</w:t>
      </w:r>
      <w:r>
        <w:rPr>
          <w:rFonts w:hint="eastAsia" w:ascii="仿宋_GB2312" w:hAnsi="仿宋_GB2312" w:eastAsia="仿宋_GB2312" w:cs="仿宋_GB2312"/>
          <w:color w:val="auto"/>
          <w:sz w:val="32"/>
          <w:szCs w:val="32"/>
          <w:lang w:eastAsia="zh-CN"/>
        </w:rPr>
        <w:t>调解1</w:t>
      </w:r>
      <w:r>
        <w:rPr>
          <w:rFonts w:hint="eastAsia" w:hAnsi="仿宋_GB2312" w:cs="仿宋_GB2312"/>
          <w:color w:val="auto"/>
          <w:sz w:val="32"/>
          <w:szCs w:val="32"/>
          <w:lang w:val="en-US" w:eastAsia="zh-CN"/>
        </w:rPr>
        <w:t>0</w:t>
      </w:r>
      <w:r>
        <w:rPr>
          <w:rFonts w:hint="eastAsia" w:hAnsi="仿宋_GB2312" w:cs="仿宋_GB2312"/>
          <w:color w:val="auto"/>
          <w:sz w:val="32"/>
          <w:szCs w:val="32"/>
          <w:lang w:eastAsia="zh-CN"/>
        </w:rPr>
        <w:t>起，有效维护了</w:t>
      </w:r>
      <w:r>
        <w:rPr>
          <w:rFonts w:hint="eastAsia" w:ascii="仿宋_GB2312" w:hAnsi="仿宋_GB2312" w:eastAsia="仿宋_GB2312" w:cs="仿宋_GB2312"/>
          <w:color w:val="auto"/>
          <w:sz w:val="32"/>
          <w:szCs w:val="32"/>
          <w:lang w:eastAsia="zh-CN"/>
        </w:rPr>
        <w:t>“两会”、庆祝建党100周年等特殊时期</w:t>
      </w:r>
      <w:r>
        <w:rPr>
          <w:rFonts w:hint="eastAsia" w:hAnsi="仿宋_GB2312" w:cs="仿宋_GB2312"/>
          <w:color w:val="auto"/>
          <w:sz w:val="32"/>
          <w:szCs w:val="32"/>
          <w:lang w:eastAsia="zh-CN"/>
        </w:rPr>
        <w:t>社会和谐稳定。</w:t>
      </w:r>
      <w:r>
        <w:rPr>
          <w:rFonts w:hint="eastAsia" w:ascii="仿宋_GB2312" w:hAnsi="仿宋_GB2312" w:eastAsia="仿宋_GB2312" w:cs="仿宋_GB2312"/>
          <w:b/>
          <w:bCs/>
          <w:color w:val="auto"/>
          <w:sz w:val="32"/>
          <w:szCs w:val="32"/>
          <w:lang w:eastAsia="zh-CN"/>
        </w:rPr>
        <w:t>三是</w:t>
      </w:r>
      <w:r>
        <w:rPr>
          <w:rFonts w:hint="eastAsia" w:hAnsi="仿宋_GB2312" w:cs="仿宋_GB2312"/>
          <w:b/>
          <w:bCs/>
          <w:color w:val="auto"/>
          <w:sz w:val="32"/>
          <w:szCs w:val="32"/>
          <w:lang w:eastAsia="zh-CN"/>
        </w:rPr>
        <w:t>环境保护成效明显</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严格落实河长制责任，完成屈家壕沟黑臭水体治理项目</w:t>
      </w:r>
      <w:r>
        <w:rPr>
          <w:rFonts w:hint="eastAsia" w:hAnsi="仿宋_GB2312" w:cs="仿宋_GB2312"/>
          <w:color w:val="auto"/>
          <w:sz w:val="32"/>
          <w:szCs w:val="32"/>
          <w:lang w:eastAsia="zh-CN"/>
        </w:rPr>
        <w:t>；</w:t>
      </w:r>
      <w:r>
        <w:rPr>
          <w:rFonts w:hint="eastAsia" w:ascii="仿宋_GB2312" w:hAnsi="仿宋_GB2312" w:eastAsia="仿宋_GB2312" w:cs="仿宋_GB2312"/>
          <w:color w:val="auto"/>
          <w:spacing w:val="-6"/>
          <w:sz w:val="32"/>
          <w:szCs w:val="32"/>
          <w:lang w:eastAsia="zh-CN"/>
        </w:rPr>
        <w:t>认真做好</w:t>
      </w:r>
      <w:r>
        <w:rPr>
          <w:rFonts w:hint="eastAsia" w:hAnsi="仿宋_GB2312" w:cs="仿宋_GB2312"/>
          <w:color w:val="auto"/>
          <w:spacing w:val="-6"/>
          <w:sz w:val="32"/>
          <w:szCs w:val="32"/>
          <w:lang w:eastAsia="zh-CN"/>
        </w:rPr>
        <w:t>了中央</w:t>
      </w:r>
      <w:r>
        <w:rPr>
          <w:rFonts w:hint="eastAsia" w:ascii="仿宋_GB2312" w:hAnsi="仿宋_GB2312" w:eastAsia="仿宋_GB2312" w:cs="仿宋_GB2312"/>
          <w:color w:val="auto"/>
          <w:spacing w:val="-6"/>
          <w:sz w:val="32"/>
          <w:szCs w:val="32"/>
          <w:lang w:eastAsia="zh-CN"/>
        </w:rPr>
        <w:t>环保督察</w:t>
      </w:r>
      <w:r>
        <w:rPr>
          <w:rFonts w:hint="eastAsia" w:hAnsi="仿宋_GB2312" w:cs="仿宋_GB2312"/>
          <w:color w:val="auto"/>
          <w:spacing w:val="-6"/>
          <w:sz w:val="32"/>
          <w:szCs w:val="32"/>
          <w:lang w:eastAsia="zh-CN"/>
        </w:rPr>
        <w:t>交办</w:t>
      </w:r>
      <w:r>
        <w:rPr>
          <w:rFonts w:hint="eastAsia" w:ascii="仿宋_GB2312" w:hAnsi="仿宋_GB2312" w:eastAsia="仿宋_GB2312" w:cs="仿宋_GB2312"/>
          <w:color w:val="auto"/>
          <w:spacing w:val="-6"/>
          <w:sz w:val="32"/>
          <w:szCs w:val="32"/>
          <w:lang w:eastAsia="zh-CN"/>
        </w:rPr>
        <w:t>问题整改，</w:t>
      </w:r>
      <w:r>
        <w:rPr>
          <w:rFonts w:hint="eastAsia" w:hAnsi="仿宋_GB2312" w:cs="仿宋_GB2312"/>
          <w:color w:val="auto"/>
          <w:spacing w:val="-6"/>
          <w:sz w:val="32"/>
          <w:szCs w:val="32"/>
          <w:lang w:eastAsia="zh-CN"/>
        </w:rPr>
        <w:t>全面完成唯中预拌混凝土有限公司遗留问题、全真车业有限公司环保问题整治；</w:t>
      </w:r>
      <w:r>
        <w:rPr>
          <w:rFonts w:hint="eastAsia" w:ascii="仿宋_GB2312" w:hAnsi="仿宋_GB2312" w:eastAsia="仿宋_GB2312" w:cs="仿宋_GB2312"/>
          <w:color w:val="auto"/>
          <w:spacing w:val="-6"/>
          <w:sz w:val="32"/>
          <w:szCs w:val="32"/>
          <w:lang w:eastAsia="zh-CN"/>
        </w:rPr>
        <w:t>积极开展“战疫情、迎五一”等环境卫生整治活动，</w:t>
      </w:r>
      <w:r>
        <w:rPr>
          <w:rFonts w:hint="eastAsia" w:hAnsi="仿宋_GB2312" w:cs="仿宋_GB2312"/>
          <w:color w:val="auto"/>
          <w:spacing w:val="-6"/>
          <w:sz w:val="32"/>
          <w:szCs w:val="32"/>
          <w:lang w:eastAsia="zh-CN"/>
        </w:rPr>
        <w:t>创国卫复审</w:t>
      </w:r>
      <w:r>
        <w:rPr>
          <w:rFonts w:hint="eastAsia" w:ascii="仿宋_GB2312" w:hAnsi="仿宋_GB2312" w:eastAsia="仿宋_GB2312" w:cs="仿宋_GB2312"/>
          <w:color w:val="auto"/>
          <w:spacing w:val="-6"/>
          <w:sz w:val="32"/>
          <w:szCs w:val="32"/>
          <w:lang w:eastAsia="zh-CN"/>
        </w:rPr>
        <w:t>圆满过关</w:t>
      </w:r>
      <w:r>
        <w:rPr>
          <w:rFonts w:hint="eastAsia" w:hAnsi="仿宋_GB2312" w:cs="仿宋_GB2312"/>
          <w:color w:val="auto"/>
          <w:spacing w:val="-6"/>
          <w:sz w:val="32"/>
          <w:szCs w:val="32"/>
          <w:lang w:eastAsia="zh-CN"/>
        </w:rPr>
        <w:t>。</w:t>
      </w:r>
    </w:p>
    <w:p>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Style w:val="35"/>
          <w:rFonts w:ascii="仿宋_GB2312" w:hAnsi="仿宋_GB2312" w:eastAsia="仿宋_GB2312"/>
          <w:b w:val="0"/>
          <w:bCs w:val="0"/>
          <w:i w:val="0"/>
          <w:caps w:val="0"/>
          <w:color w:val="000000"/>
          <w:spacing w:val="0"/>
          <w:w w:val="100"/>
          <w:kern w:val="0"/>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固本强基</w:t>
      </w:r>
      <w:r>
        <w:rPr>
          <w:rFonts w:hint="eastAsia" w:ascii="楷体_GB2312" w:hAnsi="楷体_GB2312" w:eastAsia="楷体_GB2312" w:cs="楷体_GB2312"/>
          <w:b/>
          <w:bCs/>
          <w:color w:val="auto"/>
          <w:sz w:val="32"/>
          <w:szCs w:val="32"/>
          <w:lang w:eastAsia="zh-CN"/>
        </w:rPr>
        <w:t>，党的建设不断加强</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b/>
          <w:bCs w:val="0"/>
          <w:color w:val="auto"/>
          <w:sz w:val="32"/>
          <w:szCs w:val="32"/>
          <w:lang w:eastAsia="zh-CN"/>
        </w:rPr>
        <w:t>一是党建基础不断夯实。</w:t>
      </w:r>
      <w:r>
        <w:rPr>
          <w:rFonts w:hint="eastAsia" w:ascii="仿宋_GB2312" w:hAnsi="仿宋_GB2312" w:eastAsia="仿宋_GB2312" w:cs="仿宋_GB2312"/>
          <w:b w:val="0"/>
          <w:bCs/>
          <w:color w:val="auto"/>
          <w:sz w:val="32"/>
          <w:szCs w:val="32"/>
          <w:lang w:eastAsia="zh-CN"/>
        </w:rPr>
        <w:t>始终树牢抓党建是第一要务思想，抓实底线工作，全年培养入党积极分子17名，发展党员</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lang w:eastAsia="zh-CN"/>
        </w:rPr>
        <w:t>名。抓好基层组织阵地建设，强力推进</w:t>
      </w:r>
      <w:r>
        <w:rPr>
          <w:rStyle w:val="35"/>
          <w:rFonts w:hint="eastAsia" w:ascii="仿宋_GB2312" w:hAnsi="黑体" w:eastAsia="仿宋_GB2312"/>
          <w:b w:val="0"/>
          <w:i w:val="0"/>
          <w:caps w:val="0"/>
          <w:color w:val="000000"/>
          <w:spacing w:val="0"/>
          <w:w w:val="100"/>
          <w:kern w:val="2"/>
          <w:sz w:val="32"/>
          <w:szCs w:val="32"/>
          <w:lang w:val="en-US" w:eastAsia="zh-CN" w:bidi="ar-SA"/>
        </w:rPr>
        <w:t>铁路社区、曾家营社区等</w:t>
      </w:r>
      <w:r>
        <w:rPr>
          <w:rStyle w:val="35"/>
          <w:rFonts w:ascii="仿宋_GB2312" w:hAnsi="黑体" w:eastAsia="仿宋_GB2312"/>
          <w:b w:val="0"/>
          <w:i w:val="0"/>
          <w:caps w:val="0"/>
          <w:color w:val="000000"/>
          <w:spacing w:val="0"/>
          <w:w w:val="100"/>
          <w:kern w:val="2"/>
          <w:sz w:val="32"/>
          <w:szCs w:val="32"/>
          <w:lang w:val="en-US" w:eastAsia="zh-CN" w:bidi="ar-SA"/>
        </w:rPr>
        <w:t>4个社区阵地</w:t>
      </w:r>
      <w:r>
        <w:rPr>
          <w:rStyle w:val="35"/>
          <w:rFonts w:hint="eastAsia" w:ascii="仿宋_GB2312" w:hAnsi="黑体" w:eastAsia="仿宋_GB2312"/>
          <w:b w:val="0"/>
          <w:i w:val="0"/>
          <w:caps w:val="0"/>
          <w:color w:val="000000"/>
          <w:spacing w:val="0"/>
          <w:w w:val="100"/>
          <w:kern w:val="2"/>
          <w:sz w:val="32"/>
          <w:szCs w:val="32"/>
          <w:lang w:val="en-US" w:eastAsia="zh-CN" w:bidi="ar-SA"/>
        </w:rPr>
        <w:t>建设</w:t>
      </w:r>
      <w:r>
        <w:rPr>
          <w:rStyle w:val="35"/>
          <w:rFonts w:hint="eastAsia" w:hAnsi="黑体"/>
          <w:b w:val="0"/>
          <w:i w:val="0"/>
          <w:caps w:val="0"/>
          <w:color w:val="000000"/>
          <w:spacing w:val="0"/>
          <w:w w:val="100"/>
          <w:kern w:val="2"/>
          <w:sz w:val="32"/>
          <w:szCs w:val="32"/>
          <w:lang w:val="en-US" w:eastAsia="zh-CN" w:bidi="ar-SA"/>
        </w:rPr>
        <w:t>，</w:t>
      </w:r>
      <w:r>
        <w:rPr>
          <w:rStyle w:val="35"/>
          <w:rFonts w:ascii="仿宋_GB2312" w:hAnsi="仿宋_GB2312" w:eastAsia="仿宋_GB2312"/>
          <w:b w:val="0"/>
          <w:bCs w:val="0"/>
          <w:i w:val="0"/>
          <w:caps w:val="0"/>
          <w:spacing w:val="0"/>
          <w:w w:val="100"/>
          <w:kern w:val="2"/>
          <w:sz w:val="32"/>
          <w:szCs w:val="32"/>
          <w:lang w:val="en-US" w:eastAsia="zh-CN" w:bidi="ar-SA"/>
        </w:rPr>
        <w:t>王家营社区</w:t>
      </w:r>
      <w:r>
        <w:rPr>
          <w:rStyle w:val="35"/>
          <w:rFonts w:hint="eastAsia" w:ascii="仿宋_GB2312" w:hAnsi="仿宋_GB2312" w:eastAsia="仿宋_GB2312"/>
          <w:b w:val="0"/>
          <w:bCs w:val="0"/>
          <w:i w:val="0"/>
          <w:caps w:val="0"/>
          <w:spacing w:val="0"/>
          <w:w w:val="100"/>
          <w:kern w:val="2"/>
          <w:sz w:val="32"/>
          <w:szCs w:val="32"/>
          <w:lang w:val="en-US" w:eastAsia="zh-CN" w:bidi="ar-SA"/>
        </w:rPr>
        <w:t>实施</w:t>
      </w:r>
      <w:r>
        <w:rPr>
          <w:rStyle w:val="35"/>
          <w:rFonts w:ascii="仿宋_GB2312" w:hAnsi="仿宋_GB2312" w:eastAsia="仿宋_GB2312"/>
          <w:b w:val="0"/>
          <w:bCs w:val="0"/>
          <w:i w:val="0"/>
          <w:caps w:val="0"/>
          <w:spacing w:val="0"/>
          <w:w w:val="100"/>
          <w:kern w:val="2"/>
          <w:sz w:val="32"/>
          <w:szCs w:val="32"/>
          <w:lang w:val="en-US" w:eastAsia="zh-CN" w:bidi="ar-SA"/>
        </w:rPr>
        <w:t>亲民化改造</w:t>
      </w:r>
      <w:r>
        <w:rPr>
          <w:rStyle w:val="35"/>
          <w:rFonts w:hint="eastAsia" w:ascii="仿宋_GB2312" w:hAnsi="仿宋_GB2312" w:eastAsia="仿宋_GB2312"/>
          <w:b w:val="0"/>
          <w:bCs w:val="0"/>
          <w:i w:val="0"/>
          <w:caps w:val="0"/>
          <w:spacing w:val="0"/>
          <w:w w:val="100"/>
          <w:kern w:val="2"/>
          <w:sz w:val="32"/>
          <w:szCs w:val="32"/>
          <w:lang w:val="en-US" w:eastAsia="zh-CN" w:bidi="ar-SA"/>
        </w:rPr>
        <w:t>并顺利验收</w:t>
      </w:r>
      <w:r>
        <w:rPr>
          <w:rFonts w:hint="eastAsia" w:ascii="仿宋_GB2312" w:hAnsi="仿宋_GB2312" w:eastAsia="仿宋_GB2312" w:cs="仿宋_GB2312"/>
          <w:b w:val="0"/>
          <w:bCs/>
          <w:color w:val="auto"/>
          <w:sz w:val="32"/>
          <w:szCs w:val="32"/>
          <w:lang w:eastAsia="zh-CN"/>
        </w:rPr>
        <w:t>。强化党建示范引领，</w:t>
      </w:r>
      <w:r>
        <w:rPr>
          <w:rStyle w:val="35"/>
          <w:rFonts w:ascii="仿宋_GB2312" w:hAnsi="仿宋_GB2312" w:eastAsia="仿宋_GB2312"/>
          <w:b w:val="0"/>
          <w:bCs w:val="0"/>
          <w:i w:val="0"/>
          <w:caps w:val="0"/>
          <w:color w:val="000000"/>
          <w:spacing w:val="0"/>
          <w:w w:val="100"/>
          <w:kern w:val="2"/>
          <w:sz w:val="32"/>
          <w:szCs w:val="32"/>
          <w:lang w:val="en-US" w:eastAsia="zh-CN" w:bidi="ar-SA"/>
        </w:rPr>
        <w:t>选树铁路社区为</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全市</w:t>
      </w:r>
      <w:r>
        <w:rPr>
          <w:rStyle w:val="35"/>
          <w:rFonts w:ascii="仿宋_GB2312" w:hAnsi="仿宋_GB2312" w:eastAsia="仿宋_GB2312"/>
          <w:b w:val="0"/>
          <w:bCs w:val="0"/>
          <w:i w:val="0"/>
          <w:caps w:val="0"/>
          <w:color w:val="000000"/>
          <w:spacing w:val="0"/>
          <w:w w:val="100"/>
          <w:kern w:val="2"/>
          <w:sz w:val="32"/>
          <w:szCs w:val="32"/>
          <w:lang w:val="en-US" w:eastAsia="zh-CN" w:bidi="ar-SA"/>
        </w:rPr>
        <w:t>经济试点</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社区</w:t>
      </w:r>
      <w:r>
        <w:rPr>
          <w:rStyle w:val="35"/>
          <w:rFonts w:ascii="仿宋_GB2312" w:hAnsi="仿宋_GB2312" w:eastAsia="仿宋_GB2312"/>
          <w:b w:val="0"/>
          <w:bCs w:val="0"/>
          <w:i w:val="0"/>
          <w:caps w:val="0"/>
          <w:color w:val="000000"/>
          <w:spacing w:val="0"/>
          <w:w w:val="100"/>
          <w:kern w:val="2"/>
          <w:sz w:val="32"/>
          <w:szCs w:val="32"/>
          <w:lang w:val="en-US" w:eastAsia="zh-CN" w:bidi="ar-SA"/>
        </w:rPr>
        <w:t>，维多利亚小区被评为“广元市首批城市基层治理十佳示范小区”。</w:t>
      </w:r>
      <w:r>
        <w:rPr>
          <w:rFonts w:hint="eastAsia" w:ascii="仿宋_GB2312" w:hAnsi="仿宋_GB2312" w:eastAsia="仿宋_GB2312" w:cs="仿宋_GB2312"/>
          <w:sz w:val="32"/>
          <w:szCs w:val="32"/>
        </w:rPr>
        <w:t>推进社区党组织规范化建设，将下西社区党支部</w:t>
      </w:r>
      <w:r>
        <w:rPr>
          <w:rFonts w:hint="eastAsia" w:hAnsi="仿宋_GB2312" w:cs="仿宋_GB2312"/>
          <w:sz w:val="32"/>
          <w:szCs w:val="32"/>
          <w:lang w:eastAsia="zh-CN"/>
        </w:rPr>
        <w:t>等</w:t>
      </w:r>
      <w:r>
        <w:rPr>
          <w:rFonts w:hint="eastAsia" w:hAnsi="仿宋_GB2312" w:cs="仿宋_GB2312"/>
          <w:sz w:val="32"/>
          <w:szCs w:val="32"/>
          <w:lang w:val="en-US" w:eastAsia="zh-CN"/>
        </w:rPr>
        <w:t>7个党支部</w:t>
      </w:r>
      <w:r>
        <w:rPr>
          <w:rFonts w:hint="eastAsia" w:ascii="仿宋_GB2312" w:hAnsi="仿宋_GB2312" w:eastAsia="仿宋_GB2312" w:cs="仿宋_GB2312"/>
          <w:sz w:val="32"/>
          <w:szCs w:val="32"/>
        </w:rPr>
        <w:t>调整设置为党总支部，进一步优化组织设置。</w:t>
      </w:r>
      <w:r>
        <w:rPr>
          <w:rFonts w:hint="eastAsia" w:ascii="仿宋_GB2312" w:hAnsi="仿宋_GB2312" w:eastAsia="仿宋_GB2312" w:cs="仿宋_GB2312"/>
          <w:b/>
          <w:bCs w:val="0"/>
          <w:color w:val="auto"/>
          <w:sz w:val="32"/>
          <w:szCs w:val="32"/>
          <w:lang w:eastAsia="zh-CN"/>
        </w:rPr>
        <w:t>二是党史学习教育高质量推进。</w:t>
      </w:r>
      <w:r>
        <w:rPr>
          <w:rFonts w:hint="eastAsia" w:ascii="仿宋_GB2312" w:hAnsi="仿宋_GB2312" w:eastAsia="仿宋_GB2312" w:cs="仿宋_GB2312"/>
          <w:b w:val="0"/>
          <w:bCs/>
          <w:color w:val="auto"/>
          <w:sz w:val="32"/>
          <w:szCs w:val="32"/>
          <w:lang w:eastAsia="zh-CN"/>
        </w:rPr>
        <w:t>创新开展“四微”活动，</w:t>
      </w:r>
      <w:r>
        <w:rPr>
          <w:rFonts w:hint="eastAsia" w:hAnsi="仿宋_GB2312" w:cs="仿宋_GB2312"/>
          <w:b w:val="0"/>
          <w:bCs/>
          <w:color w:val="auto"/>
          <w:sz w:val="32"/>
          <w:szCs w:val="32"/>
          <w:lang w:eastAsia="zh-CN"/>
        </w:rPr>
        <w:t>开展</w:t>
      </w:r>
      <w:r>
        <w:rPr>
          <w:rFonts w:hint="eastAsia" w:ascii="仿宋_GB2312" w:hAnsi="仿宋_GB2312" w:eastAsia="仿宋_GB2312" w:cs="仿宋_GB2312"/>
          <w:b w:val="0"/>
          <w:bCs/>
          <w:color w:val="auto"/>
          <w:sz w:val="32"/>
          <w:szCs w:val="32"/>
          <w:lang w:eastAsia="zh-CN"/>
        </w:rPr>
        <w:t>“读书班”</w:t>
      </w:r>
      <w:r>
        <w:rPr>
          <w:rFonts w:hint="eastAsia"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eastAsia="zh-CN"/>
        </w:rPr>
        <w:t>“巾帼学党史”</w:t>
      </w:r>
      <w:r>
        <w:rPr>
          <w:rFonts w:hint="eastAsia"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eastAsia="zh-CN"/>
        </w:rPr>
        <w:t>“党史100讲”、演讲比赛等形式多样的学习活动，全年</w:t>
      </w:r>
      <w:r>
        <w:rPr>
          <w:rStyle w:val="35"/>
          <w:rFonts w:ascii="仿宋_GB2312" w:hAnsi="仿宋_GB2312" w:eastAsia="仿宋_GB2312"/>
          <w:b w:val="0"/>
          <w:i w:val="0"/>
          <w:caps w:val="0"/>
          <w:spacing w:val="0"/>
          <w:w w:val="100"/>
          <w:kern w:val="2"/>
          <w:sz w:val="32"/>
          <w:szCs w:val="32"/>
          <w:lang w:val="en-US" w:eastAsia="zh-CN" w:bidi="ar-SA"/>
        </w:rPr>
        <w:t>开展党史学习宣讲171次，累计5499余人次参加</w:t>
      </w:r>
      <w:r>
        <w:rPr>
          <w:rStyle w:val="35"/>
          <w:rFonts w:hint="eastAsia" w:ascii="仿宋_GB2312" w:hAnsi="仿宋_GB2312" w:eastAsia="仿宋_GB2312"/>
          <w:b w:val="0"/>
          <w:i w:val="0"/>
          <w:caps w:val="0"/>
          <w:spacing w:val="0"/>
          <w:w w:val="100"/>
          <w:kern w:val="2"/>
          <w:sz w:val="32"/>
          <w:szCs w:val="32"/>
          <w:lang w:val="en-US" w:eastAsia="zh-CN" w:bidi="ar-SA"/>
        </w:rPr>
        <w:t>，</w:t>
      </w:r>
      <w:r>
        <w:rPr>
          <w:rFonts w:hint="eastAsia" w:ascii="仿宋_GB2312" w:hAnsi="仿宋_GB2312" w:eastAsia="仿宋_GB2312" w:cs="仿宋_GB2312"/>
          <w:b w:val="0"/>
          <w:bCs/>
          <w:color w:val="auto"/>
          <w:sz w:val="32"/>
          <w:szCs w:val="32"/>
          <w:lang w:eastAsia="zh-CN"/>
        </w:rPr>
        <w:t>推动党史学习教育走深走实。</w:t>
      </w:r>
      <w:r>
        <w:rPr>
          <w:rStyle w:val="35"/>
          <w:rFonts w:ascii="仿宋_GB2312" w:hAnsi="仿宋_GB2312" w:eastAsia="仿宋_GB2312"/>
          <w:b w:val="0"/>
          <w:i w:val="0"/>
          <w:caps w:val="0"/>
          <w:spacing w:val="0"/>
          <w:w w:val="100"/>
          <w:kern w:val="2"/>
          <w:sz w:val="32"/>
          <w:szCs w:val="32"/>
          <w:lang w:val="en-US" w:eastAsia="zh-CN" w:bidi="ar-SA"/>
        </w:rPr>
        <w:t>以务实为要求，聚焦民意办实事，围绕巩固脱贫攻坚成果同乡村振兴有效衔接问题</w:t>
      </w:r>
      <w:r>
        <w:rPr>
          <w:rStyle w:val="35"/>
          <w:rFonts w:hint="eastAsia" w:hAnsi="仿宋_GB2312"/>
          <w:b w:val="0"/>
          <w:i w:val="0"/>
          <w:caps w:val="0"/>
          <w:spacing w:val="0"/>
          <w:w w:val="100"/>
          <w:kern w:val="2"/>
          <w:sz w:val="32"/>
          <w:szCs w:val="32"/>
          <w:lang w:val="en-US" w:eastAsia="zh-CN" w:bidi="ar-SA"/>
        </w:rPr>
        <w:t>、</w:t>
      </w:r>
      <w:r>
        <w:rPr>
          <w:rStyle w:val="35"/>
          <w:rFonts w:ascii="仿宋_GB2312" w:hAnsi="仿宋_GB2312" w:eastAsia="仿宋_GB2312"/>
          <w:b w:val="0"/>
          <w:i w:val="0"/>
          <w:caps w:val="0"/>
          <w:spacing w:val="0"/>
          <w:w w:val="100"/>
          <w:kern w:val="2"/>
          <w:sz w:val="32"/>
          <w:szCs w:val="32"/>
          <w:lang w:val="en-US" w:eastAsia="zh-CN" w:bidi="ar-SA"/>
        </w:rPr>
        <w:t>群众急难愁盼问题，</w:t>
      </w:r>
      <w:r>
        <w:rPr>
          <w:rStyle w:val="35"/>
          <w:rFonts w:hint="eastAsia" w:ascii="仿宋_GB2312" w:hAnsi="仿宋_GB2312" w:eastAsia="仿宋_GB2312"/>
          <w:b w:val="0"/>
          <w:i w:val="0"/>
          <w:caps w:val="0"/>
          <w:spacing w:val="0"/>
          <w:w w:val="100"/>
          <w:kern w:val="2"/>
          <w:sz w:val="32"/>
          <w:szCs w:val="32"/>
          <w:lang w:val="en-US" w:eastAsia="zh-CN" w:bidi="ar-SA"/>
        </w:rPr>
        <w:t>办理</w:t>
      </w:r>
      <w:r>
        <w:rPr>
          <w:rStyle w:val="35"/>
          <w:rFonts w:ascii="仿宋_GB2312" w:hAnsi="仿宋_GB2312" w:eastAsia="仿宋_GB2312"/>
          <w:b w:val="0"/>
          <w:i w:val="0"/>
          <w:caps w:val="0"/>
          <w:spacing w:val="0"/>
          <w:w w:val="100"/>
          <w:kern w:val="2"/>
          <w:sz w:val="32"/>
          <w:szCs w:val="32"/>
          <w:lang w:val="en-US" w:eastAsia="zh-CN" w:bidi="ar-SA"/>
        </w:rPr>
        <w:t>了老旧小区改造、安全饮水等民生实事338件</w:t>
      </w:r>
      <w:r>
        <w:rPr>
          <w:rStyle w:val="35"/>
          <w:rFonts w:hint="eastAsia" w:ascii="仿宋_GB2312" w:hAnsi="仿宋_GB2312" w:eastAsia="仿宋_GB2312"/>
          <w:b w:val="0"/>
          <w:i w:val="0"/>
          <w:caps w:val="0"/>
          <w:spacing w:val="0"/>
          <w:w w:val="100"/>
          <w:kern w:val="2"/>
          <w:sz w:val="32"/>
          <w:szCs w:val="32"/>
          <w:lang w:val="en-US" w:eastAsia="zh-CN" w:bidi="ar-SA"/>
        </w:rPr>
        <w:t>，</w:t>
      </w:r>
      <w:r>
        <w:rPr>
          <w:rFonts w:hint="eastAsia" w:ascii="仿宋_GB2312" w:hAnsi="仿宋_GB2312" w:eastAsia="仿宋_GB2312" w:cs="仿宋_GB2312"/>
          <w:b w:val="0"/>
          <w:bCs/>
          <w:color w:val="auto"/>
          <w:sz w:val="32"/>
          <w:szCs w:val="32"/>
          <w:lang w:eastAsia="zh-CN"/>
        </w:rPr>
        <w:t>党史学习教育取得实效。</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lang w:eastAsia="zh-CN"/>
        </w:rPr>
        <w:t>是基层治理能力提升。</w:t>
      </w:r>
      <w:r>
        <w:rPr>
          <w:rFonts w:hint="eastAsia" w:ascii="仿宋_GB2312" w:hAnsi="仿宋_GB2312" w:eastAsia="仿宋_GB2312" w:cs="仿宋_GB2312"/>
          <w:color w:val="000000"/>
          <w:sz w:val="32"/>
          <w:szCs w:val="32"/>
          <w:lang w:eastAsia="zh-CN"/>
        </w:rPr>
        <w:t>扎实做好村（社区）“两委”换届选举“后半篇”文章，圆满完成居务监督委员会、小组换届选举工作，选优配强基层干部队伍。</w:t>
      </w:r>
      <w:r>
        <w:rPr>
          <w:rFonts w:hint="eastAsia" w:ascii="仿宋_GB2312" w:hAnsi="仿宋_GB2312" w:eastAsia="仿宋_GB2312" w:cs="仿宋_GB2312"/>
          <w:b w:val="0"/>
          <w:bCs/>
          <w:color w:val="auto"/>
          <w:sz w:val="32"/>
          <w:szCs w:val="32"/>
          <w:lang w:eastAsia="zh-CN"/>
        </w:rPr>
        <w:t>持续开展“小街问事”活动，丰富形式，推动</w:t>
      </w:r>
      <w:r>
        <w:rPr>
          <w:rFonts w:hint="eastAsia" w:hAnsi="仿宋_GB2312" w:cs="仿宋_GB2312"/>
          <w:b w:val="0"/>
          <w:bCs/>
          <w:color w:val="auto"/>
          <w:sz w:val="32"/>
          <w:szCs w:val="32"/>
          <w:lang w:eastAsia="zh-CN"/>
        </w:rPr>
        <w:t>“</w:t>
      </w:r>
      <w:r>
        <w:rPr>
          <w:rFonts w:hint="eastAsia" w:hAnsi="仿宋_GB2312" w:cs="仿宋_GB2312"/>
          <w:b/>
          <w:bCs w:val="0"/>
          <w:color w:val="auto"/>
          <w:sz w:val="32"/>
          <w:szCs w:val="32"/>
          <w:lang w:eastAsia="zh-CN"/>
        </w:rPr>
        <w:t>一</w:t>
      </w:r>
      <w:r>
        <w:rPr>
          <w:rFonts w:hint="eastAsia" w:hAnsi="仿宋_GB2312" w:cs="仿宋_GB2312"/>
          <w:b w:val="0"/>
          <w:bCs/>
          <w:color w:val="auto"/>
          <w:sz w:val="32"/>
          <w:szCs w:val="32"/>
          <w:lang w:eastAsia="zh-CN"/>
        </w:rPr>
        <w:t>标二格三化四治”</w:t>
      </w:r>
      <w:r>
        <w:rPr>
          <w:rFonts w:hint="eastAsia" w:ascii="仿宋_GB2312" w:hAnsi="仿宋_GB2312" w:eastAsia="仿宋_GB2312" w:cs="仿宋_GB2312"/>
          <w:b w:val="0"/>
          <w:bCs/>
          <w:color w:val="auto"/>
          <w:sz w:val="32"/>
          <w:szCs w:val="32"/>
          <w:lang w:eastAsia="zh-CN"/>
        </w:rPr>
        <w:t>“四治五联”、“三五八”工作法等基层治理经验落实有效。</w:t>
      </w:r>
      <w:r>
        <w:rPr>
          <w:rFonts w:hint="eastAsia" w:hAnsi="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lang w:val="en-US" w:eastAsia="zh-CN"/>
        </w:rPr>
        <w:t>是狠抓</w:t>
      </w:r>
      <w:r>
        <w:rPr>
          <w:rFonts w:hint="eastAsia" w:ascii="仿宋_GB2312" w:hAnsi="仿宋_GB2312" w:eastAsia="仿宋_GB2312" w:cs="仿宋_GB2312"/>
          <w:b/>
          <w:bCs w:val="0"/>
          <w:color w:val="auto"/>
          <w:sz w:val="32"/>
          <w:szCs w:val="32"/>
        </w:rPr>
        <w:t>党风廉政建设</w:t>
      </w:r>
      <w:r>
        <w:rPr>
          <w:rFonts w:hint="eastAsia" w:ascii="仿宋_GB2312" w:hAnsi="仿宋_GB2312" w:eastAsia="仿宋_GB2312" w:cs="仿宋_GB2312"/>
          <w:b/>
          <w:bCs w:val="0"/>
          <w:color w:val="auto"/>
          <w:sz w:val="32"/>
          <w:szCs w:val="32"/>
          <w:lang w:eastAsia="zh-CN"/>
        </w:rPr>
        <w:t>。</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严</w:t>
      </w:r>
      <w:r>
        <w:rPr>
          <w:rStyle w:val="35"/>
          <w:rFonts w:hint="eastAsia" w:hAnsi="仿宋_GB2312"/>
          <w:b w:val="0"/>
          <w:bCs w:val="0"/>
          <w:i w:val="0"/>
          <w:caps w:val="0"/>
          <w:color w:val="000000"/>
          <w:spacing w:val="0"/>
          <w:w w:val="100"/>
          <w:kern w:val="2"/>
          <w:sz w:val="32"/>
          <w:szCs w:val="32"/>
          <w:lang w:val="en-US" w:eastAsia="zh-CN" w:bidi="ar-SA"/>
        </w:rPr>
        <w:t>格</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落实党风廉政建设“两个责任”，</w:t>
      </w:r>
      <w:r>
        <w:rPr>
          <w:rStyle w:val="35"/>
          <w:rFonts w:ascii="仿宋_GB2312" w:hAnsi="仿宋_GB2312" w:eastAsia="仿宋_GB2312"/>
          <w:b w:val="0"/>
          <w:bCs w:val="0"/>
          <w:i w:val="0"/>
          <w:caps w:val="0"/>
          <w:color w:val="000000"/>
          <w:spacing w:val="0"/>
          <w:w w:val="100"/>
          <w:kern w:val="2"/>
          <w:sz w:val="32"/>
          <w:szCs w:val="32"/>
          <w:lang w:val="en-US" w:eastAsia="zh-CN" w:bidi="ar-SA"/>
        </w:rPr>
        <w:t>做好</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全面从严治党</w:t>
      </w:r>
      <w:r>
        <w:rPr>
          <w:rStyle w:val="35"/>
          <w:rFonts w:ascii="仿宋_GB2312" w:hAnsi="仿宋_GB2312" w:eastAsia="仿宋_GB2312"/>
          <w:b w:val="0"/>
          <w:bCs w:val="0"/>
          <w:i w:val="0"/>
          <w:caps w:val="0"/>
          <w:color w:val="000000"/>
          <w:spacing w:val="0"/>
          <w:w w:val="100"/>
          <w:kern w:val="2"/>
          <w:sz w:val="32"/>
          <w:szCs w:val="32"/>
          <w:lang w:val="en-US" w:eastAsia="zh-CN" w:bidi="ar-SA"/>
        </w:rPr>
        <w:t>“三张清单”纵向贯通、四责协同一体推进，切实加强权力制约和责任落实。坚持</w:t>
      </w:r>
      <w:r>
        <w:rPr>
          <w:rStyle w:val="35"/>
          <w:rFonts w:ascii="仿宋_GB2312" w:hAnsi="仿宋_GB2312" w:eastAsia="仿宋_GB2312"/>
          <w:b w:val="0"/>
          <w:i w:val="0"/>
          <w:caps w:val="0"/>
          <w:color w:val="000000"/>
          <w:spacing w:val="0"/>
          <w:w w:val="100"/>
          <w:kern w:val="2"/>
          <w:sz w:val="32"/>
          <w:szCs w:val="32"/>
          <w:lang w:val="en-US" w:eastAsia="zh-CN" w:bidi="ar-SA"/>
        </w:rPr>
        <w:t>聚焦突出问题开展系统治理，深入开展干部纪律作风整顿，持续整治群众身边腐败和不正之风。</w:t>
      </w:r>
      <w:r>
        <w:rPr>
          <w:rStyle w:val="35"/>
          <w:rFonts w:ascii="仿宋_GB2312" w:hAnsi="仿宋_GB2312" w:eastAsia="仿宋_GB2312"/>
          <w:b w:val="0"/>
          <w:bCs w:val="0"/>
          <w:i w:val="0"/>
          <w:caps w:val="0"/>
          <w:color w:val="000000"/>
          <w:spacing w:val="0"/>
          <w:w w:val="100"/>
          <w:kern w:val="2"/>
          <w:sz w:val="32"/>
          <w:szCs w:val="32"/>
          <w:lang w:val="en-US" w:eastAsia="zh-CN" w:bidi="ar-SA"/>
        </w:rPr>
        <w:t>今年来处置涉及党员干部问题线索9条，立案7件，正在审查</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1</w:t>
      </w:r>
      <w:r>
        <w:rPr>
          <w:rStyle w:val="35"/>
          <w:rFonts w:ascii="仿宋_GB2312" w:hAnsi="仿宋_GB2312" w:eastAsia="仿宋_GB2312"/>
          <w:b w:val="0"/>
          <w:bCs w:val="0"/>
          <w:i w:val="0"/>
          <w:caps w:val="0"/>
          <w:color w:val="000000"/>
          <w:spacing w:val="0"/>
          <w:w w:val="100"/>
          <w:kern w:val="2"/>
          <w:sz w:val="32"/>
          <w:szCs w:val="32"/>
          <w:lang w:val="en-US" w:eastAsia="zh-CN" w:bidi="ar-SA"/>
        </w:rPr>
        <w:t>件，给予</w:t>
      </w:r>
      <w:r>
        <w:rPr>
          <w:rStyle w:val="35"/>
          <w:rFonts w:hint="eastAsia" w:ascii="仿宋_GB2312" w:hAnsi="仿宋_GB2312" w:eastAsia="仿宋_GB2312"/>
          <w:b w:val="0"/>
          <w:bCs w:val="0"/>
          <w:i w:val="0"/>
          <w:caps w:val="0"/>
          <w:color w:val="000000"/>
          <w:spacing w:val="0"/>
          <w:w w:val="100"/>
          <w:kern w:val="2"/>
          <w:sz w:val="32"/>
          <w:szCs w:val="32"/>
          <w:lang w:val="en-US" w:eastAsia="zh-CN" w:bidi="ar-SA"/>
        </w:rPr>
        <w:t>开除党籍处分1人，</w:t>
      </w:r>
      <w:r>
        <w:rPr>
          <w:rStyle w:val="35"/>
          <w:rFonts w:ascii="仿宋_GB2312" w:hAnsi="仿宋_GB2312" w:eastAsia="仿宋_GB2312"/>
          <w:b w:val="0"/>
          <w:bCs w:val="0"/>
          <w:i w:val="0"/>
          <w:caps w:val="0"/>
          <w:color w:val="000000"/>
          <w:spacing w:val="0"/>
          <w:w w:val="100"/>
          <w:kern w:val="2"/>
          <w:sz w:val="32"/>
          <w:szCs w:val="32"/>
          <w:lang w:val="en-US" w:eastAsia="zh-CN" w:bidi="ar-SA"/>
        </w:rPr>
        <w:t>党内严重警告处分4人，党内警告处分1人，书面诫勉1人。</w:t>
      </w:r>
    </w:p>
    <w:bookmarkEnd w:id="18"/>
    <w:bookmarkEnd w:id="19"/>
    <w:p>
      <w:pPr>
        <w:pStyle w:val="4"/>
        <w:ind w:right="440"/>
        <w:jc w:val="right"/>
        <w:rPr>
          <w:rStyle w:val="29"/>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9"/>
          <w:rFonts w:hint="eastAsia" w:ascii="黑体" w:hAnsi="黑体" w:eastAsia="黑体"/>
          <w:b w:val="0"/>
          <w:bCs w:val="0"/>
        </w:rPr>
        <w:t>202</w:t>
      </w:r>
      <w:r>
        <w:rPr>
          <w:rStyle w:val="29"/>
          <w:rFonts w:hint="eastAsia" w:ascii="黑体" w:hAnsi="黑体" w:eastAsia="黑体"/>
          <w:b w:val="0"/>
          <w:bCs w:val="0"/>
          <w:lang w:val="en-US" w:eastAsia="zh-CN"/>
        </w:rPr>
        <w:t>1</w:t>
      </w:r>
      <w:r>
        <w:rPr>
          <w:rStyle w:val="29"/>
          <w:rFonts w:hint="eastAsia" w:ascii="黑体" w:hAnsi="黑体" w:eastAsia="黑体"/>
          <w:b w:val="0"/>
          <w:bCs w:val="0"/>
        </w:rPr>
        <w:t>年度部门决算情况说明</w:t>
      </w:r>
      <w:bookmarkEnd w:id="20"/>
      <w:bookmarkEnd w:id="21"/>
    </w:p>
    <w:p/>
    <w:p>
      <w:pPr>
        <w:pStyle w:val="28"/>
        <w:numPr>
          <w:ilvl w:val="0"/>
          <w:numId w:val="1"/>
        </w:numPr>
        <w:spacing w:line="600" w:lineRule="exact"/>
        <w:ind w:firstLineChars="0"/>
        <w:outlineLvl w:val="1"/>
        <w:rPr>
          <w:rStyle w:val="30"/>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2"/>
      <w:bookmarkEnd w:id="2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2021年收、</w:t>
      </w:r>
      <w:r>
        <w:rPr>
          <w:rFonts w:hint="eastAsia" w:ascii="仿宋" w:hAnsi="仿宋" w:eastAsia="仿宋"/>
          <w:sz w:val="32"/>
          <w:szCs w:val="32"/>
        </w:rPr>
        <w:t>支总计</w:t>
      </w:r>
      <w:r>
        <w:rPr>
          <w:rFonts w:hint="eastAsia" w:ascii="仿宋" w:hAnsi="仿宋" w:eastAsia="仿宋"/>
          <w:sz w:val="32"/>
          <w:szCs w:val="32"/>
          <w:lang w:val="en-US" w:eastAsia="zh-CN"/>
        </w:rPr>
        <w:t>2015.47</w:t>
      </w:r>
      <w:r>
        <w:rPr>
          <w:rFonts w:hint="eastAsia" w:ascii="仿宋" w:hAnsi="仿宋" w:eastAsia="仿宋"/>
          <w:sz w:val="32"/>
          <w:szCs w:val="32"/>
        </w:rPr>
        <w:t>万元。与20</w:t>
      </w:r>
      <w:r>
        <w:rPr>
          <w:rFonts w:hint="eastAsia" w:ascii="仿宋" w:hAnsi="仿宋" w:eastAsia="仿宋"/>
          <w:sz w:val="32"/>
          <w:szCs w:val="32"/>
          <w:lang w:val="en-US" w:eastAsia="zh-CN"/>
        </w:rPr>
        <w:t>20</w:t>
      </w:r>
      <w:r>
        <w:rPr>
          <w:rFonts w:hint="eastAsia" w:ascii="仿宋" w:hAnsi="仿宋" w:eastAsia="仿宋"/>
          <w:sz w:val="32"/>
          <w:szCs w:val="32"/>
        </w:rPr>
        <w:t>年相比，</w:t>
      </w:r>
      <w:r>
        <w:rPr>
          <w:rFonts w:hint="eastAsia" w:ascii="仿宋" w:hAnsi="仿宋" w:eastAsia="仿宋"/>
          <w:sz w:val="32"/>
          <w:szCs w:val="32"/>
          <w:lang w:eastAsia="zh-CN"/>
        </w:rPr>
        <w:t>支出</w:t>
      </w:r>
      <w:r>
        <w:rPr>
          <w:rFonts w:hint="eastAsia" w:ascii="仿宋" w:hAnsi="仿宋" w:eastAsia="仿宋"/>
          <w:sz w:val="32"/>
          <w:szCs w:val="32"/>
        </w:rPr>
        <w:t>增加</w:t>
      </w:r>
      <w:r>
        <w:rPr>
          <w:rFonts w:hint="eastAsia" w:ascii="仿宋" w:hAnsi="仿宋" w:eastAsia="仿宋"/>
          <w:sz w:val="32"/>
          <w:szCs w:val="32"/>
          <w:lang w:val="en-US" w:eastAsia="zh-CN"/>
        </w:rPr>
        <w:t>601.57</w:t>
      </w:r>
      <w:r>
        <w:rPr>
          <w:rFonts w:hint="eastAsia" w:ascii="仿宋" w:hAnsi="仿宋" w:eastAsia="仿宋"/>
          <w:sz w:val="32"/>
          <w:szCs w:val="32"/>
        </w:rPr>
        <w:t>万元，上升</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1</w:t>
      </w:r>
      <w:r>
        <w:rPr>
          <w:rFonts w:hint="eastAsia" w:ascii="仿宋" w:hAnsi="仿宋" w:eastAsia="仿宋"/>
          <w:sz w:val="32"/>
          <w:szCs w:val="32"/>
        </w:rPr>
        <w:t>年新增老旧小区改造项目。</w:t>
      </w:r>
    </w:p>
    <w:p>
      <w:pPr>
        <w:pStyle w:val="2"/>
        <w:rPr>
          <w:rFonts w:hint="eastAsia"/>
        </w:rPr>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pageBreakBefore w:val="0"/>
        <w:kinsoku/>
        <w:wordWrap/>
        <w:overflowPunct/>
        <w:topLinePunct w:val="0"/>
        <w:bidi w:val="0"/>
        <w:spacing w:line="576" w:lineRule="exact"/>
        <w:jc w:val="both"/>
        <w:textAlignment w:val="auto"/>
        <w:rPr>
          <w:rFonts w:ascii="仿宋_GB2312" w:eastAsia="仿宋_GB2312"/>
          <w:color w:val="000000"/>
          <w:sz w:val="32"/>
          <w:szCs w:val="32"/>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（图1：</w:t>
      </w:r>
      <w:r>
        <w:rPr>
          <w:rFonts w:hint="eastAsia" w:ascii="黑体" w:hAnsi="黑体" w:eastAsia="黑体" w:cs="黑体"/>
          <w:color w:val="000000" w:themeColor="text1"/>
          <w:sz w:val="32"/>
          <w:szCs w:val="32"/>
          <w:highlight w:val="none"/>
          <w:lang w:eastAsia="zh-CN"/>
          <w14:textFill>
            <w14:solidFill>
              <w14:schemeClr w14:val="tx1"/>
            </w14:solidFill>
          </w14:textFill>
        </w:rPr>
        <w:t>收、支出决算总计变化情况图</w:t>
      </w:r>
      <w:r>
        <w:rPr>
          <w:rFonts w:hint="eastAsia" w:ascii="黑体" w:hAnsi="黑体" w:eastAsia="黑体" w:cs="黑体"/>
          <w:color w:val="000000" w:themeColor="text1"/>
          <w:sz w:val="32"/>
          <w:szCs w:val="32"/>
          <w:highlight w:val="none"/>
          <w14:textFill>
            <w14:solidFill>
              <w14:schemeClr w14:val="tx1"/>
            </w14:solidFill>
          </w14:textFill>
        </w:rPr>
        <w:t>）</w:t>
      </w:r>
    </w:p>
    <w:p>
      <w:pPr>
        <w:pStyle w:val="28"/>
        <w:numPr>
          <w:ilvl w:val="0"/>
          <w:numId w:val="1"/>
        </w:numPr>
        <w:spacing w:line="600" w:lineRule="exact"/>
        <w:ind w:firstLineChars="0"/>
        <w:outlineLvl w:val="1"/>
        <w:rPr>
          <w:rStyle w:val="30"/>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4"/>
      <w:bookmarkEnd w:id="25"/>
    </w:p>
    <w:p>
      <w:pPr>
        <w:spacing w:line="600" w:lineRule="exact"/>
        <w:ind w:firstLine="640" w:firstLineChars="200"/>
        <w:outlineLvl w:val="1"/>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w:t>
      </w:r>
      <w:r>
        <w:rPr>
          <w:rFonts w:hint="eastAsia" w:ascii="仿宋" w:hAnsi="仿宋" w:eastAsia="仿宋"/>
          <w:color w:val="000000"/>
          <w:sz w:val="32"/>
          <w:szCs w:val="32"/>
          <w:highlight w:val="none"/>
        </w:rPr>
        <w:t>计</w:t>
      </w:r>
      <w:r>
        <w:rPr>
          <w:rFonts w:hint="eastAsia" w:ascii="仿宋" w:hAnsi="仿宋" w:eastAsia="仿宋"/>
          <w:color w:val="000000"/>
          <w:sz w:val="32"/>
          <w:szCs w:val="32"/>
          <w:highlight w:val="none"/>
          <w:lang w:val="en-US" w:eastAsia="zh-CN"/>
        </w:rPr>
        <w:t>1347.82</w:t>
      </w:r>
      <w:r>
        <w:rPr>
          <w:rFonts w:hint="eastAsia" w:ascii="仿宋" w:hAnsi="仿宋" w:eastAsia="仿宋"/>
          <w:color w:val="000000"/>
          <w:sz w:val="32"/>
          <w:szCs w:val="32"/>
          <w:highlight w:val="none"/>
        </w:rPr>
        <w:t>万元</w:t>
      </w:r>
      <w:r>
        <w:rPr>
          <w:rFonts w:hint="eastAsia" w:ascii="仿宋" w:hAnsi="仿宋" w:eastAsia="仿宋"/>
          <w:color w:val="000000"/>
          <w:sz w:val="32"/>
          <w:szCs w:val="32"/>
        </w:rPr>
        <w:t>，其中：一般公共预算财政拨款收入</w:t>
      </w:r>
      <w:r>
        <w:rPr>
          <w:rFonts w:hint="eastAsia" w:ascii="仿宋" w:hAnsi="仿宋" w:eastAsia="仿宋"/>
          <w:color w:val="000000"/>
          <w:sz w:val="32"/>
          <w:szCs w:val="32"/>
          <w:highlight w:val="none"/>
          <w:lang w:val="en-US" w:eastAsia="zh-CN"/>
        </w:rPr>
        <w:t>1347.82</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161290</wp:posOffset>
            </wp:positionH>
            <wp:positionV relativeFrom="page">
              <wp:posOffset>2186940</wp:posOffset>
            </wp:positionV>
            <wp:extent cx="4774565" cy="2144395"/>
            <wp:effectExtent l="4445" t="4445" r="21590" b="228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ind w:firstLine="2240" w:firstLineChars="700"/>
        <w:rPr>
          <w:rStyle w:val="30"/>
          <w:rFonts w:ascii="黑体" w:hAnsi="黑体" w:eastAsia="黑体"/>
          <w:b w:val="0"/>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w:t>
      </w:r>
      <w:r>
        <w:rPr>
          <w:rFonts w:hint="eastAsia" w:ascii="黑体" w:hAnsi="黑体" w:eastAsia="黑体" w:cs="黑体"/>
          <w:b w:val="0"/>
          <w:bCs w:val="0"/>
          <w:color w:val="000000" w:themeColor="text1"/>
          <w:sz w:val="32"/>
          <w:szCs w:val="32"/>
          <w:highlight w:val="none"/>
          <w14:textFill>
            <w14:solidFill>
              <w14:schemeClr w14:val="tx1"/>
            </w14:solidFill>
          </w14:textFill>
        </w:rPr>
        <w:t>图</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r>
        <w:rPr>
          <w:rFonts w:hint="eastAsia" w:ascii="黑体" w:hAnsi="黑体" w:eastAsia="黑体" w:cs="黑体"/>
          <w:b w:val="0"/>
          <w:bCs w:val="0"/>
          <w:color w:val="000000" w:themeColor="text1"/>
          <w:sz w:val="32"/>
          <w:szCs w:val="32"/>
          <w:highlight w:val="none"/>
          <w14:textFill>
            <w14:solidFill>
              <w14:schemeClr w14:val="tx1"/>
            </w14:solidFill>
          </w14:textFill>
        </w:rPr>
        <w:t>：收入决算结构图）</w:t>
      </w:r>
      <w:bookmarkStart w:id="26" w:name="_Toc15377207"/>
      <w:bookmarkStart w:id="27" w:name="_Toc15396605"/>
    </w:p>
    <w:p>
      <w:pPr>
        <w:pStyle w:val="28"/>
        <w:numPr>
          <w:ilvl w:val="0"/>
          <w:numId w:val="1"/>
        </w:numPr>
        <w:spacing w:line="600" w:lineRule="exact"/>
        <w:ind w:firstLineChars="0"/>
        <w:outlineLvl w:val="1"/>
        <w:rPr>
          <w:rStyle w:val="30"/>
          <w:rFonts w:ascii="黑体" w:hAnsi="黑体" w:eastAsia="黑体"/>
          <w:b w:val="0"/>
        </w:rPr>
      </w:pPr>
      <w:r>
        <w:rPr>
          <w:rFonts w:hint="eastAsia" w:ascii="黑体" w:hAnsi="黑体" w:eastAsia="黑体"/>
          <w:color w:val="000000"/>
          <w:sz w:val="32"/>
          <w:szCs w:val="32"/>
        </w:rPr>
        <w:t>支</w:t>
      </w:r>
      <w:r>
        <w:rPr>
          <w:rStyle w:val="30"/>
          <w:rFonts w:hint="eastAsia" w:ascii="黑体" w:hAnsi="黑体" w:eastAsia="黑体"/>
          <w:b w:val="0"/>
        </w:rPr>
        <w:t>出决算情况说明</w:t>
      </w:r>
      <w:bookmarkEnd w:id="26"/>
      <w:bookmarkEnd w:id="27"/>
    </w:p>
    <w:p>
      <w:pPr>
        <w:spacing w:line="600" w:lineRule="exact"/>
        <w:ind w:firstLine="640"/>
        <w:rPr>
          <w:rFonts w:hint="eastAsia" w:ascii="仿宋" w:hAnsi="仿宋" w:eastAsia="仿宋"/>
          <w:color w:val="000000"/>
          <w:sz w:val="32"/>
          <w:szCs w:val="32"/>
          <w:highlight w:val="yellow"/>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2015.47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479.93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1535.54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469265</wp:posOffset>
            </wp:positionH>
            <wp:positionV relativeFrom="paragraph">
              <wp:posOffset>90805</wp:posOffset>
            </wp:positionV>
            <wp:extent cx="5040630" cy="2272665"/>
            <wp:effectExtent l="4445" t="4445" r="22225" b="889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28" w:name="_Toc15396606"/>
      <w:bookmarkStart w:id="29" w:name="_Toc15377208"/>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r>
        <w:rPr>
          <w:rFonts w:hint="eastAsia" w:ascii="黑体" w:hAnsi="黑体" w:eastAsia="黑体" w:cs="黑体"/>
          <w:color w:val="000000" w:themeColor="text1"/>
          <w:sz w:val="32"/>
          <w:szCs w:val="32"/>
          <w:highlight w:val="none"/>
          <w14:textFill>
            <w14:solidFill>
              <w14:schemeClr w14:val="tx1"/>
            </w14:solidFill>
          </w14:textFill>
        </w:rPr>
        <w:t>：支出决算结构图）</w:t>
      </w:r>
    </w:p>
    <w:p>
      <w:pPr>
        <w:pStyle w:val="2"/>
        <w:ind w:firstLine="640" w:firstLineChars="200"/>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28"/>
      <w:bookmarkEnd w:id="29"/>
    </w:p>
    <w:p>
      <w:pPr>
        <w:pStyle w:val="3"/>
        <w:rPr>
          <w:rFonts w:hint="eastAsia" w:ascii="仿宋" w:hAnsi="仿宋" w:eastAsia="仿宋"/>
          <w:sz w:val="32"/>
          <w:szCs w:val="32"/>
          <w:lang w:eastAsia="zh-CN"/>
        </w:rPr>
      </w:pPr>
      <w:r>
        <w:rPr>
          <w:rFonts w:hint="eastAsia" w:ascii="仿宋" w:hAnsi="仿宋" w:eastAsia="仿宋"/>
          <w:sz w:val="32"/>
          <w:szCs w:val="32"/>
        </w:rPr>
        <w:t>2021年度财政拨款收、支总计2015.47万元。与2020年相比，财政拨款收、支总计增加601.57万元， 增长43%；主要变动原因是202</w:t>
      </w:r>
      <w:r>
        <w:rPr>
          <w:rFonts w:hint="eastAsia" w:ascii="仿宋" w:hAnsi="仿宋" w:eastAsia="仿宋"/>
          <w:sz w:val="32"/>
          <w:szCs w:val="32"/>
          <w:lang w:val="en-US" w:eastAsia="zh-CN"/>
        </w:rPr>
        <w:t>1</w:t>
      </w:r>
      <w:r>
        <w:rPr>
          <w:rFonts w:hint="eastAsia" w:ascii="仿宋" w:hAnsi="仿宋" w:eastAsia="仿宋"/>
          <w:sz w:val="32"/>
          <w:szCs w:val="32"/>
        </w:rPr>
        <w:t>年新增老旧小区改造项目</w:t>
      </w:r>
      <w:r>
        <w:rPr>
          <w:rFonts w:hint="eastAsia" w:ascii="仿宋" w:hAnsi="仿宋" w:eastAsia="仿宋"/>
          <w:sz w:val="32"/>
          <w:szCs w:val="32"/>
          <w:lang w:eastAsia="zh-CN"/>
        </w:rPr>
        <w:t>。</w:t>
      </w: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75648" behindDoc="0" locked="0" layoutInCell="1" allowOverlap="1">
            <wp:simplePos x="0" y="0"/>
            <wp:positionH relativeFrom="column">
              <wp:posOffset>715645</wp:posOffset>
            </wp:positionH>
            <wp:positionV relativeFrom="page">
              <wp:posOffset>1798955</wp:posOffset>
            </wp:positionV>
            <wp:extent cx="4749800" cy="2376805"/>
            <wp:effectExtent l="5080" t="5080" r="7620" b="184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3"/>
        <w:rPr>
          <w:rFonts w:hint="eastAsia" w:ascii="仿宋" w:hAnsi="仿宋" w:eastAsia="仿宋"/>
          <w:b/>
          <w:bCs/>
          <w:color w:val="auto"/>
          <w:sz w:val="32"/>
          <w:szCs w:val="32"/>
          <w:highlight w:val="none"/>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（图</w:t>
      </w: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w:t>
      </w:r>
      <w:r>
        <w:rPr>
          <w:rFonts w:hint="eastAsia" w:ascii="黑体" w:hAnsi="黑体" w:eastAsia="黑体"/>
          <w:color w:val="000000"/>
          <w:sz w:val="32"/>
          <w:szCs w:val="32"/>
        </w:rPr>
        <w:t>财政拨款收、支决算总计变化情况图</w:t>
      </w:r>
      <w:r>
        <w:rPr>
          <w:rFonts w:hint="eastAsia" w:ascii="仿宋_GB2312" w:hAnsi="仿宋_GB2312" w:eastAsia="仿宋_GB2312" w:cs="仿宋_GB2312"/>
          <w:b/>
          <w:bCs/>
          <w:color w:val="000000"/>
          <w:sz w:val="32"/>
          <w:szCs w:val="32"/>
        </w:rPr>
        <w:t>）</w:t>
      </w:r>
    </w:p>
    <w:p>
      <w:pPr>
        <w:spacing w:line="600" w:lineRule="exact"/>
        <w:outlineLvl w:val="1"/>
        <w:rPr>
          <w:rStyle w:val="30"/>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2015.47</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年相比，一般公共预算财政拨</w:t>
      </w:r>
      <w:r>
        <w:rPr>
          <w:rFonts w:hint="eastAsia" w:ascii="仿宋" w:hAnsi="仿宋" w:eastAsia="仿宋"/>
          <w:sz w:val="32"/>
          <w:szCs w:val="32"/>
        </w:rPr>
        <w:t>款增加</w:t>
      </w:r>
      <w:r>
        <w:rPr>
          <w:rFonts w:hint="eastAsia" w:ascii="仿宋" w:hAnsi="仿宋" w:eastAsia="仿宋"/>
          <w:sz w:val="32"/>
          <w:szCs w:val="32"/>
          <w:lang w:val="en-US" w:eastAsia="zh-CN"/>
        </w:rPr>
        <w:t>601.57</w:t>
      </w:r>
      <w:r>
        <w:rPr>
          <w:rFonts w:hint="eastAsia" w:ascii="仿宋" w:hAnsi="仿宋" w:eastAsia="仿宋"/>
          <w:sz w:val="32"/>
          <w:szCs w:val="32"/>
        </w:rPr>
        <w:t>万元，上升</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1</w:t>
      </w:r>
      <w:r>
        <w:rPr>
          <w:rFonts w:hint="eastAsia" w:ascii="仿宋" w:hAnsi="仿宋" w:eastAsia="仿宋"/>
          <w:sz w:val="32"/>
          <w:szCs w:val="32"/>
        </w:rPr>
        <w:t>年新增老旧小区改造项目。</w:t>
      </w:r>
    </w:p>
    <w:p>
      <w:pPr>
        <w:pStyle w:val="2"/>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pageBreakBefore w:val="0"/>
        <w:kinsoku/>
        <w:wordWrap/>
        <w:overflowPunct/>
        <w:topLinePunct w:val="0"/>
        <w:bidi w:val="0"/>
        <w:spacing w:line="576" w:lineRule="exact"/>
        <w:jc w:val="center"/>
        <w:textAlignment w:val="auto"/>
        <w:rPr>
          <w:rFonts w:hint="eastAsia" w:ascii="仿宋" w:hAnsi="仿宋" w:eastAsia="仿宋"/>
          <w:b/>
          <w:color w:val="000000"/>
          <w:sz w:val="32"/>
          <w:szCs w:val="32"/>
        </w:rPr>
      </w:pPr>
      <w:bookmarkStart w:id="33" w:name="_Toc15377211"/>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18415</wp:posOffset>
            </wp:positionH>
            <wp:positionV relativeFrom="page">
              <wp:posOffset>2181860</wp:posOffset>
            </wp:positionV>
            <wp:extent cx="5134610" cy="3573145"/>
            <wp:effectExtent l="4445" t="4445" r="23495" b="2286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b/>
          <w:bCs/>
          <w:color w:val="000000"/>
          <w:sz w:val="32"/>
          <w:szCs w:val="32"/>
        </w:rPr>
        <w:t>（图</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：一般公共预算财政拨款支出决算变动情况）</w:t>
      </w:r>
    </w:p>
    <w:p>
      <w:pPr>
        <w:pStyle w:val="2"/>
        <w:ind w:firstLine="642"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2015.47</w:t>
      </w:r>
      <w:r>
        <w:rPr>
          <w:rFonts w:hint="eastAsia" w:ascii="仿宋" w:hAnsi="仿宋" w:eastAsia="仿宋"/>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490.29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%；公</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共安全支出</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0.79</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37.7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1.87</w:t>
      </w:r>
      <w:r>
        <w:rPr>
          <w:rFonts w:hint="eastAsia" w:ascii="仿宋_GB2312" w:hAnsi="仿宋_GB2312" w:eastAsia="仿宋_GB2312" w:cs="仿宋_GB2312"/>
          <w:color w:val="000000"/>
          <w:sz w:val="32"/>
          <w:szCs w:val="32"/>
        </w:rPr>
        <w:t>%；医疗卫生支出</w:t>
      </w:r>
      <w:r>
        <w:rPr>
          <w:rFonts w:hint="eastAsia" w:ascii="仿宋_GB2312" w:hAnsi="仿宋_GB2312" w:eastAsia="仿宋_GB2312" w:cs="仿宋_GB2312"/>
          <w:color w:val="000000"/>
          <w:sz w:val="32"/>
          <w:szCs w:val="32"/>
          <w:lang w:val="en-US" w:eastAsia="zh-CN"/>
        </w:rPr>
        <w:t>14.07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%；城乡社区支出5万元，占0.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477.3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23.68</w:t>
      </w:r>
      <w:r>
        <w:rPr>
          <w:rFonts w:hint="eastAsia" w:ascii="仿宋_GB2312" w:hAnsi="仿宋_GB2312" w:eastAsia="仿宋_GB2312" w:cs="仿宋_GB2312"/>
          <w:color w:val="000000"/>
          <w:sz w:val="32"/>
          <w:szCs w:val="32"/>
        </w:rPr>
        <w:t>%；交通运输支出1万元，占</w:t>
      </w:r>
      <w:r>
        <w:rPr>
          <w:rFonts w:hint="eastAsia" w:ascii="仿宋_GB2312" w:hAnsi="仿宋_GB2312" w:eastAsia="仿宋_GB2312" w:cs="仿宋_GB2312"/>
          <w:color w:val="000000"/>
          <w:sz w:val="32"/>
          <w:szCs w:val="32"/>
          <w:lang w:val="en-US" w:eastAsia="zh-CN"/>
        </w:rPr>
        <w:t>0.05</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953.28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47.3</w:t>
      </w:r>
      <w:r>
        <w:rPr>
          <w:rFonts w:hint="eastAsia" w:ascii="仿宋_GB2312" w:hAnsi="仿宋_GB2312" w:eastAsia="仿宋_GB2312" w:cs="仿宋_GB2312"/>
          <w:color w:val="000000"/>
          <w:sz w:val="32"/>
          <w:szCs w:val="32"/>
        </w:rPr>
        <w:t>%；灾害防治及应急管理支出</w:t>
      </w:r>
      <w:r>
        <w:rPr>
          <w:rFonts w:hint="eastAsia" w:ascii="仿宋_GB2312" w:hAnsi="仿宋_GB2312" w:eastAsia="仿宋_GB2312" w:cs="仿宋_GB2312"/>
          <w:color w:val="000000"/>
          <w:sz w:val="32"/>
          <w:szCs w:val="32"/>
          <w:lang w:val="en-US" w:eastAsia="zh-CN"/>
        </w:rPr>
        <w:t>20.83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w:t>
      </w:r>
    </w:p>
    <w:p>
      <w:pPr>
        <w:spacing w:line="560" w:lineRule="exact"/>
        <w:ind w:firstLine="640" w:firstLineChars="200"/>
        <w:rPr>
          <w:rFonts w:hint="eastAsia" w:ascii="仿宋" w:hAnsi="仿宋" w:eastAsia="仿宋"/>
          <w:b/>
          <w:color w:val="auto"/>
          <w:sz w:val="32"/>
          <w:szCs w:val="32"/>
          <w:highlight w:val="none"/>
          <w:lang w:val="en-US" w:eastAsia="zh-CN"/>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250190</wp:posOffset>
            </wp:positionH>
            <wp:positionV relativeFrom="paragraph">
              <wp:posOffset>62865</wp:posOffset>
            </wp:positionV>
            <wp:extent cx="5090160" cy="3048000"/>
            <wp:effectExtent l="4445" t="4445" r="10795" b="1460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4" w:name="_Toc15377212"/>
    </w:p>
    <w:p>
      <w:pPr>
        <w:spacing w:line="600" w:lineRule="exact"/>
        <w:ind w:firstLine="963" w:firstLineChars="300"/>
        <w:outlineLvl w:val="2"/>
        <w:rPr>
          <w:rFonts w:hint="eastAsia" w:ascii="仿宋" w:hAnsi="仿宋" w:eastAsia="仿宋"/>
          <w:b/>
          <w:color w:val="000000"/>
          <w:sz w:val="32"/>
          <w:szCs w:val="32"/>
        </w:rPr>
      </w:pPr>
      <w:r>
        <w:rPr>
          <w:rFonts w:hint="eastAsia" w:ascii="仿宋" w:hAnsi="仿宋" w:eastAsia="仿宋"/>
          <w:b/>
          <w:color w:val="auto"/>
          <w:sz w:val="32"/>
          <w:szCs w:val="32"/>
          <w:highlight w:val="none"/>
          <w:lang w:val="en-US" w:eastAsia="zh-CN"/>
        </w:rPr>
        <w:t>(图6：</w:t>
      </w:r>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一般公共预算财政拨款支出决算结构</w:t>
      </w:r>
      <w:r>
        <w:rPr>
          <w:rFonts w:hint="eastAsia" w:ascii="仿宋" w:hAnsi="仿宋" w:eastAsia="仿宋"/>
          <w:b/>
          <w:color w:val="auto"/>
          <w:sz w:val="32"/>
          <w:szCs w:val="32"/>
          <w:highlight w:val="none"/>
          <w:lang w:val="en-US" w:eastAsia="zh-CN"/>
        </w:rPr>
        <w:t>)</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pPr>
        <w:spacing w:line="600" w:lineRule="exact"/>
        <w:ind w:firstLine="642" w:firstLineChars="200"/>
        <w:outlineLvl w:val="2"/>
        <w:rPr>
          <w:rStyle w:val="19"/>
          <w:rFonts w:ascii="仿宋" w:hAnsi="仿宋" w:eastAsia="仿宋"/>
          <w:bCs/>
          <w:color w:val="000000"/>
          <w:sz w:val="32"/>
          <w:szCs w:val="32"/>
        </w:rPr>
      </w:pPr>
      <w:bookmarkStart w:id="35" w:name="_Toc15377213"/>
      <w:bookmarkStart w:id="36" w:name="_Toc15377444"/>
      <w:bookmarkStart w:id="37" w:name="_Toc15378460"/>
      <w:r>
        <w:rPr>
          <w:rFonts w:hint="eastAsia" w:ascii="仿宋" w:hAnsi="仿宋" w:eastAsia="仿宋"/>
          <w:b/>
          <w:color w:val="000000" w:themeColor="text1"/>
          <w:sz w:val="32"/>
          <w:szCs w:val="32"/>
          <w14:textFill>
            <w14:solidFill>
              <w14:schemeClr w14:val="tx1"/>
            </w14:solidFill>
          </w14:textFill>
        </w:rPr>
        <w:t>202</w:t>
      </w:r>
      <w:r>
        <w:rPr>
          <w:rFonts w:hint="eastAsia" w:ascii="仿宋" w:hAnsi="仿宋" w:eastAsia="仿宋"/>
          <w:b/>
          <w:color w:val="000000" w:themeColor="text1"/>
          <w:sz w:val="32"/>
          <w:szCs w:val="32"/>
          <w:lang w:val="en-US" w:eastAsia="zh-CN"/>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2015.47万元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w:t>
      </w:r>
      <w:r>
        <w:rPr>
          <w:rStyle w:val="19"/>
          <w:rFonts w:hint="eastAsia" w:ascii="仿宋" w:hAnsi="仿宋" w:eastAsia="仿宋"/>
          <w:bCs/>
          <w:color w:val="000000"/>
          <w:sz w:val="32"/>
          <w:szCs w:val="32"/>
        </w:rPr>
        <w:t>预算100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5"/>
      <w:bookmarkEnd w:id="36"/>
      <w:bookmarkEnd w:id="37"/>
    </w:p>
    <w:p>
      <w:pPr>
        <w:spacing w:line="600" w:lineRule="exact"/>
        <w:ind w:firstLine="640" w:firstLineChars="200"/>
        <w:outlineLvl w:val="2"/>
        <w:rPr>
          <w:rStyle w:val="19"/>
          <w:rFonts w:ascii="仿宋" w:hAnsi="仿宋" w:eastAsia="仿宋"/>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仿宋_GB2312" w:hAnsi="仿宋_GB2312" w:eastAsia="仿宋_GB2312" w:cs="仿宋_GB2312"/>
          <w:b w:val="0"/>
          <w:bCs w:val="0"/>
          <w:kern w:val="0"/>
          <w:sz w:val="32"/>
          <w:szCs w:val="32"/>
        </w:rPr>
        <w:t>一般公共服务支出</w:t>
      </w:r>
      <w:r>
        <w:rPr>
          <w:rFonts w:hint="eastAsia" w:ascii="楷体_GB2312" w:hAnsi="楷体_GB2312" w:eastAsia="楷体_GB2312" w:cs="楷体_GB2312"/>
          <w:b w:val="0"/>
          <w:bCs w:val="0"/>
          <w:color w:val="000000"/>
          <w:sz w:val="32"/>
          <w:szCs w:val="32"/>
        </w:rPr>
        <w:t>（类）201，支出决算为</w:t>
      </w:r>
      <w:r>
        <w:rPr>
          <w:rFonts w:hint="eastAsia" w:ascii="楷体_GB2312" w:hAnsi="楷体_GB2312" w:eastAsia="楷体_GB2312" w:cs="楷体_GB2312"/>
          <w:b w:val="0"/>
          <w:bCs w:val="0"/>
          <w:color w:val="000000"/>
          <w:sz w:val="32"/>
          <w:szCs w:val="32"/>
          <w:lang w:val="en-US" w:eastAsia="zh-CN"/>
        </w:rPr>
        <w:t>490.29</w:t>
      </w:r>
      <w:r>
        <w:rPr>
          <w:rFonts w:hint="eastAsia" w:ascii="楷体_GB2312" w:hAnsi="楷体_GB2312" w:eastAsia="楷体_GB2312" w:cs="楷体_GB2312"/>
          <w:b w:val="0"/>
          <w:bCs w:val="0"/>
          <w:color w:val="000000"/>
          <w:sz w:val="32"/>
          <w:szCs w:val="32"/>
        </w:rPr>
        <w:t>万元，完成预算</w:t>
      </w:r>
      <w:r>
        <w:rPr>
          <w:rStyle w:val="19"/>
          <w:rFonts w:hint="eastAsia" w:ascii="仿宋_GB2312" w:eastAsia="仿宋_GB2312"/>
          <w:b w:val="0"/>
          <w:bCs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Style w:val="26"/>
          <w:rFonts w:hint="eastAsia"/>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一般公共服务支出（类）201政府办公厅（室）及相关机构事务（款）03行政运行（项）01:支出决算为</w:t>
      </w:r>
      <w:r>
        <w:rPr>
          <w:rStyle w:val="19"/>
          <w:rFonts w:hint="eastAsia" w:ascii="仿宋_GB2312" w:eastAsia="仿宋_GB2312"/>
          <w:b w:val="0"/>
          <w:color w:val="000000"/>
          <w:sz w:val="32"/>
          <w:szCs w:val="32"/>
          <w:lang w:val="en-US" w:eastAsia="zh-CN"/>
        </w:rPr>
        <w:t>249.17</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03（项）02一般行政管理事务：支出决算为</w:t>
      </w:r>
      <w:r>
        <w:rPr>
          <w:rStyle w:val="19"/>
          <w:rFonts w:hint="eastAsia" w:ascii="仿宋_GB2312" w:eastAsia="仿宋_GB2312"/>
          <w:b w:val="0"/>
          <w:color w:val="000000"/>
          <w:sz w:val="32"/>
          <w:szCs w:val="32"/>
          <w:lang w:val="en-US" w:eastAsia="zh-CN"/>
        </w:rPr>
        <w:t>32.6</w:t>
      </w:r>
      <w:r>
        <w:rPr>
          <w:rStyle w:val="19"/>
          <w:rFonts w:hint="eastAsia" w:ascii="仿宋_GB2312" w:eastAsia="仿宋_GB2312"/>
          <w:b w:val="0"/>
          <w:color w:val="000000"/>
          <w:sz w:val="32"/>
          <w:szCs w:val="32"/>
        </w:rPr>
        <w:t>万元，完成预算100%。</w:t>
      </w:r>
    </w:p>
    <w:p>
      <w:pPr>
        <w:pStyle w:val="16"/>
        <w:ind w:left="0" w:leftChars="0" w:firstLine="640" w:firstLineChars="200"/>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w:t>
      </w: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lang w:eastAsia="zh-CN"/>
        </w:rPr>
        <w:t>机关服务</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12.24</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03（项）专项业务活动05：支出决算为1万元，完成预算100%。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一般公共服务支出（类）201发展与改革事务（款）04</w:t>
      </w:r>
      <w:r>
        <w:rPr>
          <w:rFonts w:hint="eastAsia" w:ascii="仿宋_GB2312" w:eastAsia="仿宋_GB2312"/>
          <w:color w:val="000000"/>
          <w:sz w:val="32"/>
          <w:szCs w:val="32"/>
        </w:rPr>
        <w:t>日常经济运行调节（项）05</w:t>
      </w:r>
      <w:r>
        <w:rPr>
          <w:rStyle w:val="19"/>
          <w:rFonts w:hint="eastAsia"/>
          <w:color w:val="000000"/>
          <w:sz w:val="32"/>
          <w:szCs w:val="32"/>
        </w:rPr>
        <w:t>：</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27</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6</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lang w:eastAsia="zh-CN"/>
        </w:rPr>
        <w:t>审计</w:t>
      </w:r>
      <w:r>
        <w:rPr>
          <w:rFonts w:hint="eastAsia" w:ascii="仿宋_GB2312" w:eastAsia="仿宋_GB2312"/>
          <w:color w:val="000000"/>
          <w:sz w:val="32"/>
          <w:szCs w:val="32"/>
        </w:rPr>
        <w:t>事务（款）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审计业务</w:t>
      </w:r>
      <w:r>
        <w:rPr>
          <w:rFonts w:hint="eastAsia" w:ascii="仿宋_GB2312" w:eastAsia="仿宋_GB2312"/>
          <w:color w:val="000000"/>
          <w:sz w:val="32"/>
          <w:szCs w:val="32"/>
          <w:lang w:val="en-US" w:eastAsia="zh-CN"/>
        </w:rPr>
        <w:t>04</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16</w:t>
      </w:r>
      <w:r>
        <w:rPr>
          <w:rStyle w:val="19"/>
          <w:rFonts w:hint="eastAsia" w:ascii="仿宋_GB2312" w:eastAsia="仿宋_GB2312"/>
          <w:b w:val="0"/>
          <w:color w:val="000000"/>
          <w:sz w:val="32"/>
          <w:szCs w:val="32"/>
        </w:rPr>
        <w:t>万元，完成预算100%。</w:t>
      </w:r>
    </w:p>
    <w:p>
      <w:pPr>
        <w:spacing w:line="560" w:lineRule="exact"/>
        <w:ind w:firstLine="640"/>
        <w:rPr>
          <w:rFonts w:hint="default" w:eastAsia="仿宋_GB2312"/>
          <w:lang w:val="en-US" w:eastAsia="zh-CN"/>
        </w:rPr>
      </w:pPr>
      <w:r>
        <w:rPr>
          <w:rStyle w:val="19"/>
          <w:rFonts w:hint="eastAsia" w:ascii="仿宋_GB2312" w:eastAsia="仿宋_GB2312"/>
          <w:b w:val="0"/>
          <w:color w:val="000000"/>
          <w:sz w:val="32"/>
          <w:szCs w:val="32"/>
          <w:lang w:val="en-US" w:eastAsia="zh-CN"/>
        </w:rPr>
        <w:t>7</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lang w:eastAsia="zh-CN"/>
        </w:rPr>
        <w:t>组织</w:t>
      </w:r>
      <w:r>
        <w:rPr>
          <w:rFonts w:hint="eastAsia" w:ascii="仿宋_GB2312" w:eastAsia="仿宋_GB2312"/>
          <w:color w:val="000000"/>
          <w:sz w:val="32"/>
          <w:szCs w:val="32"/>
        </w:rPr>
        <w:t>事务（款）</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（项）</w:t>
      </w:r>
      <w:r>
        <w:rPr>
          <w:rFonts w:hint="eastAsia" w:ascii="仿宋_GB2312" w:eastAsia="仿宋_GB2312"/>
          <w:color w:val="000000"/>
          <w:sz w:val="32"/>
          <w:szCs w:val="32"/>
          <w:lang w:eastAsia="zh-CN"/>
        </w:rPr>
        <w:t>一般行政事务管理</w:t>
      </w:r>
      <w:r>
        <w:rPr>
          <w:rFonts w:hint="eastAsia" w:ascii="仿宋_GB2312" w:eastAsia="仿宋_GB2312"/>
          <w:color w:val="000000"/>
          <w:sz w:val="32"/>
          <w:szCs w:val="32"/>
          <w:lang w:val="en-US" w:eastAsia="zh-CN"/>
        </w:rPr>
        <w:t>02</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、一般公共服务（类）201市场监督管理事务</w:t>
      </w:r>
      <w:r>
        <w:rPr>
          <w:rFonts w:hint="eastAsia" w:ascii="仿宋_GB2312" w:eastAsia="仿宋_GB2312"/>
          <w:color w:val="000000"/>
          <w:sz w:val="32"/>
          <w:szCs w:val="32"/>
        </w:rPr>
        <w:t>（款）38</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市场监督管理事务（项）</w:t>
      </w:r>
      <w:r>
        <w:rPr>
          <w:rFonts w:hint="eastAsia" w:ascii="仿宋_GB2312" w:eastAsia="仿宋_GB2312"/>
          <w:color w:val="000000"/>
          <w:sz w:val="32"/>
          <w:szCs w:val="32"/>
          <w:lang w:val="en-US" w:eastAsia="zh-CN"/>
        </w:rPr>
        <w:t>99</w:t>
      </w:r>
      <w:r>
        <w:rPr>
          <w:rStyle w:val="19"/>
          <w:rFonts w:hint="eastAsia" w:ascii="仿宋_GB2312" w:eastAsia="仿宋_GB2312"/>
          <w:b w:val="0"/>
          <w:color w:val="000000"/>
          <w:sz w:val="32"/>
          <w:szCs w:val="32"/>
        </w:rPr>
        <w:t>：支出决算为2.5万元，完成预算100%。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9</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145.78</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10</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hAnsi="仿宋_GB2312" w:eastAsia="仿宋_GB2312" w:cs="仿宋_GB2312"/>
          <w:kern w:val="0"/>
          <w:sz w:val="32"/>
          <w:szCs w:val="32"/>
          <w:lang w:eastAsia="zh-CN"/>
        </w:rPr>
        <w:t>纪检监察事务（款）</w:t>
      </w:r>
      <w:r>
        <w:rPr>
          <w:rFonts w:hint="eastAsia" w:ascii="仿宋_GB2312" w:hAnsi="仿宋_GB2312" w:eastAsia="仿宋_GB2312" w:cs="仿宋_GB2312"/>
          <w:kern w:val="0"/>
          <w:sz w:val="32"/>
          <w:szCs w:val="32"/>
          <w:lang w:val="en-US" w:eastAsia="zh-CN"/>
        </w:rPr>
        <w:t>11一般行政事务管理</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pStyle w:val="16"/>
      </w:pPr>
    </w:p>
    <w:p>
      <w:pPr>
        <w:spacing w:line="600" w:lineRule="exact"/>
        <w:ind w:firstLine="640" w:firstLineChars="200"/>
        <w:outlineLvl w:val="2"/>
        <w:rPr>
          <w:rFonts w:hint="default"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rPr>
        <w:t>（二）公共安全支出（类）204，支出决算为</w:t>
      </w:r>
      <w:r>
        <w:rPr>
          <w:rFonts w:hint="eastAsia" w:ascii="楷体_GB2312" w:hAnsi="楷体_GB2312" w:eastAsia="楷体_GB2312" w:cs="楷体_GB2312"/>
          <w:b w:val="0"/>
          <w:bCs w:val="0"/>
          <w:color w:val="000000"/>
          <w:sz w:val="32"/>
          <w:szCs w:val="32"/>
          <w:lang w:val="en-US" w:eastAsia="zh-CN"/>
        </w:rPr>
        <w:t>16</w:t>
      </w:r>
      <w:r>
        <w:rPr>
          <w:rFonts w:hint="eastAsia" w:ascii="楷体_GB2312" w:hAnsi="楷体_GB2312" w:eastAsia="楷体_GB2312" w:cs="楷体_GB2312"/>
          <w:b w:val="0"/>
          <w:bCs w:val="0"/>
          <w:color w:val="000000"/>
          <w:sz w:val="32"/>
          <w:szCs w:val="32"/>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公共安全支出（类）204</w:t>
      </w:r>
      <w:r>
        <w:rPr>
          <w:rStyle w:val="19"/>
          <w:rFonts w:hint="eastAsia" w:ascii="仿宋_GB2312" w:eastAsia="仿宋_GB2312"/>
          <w:b w:val="0"/>
          <w:color w:val="000000"/>
          <w:sz w:val="32"/>
          <w:szCs w:val="32"/>
        </w:rPr>
        <w:t>（款）强制隔离戒毒08（项）其他强制隔离戒毒（项）99：支出决算为:9万元，完成预算100%。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公共安全支出（类）204国家安全（款）03其他国家安全支出（项）99</w:t>
      </w:r>
      <w:r>
        <w:rPr>
          <w:rStyle w:val="19"/>
          <w:rFonts w:hint="eastAsia" w:ascii="仿宋_GB2312" w:eastAsia="仿宋_GB2312"/>
          <w:b w:val="0"/>
          <w:color w:val="000000"/>
          <w:sz w:val="32"/>
          <w:szCs w:val="32"/>
        </w:rPr>
        <w:t>：支出决算为7万元，完成预算100%。</w:t>
      </w:r>
    </w:p>
    <w:p>
      <w:pPr>
        <w:spacing w:line="560" w:lineRule="exact"/>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b w:val="0"/>
          <w:bCs w:val="0"/>
          <w:color w:val="000000"/>
          <w:sz w:val="32"/>
          <w:szCs w:val="32"/>
          <w:highlight w:val="none"/>
        </w:rPr>
        <w:t>三）社会保</w:t>
      </w:r>
      <w:r>
        <w:rPr>
          <w:rFonts w:hint="eastAsia" w:ascii="楷体_GB2312" w:hAnsi="楷体_GB2312" w:eastAsia="楷体_GB2312" w:cs="楷体_GB2312"/>
          <w:b w:val="0"/>
          <w:bCs w:val="0"/>
          <w:color w:val="000000"/>
          <w:sz w:val="32"/>
          <w:szCs w:val="32"/>
        </w:rPr>
        <w:t>障和就业支出（类）208，支出决算为</w:t>
      </w:r>
      <w:r>
        <w:rPr>
          <w:rFonts w:hint="eastAsia" w:ascii="楷体_GB2312" w:hAnsi="楷体_GB2312" w:eastAsia="楷体_GB2312" w:cs="楷体_GB2312"/>
          <w:b w:val="0"/>
          <w:bCs w:val="0"/>
          <w:color w:val="000000"/>
          <w:sz w:val="32"/>
          <w:szCs w:val="32"/>
          <w:lang w:val="en-US" w:eastAsia="zh-CN"/>
        </w:rPr>
        <w:t>37.71</w:t>
      </w:r>
      <w:r>
        <w:rPr>
          <w:rFonts w:hint="eastAsia" w:ascii="楷体_GB2312" w:hAnsi="楷体_GB2312" w:eastAsia="楷体_GB2312" w:cs="楷体_GB2312"/>
          <w:b w:val="0"/>
          <w:bCs w:val="0"/>
          <w:color w:val="000000"/>
          <w:sz w:val="32"/>
          <w:szCs w:val="32"/>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社会保障和就业支出（类）208行政事业单位离退休（款）05机关事业单位基本养老保险缴费支出（项）05</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28.14</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社会保障和就业支出（类）208行政事业单位离退休（款）05机关事业单位职业年金缴费支出（项）06</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7.47</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社会保障和就业支出（类）208行政事业单位离退休（款）05行政单位离退休（项）01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2.1</w:t>
      </w:r>
      <w:r>
        <w:rPr>
          <w:rStyle w:val="19"/>
          <w:rFonts w:hint="eastAsia" w:ascii="仿宋_GB2312" w:eastAsia="仿宋_GB2312"/>
          <w:b w:val="0"/>
          <w:color w:val="000000"/>
          <w:sz w:val="32"/>
          <w:szCs w:val="32"/>
        </w:rPr>
        <w:t>万元，完成预算100%。</w:t>
      </w:r>
    </w:p>
    <w:p>
      <w:pPr>
        <w:spacing w:line="560" w:lineRule="exact"/>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（四）卫生健康支出（类）210，支出决算为</w:t>
      </w:r>
      <w:r>
        <w:rPr>
          <w:rFonts w:hint="eastAsia" w:ascii="楷体_GB2312" w:hAnsi="楷体_GB2312" w:eastAsia="楷体_GB2312" w:cs="楷体_GB2312"/>
          <w:color w:val="000000"/>
          <w:sz w:val="32"/>
          <w:szCs w:val="32"/>
          <w:highlight w:val="none"/>
          <w:lang w:val="en-US" w:eastAsia="zh-CN"/>
        </w:rPr>
        <w:t>14.07</w:t>
      </w:r>
      <w:r>
        <w:rPr>
          <w:rFonts w:hint="eastAsia" w:ascii="楷体_GB2312" w:hAnsi="楷体_GB2312" w:eastAsia="楷体_GB2312" w:cs="楷体_GB2312"/>
          <w:color w:val="000000"/>
          <w:sz w:val="32"/>
          <w:szCs w:val="32"/>
          <w:highlight w:val="none"/>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（类）210行政事业单位医疗11（款）行政单位医疗（项）01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14.07</w:t>
      </w:r>
      <w:r>
        <w:rPr>
          <w:rStyle w:val="19"/>
          <w:rFonts w:hint="eastAsia" w:ascii="仿宋_GB2312" w:eastAsia="仿宋_GB2312"/>
          <w:b w:val="0"/>
          <w:color w:val="000000"/>
          <w:sz w:val="32"/>
          <w:szCs w:val="32"/>
        </w:rPr>
        <w:t>元，完成预算100%。</w:t>
      </w:r>
    </w:p>
    <w:p>
      <w:pPr>
        <w:spacing w:line="560" w:lineRule="exact"/>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（五）城乡社区支出（类）212，支出决算为5万元，完成预算100%，其中：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城乡社区支出（类）212城乡社区管理事务（款）01城管执法（项）04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城乡社区支出（类）212城乡社区环境卫生（款）05城乡社区环境卫生（项）01</w:t>
      </w:r>
      <w:r>
        <w:rPr>
          <w:rStyle w:val="19"/>
          <w:rFonts w:hint="eastAsia" w:ascii="仿宋_GB2312" w:eastAsia="仿宋_GB2312"/>
          <w:b w:val="0"/>
          <w:color w:val="000000"/>
          <w:sz w:val="32"/>
          <w:szCs w:val="32"/>
        </w:rPr>
        <w:t>：支出决算为4万元，完成预算100%。</w:t>
      </w:r>
    </w:p>
    <w:p>
      <w:pPr>
        <w:spacing w:line="560" w:lineRule="exact"/>
        <w:ind w:firstLine="64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（六）农林水支出（类）213，支出决算为</w:t>
      </w:r>
      <w:r>
        <w:rPr>
          <w:rFonts w:hint="eastAsia" w:ascii="楷体_GB2312" w:hAnsi="楷体_GB2312" w:eastAsia="楷体_GB2312" w:cs="楷体_GB2312"/>
          <w:color w:val="000000"/>
          <w:sz w:val="32"/>
          <w:szCs w:val="32"/>
          <w:lang w:val="en-US" w:eastAsia="zh-CN"/>
        </w:rPr>
        <w:t>477.3</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农林水支出（类）213农业（款）01病虫害控制（项）08</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农林水支出（类）213林业（款）02林业防灾减灾（项）34</w:t>
      </w:r>
      <w:r>
        <w:rPr>
          <w:rStyle w:val="19"/>
          <w:rFonts w:hint="eastAsia" w:ascii="仿宋_GB2312" w:eastAsia="仿宋_GB2312"/>
          <w:b w:val="0"/>
          <w:color w:val="000000"/>
          <w:sz w:val="32"/>
          <w:szCs w:val="32"/>
        </w:rPr>
        <w:t>：支出决算为2万元，完成预算100%。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农林水支出（类）213水利（款）03防汛（项）14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4、农林水支出（类）213农村综合改革（款）07对村民委员会和村党支部的补助（项）05：支出决算为460.61万元 ， 农林水支出（类）213农村综合改革（款）07对村集体经济组织的补助（项）06：支出决算为12.69万元 ；      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（七）交通运输支出（类）214，支出决算为1万元，完成预算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交通运输支出（类）214公路水路运输（款）01公路和运输安全（项）10</w:t>
      </w:r>
      <w:r>
        <w:rPr>
          <w:rStyle w:val="19"/>
          <w:rFonts w:hint="eastAsia" w:ascii="仿宋_GB2312" w:eastAsia="仿宋_GB2312"/>
          <w:b w:val="0"/>
          <w:color w:val="000000"/>
          <w:sz w:val="32"/>
          <w:szCs w:val="32"/>
        </w:rPr>
        <w:t>：支出决算为1万元，完成预算100%。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（八）灾害防治及应急管理支出（类）224，支出决算为</w:t>
      </w:r>
      <w:r>
        <w:rPr>
          <w:rFonts w:hint="eastAsia" w:ascii="楷体_GB2312" w:hAnsi="楷体_GB2312" w:eastAsia="楷体_GB2312" w:cs="楷体_GB2312"/>
          <w:color w:val="000000"/>
          <w:sz w:val="32"/>
          <w:szCs w:val="32"/>
          <w:lang w:val="en-US" w:eastAsia="zh-CN"/>
        </w:rPr>
        <w:t>20.83</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灾害防治及应急管理支出（类）224应急管理事务</w:t>
      </w:r>
      <w:r>
        <w:rPr>
          <w:rStyle w:val="19"/>
          <w:rFonts w:hint="eastAsia" w:ascii="仿宋_GB2312" w:eastAsia="仿宋_GB2312"/>
          <w:b w:val="0"/>
          <w:color w:val="000000"/>
          <w:sz w:val="32"/>
          <w:szCs w:val="32"/>
        </w:rPr>
        <w:t>（款）01</w:t>
      </w:r>
      <w:r>
        <w:rPr>
          <w:rStyle w:val="19"/>
          <w:rFonts w:hint="eastAsia" w:ascii="仿宋_GB2312" w:eastAsia="仿宋_GB2312"/>
          <w:b w:val="0"/>
          <w:color w:val="000000"/>
          <w:sz w:val="32"/>
          <w:szCs w:val="32"/>
          <w:lang w:eastAsia="zh-CN"/>
        </w:rPr>
        <w:t>应急救援</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08</w:t>
      </w:r>
      <w:r>
        <w:rPr>
          <w:rStyle w:val="19"/>
          <w:rFonts w:hint="eastAsia" w:ascii="仿宋_GB2312" w:eastAsia="仿宋_GB2312"/>
          <w:b w:val="0"/>
          <w:color w:val="000000"/>
          <w:sz w:val="32"/>
          <w:szCs w:val="32"/>
        </w:rPr>
        <w:t>：支出决算为3</w:t>
      </w:r>
      <w:r>
        <w:rPr>
          <w:rStyle w:val="19"/>
          <w:rFonts w:hint="eastAsia" w:ascii="仿宋_GB2312" w:eastAsia="仿宋_GB2312"/>
          <w:b w:val="0"/>
          <w:color w:val="000000"/>
          <w:sz w:val="32"/>
          <w:szCs w:val="32"/>
          <w:lang w:val="en-US" w:eastAsia="zh-CN"/>
        </w:rPr>
        <w:t>.35</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楷体_GB2312" w:hAnsi="楷体_GB2312" w:eastAsia="楷体_GB2312" w:cs="楷体_GB2312"/>
          <w:color w:val="000000"/>
          <w:sz w:val="32"/>
          <w:szCs w:val="32"/>
        </w:rPr>
        <w:t>灾害防治及应急管理支出（类）224应急管理事务</w:t>
      </w:r>
      <w:r>
        <w:rPr>
          <w:rStyle w:val="19"/>
          <w:rFonts w:hint="eastAsia" w:ascii="仿宋_GB2312" w:eastAsia="仿宋_GB2312"/>
          <w:b w:val="0"/>
          <w:color w:val="000000"/>
          <w:sz w:val="32"/>
          <w:szCs w:val="32"/>
        </w:rPr>
        <w:t>（款）01安全监管（项）06：支出决算为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消防事务</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02</w:t>
      </w:r>
      <w:r>
        <w:rPr>
          <w:rStyle w:val="19"/>
          <w:rFonts w:hint="eastAsia" w:ascii="仿宋_GB2312" w:eastAsia="仿宋_GB2312"/>
          <w:b w:val="0"/>
          <w:color w:val="000000"/>
          <w:sz w:val="32"/>
          <w:szCs w:val="32"/>
          <w:lang w:eastAsia="zh-CN"/>
        </w:rPr>
        <w:t>其他消防事务支出</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7.3</w:t>
      </w:r>
      <w:r>
        <w:rPr>
          <w:rStyle w:val="19"/>
          <w:rFonts w:hint="eastAsia" w:ascii="仿宋_GB2312" w:eastAsia="仿宋_GB2312"/>
          <w:b w:val="0"/>
          <w:color w:val="000000"/>
          <w:sz w:val="32"/>
          <w:szCs w:val="32"/>
        </w:rPr>
        <w:t>万元，完成预算100%。</w:t>
      </w:r>
    </w:p>
    <w:p>
      <w:pPr>
        <w:pStyle w:val="16"/>
        <w:ind w:left="0" w:leftChars="0" w:firstLine="640" w:firstLineChars="20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森林消防事务</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03</w:t>
      </w:r>
      <w:r>
        <w:rPr>
          <w:rStyle w:val="19"/>
          <w:rFonts w:hint="eastAsia" w:ascii="仿宋_GB2312" w:eastAsia="仿宋_GB2312"/>
          <w:b w:val="0"/>
          <w:color w:val="000000"/>
          <w:sz w:val="32"/>
          <w:szCs w:val="32"/>
          <w:lang w:eastAsia="zh-CN"/>
        </w:rPr>
        <w:t>森林消防应急救援</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04</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2.3</w:t>
      </w:r>
      <w:r>
        <w:rPr>
          <w:rStyle w:val="19"/>
          <w:rFonts w:hint="eastAsia" w:ascii="仿宋_GB2312" w:eastAsia="仿宋_GB2312"/>
          <w:b w:val="0"/>
          <w:color w:val="000000"/>
          <w:sz w:val="32"/>
          <w:szCs w:val="32"/>
        </w:rPr>
        <w:t>万元，完成预算100%。</w:t>
      </w:r>
    </w:p>
    <w:p>
      <w:pPr>
        <w:pStyle w:val="16"/>
        <w:ind w:left="0" w:leftChars="0" w:firstLine="640" w:firstLineChars="200"/>
      </w:pP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其他</w:t>
      </w:r>
      <w:r>
        <w:rPr>
          <w:rFonts w:hint="eastAsia" w:ascii="楷体_GB2312" w:hAnsi="楷体_GB2312" w:eastAsia="楷体_GB2312" w:cs="楷体_GB2312"/>
          <w:color w:val="000000"/>
          <w:sz w:val="32"/>
          <w:szCs w:val="32"/>
        </w:rPr>
        <w:t>灾害防治及应急管理支出</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99</w:t>
      </w:r>
      <w:r>
        <w:rPr>
          <w:rFonts w:hint="eastAsia" w:ascii="楷体_GB2312" w:hAnsi="楷体_GB2312" w:eastAsia="楷体_GB2312" w:cs="楷体_GB2312"/>
          <w:color w:val="000000"/>
          <w:sz w:val="32"/>
          <w:szCs w:val="32"/>
          <w:lang w:eastAsia="zh-CN"/>
        </w:rPr>
        <w:t>其他</w:t>
      </w:r>
      <w:r>
        <w:rPr>
          <w:rFonts w:hint="eastAsia" w:ascii="楷体_GB2312" w:hAnsi="楷体_GB2312" w:eastAsia="楷体_GB2312" w:cs="楷体_GB2312"/>
          <w:color w:val="000000"/>
          <w:sz w:val="32"/>
          <w:szCs w:val="32"/>
        </w:rPr>
        <w:t>灾害防治及应急管理支出</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5.88</w:t>
      </w:r>
      <w:r>
        <w:rPr>
          <w:rStyle w:val="19"/>
          <w:rFonts w:hint="eastAsia" w:ascii="仿宋_GB2312" w:eastAsia="仿宋_GB2312"/>
          <w:b w:val="0"/>
          <w:color w:val="000000"/>
          <w:sz w:val="32"/>
          <w:szCs w:val="32"/>
        </w:rPr>
        <w:t>万元，完成预算100%。</w:t>
      </w:r>
    </w:p>
    <w:p>
      <w:pPr>
        <w:pStyle w:val="16"/>
        <w:ind w:left="0" w:leftChars="0" w:firstLine="640" w:firstLineChars="200"/>
        <w:rPr>
          <w:rStyle w:val="19"/>
          <w:rFonts w:hint="eastAsia" w:ascii="仿宋_GB2312" w:eastAsia="仿宋_GB2312"/>
          <w:b w:val="0"/>
          <w:color w:val="000000"/>
          <w:sz w:val="32"/>
          <w:szCs w:val="32"/>
        </w:rPr>
      </w:pP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（九）住房保障支出（类）221，支出决算为</w:t>
      </w:r>
      <w:r>
        <w:rPr>
          <w:rFonts w:hint="eastAsia" w:ascii="楷体_GB2312" w:hAnsi="楷体_GB2312" w:eastAsia="楷体_GB2312" w:cs="楷体_GB2312"/>
          <w:color w:val="000000"/>
          <w:sz w:val="32"/>
          <w:szCs w:val="32"/>
          <w:lang w:val="en-US" w:eastAsia="zh-CN"/>
        </w:rPr>
        <w:t>953.28</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480" w:firstLineChars="15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住房保障支出（类）221住房改革支出（款）02住房公积金（项）01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33.2</w:t>
      </w:r>
      <w:r>
        <w:rPr>
          <w:rStyle w:val="19"/>
          <w:rFonts w:hint="eastAsia" w:ascii="仿宋_GB2312" w:eastAsia="仿宋_GB2312"/>
          <w:b w:val="0"/>
          <w:color w:val="000000"/>
          <w:sz w:val="32"/>
          <w:szCs w:val="32"/>
        </w:rPr>
        <w:t>万元，完成预算100%。</w:t>
      </w:r>
    </w:p>
    <w:p>
      <w:pPr>
        <w:spacing w:line="560" w:lineRule="exact"/>
        <w:ind w:firstLine="480" w:firstLineChars="15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住房保障支出（类）221保障性安居工程支出（款）01老旧小区改造（项）08</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892.81</w:t>
      </w:r>
      <w:r>
        <w:rPr>
          <w:rStyle w:val="19"/>
          <w:rFonts w:hint="eastAsia" w:ascii="仿宋_GB2312" w:eastAsia="仿宋_GB2312"/>
          <w:b w:val="0"/>
          <w:color w:val="000000"/>
          <w:sz w:val="32"/>
          <w:szCs w:val="32"/>
        </w:rPr>
        <w:t>万元，完成预算100%。</w:t>
      </w:r>
    </w:p>
    <w:p>
      <w:pPr>
        <w:spacing w:line="560" w:lineRule="exact"/>
        <w:ind w:firstLine="480" w:firstLineChars="150"/>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仿宋_GB2312" w:eastAsia="仿宋_GB2312"/>
          <w:color w:val="000000"/>
          <w:sz w:val="32"/>
          <w:szCs w:val="32"/>
        </w:rPr>
        <w:t>住房保障支出（类）221保障性安居工程支出（款）01</w:t>
      </w:r>
      <w:r>
        <w:rPr>
          <w:rFonts w:hint="eastAsia" w:ascii="仿宋_GB2312" w:eastAsia="仿宋_GB2312"/>
          <w:color w:val="000000"/>
          <w:sz w:val="32"/>
          <w:szCs w:val="32"/>
          <w:lang w:eastAsia="zh-CN"/>
        </w:rPr>
        <w:t>公共租赁住房</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6</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万元，完成预算100%。</w:t>
      </w:r>
    </w:p>
    <w:p>
      <w:pPr>
        <w:spacing w:line="560" w:lineRule="exact"/>
        <w:ind w:firstLine="480" w:firstLineChars="15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仿宋_GB2312" w:eastAsia="仿宋_GB2312"/>
          <w:color w:val="000000"/>
          <w:sz w:val="32"/>
          <w:szCs w:val="32"/>
        </w:rPr>
        <w:t>住房保障支出（类）221保障性安居工程支出（款）01其他保障性安居工程支出（项）99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22.27</w:t>
      </w:r>
      <w:r>
        <w:rPr>
          <w:rStyle w:val="19"/>
          <w:rFonts w:hint="eastAsia" w:ascii="仿宋_GB2312" w:eastAsia="仿宋_GB2312"/>
          <w:b w:val="0"/>
          <w:color w:val="000000"/>
          <w:sz w:val="32"/>
          <w:szCs w:val="32"/>
        </w:rPr>
        <w:t>万元，完成预算100%。</w:t>
      </w:r>
    </w:p>
    <w:p>
      <w:pPr>
        <w:tabs>
          <w:tab w:val="right" w:pos="8306"/>
        </w:tabs>
        <w:spacing w:line="600" w:lineRule="exact"/>
        <w:outlineLvl w:val="1"/>
        <w:rPr>
          <w:rStyle w:val="30"/>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38"/>
      <w:bookmarkEnd w:id="39"/>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b/>
          <w:bCs/>
          <w:color w:val="000000"/>
          <w:sz w:val="32"/>
          <w:szCs w:val="32"/>
        </w:rPr>
        <w:t>202</w:t>
      </w:r>
      <w:r>
        <w:rPr>
          <w:rFonts w:hint="eastAsia" w:ascii="仿宋" w:hAnsi="仿宋" w:eastAsia="仿宋"/>
          <w:b/>
          <w:bCs/>
          <w:color w:val="000000"/>
          <w:sz w:val="32"/>
          <w:szCs w:val="32"/>
          <w:lang w:val="en-US" w:eastAsia="zh-CN"/>
        </w:rPr>
        <w:t>1</w:t>
      </w:r>
      <w:r>
        <w:rPr>
          <w:rFonts w:hint="eastAsia" w:ascii="仿宋" w:hAnsi="仿宋" w:eastAsia="仿宋"/>
          <w:b/>
          <w:bCs/>
          <w:color w:val="000000"/>
          <w:sz w:val="32"/>
          <w:szCs w:val="32"/>
        </w:rPr>
        <w:t>年一般公共预算财政拨款基本支出</w:t>
      </w:r>
      <w:r>
        <w:rPr>
          <w:rFonts w:hint="eastAsia" w:ascii="仿宋_GB2312" w:hAnsi="仿宋_GB2312" w:eastAsia="仿宋_GB2312" w:cs="仿宋_GB2312"/>
          <w:b/>
          <w:bCs/>
          <w:color w:val="000000"/>
          <w:sz w:val="32"/>
          <w:szCs w:val="32"/>
          <w:lang w:val="en-US" w:eastAsia="zh-CN"/>
        </w:rPr>
        <w:t>479.92</w:t>
      </w:r>
      <w:r>
        <w:rPr>
          <w:rFonts w:hint="eastAsia" w:ascii="仿宋" w:hAnsi="仿宋" w:eastAsia="仿宋"/>
          <w:b/>
          <w:bCs/>
          <w:color w:val="000000"/>
          <w:sz w:val="32"/>
          <w:szCs w:val="32"/>
        </w:rPr>
        <w:t>万元，其中：</w:t>
      </w:r>
    </w:p>
    <w:p>
      <w:pPr>
        <w:spacing w:line="600" w:lineRule="exact"/>
        <w:ind w:firstLine="645"/>
        <w:rPr>
          <w:rFonts w:hint="eastAsia" w:ascii="仿宋" w:hAnsi="仿宋" w:eastAsia="仿宋"/>
          <w:color w:val="000000"/>
          <w:sz w:val="32"/>
          <w:szCs w:val="32"/>
          <w:highlight w:val="none"/>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300.18</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主要包括：基本工资、津贴补贴、奖金、机关事业单位基本养老保险缴费、职业年金缴费、职工基本医疗保险缴费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生活补助</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其他社会保障缴费、其他工资福利支出、</w:t>
      </w:r>
      <w:r>
        <w:rPr>
          <w:rFonts w:hint="eastAsia" w:ascii="仿宋" w:hAnsi="仿宋" w:eastAsia="仿宋"/>
          <w:color w:val="000000"/>
          <w:sz w:val="32"/>
          <w:szCs w:val="32"/>
          <w:highlight w:val="none"/>
          <w:lang w:eastAsia="zh-CN"/>
        </w:rPr>
        <w:t>奖</w:t>
      </w:r>
      <w:r>
        <w:rPr>
          <w:rFonts w:hint="eastAsia" w:ascii="仿宋" w:hAnsi="仿宋" w:eastAsia="仿宋"/>
          <w:color w:val="000000"/>
          <w:sz w:val="32"/>
          <w:szCs w:val="32"/>
          <w:highlight w:val="none"/>
        </w:rPr>
        <w:t>励金、住房公积金</w:t>
      </w:r>
      <w:r>
        <w:rPr>
          <w:rFonts w:hint="eastAsia" w:ascii="仿宋" w:hAnsi="仿宋" w:eastAsia="仿宋"/>
          <w:color w:val="000000"/>
          <w:sz w:val="32"/>
          <w:szCs w:val="32"/>
          <w:highlight w:val="none"/>
          <w:lang w:eastAsia="zh-CN"/>
        </w:rPr>
        <w:t>、其他</w:t>
      </w:r>
      <w:r>
        <w:rPr>
          <w:rFonts w:hint="eastAsia" w:ascii="仿宋" w:hAnsi="仿宋" w:eastAsia="仿宋"/>
          <w:color w:val="000000"/>
          <w:sz w:val="32"/>
          <w:szCs w:val="32"/>
          <w:highlight w:val="none"/>
        </w:rPr>
        <w:t>对个人和家庭的补助支出等。</w:t>
      </w:r>
    </w:p>
    <w:p>
      <w:pPr>
        <w:spacing w:line="600" w:lineRule="exact"/>
        <w:ind w:firstLine="645"/>
        <w:rPr>
          <w:rFonts w:ascii="仿宋" w:hAnsi="仿宋" w:eastAsia="仿宋"/>
          <w:b/>
          <w:color w:val="FF0000"/>
          <w:sz w:val="32"/>
          <w:szCs w:val="32"/>
          <w:highlight w:val="none"/>
        </w:rPr>
      </w:pPr>
      <w:r>
        <w:rPr>
          <w:rFonts w:hint="eastAsia" w:ascii="仿宋" w:hAnsi="仿宋" w:eastAsia="仿宋"/>
          <w:color w:val="000000"/>
          <w:sz w:val="32"/>
          <w:szCs w:val="32"/>
          <w:highlight w:val="none"/>
        </w:rPr>
        <w:t>　公用经费</w:t>
      </w:r>
      <w:r>
        <w:rPr>
          <w:rFonts w:hint="eastAsia" w:ascii="仿宋" w:hAnsi="仿宋" w:eastAsia="仿宋"/>
          <w:color w:val="000000"/>
          <w:sz w:val="32"/>
          <w:szCs w:val="32"/>
          <w:highlight w:val="none"/>
          <w:lang w:val="en-US" w:eastAsia="zh-CN"/>
        </w:rPr>
        <w:t>179.74</w:t>
      </w:r>
      <w:r>
        <w:rPr>
          <w:rFonts w:hint="eastAsia" w:ascii="仿宋" w:hAnsi="仿宋" w:eastAsia="仿宋"/>
          <w:color w:val="000000"/>
          <w:sz w:val="32"/>
          <w:szCs w:val="32"/>
          <w:highlight w:val="none"/>
        </w:rPr>
        <w:t>万元，主要包括：办公费、印刷费、水费、电费、邮电费、维修（护）费、会议费、劳务费、工会经费、福利费、其他交通费、其他商品和服务支出、办公设备购置等。</w:t>
      </w:r>
    </w:p>
    <w:p>
      <w:pPr>
        <w:spacing w:line="600" w:lineRule="exact"/>
        <w:ind w:firstLine="640"/>
        <w:outlineLvl w:val="1"/>
        <w:rPr>
          <w:rFonts w:ascii="黑体" w:eastAsia="黑体"/>
          <w:color w:val="000000"/>
          <w:sz w:val="32"/>
          <w:szCs w:val="32"/>
        </w:rPr>
      </w:pPr>
      <w:bookmarkStart w:id="40" w:name="_Toc15396609"/>
      <w:bookmarkStart w:id="41" w:name="_Toc15377215"/>
    </w:p>
    <w:p>
      <w:pPr>
        <w:spacing w:line="600" w:lineRule="exact"/>
        <w:ind w:firstLine="640"/>
        <w:outlineLvl w:val="1"/>
        <w:rPr>
          <w:rStyle w:val="30"/>
          <w:rFonts w:ascii="黑体" w:hAnsi="黑体" w:eastAsia="黑体"/>
          <w:b w:val="0"/>
        </w:rPr>
      </w:pPr>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0.48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lang w:val="en-US" w:eastAsia="zh-CN"/>
        </w:rPr>
        <w:t>决算数</w:t>
      </w:r>
      <w:r>
        <w:rPr>
          <w:rFonts w:hint="eastAsia" w:ascii="仿宋" w:hAnsi="仿宋" w:eastAsia="仿宋"/>
          <w:color w:val="auto"/>
          <w:sz w:val="32"/>
          <w:szCs w:val="32"/>
          <w:highlight w:val="none"/>
          <w:lang w:eastAsia="zh-CN"/>
        </w:rPr>
        <w:t>小于</w:t>
      </w:r>
      <w:r>
        <w:rPr>
          <w:rFonts w:hint="eastAsia" w:ascii="仿宋" w:hAnsi="仿宋" w:eastAsia="仿宋"/>
          <w:color w:val="auto"/>
          <w:sz w:val="32"/>
          <w:szCs w:val="32"/>
          <w:highlight w:val="none"/>
        </w:rPr>
        <w:t>预算数</w:t>
      </w:r>
      <w:r>
        <w:rPr>
          <w:rFonts w:hint="eastAsia" w:ascii="仿宋" w:hAnsi="仿宋" w:eastAsia="仿宋"/>
          <w:sz w:val="32"/>
          <w:szCs w:val="32"/>
        </w:rPr>
        <w:t>主要原因</w:t>
      </w:r>
      <w:r>
        <w:rPr>
          <w:rFonts w:hint="eastAsia" w:ascii="仿宋" w:hAnsi="仿宋" w:eastAsia="仿宋"/>
          <w:sz w:val="32"/>
          <w:szCs w:val="32"/>
          <w:lang w:eastAsia="zh-CN"/>
        </w:rPr>
        <w:t>是厉行节约。</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b w:val="0"/>
          <w:bCs w:val="0"/>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0.48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bookmarkStart w:id="44" w:name="_Toc15377221"/>
      <w:bookmarkStart w:id="45" w:name="_Toc15396612"/>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000000"/>
          <w:sz w:val="32"/>
          <w:szCs w:val="32"/>
        </w:rPr>
        <w:t>因公出国（境）经费支出0万元，年初未安排预算，因公出国（境）经费支出较20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年无变化。</w:t>
      </w:r>
    </w:p>
    <w:p>
      <w:pPr>
        <w:pageBreakBefore w:val="0"/>
        <w:kinsoku/>
        <w:wordWrap/>
        <w:overflowPunct/>
        <w:topLinePunct w:val="0"/>
        <w:bidi w:val="0"/>
        <w:spacing w:line="576" w:lineRule="exact"/>
        <w:ind w:firstLine="64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2.公务用车购置及运行维护费支出0万元</w:t>
      </w:r>
      <w:r>
        <w:rPr>
          <w:rFonts w:hint="eastAsia" w:ascii="仿宋_GB2312" w:hAnsi="Times New Roman" w:eastAsia="仿宋_GB2312" w:cs="Times New Roman"/>
          <w:color w:val="auto"/>
          <w:sz w:val="32"/>
          <w:szCs w:val="32"/>
          <w:highlight w:val="none"/>
          <w:lang w:val="en-US" w:eastAsia="zh-CN"/>
        </w:rPr>
        <w:t>。万元,年初未安排预算。公务用车购置及运行维护费支出决算与2020年相比无增减变化。截至2021年12月底，单位共有公务用车0辆。</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0.48</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96%</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lang w:eastAsia="zh-CN"/>
        </w:rPr>
        <w:t>万元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招商任务增加。</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0.48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接待引进企业来考察接待餐费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人次。</w:t>
      </w:r>
    </w:p>
    <w:p>
      <w:pPr>
        <w:pStyle w:val="2"/>
        <w:ind w:firstLine="642" w:firstLineChars="200"/>
        <w:rPr>
          <w:rFonts w:hint="eastAsia"/>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color w:val="auto"/>
          <w:sz w:val="32"/>
          <w:szCs w:val="32"/>
          <w:highlight w:val="none"/>
          <w:lang w:eastAsia="zh-CN"/>
        </w:rPr>
        <w:t>。</w:t>
      </w:r>
    </w:p>
    <w:p>
      <w:pPr>
        <w:pageBreakBefore w:val="0"/>
        <w:kinsoku/>
        <w:wordWrap/>
        <w:overflowPunct/>
        <w:topLinePunct w:val="0"/>
        <w:bidi w:val="0"/>
        <w:spacing w:line="576" w:lineRule="exact"/>
        <w:ind w:firstLine="640" w:firstLineChars="200"/>
        <w:jc w:val="both"/>
        <w:textAlignment w:val="auto"/>
        <w:outlineLvl w:val="1"/>
        <w:rPr>
          <w:rStyle w:val="30"/>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6"/>
      <w:bookmarkEnd w:id="47"/>
    </w:p>
    <w:p>
      <w:pPr>
        <w:pageBreakBefore w:val="0"/>
        <w:kinsoku/>
        <w:wordWrap/>
        <w:overflowPunct/>
        <w:topLinePunct w:val="0"/>
        <w:bidi w:val="0"/>
        <w:spacing w:line="576" w:lineRule="exact"/>
        <w:ind w:firstLine="640"/>
        <w:jc w:val="both"/>
        <w:textAlignment w:val="auto"/>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76" w:lineRule="exact"/>
        <w:ind w:firstLine="640" w:firstLineChars="200"/>
        <w:jc w:val="both"/>
        <w:textAlignment w:val="auto"/>
        <w:outlineLvl w:val="1"/>
        <w:rPr>
          <w:rFonts w:hint="eastAsia" w:ascii="黑体" w:hAnsi="Times New Roman" w:eastAsia="黑体" w:cs="Times New Roman"/>
          <w:color w:val="auto"/>
          <w:sz w:val="32"/>
          <w:szCs w:val="32"/>
          <w:highlight w:val="none"/>
        </w:rPr>
      </w:pPr>
      <w:bookmarkStart w:id="48" w:name="_Toc15396611"/>
      <w:bookmarkStart w:id="49" w:name="_Toc15377219"/>
      <w:r>
        <w:rPr>
          <w:rFonts w:hint="eastAsia" w:ascii="黑体" w:hAnsi="Times New Roman" w:eastAsia="黑体" w:cs="Times New Roman"/>
          <w:color w:val="auto"/>
          <w:sz w:val="32"/>
          <w:szCs w:val="32"/>
          <w:highlight w:val="none"/>
          <w:lang w:eastAsia="zh-CN"/>
        </w:rPr>
        <w:t>九、</w:t>
      </w:r>
      <w:r>
        <w:rPr>
          <w:rFonts w:hint="eastAsia" w:ascii="黑体" w:hAnsi="Times New Roman" w:eastAsia="黑体" w:cs="Times New Roman"/>
          <w:color w:val="auto"/>
          <w:sz w:val="32"/>
          <w:szCs w:val="32"/>
          <w:highlight w:val="none"/>
        </w:rPr>
        <w:t>国有资本经营预算支出决算情况说明</w:t>
      </w:r>
      <w:bookmarkEnd w:id="48"/>
      <w:bookmarkEnd w:id="49"/>
    </w:p>
    <w:p>
      <w:pPr>
        <w:pageBreakBefore w:val="0"/>
        <w:kinsoku/>
        <w:wordWrap/>
        <w:overflowPunct/>
        <w:topLinePunct w:val="0"/>
        <w:bidi w:val="0"/>
        <w:spacing w:line="576" w:lineRule="exact"/>
        <w:ind w:firstLine="640" w:firstLineChars="200"/>
        <w:jc w:val="both"/>
        <w:textAlignment w:val="auto"/>
        <w:outlineLvl w:val="1"/>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20</w:t>
      </w:r>
      <w:r>
        <w:rPr>
          <w:rFonts w:hint="eastAsia" w:ascii="黑体" w:hAnsi="Times New Roman" w:eastAsia="黑体" w:cs="Times New Roman"/>
          <w:color w:val="auto"/>
          <w:sz w:val="32"/>
          <w:szCs w:val="32"/>
          <w:highlight w:val="none"/>
          <w:lang w:val="en-US" w:eastAsia="zh-CN"/>
        </w:rPr>
        <w:t>21</w:t>
      </w:r>
      <w:r>
        <w:rPr>
          <w:rFonts w:hint="eastAsia" w:ascii="黑体" w:hAnsi="Times New Roman" w:eastAsia="黑体" w:cs="Times New Roman"/>
          <w:color w:val="auto"/>
          <w:sz w:val="32"/>
          <w:szCs w:val="32"/>
          <w:highlight w:val="none"/>
        </w:rPr>
        <w:t>年国有资本经营预算</w:t>
      </w:r>
      <w:r>
        <w:rPr>
          <w:rFonts w:hint="eastAsia" w:ascii="黑体" w:hAnsi="Times New Roman" w:eastAsia="黑体" w:cs="Times New Roman"/>
          <w:color w:val="auto"/>
          <w:sz w:val="32"/>
          <w:szCs w:val="32"/>
          <w:highlight w:val="none"/>
          <w:lang w:eastAsia="zh-CN"/>
        </w:rPr>
        <w:t>财政</w:t>
      </w:r>
      <w:r>
        <w:rPr>
          <w:rFonts w:hint="eastAsia" w:ascii="黑体" w:hAnsi="Times New Roman" w:eastAsia="黑体" w:cs="Times New Roman"/>
          <w:color w:val="auto"/>
          <w:sz w:val="32"/>
          <w:szCs w:val="32"/>
          <w:highlight w:val="none"/>
        </w:rPr>
        <w:t>拨款支出</w:t>
      </w:r>
      <w:r>
        <w:rPr>
          <w:rFonts w:hint="eastAsia" w:ascii="黑体" w:hAnsi="Times New Roman" w:eastAsia="黑体" w:cs="Times New Roman"/>
          <w:color w:val="auto"/>
          <w:sz w:val="32"/>
          <w:szCs w:val="32"/>
          <w:highlight w:val="none"/>
          <w:lang w:val="en-US" w:eastAsia="zh-CN"/>
        </w:rPr>
        <w:t>0</w:t>
      </w:r>
      <w:r>
        <w:rPr>
          <w:rFonts w:hint="eastAsia" w:ascii="黑体" w:hAnsi="Times New Roman" w:eastAsia="黑体" w:cs="Times New Roman"/>
          <w:color w:val="auto"/>
          <w:sz w:val="32"/>
          <w:szCs w:val="32"/>
          <w:highlight w:val="none"/>
        </w:rPr>
        <w:t>万元。</w:t>
      </w:r>
    </w:p>
    <w:p>
      <w:pPr>
        <w:spacing w:line="600" w:lineRule="exact"/>
        <w:ind w:firstLine="800" w:firstLineChars="250"/>
        <w:outlineLvl w:val="1"/>
        <w:rPr>
          <w:rStyle w:val="30"/>
          <w:rFonts w:ascii="黑体" w:hAnsi="黑体" w:eastAsia="黑体"/>
        </w:rPr>
      </w:pPr>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年，下西办事处机关运行经费支出</w:t>
      </w:r>
      <w:r>
        <w:rPr>
          <w:rFonts w:hint="eastAsia" w:ascii="仿宋_GB2312" w:eastAsia="仿宋_GB2312"/>
          <w:color w:val="000000"/>
          <w:sz w:val="32"/>
          <w:szCs w:val="32"/>
          <w:lang w:val="en-US" w:eastAsia="zh-CN"/>
        </w:rPr>
        <w:t>179.74</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37.54</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主要原因是人员变动等。</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hint="default" w:ascii="仿宋_GB2312" w:eastAsia="仿宋_GB2312"/>
          <w:color w:val="auto"/>
          <w:sz w:val="32"/>
          <w:szCs w:val="32"/>
          <w:highlight w:val="yellow"/>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下西坝办事处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，占政府采购支出总额的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办公</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bookmarkStart w:id="71" w:name="_GoBack"/>
      <w:bookmarkEnd w:id="71"/>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pStyle w:val="2"/>
        <w:ind w:firstLine="640" w:firstLineChars="200"/>
        <w:rPr>
          <w:rFonts w:ascii="仿宋_GB2312" w:eastAsia="仿宋_GB2312"/>
          <w:b/>
          <w:color w:val="00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下西办事处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2"/>
        </w:numPr>
        <w:spacing w:line="600" w:lineRule="exact"/>
        <w:ind w:firstLine="662" w:firstLineChars="150"/>
        <w:jc w:val="center"/>
        <w:outlineLvl w:val="0"/>
        <w:rPr>
          <w:rStyle w:val="29"/>
          <w:rFonts w:ascii="黑体" w:hAnsi="黑体" w:eastAsia="黑体"/>
          <w:b w:val="0"/>
        </w:rPr>
      </w:pPr>
      <w:bookmarkStart w:id="53" w:name="_Toc15377225"/>
      <w:bookmarkStart w:id="54" w:name="_Toc15396613"/>
      <w:r>
        <w:rPr>
          <w:rFonts w:hint="eastAsia" w:ascii="黑体" w:hAnsi="黑体" w:eastAsia="黑体"/>
          <w:b/>
          <w:color w:val="000000"/>
          <w:sz w:val="44"/>
          <w:szCs w:val="44"/>
        </w:rPr>
        <w:t>名</w:t>
      </w:r>
      <w:r>
        <w:rPr>
          <w:rStyle w:val="29"/>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bookmarkStart w:id="55" w:name="_Toc15396614"/>
      <w:bookmarkStart w:id="56" w:name="_Toc15377226"/>
      <w:r>
        <w:rPr>
          <w:rFonts w:hint="eastAsia" w:ascii="仿宋_GB2312" w:eastAsia="仿宋_GB2312"/>
          <w:sz w:val="32"/>
          <w:szCs w:val="32"/>
        </w:rPr>
        <w:t>1.财政拨款收入：指单位从同级财政部门取得的财政预算资金。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widowControl/>
        <w:ind w:firstLine="640" w:firstLineChars="200"/>
        <w:jc w:val="left"/>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 xml:space="preserve"> 专项业务及机关事务管理（项）05：指反映各级政府举行各类重大活动、召开重要会议（如国务院一类会议、国庆招待会、全国劳模大会）的支出，政府机关房地产管理、公务用车等管理方面的支出。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一般公共服务支出（类）201发展与改革事务（款）04日常经济运行调节（项）05：指反应日常经济运行调节方面的支出。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组织事务（款）32一般行政管理事务（项）02指反映反应行政单位（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市场监督管理事务（款）38市场主体管理（项）04指反映市场准入、许可审批、信用监管等市场主体管理专项工作支出。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市场监督管理事务（款）38其他市场监督管理事务（项）99指反映除用于上述项目以外其他市场监督管理事务方面的支出。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其他一般公共服务支出（款）99其他一般公共服务支出（项）99指反映除用于上述项目以外的其他一般公共服务支出。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.公共安全支出（类）204国家安全（款）03其他国家安全支出（项）99：指反映用于安全方面的支出。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.社会保障和就业支出（类）208行政事业单位离退休（款）05行政单位离退休（项）01：指反映行政单位（包括实行公务员管理的事业单位）开支的离退休经费。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.卫生健康支出（类）210公共卫生（款）04重大公共卫生服务（项）09：指反映重大疾病、重大传染病预防控制等重大公共卫生服务项目支出。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.节能环保支出（类）211自然生态环保（款）04其他自然生态环保支出（项）99：反映除上述项目以外其他用于自然生态保护方面的支出。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.农林水支出（类）213林业（款）02林业防灾减灾（项）34：反映为预防和扑救、救治森林火灾、林业有害生物灾害、自然水旱灾害等发生的支出。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.交通运输支出（类）214公路水路运输（款）01公路和运输安全（项）10：指反映公路和运输安全支出。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00" w:firstLineChars="200"/>
        <w:rPr>
          <w:rFonts w:hint="eastAsia" w:ascii="仿宋_GB2312" w:eastAsia="仿宋_GB2312"/>
          <w:sz w:val="32"/>
          <w:szCs w:val="32"/>
        </w:rPr>
      </w:pPr>
      <w:r>
        <w:rPr>
          <w:rFonts w:hint="eastAsia" w:ascii="仿宋_GB2312" w:eastAsia="仿宋_GB2312"/>
          <w:sz w:val="30"/>
          <w:szCs w:val="30"/>
        </w:rPr>
        <w:t>3</w:t>
      </w:r>
      <w:r>
        <w:rPr>
          <w:rFonts w:hint="eastAsia" w:ascii="仿宋_GB2312" w:eastAsia="仿宋_GB2312"/>
          <w:sz w:val="30"/>
          <w:szCs w:val="30"/>
          <w:lang w:val="en-US" w:eastAsia="zh-CN"/>
        </w:rPr>
        <w:t>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5"/>
    <w:p>
      <w:pPr>
        <w:spacing w:line="600" w:lineRule="exact"/>
        <w:jc w:val="center"/>
        <w:outlineLvl w:val="0"/>
        <w:rPr>
          <w:rFonts w:hint="eastAsia" w:ascii="黑体" w:hAnsi="黑体" w:eastAsia="黑体"/>
          <w:color w:val="000000"/>
          <w:sz w:val="44"/>
          <w:szCs w:val="44"/>
        </w:rPr>
      </w:pPr>
      <w:bookmarkStart w:id="57" w:name="_Toc15396618"/>
    </w:p>
    <w:bookmarkEnd w:id="56"/>
    <w:bookmarkEnd w:id="57"/>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Fonts w:hint="eastAsia" w:ascii="黑体" w:hAnsi="黑体" w:eastAsia="黑体"/>
          <w:color w:val="auto"/>
          <w:sz w:val="44"/>
          <w:szCs w:val="44"/>
          <w:highlight w:val="none"/>
        </w:rPr>
      </w:pPr>
    </w:p>
    <w:p>
      <w:pPr>
        <w:widowControl/>
        <w:spacing w:line="576" w:lineRule="exact"/>
        <w:jc w:val="center"/>
        <w:rPr>
          <w:rStyle w:val="29"/>
          <w:rFonts w:hint="eastAsia" w:ascii="黑体" w:hAnsi="黑体" w:eastAsia="黑体"/>
          <w:b w:val="0"/>
          <w:lang w:val="en-US" w:eastAsia="zh-CN"/>
        </w:rPr>
      </w:pPr>
      <w:r>
        <w:rPr>
          <w:rStyle w:val="29"/>
          <w:rFonts w:hint="eastAsia" w:ascii="黑体" w:hAnsi="黑体" w:eastAsia="黑体"/>
          <w:b w:val="0"/>
        </w:rPr>
        <w:t>第</w:t>
      </w:r>
      <w:r>
        <w:rPr>
          <w:rStyle w:val="29"/>
          <w:rFonts w:hint="eastAsia" w:ascii="黑体" w:hAnsi="黑体" w:eastAsia="黑体"/>
          <w:b w:val="0"/>
          <w:lang w:val="en-US" w:eastAsia="zh-CN"/>
        </w:rPr>
        <w:t>四</w:t>
      </w:r>
      <w:r>
        <w:rPr>
          <w:rStyle w:val="29"/>
          <w:rFonts w:hint="eastAsia" w:ascii="黑体" w:hAnsi="黑体" w:eastAsia="黑体"/>
          <w:b w:val="0"/>
        </w:rPr>
        <w:t>部分</w:t>
      </w:r>
      <w:r>
        <w:rPr>
          <w:rStyle w:val="29"/>
          <w:rFonts w:hint="eastAsia" w:ascii="黑体" w:hAnsi="黑体" w:eastAsia="黑体"/>
          <w:b w:val="0"/>
          <w:lang w:val="en-US" w:eastAsia="zh-CN"/>
        </w:rPr>
        <w:t xml:space="preserve">  </w:t>
      </w:r>
      <w:r>
        <w:rPr>
          <w:rStyle w:val="29"/>
          <w:rFonts w:hint="eastAsia" w:ascii="黑体" w:hAnsi="黑体" w:eastAsia="黑体"/>
          <w:b w:val="0"/>
        </w:rPr>
        <w:t>附</w:t>
      </w:r>
      <w:r>
        <w:rPr>
          <w:rStyle w:val="29"/>
          <w:rFonts w:hint="eastAsia" w:ascii="黑体" w:hAnsi="黑体" w:eastAsia="黑体"/>
          <w:b w:val="0"/>
          <w:lang w:val="en-US" w:eastAsia="zh-CN"/>
        </w:rPr>
        <w:t>件</w:t>
      </w:r>
    </w:p>
    <w:p>
      <w:pPr>
        <w:pStyle w:val="2"/>
        <w:rPr>
          <w:rFonts w:hint="eastAsia"/>
          <w:lang w:eastAsia="zh-CN"/>
        </w:rPr>
      </w:pPr>
    </w:p>
    <w:p>
      <w:pPr>
        <w:pStyle w:val="3"/>
        <w:spacing w:line="576" w:lineRule="exact"/>
        <w:rPr>
          <w:sz w:val="32"/>
          <w:szCs w:val="32"/>
        </w:rPr>
      </w:pPr>
      <w:r>
        <w:rPr>
          <w:rStyle w:val="29"/>
          <w:rFonts w:hint="eastAsia" w:ascii="黑体" w:hAnsi="黑体" w:eastAsia="黑体" w:cs="黑体"/>
          <w:b w:val="0"/>
          <w:bCs w:val="0"/>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下西坝办事处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维稳、信访、扫黑、防邪、禁毒资金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现将我街道维稳、信访、防邪、禁毒、扫黑除恶项目支出绩效自评报告如下。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w:t>
      </w:r>
      <w:r>
        <w:rPr>
          <w:rFonts w:hint="eastAsia" w:ascii="仿宋_GB2312" w:hAnsi="仿宋_GB2312" w:eastAsia="仿宋_GB2312" w:cs="仿宋_GB2312"/>
          <w:color w:val="000000" w:themeColor="text1"/>
          <w:sz w:val="32"/>
          <w:szCs w:val="32"/>
          <w:highlight w:val="none"/>
          <w14:textFill>
            <w14:solidFill>
              <w14:schemeClr w14:val="tx1"/>
            </w14:solidFill>
          </w14:textFill>
        </w:rPr>
        <w:t>办事处信访、维稳、防邪、禁毒、扫黑除恶宣传等日常工作正常运行。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2、通过深入开展扫黑除恶工作，切实增强广大群众的安全感和满意度。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w:t>
      </w:r>
      <w:r>
        <w:rPr>
          <w:rFonts w:hint="eastAsia" w:ascii="仿宋_GB2312" w:hAnsi="仿宋_GB2312" w:eastAsia="仿宋_GB2312" w:cs="仿宋_GB2312"/>
          <w:color w:val="000000" w:themeColor="text1"/>
          <w:sz w:val="32"/>
          <w:szCs w:val="32"/>
          <w:highlight w:val="none"/>
          <w14:textFill>
            <w14:solidFill>
              <w14:schemeClr w14:val="tx1"/>
            </w14:solidFill>
          </w14:textFill>
        </w:rPr>
        <w:t>信访、维稳、防邪、禁毒、扫黑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合计使用7万元，其中宣传广告制作、信访条例制作宣传费用发生3.39万元，劳务费1.82万元，其他工作开展1.79万元。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手册、宣传栏等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宣传500余册，劳务费10余次。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治安</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环境不断改善，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群众幸福度上升，群众违法犯罪</w:t>
      </w:r>
      <w:r>
        <w:rPr>
          <w:rFonts w:hint="eastAsia" w:ascii="仿宋_GB2312" w:hAnsi="仿宋_GB2312" w:eastAsia="仿宋_GB2312" w:cs="仿宋_GB2312"/>
          <w:color w:val="000000" w:themeColor="text1"/>
          <w:sz w:val="32"/>
          <w:szCs w:val="32"/>
          <w:highlight w:val="none"/>
          <w14:textFill>
            <w14:solidFill>
              <w14:schemeClr w14:val="tx1"/>
            </w14:solidFill>
          </w14:textFill>
        </w:rPr>
        <w:t>指数不断下降，努力营造了石龙辖区安居乐业的良好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信访条例等</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广元经济技术开发区下西坝街道办事处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2022年4月22日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信访、维稳、扫黑、防邪、禁毒项目资金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下西坝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指标1：值班人次</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全年安全维稳值班等50人次以上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指标2：宣传册印刷</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100册</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100册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指标1：有效预防和制止违法犯罪</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、劳务费、其他费用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指标1：维护稳定</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指标2：社会环境</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可持续影响</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指标1：防邪、禁毒、扫黑除恶宣传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r>
    </w:tbl>
    <w:p>
      <w:pPr>
        <w:pStyle w:val="3"/>
        <w:spacing w:line="576" w:lineRule="exact"/>
        <w:rPr>
          <w:rFonts w:hint="eastAsia" w:eastAsia="黑体"/>
          <w:lang w:val="en-US" w:eastAsia="zh-CN"/>
        </w:rPr>
      </w:pPr>
      <w:r>
        <w:rPr>
          <w:rStyle w:val="29"/>
          <w:rFonts w:hint="eastAsia" w:ascii="黑体" w:hAnsi="黑体" w:eastAsia="黑体" w:cs="黑体"/>
          <w:b w:val="0"/>
          <w:bCs w:val="0"/>
          <w:color w:val="000000" w:themeColor="text1"/>
          <w:sz w:val="32"/>
          <w:szCs w:val="32"/>
          <w:highlight w:val="none"/>
          <w14:textFill>
            <w14:solidFill>
              <w14:schemeClr w14:val="tx1"/>
            </w14:solidFill>
          </w14:textFill>
        </w:rPr>
        <w:t>附件</w:t>
      </w:r>
      <w:r>
        <w:rPr>
          <w:rStyle w:val="29"/>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下西坝街道办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安全生产资金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现将我街道安全生产项目支出绩效自评报告如下。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生产宣传</w:t>
      </w:r>
      <w:r>
        <w:rPr>
          <w:rFonts w:hint="eastAsia" w:ascii="仿宋_GB2312" w:hAnsi="仿宋_GB2312" w:eastAsia="仿宋_GB2312" w:cs="仿宋_GB2312"/>
          <w:color w:val="000000" w:themeColor="text1"/>
          <w:sz w:val="32"/>
          <w:szCs w:val="32"/>
          <w:highlight w:val="none"/>
          <w14:textFill>
            <w14:solidFill>
              <w14:schemeClr w14:val="tx1"/>
            </w14:solidFill>
          </w14:textFill>
        </w:rPr>
        <w:t>等。提高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辖区企业及居民</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安全意识和防范事故与伤害的能力。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2、辖区全年安全检查10余次，开展入企业、入户安全宣传10余次。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3、通过对安全隐患排查、整改安全隐患，全年无重大安全事故发生。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方案相关内容，与具体实施内容相符、申报目标合理可行。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合计使用2万元，主要用于安全宣传、劳务等费用。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主要是制作安全手册、宣传栏、告示牌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、劳务费</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宣传10余次，全年隐患排查10个，整改10个，完成100%，全年无安全事故发生。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%、消防事故下降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%、社会治安案件下降56%、生产安全事故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安全状况，提高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安全保障，构建平安和谐社会。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广元经济技术开发区下西坝街道办事处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2022年4月22日</w:t>
      </w:r>
    </w:p>
    <w:p>
      <w:pPr>
        <w:pStyle w:val="2"/>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安全生产资金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下西坝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保障辖区企业安全生产</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无安全事故发生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指标1：安全检查</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指标2：安全宣传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≥12次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提高辖区企业安全生产意识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指标2：检查覆盖率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指标1：隐患排查率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指标2：问题整改落实率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指标3：生产安全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r>
    </w:tbl>
    <w:p>
      <w:pPr>
        <w:pStyle w:val="3"/>
        <w:spacing w:line="576" w:lineRule="exact"/>
        <w:rPr>
          <w:rFonts w:hint="eastAsia" w:eastAsia="宋体"/>
          <w:lang w:val="en-US" w:eastAsia="zh-CN"/>
        </w:rPr>
      </w:pPr>
    </w:p>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Style w:val="29"/>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lang w:eastAsia="zh-CN"/>
        </w:rPr>
        <w:t>五</w:t>
      </w:r>
      <w:r>
        <w:rPr>
          <w:rStyle w:val="29"/>
          <w:rFonts w:hint="eastAsia" w:ascii="黑体" w:hAnsi="黑体" w:eastAsia="黑体"/>
          <w:b w:val="0"/>
          <w:color w:val="auto"/>
          <w:highlight w:val="none"/>
        </w:rPr>
        <w:t>部分 附表</w:t>
      </w:r>
      <w:bookmarkStart w:id="58" w:name="_Toc15396619"/>
    </w:p>
    <w:p>
      <w:pPr>
        <w:pStyle w:val="5"/>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pPr>
        <w:pStyle w:val="5"/>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9"/>
    </w:p>
    <w:p>
      <w:pPr>
        <w:pStyle w:val="5"/>
        <w:rPr>
          <w:rFonts w:ascii="仿宋" w:hAnsi="仿宋" w:eastAsia="仿宋"/>
          <w:color w:val="auto"/>
          <w:highlight w:val="none"/>
        </w:rPr>
      </w:pPr>
      <w:bookmarkStart w:id="60"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60"/>
    </w:p>
    <w:p>
      <w:pPr>
        <w:pStyle w:val="5"/>
        <w:rPr>
          <w:rFonts w:ascii="仿宋" w:hAnsi="仿宋" w:eastAsia="仿宋"/>
          <w:b w:val="0"/>
          <w:color w:val="auto"/>
          <w:highlight w:val="none"/>
        </w:rPr>
      </w:pPr>
      <w:bookmarkStart w:id="61"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61"/>
    </w:p>
    <w:p>
      <w:pPr>
        <w:pStyle w:val="5"/>
        <w:rPr>
          <w:rStyle w:val="30"/>
          <w:rFonts w:ascii="仿宋" w:hAnsi="仿宋" w:eastAsia="仿宋"/>
          <w:b w:val="0"/>
          <w:bCs w:val="0"/>
          <w:color w:val="auto"/>
          <w:highlight w:val="none"/>
        </w:rPr>
      </w:pPr>
      <w:bookmarkStart w:id="62"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62"/>
      <w:bookmarkStart w:id="63" w:name="_Toc15396624"/>
    </w:p>
    <w:p>
      <w:pPr>
        <w:pStyle w:val="5"/>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63"/>
    </w:p>
    <w:p>
      <w:pPr>
        <w:pStyle w:val="5"/>
        <w:rPr>
          <w:rFonts w:ascii="仿宋" w:hAnsi="仿宋" w:eastAsia="仿宋"/>
          <w:color w:val="auto"/>
          <w:highlight w:val="none"/>
        </w:rPr>
      </w:pPr>
      <w:bookmarkStart w:id="64"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4"/>
    </w:p>
    <w:p>
      <w:pPr>
        <w:pStyle w:val="5"/>
        <w:rPr>
          <w:rFonts w:ascii="仿宋" w:hAnsi="仿宋" w:eastAsia="仿宋"/>
          <w:color w:val="auto"/>
          <w:highlight w:val="none"/>
        </w:rPr>
      </w:pPr>
      <w:bookmarkStart w:id="65"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5"/>
    </w:p>
    <w:p>
      <w:pPr>
        <w:pStyle w:val="5"/>
        <w:rPr>
          <w:rFonts w:ascii="仿宋" w:hAnsi="仿宋" w:eastAsia="仿宋"/>
          <w:color w:val="auto"/>
          <w:highlight w:val="none"/>
        </w:rPr>
      </w:pPr>
      <w:bookmarkStart w:id="66"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6"/>
    </w:p>
    <w:p>
      <w:pPr>
        <w:pStyle w:val="5"/>
        <w:rPr>
          <w:rFonts w:ascii="仿宋" w:hAnsi="仿宋" w:eastAsia="仿宋"/>
          <w:color w:val="auto"/>
          <w:highlight w:val="none"/>
        </w:rPr>
      </w:pPr>
      <w:bookmarkStart w:id="67" w:name="_Toc15396628"/>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67"/>
    </w:p>
    <w:p>
      <w:pPr>
        <w:pStyle w:val="5"/>
        <w:rPr>
          <w:rFonts w:ascii="仿宋" w:hAnsi="仿宋" w:eastAsia="仿宋"/>
          <w:color w:val="auto"/>
          <w:highlight w:val="none"/>
        </w:rPr>
      </w:pPr>
      <w:bookmarkStart w:id="68" w:name="_Toc15396629"/>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68"/>
    </w:p>
    <w:p>
      <w:pPr>
        <w:pStyle w:val="5"/>
        <w:rPr>
          <w:rFonts w:ascii="仿宋" w:hAnsi="仿宋" w:eastAsia="仿宋"/>
          <w:color w:val="auto"/>
          <w:highlight w:val="none"/>
        </w:rPr>
      </w:pPr>
      <w:bookmarkStart w:id="69" w:name="_Toc1539663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69"/>
    </w:p>
    <w:p>
      <w:pPr>
        <w:pStyle w:val="5"/>
        <w:rPr>
          <w:rStyle w:val="30"/>
          <w:rFonts w:hint="eastAsia" w:ascii="仿宋" w:hAnsi="仿宋" w:eastAsia="仿宋"/>
          <w:b w:val="0"/>
          <w:bCs w:val="0"/>
          <w:color w:val="auto"/>
          <w:highlight w:val="none"/>
        </w:rPr>
      </w:pPr>
      <w:bookmarkStart w:id="70" w:name="_Toc15396631"/>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70"/>
    </w:p>
    <w:p>
      <w:pPr>
        <w:rPr>
          <w:rFonts w:hint="default" w:ascii="仿宋_GB2312" w:hAnsi="Calibri" w:eastAsia="仿宋_GB2312" w:cs="仿宋"/>
          <w:b w:val="0"/>
          <w:bCs w:val="0"/>
          <w:color w:val="000000"/>
          <w:sz w:val="32"/>
          <w:szCs w:val="32"/>
          <w:highlight w:val="yellow"/>
          <w:lang w:val="en-US" w:eastAsia="zh-CN" w:bidi="ar-SA"/>
        </w:rPr>
      </w:pPr>
      <w:r>
        <w:rPr>
          <w:rStyle w:val="30"/>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TFiYWVkZjBiYTMxNTliYTkxNDAzYjYwZmQ5NzI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81F6A37"/>
    <w:rsid w:val="08F432B7"/>
    <w:rsid w:val="0A525950"/>
    <w:rsid w:val="0A9B46A5"/>
    <w:rsid w:val="0B1A346B"/>
    <w:rsid w:val="10C055FF"/>
    <w:rsid w:val="1598181E"/>
    <w:rsid w:val="16BB723D"/>
    <w:rsid w:val="16FA6A59"/>
    <w:rsid w:val="19936A07"/>
    <w:rsid w:val="1C57262C"/>
    <w:rsid w:val="1EAE5F51"/>
    <w:rsid w:val="20BD78A5"/>
    <w:rsid w:val="20D364EF"/>
    <w:rsid w:val="240371BF"/>
    <w:rsid w:val="26463588"/>
    <w:rsid w:val="29743F15"/>
    <w:rsid w:val="29FD04D3"/>
    <w:rsid w:val="2AAE247C"/>
    <w:rsid w:val="319F7F4E"/>
    <w:rsid w:val="3388696B"/>
    <w:rsid w:val="358C5373"/>
    <w:rsid w:val="377708F0"/>
    <w:rsid w:val="38EF4B37"/>
    <w:rsid w:val="3B4F7478"/>
    <w:rsid w:val="3FED27D7"/>
    <w:rsid w:val="413E1312"/>
    <w:rsid w:val="43574906"/>
    <w:rsid w:val="439E7EFB"/>
    <w:rsid w:val="457A08CC"/>
    <w:rsid w:val="4CB03DE5"/>
    <w:rsid w:val="57155E82"/>
    <w:rsid w:val="5E482CCE"/>
    <w:rsid w:val="5F451654"/>
    <w:rsid w:val="61AD6509"/>
    <w:rsid w:val="68686AEA"/>
    <w:rsid w:val="6B793B12"/>
    <w:rsid w:val="6BE97F42"/>
    <w:rsid w:val="6C89559D"/>
    <w:rsid w:val="715F2A54"/>
    <w:rsid w:val="76AC013A"/>
    <w:rsid w:val="79D7FD93"/>
    <w:rsid w:val="7B2B52F4"/>
    <w:rsid w:val="7CFF7FE5"/>
    <w:rsid w:val="FFBF50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annotation text"/>
    <w:basedOn w:val="1"/>
    <w:semiHidden/>
    <w:unhideWhenUsed/>
    <w:qFormat/>
    <w:uiPriority w:val="99"/>
    <w:pPr>
      <w:jc w:val="left"/>
    </w:pPr>
  </w:style>
  <w:style w:type="paragraph" w:styleId="8">
    <w:name w:val="Body Text Indent"/>
    <w:basedOn w:val="1"/>
    <w:next w:val="1"/>
    <w:qFormat/>
    <w:uiPriority w:val="0"/>
    <w:pPr>
      <w:spacing w:after="120" w:afterLines="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8"/>
    <w:next w:val="1"/>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4"/>
    <w:qFormat/>
    <w:uiPriority w:val="9"/>
    <w:rPr>
      <w:rFonts w:ascii="Times New Roman" w:hAnsi="Times New Roman"/>
      <w:b/>
      <w:bCs/>
      <w:kern w:val="44"/>
      <w:sz w:val="44"/>
      <w:szCs w:val="44"/>
    </w:rPr>
  </w:style>
  <w:style w:type="character" w:customStyle="1" w:styleId="30">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6"/>
    <w:qFormat/>
    <w:uiPriority w:val="9"/>
    <w:rPr>
      <w:rFonts w:ascii="Times New Roman" w:hAnsi="Times New Roman"/>
      <w:b/>
      <w:bCs/>
      <w:kern w:val="2"/>
      <w:sz w:val="32"/>
      <w:szCs w:val="32"/>
    </w:rPr>
  </w:style>
  <w:style w:type="paragraph" w:customStyle="1" w:styleId="34">
    <w:name w:val="p0"/>
    <w:basedOn w:val="1"/>
    <w:qFormat/>
    <w:uiPriority w:val="99"/>
    <w:pPr>
      <w:widowControl/>
    </w:pPr>
    <w:rPr>
      <w:kern w:val="0"/>
      <w:szCs w:val="21"/>
    </w:rPr>
  </w:style>
  <w:style w:type="character" w:customStyle="1" w:styleId="35">
    <w:name w:val="NormalCharacter"/>
    <w:semiHidden/>
    <w:qFormat/>
    <w:uiPriority w:val="0"/>
    <w:rPr>
      <w:rFonts w:ascii="Times New Roman" w:hAnsi="Times New Roman" w:eastAsia="宋体" w:cs="Times New Roman"/>
      <w:kern w:val="2"/>
      <w:sz w:val="21"/>
      <w:lang w:val="en-US" w:eastAsia="zh-CN" w:bidi="ar-SA"/>
    </w:rPr>
  </w:style>
  <w:style w:type="paragraph" w:customStyle="1" w:styleId="36">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tmp/wps.He5140/Work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elete val="true"/>
          </c:dLbls>
          <c:cat>
            <c:strRef>
              <c:f>[Workbook1.xlsx]Sheet1!$A$2:$A$3</c:f>
              <c:strCache>
                <c:ptCount val="2"/>
                <c:pt idx="0">
                  <c:v>2020年收、支出决算总计</c:v>
                </c:pt>
                <c:pt idx="1">
                  <c:v>2021年收、支出决算总计</c:v>
                </c:pt>
              </c:strCache>
            </c:strRef>
          </c:cat>
          <c:val>
            <c:numRef>
              <c:f>[Workbook1.xlsx]Sheet1!$B$2:$B$3</c:f>
              <c:numCache>
                <c:formatCode>General</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655359013"/>
        <c:axId val="251148096"/>
      </c:barChart>
      <c:catAx>
        <c:axId val="65535901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1148096"/>
        <c:crosses val="autoZero"/>
        <c:auto val="true"/>
        <c:lblAlgn val="ctr"/>
        <c:lblOffset val="100"/>
        <c:noMultiLvlLbl val="false"/>
      </c:catAx>
      <c:valAx>
        <c:axId val="25114809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535901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2021年本年收入（万元）</a:t>
            </a:r>
          </a:p>
        </c:rich>
      </c:tx>
      <c:layout>
        <c:manualLayout>
          <c:xMode val="edge"/>
          <c:yMode val="edge"/>
          <c:x val="0.270978993899403"/>
          <c:y val="0.00956022944550669"/>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1347.82</a:t>
                    </a:r>
                  </a:p>
                </c:rich>
              </c:tx>
              <c:dLblPos val="inEnd"/>
              <c:showLegendKey val="false"/>
              <c:showVal val="true"/>
              <c:showCatName val="false"/>
              <c:showSerName val="false"/>
              <c:showPercent val="true"/>
              <c:showBubbleSize val="false"/>
              <c:extLst>
                <c:ext xmlns:c15="http://schemas.microsoft.com/office/drawing/2012/chart" uri="{CE6537A1-D6FC-4f65-9D91-7224C49458BB}"/>
              </c:extLst>
            </c:dLbl>
            <c:dLbl>
              <c:idx val="1"/>
              <c:layout>
                <c:manualLayout>
                  <c:x val="0.107726787986886"/>
                  <c:y val="0.19372906482139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100</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913.05</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1"/>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479.93</c:v>
                </c:pt>
                <c:pt idx="1">
                  <c:v>1535.54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财政拨款收、支出决算总计（万元）</a:t>
            </a:r>
          </a:p>
        </c:rich>
      </c:tx>
      <c:layout>
        <c:manualLayout>
          <c:xMode val="edge"/>
          <c:yMode val="edge"/>
          <c:x val="0.232258048701379"/>
          <c:y val="0.00686970460270208"/>
        </c:manualLayout>
      </c:layout>
      <c:overlay val="false"/>
      <c:spPr>
        <a:noFill/>
        <a:ln>
          <a:noFill/>
        </a:ln>
        <a:effectLst/>
      </c:spPr>
    </c:title>
    <c:autoTitleDeleted val="false"/>
    <c:plotArea>
      <c:layout>
        <c:manualLayout>
          <c:layoutTarget val="inner"/>
          <c:xMode val="edge"/>
          <c:yMode val="edge"/>
          <c:x val="0.10284442245857"/>
          <c:y val="0.135290450802677"/>
          <c:w val="0.927925"/>
          <c:h val="0.716566666666667"/>
        </c:manualLayout>
      </c:layout>
      <c:barChart>
        <c:barDir val="col"/>
        <c:grouping val="clustered"/>
        <c:varyColors val="false"/>
        <c:ser>
          <c:idx val="0"/>
          <c:order val="0"/>
          <c:tx>
            <c:strRef>
              <c:f>Sheet1!$B$1</c:f>
              <c:strCache>
                <c:ptCount val="1"/>
                <c:pt idx="0">
                  <c:v>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2020年财政拨款支出</c:v>
                </c:pt>
                <c:pt idx="1">
                  <c:v>2021年财政拨款支出</c:v>
                </c:pt>
              </c:strCache>
            </c:strRef>
          </c:cat>
          <c:val>
            <c:numRef>
              <c:f>Sheet1!$B$2:$B$3</c:f>
              <c:numCache>
                <c:formatCode>#,##0.00</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73564948401392"/>
          <c:y val="0.0111669458403127"/>
        </c:manualLayout>
      </c:layout>
      <c:overlay val="false"/>
      <c:spPr>
        <a:noFill/>
        <a:ln>
          <a:noFill/>
        </a:ln>
        <a:effectLst/>
      </c:spPr>
    </c:title>
    <c:autoTitleDeleted val="false"/>
    <c:plotArea>
      <c:layout>
        <c:manualLayout>
          <c:layoutTarget val="inner"/>
          <c:xMode val="edge"/>
          <c:yMode val="edge"/>
          <c:x val="0.12287905021024"/>
          <c:y val="0.024524613470766"/>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307413454029727"/>
          <c:y val="0.00719079578139981"/>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Lbls>
            <c:dLbl>
              <c:idx val="0"/>
              <c:layout>
                <c:manualLayout>
                  <c:x val="0.0999694404336394"/>
                  <c:y val="0.037378917126768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24%</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8140430423946"/>
                  <c:y val="0.139267011849712"/>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0.79%</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529708047554328"/>
                  <c:y val="-0.076765110042325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1.87%,</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3"/>
              <c:layout>
                <c:manualLayout>
                  <c:x val="0.062202382251"/>
                  <c:y val="-0.030783893104253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0.7%</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513798696585053"/>
                  <c:y val="0.15880222440716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0.05%</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5"/>
              <c:layout>
                <c:manualLayout>
                  <c:x val="0.134006205323981"/>
                  <c:y val="0.0349207568737852"/>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23.68%, </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6"/>
              <c:layout>
                <c:manualLayout>
                  <c:x val="0.13464368784025"/>
                  <c:y val="-0.0158703288584763"/>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.25</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7"/>
              <c:layout>
                <c:manualLayout>
                  <c:x val="-0.0355409614247106"/>
                  <c:y val="0.0903887982356959"/>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47.3%</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8"/>
              <c:layout>
                <c:manualLayout>
                  <c:x val="0.0144160786723515"/>
                  <c:y val="0.00227608743237042"/>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1.03%,</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0.00%</c:formatCode>
                <c:ptCount val="9"/>
                <c:pt idx="0">
                  <c:v>0.24</c:v>
                </c:pt>
                <c:pt idx="1">
                  <c:v>0.0079</c:v>
                </c:pt>
                <c:pt idx="2">
                  <c:v>0.0187</c:v>
                </c:pt>
                <c:pt idx="3">
                  <c:v>0.007</c:v>
                </c:pt>
                <c:pt idx="4">
                  <c:v>0.0025</c:v>
                </c:pt>
                <c:pt idx="5">
                  <c:v>0.2368</c:v>
                </c:pt>
                <c:pt idx="6">
                  <c:v>0.0005</c:v>
                </c:pt>
                <c:pt idx="7">
                  <c:v>0.473</c:v>
                </c:pt>
                <c:pt idx="8">
                  <c:v>0.0103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24440807419531"/>
          <c:y val="0.830517913495452"/>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11768</Words>
  <Characters>12804</Characters>
  <Lines>81</Lines>
  <Paragraphs>22</Paragraphs>
  <TotalTime>1</TotalTime>
  <ScaleCrop>false</ScaleCrop>
  <LinksUpToDate>false</LinksUpToDate>
  <CharactersWithSpaces>12923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2021-09-07T20:04:00Z</dcterms:created>
  <dc:creator>张彬茜</dc:creator>
  <cp:lastModifiedBy> </cp:lastModifiedBy>
  <cp:lastPrinted>2022-09-28T18:22:00Z</cp:lastPrinted>
  <dcterms:modified xsi:type="dcterms:W3CDTF">2023-09-16T17:36:22Z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6FA2ADC6E2CE4CFEBCD3A67E7C262D13_13</vt:lpwstr>
  </property>
</Properties>
</file>