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597"/>
      <w:bookmarkStart w:id="1" w:name="_Toc15377193"/>
      <w:bookmarkStart w:id="2" w:name="_Toc15377425"/>
      <w:bookmarkStart w:id="3" w:name="_Toc15396475"/>
      <w:bookmarkStart w:id="4" w:name="_Toc15378441"/>
      <w:bookmarkStart w:id="5" w:name="_Toc15306267"/>
    </w:p>
    <w:p>
      <w:pPr>
        <w:spacing w:line="600" w:lineRule="exact"/>
        <w:jc w:val="center"/>
        <w:outlineLvl w:val="0"/>
        <w:rPr>
          <w:rFonts w:hint="default" w:ascii="方正小标宋简体" w:hAnsi="宋体" w:eastAsia="方正小标宋简体"/>
          <w:color w:val="auto"/>
          <w:sz w:val="72"/>
          <w:szCs w:val="72"/>
          <w:highlight w:val="none"/>
          <w:lang w:val="en-US" w:eastAsia="zh-CN"/>
        </w:rPr>
      </w:pPr>
      <w:r>
        <w:rPr>
          <w:rFonts w:hint="eastAsia" w:ascii="方正小标宋简体" w:hAnsi="宋体" w:eastAsia="方正小标宋简体"/>
          <w:color w:val="auto"/>
          <w:sz w:val="72"/>
          <w:szCs w:val="72"/>
          <w:highlight w:val="none"/>
          <w:lang w:val="en-US" w:eastAsia="zh-CN"/>
        </w:rPr>
        <w:t xml:space="preserve">  </w:t>
      </w:r>
    </w:p>
    <w:p>
      <w:pPr>
        <w:spacing w:line="600" w:lineRule="exact"/>
        <w:jc w:val="center"/>
        <w:outlineLvl w:val="0"/>
        <w:rPr>
          <w:rFonts w:ascii="方正小标宋简体" w:hAnsi="宋体" w:eastAsia="方正小标宋简体"/>
          <w:color w:val="auto"/>
          <w:sz w:val="72"/>
          <w:szCs w:val="72"/>
          <w:highlight w:val="none"/>
        </w:rPr>
      </w:pPr>
    </w:p>
    <w:p>
      <w:pPr>
        <w:pStyle w:val="2"/>
        <w:rPr>
          <w:rFonts w:ascii="方正小标宋简体" w:hAnsi="宋体" w:eastAsia="方正小标宋简体"/>
          <w:color w:val="auto"/>
          <w:sz w:val="72"/>
          <w:szCs w:val="72"/>
          <w:highlight w:val="none"/>
        </w:rPr>
      </w:pPr>
    </w:p>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96476"/>
      <w:bookmarkStart w:id="7" w:name="_Toc15378442"/>
      <w:bookmarkStart w:id="8" w:name="_Toc15377426"/>
      <w:bookmarkStart w:id="9" w:name="_Toc15396598"/>
      <w:bookmarkStart w:id="10" w:name="_Toc15377194"/>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经济技术开发区</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袁家坝办事单位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72"/>
          <w:szCs w:val="72"/>
          <w:highlight w:val="none"/>
          <w:lang w:val="en-US" w:eastAsia="zh-CN"/>
        </w:rPr>
        <w:t xml:space="preserve">      </w:t>
      </w:r>
      <w:r>
        <w:rPr>
          <w:rFonts w:hint="eastAsia" w:ascii="方正小标宋简体" w:hAnsi="方正小标宋简体" w:eastAsia="方正小标宋简体" w:cs="方正小标宋简体"/>
          <w:color w:val="auto"/>
          <w:sz w:val="72"/>
          <w:szCs w:val="72"/>
          <w:highlight w:val="none"/>
          <w:lang w:eastAsia="zh-CN"/>
        </w:rPr>
        <w:t>编制说明</w:t>
      </w:r>
    </w:p>
    <w:p>
      <w:pPr>
        <w:pStyle w:val="2"/>
        <w:rPr>
          <w:rFonts w:hint="eastAsia"/>
        </w:rPr>
      </w:pPr>
    </w:p>
    <w:p>
      <w:pPr>
        <w:widowControl/>
        <w:jc w:val="center"/>
        <w:rPr>
          <w:rFonts w:ascii="黑体" w:hAnsi="黑体" w:eastAsia="黑体"/>
          <w:color w:val="000000"/>
          <w:sz w:val="48"/>
          <w:szCs w:val="48"/>
        </w:rPr>
      </w:pPr>
      <w:r>
        <w:rPr>
          <w:rFonts w:ascii="方正小标宋简体" w:hAnsi="宋体" w:eastAsia="方正小标宋简体"/>
          <w:color w:val="auto"/>
          <w:sz w:val="36"/>
          <w:szCs w:val="36"/>
          <w:highlight w:val="none"/>
        </w:rPr>
        <w:br w:type="page"/>
      </w:r>
      <w:bookmarkStart w:id="12" w:name="_Toc15377196"/>
      <w:bookmarkStart w:id="13" w:name="_Toc15396599"/>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widowControl/>
        <w:jc w:val="center"/>
        <w:rPr>
          <w:rFonts w:ascii="仿宋" w:hAnsi="仿宋" w:eastAsia="仿宋" w:cs="Times New Roman"/>
          <w:kern w:val="2"/>
          <w:sz w:val="28"/>
          <w:szCs w:val="28"/>
          <w:lang w:val="en-US" w:eastAsia="zh-CN" w:bidi="ar-SA"/>
        </w:rPr>
      </w:pPr>
      <w:r>
        <w:rPr>
          <w:rFonts w:ascii="黑体" w:hAnsi="黑体" w:eastAsia="黑体" w:cs="Times New Roman"/>
          <w:color w:val="000000"/>
          <w:sz w:val="48"/>
          <w:szCs w:val="48"/>
        </w:rPr>
        <w:fldChar w:fldCharType="begin"/>
      </w:r>
      <w:r>
        <w:rPr>
          <w:rFonts w:ascii="黑体" w:hAnsi="黑体" w:eastAsia="黑体" w:cs="Times New Roman"/>
          <w:color w:val="000000"/>
          <w:sz w:val="48"/>
          <w:szCs w:val="48"/>
        </w:rPr>
        <w:instrText xml:space="preserve"> TOC \o "1-2" \h \z \u </w:instrText>
      </w:r>
      <w:r>
        <w:rPr>
          <w:rFonts w:ascii="黑体" w:hAnsi="黑体" w:eastAsia="黑体" w:cs="Times New Roman"/>
          <w:color w:val="000000"/>
          <w:sz w:val="48"/>
          <w:szCs w:val="48"/>
        </w:rPr>
        <w:fldChar w:fldCharType="separate"/>
      </w:r>
      <w:r>
        <w:rPr>
          <w:rFonts w:hint="eastAsia" w:ascii="仿宋" w:hAnsi="仿宋" w:eastAsia="仿宋" w:cs="Times New Roman"/>
          <w:kern w:val="2"/>
          <w:sz w:val="28"/>
          <w:szCs w:val="28"/>
          <w:lang w:val="en-US" w:eastAsia="zh-CN" w:bidi="ar-SA"/>
        </w:rPr>
        <w:t>公开时间：2022年9月27日</w:t>
      </w:r>
    </w:p>
    <w:p/>
    <w:p>
      <w:pPr>
        <w:pStyle w:val="13"/>
        <w:rPr>
          <w:rFonts w:cstheme="minorBidi"/>
        </w:rPr>
      </w:pPr>
      <w:r>
        <w:fldChar w:fldCharType="begin"/>
      </w:r>
      <w:r>
        <w:instrText xml:space="preserve"> HYPERLINK \l "_Toc15396599" </w:instrText>
      </w:r>
      <w:r>
        <w:fldChar w:fldCharType="separate"/>
      </w:r>
      <w:r>
        <w:rPr>
          <w:rStyle w:val="19"/>
          <w:rFonts w:hint="eastAsia"/>
        </w:rPr>
        <w:t>第一部分部门概况</w:t>
      </w:r>
      <w:r>
        <w:tab/>
      </w:r>
      <w:r>
        <w:rPr>
          <w:rFonts w:hint="eastAsia"/>
          <w:lang w:val="en-US" w:eastAsia="zh-CN"/>
        </w:rPr>
        <w:t>4</w:t>
      </w:r>
      <w:r>
        <w:rPr>
          <w:rFonts w:hint="eastAsia"/>
        </w:rPr>
        <w:fldChar w:fldCharType="end"/>
      </w:r>
    </w:p>
    <w:p>
      <w:pPr>
        <w:pStyle w:val="14"/>
        <w:rPr>
          <w:rFonts w:ascii="仿宋" w:hAnsi="仿宋" w:eastAsia="仿宋" w:cstheme="minorBidi"/>
          <w:sz w:val="28"/>
          <w:szCs w:val="28"/>
        </w:rPr>
      </w:pPr>
      <w:r>
        <w:fldChar w:fldCharType="begin"/>
      </w:r>
      <w:r>
        <w:instrText xml:space="preserve"> HYPERLINK \l "_Toc15396600" </w:instrText>
      </w:r>
      <w:r>
        <w:fldChar w:fldCharType="separate"/>
      </w:r>
      <w:r>
        <w:rPr>
          <w:rStyle w:val="19"/>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14"/>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19"/>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pPr>
        <w:pStyle w:val="13"/>
        <w:rPr>
          <w:rFonts w:hint="eastAsia" w:eastAsia="仿宋"/>
          <w:lang w:val="en-US" w:eastAsia="zh-CN"/>
        </w:rPr>
      </w:pPr>
      <w:r>
        <w:fldChar w:fldCharType="begin"/>
      </w:r>
      <w:r>
        <w:instrText xml:space="preserve"> HYPERLINK \l "_Toc15396602" </w:instrText>
      </w:r>
      <w:r>
        <w:fldChar w:fldCharType="separate"/>
      </w:r>
      <w:r>
        <w:rPr>
          <w:rStyle w:val="19"/>
          <w:rFonts w:hint="eastAsia"/>
        </w:rPr>
        <w:t>第二部分</w:t>
      </w:r>
      <w:r>
        <w:rPr>
          <w:rStyle w:val="19"/>
        </w:rPr>
        <w:t xml:space="preserve"> 20</w:t>
      </w:r>
      <w:r>
        <w:rPr>
          <w:rStyle w:val="19"/>
          <w:rFonts w:hint="eastAsia"/>
          <w:lang w:val="en-US" w:eastAsia="zh-CN"/>
        </w:rPr>
        <w:t>21</w:t>
      </w:r>
      <w:r>
        <w:rPr>
          <w:rStyle w:val="19"/>
          <w:rFonts w:hint="eastAsia"/>
        </w:rPr>
        <w:t>年度部门决算情况说明</w:t>
      </w:r>
      <w:r>
        <w:tab/>
      </w:r>
      <w:r>
        <w:rPr>
          <w:rFonts w:hint="eastAsia"/>
          <w:lang w:val="en-US" w:eastAsia="zh-CN"/>
        </w:rPr>
        <w:t>1</w:t>
      </w:r>
      <w:r>
        <w:fldChar w:fldCharType="end"/>
      </w:r>
      <w:r>
        <w:rPr>
          <w:rFonts w:hint="eastAsia"/>
          <w:lang w:val="en-US" w:eastAsia="zh-CN"/>
        </w:rPr>
        <w:t>2</w:t>
      </w:r>
    </w:p>
    <w:p>
      <w:pPr>
        <w:pStyle w:val="14"/>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9"/>
          <w:rFonts w:hint="eastAsia" w:ascii="仿宋" w:hAnsi="仿宋" w:eastAsia="仿宋" w:cstheme="majorBidi"/>
          <w:bCs/>
          <w:sz w:val="28"/>
          <w:szCs w:val="28"/>
        </w:rPr>
        <w:t>一、</w:t>
      </w:r>
      <w:r>
        <w:rPr>
          <w:rStyle w:val="19"/>
          <w:rFonts w:hint="eastAsia" w:ascii="仿宋" w:hAnsi="仿宋" w:eastAsia="仿宋"/>
          <w:sz w:val="28"/>
          <w:szCs w:val="28"/>
        </w:rPr>
        <w:t>收</w:t>
      </w:r>
      <w:r>
        <w:rPr>
          <w:rStyle w:val="19"/>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9"/>
          <w:rFonts w:hint="eastAsia" w:ascii="仿宋" w:hAnsi="仿宋" w:eastAsia="仿宋" w:cstheme="majorBidi"/>
          <w:bCs/>
          <w:sz w:val="28"/>
          <w:szCs w:val="28"/>
        </w:rPr>
        <w:t>二、</w:t>
      </w:r>
      <w:r>
        <w:rPr>
          <w:rStyle w:val="19"/>
          <w:rFonts w:hint="eastAsia" w:ascii="仿宋" w:hAnsi="仿宋" w:eastAsia="仿宋"/>
          <w:sz w:val="28"/>
          <w:szCs w:val="28"/>
        </w:rPr>
        <w:t>收</w:t>
      </w:r>
      <w:r>
        <w:rPr>
          <w:rStyle w:val="19"/>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9"/>
          <w:rFonts w:hint="eastAsia" w:ascii="仿宋" w:hAnsi="仿宋" w:eastAsia="仿宋" w:cstheme="majorBidi"/>
          <w:bCs/>
          <w:sz w:val="28"/>
          <w:szCs w:val="28"/>
        </w:rPr>
        <w:t>三、</w:t>
      </w:r>
      <w:r>
        <w:rPr>
          <w:rStyle w:val="19"/>
          <w:rFonts w:hint="eastAsia" w:ascii="仿宋" w:hAnsi="仿宋" w:eastAsia="仿宋"/>
          <w:sz w:val="28"/>
          <w:szCs w:val="28"/>
        </w:rPr>
        <w:t>支</w:t>
      </w:r>
      <w:r>
        <w:rPr>
          <w:rStyle w:val="19"/>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9"/>
          <w:rFonts w:hint="eastAsia" w:ascii="仿宋" w:hAnsi="仿宋" w:eastAsia="仿宋"/>
          <w:sz w:val="28"/>
          <w:szCs w:val="28"/>
        </w:rPr>
        <w:t>四、财</w:t>
      </w:r>
      <w:r>
        <w:rPr>
          <w:rStyle w:val="19"/>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9"/>
          <w:rFonts w:hint="eastAsia" w:ascii="仿宋" w:hAnsi="仿宋" w:eastAsia="仿宋"/>
          <w:sz w:val="28"/>
          <w:szCs w:val="28"/>
        </w:rPr>
        <w:t>五、一</w:t>
      </w:r>
      <w:r>
        <w:rPr>
          <w:rStyle w:val="19"/>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sz w:val="28"/>
          <w:szCs w:val="28"/>
          <w:lang w:val="en-US" w:eastAsia="zh-CN"/>
        </w:rPr>
      </w:pPr>
      <w:r>
        <w:fldChar w:fldCharType="begin"/>
      </w:r>
      <w:r>
        <w:instrText xml:space="preserve"> HYPERLINK \l "_Toc15396608" </w:instrText>
      </w:r>
      <w:r>
        <w:fldChar w:fldCharType="separate"/>
      </w:r>
      <w:r>
        <w:rPr>
          <w:rStyle w:val="19"/>
          <w:rFonts w:hint="eastAsia" w:ascii="仿宋" w:hAnsi="仿宋" w:eastAsia="仿宋"/>
          <w:sz w:val="28"/>
          <w:szCs w:val="28"/>
        </w:rPr>
        <w:t>六、一</w:t>
      </w:r>
      <w:r>
        <w:rPr>
          <w:rStyle w:val="19"/>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pPr>
        <w:pStyle w:val="14"/>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9"/>
          <w:rFonts w:hint="eastAsia" w:ascii="仿宋" w:hAnsi="仿宋" w:eastAsia="仿宋"/>
          <w:sz w:val="28"/>
          <w:szCs w:val="28"/>
        </w:rPr>
        <w:t>七、</w:t>
      </w:r>
      <w:r>
        <w:rPr>
          <w:rStyle w:val="19"/>
          <w:rFonts w:ascii="仿宋" w:hAnsi="仿宋" w:eastAsia="仿宋"/>
          <w:sz w:val="28"/>
          <w:szCs w:val="28"/>
        </w:rPr>
        <w:t>“</w:t>
      </w:r>
      <w:r>
        <w:rPr>
          <w:rStyle w:val="19"/>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pPr>
        <w:pStyle w:val="14"/>
        <w:rPr>
          <w:rFonts w:ascii="仿宋" w:hAnsi="仿宋" w:eastAsia="仿宋" w:cstheme="minorBidi"/>
          <w:sz w:val="28"/>
          <w:szCs w:val="28"/>
        </w:rPr>
      </w:pPr>
      <w:r>
        <w:fldChar w:fldCharType="begin"/>
      </w:r>
      <w:r>
        <w:instrText xml:space="preserve"> HYPERLINK \l "_Toc15396610" </w:instrText>
      </w:r>
      <w:r>
        <w:fldChar w:fldCharType="separate"/>
      </w:r>
      <w:r>
        <w:rPr>
          <w:rStyle w:val="19"/>
          <w:rFonts w:hint="eastAsia" w:ascii="仿宋" w:hAnsi="仿宋" w:eastAsia="仿宋"/>
          <w:sz w:val="28"/>
          <w:szCs w:val="28"/>
        </w:rPr>
        <w:t>八、</w:t>
      </w:r>
      <w:r>
        <w:rPr>
          <w:rStyle w:val="19"/>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"_Toc15396611" </w:instrText>
      </w:r>
      <w:r>
        <w:fldChar w:fldCharType="separate"/>
      </w:r>
      <w:r>
        <w:rPr>
          <w:rStyle w:val="19"/>
          <w:rFonts w:hint="eastAsia" w:ascii="仿宋" w:hAnsi="仿宋" w:eastAsia="仿宋" w:cstheme="majorBidi"/>
          <w:bCs/>
          <w:sz w:val="28"/>
          <w:szCs w:val="28"/>
        </w:rPr>
        <w:t>九、</w:t>
      </w:r>
      <w:r>
        <w:rPr>
          <w:rStyle w:val="19"/>
          <w:rFonts w:hint="eastAsia" w:ascii="仿宋" w:hAnsi="仿宋" w:eastAsia="仿宋"/>
          <w:sz w:val="28"/>
          <w:szCs w:val="28"/>
        </w:rPr>
        <w:t xml:space="preserve"> 国</w:t>
      </w:r>
      <w:r>
        <w:rPr>
          <w:rStyle w:val="19"/>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4"/>
        <w:rPr>
          <w:rFonts w:hint="default"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9"/>
          <w:rFonts w:hint="eastAsia" w:ascii="仿宋" w:hAnsi="仿宋" w:eastAsia="仿宋"/>
          <w:sz w:val="28"/>
          <w:szCs w:val="28"/>
        </w:rPr>
        <w:t>十</w:t>
      </w:r>
      <w:r>
        <w:rPr>
          <w:rStyle w:val="19"/>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pPr>
        <w:pStyle w:val="13"/>
        <w:rPr>
          <w:rFonts w:hint="eastAsia" w:eastAsia="仿宋" w:cstheme="minorBidi"/>
          <w:lang w:val="en-US" w:eastAsia="zh-CN"/>
        </w:rPr>
      </w:pPr>
      <w:r>
        <w:fldChar w:fldCharType="begin"/>
      </w:r>
      <w:r>
        <w:instrText xml:space="preserve"> HYPERLINK \l "_Toc15396613" </w:instrText>
      </w:r>
      <w:r>
        <w:fldChar w:fldCharType="separate"/>
      </w:r>
      <w:r>
        <w:rPr>
          <w:rStyle w:val="19"/>
          <w:rFonts w:hint="eastAsia"/>
          <w:bCs/>
          <w:kern w:val="44"/>
        </w:rPr>
        <w:t>第三部分</w:t>
      </w:r>
      <w:r>
        <w:rPr>
          <w:rStyle w:val="19"/>
          <w:rFonts w:hint="eastAsia"/>
        </w:rPr>
        <w:t xml:space="preserve"> 名</w:t>
      </w:r>
      <w:r>
        <w:rPr>
          <w:rStyle w:val="19"/>
          <w:rFonts w:hint="eastAsia"/>
          <w:bCs/>
          <w:kern w:val="44"/>
        </w:rPr>
        <w:t>词解释</w:t>
      </w:r>
      <w:r>
        <w:tab/>
      </w:r>
      <w:r>
        <w:rPr>
          <w:rFonts w:hint="eastAsia"/>
          <w:lang w:val="en-US" w:eastAsia="zh-CN"/>
        </w:rPr>
        <w:t>2</w:t>
      </w:r>
      <w:r>
        <w:fldChar w:fldCharType="end"/>
      </w:r>
      <w:r>
        <w:rPr>
          <w:rFonts w:hint="eastAsia"/>
          <w:lang w:val="en-US" w:eastAsia="zh-CN"/>
        </w:rPr>
        <w:t>0</w:t>
      </w:r>
    </w:p>
    <w:p>
      <w:pPr>
        <w:pStyle w:val="13"/>
        <w:jc w:val="both"/>
        <w:rPr>
          <w:rFonts w:hint="eastAsia" w:eastAsia="仿宋" w:cstheme="minorBidi"/>
          <w:lang w:val="en-US" w:eastAsia="zh-CN"/>
        </w:rPr>
      </w:pPr>
      <w:r>
        <w:fldChar w:fldCharType="begin"/>
      </w:r>
      <w:r>
        <w:instrText xml:space="preserve"> HYPERLINK \l "_Toc15396618" </w:instrText>
      </w:r>
      <w:r>
        <w:fldChar w:fldCharType="separate"/>
      </w:r>
      <w:r>
        <w:rPr>
          <w:rStyle w:val="19"/>
          <w:rFonts w:hint="eastAsia"/>
        </w:rPr>
        <w:t>第</w:t>
      </w:r>
      <w:r>
        <w:rPr>
          <w:rStyle w:val="19"/>
          <w:rFonts w:hint="eastAsia"/>
          <w:bCs/>
          <w:kern w:val="44"/>
          <w:lang w:eastAsia="zh-CN"/>
        </w:rPr>
        <w:t>四</w:t>
      </w:r>
      <w:r>
        <w:rPr>
          <w:rStyle w:val="19"/>
          <w:rFonts w:hint="eastAsia"/>
          <w:bCs/>
          <w:kern w:val="44"/>
        </w:rPr>
        <w:t>部分附</w:t>
      </w:r>
      <w:r>
        <w:rPr>
          <w:rStyle w:val="19"/>
          <w:rFonts w:hint="eastAsia"/>
          <w:bCs/>
          <w:kern w:val="44"/>
          <w:lang w:val="en-US" w:eastAsia="zh-CN"/>
        </w:rPr>
        <w:t>件</w:t>
      </w:r>
      <w:r>
        <w:tab/>
      </w:r>
      <w:r>
        <w:rPr>
          <w:rFonts w:hint="eastAsia"/>
          <w:lang w:val="en-US" w:eastAsia="zh-CN"/>
        </w:rPr>
        <w:t>3</w:t>
      </w:r>
      <w:r>
        <w:fldChar w:fldCharType="end"/>
      </w:r>
      <w:r>
        <w:rPr>
          <w:rFonts w:hint="eastAsia"/>
          <w:lang w:val="en-US" w:eastAsia="zh-CN"/>
        </w:rPr>
        <w:t>0</w:t>
      </w:r>
    </w:p>
    <w:p>
      <w:pPr>
        <w:pStyle w:val="13"/>
        <w:jc w:val="both"/>
        <w:rPr>
          <w:rFonts w:hint="eastAsia" w:eastAsia="仿宋" w:cstheme="minorBidi"/>
          <w:lang w:val="en-US" w:eastAsia="zh-CN"/>
        </w:rPr>
      </w:pPr>
      <w:r>
        <w:fldChar w:fldCharType="begin"/>
      </w:r>
      <w:r>
        <w:instrText xml:space="preserve"> HYPERLINK \l "_Toc15396618" </w:instrText>
      </w:r>
      <w:r>
        <w:fldChar w:fldCharType="separate"/>
      </w:r>
      <w:r>
        <w:rPr>
          <w:rStyle w:val="19"/>
          <w:rFonts w:hint="eastAsia"/>
        </w:rPr>
        <w:t>第</w:t>
      </w:r>
      <w:r>
        <w:rPr>
          <w:rStyle w:val="19"/>
          <w:rFonts w:hint="eastAsia"/>
          <w:bCs/>
          <w:kern w:val="44"/>
          <w:lang w:val="en-US" w:eastAsia="zh-CN"/>
        </w:rPr>
        <w:t>五</w:t>
      </w:r>
      <w:r>
        <w:rPr>
          <w:rStyle w:val="19"/>
          <w:rFonts w:hint="eastAsia"/>
          <w:bCs/>
          <w:kern w:val="44"/>
        </w:rPr>
        <w:t>部分附</w:t>
      </w:r>
      <w:r>
        <w:rPr>
          <w:rStyle w:val="19"/>
          <w:rFonts w:hint="eastAsia"/>
          <w:bCs/>
          <w:kern w:val="44"/>
          <w:lang w:val="en-US" w:eastAsia="zh-CN"/>
        </w:rPr>
        <w:t>表</w:t>
      </w:r>
      <w:r>
        <w:tab/>
      </w:r>
      <w:r>
        <w:rPr>
          <w:rFonts w:hint="eastAsia"/>
          <w:lang w:val="en-US" w:eastAsia="zh-CN"/>
        </w:rPr>
        <w:t>3</w:t>
      </w:r>
      <w:r>
        <w:fldChar w:fldCharType="end"/>
      </w:r>
      <w:r>
        <w:rPr>
          <w:rFonts w:hint="eastAsia"/>
          <w:lang w:val="en-US" w:eastAsia="zh-CN"/>
        </w:rPr>
        <w:t>7</w:t>
      </w:r>
    </w:p>
    <w:p>
      <w:pPr>
        <w:pStyle w:val="14"/>
        <w:ind w:left="0" w:leftChars="0" w:firstLine="0" w:firstLineChars="0"/>
        <w:rPr>
          <w:rFonts w:hint="eastAsia" w:ascii="仿宋" w:hAnsi="仿宋" w:eastAsia="仿宋"/>
          <w:sz w:val="28"/>
          <w:szCs w:val="28"/>
        </w:rPr>
      </w:pPr>
    </w:p>
    <w:p>
      <w:pPr>
        <w:pStyle w:val="14"/>
        <w:rPr>
          <w:rFonts w:hint="default"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9"/>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26</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9"/>
          <w:rFonts w:hint="eastAsia" w:ascii="仿宋" w:hAnsi="仿宋" w:eastAsia="仿宋"/>
          <w:sz w:val="28"/>
          <w:szCs w:val="28"/>
        </w:rPr>
        <w:t>收入</w:t>
      </w:r>
      <w:r>
        <w:rPr>
          <w:rStyle w:val="19"/>
          <w:rFonts w:hint="eastAsia" w:ascii="仿宋" w:hAnsi="仿宋" w:eastAsia="仿宋"/>
          <w:sz w:val="28"/>
          <w:szCs w:val="28"/>
          <w:lang w:eastAsia="zh-CN"/>
        </w:rPr>
        <w:t>决算</w:t>
      </w:r>
      <w:r>
        <w:rPr>
          <w:rStyle w:val="19"/>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4"/>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9"/>
          <w:rFonts w:hint="eastAsia" w:ascii="仿宋" w:hAnsi="仿宋" w:eastAsia="仿宋"/>
          <w:sz w:val="28"/>
          <w:szCs w:val="28"/>
        </w:rPr>
        <w:t>支出</w:t>
      </w:r>
      <w:r>
        <w:rPr>
          <w:rStyle w:val="19"/>
          <w:rFonts w:hint="eastAsia" w:ascii="仿宋" w:hAnsi="仿宋" w:eastAsia="仿宋"/>
          <w:sz w:val="28"/>
          <w:szCs w:val="28"/>
          <w:lang w:eastAsia="zh-CN"/>
        </w:rPr>
        <w:t>决算</w:t>
      </w:r>
      <w:r>
        <w:rPr>
          <w:rStyle w:val="19"/>
          <w:rFonts w:hint="eastAsia" w:ascii="仿宋" w:hAnsi="仿宋" w:eastAsia="仿宋"/>
          <w:sz w:val="28"/>
          <w:szCs w:val="28"/>
        </w:rPr>
        <w:t>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9"/>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9"/>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9"/>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9"/>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9"/>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9"/>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9"/>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9"/>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4"/>
        <w:rPr>
          <w:rFonts w:hint="eastAsia" w:ascii="仿宋" w:hAnsi="仿宋" w:eastAsia="仿宋"/>
          <w:sz w:val="28"/>
          <w:szCs w:val="28"/>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9"/>
          <w:rFonts w:hint="eastAsia" w:ascii="仿宋" w:hAnsi="仿宋" w:eastAsia="仿宋"/>
          <w:sz w:val="28"/>
          <w:szCs w:val="28"/>
        </w:rPr>
        <w:t>国有资本经营预算</w:t>
      </w:r>
      <w:r>
        <w:rPr>
          <w:rStyle w:val="19"/>
          <w:rFonts w:hint="eastAsia" w:ascii="仿宋" w:hAnsi="仿宋" w:eastAsia="仿宋"/>
          <w:sz w:val="28"/>
          <w:szCs w:val="28"/>
          <w:lang w:eastAsia="zh-CN"/>
        </w:rPr>
        <w:t>财政拨款收入</w:t>
      </w:r>
      <w:r>
        <w:rPr>
          <w:rStyle w:val="19"/>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4"/>
        <w:ind w:left="0" w:leftChars="0" w:firstLine="0" w:firstLineChars="0"/>
        <w:rPr>
          <w:rFonts w:hint="eastAsia" w:ascii="仿宋" w:hAnsi="仿宋" w:eastAsia="仿宋"/>
          <w:sz w:val="28"/>
          <w:szCs w:val="28"/>
          <w:lang w:val="en-US" w:eastAsia="zh-CN"/>
        </w:rPr>
      </w:pPr>
      <w:r>
        <w:rPr>
          <w:rFonts w:ascii="仿宋" w:hAnsi="仿宋" w:eastAsia="仿宋" w:cs="Times New Roman"/>
          <w:color w:val="000000"/>
          <w:sz w:val="24"/>
        </w:rPr>
        <w:fldChar w:fldCharType="end"/>
      </w:r>
      <w:r>
        <w:rPr>
          <w:rFonts w:hint="eastAsia" w:ascii="仿宋" w:hAnsi="仿宋" w:eastAsia="仿宋" w:cs="Times New Roman"/>
          <w:color w:val="000000"/>
          <w:sz w:val="24"/>
          <w:lang w:val="en-US" w:eastAsia="zh-CN"/>
        </w:rPr>
        <w:t xml:space="preserve">   </w:t>
      </w:r>
      <w:r>
        <w:rPr>
          <w:rFonts w:hint="eastAsia" w:ascii="仿宋" w:hAnsi="仿宋" w:eastAsia="仿宋"/>
          <w:sz w:val="28"/>
          <w:szCs w:val="28"/>
        </w:rPr>
        <w:t>十</w:t>
      </w:r>
      <w:r>
        <w:rPr>
          <w:rFonts w:hint="eastAsia" w:ascii="仿宋" w:hAnsi="仿宋" w:eastAsia="仿宋"/>
          <w:sz w:val="28"/>
          <w:szCs w:val="28"/>
          <w:lang w:eastAsia="zh-CN"/>
        </w:rPr>
        <w:t>四</w:t>
      </w:r>
      <w:r>
        <w:rPr>
          <w:rFonts w:hint="eastAsia" w:ascii="仿宋" w:hAnsi="仿宋" w:eastAsia="仿宋"/>
          <w:sz w:val="28"/>
          <w:szCs w:val="28"/>
        </w:rPr>
        <w:t>、</w:t>
      </w:r>
      <w:r>
        <w:fldChar w:fldCharType="begin"/>
      </w:r>
      <w:r>
        <w:instrText xml:space="preserve"> HYPERLINK \l "_Toc15396631" </w:instrText>
      </w:r>
      <w:r>
        <w:fldChar w:fldCharType="separate"/>
      </w:r>
      <w:r>
        <w:rPr>
          <w:rStyle w:val="19"/>
          <w:rFonts w:hint="eastAsia" w:ascii="仿宋" w:hAnsi="仿宋" w:eastAsia="仿宋" w:cs="Times New Roman"/>
          <w:color w:val="auto"/>
          <w:sz w:val="28"/>
          <w:szCs w:val="28"/>
          <w:u w:val="none"/>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widowControl/>
        <w:spacing w:line="440" w:lineRule="exact"/>
        <w:jc w:val="left"/>
        <w:rPr>
          <w:rFonts w:hint="default" w:ascii="仿宋" w:hAnsi="仿宋" w:eastAsia="仿宋"/>
          <w:bCs/>
          <w:color w:val="auto"/>
          <w:kern w:val="44"/>
          <w:sz w:val="24"/>
          <w:highlight w:val="none"/>
          <w:lang w:val="en-US" w:eastAsia="zh-CN"/>
        </w:rPr>
      </w:pPr>
    </w:p>
    <w:p>
      <w:pPr>
        <w:pStyle w:val="3"/>
        <w:jc w:val="both"/>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rPr>
          <w:rFonts w:hint="eastAsia"/>
        </w:rPr>
      </w:pPr>
    </w:p>
    <w:p>
      <w:pPr>
        <w:pStyle w:val="3"/>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2"/>
      <w:bookmarkEnd w:id="13"/>
    </w:p>
    <w:p>
      <w:pPr>
        <w:pStyle w:val="4"/>
        <w:rPr>
          <w:rStyle w:val="29"/>
          <w:rFonts w:hint="eastAsia" w:ascii="黑体" w:hAnsi="黑体" w:eastAsia="黑体"/>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9"/>
          <w:rFonts w:hint="eastAsia" w:ascii="黑体" w:hAnsi="黑体" w:eastAsia="黑体"/>
          <w:b w:val="0"/>
          <w:bCs w:val="0"/>
          <w:color w:val="auto"/>
          <w:highlight w:val="none"/>
        </w:rPr>
        <w:t>本职能及主要工作</w:t>
      </w:r>
      <w:bookmarkEnd w:id="14"/>
      <w:bookmarkEnd w:id="15"/>
      <w:bookmarkStart w:id="16" w:name="_Toc15378445"/>
      <w:bookmarkStart w:id="17" w:name="_Toc15377198"/>
    </w:p>
    <w:p>
      <w:pPr>
        <w:pStyle w:val="4"/>
        <w:ind w:firstLine="320" w:firstLineChars="1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（一）主要职能。</w:t>
      </w:r>
    </w:p>
    <w:bookmarkEnd w:id="16"/>
    <w:bookmarkEnd w:id="17"/>
    <w:p>
      <w:pPr>
        <w:pStyle w:val="6"/>
        <w:adjustRightInd w:val="0"/>
        <w:snapToGrid w:val="0"/>
        <w:spacing w:before="0" w:beforeLines="0" w:line="560" w:lineRule="exact"/>
        <w:ind w:firstLine="640" w:firstLineChars="200"/>
        <w:rPr>
          <w:rFonts w:hint="eastAsia"/>
          <w:b w:val="0"/>
          <w:bCs w:val="0"/>
          <w:color w:val="000000"/>
          <w:sz w:val="32"/>
          <w:szCs w:val="32"/>
          <w:lang w:eastAsia="zh-CN"/>
        </w:rPr>
      </w:pPr>
      <w:bookmarkStart w:id="18" w:name="_Toc15378446"/>
      <w:bookmarkStart w:id="19" w:name="_Toc15377199"/>
      <w:r>
        <w:rPr>
          <w:rFonts w:hint="eastAsia" w:hAnsi="楷体_GB2312" w:cs="楷体_GB2312"/>
          <w:b w:val="0"/>
          <w:bCs w:val="0"/>
          <w:color w:val="000000"/>
          <w:sz w:val="32"/>
          <w:szCs w:val="32"/>
          <w:lang w:eastAsia="zh-CN"/>
        </w:rPr>
        <w:t>主要职能为：负责辖区内企业服务、安全生产、信访维稳、房屋征收与补偿、计划生育、民政、劳动就业、社会保障、环境卫生等工作。</w:t>
      </w:r>
    </w:p>
    <w:p>
      <w:pPr>
        <w:pStyle w:val="4"/>
        <w:ind w:firstLine="320" w:firstLineChars="1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（二）20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年重点工作完成情况</w:t>
      </w:r>
      <w:bookmarkEnd w:id="18"/>
      <w:bookmarkEnd w:id="19"/>
      <w:r>
        <w:rPr>
          <w:rFonts w:hint="eastAsia" w:ascii="仿宋" w:hAnsi="仿宋" w:eastAsia="仿宋"/>
          <w:b w:val="0"/>
          <w:bCs w:val="0"/>
          <w:color w:val="auto"/>
          <w:sz w:val="32"/>
          <w:szCs w:val="32"/>
          <w:highlight w:val="none"/>
        </w:rPr>
        <w:t>。</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抓好常态化疫情防控。压实工作责任。成立了办事处疫情防控工作专班，研究制定了疫情防控工作方案，实行网格化管理、日上报制度。加强村居宣传引导。组织各村（社区）充分利用微信群、村居委公示栏、LED屏、广播等方式，宣传疫情防控知识。抓实疫情监测防线。坚决落实属地管理责任，严格执行来返广人员闭环管理要求。累计掌握境外来返广人员1名、中高风险地区来返广人员307名、次密接触者3人，所有存在风险的人员均严格按照文件要求执行隔离措施。推进疫苗接种工作。全面启动村（社区）疫苗接种工作。办事处18岁以上符合接种条件群众9693人，已完成第一剂、第二剂接种的9349人，接种率96%，第三剂符合接种条件的80人，已接种71人，接种率88.7%。协调防疫物资保障。积极协调各方资源筹集防疫物资，累计发放酒精50余斤，口罩5000余个，消毒液300余斤，体温计10个，为一线疫情防控筑起坚强后盾。</w:t>
      </w:r>
    </w:p>
    <w:p>
      <w:pPr>
        <w:pStyle w:val="9"/>
        <w:ind w:firstLine="640" w:firstLineChars="200"/>
        <w:rPr>
          <w:rFonts w:hint="eastAsia" w:ascii="仿宋_GB2312" w:hAnsi="仿宋_GB2312" w:cs="仿宋_GB2312"/>
          <w:b w:val="0"/>
          <w:bCs w:val="0"/>
          <w:lang w:val="en-US" w:eastAsia="zh-CN"/>
        </w:rPr>
      </w:pPr>
      <w:r>
        <w:rPr>
          <w:rFonts w:hint="eastAsia" w:ascii="楷体_GB2312" w:hAnsi="楷体_GB2312" w:eastAsia="楷体_GB2312" w:cs="楷体_GB2312"/>
          <w:b w:val="0"/>
          <w:bCs w:val="0"/>
          <w:lang w:val="en-US" w:eastAsia="zh-CN"/>
        </w:rPr>
        <w:t>全力以赴做好党史学习教育工作。</w:t>
      </w:r>
      <w:r>
        <w:rPr>
          <w:rFonts w:hint="eastAsia" w:ascii="仿宋_GB2312" w:hAnsi="仿宋_GB2312" w:eastAsia="仿宋_GB2312" w:cs="仿宋_GB2312"/>
          <w:b w:val="0"/>
          <w:bCs w:val="0"/>
          <w:lang w:val="en-US" w:eastAsia="zh-CN"/>
        </w:rPr>
        <w:t>落实工作责任。成立了党史学习教育领导小组，研究制定了党史学习教育实施方案，形成了党史学习教育学习清单、庆祝建党100周年活动清单、办实事清单“三张清单”，以清单促党史学习教育。注重宣传引导。组织各村（社区）充分利用微信群、村居委公示栏、LED屏、横幅等渠道，广泛宣传党史学习教育工作。目前，街到已</w:t>
      </w:r>
      <w:r>
        <w:rPr>
          <w:rFonts w:hint="eastAsia" w:ascii="仿宋_GB2312" w:hAnsi="仿宋_GB2312" w:eastAsia="仿宋_GB2312" w:cs="仿宋_GB2312"/>
          <w:b w:val="0"/>
          <w:bCs w:val="0"/>
          <w:sz w:val="32"/>
          <w:szCs w:val="32"/>
        </w:rPr>
        <w:t>组织观看“红色电影”3次，举办“永远跟党走”文艺汇演1场，通过各种形式的宣传，街道累计在市、区媒体刊登信息21条，制作宣传视频3条。</w:t>
      </w:r>
      <w:r>
        <w:rPr>
          <w:rFonts w:hint="eastAsia" w:ascii="仿宋_GB2312" w:hAnsi="仿宋_GB2312" w:eastAsia="仿宋_GB2312" w:cs="仿宋_GB2312"/>
          <w:b w:val="0"/>
          <w:bCs w:val="0"/>
          <w:lang w:val="en-US" w:eastAsia="zh-CN"/>
        </w:rPr>
        <w:t>加强学习宣讲。街道领导班子带头学，</w:t>
      </w:r>
      <w:r>
        <w:rPr>
          <w:rFonts w:hint="eastAsia" w:ascii="仿宋_GB2312" w:hAnsi="仿宋_GB2312" w:eastAsia="仿宋_GB2312" w:cs="仿宋_GB2312"/>
          <w:b w:val="0"/>
          <w:bCs w:val="0"/>
          <w:sz w:val="32"/>
          <w:szCs w:val="32"/>
        </w:rPr>
        <w:t>党员干部自学，红色遗址现场学，理论学习中心组集体学</w:t>
      </w:r>
      <w:r>
        <w:rPr>
          <w:rFonts w:hint="eastAsia" w:ascii="仿宋_GB2312" w:hAnsi="仿宋_GB2312" w:eastAsia="仿宋_GB2312" w:cs="仿宋_GB2312"/>
          <w:b w:val="0"/>
          <w:bCs w:val="0"/>
          <w:sz w:val="32"/>
          <w:szCs w:val="32"/>
          <w:lang w:eastAsia="zh-CN"/>
        </w:rPr>
        <w:t>等方式，</w:t>
      </w:r>
      <w:r>
        <w:rPr>
          <w:rFonts w:hint="eastAsia" w:ascii="仿宋_GB2312" w:hAnsi="仿宋_GB2312" w:eastAsia="仿宋_GB2312" w:cs="仿宋_GB2312"/>
          <w:b w:val="0"/>
          <w:bCs w:val="0"/>
          <w:lang w:val="en-US" w:eastAsia="zh-CN"/>
        </w:rPr>
        <w:t>开展党史学习教育。截止目前，</w:t>
      </w:r>
      <w:r>
        <w:rPr>
          <w:rFonts w:hint="eastAsia" w:ascii="仿宋_GB2312" w:hAnsi="仿宋_GB2312" w:eastAsia="仿宋_GB2312" w:cs="仿宋_GB2312"/>
          <w:b w:val="0"/>
          <w:bCs w:val="0"/>
          <w:sz w:val="32"/>
          <w:szCs w:val="32"/>
        </w:rPr>
        <w:t>街道累计组织领导班子带头学习12次，党史专题学习13次，中心组理论学习7次，现场教学2次，邀请党校老师讲党课2次，区级领导专题辅导2次，街道党工委书记讲党课2次。扎实开展办实事行动</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围绕为民服务办实事、服务企业解难事、履职尽责守底线梳理了3大类12项具体工作，同时督促各村（社区）结合实际制定了相应的方案和清单。</w:t>
      </w:r>
      <w:r>
        <w:rPr>
          <w:rFonts w:hint="eastAsia" w:ascii="仿宋_GB2312" w:hAnsi="仿宋_GB2312" w:eastAsia="仿宋_GB2312" w:cs="仿宋_GB2312"/>
          <w:b w:val="0"/>
          <w:bCs w:val="0"/>
          <w:lang w:val="en-US" w:eastAsia="zh-CN"/>
        </w:rPr>
        <w:t>今年以来，袁家坝街道累计启动了37项“我为群众办实事”项目，已完34项，</w:t>
      </w:r>
      <w:r>
        <w:rPr>
          <w:rFonts w:hint="eastAsia" w:ascii="仿宋_GB2312" w:hAnsi="仿宋_GB2312" w:eastAsia="仿宋_GB2312" w:cs="仿宋_GB2312"/>
          <w:b w:val="0"/>
          <w:bCs w:val="0"/>
          <w:sz w:val="32"/>
          <w:szCs w:val="32"/>
        </w:rPr>
        <w:t>其余3项正在持续推进中。</w:t>
      </w:r>
      <w:r>
        <w:rPr>
          <w:rFonts w:hint="eastAsia" w:ascii="仿宋_GB2312" w:hAnsi="仿宋_GB2312" w:eastAsia="仿宋_GB2312" w:cs="仿宋_GB2312"/>
          <w:b w:val="0"/>
          <w:bCs w:val="0"/>
          <w:lang w:val="en-US" w:eastAsia="zh-CN"/>
        </w:rPr>
        <w:t>以实际行动践行着“服务群众，为民解忧”的承诺。</w:t>
      </w:r>
      <w:r>
        <w:rPr>
          <w:rFonts w:hint="eastAsia" w:ascii="仿宋_GB2312" w:hAnsi="仿宋_GB2312" w:cs="仿宋_GB2312"/>
          <w:b w:val="0"/>
          <w:bCs w:val="0"/>
          <w:lang w:val="en-US" w:eastAsia="zh-CN"/>
        </w:rPr>
        <w:t>持续推进园区基础设施工作。</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投入200余万元，完成1号干道绿化、美化、香化工作，新建体育中心1个，货运停车场1个，按“1+5+N”模式丰富完成园区服务生活配套，建成圆梦小街，中孚（林丰）生活区，万贯商业区和孵化园生活区4个15分钟生活圈，并协助“豫见劳特巴赫”啤酒之夜成功举办。</w:t>
      </w:r>
    </w:p>
    <w:p>
      <w:pPr>
        <w:ind w:firstLine="640" w:firstLineChars="200"/>
        <w:rPr>
          <w:rFonts w:hint="eastAsia" w:ascii="仿宋" w:hAnsi="仿宋" w:eastAsia="仿宋" w:cs="仿宋"/>
          <w:b w:val="0"/>
          <w:bCs w:val="0"/>
          <w:color w:val="000000"/>
          <w:spacing w:val="0"/>
          <w:sz w:val="32"/>
          <w:szCs w:val="32"/>
          <w:highlight w:val="yellow"/>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全力以赴抓实项目投资。</w:t>
      </w:r>
      <w:r>
        <w:rPr>
          <w:rFonts w:hint="eastAsia" w:ascii="仿宋" w:hAnsi="仿宋" w:eastAsia="仿宋" w:cs="仿宋"/>
          <w:b w:val="0"/>
          <w:bCs w:val="0"/>
          <w:sz w:val="32"/>
          <w:szCs w:val="32"/>
          <w:lang w:val="en-US" w:eastAsia="zh-CN"/>
        </w:rPr>
        <w:t>强力推进征地拆迁。完成林丰、中孚</w:t>
      </w:r>
      <w:r>
        <w:rPr>
          <w:rFonts w:hint="eastAsia" w:ascii="仿宋" w:hAnsi="仿宋" w:eastAsia="仿宋" w:cs="仿宋"/>
          <w:b w:val="0"/>
          <w:bCs w:val="0"/>
          <w:color w:val="000000"/>
          <w:spacing w:val="0"/>
          <w:sz w:val="32"/>
          <w:szCs w:val="32"/>
          <w:lang w:val="en-US" w:eastAsia="zh-CN"/>
        </w:rPr>
        <w:t>项目范围内</w:t>
      </w:r>
      <w:r>
        <w:rPr>
          <w:rFonts w:hint="eastAsia" w:ascii="仿宋" w:hAnsi="仿宋" w:eastAsia="仿宋" w:cs="仿宋"/>
          <w:b w:val="0"/>
          <w:bCs w:val="0"/>
          <w:sz w:val="32"/>
          <w:szCs w:val="32"/>
          <w:lang w:val="en-US" w:eastAsia="zh-CN"/>
        </w:rPr>
        <w:t>农房搬迁协议签订2户、城房搬迁协议签订7户，</w:t>
      </w:r>
      <w:r>
        <w:rPr>
          <w:rFonts w:hint="eastAsia" w:ascii="仿宋" w:hAnsi="仿宋" w:eastAsia="仿宋" w:cs="仿宋"/>
          <w:b w:val="0"/>
          <w:bCs w:val="0"/>
          <w:color w:val="000000"/>
          <w:spacing w:val="0"/>
          <w:sz w:val="32"/>
          <w:szCs w:val="32"/>
          <w:lang w:val="en-US" w:eastAsia="zh-CN"/>
        </w:rPr>
        <w:t>签订征地协议172.52亩，其中博通铝业一期22.52亩并兑付土地款460845.00元；万贯三期150亩。完成辖区动车所、元铝新材、万顺、国药二期、万贯三期、广运物流、郑家岩广告牌安装等多个项目的青苗附着物清点工作，并上报至区房屋征收与补偿办公室，有序推动各项征地拆迁工作。</w:t>
      </w:r>
      <w:r>
        <w:rPr>
          <w:rFonts w:hint="eastAsia" w:ascii="仿宋" w:hAnsi="仿宋" w:eastAsia="仿宋" w:cs="仿宋"/>
          <w:b w:val="0"/>
          <w:bCs w:val="0"/>
          <w:sz w:val="32"/>
          <w:szCs w:val="32"/>
          <w:lang w:val="en-US" w:eastAsia="zh-CN"/>
        </w:rPr>
        <w:t>强力推动项目建设。截止10月，共计</w:t>
      </w:r>
      <w:r>
        <w:rPr>
          <w:rFonts w:hint="eastAsia" w:ascii="仿宋" w:hAnsi="仿宋" w:eastAsia="仿宋" w:cs="仿宋"/>
          <w:b w:val="0"/>
          <w:bCs w:val="0"/>
          <w:color w:val="000000"/>
          <w:spacing w:val="0"/>
          <w:sz w:val="32"/>
          <w:szCs w:val="32"/>
          <w:lang w:val="en-US" w:eastAsia="zh-CN"/>
        </w:rPr>
        <w:t>推动实施项目15个，其中重点项目4个，一般项目11个，持续建设项目4个。强力推进项目入库。1-10月，申报入库项目15个，1-10月实现投资23.29亿元，完成全年任务86.78%，</w:t>
      </w:r>
      <w:r>
        <w:rPr>
          <w:rFonts w:hint="eastAsia" w:ascii="仿宋" w:hAnsi="仿宋" w:eastAsia="仿宋" w:cs="仿宋"/>
          <w:b w:val="0"/>
          <w:bCs w:val="0"/>
          <w:sz w:val="32"/>
          <w:szCs w:val="32"/>
        </w:rPr>
        <w:t>超时间任务进度1.57%</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spacing w:val="0"/>
          <w:sz w:val="32"/>
          <w:szCs w:val="32"/>
          <w:lang w:val="en-US" w:eastAsia="zh-CN"/>
        </w:rPr>
        <w:t>预计能顺利完成26.84</w:t>
      </w:r>
      <w:r>
        <w:rPr>
          <w:rFonts w:hint="eastAsia" w:ascii="仿宋" w:hAnsi="仿宋" w:eastAsia="仿宋" w:cs="仿宋"/>
          <w:b w:val="0"/>
          <w:bCs w:val="0"/>
          <w:sz w:val="32"/>
          <w:szCs w:val="32"/>
          <w:lang w:val="en-US" w:eastAsia="zh-CN"/>
        </w:rPr>
        <w:t>亿元的</w:t>
      </w:r>
      <w:r>
        <w:rPr>
          <w:rFonts w:hint="eastAsia" w:ascii="仿宋" w:hAnsi="仿宋" w:eastAsia="仿宋" w:cs="仿宋"/>
          <w:b w:val="0"/>
          <w:bCs w:val="0"/>
          <w:color w:val="000000"/>
          <w:spacing w:val="0"/>
          <w:sz w:val="32"/>
          <w:szCs w:val="32"/>
          <w:lang w:val="en-US" w:eastAsia="zh-CN"/>
        </w:rPr>
        <w:t>全年目标任务。</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全力以赴推动党风廉政建设。</w:t>
      </w:r>
      <w:r>
        <w:rPr>
          <w:rFonts w:hint="eastAsia" w:ascii="仿宋" w:hAnsi="仿宋" w:eastAsia="仿宋" w:cs="仿宋"/>
          <w:b w:val="0"/>
          <w:bCs w:val="0"/>
          <w:color w:val="000000" w:themeColor="text1"/>
          <w:sz w:val="32"/>
          <w:szCs w:val="32"/>
          <w14:textFill>
            <w14:solidFill>
              <w14:schemeClr w14:val="tx1"/>
            </w14:solidFill>
          </w14:textFill>
        </w:rPr>
        <w:t>着力提高政治站位。</w:t>
      </w:r>
      <w:r>
        <w:rPr>
          <w:rFonts w:hint="eastAsia" w:ascii="仿宋" w:hAnsi="仿宋" w:eastAsia="仿宋" w:cs="仿宋"/>
          <w:b w:val="0"/>
          <w:bCs w:val="0"/>
          <w:sz w:val="32"/>
          <w:szCs w:val="32"/>
        </w:rPr>
        <w:t>街道党工委班子认真落实“一岗双责”，推动全面从严治党持续向纵深发展</w:t>
      </w:r>
      <w:r>
        <w:rPr>
          <w:rFonts w:hint="eastAsia" w:ascii="仿宋" w:hAnsi="仿宋" w:eastAsia="仿宋" w:cs="仿宋"/>
          <w:b w:val="0"/>
          <w:bCs w:val="0"/>
          <w:color w:val="000000" w:themeColor="text1"/>
          <w:sz w:val="32"/>
          <w:szCs w:val="32"/>
          <w14:textFill>
            <w14:solidFill>
              <w14:schemeClr w14:val="tx1"/>
            </w14:solidFill>
          </w14:textFill>
        </w:rPr>
        <w:t>。着力强化问题整改。</w:t>
      </w:r>
      <w:r>
        <w:rPr>
          <w:rFonts w:hint="eastAsia" w:ascii="仿宋" w:hAnsi="仿宋" w:eastAsia="仿宋" w:cs="仿宋"/>
          <w:b w:val="0"/>
          <w:bCs w:val="0"/>
          <w:sz w:val="32"/>
          <w:szCs w:val="32"/>
        </w:rPr>
        <w:t>按照《关于印发&lt;广元经开区干部纪律作风整顿工作方案&gt;的通知》要求，对照自身，查摆问题。街道党工委于7月26日组织召开了纪律作风整顿工作推进会，迅速开展干部学习自查和整改纠治工作。街道领导班子及干部对照纪律作风整顿“12+4”问题自查表，共查找出11个方面120个问题。并制定整改措施5条。</w:t>
      </w:r>
      <w:r>
        <w:rPr>
          <w:rFonts w:hint="eastAsia" w:ascii="仿宋" w:hAnsi="仿宋" w:eastAsia="仿宋" w:cs="仿宋"/>
          <w:b w:val="0"/>
          <w:bCs w:val="0"/>
          <w:color w:val="000000" w:themeColor="text1"/>
          <w:sz w:val="32"/>
          <w:szCs w:val="32"/>
          <w14:textFill>
            <w14:solidFill>
              <w14:schemeClr w14:val="tx1"/>
            </w14:solidFill>
          </w14:textFill>
        </w:rPr>
        <w:t>全面加强警示教育。</w:t>
      </w:r>
      <w:r>
        <w:rPr>
          <w:rFonts w:hint="eastAsia" w:ascii="仿宋" w:hAnsi="仿宋" w:eastAsia="仿宋" w:cs="仿宋"/>
          <w:b w:val="0"/>
          <w:bCs w:val="0"/>
          <w:color w:val="000000" w:themeColor="text1"/>
          <w:sz w:val="32"/>
          <w:szCs w:val="32"/>
          <w:lang w:eastAsia="zh-CN"/>
          <w14:textFill>
            <w14:solidFill>
              <w14:schemeClr w14:val="tx1"/>
            </w14:solidFill>
          </w14:textFill>
        </w:rPr>
        <w:t>利用党工委会、办事处工作例会、中心组理论学习会开展廉政教育</w:t>
      </w:r>
      <w:r>
        <w:rPr>
          <w:rFonts w:hint="eastAsia" w:ascii="仿宋" w:hAnsi="仿宋" w:eastAsia="仿宋" w:cs="仿宋"/>
          <w:b w:val="0"/>
          <w:bCs w:val="0"/>
          <w:color w:val="000000" w:themeColor="text1"/>
          <w:sz w:val="32"/>
          <w:szCs w:val="32"/>
          <w:lang w:val="en-US" w:eastAsia="zh-CN"/>
          <w14:textFill>
            <w14:solidFill>
              <w14:schemeClr w14:val="tx1"/>
            </w14:solidFill>
          </w14:textFill>
        </w:rPr>
        <w:t>3次</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sz w:val="32"/>
          <w:szCs w:val="32"/>
        </w:rPr>
        <w:t>开展了酒驾醉驾“以案促改”工作</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sz w:val="32"/>
          <w:szCs w:val="32"/>
        </w:rPr>
        <w:t>实行了上下班纪律打卡制度，完善了收发文核准制度，为全力推进街道党风廉政建设、疫情防控工作、防火防汛、工业经济发展，社会民生服务做好了有力保障。截止目前，街道纪工委共发通报1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期，其中涉及森林草原防灭火的</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期，上班纪律的</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期，疫情防控工作的</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期，党建的</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期，书面诫勉2人，立案查处3人。</w:t>
      </w:r>
      <w:r>
        <w:rPr>
          <w:rFonts w:hint="eastAsia" w:ascii="仿宋" w:hAnsi="仿宋" w:eastAsia="仿宋" w:cs="仿宋"/>
          <w:b w:val="0"/>
          <w:bCs w:val="0"/>
          <w:color w:val="000000" w:themeColor="text1"/>
          <w:sz w:val="32"/>
          <w:szCs w:val="32"/>
          <w14:textFill>
            <w14:solidFill>
              <w14:schemeClr w14:val="tx1"/>
            </w14:solidFill>
          </w14:textFill>
        </w:rPr>
        <w:t>强化基层组织建设。</w:t>
      </w:r>
      <w:r>
        <w:rPr>
          <w:rFonts w:hint="eastAsia" w:ascii="仿宋" w:hAnsi="仿宋" w:eastAsia="仿宋" w:cs="仿宋"/>
          <w:b w:val="0"/>
          <w:bCs w:val="0"/>
          <w:color w:val="000000" w:themeColor="text1"/>
          <w:sz w:val="32"/>
          <w:szCs w:val="32"/>
          <w:lang w:eastAsia="zh-CN"/>
          <w14:textFill>
            <w14:solidFill>
              <w14:schemeClr w14:val="tx1"/>
            </w14:solidFill>
          </w14:textFill>
        </w:rPr>
        <w:t>“两委换届后”</w:t>
      </w:r>
      <w:r>
        <w:rPr>
          <w:rFonts w:hint="eastAsia" w:ascii="仿宋" w:hAnsi="仿宋" w:eastAsia="仿宋" w:cs="仿宋"/>
          <w:b w:val="0"/>
          <w:bCs w:val="0"/>
          <w:sz w:val="32"/>
          <w:szCs w:val="32"/>
        </w:rPr>
        <w:t>街道对村（社区）“两委”班子开展了运行分析。根据走访调查，各村（社区）“两委”班子运行总体较好，群众对班子评价为优秀的占76.8％，对书记评价为优秀的占77％。针对个别村和干部分析出的问题，街道党工委分别对村（社区）交换了意见，并要求将反映出的问题纳入党史学习教育专题组织生活会进行剖析检视，督促问题整改。</w:t>
      </w:r>
      <w:r>
        <w:rPr>
          <w:rFonts w:hint="eastAsia" w:ascii="仿宋" w:hAnsi="仿宋" w:eastAsia="仿宋" w:cs="仿宋"/>
          <w:b w:val="0"/>
          <w:bCs w:val="0"/>
          <w:color w:val="000000" w:themeColor="text1"/>
          <w:sz w:val="32"/>
          <w:szCs w:val="32"/>
          <w:lang w:eastAsia="zh-CN"/>
          <w14:textFill>
            <w14:solidFill>
              <w14:schemeClr w14:val="tx1"/>
            </w14:solidFill>
          </w14:textFill>
        </w:rPr>
        <w:t>加强后备力量培养，今年培养入党积极分子</w:t>
      </w:r>
      <w:r>
        <w:rPr>
          <w:rFonts w:hint="eastAsia" w:ascii="仿宋" w:hAnsi="仿宋" w:eastAsia="仿宋" w:cs="仿宋"/>
          <w:b w:val="0"/>
          <w:bCs w:val="0"/>
          <w:color w:val="000000" w:themeColor="text1"/>
          <w:sz w:val="32"/>
          <w:szCs w:val="32"/>
          <w:lang w:val="en-US" w:eastAsia="zh-CN"/>
          <w14:textFill>
            <w14:solidFill>
              <w14:schemeClr w14:val="tx1"/>
            </w14:solidFill>
          </w14:textFill>
        </w:rPr>
        <w:t>45</w:t>
      </w:r>
      <w:r>
        <w:rPr>
          <w:rFonts w:hint="eastAsia" w:ascii="仿宋" w:hAnsi="仿宋" w:eastAsia="仿宋" w:cs="仿宋"/>
          <w:b w:val="0"/>
          <w:bCs w:val="0"/>
          <w:color w:val="000000" w:themeColor="text1"/>
          <w:sz w:val="32"/>
          <w:szCs w:val="32"/>
          <w:lang w:eastAsia="zh-CN"/>
          <w14:textFill>
            <w14:solidFill>
              <w14:schemeClr w14:val="tx1"/>
            </w14:solidFill>
          </w14:textFill>
        </w:rPr>
        <w:t>名，发展预备党员</w:t>
      </w:r>
      <w:r>
        <w:rPr>
          <w:rFonts w:hint="eastAsia" w:ascii="仿宋" w:hAnsi="仿宋" w:eastAsia="仿宋" w:cs="仿宋"/>
          <w:b w:val="0"/>
          <w:bCs w:val="0"/>
          <w:color w:val="000000" w:themeColor="text1"/>
          <w:sz w:val="32"/>
          <w:szCs w:val="32"/>
          <w:lang w:val="en-US" w:eastAsia="zh-CN"/>
          <w14:textFill>
            <w14:solidFill>
              <w14:schemeClr w14:val="tx1"/>
            </w14:solidFill>
          </w14:textFill>
        </w:rPr>
        <w:t>17</w:t>
      </w:r>
      <w:r>
        <w:rPr>
          <w:rFonts w:hint="eastAsia" w:ascii="仿宋" w:hAnsi="仿宋" w:eastAsia="仿宋" w:cs="仿宋"/>
          <w:b w:val="0"/>
          <w:bCs w:val="0"/>
          <w:color w:val="000000" w:themeColor="text1"/>
          <w:sz w:val="32"/>
          <w:szCs w:val="32"/>
          <w:lang w:eastAsia="zh-CN"/>
          <w14:textFill>
            <w14:solidFill>
              <w14:schemeClr w14:val="tx1"/>
            </w14:solidFill>
          </w14:textFill>
        </w:rPr>
        <w:t>名，培养后备干部</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eastAsia="zh-CN"/>
          <w14:textFill>
            <w14:solidFill>
              <w14:schemeClr w14:val="tx1"/>
            </w14:solidFill>
          </w14:textFill>
        </w:rPr>
        <w:t>人。</w:t>
      </w:r>
    </w:p>
    <w:p>
      <w:pPr>
        <w:pStyle w:val="9"/>
        <w:numPr>
          <w:ilvl w:val="0"/>
          <w:numId w:val="0"/>
        </w:numPr>
        <w:ind w:firstLine="640" w:firstLineChars="200"/>
        <w:rPr>
          <w:rFonts w:hint="eastAsia"/>
          <w:b w:val="0"/>
          <w:bCs w:val="0"/>
          <w:lang w:val="en-US" w:eastAsia="zh-CN"/>
        </w:rPr>
      </w:pPr>
      <w:r>
        <w:rPr>
          <w:rFonts w:hint="eastAsia" w:ascii="楷体" w:hAnsi="楷体" w:eastAsia="楷体" w:cs="楷体"/>
          <w:b w:val="0"/>
          <w:bCs w:val="0"/>
          <w:highlight w:val="none"/>
          <w:lang w:val="en-US" w:eastAsia="zh-CN"/>
        </w:rPr>
        <w:t>全力以赴抓好</w:t>
      </w:r>
      <w:r>
        <w:rPr>
          <w:rFonts w:hint="eastAsia" w:ascii="楷体" w:hAnsi="楷体" w:eastAsia="楷体" w:cs="楷体"/>
          <w:b w:val="0"/>
          <w:bCs w:val="0"/>
          <w:color w:val="000000" w:themeColor="text1"/>
          <w:kern w:val="1"/>
          <w:sz w:val="32"/>
          <w:szCs w:val="32"/>
          <w14:textFill>
            <w14:solidFill>
              <w14:schemeClr w14:val="tx1"/>
            </w14:solidFill>
          </w14:textFill>
        </w:rPr>
        <w:t>安全生产</w:t>
      </w:r>
      <w:r>
        <w:rPr>
          <w:rFonts w:hint="eastAsia" w:ascii="楷体" w:hAnsi="楷体" w:eastAsia="楷体" w:cs="楷体"/>
          <w:b w:val="0"/>
          <w:bCs w:val="0"/>
          <w:color w:val="000000" w:themeColor="text1"/>
          <w:kern w:val="1"/>
          <w:sz w:val="32"/>
          <w:szCs w:val="32"/>
          <w:lang w:eastAsia="zh-CN"/>
          <w14:textFill>
            <w14:solidFill>
              <w14:schemeClr w14:val="tx1"/>
            </w14:solidFill>
          </w14:textFill>
        </w:rPr>
        <w:t>工作</w:t>
      </w:r>
      <w:r>
        <w:rPr>
          <w:rFonts w:hint="eastAsia" w:ascii="楷体" w:hAnsi="楷体" w:eastAsia="楷体" w:cs="楷体"/>
          <w:b w:val="0"/>
          <w:bCs w:val="0"/>
          <w:color w:val="000000" w:themeColor="text1"/>
          <w:kern w:val="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广泛开展宣传教育。截至目前共</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召开安委会</w:t>
      </w:r>
      <w:r>
        <w:rPr>
          <w:rFonts w:hint="eastAsia" w:ascii="仿宋_GB2312" w:hAnsi="仿宋_GB2312" w:eastAsia="仿宋_GB2312" w:cs="仿宋_GB2312"/>
          <w:b w:val="0"/>
          <w:bCs w:val="0"/>
          <w:color w:val="000000" w:themeColor="text1"/>
          <w:kern w:val="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次</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，开展了应急疏散、森林防灭火、防洪防汛、消防应急、防灾减灾等</w:t>
      </w:r>
      <w:r>
        <w:rPr>
          <w:rFonts w:hint="eastAsia" w:ascii="仿宋_GB2312" w:hAnsi="仿宋_GB2312" w:eastAsia="仿宋_GB2312" w:cs="仿宋_GB2312"/>
          <w:b w:val="0"/>
          <w:bCs w:val="0"/>
          <w:color w:val="000000" w:themeColor="text1"/>
          <w:kern w:val="1"/>
          <w:sz w:val="32"/>
          <w:szCs w:val="32"/>
          <w:lang w:val="en-US" w:eastAsia="zh-CN"/>
          <w14:textFill>
            <w14:solidFill>
              <w14:schemeClr w14:val="tx1"/>
            </w14:solidFill>
          </w14:textFill>
        </w:rPr>
        <w:t>5次</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w:t>
      </w:r>
      <w:r>
        <w:rPr>
          <w:rFonts w:hint="eastAsia" w:ascii="仿宋_GB2312" w:hAnsi="仿宋_GB2312" w:eastAsia="仿宋_GB2312" w:cs="仿宋_GB2312"/>
          <w:b w:val="0"/>
          <w:bCs w:val="0"/>
          <w:lang w:val="en-US" w:eastAsia="zh-CN"/>
        </w:rPr>
        <w:t>制作展板横幅50幅，发放各类宣传单5000余份，提高了广大干部群众对安全生产重要性的认识和自我保护能力。加大隐患排查力度。围绕危险化学品、交通运输、油气管道、建筑施工、特种设备、电力设施及人员密集场所等重点行业领域，全面开展安全生产大检查和专项整治，对辖区86家生产企业、8家小作坊开展隐患排查35次，排查企业隐患75处，下达整改指令60份，整改率96%。严抓建筑施工安全监管。协同区建环局对辖区13处在建工地进行检查，排查出一般隐患8处，下达整改指令2份，落实整改8处，整改率96%。联合交警部门每周开展道路安全执法，开展劝导员培训4次，开展农村道路交通安全宣传4次，发放宣传资料500余份。对村（社区）网格员培训共计5次。严抓消防安全工作。认真贯彻“预防为主”的消防工作方针，制定了《袁家坝街道消防安全应急处置预案》，扩充了消防志愿者队伍，按月开展消防安全隐患排查，半年共排查出消防隐患50处，下达整改指令31份，落实整改50处，整改率100%，深入开展消防知识宣讲，发放宣传资料2000余份。深入推进抗旱防洪工作。清理排水沟2.2公里，配备编织袋10000余条，严格落实河长制工作，加强8公里河道巡护及水上交通管理，设立标识牌禁止非法采砂及下河捕捞。深入开展食品安全监管。成立食品安全工作领导小组，推选食品安全信息员5名，开展食品安全信息员培训2次，落实农村家宴备案制度，备案12起，备案率100%。</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全年未发生较大以上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安全事故。</w:t>
      </w:r>
    </w:p>
    <w:p>
      <w:pPr>
        <w:spacing w:line="576" w:lineRule="exact"/>
        <w:ind w:firstLine="320" w:firstLineChars="1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全力以赴防范化解社会重大风险。</w:t>
      </w:r>
      <w:r>
        <w:rPr>
          <w:rFonts w:hint="eastAsia" w:ascii="仿宋" w:hAnsi="仿宋" w:eastAsia="仿宋" w:cs="仿宋"/>
          <w:b w:val="0"/>
          <w:bCs w:val="0"/>
          <w:sz w:val="32"/>
          <w:szCs w:val="32"/>
          <w:highlight w:val="none"/>
          <w:lang w:val="en-US" w:eastAsia="zh-CN"/>
        </w:rPr>
        <w:t>加强矛盾纠纷化解。2021年共排查出涉稳信访问题76起，设计群众97人，回复率达到100%，成功化解74起，化解率97%，息访息诉1人，信访率比去年同期下降78%。加强综治维稳力度。调整综治工作领导小组，落实包片、分线、分段责任，重点时段落实重点举措，重点节点实行全员动员，圆满完成了全国、省、市“两会”期间的综治维稳工作。开展了宪法宣传月、《全面国家安全教育》等宣传活动。持续开展扫黑除恶专项斗争。今年以来街道共召开专项斗争专题会议6次，召开专项斗争研讨会5次，下村走访排查100余次。</w:t>
      </w:r>
      <w:r>
        <w:rPr>
          <w:rFonts w:hint="eastAsia" w:ascii="仿宋" w:hAnsi="仿宋" w:eastAsia="仿宋" w:cs="仿宋"/>
          <w:b w:val="0"/>
          <w:bCs w:val="0"/>
          <w:kern w:val="1"/>
          <w:sz w:val="32"/>
          <w:szCs w:val="32"/>
        </w:rPr>
        <w:t>制作大型喷绘宣传标语16幅、制作扫黑除恶专项斗争举报箱10个，制作扫黑除恶专项斗争宣传标语76幅、制作扫黑除恶专项斗争宣传专栏18版，制作扫黑除恶专项斗争宣传单</w:t>
      </w:r>
      <w:r>
        <w:rPr>
          <w:rFonts w:hint="eastAsia" w:ascii="仿宋" w:hAnsi="仿宋" w:eastAsia="仿宋" w:cs="仿宋"/>
          <w:b w:val="0"/>
          <w:bCs w:val="0"/>
          <w:kern w:val="1"/>
          <w:sz w:val="32"/>
          <w:szCs w:val="32"/>
          <w:lang w:val="en-US" w:eastAsia="zh-CN"/>
        </w:rPr>
        <w:t>3000余</w:t>
      </w:r>
      <w:r>
        <w:rPr>
          <w:rFonts w:hint="eastAsia" w:ascii="仿宋" w:hAnsi="仿宋" w:eastAsia="仿宋" w:cs="仿宋"/>
          <w:b w:val="0"/>
          <w:bCs w:val="0"/>
          <w:kern w:val="1"/>
          <w:sz w:val="32"/>
          <w:szCs w:val="32"/>
        </w:rPr>
        <w:t>张</w:t>
      </w:r>
      <w:r>
        <w:rPr>
          <w:rFonts w:hint="eastAsia" w:ascii="仿宋" w:hAnsi="仿宋" w:eastAsia="仿宋" w:cs="仿宋"/>
          <w:b w:val="0"/>
          <w:bCs w:val="0"/>
          <w:kern w:val="1"/>
          <w:sz w:val="32"/>
          <w:szCs w:val="32"/>
          <w:lang w:eastAsia="zh-CN"/>
        </w:rPr>
        <w:t>。</w:t>
      </w:r>
      <w:r>
        <w:rPr>
          <w:rFonts w:hint="eastAsia" w:ascii="仿宋" w:hAnsi="仿宋" w:eastAsia="仿宋" w:cs="仿宋"/>
          <w:b w:val="0"/>
          <w:bCs w:val="0"/>
          <w:sz w:val="32"/>
          <w:szCs w:val="32"/>
          <w:highlight w:val="none"/>
          <w:lang w:val="en-US" w:eastAsia="zh-CN"/>
        </w:rPr>
        <w:t>截止目前，摸排涉黑涉恶线索27条，上报线索17条，被开发区采纳8条线索。全面开展法制建设。</w:t>
      </w:r>
      <w:r>
        <w:rPr>
          <w:rFonts w:hint="eastAsia" w:ascii="仿宋" w:hAnsi="仿宋" w:eastAsia="仿宋" w:cs="仿宋"/>
          <w:b w:val="0"/>
          <w:bCs w:val="0"/>
          <w:kern w:val="1"/>
          <w:sz w:val="32"/>
          <w:szCs w:val="32"/>
          <w:lang w:eastAsia="zh-CN"/>
        </w:rPr>
        <w:t>今年以来</w:t>
      </w:r>
      <w:r>
        <w:rPr>
          <w:rFonts w:hint="eastAsia" w:ascii="仿宋" w:hAnsi="仿宋" w:eastAsia="仿宋" w:cs="仿宋"/>
          <w:b w:val="0"/>
          <w:bCs w:val="0"/>
          <w:kern w:val="1"/>
          <w:sz w:val="32"/>
          <w:szCs w:val="32"/>
        </w:rPr>
        <w:t>对各村</w:t>
      </w:r>
      <w:r>
        <w:rPr>
          <w:rFonts w:hint="eastAsia" w:ascii="仿宋" w:hAnsi="仿宋" w:eastAsia="仿宋" w:cs="仿宋"/>
          <w:b w:val="0"/>
          <w:bCs w:val="0"/>
          <w:kern w:val="1"/>
          <w:sz w:val="32"/>
          <w:szCs w:val="32"/>
          <w:lang w:eastAsia="zh-CN"/>
        </w:rPr>
        <w:t>（社区）</w:t>
      </w:r>
      <w:r>
        <w:rPr>
          <w:rFonts w:hint="eastAsia" w:ascii="仿宋" w:hAnsi="仿宋" w:eastAsia="仿宋" w:cs="仿宋"/>
          <w:b w:val="0"/>
          <w:bCs w:val="0"/>
          <w:kern w:val="1"/>
          <w:sz w:val="32"/>
          <w:szCs w:val="32"/>
        </w:rPr>
        <w:t>进行了大力加强宪法的学习</w:t>
      </w:r>
      <w:r>
        <w:rPr>
          <w:rFonts w:hint="eastAsia" w:ascii="仿宋" w:hAnsi="仿宋" w:eastAsia="仿宋" w:cs="仿宋"/>
          <w:b w:val="0"/>
          <w:bCs w:val="0"/>
          <w:kern w:val="1"/>
          <w:sz w:val="32"/>
          <w:szCs w:val="32"/>
          <w:lang w:eastAsia="zh-CN"/>
        </w:rPr>
        <w:t>宣传</w:t>
      </w:r>
      <w:r>
        <w:rPr>
          <w:rFonts w:hint="eastAsia" w:ascii="仿宋" w:hAnsi="仿宋" w:eastAsia="仿宋" w:cs="仿宋"/>
          <w:b w:val="0"/>
          <w:bCs w:val="0"/>
          <w:kern w:val="1"/>
          <w:sz w:val="32"/>
          <w:szCs w:val="32"/>
        </w:rPr>
        <w:t>，不断提高了</w:t>
      </w:r>
      <w:r>
        <w:rPr>
          <w:rFonts w:hint="eastAsia" w:ascii="仿宋" w:hAnsi="仿宋" w:eastAsia="仿宋" w:cs="仿宋"/>
          <w:b w:val="0"/>
          <w:bCs w:val="0"/>
          <w:kern w:val="1"/>
          <w:sz w:val="32"/>
          <w:szCs w:val="32"/>
          <w:lang w:eastAsia="zh-CN"/>
        </w:rPr>
        <w:t>辖区内群众</w:t>
      </w:r>
      <w:r>
        <w:rPr>
          <w:rFonts w:hint="eastAsia" w:ascii="仿宋" w:hAnsi="仿宋" w:eastAsia="仿宋" w:cs="仿宋"/>
          <w:b w:val="0"/>
          <w:bCs w:val="0"/>
          <w:kern w:val="1"/>
          <w:sz w:val="32"/>
          <w:szCs w:val="32"/>
        </w:rPr>
        <w:t>的法律意识、法律素质。广泛的开展适合各村（社区）及办事处职工参与的法治宣传教育活动，并印发了法律相关传单4000</w:t>
      </w:r>
      <w:r>
        <w:rPr>
          <w:rFonts w:hint="eastAsia" w:ascii="仿宋" w:hAnsi="仿宋" w:eastAsia="仿宋" w:cs="仿宋"/>
          <w:b w:val="0"/>
          <w:bCs w:val="0"/>
          <w:kern w:val="1"/>
          <w:sz w:val="32"/>
          <w:szCs w:val="32"/>
          <w:lang w:eastAsia="zh-CN"/>
        </w:rPr>
        <w:t>余</w:t>
      </w:r>
      <w:r>
        <w:rPr>
          <w:rFonts w:hint="eastAsia" w:ascii="仿宋" w:hAnsi="仿宋" w:eastAsia="仿宋" w:cs="仿宋"/>
          <w:b w:val="0"/>
          <w:bCs w:val="0"/>
          <w:kern w:val="1"/>
          <w:sz w:val="32"/>
          <w:szCs w:val="32"/>
        </w:rPr>
        <w:t>份。走访社区矫正人员共计71次；每月组织矫正人员学习法律知识和法律条例各两次；综合矫正需要，每月需监督矫正人员进行社区服务，每月两次。</w:t>
      </w:r>
    </w:p>
    <w:p>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七</w:t>
      </w:r>
      <w:r>
        <w:rPr>
          <w:rFonts w:hint="eastAsia" w:ascii="仿宋" w:hAnsi="仿宋" w:eastAsia="仿宋" w:cs="仿宋"/>
          <w:b w:val="0"/>
          <w:bCs w:val="0"/>
          <w:color w:val="000000" w:themeColor="text1"/>
          <w:sz w:val="32"/>
          <w:szCs w:val="32"/>
          <w:highlight w:val="none"/>
          <w14:textFill>
            <w14:solidFill>
              <w14:schemeClr w14:val="tx1"/>
            </w14:solidFill>
          </w14:textFill>
        </w:rPr>
        <w:t>）全力以赴抓实污染防治。</w:t>
      </w:r>
      <w:r>
        <w:rPr>
          <w:rFonts w:hint="eastAsia" w:ascii="仿宋" w:hAnsi="仿宋" w:eastAsia="仿宋" w:cs="仿宋"/>
          <w:b w:val="0"/>
          <w:bCs w:val="0"/>
          <w:color w:val="000000" w:themeColor="text1"/>
          <w:sz w:val="32"/>
          <w:szCs w:val="32"/>
          <w14:textFill>
            <w14:solidFill>
              <w14:schemeClr w14:val="tx1"/>
            </w14:solidFill>
          </w14:textFill>
        </w:rPr>
        <w:t>严格加强监控。</w:t>
      </w:r>
      <w:r>
        <w:rPr>
          <w:rFonts w:hint="eastAsia" w:ascii="仿宋" w:hAnsi="仿宋" w:eastAsia="仿宋" w:cs="仿宋"/>
          <w:b w:val="0"/>
          <w:bCs w:val="0"/>
          <w:kern w:val="2"/>
          <w:sz w:val="32"/>
          <w:szCs w:val="32"/>
          <w:lang w:val="en-US" w:eastAsia="zh-CN" w:bidi="ar"/>
        </w:rPr>
        <w:t>落实常态化举措，全力以赴打好蓝天保卫战，严格落实大气污染防治工作，对林丰铝电、博通铝业、大数据项目、废旧循环铝项目等13个施工现场，兴域建材、桦森建材等5个非煤矿山严格监督管理。今年共查找出环保问题50个，上报问题26个。</w:t>
      </w:r>
      <w:r>
        <w:rPr>
          <w:rFonts w:hint="eastAsia" w:ascii="仿宋" w:hAnsi="仿宋" w:eastAsia="仿宋" w:cs="仿宋"/>
          <w:b w:val="0"/>
          <w:bCs w:val="0"/>
          <w:color w:val="000000" w:themeColor="text1"/>
          <w:sz w:val="32"/>
          <w:szCs w:val="32"/>
          <w:lang w:val="en-US" w:eastAsia="zh-CN"/>
          <w14:textFill>
            <w14:solidFill>
              <w14:schemeClr w14:val="tx1"/>
            </w14:solidFill>
          </w14:textFill>
        </w:rPr>
        <w:t>加强问题整改。</w:t>
      </w:r>
      <w:bookmarkStart w:id="20" w:name="OLE_LINK1"/>
      <w:r>
        <w:rPr>
          <w:rFonts w:hint="eastAsia" w:ascii="仿宋" w:hAnsi="仿宋" w:eastAsia="仿宋" w:cs="仿宋"/>
          <w:b w:val="0"/>
          <w:bCs w:val="0"/>
          <w:kern w:val="2"/>
          <w:sz w:val="32"/>
          <w:szCs w:val="32"/>
          <w:lang w:val="en-US" w:eastAsia="zh-CN" w:bidi="ar"/>
        </w:rPr>
        <w:t>结合环保督察，农村人居环境综合治理，“散乱污”专项整治和秸秆禁烧等工作，下达整改通知书7份，上报环境隐患9处，</w:t>
      </w:r>
      <w:bookmarkEnd w:id="20"/>
      <w:r>
        <w:rPr>
          <w:rFonts w:hint="eastAsia" w:ascii="仿宋" w:hAnsi="仿宋" w:eastAsia="仿宋" w:cs="仿宋"/>
          <w:b w:val="0"/>
          <w:bCs w:val="0"/>
          <w:kern w:val="2"/>
          <w:sz w:val="32"/>
          <w:szCs w:val="32"/>
          <w:lang w:val="en-US" w:eastAsia="zh-CN" w:bidi="ar"/>
        </w:rPr>
        <w:t>清理背街小巷垃圾30余吨，清理疏通堵塞沟渠1000余米，清理孟家沟河道10余吨，开展农村人居环境整治15次。投资132万元改造惠家沟污水管网约900M。加强河库管理。做好“河（库）长制”工作，落实每月3次以上巡河制度；今年共开展河道巡查39次，并建立了以街道、村主要领导为“河长”的二级“河长制”，充实了“河长制”办公室。</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全力以赴推进乡村振兴。</w:t>
      </w:r>
      <w:r>
        <w:rPr>
          <w:rFonts w:hint="eastAsia" w:ascii="仿宋" w:hAnsi="仿宋" w:eastAsia="仿宋" w:cs="仿宋"/>
          <w:b w:val="0"/>
          <w:bCs w:val="0"/>
          <w:sz w:val="32"/>
          <w:szCs w:val="32"/>
          <w:lang w:val="en-US" w:eastAsia="zh-CN"/>
        </w:rPr>
        <w:t>大力推进乡村振兴项目</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投入</w:t>
      </w:r>
      <w:r>
        <w:rPr>
          <w:rFonts w:hint="eastAsia" w:ascii="仿宋" w:hAnsi="仿宋" w:eastAsia="仿宋" w:cs="仿宋"/>
          <w:b w:val="0"/>
          <w:bCs w:val="0"/>
          <w:sz w:val="32"/>
          <w:szCs w:val="32"/>
          <w:lang w:val="en-US" w:eastAsia="zh-CN"/>
        </w:rPr>
        <w:t>200余</w:t>
      </w:r>
      <w:r>
        <w:rPr>
          <w:rFonts w:hint="eastAsia" w:ascii="仿宋" w:hAnsi="仿宋" w:eastAsia="仿宋" w:cs="仿宋"/>
          <w:b w:val="0"/>
          <w:bCs w:val="0"/>
          <w:sz w:val="32"/>
          <w:szCs w:val="32"/>
          <w:lang w:eastAsia="zh-CN"/>
        </w:rPr>
        <w:t>万元，完成了仕农村5口堰塘规范化建设、神石沟道路拓宽硬化工作；完成嘉陵社区人居饮水管网改造升级，解决群众饮水问题；完成了惠家沟社区大山梁道路硬化工作</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000000" w:themeColor="text1"/>
          <w:sz w:val="32"/>
          <w:szCs w:val="32"/>
          <w:highlight w:val="none"/>
          <w14:textFill>
            <w14:solidFill>
              <w14:schemeClr w14:val="tx1"/>
            </w14:solidFill>
          </w14:textFill>
        </w:rPr>
        <w:t>加强社会保障。</w:t>
      </w:r>
      <w:r>
        <w:rPr>
          <w:rFonts w:hint="eastAsia" w:ascii="仿宋" w:hAnsi="仿宋" w:eastAsia="仿宋" w:cs="仿宋"/>
          <w:b w:val="0"/>
          <w:bCs w:val="0"/>
          <w:sz w:val="32"/>
          <w:szCs w:val="32"/>
          <w:highlight w:val="none"/>
          <w:lang w:val="en-US" w:eastAsia="zh-CN"/>
        </w:rPr>
        <w:t>全面落实十大救助政策，动态低保调整35人，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完成336户56.3万元低保金发放，</w:t>
      </w:r>
      <w:r>
        <w:rPr>
          <w:rFonts w:hint="eastAsia" w:ascii="仿宋" w:hAnsi="仿宋" w:eastAsia="仿宋" w:cs="仿宋"/>
          <w:b w:val="0"/>
          <w:bCs w:val="0"/>
          <w:sz w:val="32"/>
          <w:szCs w:val="32"/>
          <w:highlight w:val="none"/>
          <w:lang w:val="en-US" w:eastAsia="zh-CN"/>
        </w:rPr>
        <w:t>解决群众临时救助2万余元，城乡居保参保实现应保尽保</w:t>
      </w:r>
      <w:r>
        <w:rPr>
          <w:rFonts w:hint="eastAsia" w:ascii="仿宋" w:hAnsi="仿宋" w:eastAsia="仿宋" w:cs="仿宋"/>
          <w:b w:val="0"/>
          <w:bCs w:val="0"/>
          <w:sz w:val="32"/>
          <w:szCs w:val="32"/>
          <w:lang w:val="en-US" w:eastAsia="zh-CN"/>
        </w:rPr>
        <w:t>。加强以工代赈。为有劳动能力和就业意愿的困难群众提供公益性岗位84个，环卫保洁员岗位46个。加强农民工就业服务。积极与辖区企业对接，通过微信、QQ等渠道发布企业用工需求，帮助200余名农民工实现就业。加强人居环境整治。成立了人居环境整治专项工作小组，制定了相关工作方案，开展了“创国卫 迎复审”系列卫生整治工作，形成了一周一次的常态化环境整治模式。</w:t>
      </w:r>
    </w:p>
    <w:p>
      <w:pPr>
        <w:pStyle w:val="6"/>
        <w:adjustRightInd w:val="0"/>
        <w:snapToGrid w:val="0"/>
        <w:spacing w:before="93" w:line="600" w:lineRule="exact"/>
        <w:ind w:firstLine="672" w:firstLineChars="210"/>
        <w:outlineLvl w:val="2"/>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全力以赴推动城乡基层治理。</w:t>
      </w:r>
      <w:r>
        <w:rPr>
          <w:rFonts w:hint="eastAsia" w:ascii="仿宋" w:hAnsi="仿宋" w:eastAsia="仿宋" w:cs="仿宋"/>
          <w:b w:val="0"/>
          <w:bCs w:val="0"/>
          <w:sz w:val="32"/>
          <w:szCs w:val="32"/>
          <w:lang w:val="en-US" w:eastAsia="zh-CN"/>
        </w:rPr>
        <w:t>推进村（社区）两委换届。完成了3村2社区的两委换届选举工作，全面实现“一肩挑”，换届后开展了1次村（社区）“两委”成员全覆盖培训，做好了两项改革“后半篇”文章相关事宜。推动美丽宜居乡村建设。大力开展环境卫生整治，整治面积约16.3万平方米，清理垃圾107吨，整治卫生死角34处，清理广告376处，更换垃圾桶86个。结合党史学习教育“我为群众办实事”活动，完成了惠家沟社区大山梁防火通道建设、仕农村破损农村公路修复、协合村水毁道路修复等项目。努力建设建设村容整洁、规范有序、环境优美的美丽宜居乡村。</w:t>
      </w:r>
      <w:bookmarkStart w:id="21" w:name="_Toc15377200"/>
      <w:bookmarkStart w:id="22" w:name="_Toc15396601"/>
    </w:p>
    <w:p>
      <w:pPr>
        <w:pStyle w:val="6"/>
        <w:adjustRightInd w:val="0"/>
        <w:snapToGrid w:val="0"/>
        <w:spacing w:before="93" w:line="600" w:lineRule="exact"/>
        <w:ind w:firstLine="672" w:firstLineChars="210"/>
        <w:outlineLvl w:val="2"/>
        <w:rPr>
          <w:rStyle w:val="29"/>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二、机</w:t>
      </w:r>
      <w:r>
        <w:rPr>
          <w:rStyle w:val="29"/>
          <w:rFonts w:hint="eastAsia" w:ascii="仿宋" w:hAnsi="仿宋" w:eastAsia="仿宋" w:cs="仿宋"/>
          <w:b w:val="0"/>
          <w:bCs w:val="0"/>
          <w:color w:val="auto"/>
          <w:sz w:val="32"/>
          <w:szCs w:val="32"/>
          <w:highlight w:val="none"/>
        </w:rPr>
        <w:t>构设置</w:t>
      </w:r>
      <w:bookmarkEnd w:id="21"/>
      <w:bookmarkEnd w:id="22"/>
    </w:p>
    <w:p>
      <w:pPr>
        <w:pStyle w:val="34"/>
        <w:spacing w:line="490" w:lineRule="exact"/>
        <w:ind w:firstLine="640" w:firstLineChars="200"/>
        <w:rPr>
          <w:rFonts w:hint="eastAsia" w:ascii="仿宋" w:hAnsi="仿宋" w:eastAsia="仿宋" w:cs="仿宋"/>
          <w:b w:val="0"/>
          <w:bCs w:val="0"/>
          <w:sz w:val="32"/>
          <w:szCs w:val="32"/>
        </w:rPr>
      </w:pPr>
      <w:bookmarkStart w:id="23" w:name="_Toc15377204"/>
      <w:bookmarkStart w:id="24" w:name="_Toc15396602"/>
      <w:r>
        <w:rPr>
          <w:rFonts w:hint="eastAsia" w:ascii="仿宋" w:hAnsi="仿宋" w:eastAsia="仿宋" w:cs="仿宋"/>
          <w:b w:val="0"/>
          <w:bCs w:val="0"/>
          <w:sz w:val="32"/>
          <w:szCs w:val="32"/>
          <w:lang w:eastAsia="zh-CN"/>
        </w:rPr>
        <w:t>袁家坝</w:t>
      </w:r>
      <w:r>
        <w:rPr>
          <w:rFonts w:hint="eastAsia" w:ascii="仿宋" w:hAnsi="仿宋" w:eastAsia="仿宋" w:cs="仿宋"/>
          <w:b w:val="0"/>
          <w:bCs w:val="0"/>
          <w:sz w:val="32"/>
          <w:szCs w:val="32"/>
        </w:rPr>
        <w:t>街道办事处下辖</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个行政村（</w:t>
      </w:r>
      <w:r>
        <w:rPr>
          <w:rFonts w:hint="eastAsia" w:ascii="仿宋" w:hAnsi="仿宋" w:eastAsia="仿宋" w:cs="仿宋"/>
          <w:b w:val="0"/>
          <w:bCs w:val="0"/>
          <w:sz w:val="32"/>
          <w:szCs w:val="32"/>
          <w:lang w:eastAsia="zh-CN"/>
        </w:rPr>
        <w:t>上石村</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覃家梁村</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个社区（</w:t>
      </w:r>
      <w:r>
        <w:rPr>
          <w:rFonts w:hint="eastAsia" w:ascii="仿宋" w:hAnsi="仿宋" w:eastAsia="仿宋" w:cs="仿宋"/>
          <w:b w:val="0"/>
          <w:bCs w:val="0"/>
          <w:sz w:val="32"/>
          <w:szCs w:val="32"/>
          <w:lang w:eastAsia="zh-CN"/>
        </w:rPr>
        <w:t>嘉陵</w:t>
      </w:r>
      <w:r>
        <w:rPr>
          <w:rFonts w:hint="eastAsia" w:ascii="仿宋" w:hAnsi="仿宋" w:eastAsia="仿宋" w:cs="仿宋"/>
          <w:b w:val="0"/>
          <w:bCs w:val="0"/>
          <w:sz w:val="32"/>
          <w:szCs w:val="32"/>
        </w:rPr>
        <w:t>社区、</w:t>
      </w:r>
      <w:r>
        <w:rPr>
          <w:rFonts w:hint="eastAsia" w:ascii="仿宋" w:hAnsi="仿宋" w:eastAsia="仿宋" w:cs="仿宋"/>
          <w:b w:val="0"/>
          <w:bCs w:val="0"/>
          <w:sz w:val="32"/>
          <w:szCs w:val="32"/>
          <w:lang w:eastAsia="zh-CN"/>
        </w:rPr>
        <w:t>惠家沟</w:t>
      </w:r>
      <w:r>
        <w:rPr>
          <w:rFonts w:hint="eastAsia" w:ascii="仿宋" w:hAnsi="仿宋" w:eastAsia="仿宋" w:cs="仿宋"/>
          <w:b w:val="0"/>
          <w:bCs w:val="0"/>
          <w:sz w:val="32"/>
          <w:szCs w:val="32"/>
        </w:rPr>
        <w:t>社区</w:t>
      </w:r>
      <w:r>
        <w:rPr>
          <w:rFonts w:hint="eastAsia" w:ascii="仿宋" w:hAnsi="仿宋" w:eastAsia="仿宋" w:cs="仿宋"/>
          <w:b w:val="0"/>
          <w:bCs w:val="0"/>
          <w:sz w:val="32"/>
          <w:szCs w:val="32"/>
          <w:lang w:eastAsia="zh-CN"/>
        </w:rPr>
        <w:t>、石盘社区</w:t>
      </w:r>
      <w:r>
        <w:rPr>
          <w:rFonts w:hint="eastAsia" w:ascii="仿宋" w:hAnsi="仿宋" w:eastAsia="仿宋" w:cs="仿宋"/>
          <w:b w:val="0"/>
          <w:bCs w:val="0"/>
          <w:sz w:val="32"/>
          <w:szCs w:val="32"/>
        </w:rPr>
        <w:t>）。实际财政供养总人数</w:t>
      </w:r>
      <w:r>
        <w:rPr>
          <w:rFonts w:hint="eastAsia" w:ascii="仿宋" w:hAnsi="仿宋" w:eastAsia="仿宋" w:cs="仿宋"/>
          <w:b w:val="0"/>
          <w:bCs w:val="0"/>
          <w:sz w:val="32"/>
          <w:szCs w:val="32"/>
          <w:lang w:val="en-US" w:eastAsia="zh-CN"/>
        </w:rPr>
        <w:t>28</w:t>
      </w:r>
      <w:r>
        <w:rPr>
          <w:rFonts w:hint="eastAsia" w:ascii="仿宋" w:hAnsi="仿宋" w:eastAsia="仿宋" w:cs="仿宋"/>
          <w:b w:val="0"/>
          <w:bCs w:val="0"/>
          <w:sz w:val="32"/>
          <w:szCs w:val="32"/>
        </w:rPr>
        <w:t>人，其中：在职正式人员</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名，聘用人员</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名。</w:t>
      </w:r>
    </w:p>
    <w:p>
      <w:pPr>
        <w:pStyle w:val="3"/>
        <w:ind w:right="440"/>
        <w:jc w:val="both"/>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6"/>
        <w:rPr>
          <w:rFonts w:hint="eastAsia" w:ascii="黑体" w:hAnsi="黑体" w:eastAsia="黑体"/>
          <w:b w:val="0"/>
          <w:bCs/>
          <w:color w:val="auto"/>
          <w:highlight w:val="none"/>
        </w:rPr>
      </w:pPr>
    </w:p>
    <w:p>
      <w:pPr>
        <w:pStyle w:val="6"/>
        <w:rPr>
          <w:rFonts w:hint="eastAsia" w:ascii="黑体" w:hAnsi="黑体" w:eastAsia="黑体"/>
          <w:b w:val="0"/>
          <w:bCs/>
          <w:color w:val="auto"/>
          <w:highlight w:val="none"/>
        </w:rPr>
      </w:pPr>
    </w:p>
    <w:bookmarkEnd w:id="23"/>
    <w:bookmarkEnd w:id="24"/>
    <w:p>
      <w:pPr>
        <w:pStyle w:val="3"/>
        <w:ind w:right="440"/>
        <w:jc w:val="right"/>
      </w:pPr>
      <w:bookmarkStart w:id="25" w:name="_Toc15396613"/>
      <w:bookmarkStart w:id="26" w:name="_Toc15377225"/>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w:t>
      </w:r>
      <w:r>
        <w:rPr>
          <w:rStyle w:val="28"/>
          <w:rFonts w:hint="eastAsia" w:ascii="黑体" w:hAnsi="黑体" w:eastAsia="黑体"/>
          <w:b w:val="0"/>
          <w:bCs w:val="0"/>
          <w:lang w:val="en-US" w:eastAsia="zh-CN"/>
        </w:rPr>
        <w:t>21</w:t>
      </w:r>
      <w:r>
        <w:rPr>
          <w:rStyle w:val="28"/>
          <w:rFonts w:hint="eastAsia" w:ascii="黑体" w:hAnsi="黑体" w:eastAsia="黑体"/>
          <w:b w:val="0"/>
          <w:bCs w:val="0"/>
        </w:rPr>
        <w:t>年度部门决算情况说明</w:t>
      </w: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27" w:name="_Toc15396603"/>
      <w:bookmarkStart w:id="28" w:name="_Toc153772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7"/>
      <w:bookmarkEnd w:id="28"/>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21</w:t>
      </w:r>
      <w:r>
        <w:rPr>
          <w:rFonts w:hint="eastAsia" w:ascii="仿宋" w:hAnsi="仿宋" w:eastAsia="仿宋"/>
          <w:color w:val="000000"/>
          <w:sz w:val="32"/>
          <w:szCs w:val="32"/>
          <w:highlight w:val="none"/>
        </w:rPr>
        <w:t>年度收</w:t>
      </w:r>
      <w:r>
        <w:rPr>
          <w:rFonts w:hint="eastAsia" w:ascii="仿宋" w:hAnsi="仿宋" w:eastAsia="仿宋"/>
          <w:color w:val="000000"/>
          <w:sz w:val="32"/>
          <w:szCs w:val="32"/>
          <w:highlight w:val="none"/>
          <w:lang w:eastAsia="zh-CN"/>
        </w:rPr>
        <w:t>、支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1144.39</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与20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年相比，收</w:t>
      </w:r>
      <w:r>
        <w:rPr>
          <w:rFonts w:hint="eastAsia" w:ascii="仿宋" w:hAnsi="仿宋" w:eastAsia="仿宋"/>
          <w:color w:val="000000"/>
          <w:sz w:val="32"/>
          <w:szCs w:val="32"/>
          <w:highlight w:val="none"/>
          <w:lang w:eastAsia="zh-CN"/>
        </w:rPr>
        <w:t>、支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291.5</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上升</w:t>
      </w:r>
      <w:r>
        <w:rPr>
          <w:rFonts w:hint="eastAsia" w:ascii="仿宋" w:hAnsi="仿宋" w:eastAsia="仿宋"/>
          <w:color w:val="000000"/>
          <w:sz w:val="32"/>
          <w:szCs w:val="32"/>
          <w:highlight w:val="none"/>
          <w:lang w:val="en-US" w:eastAsia="zh-CN"/>
        </w:rPr>
        <w:t>34.18</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 xml:space="preserve">村社区工资调整，袁家坝铝产业园指挥部人员增加，村社换届委托第三方公司审计等支出增加。 </w:t>
      </w:r>
    </w:p>
    <w:p>
      <w:pPr>
        <w:spacing w:line="240" w:lineRule="auto"/>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057650" cy="3124200"/>
            <wp:effectExtent l="0" t="0" r="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4057650" cy="3124200"/>
                    </a:xfrm>
                    <a:prstGeom prst="rect">
                      <a:avLst/>
                    </a:prstGeom>
                  </pic:spPr>
                </pic:pic>
              </a:graphicData>
            </a:graphic>
          </wp:inline>
        </w:drawing>
      </w:r>
    </w:p>
    <w:p>
      <w:pPr>
        <w:pStyle w:val="6"/>
        <w:pageBreakBefore w:val="0"/>
        <w:kinsoku/>
        <w:wordWrap/>
        <w:overflowPunct/>
        <w:topLinePunct w:val="0"/>
        <w:bidi w:val="0"/>
        <w:spacing w:line="576" w:lineRule="exact"/>
        <w:ind w:firstLine="1280" w:firstLineChars="4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bookmarkStart w:id="29" w:name="_Toc15396604"/>
      <w:bookmarkStart w:id="30" w:name="_Toc15377206"/>
      <w:r>
        <w:rPr>
          <w:rFonts w:hint="eastAsia" w:ascii="黑体" w:hAnsi="黑体" w:eastAsia="黑体" w:cs="黑体"/>
          <w:color w:val="000000" w:themeColor="text1"/>
          <w:sz w:val="32"/>
          <w:szCs w:val="32"/>
          <w:highlight w:val="none"/>
          <w14:textFill>
            <w14:solidFill>
              <w14:schemeClr w14:val="tx1"/>
            </w14:solidFill>
          </w14:textFill>
        </w:rPr>
        <w:t>（图1：收、支决算总计变动情况图）</w:t>
      </w:r>
    </w:p>
    <w:bookmarkEnd w:id="29"/>
    <w:bookmarkEnd w:id="30"/>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Style w:val="27"/>
        <w:numPr>
          <w:ilvl w:val="0"/>
          <w:numId w:val="1"/>
        </w:numPr>
        <w:spacing w:line="600" w:lineRule="exact"/>
        <w:ind w:firstLineChars="0"/>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p>
    <w:p>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pPr>
        <w:pageBreakBefore w:val="0"/>
        <w:kinsoku/>
        <w:wordWrap/>
        <w:overflowPunct/>
        <w:topLinePunct w:val="0"/>
        <w:bidi w:val="0"/>
        <w:spacing w:line="576" w:lineRule="exact"/>
        <w:ind w:firstLine="640" w:firstLineChars="200"/>
        <w:jc w:val="both"/>
        <w:textAlignment w:val="auto"/>
        <w:outlineLvl w:val="1"/>
        <w:rPr>
          <w:rFonts w:hint="eastAsia" w:ascii="仿宋" w:hAnsi="仿宋" w:eastAsia="仿宋"/>
          <w:color w:val="auto"/>
          <w:sz w:val="32"/>
          <w:szCs w:val="32"/>
          <w:highlight w:val="yellow"/>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1117.63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1117.63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auto"/>
          <w:sz w:val="32"/>
          <w:szCs w:val="32"/>
          <w:highlight w:val="none"/>
          <w:lang w:eastAsia="zh-CN"/>
        </w:rPr>
        <w:t>。</w:t>
      </w:r>
    </w:p>
    <w:p>
      <w:pPr>
        <w:pStyle w:val="2"/>
        <w:rPr>
          <w:rFonts w:hint="eastAsia" w:eastAsia="宋体"/>
          <w:lang w:eastAsia="zh-CN"/>
        </w:rPr>
      </w:pPr>
      <w:bookmarkStart w:id="71" w:name="_GoBack"/>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281940</wp:posOffset>
            </wp:positionH>
            <wp:positionV relativeFrom="page">
              <wp:posOffset>2547620</wp:posOffset>
            </wp:positionV>
            <wp:extent cx="4926330" cy="2830830"/>
            <wp:effectExtent l="4445" t="4445" r="22225" b="222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End w:id="71"/>
    </w:p>
    <w:p>
      <w:pPr>
        <w:pStyle w:val="2"/>
        <w:rPr>
          <w:rFonts w:hint="eastAsia" w:eastAsia="宋体"/>
          <w:lang w:eastAsia="zh-CN"/>
        </w:rPr>
      </w:pPr>
    </w:p>
    <w:p>
      <w:pPr>
        <w:pStyle w:val="6"/>
        <w:pageBreakBefore w:val="0"/>
        <w:kinsoku/>
        <w:wordWrap/>
        <w:overflowPunct/>
        <w:topLinePunct w:val="0"/>
        <w:bidi w:val="0"/>
        <w:spacing w:line="576" w:lineRule="exact"/>
        <w:ind w:firstLine="2240" w:firstLineChars="7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bookmarkStart w:id="31" w:name="_Toc15396605"/>
      <w:bookmarkStart w:id="32" w:name="_Toc15377207"/>
      <w:r>
        <w:rPr>
          <w:rFonts w:hint="eastAsia" w:ascii="黑体" w:hAnsi="黑体" w:eastAsia="黑体" w:cs="黑体"/>
          <w:color w:val="000000" w:themeColor="text1"/>
          <w:sz w:val="32"/>
          <w:szCs w:val="32"/>
          <w:highlight w:val="none"/>
          <w14:textFill>
            <w14:solidFill>
              <w14:schemeClr w14:val="tx1"/>
            </w14:solidFill>
          </w14:textFill>
        </w:rPr>
        <w:t>（图2：收入决算结构图）</w:t>
      </w:r>
    </w:p>
    <w:p>
      <w:pPr>
        <w:pStyle w:val="27"/>
        <w:numPr>
          <w:ilvl w:val="0"/>
          <w:numId w:val="0"/>
        </w:numPr>
        <w:spacing w:line="600" w:lineRule="exact"/>
        <w:outlineLvl w:val="1"/>
        <w:rPr>
          <w:rFonts w:hint="eastAsia" w:ascii="黑体" w:hAnsi="黑体" w:eastAsia="黑体"/>
          <w:color w:val="000000"/>
          <w:sz w:val="32"/>
          <w:szCs w:val="32"/>
        </w:rPr>
      </w:pPr>
    </w:p>
    <w:p>
      <w:pPr>
        <w:pStyle w:val="27"/>
        <w:numPr>
          <w:ilvl w:val="0"/>
          <w:numId w:val="0"/>
        </w:num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9"/>
          <w:rFonts w:hint="eastAsia" w:ascii="黑体" w:hAnsi="黑体" w:eastAsia="黑体"/>
          <w:b w:val="0"/>
        </w:rPr>
        <w:t>出决算情况说明</w:t>
      </w:r>
      <w:bookmarkEnd w:id="31"/>
      <w:bookmarkEnd w:id="32"/>
    </w:p>
    <w:p>
      <w:pPr>
        <w:pageBreakBefore w:val="0"/>
        <w:kinsoku/>
        <w:wordWrap/>
        <w:overflowPunct/>
        <w:topLinePunct w:val="0"/>
        <w:bidi w:val="0"/>
        <w:spacing w:line="576" w:lineRule="exact"/>
        <w:ind w:firstLine="640" w:firstLineChars="200"/>
        <w:jc w:val="both"/>
        <w:textAlignment w:val="auto"/>
        <w:outlineLvl w:val="1"/>
        <w:rPr>
          <w:rFonts w:hint="eastAsia" w:ascii="仿宋" w:hAnsi="仿宋" w:eastAsia="仿宋"/>
          <w:color w:val="auto"/>
          <w:sz w:val="32"/>
          <w:szCs w:val="32"/>
          <w:highlight w:val="yellow"/>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1144.39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557.47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586.92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576" w:lineRule="exact"/>
        <w:ind w:firstLine="640" w:firstLineChars="200"/>
        <w:jc w:val="both"/>
        <w:textAlignment w:val="auto"/>
        <w:outlineLvl w:val="1"/>
        <w:rPr>
          <w:rFonts w:hint="eastAsia" w:ascii="仿宋" w:hAnsi="仿宋" w:eastAsia="仿宋"/>
          <w:color w:val="auto"/>
          <w:sz w:val="32"/>
          <w:szCs w:val="32"/>
          <w:highlight w:val="yellow"/>
        </w:rPr>
      </w:pPr>
    </w:p>
    <w:p>
      <w:pPr>
        <w:pStyle w:val="2"/>
        <w:ind w:left="1058" w:leftChars="504" w:firstLine="640" w:firstLineChars="200"/>
        <w:jc w:val="both"/>
        <w:rPr>
          <w:rFonts w:hint="eastAsia" w:ascii="黑体" w:hAnsi="黑体" w:eastAsia="黑体"/>
          <w:color w:val="000000"/>
          <w:sz w:val="32"/>
          <w:szCs w:val="32"/>
          <w:lang w:eastAsia="zh-CN"/>
        </w:rPr>
      </w:pP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433070</wp:posOffset>
            </wp:positionH>
            <wp:positionV relativeFrom="paragraph">
              <wp:posOffset>323215</wp:posOffset>
            </wp:positionV>
            <wp:extent cx="4410710" cy="2463165"/>
            <wp:effectExtent l="4445" t="4445" r="23495" b="889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olor w:val="000000"/>
          <w:sz w:val="32"/>
          <w:szCs w:val="32"/>
          <w:lang w:eastAsia="zh-CN"/>
        </w:rPr>
        <w:t>（</w:t>
      </w:r>
      <w:r>
        <w:rPr>
          <w:rFonts w:hint="eastAsia" w:ascii="黑体" w:hAnsi="黑体" w:eastAsia="黑体" w:cs="黑体"/>
          <w:color w:val="000000" w:themeColor="text1"/>
          <w:sz w:val="32"/>
          <w:szCs w:val="32"/>
          <w:highlight w:val="none"/>
          <w14:textFill>
            <w14:solidFill>
              <w14:schemeClr w14:val="tx1"/>
            </w14:solidFill>
          </w14:textFill>
        </w:rPr>
        <w:t>图3：支出决算结构图</w:t>
      </w:r>
      <w:r>
        <w:rPr>
          <w:rFonts w:hint="eastAsia" w:ascii="黑体" w:hAnsi="黑体" w:eastAsia="黑体" w:cs="黑体"/>
          <w:color w:val="000000" w:themeColor="text1"/>
          <w:sz w:val="32"/>
          <w:szCs w:val="32"/>
          <w:highlight w:val="none"/>
          <w:lang w:eastAsia="zh-CN"/>
          <w14:textFill>
            <w14:solidFill>
              <w14:schemeClr w14:val="tx1"/>
            </w14:solidFill>
          </w14:textFill>
        </w:rPr>
        <w:t>）</w:t>
      </w:r>
    </w:p>
    <w:p>
      <w:pPr>
        <w:pStyle w:val="2"/>
        <w:rPr>
          <w:rFonts w:hint="eastAsia"/>
        </w:rPr>
      </w:pPr>
    </w:p>
    <w:p>
      <w:pPr>
        <w:spacing w:line="600" w:lineRule="exact"/>
        <w:outlineLvl w:val="1"/>
        <w:rPr>
          <w:rStyle w:val="29"/>
          <w:rFonts w:ascii="黑体" w:hAnsi="黑体" w:eastAsia="黑体"/>
          <w:b w:val="0"/>
        </w:rPr>
      </w:pPr>
      <w:bookmarkStart w:id="33" w:name="_Toc15377208"/>
      <w:bookmarkStart w:id="34"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3"/>
      <w:bookmarkEnd w:id="34"/>
    </w:p>
    <w:p>
      <w:pPr>
        <w:spacing w:line="60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21</w:t>
      </w:r>
      <w:r>
        <w:rPr>
          <w:rFonts w:hint="eastAsia" w:ascii="仿宋" w:hAnsi="仿宋" w:eastAsia="仿宋"/>
          <w:color w:val="000000"/>
          <w:sz w:val="32"/>
          <w:szCs w:val="32"/>
          <w:highlight w:val="none"/>
        </w:rPr>
        <w:t>年度收</w:t>
      </w:r>
      <w:r>
        <w:rPr>
          <w:rFonts w:hint="eastAsia" w:ascii="仿宋" w:hAnsi="仿宋" w:eastAsia="仿宋"/>
          <w:color w:val="000000"/>
          <w:sz w:val="32"/>
          <w:szCs w:val="32"/>
          <w:highlight w:val="none"/>
          <w:lang w:eastAsia="zh-CN"/>
        </w:rPr>
        <w:t>、支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1144.39</w:t>
      </w:r>
      <w:r>
        <w:rPr>
          <w:rFonts w:hint="eastAsia" w:ascii="仿宋" w:hAnsi="仿宋" w:eastAsia="仿宋"/>
          <w:color w:val="000000"/>
          <w:sz w:val="32"/>
          <w:szCs w:val="32"/>
          <w:highlight w:val="none"/>
        </w:rPr>
        <w:t>万元。与</w:t>
      </w: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年相比，财政拨款</w:t>
      </w:r>
      <w:r>
        <w:rPr>
          <w:rFonts w:hint="eastAsia" w:ascii="仿宋" w:hAnsi="仿宋" w:eastAsia="仿宋"/>
          <w:color w:val="000000"/>
          <w:sz w:val="32"/>
          <w:szCs w:val="32"/>
          <w:highlight w:val="none"/>
          <w:lang w:eastAsia="zh-CN"/>
        </w:rPr>
        <w:t>收、</w:t>
      </w:r>
      <w:r>
        <w:rPr>
          <w:rFonts w:hint="eastAsia" w:ascii="仿宋" w:hAnsi="仿宋" w:eastAsia="仿宋"/>
          <w:color w:val="000000"/>
          <w:sz w:val="32"/>
          <w:szCs w:val="32"/>
          <w:highlight w:val="none"/>
        </w:rPr>
        <w:t>支总计</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291.5</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上升</w:t>
      </w:r>
      <w:r>
        <w:rPr>
          <w:rFonts w:hint="eastAsia" w:ascii="仿宋" w:hAnsi="仿宋" w:eastAsia="仿宋"/>
          <w:color w:val="000000"/>
          <w:sz w:val="32"/>
          <w:szCs w:val="32"/>
          <w:highlight w:val="none"/>
          <w:lang w:val="en-US" w:eastAsia="zh-CN"/>
        </w:rPr>
        <w:t>34.18</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p>
    <w:p>
      <w:pPr>
        <w:pStyle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057650" cy="3124200"/>
            <wp:effectExtent l="0" t="0" r="0" b="0"/>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6"/>
                    <a:stretch>
                      <a:fillRect/>
                    </a:stretch>
                  </pic:blipFill>
                  <pic:spPr>
                    <a:xfrm>
                      <a:off x="0" y="0"/>
                      <a:ext cx="4057650" cy="3124200"/>
                    </a:xfrm>
                    <a:prstGeom prst="rect">
                      <a:avLst/>
                    </a:prstGeom>
                  </pic:spPr>
                </pic:pic>
              </a:graphicData>
            </a:graphic>
          </wp:inline>
        </w:drawing>
      </w:r>
    </w:p>
    <w:p>
      <w:pPr>
        <w:spacing w:line="600" w:lineRule="exact"/>
        <w:ind w:firstLine="640" w:firstLineChars="200"/>
        <w:outlineLvl w:val="1"/>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（图4：财政拨款收、支决算总计变动情况）</w:t>
      </w:r>
    </w:p>
    <w:p/>
    <w:p>
      <w:pPr>
        <w:spacing w:line="600" w:lineRule="exact"/>
        <w:ind w:firstLine="640" w:firstLineChars="200"/>
        <w:outlineLvl w:val="1"/>
        <w:rPr>
          <w:rFonts w:hint="eastAsia" w:ascii="黑体" w:hAnsi="黑体" w:eastAsia="黑体"/>
          <w:color w:val="000000"/>
          <w:sz w:val="32"/>
          <w:szCs w:val="32"/>
        </w:rPr>
      </w:pPr>
      <w:bookmarkStart w:id="35" w:name="_Toc15377209"/>
      <w:bookmarkStart w:id="36" w:name="_Toc15396607"/>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5"/>
      <w:bookmarkEnd w:id="36"/>
    </w:p>
    <w:p>
      <w:pPr>
        <w:spacing w:line="600" w:lineRule="exact"/>
        <w:ind w:firstLine="643" w:firstLineChars="200"/>
        <w:outlineLvl w:val="2"/>
        <w:rPr>
          <w:rFonts w:ascii="仿宋" w:hAnsi="仿宋" w:eastAsia="仿宋"/>
          <w:b/>
          <w:color w:val="000000"/>
          <w:sz w:val="32"/>
          <w:szCs w:val="32"/>
        </w:rPr>
      </w:pPr>
      <w:bookmarkStart w:id="37" w:name="_Toc15377210"/>
      <w:r>
        <w:rPr>
          <w:rFonts w:hint="eastAsia" w:ascii="仿宋" w:hAnsi="仿宋" w:eastAsia="仿宋"/>
          <w:b/>
          <w:color w:val="000000"/>
          <w:sz w:val="32"/>
          <w:szCs w:val="32"/>
        </w:rPr>
        <w:t>（一）一般公共预算财政拨款支出决算总体情况</w:t>
      </w:r>
      <w:bookmarkEnd w:id="37"/>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1144.39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291.5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34.18</w:t>
      </w:r>
      <w:r>
        <w:rPr>
          <w:rFonts w:ascii="仿宋" w:hAnsi="仿宋" w:eastAsia="仿宋"/>
          <w:color w:val="000000"/>
          <w:sz w:val="32"/>
          <w:szCs w:val="32"/>
        </w:rPr>
        <w:t>%</w:t>
      </w:r>
      <w:r>
        <w:rPr>
          <w:rFonts w:hint="eastAsia" w:ascii="仿宋" w:hAnsi="仿宋" w:eastAsia="仿宋"/>
          <w:color w:val="000000"/>
          <w:sz w:val="32"/>
          <w:szCs w:val="32"/>
          <w:lang w:eastAsia="zh-CN"/>
        </w:rPr>
        <w:t>。</w:t>
      </w:r>
    </w:p>
    <w:p>
      <w:pPr>
        <w:pStyle w:val="2"/>
        <w:rPr>
          <w:rFonts w:hint="eastAsia"/>
          <w:lang w:eastAsia="zh-CN"/>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271145</wp:posOffset>
            </wp:positionH>
            <wp:positionV relativeFrom="page">
              <wp:posOffset>3990975</wp:posOffset>
            </wp:positionV>
            <wp:extent cx="5039360" cy="3411855"/>
            <wp:effectExtent l="4445" t="4445" r="23495" b="1270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hint="eastAsia"/>
          <w:lang w:eastAsia="zh-CN"/>
        </w:rPr>
      </w:pPr>
    </w:p>
    <w:p>
      <w:pPr>
        <w:spacing w:line="600" w:lineRule="exact"/>
        <w:ind w:firstLine="643" w:firstLineChars="200"/>
        <w:outlineLvl w:val="2"/>
        <w:rPr>
          <w:rFonts w:hint="eastAsia" w:ascii="仿宋" w:hAnsi="仿宋" w:eastAsia="仿宋"/>
          <w:b/>
          <w:color w:val="000000"/>
          <w:sz w:val="32"/>
          <w:szCs w:val="32"/>
        </w:rPr>
      </w:pPr>
      <w:bookmarkStart w:id="38" w:name="_Toc15377211"/>
    </w:p>
    <w:p>
      <w:pPr>
        <w:pStyle w:val="9"/>
        <w:pageBreakBefore w:val="0"/>
        <w:kinsoku/>
        <w:wordWrap/>
        <w:overflowPunct/>
        <w:topLinePunct w:val="0"/>
        <w:bidi w:val="0"/>
        <w:spacing w:line="576" w:lineRule="exact"/>
        <w:jc w:val="center"/>
        <w:textAlignment w:val="auto"/>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（图5：一般公共预算财政拨款支出决算变动情况）</w:t>
      </w: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8"/>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1144.39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496.22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43.36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color w:val="000000" w:themeColor="text1"/>
          <w:sz w:val="32"/>
          <w:szCs w:val="32"/>
          <w:lang w:val="en-US" w:eastAsia="zh-CN"/>
          <w14:textFill>
            <w14:solidFill>
              <w14:schemeClr w14:val="tx1"/>
            </w14:solidFill>
          </w14:textFill>
        </w:rPr>
        <w:t>21万元，占1.84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社会保障和就业（类）支出</w:t>
      </w:r>
      <w:r>
        <w:rPr>
          <w:rFonts w:hint="eastAsia" w:ascii="仿宋" w:hAnsi="仿宋" w:eastAsia="仿宋"/>
          <w:color w:val="000000" w:themeColor="text1"/>
          <w:sz w:val="32"/>
          <w:szCs w:val="32"/>
          <w:lang w:val="en-US" w:eastAsia="zh-CN"/>
          <w14:textFill>
            <w14:solidFill>
              <w14:schemeClr w14:val="tx1"/>
            </w14:solidFill>
          </w14:textFill>
        </w:rPr>
        <w:t>41.4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sz w:val="32"/>
          <w:szCs w:val="32"/>
        </w:rPr>
        <w:t>卫生</w:t>
      </w:r>
      <w:r>
        <w:rPr>
          <w:rFonts w:hint="eastAsia" w:ascii="仿宋_GB2312" w:hAnsi="仿宋_GB2312" w:eastAsia="仿宋_GB2312" w:cs="仿宋_GB2312"/>
          <w:b/>
          <w:bCs/>
          <w:color w:val="000000"/>
          <w:sz w:val="32"/>
          <w:szCs w:val="32"/>
          <w:lang w:eastAsia="zh-CN"/>
        </w:rPr>
        <w:t>健康</w:t>
      </w:r>
      <w:r>
        <w:rPr>
          <w:rFonts w:hint="eastAsia" w:ascii="仿宋_GB2312" w:hAnsi="仿宋_GB2312" w:eastAsia="仿宋_GB2312" w:cs="仿宋_GB2312"/>
          <w:b/>
          <w:bCs/>
          <w:color w:val="000000"/>
          <w:sz w:val="32"/>
          <w:szCs w:val="32"/>
        </w:rPr>
        <w:t>支出</w:t>
      </w:r>
      <w:r>
        <w:rPr>
          <w:rFonts w:hint="eastAsia" w:ascii="仿宋_GB2312" w:hAnsi="仿宋_GB2312" w:eastAsia="仿宋_GB2312" w:cs="仿宋_GB2312"/>
          <w:color w:val="000000"/>
          <w:sz w:val="32"/>
          <w:szCs w:val="32"/>
          <w:lang w:val="en-US" w:eastAsia="zh-CN"/>
        </w:rPr>
        <w:t>13.09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节能环保支出</w:t>
      </w:r>
      <w:r>
        <w:rPr>
          <w:rFonts w:hint="eastAsia" w:ascii="仿宋_GB2312" w:hAnsi="仿宋_GB2312" w:eastAsia="仿宋_GB2312" w:cs="仿宋_GB2312"/>
          <w:b w:val="0"/>
          <w:bCs w:val="0"/>
          <w:color w:val="000000"/>
          <w:sz w:val="32"/>
          <w:szCs w:val="32"/>
          <w:lang w:val="en-US" w:eastAsia="zh-CN"/>
        </w:rPr>
        <w:t>4万元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0.35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lang w:eastAsia="zh-CN"/>
        </w:rPr>
        <w:t>城乡社区支出</w:t>
      </w:r>
      <w:r>
        <w:rPr>
          <w:rFonts w:hint="eastAsia" w:ascii="仿宋_GB2312" w:hAnsi="仿宋_GB2312" w:eastAsia="仿宋_GB2312" w:cs="仿宋_GB2312"/>
          <w:color w:val="000000"/>
          <w:sz w:val="32"/>
          <w:szCs w:val="32"/>
          <w:lang w:val="en-US" w:eastAsia="zh-CN"/>
        </w:rPr>
        <w:t>159.54</w:t>
      </w:r>
      <w:r>
        <w:rPr>
          <w:rFonts w:hint="eastAsia" w:ascii="仿宋_GB2312" w:hAnsi="仿宋_GB2312" w:eastAsia="仿宋_GB2312" w:cs="仿宋_GB2312"/>
          <w:color w:val="000000"/>
          <w:sz w:val="32"/>
          <w:szCs w:val="32"/>
          <w:lang w:eastAsia="zh-CN"/>
        </w:rPr>
        <w:t>万元，占</w:t>
      </w:r>
      <w:r>
        <w:rPr>
          <w:rFonts w:hint="eastAsia" w:ascii="仿宋_GB2312" w:hAnsi="仿宋_GB2312" w:eastAsia="仿宋_GB2312" w:cs="仿宋_GB2312"/>
          <w:color w:val="000000"/>
          <w:sz w:val="32"/>
          <w:szCs w:val="32"/>
          <w:lang w:val="en-US" w:eastAsia="zh-CN"/>
        </w:rPr>
        <w:t>13.94%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农林水支出</w:t>
      </w:r>
      <w:r>
        <w:rPr>
          <w:rFonts w:hint="eastAsia" w:ascii="仿宋_GB2312" w:hAnsi="仿宋_GB2312" w:eastAsia="仿宋_GB2312" w:cs="仿宋_GB2312"/>
          <w:color w:val="000000"/>
          <w:sz w:val="32"/>
          <w:szCs w:val="32"/>
          <w:lang w:val="en-US" w:eastAsia="zh-CN"/>
        </w:rPr>
        <w:t>332.92万元，占29.09%；</w:t>
      </w:r>
      <w:r>
        <w:rPr>
          <w:rFonts w:hint="eastAsia" w:ascii="仿宋_GB2312" w:hAnsi="仿宋_GB2312" w:eastAsia="仿宋_GB2312" w:cs="仿宋_GB2312"/>
          <w:b/>
          <w:bCs/>
          <w:color w:val="000000"/>
          <w:sz w:val="32"/>
          <w:szCs w:val="32"/>
          <w:lang w:val="en-US" w:eastAsia="zh-CN"/>
        </w:rPr>
        <w:t>交通运输支出</w:t>
      </w:r>
      <w:r>
        <w:rPr>
          <w:rFonts w:hint="eastAsia" w:ascii="仿宋_GB2312" w:hAnsi="仿宋_GB2312" w:eastAsia="仿宋_GB2312" w:cs="仿宋_GB2312"/>
          <w:color w:val="000000"/>
          <w:sz w:val="32"/>
          <w:szCs w:val="32"/>
          <w:lang w:val="en-US" w:eastAsia="zh-CN"/>
        </w:rPr>
        <w:t>1万元，占0.08%；</w:t>
      </w:r>
      <w:r>
        <w:rPr>
          <w:rFonts w:hint="eastAsia" w:ascii="仿宋_GB2312" w:hAnsi="仿宋_GB2312" w:eastAsia="仿宋_GB2312" w:cs="仿宋_GB2312"/>
          <w:b/>
          <w:bCs/>
          <w:color w:val="000000"/>
          <w:sz w:val="32"/>
          <w:szCs w:val="32"/>
          <w:lang w:val="en-US" w:eastAsia="zh-CN"/>
        </w:rPr>
        <w:t>自然资源海洋气象等支出</w:t>
      </w:r>
      <w:r>
        <w:rPr>
          <w:rFonts w:hint="eastAsia" w:ascii="仿宋_GB2312" w:hAnsi="仿宋_GB2312" w:eastAsia="仿宋_GB2312" w:cs="仿宋_GB2312"/>
          <w:b w:val="0"/>
          <w:bCs w:val="0"/>
          <w:color w:val="000000"/>
          <w:sz w:val="32"/>
          <w:szCs w:val="32"/>
          <w:lang w:val="en-US" w:eastAsia="zh-CN"/>
        </w:rPr>
        <w:t>4万元</w:t>
      </w:r>
      <w:r>
        <w:rPr>
          <w:rFonts w:hint="eastAsia" w:ascii="仿宋_GB2312" w:hAnsi="仿宋_GB2312" w:eastAsia="仿宋_GB2312" w:cs="仿宋_GB2312"/>
          <w:color w:val="000000"/>
          <w:sz w:val="32"/>
          <w:szCs w:val="32"/>
          <w:lang w:val="en-US" w:eastAsia="zh-CN"/>
        </w:rPr>
        <w:t>，占0.35%；</w:t>
      </w:r>
      <w:r>
        <w:rPr>
          <w:rFonts w:hint="eastAsia" w:ascii="仿宋_GB2312" w:hAnsi="仿宋_GB2312" w:eastAsia="仿宋_GB2312" w:cs="仿宋_GB2312"/>
          <w:b/>
          <w:bCs/>
          <w:color w:val="000000"/>
          <w:sz w:val="32"/>
          <w:szCs w:val="32"/>
          <w:lang w:val="en-US" w:eastAsia="zh-CN"/>
        </w:rPr>
        <w:t>住房保障支出</w:t>
      </w:r>
      <w:r>
        <w:rPr>
          <w:rFonts w:hint="eastAsia" w:ascii="仿宋_GB2312" w:hAnsi="仿宋_GB2312" w:eastAsia="仿宋_GB2312" w:cs="仿宋_GB2312"/>
          <w:color w:val="000000"/>
          <w:sz w:val="32"/>
          <w:szCs w:val="32"/>
          <w:lang w:val="en-US" w:eastAsia="zh-CN"/>
        </w:rPr>
        <w:t>32.22万元，占2.82%；</w:t>
      </w:r>
      <w:r>
        <w:rPr>
          <w:rFonts w:hint="eastAsia" w:ascii="仿宋_GB2312" w:hAnsi="仿宋_GB2312" w:eastAsia="仿宋_GB2312" w:cs="仿宋_GB2312"/>
          <w:b/>
          <w:bCs/>
          <w:color w:val="000000"/>
          <w:sz w:val="32"/>
          <w:szCs w:val="32"/>
          <w:lang w:val="en-US" w:eastAsia="zh-CN"/>
        </w:rPr>
        <w:t>灾害防治及应急管理支出</w:t>
      </w:r>
      <w:r>
        <w:rPr>
          <w:rFonts w:hint="eastAsia" w:ascii="仿宋_GB2312" w:hAnsi="仿宋_GB2312" w:eastAsia="仿宋_GB2312" w:cs="仿宋_GB2312"/>
          <w:color w:val="000000"/>
          <w:sz w:val="32"/>
          <w:szCs w:val="32"/>
          <w:lang w:val="en-US" w:eastAsia="zh-CN"/>
        </w:rPr>
        <w:t>39.01万元，占3.41%</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outlineLvl w:val="2"/>
        <w:rPr>
          <w:rFonts w:hint="eastAsia" w:ascii="仿宋" w:hAnsi="仿宋" w:eastAsia="仿宋"/>
          <w:b/>
          <w:color w:val="auto"/>
          <w:sz w:val="32"/>
          <w:szCs w:val="32"/>
          <w:highlight w:val="none"/>
          <w:lang w:val="en-US" w:eastAsia="zh-CN"/>
        </w:rPr>
      </w:pPr>
      <w:bookmarkStart w:id="39" w:name="_Toc15377212"/>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-403860</wp:posOffset>
            </wp:positionH>
            <wp:positionV relativeFrom="paragraph">
              <wp:posOffset>259715</wp:posOffset>
            </wp:positionV>
            <wp:extent cx="6418580" cy="4904740"/>
            <wp:effectExtent l="4445" t="4445" r="15875" b="57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76" w:lineRule="exact"/>
        <w:jc w:val="center"/>
        <w:textAlignment w:val="auto"/>
        <w:rPr>
          <w:rFonts w:hint="default" w:ascii="仿宋" w:hAnsi="仿宋" w:eastAsia="仿宋"/>
          <w:b/>
          <w:color w:val="auto"/>
          <w:sz w:val="32"/>
          <w:szCs w:val="32"/>
          <w:highlight w:val="none"/>
          <w:lang w:val="en-US"/>
        </w:rPr>
      </w:pPr>
      <w:r>
        <w:rPr>
          <w:rFonts w:hint="eastAsia" w:ascii="仿宋" w:hAnsi="仿宋" w:eastAsia="仿宋"/>
          <w:b/>
          <w:color w:val="auto"/>
          <w:sz w:val="32"/>
          <w:szCs w:val="32"/>
          <w:highlight w:val="none"/>
          <w:lang w:val="en-US" w:eastAsia="zh-CN"/>
        </w:rPr>
        <w:t>(图六</w:t>
      </w:r>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一般公共预算财政拨款支出决算结构</w:t>
      </w:r>
      <w:r>
        <w:rPr>
          <w:rFonts w:hint="eastAsia" w:ascii="仿宋" w:hAnsi="仿宋" w:eastAsia="仿宋"/>
          <w:b/>
          <w:color w:val="auto"/>
          <w:sz w:val="32"/>
          <w:szCs w:val="32"/>
          <w:highlight w:val="none"/>
          <w:lang w:val="en-US" w:eastAsia="zh-CN"/>
        </w:rPr>
        <w:t>)</w:t>
      </w:r>
    </w:p>
    <w:p>
      <w:pPr>
        <w:spacing w:line="600" w:lineRule="exact"/>
        <w:ind w:firstLine="321" w:firstLineChars="1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9"/>
    </w:p>
    <w:p>
      <w:pPr>
        <w:spacing w:line="600" w:lineRule="exact"/>
        <w:ind w:firstLine="643" w:firstLineChars="200"/>
        <w:outlineLvl w:val="2"/>
        <w:rPr>
          <w:rFonts w:ascii="仿宋" w:hAnsi="仿宋" w:eastAsia="仿宋"/>
          <w:color w:val="FF0000"/>
          <w:sz w:val="32"/>
          <w:szCs w:val="32"/>
        </w:rPr>
      </w:pPr>
      <w:bookmarkStart w:id="40" w:name="_Toc15377444"/>
      <w:bookmarkStart w:id="41" w:name="_Toc15378460"/>
      <w:bookmarkStart w:id="42" w:name="_Toc15377213"/>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21</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highlight w:val="none"/>
          <w:lang w:val="en-US" w:eastAsia="zh-CN"/>
          <w14:textFill>
            <w14:solidFill>
              <w14:schemeClr w14:val="tx1"/>
            </w14:solidFill>
          </w14:textFill>
        </w:rPr>
        <w:t>1144.39</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w:t>
      </w:r>
      <w:r>
        <w:rPr>
          <w:rStyle w:val="18"/>
          <w:rFonts w:hint="eastAsia" w:ascii="仿宋" w:hAnsi="仿宋" w:eastAsia="仿宋"/>
          <w:bCs/>
          <w:color w:val="000000"/>
          <w:sz w:val="32"/>
          <w:szCs w:val="32"/>
          <w:lang w:val="en-US" w:eastAsia="zh-CN"/>
        </w:rPr>
        <w:t>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40"/>
      <w:bookmarkEnd w:id="41"/>
      <w:bookmarkEnd w:id="42"/>
    </w:p>
    <w:p>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政府办公厅及相关机构事务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行政运行</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215.12万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政府办公厅及相关机构事务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一般行政管理事务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27.47万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政府办公厅及相关机构事务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机关服务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10.8万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政府办公厅及相关机构事务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法制建设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05</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发展与改革事务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04</w:t>
      </w:r>
      <w:r>
        <w:rPr>
          <w:rStyle w:val="18"/>
          <w:rFonts w:hint="eastAsia" w:ascii="仿宋" w:hAnsi="仿宋" w:eastAsia="仿宋"/>
          <w:bCs/>
          <w:color w:val="000000"/>
          <w:sz w:val="32"/>
          <w:szCs w:val="32"/>
          <w:lang w:eastAsia="zh-CN"/>
        </w:rPr>
        <w:t>日常经济运行调节</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05</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92.11万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2"/>
        <w:ind w:left="0" w:leftChars="0" w:firstLine="643" w:firstLineChars="200"/>
        <w:rPr>
          <w:rFonts w:hint="eastAsia"/>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审计事务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08</w:t>
      </w:r>
      <w:r>
        <w:rPr>
          <w:rStyle w:val="18"/>
          <w:rFonts w:hint="eastAsia" w:ascii="仿宋" w:hAnsi="仿宋" w:eastAsia="仿宋"/>
          <w:bCs/>
          <w:color w:val="000000"/>
          <w:sz w:val="32"/>
          <w:szCs w:val="32"/>
          <w:lang w:eastAsia="zh-CN"/>
        </w:rPr>
        <w:t>审计业务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04</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10万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201纪检监察事务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11</w:t>
      </w:r>
      <w:r>
        <w:rPr>
          <w:rStyle w:val="18"/>
          <w:rFonts w:hint="eastAsia" w:ascii="仿宋" w:hAnsi="仿宋" w:eastAsia="仿宋"/>
          <w:bCs/>
          <w:color w:val="000000"/>
          <w:sz w:val="32"/>
          <w:szCs w:val="32"/>
          <w:lang w:eastAsia="zh-CN"/>
        </w:rPr>
        <w:t>一般行政管理事务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组织事务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32</w:t>
      </w:r>
      <w:r>
        <w:rPr>
          <w:rStyle w:val="18"/>
          <w:rFonts w:hint="eastAsia" w:ascii="仿宋" w:hAnsi="仿宋" w:eastAsia="仿宋"/>
          <w:bCs/>
          <w:color w:val="000000"/>
          <w:sz w:val="32"/>
          <w:szCs w:val="32"/>
          <w:lang w:eastAsia="zh-CN"/>
        </w:rPr>
        <w:t>一般行政管理事务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市场监督管理事务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38</w:t>
      </w:r>
      <w:r>
        <w:rPr>
          <w:rStyle w:val="18"/>
          <w:rFonts w:hint="eastAsia" w:ascii="仿宋" w:hAnsi="仿宋" w:eastAsia="仿宋"/>
          <w:bCs/>
          <w:color w:val="000000"/>
          <w:sz w:val="32"/>
          <w:szCs w:val="32"/>
          <w:lang w:eastAsia="zh-CN"/>
        </w:rPr>
        <w:t>市场监督管理专项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04</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2.99万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其他一般公共服务支出</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99</w:t>
      </w:r>
      <w:r>
        <w:rPr>
          <w:rStyle w:val="18"/>
          <w:rFonts w:hint="eastAsia" w:ascii="仿宋" w:hAnsi="仿宋" w:eastAsia="仿宋"/>
          <w:bCs/>
          <w:color w:val="000000"/>
          <w:sz w:val="32"/>
          <w:szCs w:val="32"/>
          <w:lang w:eastAsia="zh-CN"/>
        </w:rPr>
        <w:t>其他一般公共服务支出</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128.73万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2.</w:t>
      </w:r>
      <w:r>
        <w:rPr>
          <w:rStyle w:val="18"/>
          <w:rFonts w:hint="eastAsia" w:ascii="仿宋" w:hAnsi="仿宋" w:eastAsia="仿宋"/>
          <w:bCs/>
          <w:color w:val="000000"/>
          <w:sz w:val="32"/>
          <w:szCs w:val="32"/>
          <w:lang w:eastAsia="zh-CN"/>
        </w:rPr>
        <w:t>公共安全支出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204</w:t>
      </w:r>
      <w:r>
        <w:rPr>
          <w:rStyle w:val="18"/>
          <w:rFonts w:hint="eastAsia" w:ascii="仿宋" w:hAnsi="仿宋" w:eastAsia="仿宋"/>
          <w:bCs/>
          <w:color w:val="000000"/>
          <w:sz w:val="32"/>
          <w:szCs w:val="32"/>
          <w:lang w:eastAsia="zh-CN"/>
        </w:rPr>
        <w:t>国家安全</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其他国家安全支出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公共安全支出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204</w:t>
      </w:r>
      <w:r>
        <w:rPr>
          <w:rStyle w:val="18"/>
          <w:rFonts w:hint="eastAsia" w:ascii="仿宋" w:hAnsi="仿宋" w:eastAsia="仿宋"/>
          <w:bCs/>
          <w:color w:val="000000"/>
          <w:sz w:val="32"/>
          <w:szCs w:val="32"/>
          <w:lang w:eastAsia="zh-CN"/>
        </w:rPr>
        <w:t>国家安全</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w:t>
      </w:r>
      <w:r>
        <w:rPr>
          <w:rStyle w:val="18"/>
          <w:rFonts w:hint="eastAsia" w:ascii="仿宋" w:hAnsi="仿宋" w:eastAsia="仿宋"/>
          <w:bCs/>
          <w:color w:val="000000"/>
          <w:sz w:val="32"/>
          <w:szCs w:val="32"/>
          <w:lang w:eastAsia="zh-CN"/>
        </w:rPr>
        <w:t>其他国家安全支出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3.</w:t>
      </w:r>
      <w:r>
        <w:rPr>
          <w:rStyle w:val="18"/>
          <w:rFonts w:hint="eastAsia" w:ascii="仿宋" w:hAnsi="仿宋" w:eastAsia="仿宋"/>
          <w:bCs/>
          <w:color w:val="000000"/>
          <w:sz w:val="32"/>
          <w:szCs w:val="32"/>
        </w:rPr>
        <w:t>社会保障和就业（类）</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lang w:eastAsia="zh-CN"/>
        </w:rPr>
        <w:t>行政事业单位养老支出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05行政单位离退休</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8.23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社会保障和就业（类）</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lang w:eastAsia="zh-CN"/>
        </w:rPr>
        <w:t>行政事业单位养老支出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w:t>
      </w:r>
      <w:r>
        <w:rPr>
          <w:rStyle w:val="18"/>
          <w:rFonts w:hint="eastAsia" w:ascii="仿宋" w:hAnsi="仿宋" w:eastAsia="仿宋"/>
          <w:bCs/>
          <w:color w:val="000000"/>
          <w:sz w:val="32"/>
          <w:szCs w:val="32"/>
          <w:lang w:eastAsia="zh-CN"/>
        </w:rPr>
        <w:t>机关事业单位基本养老保险缴费支出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05</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25.39</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社会保障和就业（类）</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lang w:eastAsia="zh-CN"/>
        </w:rPr>
        <w:t>行政事业单位养老支出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w:t>
      </w:r>
      <w:r>
        <w:rPr>
          <w:rStyle w:val="18"/>
          <w:rFonts w:hint="eastAsia" w:ascii="仿宋" w:hAnsi="仿宋" w:eastAsia="仿宋"/>
          <w:bCs/>
          <w:color w:val="000000"/>
          <w:sz w:val="32"/>
          <w:szCs w:val="32"/>
          <w:lang w:eastAsia="zh-CN"/>
        </w:rPr>
        <w:t>机关事业单位职业年金缴费支出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06</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7.79</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4.</w:t>
      </w:r>
      <w:r>
        <w:rPr>
          <w:rStyle w:val="18"/>
          <w:rFonts w:hint="eastAsia" w:ascii="仿宋" w:hAnsi="仿宋" w:eastAsia="仿宋"/>
          <w:bCs/>
          <w:color w:val="000000"/>
          <w:sz w:val="32"/>
          <w:szCs w:val="32"/>
        </w:rPr>
        <w:t>卫生</w:t>
      </w:r>
      <w:r>
        <w:rPr>
          <w:rStyle w:val="18"/>
          <w:rFonts w:hint="eastAsia" w:ascii="仿宋" w:hAnsi="仿宋" w:eastAsia="仿宋"/>
          <w:bCs/>
          <w:color w:val="000000"/>
          <w:sz w:val="32"/>
          <w:szCs w:val="32"/>
          <w:lang w:eastAsia="zh-CN"/>
        </w:rPr>
        <w:t>健康支出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210行政事业单位医疗</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11</w:t>
      </w:r>
      <w:r>
        <w:rPr>
          <w:rStyle w:val="18"/>
          <w:rFonts w:hint="eastAsia" w:ascii="仿宋" w:hAnsi="仿宋" w:eastAsia="仿宋"/>
          <w:bCs/>
          <w:color w:val="000000"/>
          <w:sz w:val="32"/>
          <w:szCs w:val="32"/>
          <w:lang w:eastAsia="zh-CN"/>
        </w:rPr>
        <w:t>行政事业单位医疗</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13.09</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2"/>
        <w:numPr>
          <w:ilvl w:val="0"/>
          <w:numId w:val="0"/>
        </w:numPr>
        <w:ind w:leftChars="0" w:firstLine="643" w:firstLineChars="200"/>
      </w:pPr>
      <w:r>
        <w:rPr>
          <w:rStyle w:val="18"/>
          <w:rFonts w:hint="eastAsia" w:ascii="仿宋" w:hAnsi="仿宋" w:eastAsia="仿宋"/>
          <w:bCs/>
          <w:color w:val="000000"/>
          <w:sz w:val="32"/>
          <w:szCs w:val="32"/>
          <w:lang w:val="en-US" w:eastAsia="zh-CN"/>
        </w:rPr>
        <w:t>5.节能环保支出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211污染防治</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03水体</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6.</w:t>
      </w:r>
      <w:r>
        <w:rPr>
          <w:rStyle w:val="18"/>
          <w:rFonts w:hint="eastAsia" w:ascii="仿宋" w:hAnsi="仿宋" w:eastAsia="仿宋"/>
          <w:bCs/>
          <w:color w:val="000000"/>
          <w:sz w:val="32"/>
          <w:szCs w:val="32"/>
          <w:lang w:eastAsia="zh-CN"/>
        </w:rPr>
        <w:t>城乡社区支出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212城乡社区公共设施</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03其他城乡社区公共设施支出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20</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城乡社区支出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212城乡社区环境卫生</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05城乡社区环境卫生</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2"/>
        <w:ind w:left="0" w:leftChars="0" w:firstLine="643" w:firstLineChars="200"/>
        <w:rPr>
          <w:rFonts w:hint="eastAsia"/>
          <w:lang w:val="en-US" w:eastAsia="zh-CN"/>
        </w:rPr>
      </w:pPr>
      <w:r>
        <w:rPr>
          <w:rStyle w:val="18"/>
          <w:rFonts w:hint="eastAsia" w:ascii="仿宋" w:hAnsi="仿宋" w:eastAsia="仿宋"/>
          <w:bCs/>
          <w:color w:val="000000"/>
          <w:sz w:val="32"/>
          <w:szCs w:val="32"/>
          <w:lang w:eastAsia="zh-CN"/>
        </w:rPr>
        <w:t>城乡社区支出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212其他城乡社区支出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99其他城乡社区支出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136.54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7.</w:t>
      </w: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213农业农村</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01病虫害防治</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08</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213农业农村</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01对高校毕业生到基层任职补助</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52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hint="eastAsia" w:ascii="仿宋" w:hAnsi="仿宋" w:eastAsia="仿宋"/>
          <w:b/>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213林业和草原</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02防灾减灾</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34</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213水利</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03防汛</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14</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213水利</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03其他水利支出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7.73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213农村综合改革</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07对村民委员会和党支部的补助</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05</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238.39</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213农村综合改革</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07对村集体经济组织的补助</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06</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213农村综合改革</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07农村综合改革示范点补助</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07</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213其他农林水支出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99其他农林水支出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60</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2"/>
        </w:num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交通运输支出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214公路水路运输</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01公路和运输安全</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10</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2"/>
        <w:numPr>
          <w:ilvl w:val="0"/>
          <w:numId w:val="0"/>
        </w:numPr>
        <w:ind w:leftChars="0" w:firstLine="643" w:firstLineChars="200"/>
        <w:rPr>
          <w:rFonts w:hint="eastAsia"/>
        </w:rPr>
      </w:pPr>
      <w:r>
        <w:rPr>
          <w:rStyle w:val="18"/>
          <w:rFonts w:hint="eastAsia" w:ascii="仿宋" w:hAnsi="仿宋" w:eastAsia="仿宋"/>
          <w:bCs/>
          <w:color w:val="000000"/>
          <w:sz w:val="32"/>
          <w:szCs w:val="32"/>
          <w:lang w:val="en-US" w:eastAsia="zh-CN"/>
        </w:rPr>
        <w:t>9.</w:t>
      </w:r>
      <w:r>
        <w:rPr>
          <w:rStyle w:val="18"/>
          <w:rFonts w:hint="eastAsia" w:ascii="仿宋" w:hAnsi="仿宋" w:eastAsia="仿宋"/>
          <w:bCs/>
          <w:color w:val="000000"/>
          <w:sz w:val="32"/>
          <w:szCs w:val="32"/>
          <w:lang w:eastAsia="zh-CN"/>
        </w:rPr>
        <w:t>自然资源海洋气象等支出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220其他</w:t>
      </w:r>
      <w:r>
        <w:rPr>
          <w:rStyle w:val="18"/>
          <w:rFonts w:hint="eastAsia" w:ascii="仿宋" w:hAnsi="仿宋" w:eastAsia="仿宋"/>
          <w:bCs/>
          <w:color w:val="000000"/>
          <w:sz w:val="32"/>
          <w:szCs w:val="32"/>
          <w:lang w:eastAsia="zh-CN"/>
        </w:rPr>
        <w:t>自然资源海洋气象等支出</w:t>
      </w:r>
      <w:r>
        <w:rPr>
          <w:rStyle w:val="18"/>
          <w:rFonts w:hint="eastAsia" w:ascii="仿宋" w:hAnsi="仿宋" w:eastAsia="仿宋"/>
          <w:bCs/>
          <w:color w:val="000000"/>
          <w:sz w:val="32"/>
          <w:szCs w:val="32"/>
          <w:lang w:val="en-US" w:eastAsia="zh-CN"/>
        </w:rPr>
        <w:t>应急管理事务</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99其他</w:t>
      </w:r>
      <w:r>
        <w:rPr>
          <w:rStyle w:val="18"/>
          <w:rFonts w:hint="eastAsia" w:ascii="仿宋" w:hAnsi="仿宋" w:eastAsia="仿宋"/>
          <w:bCs/>
          <w:color w:val="000000"/>
          <w:sz w:val="32"/>
          <w:szCs w:val="32"/>
          <w:lang w:eastAsia="zh-CN"/>
        </w:rPr>
        <w:t>自然资源海洋气象等支出</w:t>
      </w:r>
      <w:r>
        <w:rPr>
          <w:rStyle w:val="18"/>
          <w:rFonts w:hint="eastAsia" w:ascii="仿宋" w:hAnsi="仿宋" w:eastAsia="仿宋"/>
          <w:bCs/>
          <w:color w:val="000000"/>
          <w:sz w:val="32"/>
          <w:szCs w:val="32"/>
          <w:lang w:val="en-US" w:eastAsia="zh-CN"/>
        </w:rPr>
        <w:t>应急管理事务</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10.</w:t>
      </w:r>
      <w:r>
        <w:rPr>
          <w:rStyle w:val="18"/>
          <w:rFonts w:hint="eastAsia" w:ascii="仿宋" w:hAnsi="仿宋" w:eastAsia="仿宋"/>
          <w:bCs/>
          <w:color w:val="000000"/>
          <w:sz w:val="32"/>
          <w:szCs w:val="32"/>
          <w:lang w:eastAsia="zh-CN"/>
        </w:rPr>
        <w:t>住房保障支出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221住房改革支出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02公住房公积金</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32.22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11.</w:t>
      </w: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224应急管理事务</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01安全监管</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06</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3.98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2"/>
        <w:ind w:left="0" w:leftChars="0"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224应急管理事务</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01应急救援</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08</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11.95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ind w:firstLine="643" w:firstLineChars="200"/>
        <w:rPr>
          <w:rFonts w:hint="eastAsia"/>
          <w:lang w:val="en-US" w:eastAsia="zh-CN"/>
        </w:rPr>
      </w:pP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224森林消防事务</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03森林消防应急救援</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04</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224自然灾害防治</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06其他自然灾害防治支出（项）99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4.07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224其他自然灾害防治及应急管理支出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99其他自然灾害防治及应急管理支出（项）99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13.3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tabs>
          <w:tab w:val="right" w:pos="8306"/>
        </w:tabs>
        <w:spacing w:line="600" w:lineRule="exact"/>
        <w:ind w:firstLine="640" w:firstLineChars="200"/>
        <w:outlineLvl w:val="1"/>
        <w:rPr>
          <w:rStyle w:val="29"/>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3"/>
      <w:bookmarkEnd w:id="44"/>
      <w:r>
        <w:rPr>
          <w:rStyle w:val="29"/>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557.47</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437.48</w:t>
      </w:r>
      <w:r>
        <w:rPr>
          <w:rFonts w:hint="eastAsia" w:ascii="仿宋" w:hAnsi="仿宋" w:eastAsia="仿宋"/>
          <w:color w:val="000000"/>
          <w:sz w:val="32"/>
          <w:szCs w:val="32"/>
        </w:rPr>
        <w:t>万元，主要包括：</w:t>
      </w:r>
      <w:r>
        <w:rPr>
          <w:rFonts w:hint="eastAsia" w:ascii="仿宋" w:hAnsi="仿宋" w:eastAsia="仿宋"/>
          <w:color w:val="000000"/>
          <w:sz w:val="32"/>
          <w:szCs w:val="32"/>
          <w:highlight w:val="none"/>
        </w:rPr>
        <w:t>基本工资</w:t>
      </w:r>
      <w:r>
        <w:rPr>
          <w:rFonts w:hint="eastAsia" w:ascii="仿宋" w:hAnsi="仿宋" w:eastAsia="仿宋"/>
          <w:color w:val="000000"/>
          <w:sz w:val="32"/>
          <w:szCs w:val="32"/>
          <w:highlight w:val="none"/>
          <w:lang w:val="en-US" w:eastAsia="zh-CN"/>
        </w:rPr>
        <w:t>50.85万元</w:t>
      </w:r>
      <w:r>
        <w:rPr>
          <w:rFonts w:hint="eastAsia" w:ascii="仿宋" w:hAnsi="仿宋" w:eastAsia="仿宋"/>
          <w:color w:val="000000"/>
          <w:sz w:val="32"/>
          <w:szCs w:val="32"/>
          <w:highlight w:val="none"/>
        </w:rPr>
        <w:t>、津贴补贴</w:t>
      </w:r>
      <w:r>
        <w:rPr>
          <w:rFonts w:hint="eastAsia" w:ascii="仿宋" w:hAnsi="仿宋" w:eastAsia="仿宋"/>
          <w:color w:val="000000"/>
          <w:sz w:val="32"/>
          <w:szCs w:val="32"/>
          <w:highlight w:val="none"/>
          <w:lang w:val="en-US" w:eastAsia="zh-CN"/>
        </w:rPr>
        <w:t>42.7万元</w:t>
      </w:r>
      <w:r>
        <w:rPr>
          <w:rFonts w:hint="eastAsia" w:ascii="仿宋" w:hAnsi="仿宋" w:eastAsia="仿宋"/>
          <w:color w:val="000000"/>
          <w:sz w:val="32"/>
          <w:szCs w:val="32"/>
          <w:highlight w:val="none"/>
        </w:rPr>
        <w:t>、奖金</w:t>
      </w:r>
      <w:r>
        <w:rPr>
          <w:rFonts w:hint="eastAsia" w:ascii="仿宋" w:hAnsi="仿宋" w:eastAsia="仿宋"/>
          <w:color w:val="000000"/>
          <w:sz w:val="32"/>
          <w:szCs w:val="32"/>
          <w:highlight w:val="none"/>
          <w:lang w:val="en-US" w:eastAsia="zh-CN"/>
        </w:rPr>
        <w:t>78.45万元</w:t>
      </w:r>
      <w:r>
        <w:rPr>
          <w:rFonts w:hint="eastAsia" w:ascii="仿宋" w:hAnsi="仿宋" w:eastAsia="仿宋"/>
          <w:color w:val="000000"/>
          <w:sz w:val="32"/>
          <w:szCs w:val="32"/>
          <w:highlight w:val="none"/>
        </w:rPr>
        <w:t>、机关事业单位基本养老保险缴费</w:t>
      </w:r>
      <w:r>
        <w:rPr>
          <w:rFonts w:hint="eastAsia" w:ascii="仿宋" w:hAnsi="仿宋" w:eastAsia="仿宋"/>
          <w:color w:val="000000"/>
          <w:sz w:val="32"/>
          <w:szCs w:val="32"/>
          <w:highlight w:val="none"/>
          <w:lang w:val="en-US" w:eastAsia="zh-CN"/>
        </w:rPr>
        <w:t>25.39万元</w:t>
      </w:r>
      <w:r>
        <w:rPr>
          <w:rFonts w:hint="eastAsia" w:ascii="仿宋" w:hAnsi="仿宋" w:eastAsia="仿宋"/>
          <w:color w:val="000000"/>
          <w:sz w:val="32"/>
          <w:szCs w:val="32"/>
          <w:highlight w:val="none"/>
        </w:rPr>
        <w:t>、职业年金缴费</w:t>
      </w:r>
      <w:r>
        <w:rPr>
          <w:rFonts w:hint="eastAsia" w:ascii="仿宋" w:hAnsi="仿宋" w:eastAsia="仿宋"/>
          <w:color w:val="000000"/>
          <w:sz w:val="32"/>
          <w:szCs w:val="32"/>
          <w:highlight w:val="none"/>
          <w:lang w:val="en-US" w:eastAsia="zh-CN"/>
        </w:rPr>
        <w:t>7.79万元</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职工基本医疗保险缴费</w:t>
      </w:r>
      <w:r>
        <w:rPr>
          <w:rFonts w:hint="eastAsia" w:ascii="仿宋" w:hAnsi="仿宋" w:eastAsia="仿宋"/>
          <w:color w:val="000000"/>
          <w:sz w:val="32"/>
          <w:szCs w:val="32"/>
          <w:highlight w:val="none"/>
          <w:lang w:val="en-US" w:eastAsia="zh-CN"/>
        </w:rPr>
        <w:t>13.09万元、</w:t>
      </w:r>
      <w:r>
        <w:rPr>
          <w:rFonts w:hint="eastAsia" w:ascii="仿宋" w:hAnsi="仿宋" w:eastAsia="仿宋"/>
          <w:color w:val="000000"/>
          <w:sz w:val="32"/>
          <w:szCs w:val="32"/>
          <w:highlight w:val="none"/>
        </w:rPr>
        <w:t>其他社会保障缴费</w:t>
      </w:r>
      <w:r>
        <w:rPr>
          <w:rFonts w:hint="eastAsia" w:ascii="仿宋" w:hAnsi="仿宋" w:eastAsia="仿宋"/>
          <w:color w:val="000000"/>
          <w:sz w:val="32"/>
          <w:szCs w:val="32"/>
          <w:highlight w:val="none"/>
          <w:lang w:val="en-US" w:eastAsia="zh-CN"/>
        </w:rPr>
        <w:t>1.16万元</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住房公积金</w:t>
      </w:r>
      <w:r>
        <w:rPr>
          <w:rFonts w:hint="eastAsia" w:ascii="仿宋" w:hAnsi="仿宋" w:eastAsia="仿宋"/>
          <w:color w:val="000000"/>
          <w:sz w:val="32"/>
          <w:szCs w:val="32"/>
          <w:highlight w:val="none"/>
          <w:lang w:val="en-US" w:eastAsia="zh-CN"/>
        </w:rPr>
        <w:t>32.22万元、生活补助185.84万元。</w:t>
      </w:r>
      <w:r>
        <w:rPr>
          <w:rFonts w:hint="eastAsia" w:ascii="仿宋" w:hAnsi="仿宋" w:eastAsia="仿宋"/>
          <w:color w:val="000000"/>
          <w:sz w:val="32"/>
          <w:szCs w:val="32"/>
          <w:highlight w:val="none"/>
        </w:rPr>
        <w:t>　</w:t>
      </w:r>
      <w:r>
        <w:rPr>
          <w:rFonts w:hint="eastAsia" w:ascii="仿宋" w:hAnsi="仿宋" w:eastAsia="仿宋"/>
          <w:color w:val="000000"/>
          <w:sz w:val="32"/>
          <w:szCs w:val="32"/>
          <w:highlight w:val="none"/>
          <w:lang w:val="en-US" w:eastAsia="zh-CN"/>
        </w:rPr>
        <w:t xml:space="preserve"> </w:t>
      </w:r>
    </w:p>
    <w:p>
      <w:pPr>
        <w:spacing w:line="600" w:lineRule="exact"/>
        <w:ind w:firstLine="645"/>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rPr>
        <w:t>日常公用经费</w:t>
      </w:r>
      <w:r>
        <w:rPr>
          <w:rFonts w:hint="eastAsia" w:ascii="仿宋" w:hAnsi="仿宋" w:eastAsia="仿宋"/>
          <w:color w:val="000000"/>
          <w:sz w:val="32"/>
          <w:szCs w:val="32"/>
          <w:highlight w:val="none"/>
          <w:lang w:val="en-US" w:eastAsia="zh-CN"/>
        </w:rPr>
        <w:t>119.99</w:t>
      </w:r>
      <w:r>
        <w:rPr>
          <w:rFonts w:hint="eastAsia" w:ascii="仿宋" w:hAnsi="仿宋" w:eastAsia="仿宋"/>
          <w:color w:val="000000"/>
          <w:sz w:val="32"/>
          <w:szCs w:val="32"/>
          <w:highlight w:val="none"/>
        </w:rPr>
        <w:t>万元，主要包括：办公费</w:t>
      </w:r>
      <w:r>
        <w:rPr>
          <w:rFonts w:hint="eastAsia" w:ascii="仿宋" w:hAnsi="仿宋" w:eastAsia="仿宋"/>
          <w:color w:val="000000"/>
          <w:sz w:val="32"/>
          <w:szCs w:val="32"/>
          <w:highlight w:val="none"/>
          <w:lang w:val="en-US" w:eastAsia="zh-CN"/>
        </w:rPr>
        <w:t>5.61万元</w:t>
      </w:r>
      <w:r>
        <w:rPr>
          <w:rFonts w:hint="eastAsia" w:ascii="仿宋" w:hAnsi="仿宋" w:eastAsia="仿宋"/>
          <w:color w:val="000000"/>
          <w:sz w:val="32"/>
          <w:szCs w:val="32"/>
          <w:highlight w:val="none"/>
        </w:rPr>
        <w:t>、印刷费</w:t>
      </w:r>
      <w:r>
        <w:rPr>
          <w:rFonts w:hint="eastAsia" w:ascii="仿宋" w:hAnsi="仿宋" w:eastAsia="仿宋"/>
          <w:color w:val="000000"/>
          <w:sz w:val="32"/>
          <w:szCs w:val="32"/>
          <w:highlight w:val="none"/>
          <w:lang w:val="en-US" w:eastAsia="zh-CN"/>
        </w:rPr>
        <w:t>0.37万元</w:t>
      </w:r>
      <w:r>
        <w:rPr>
          <w:rFonts w:hint="eastAsia" w:ascii="仿宋" w:hAnsi="仿宋" w:eastAsia="仿宋"/>
          <w:color w:val="000000"/>
          <w:sz w:val="32"/>
          <w:szCs w:val="32"/>
          <w:highlight w:val="none"/>
        </w:rPr>
        <w:t>、水费</w:t>
      </w:r>
      <w:r>
        <w:rPr>
          <w:rFonts w:hint="eastAsia" w:ascii="仿宋" w:hAnsi="仿宋" w:eastAsia="仿宋"/>
          <w:color w:val="000000"/>
          <w:sz w:val="32"/>
          <w:szCs w:val="32"/>
          <w:highlight w:val="none"/>
          <w:lang w:val="en-US" w:eastAsia="zh-CN"/>
        </w:rPr>
        <w:t>0.97万元</w:t>
      </w:r>
      <w:r>
        <w:rPr>
          <w:rFonts w:hint="eastAsia" w:ascii="仿宋" w:hAnsi="仿宋" w:eastAsia="仿宋"/>
          <w:color w:val="000000"/>
          <w:sz w:val="32"/>
          <w:szCs w:val="32"/>
          <w:highlight w:val="none"/>
        </w:rPr>
        <w:t>、电费</w:t>
      </w:r>
      <w:r>
        <w:rPr>
          <w:rFonts w:hint="eastAsia" w:ascii="仿宋" w:hAnsi="仿宋" w:eastAsia="仿宋"/>
          <w:color w:val="000000"/>
          <w:sz w:val="32"/>
          <w:szCs w:val="32"/>
          <w:highlight w:val="none"/>
          <w:lang w:val="en-US" w:eastAsia="zh-CN"/>
        </w:rPr>
        <w:t>6.13万元</w:t>
      </w:r>
      <w:r>
        <w:rPr>
          <w:rFonts w:hint="eastAsia" w:ascii="仿宋" w:hAnsi="仿宋" w:eastAsia="仿宋"/>
          <w:color w:val="000000"/>
          <w:sz w:val="32"/>
          <w:szCs w:val="32"/>
          <w:highlight w:val="none"/>
        </w:rPr>
        <w:t>、邮电费</w:t>
      </w:r>
      <w:r>
        <w:rPr>
          <w:rFonts w:hint="eastAsia" w:ascii="仿宋" w:hAnsi="仿宋" w:eastAsia="仿宋"/>
          <w:color w:val="000000"/>
          <w:sz w:val="32"/>
          <w:szCs w:val="32"/>
          <w:highlight w:val="none"/>
          <w:lang w:val="en-US" w:eastAsia="zh-CN"/>
        </w:rPr>
        <w:t>4.88万元</w:t>
      </w:r>
      <w:r>
        <w:rPr>
          <w:rFonts w:hint="eastAsia" w:ascii="仿宋" w:hAnsi="仿宋" w:eastAsia="仿宋"/>
          <w:color w:val="000000"/>
          <w:sz w:val="32"/>
          <w:szCs w:val="32"/>
          <w:highlight w:val="none"/>
        </w:rPr>
        <w:t>、差旅费</w:t>
      </w:r>
      <w:r>
        <w:rPr>
          <w:rFonts w:hint="eastAsia" w:ascii="仿宋" w:hAnsi="仿宋" w:eastAsia="仿宋"/>
          <w:color w:val="000000"/>
          <w:sz w:val="32"/>
          <w:szCs w:val="32"/>
          <w:highlight w:val="none"/>
          <w:lang w:val="en-US" w:eastAsia="zh-CN"/>
        </w:rPr>
        <w:t>9.9万元</w:t>
      </w:r>
      <w:r>
        <w:rPr>
          <w:rFonts w:hint="eastAsia" w:ascii="仿宋" w:hAnsi="仿宋" w:eastAsia="仿宋"/>
          <w:color w:val="000000"/>
          <w:sz w:val="32"/>
          <w:szCs w:val="32"/>
          <w:highlight w:val="none"/>
        </w:rPr>
        <w:t>、维修（护）费</w:t>
      </w:r>
      <w:r>
        <w:rPr>
          <w:rFonts w:hint="eastAsia" w:ascii="仿宋" w:hAnsi="仿宋" w:eastAsia="仿宋"/>
          <w:color w:val="000000"/>
          <w:sz w:val="32"/>
          <w:szCs w:val="32"/>
          <w:highlight w:val="none"/>
          <w:lang w:val="en-US" w:eastAsia="zh-CN"/>
        </w:rPr>
        <w:t>8.78万元</w:t>
      </w:r>
      <w:r>
        <w:rPr>
          <w:rFonts w:hint="eastAsia" w:ascii="仿宋" w:hAnsi="仿宋" w:eastAsia="仿宋"/>
          <w:color w:val="000000"/>
          <w:sz w:val="32"/>
          <w:szCs w:val="32"/>
          <w:highlight w:val="none"/>
        </w:rPr>
        <w:t>、会议费</w:t>
      </w:r>
      <w:r>
        <w:rPr>
          <w:rFonts w:hint="eastAsia" w:ascii="仿宋" w:hAnsi="仿宋" w:eastAsia="仿宋"/>
          <w:color w:val="000000"/>
          <w:sz w:val="32"/>
          <w:szCs w:val="32"/>
          <w:highlight w:val="none"/>
          <w:lang w:val="en-US" w:eastAsia="zh-CN"/>
        </w:rPr>
        <w:t>0.04万元</w:t>
      </w:r>
      <w:r>
        <w:rPr>
          <w:rFonts w:hint="eastAsia" w:ascii="仿宋" w:hAnsi="仿宋" w:eastAsia="仿宋"/>
          <w:color w:val="000000"/>
          <w:sz w:val="32"/>
          <w:szCs w:val="32"/>
          <w:highlight w:val="none"/>
        </w:rPr>
        <w:t>、培训费、劳务费</w:t>
      </w:r>
      <w:r>
        <w:rPr>
          <w:rFonts w:hint="eastAsia" w:ascii="仿宋" w:hAnsi="仿宋" w:eastAsia="仿宋"/>
          <w:color w:val="000000"/>
          <w:sz w:val="32"/>
          <w:szCs w:val="32"/>
          <w:highlight w:val="none"/>
          <w:lang w:val="en-US" w:eastAsia="zh-CN"/>
        </w:rPr>
        <w:t>59.41万元</w:t>
      </w:r>
      <w:r>
        <w:rPr>
          <w:rFonts w:hint="eastAsia" w:ascii="仿宋" w:hAnsi="仿宋" w:eastAsia="仿宋"/>
          <w:color w:val="000000"/>
          <w:sz w:val="32"/>
          <w:szCs w:val="32"/>
          <w:highlight w:val="none"/>
        </w:rPr>
        <w:t>、工会经费</w:t>
      </w:r>
      <w:r>
        <w:rPr>
          <w:rFonts w:hint="eastAsia" w:ascii="仿宋" w:hAnsi="仿宋" w:eastAsia="仿宋"/>
          <w:color w:val="000000"/>
          <w:sz w:val="32"/>
          <w:szCs w:val="32"/>
          <w:highlight w:val="none"/>
          <w:lang w:val="en-US" w:eastAsia="zh-CN"/>
        </w:rPr>
        <w:t>1.91万元</w:t>
      </w:r>
      <w:r>
        <w:rPr>
          <w:rFonts w:hint="eastAsia" w:ascii="仿宋" w:hAnsi="仿宋" w:eastAsia="仿宋"/>
          <w:color w:val="000000"/>
          <w:sz w:val="32"/>
          <w:szCs w:val="32"/>
          <w:highlight w:val="none"/>
        </w:rPr>
        <w:t>、福利费</w:t>
      </w:r>
      <w:r>
        <w:rPr>
          <w:rFonts w:hint="eastAsia" w:ascii="仿宋" w:hAnsi="仿宋" w:eastAsia="仿宋"/>
          <w:color w:val="000000"/>
          <w:sz w:val="32"/>
          <w:szCs w:val="32"/>
          <w:highlight w:val="none"/>
          <w:lang w:val="en-US" w:eastAsia="zh-CN"/>
        </w:rPr>
        <w:t>14.42万元</w:t>
      </w:r>
      <w:r>
        <w:rPr>
          <w:rFonts w:hint="eastAsia" w:ascii="仿宋" w:hAnsi="仿宋" w:eastAsia="仿宋"/>
          <w:color w:val="000000"/>
          <w:sz w:val="32"/>
          <w:szCs w:val="32"/>
          <w:highlight w:val="none"/>
        </w:rPr>
        <w:t>、其他交通费</w:t>
      </w:r>
      <w:r>
        <w:rPr>
          <w:rFonts w:hint="eastAsia" w:ascii="仿宋" w:hAnsi="仿宋" w:eastAsia="仿宋"/>
          <w:color w:val="000000"/>
          <w:sz w:val="32"/>
          <w:szCs w:val="32"/>
          <w:highlight w:val="none"/>
          <w:lang w:val="en-US" w:eastAsia="zh-CN"/>
        </w:rPr>
        <w:t>7.58万元。</w:t>
      </w:r>
    </w:p>
    <w:p>
      <w:pPr>
        <w:spacing w:line="600" w:lineRule="exact"/>
        <w:ind w:firstLine="640"/>
        <w:outlineLvl w:val="1"/>
        <w:rPr>
          <w:rStyle w:val="29"/>
          <w:rFonts w:ascii="黑体" w:hAnsi="黑体" w:eastAsia="黑体"/>
          <w:b w:val="0"/>
          <w:color w:val="auto"/>
          <w:highlight w:val="none"/>
        </w:rPr>
      </w:pPr>
      <w:bookmarkStart w:id="45" w:name="_Toc15396609"/>
      <w:bookmarkStart w:id="46" w:name="_Toc15377215"/>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2.58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86</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接待减少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Style w:val="18"/>
          <w:rFonts w:hint="eastAsia" w:ascii="仿宋" w:hAnsi="仿宋" w:eastAsia="仿宋"/>
          <w:b w:val="0"/>
          <w:bCs/>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年初未安排预算</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Style w:val="18"/>
          <w:rFonts w:hint="eastAsia" w:ascii="仿宋" w:hAnsi="仿宋" w:eastAsia="仿宋"/>
          <w:b w:val="0"/>
          <w:bCs/>
          <w:color w:val="auto"/>
          <w:sz w:val="32"/>
          <w:szCs w:val="32"/>
          <w:highlight w:val="none"/>
          <w:lang w:val="en-US" w:eastAsia="zh-CN"/>
        </w:rPr>
        <w:t>因公出国</w:t>
      </w:r>
      <w:r>
        <w:rPr>
          <w:rStyle w:val="18"/>
          <w:rFonts w:hint="eastAsia" w:ascii="仿宋" w:hAnsi="仿宋" w:eastAsia="仿宋"/>
          <w:b w:val="0"/>
          <w:bCs/>
          <w:color w:val="auto"/>
          <w:sz w:val="32"/>
          <w:szCs w:val="32"/>
          <w:highlight w:val="none"/>
          <w:lang w:eastAsia="zh-CN"/>
        </w:rPr>
        <w:t>（境）</w:t>
      </w:r>
      <w:r>
        <w:rPr>
          <w:rStyle w:val="18"/>
          <w:rFonts w:hint="eastAsia" w:ascii="仿宋" w:hAnsi="仿宋" w:eastAsia="仿宋"/>
          <w:b w:val="0"/>
          <w:bCs/>
          <w:color w:val="auto"/>
          <w:sz w:val="32"/>
          <w:szCs w:val="32"/>
          <w:highlight w:val="none"/>
          <w:lang w:val="en-US" w:eastAsia="zh-CN"/>
        </w:rPr>
        <w:t>支出决算较2020年无变化。</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年初未安排预算</w:t>
      </w:r>
      <w:r>
        <w:rPr>
          <w:rStyle w:val="18"/>
          <w:rFonts w:hint="eastAsia" w:ascii="仿宋" w:hAnsi="仿宋" w:eastAsia="仿宋"/>
          <w:b w:val="0"/>
          <w:bCs/>
          <w:color w:val="auto"/>
          <w:sz w:val="32"/>
          <w:szCs w:val="32"/>
          <w:highlight w:val="none"/>
          <w:lang w:val="en-US" w:eastAsia="zh-CN"/>
        </w:rPr>
        <w:t>。公务用车购置及运行维护费支出决算较2020年无变化。</w:t>
      </w:r>
      <w:r>
        <w:rPr>
          <w:rFonts w:hint="eastAsia" w:ascii="仿宋" w:hAnsi="仿宋" w:eastAsia="仿宋"/>
          <w:color w:val="000000"/>
          <w:sz w:val="32"/>
          <w:szCs w:val="32"/>
          <w:lang w:val="en-US" w:eastAsia="zh-CN"/>
        </w:rPr>
        <w:t>本年无公务用车购置，截至2020年12月，单位共有公务用车0辆。</w:t>
      </w:r>
    </w:p>
    <w:p>
      <w:pPr>
        <w:spacing w:line="600" w:lineRule="exact"/>
        <w:ind w:firstLine="643" w:firstLineChars="200"/>
        <w:rPr>
          <w:rFonts w:hint="eastAsia" w:ascii="仿宋" w:hAnsi="仿宋" w:eastAsia="仿宋"/>
          <w:color w:val="000000"/>
          <w:sz w:val="32"/>
          <w:szCs w:val="32"/>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2.58</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86</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2.39</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办事处成立铝产业园指挥部后招商接待纳入办事处核算。</w:t>
      </w:r>
    </w:p>
    <w:p>
      <w:pPr>
        <w:spacing w:line="600" w:lineRule="exact"/>
        <w:ind w:firstLine="643" w:firstLineChars="200"/>
        <w:rPr>
          <w:rFonts w:hint="eastAsia" w:ascii="仿宋" w:hAnsi="仿宋" w:eastAsia="仿宋"/>
          <w:color w:val="000000"/>
          <w:sz w:val="32"/>
          <w:szCs w:val="32"/>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2.58</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w:t>
      </w:r>
      <w:r>
        <w:rPr>
          <w:rFonts w:hint="eastAsia" w:ascii="仿宋" w:hAnsi="仿宋" w:eastAsia="仿宋"/>
          <w:color w:val="000000"/>
          <w:sz w:val="32"/>
          <w:szCs w:val="32"/>
          <w:lang w:eastAsia="zh-CN"/>
        </w:rPr>
        <w:t>铝产业园指挥部招商引资接待，</w:t>
      </w:r>
      <w:r>
        <w:rPr>
          <w:rFonts w:hint="eastAsia" w:ascii="仿宋" w:hAnsi="仿宋" w:eastAsia="仿宋"/>
          <w:color w:val="000000"/>
          <w:sz w:val="32"/>
          <w:szCs w:val="32"/>
        </w:rPr>
        <w:t>国内公务接待</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76</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2.58</w:t>
      </w:r>
      <w:r>
        <w:rPr>
          <w:rFonts w:hint="eastAsia" w:ascii="仿宋" w:hAnsi="仿宋" w:eastAsia="仿宋"/>
          <w:color w:val="000000"/>
          <w:sz w:val="32"/>
          <w:szCs w:val="32"/>
        </w:rPr>
        <w:t>万元。外事接待支出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万元，外事接待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r>
        <w:rPr>
          <w:rFonts w:hint="eastAsia" w:ascii="仿宋" w:hAnsi="仿宋" w:eastAsia="仿宋"/>
          <w:color w:val="000000"/>
          <w:sz w:val="32"/>
          <w:szCs w:val="32"/>
          <w:lang w:eastAsia="zh-CN"/>
        </w:rPr>
        <w:t>。</w:t>
      </w:r>
    </w:p>
    <w:p>
      <w:pPr>
        <w:spacing w:line="600" w:lineRule="exact"/>
        <w:ind w:firstLine="643" w:firstLineChars="200"/>
        <w:outlineLvl w:val="1"/>
        <w:rPr>
          <w:rFonts w:hint="eastAsia" w:ascii="黑体"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w:t>
      </w:r>
    </w:p>
    <w:bookmarkEnd w:id="45"/>
    <w:bookmarkEnd w:id="46"/>
    <w:p>
      <w:pPr>
        <w:spacing w:line="600" w:lineRule="exact"/>
        <w:ind w:firstLine="640" w:firstLineChars="200"/>
        <w:outlineLvl w:val="1"/>
        <w:rPr>
          <w:rStyle w:val="29"/>
          <w:rFonts w:ascii="黑体" w:hAnsi="黑体" w:eastAsia="黑体"/>
        </w:rPr>
      </w:pPr>
      <w:bookmarkStart w:id="47" w:name="_Toc15377218"/>
      <w:bookmarkStart w:id="48" w:name="_Toc15396610"/>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7"/>
      <w:bookmarkEnd w:id="48"/>
    </w:p>
    <w:p>
      <w:pPr>
        <w:spacing w:line="600" w:lineRule="exact"/>
        <w:ind w:firstLine="640"/>
        <w:rPr>
          <w:rFonts w:hint="default" w:ascii="仿宋_GB2312" w:eastAsia="仿宋_GB2312"/>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9"/>
          <w:rFonts w:ascii="黑体" w:hAnsi="黑体" w:eastAsia="黑体"/>
          <w:b w:val="0"/>
        </w:rPr>
      </w:pPr>
      <w:bookmarkStart w:id="49" w:name="_Toc15377219"/>
      <w:bookmarkStart w:id="50" w:name="_Toc15396611"/>
      <w:r>
        <w:rPr>
          <w:rStyle w:val="29"/>
          <w:rFonts w:hint="eastAsia" w:ascii="黑体" w:hAnsi="黑体" w:eastAsia="黑体"/>
          <w:b w:val="0"/>
        </w:rPr>
        <w:t>国有资本经营预算支出决算情况说明</w:t>
      </w:r>
      <w:bookmarkEnd w:id="49"/>
      <w:bookmarkEnd w:id="50"/>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9"/>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1"/>
      <w:bookmarkEnd w:id="52"/>
    </w:p>
    <w:p>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bookmarkStart w:id="54" w:name="_Toc15377223"/>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办事处</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255.39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8.34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3.38</w:t>
      </w:r>
      <w:r>
        <w:rPr>
          <w:rFonts w:ascii="仿宋_GB2312" w:eastAsia="仿宋_GB2312"/>
          <w:color w:val="000000"/>
          <w:sz w:val="32"/>
          <w:szCs w:val="32"/>
        </w:rPr>
        <w:t>%</w:t>
      </w:r>
      <w:r>
        <w:rPr>
          <w:rFonts w:hint="eastAsia" w:ascii="仿宋_GB2312" w:eastAsia="仿宋_GB2312"/>
          <w:color w:val="000000"/>
          <w:sz w:val="32"/>
          <w:szCs w:val="32"/>
          <w:lang w:val="en-US" w:eastAsia="zh-CN"/>
        </w:rPr>
        <w:t>,主要原因是支出增加</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4"/>
    </w:p>
    <w:p>
      <w:pPr>
        <w:spacing w:line="600" w:lineRule="exact"/>
        <w:ind w:firstLine="640" w:firstLineChars="200"/>
        <w:rPr>
          <w:rFonts w:ascii="仿宋_GB2312" w:eastAsia="仿宋_GB2312"/>
          <w:color w:val="auto"/>
          <w:sz w:val="32"/>
          <w:szCs w:val="32"/>
          <w:highlight w:val="none"/>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0.298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用于</w:t>
      </w:r>
      <w:r>
        <w:rPr>
          <w:rFonts w:hint="eastAsia" w:ascii="仿宋_GB2312" w:eastAsia="仿宋_GB2312"/>
          <w:color w:val="000000"/>
          <w:sz w:val="32"/>
          <w:szCs w:val="32"/>
          <w:lang w:eastAsia="zh-CN"/>
        </w:rPr>
        <w:t>街道购安全工作购买打印机</w:t>
      </w:r>
      <w:r>
        <w:rPr>
          <w:rFonts w:hint="eastAsia" w:ascii="仿宋_GB2312" w:eastAsia="仿宋_GB2312"/>
          <w:color w:val="000000"/>
          <w:sz w:val="32"/>
          <w:szCs w:val="32"/>
        </w:rPr>
        <w:t>。</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0.298</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pPr>
        <w:autoSpaceDE w:val="0"/>
        <w:autoSpaceDN w:val="0"/>
        <w:adjustRightInd w:val="0"/>
        <w:spacing w:line="600" w:lineRule="exact"/>
        <w:ind w:firstLine="640" w:firstLineChars="200"/>
        <w:jc w:val="left"/>
        <w:rPr>
          <w:rFonts w:hint="eastAsia"/>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bookmarkEnd w:id="25"/>
    <w:bookmarkEnd w:id="26"/>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56" w:name="_Toc15377226"/>
      <w:r>
        <w:rPr>
          <w:rFonts w:hint="eastAsia" w:ascii="仿宋" w:hAnsi="仿宋" w:eastAsia="仿宋"/>
          <w:b/>
          <w:color w:val="auto"/>
          <w:sz w:val="32"/>
          <w:szCs w:val="32"/>
          <w:highlight w:val="none"/>
          <w:lang w:val="en-US" w:eastAsia="zh-CN"/>
        </w:rPr>
        <w:t>(</w:t>
      </w:r>
      <w:r>
        <w:rPr>
          <w:rFonts w:hint="eastAsia" w:ascii="仿宋" w:hAnsi="仿宋" w:eastAsia="仿宋"/>
          <w:b/>
          <w:color w:val="auto"/>
          <w:sz w:val="32"/>
          <w:szCs w:val="32"/>
          <w:highlight w:val="none"/>
        </w:rPr>
        <w:t>四）预算绩效管理情况</w:t>
      </w:r>
    </w:p>
    <w:p>
      <w:pPr>
        <w:pStyle w:val="6"/>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袁家坝信访维稳、袁家坝城乡环境卫生整治</w:t>
      </w:r>
      <w:r>
        <w:rPr>
          <w:rFonts w:hint="eastAsia" w:ascii="仿宋_GB2312" w:hAnsi="仿宋_GB2312" w:eastAsia="仿宋_GB2312" w:cs="仿宋_GB2312"/>
          <w:color w:val="auto"/>
          <w:sz w:val="32"/>
          <w:szCs w:val="32"/>
          <w:highlight w:val="none"/>
        </w:rPr>
        <w:t>项目等</w:t>
      </w:r>
      <w:r>
        <w:rPr>
          <w:rFonts w:hint="eastAsia" w:hAnsi="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numPr>
          <w:ilvl w:val="0"/>
          <w:numId w:val="0"/>
        </w:numPr>
        <w:spacing w:line="600" w:lineRule="exact"/>
        <w:jc w:val="both"/>
        <w:outlineLvl w:val="0"/>
        <w:rPr>
          <w:rStyle w:val="28"/>
          <w:rFonts w:hint="default" w:ascii="黑体" w:hAnsi="黑体" w:eastAsia="黑体"/>
          <w:b w:val="0"/>
          <w:lang w:val="en-US" w:eastAsia="zh-CN"/>
        </w:rPr>
      </w:pPr>
    </w:p>
    <w:p>
      <w:pPr>
        <w:numPr>
          <w:ilvl w:val="0"/>
          <w:numId w:val="4"/>
        </w:numPr>
        <w:spacing w:line="600" w:lineRule="exact"/>
        <w:ind w:firstLine="660" w:firstLineChars="150"/>
        <w:jc w:val="center"/>
        <w:outlineLvl w:val="0"/>
        <w:rPr>
          <w:rStyle w:val="28"/>
          <w:rFonts w:ascii="黑体" w:hAnsi="黑体" w:eastAsia="黑体"/>
          <w:b w:val="0"/>
        </w:rPr>
      </w:pPr>
      <w:r>
        <w:rPr>
          <w:rFonts w:hint="eastAsia" w:ascii="黑体" w:hAnsi="黑体" w:eastAsia="黑体"/>
          <w:color w:val="000000"/>
          <w:sz w:val="44"/>
          <w:szCs w:val="44"/>
        </w:rPr>
        <w:t>名</w:t>
      </w:r>
      <w:r>
        <w:rPr>
          <w:rStyle w:val="28"/>
          <w:rFonts w:hint="eastAsia" w:ascii="黑体" w:hAnsi="黑体" w:eastAsia="黑体"/>
          <w:b w:val="0"/>
        </w:rPr>
        <w:t>词解释</w:t>
      </w:r>
    </w:p>
    <w:p>
      <w:pPr>
        <w:numPr>
          <w:ilvl w:val="0"/>
          <w:numId w:val="0"/>
        </w:numPr>
        <w:spacing w:line="600" w:lineRule="exact"/>
        <w:jc w:val="both"/>
        <w:outlineLvl w:val="0"/>
        <w:rPr>
          <w:rStyle w:val="28"/>
          <w:rFonts w:ascii="黑体" w:hAnsi="黑体" w:eastAsia="黑体"/>
          <w:b w:val="0"/>
        </w:rPr>
      </w:pP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widowControl/>
        <w:suppressLineNumbers w:val="0"/>
        <w:ind w:firstLine="640" w:firstLineChars="200"/>
        <w:jc w:val="left"/>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lang w:val="en-US" w:eastAsia="zh-CN" w:bidi="ar"/>
        </w:rPr>
        <w:t>一般公共服务支出（类）201政府办公厅（室）及相关机构事务（款）03行政运行（项）01：指反映行政单位（包括实行公务员管理的事业单位）的基本支出。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lang w:val="en-US" w:eastAsia="zh-CN"/>
        </w:rPr>
        <w:t>专项业务活动</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：指反映各级政府</w:t>
      </w:r>
      <w:r>
        <w:rPr>
          <w:rFonts w:hint="eastAsia" w:ascii="仿宋_GB2312" w:eastAsia="仿宋_GB2312"/>
          <w:color w:val="000000"/>
          <w:sz w:val="32"/>
          <w:szCs w:val="32"/>
          <w:lang w:val="en-US" w:eastAsia="zh-CN"/>
        </w:rPr>
        <w:t>举行各类重大活动、召开重要会议（如国务院一类会议、国庆招待会、全国劳模大会）的支出，政府机关房地产管理、公文用车管理等方面</w:t>
      </w:r>
      <w:r>
        <w:rPr>
          <w:rFonts w:hint="eastAsia" w:ascii="仿宋_GB2312" w:eastAsia="仿宋_GB2312"/>
          <w:color w:val="000000"/>
          <w:sz w:val="32"/>
          <w:szCs w:val="32"/>
        </w:rPr>
        <w:t>的支出。</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 发展与改革事务（款）04日常经济运行调节</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auto"/>
          <w:sz w:val="32"/>
          <w:szCs w:val="32"/>
        </w:rPr>
        <w:t>：</w:t>
      </w:r>
      <w:r>
        <w:rPr>
          <w:rFonts w:hint="eastAsia" w:ascii="仿宋_GB2312" w:eastAsia="仿宋_GB2312"/>
          <w:color w:val="auto"/>
          <w:sz w:val="32"/>
          <w:szCs w:val="32"/>
          <w:lang w:eastAsia="zh-CN"/>
        </w:rPr>
        <w:t>反映日常经济运行调节方面的支出。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b w:val="0"/>
          <w:bCs w:val="0"/>
          <w:color w:val="000000"/>
          <w:sz w:val="32"/>
          <w:szCs w:val="32"/>
          <w:lang w:val="en-US" w:eastAsia="zh-CN"/>
        </w:rPr>
      </w:pPr>
      <w:r>
        <w:rPr>
          <w:rFonts w:hint="eastAsia" w:ascii="仿宋_GB2312" w:eastAsia="仿宋_GB2312"/>
          <w:color w:val="auto"/>
          <w:sz w:val="32"/>
          <w:szCs w:val="32"/>
          <w:lang w:val="en-US" w:eastAsia="zh-CN"/>
        </w:rPr>
        <w:t xml:space="preserve">9. </w:t>
      </w:r>
      <w:r>
        <w:rPr>
          <w:rFonts w:hint="eastAsia" w:ascii="仿宋_GB2312" w:hAnsi="仿宋_GB2312" w:eastAsia="仿宋_GB2312" w:cs="仿宋_GB2312"/>
          <w:kern w:val="0"/>
          <w:sz w:val="32"/>
          <w:szCs w:val="32"/>
          <w:lang w:val="en-US" w:eastAsia="zh-CN" w:bidi="ar"/>
        </w:rPr>
        <w:t>一般公共服务支出（类）201纪检监察事务（款）11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一般行政管理事务（项）02</w:t>
      </w:r>
      <w:r>
        <w:rPr>
          <w:rStyle w:val="18"/>
          <w:rFonts w:hint="eastAsia" w:ascii="仿宋_GB2312" w:eastAsia="仿宋_GB2312"/>
          <w:b w:val="0"/>
          <w:bCs w:val="0"/>
          <w:color w:val="000000"/>
          <w:sz w:val="32"/>
          <w:szCs w:val="32"/>
        </w:rPr>
        <w:t>：</w:t>
      </w:r>
      <w:r>
        <w:rPr>
          <w:rStyle w:val="18"/>
          <w:rFonts w:hint="eastAsia" w:ascii="仿宋_GB2312" w:eastAsia="仿宋_GB2312"/>
          <w:b w:val="0"/>
          <w:bCs w:val="0"/>
          <w:color w:val="000000"/>
          <w:sz w:val="32"/>
          <w:szCs w:val="32"/>
          <w:lang w:val="en-US" w:eastAsia="zh-CN"/>
        </w:rPr>
        <w:t xml:space="preserve">反映行政单位（包括实行公务员管理的事业单位）未单独设置项目科目的其他项目支出。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000000"/>
          <w:sz w:val="32"/>
          <w:szCs w:val="32"/>
          <w:lang w:val="en-US" w:eastAsia="zh-CN"/>
        </w:rPr>
        <w:t>10.</w:t>
      </w:r>
      <w:r>
        <w:rPr>
          <w:rFonts w:hint="eastAsia" w:ascii="仿宋_GB2312" w:hAnsi="仿宋_GB2312" w:eastAsia="仿宋_GB2312" w:cs="仿宋_GB2312"/>
          <w:kern w:val="0"/>
          <w:sz w:val="32"/>
          <w:szCs w:val="32"/>
          <w:lang w:val="en-US" w:eastAsia="zh-CN" w:bidi="ar"/>
        </w:rPr>
        <w:t>一般公共服务支出（类）201组织事务（款）32</w:t>
      </w:r>
      <w:r>
        <w:rPr>
          <w:rFonts w:hint="eastAsia" w:ascii="仿宋_GB2312" w:eastAsia="仿宋_GB2312"/>
          <w:color w:val="000000"/>
          <w:sz w:val="32"/>
          <w:szCs w:val="32"/>
        </w:rPr>
        <w:t>其 一般行政管理事务（项）</w:t>
      </w:r>
      <w:r>
        <w:rPr>
          <w:rFonts w:hint="eastAsia" w:ascii="仿宋_GB2312" w:eastAsia="仿宋_GB2312"/>
          <w:color w:val="000000"/>
          <w:sz w:val="32"/>
          <w:szCs w:val="32"/>
          <w:lang w:val="en-US" w:eastAsia="zh-CN"/>
        </w:rPr>
        <w:t>02</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行政单位（包括实行公务员管理的事业单位）未单独设置顶级科目的去他项目支出</w:t>
      </w:r>
      <w:r>
        <w:rPr>
          <w:rFonts w:hint="eastAsia" w:ascii="仿宋_GB2312" w:eastAsia="仿宋_GB2312"/>
          <w:color w:val="auto"/>
          <w:sz w:val="32"/>
          <w:szCs w:val="32"/>
        </w:rPr>
        <w:t>。</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11.</w:t>
      </w:r>
      <w:r>
        <w:rPr>
          <w:rFonts w:hint="eastAsia" w:ascii="仿宋_GB2312" w:hAnsi="仿宋_GB2312" w:eastAsia="仿宋_GB2312" w:cs="仿宋_GB2312"/>
          <w:kern w:val="0"/>
          <w:sz w:val="32"/>
          <w:szCs w:val="32"/>
          <w:lang w:val="en-US" w:eastAsia="zh-CN" w:bidi="ar"/>
        </w:rPr>
        <w:t>一般公共服务（类）201组织事务（款）32</w:t>
      </w:r>
      <w:r>
        <w:rPr>
          <w:rFonts w:hint="eastAsia" w:ascii="仿宋_GB2312" w:eastAsia="仿宋_GB2312"/>
          <w:color w:val="000000"/>
          <w:sz w:val="32"/>
          <w:szCs w:val="32"/>
        </w:rPr>
        <w:t xml:space="preserve"> 其他组织事务支出（项）99：</w:t>
      </w:r>
      <w:r>
        <w:rPr>
          <w:rFonts w:hint="eastAsia" w:ascii="仿宋_GB2312" w:eastAsia="仿宋_GB2312"/>
          <w:color w:val="auto"/>
          <w:sz w:val="32"/>
          <w:szCs w:val="32"/>
          <w:lang w:eastAsia="zh-CN"/>
        </w:rPr>
        <w:t>反映除上诉项目以外其他用于中国共产党</w:t>
      </w:r>
      <w:r>
        <w:rPr>
          <w:rFonts w:hint="eastAsia" w:ascii="仿宋_GB2312" w:eastAsia="仿宋_GB2312"/>
          <w:color w:val="auto"/>
          <w:sz w:val="32"/>
          <w:szCs w:val="32"/>
          <w:lang w:val="en-US" w:eastAsia="zh-CN"/>
        </w:rPr>
        <w:t xml:space="preserve"> 组织部门的事务支出。</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12.</w:t>
      </w:r>
      <w:r>
        <w:rPr>
          <w:rFonts w:hint="eastAsia" w:ascii="仿宋_GB2312" w:hAnsi="仿宋_GB2312" w:eastAsia="仿宋_GB2312" w:cs="仿宋_GB2312"/>
          <w:kern w:val="0"/>
          <w:sz w:val="32"/>
          <w:szCs w:val="32"/>
          <w:lang w:val="en-US" w:eastAsia="zh-CN" w:bidi="ar"/>
        </w:rPr>
        <w:t>一般公共服务（类）201市场监督管理事务（款）38</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市场监督管理专项</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w:t>
      </w:r>
      <w:r>
        <w:rPr>
          <w:rFonts w:hint="eastAsia" w:ascii="仿宋_GB2312" w:eastAsia="仿宋_GB2312"/>
          <w:color w:val="auto"/>
          <w:sz w:val="32"/>
          <w:szCs w:val="32"/>
          <w:lang w:val="en-US" w:eastAsia="zh-CN"/>
        </w:rPr>
        <w:t>从事市场监督管理专项业务方面的支出，单设科目的业务除外。</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kern w:val="0"/>
          <w:sz w:val="32"/>
          <w:szCs w:val="32"/>
          <w:lang w:val="en-US" w:eastAsia="zh-CN" w:bidi="ar"/>
        </w:rPr>
        <w:t>13.一般公共服务（类）201市场监督管理事务（款）38</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其他市场监督管理事务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w:t>
      </w:r>
      <w:r>
        <w:rPr>
          <w:rFonts w:hint="eastAsia" w:ascii="仿宋_GB2312" w:eastAsia="仿宋_GB2312"/>
          <w:color w:val="auto"/>
          <w:sz w:val="32"/>
          <w:szCs w:val="32"/>
          <w:lang w:val="en-US" w:eastAsia="zh-CN"/>
        </w:rPr>
        <w:t>用于除上述项目以外其他市场监督管理事务方面的支出。</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14.</w:t>
      </w:r>
      <w:r>
        <w:rPr>
          <w:rFonts w:hint="eastAsia" w:ascii="仿宋_GB2312" w:hAnsi="仿宋_GB2312" w:eastAsia="仿宋_GB2312" w:cs="仿宋_GB2312"/>
          <w:kern w:val="0"/>
          <w:sz w:val="32"/>
          <w:szCs w:val="32"/>
          <w:lang w:val="en-US" w:eastAsia="zh-CN" w:bidi="ar"/>
        </w:rPr>
        <w:t>一般公共服务（类）201</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（项）99</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反映除上述项目为包括的一般公共服务支出。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204国家安全（款）03</w:t>
      </w:r>
      <w:r>
        <w:rPr>
          <w:rFonts w:hint="eastAsia" w:ascii="仿宋_GB2312" w:eastAsia="仿宋_GB2312"/>
          <w:color w:val="000000"/>
          <w:sz w:val="32"/>
          <w:szCs w:val="32"/>
        </w:rPr>
        <w:t>其他国家安全支出（项）99：指反映用于安全方面的支出。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机关事业单位基本养老保险缴费支出（项）05：指反映机关事业单位实施养老保险制度由单位缴纳的基本养老保险费支出。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机关事业单位职业年金缴费支出（项）06：指反映机关事业单位实施养老保险制度由单位实际缴纳的职业年金支出。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卫生健康支出</w:t>
      </w:r>
      <w:r>
        <w:rPr>
          <w:rFonts w:hint="eastAsia" w:ascii="仿宋_GB2312" w:eastAsia="仿宋_GB2312"/>
          <w:color w:val="000000"/>
          <w:sz w:val="32"/>
          <w:szCs w:val="32"/>
          <w:lang w:eastAsia="zh-CN"/>
        </w:rPr>
        <w:t>（类）</w:t>
      </w:r>
      <w:r>
        <w:rPr>
          <w:rFonts w:hint="eastAsia" w:ascii="仿宋_GB2312" w:eastAsia="仿宋_GB2312"/>
          <w:color w:val="000000"/>
          <w:sz w:val="32"/>
          <w:szCs w:val="32"/>
          <w:lang w:val="en-US" w:eastAsia="zh-CN"/>
        </w:rPr>
        <w:t>210行政事业单位医疗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11行政事业单位医疗（项）01</w:t>
      </w:r>
      <w:r>
        <w:rPr>
          <w:rFonts w:hint="eastAsia" w:ascii="仿宋_GB2312" w:eastAsia="仿宋_GB2312"/>
          <w:color w:val="000000"/>
          <w:sz w:val="32"/>
          <w:szCs w:val="32"/>
        </w:rPr>
        <w:t>：</w:t>
      </w:r>
      <w:r>
        <w:rPr>
          <w:rFonts w:hint="eastAsia" w:ascii="仿宋_GB2312" w:eastAsia="仿宋_GB2312"/>
          <w:color w:val="auto"/>
          <w:sz w:val="32"/>
          <w:szCs w:val="32"/>
        </w:rPr>
        <w:t>指反映</w:t>
      </w:r>
      <w:r>
        <w:rPr>
          <w:rFonts w:hint="eastAsia" w:ascii="仿宋_GB2312" w:eastAsia="仿宋_GB2312"/>
          <w:color w:val="000000"/>
          <w:sz w:val="32"/>
          <w:szCs w:val="32"/>
        </w:rPr>
        <w:t>财政部门集中安排的行政单位</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包括实行公务员管理事业单位，下同）</w:t>
      </w:r>
      <w:r>
        <w:rPr>
          <w:rFonts w:hint="eastAsia" w:ascii="仿宋_GB2312" w:eastAsia="仿宋_GB2312"/>
          <w:color w:val="000000"/>
          <w:sz w:val="32"/>
          <w:szCs w:val="32"/>
        </w:rPr>
        <w:t>基本医疗保险缴费经费，未参加医疗保险的行政单位的公费医疗经费，按国家规定享受离休人员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红军老战士</w:t>
      </w:r>
      <w:r>
        <w:rPr>
          <w:rFonts w:hint="eastAsia" w:ascii="仿宋_GB2312" w:eastAsia="仿宋_GB2312"/>
          <w:color w:val="000000"/>
          <w:sz w:val="32"/>
          <w:szCs w:val="32"/>
        </w:rPr>
        <w:t>待遇的医疗</w:t>
      </w:r>
      <w:r>
        <w:rPr>
          <w:rFonts w:hint="eastAsia" w:ascii="仿宋_GB2312" w:eastAsia="仿宋_GB2312"/>
          <w:color w:val="000000"/>
          <w:sz w:val="32"/>
          <w:szCs w:val="32"/>
          <w:lang w:val="en-US" w:eastAsia="zh-CN"/>
        </w:rPr>
        <w:t>经费</w:t>
      </w:r>
      <w:r>
        <w:rPr>
          <w:rFonts w:hint="eastAsia" w:ascii="仿宋_GB2312" w:eastAsia="仿宋_GB2312"/>
          <w:color w:val="000000"/>
          <w:sz w:val="32"/>
          <w:szCs w:val="32"/>
        </w:rPr>
        <w:t>。</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19.城乡社区支出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01城管执法</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放映城市综合管理执法、加强城市市容和环境卫生管理等方面支出。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20.城乡社区支出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05城乡社区环境卫生</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反映城乡社区道路清扫、垃圾清运与处理、公厕建设与维护、园林绿化等方面的支出。</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21.城乡社区支出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  其他城乡社区支出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反映除上述以外其他用于城乡社区方面的支出。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w:t>
      </w:r>
      <w:r>
        <w:rPr>
          <w:rFonts w:hint="eastAsia" w:ascii="仿宋_GB2312" w:eastAsia="仿宋_GB2312"/>
          <w:color w:val="000000"/>
          <w:sz w:val="32"/>
          <w:szCs w:val="32"/>
          <w:lang w:val="en-US" w:eastAsia="zh-CN"/>
        </w:rPr>
        <w:t>农业组织化与产业化经营</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24：反映对农民专业合作社组织、农业产业化龙头企业等开展基地建设、质量标准认证等方面的补助支出。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林业（</w:t>
      </w:r>
      <w:r>
        <w:rPr>
          <w:rFonts w:hint="eastAsia" w:ascii="仿宋_GB2312" w:eastAsia="仿宋_GB2312"/>
          <w:color w:val="000000"/>
          <w:sz w:val="32"/>
          <w:szCs w:val="32"/>
        </w:rPr>
        <w:t>款）02林业防灾减灾（项）34：反映为</w:t>
      </w:r>
      <w:r>
        <w:rPr>
          <w:rFonts w:hint="eastAsia" w:ascii="仿宋_GB2312" w:eastAsia="仿宋_GB2312"/>
          <w:color w:val="000000"/>
          <w:sz w:val="32"/>
          <w:szCs w:val="32"/>
          <w:lang w:val="en-US" w:eastAsia="zh-CN"/>
        </w:rPr>
        <w:t>病虫害等有害生物灾害。野生动物疫病灾害等方面</w:t>
      </w:r>
      <w:r>
        <w:rPr>
          <w:rFonts w:hint="eastAsia" w:ascii="仿宋_GB2312" w:eastAsia="仿宋_GB2312"/>
          <w:color w:val="000000"/>
          <w:sz w:val="32"/>
          <w:szCs w:val="32"/>
        </w:rPr>
        <w:t>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 xml:space="preserve">（款）03 </w:t>
      </w:r>
      <w:r>
        <w:rPr>
          <w:rFonts w:hint="eastAsia" w:ascii="仿宋_GB2312" w:eastAsia="仿宋_GB2312"/>
          <w:color w:val="000000"/>
          <w:sz w:val="32"/>
          <w:szCs w:val="32"/>
          <w:lang w:val="en-US" w:eastAsia="zh-CN"/>
        </w:rPr>
        <w:t>水利工程运行及维护</w:t>
      </w:r>
      <w:r>
        <w:rPr>
          <w:rFonts w:hint="eastAsia" w:ascii="仿宋_GB2312" w:eastAsia="仿宋_GB2312"/>
          <w:color w:val="000000"/>
          <w:sz w:val="32"/>
          <w:szCs w:val="32"/>
          <w:lang w:eastAsia="zh-CN"/>
        </w:rPr>
        <w:t>（</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06：反映水利系统用于江、河、湖、滩等治理工程运行与维护方面的支出，以及纳入预算管理的水利工程管理单位支出。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（款）03防汛（项）14：反映防汛业务支出。</w:t>
      </w:r>
      <w:r>
        <w:rPr>
          <w:rFonts w:hint="eastAsia" w:ascii="仿宋_GB2312" w:eastAsia="仿宋_GB2312"/>
          <w:color w:val="000000"/>
          <w:sz w:val="32"/>
          <w:szCs w:val="32"/>
          <w:lang w:eastAsia="zh-CN"/>
        </w:rPr>
        <w:t>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农村综合改革</w:t>
      </w:r>
      <w:r>
        <w:rPr>
          <w:rFonts w:hint="eastAsia" w:ascii="仿宋_GB2312" w:eastAsia="仿宋_GB2312"/>
          <w:color w:val="000000"/>
          <w:sz w:val="32"/>
          <w:szCs w:val="32"/>
        </w:rPr>
        <w:t>（款）07对村民委员会和村党支部的补助（项）05：反映各级财政对村民委员会和村党支部的补助支出，以及支持建立县级基本财力保障机制安排的村级组织运转奖补资金。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w:t>
      </w:r>
      <w:r>
        <w:rPr>
          <w:rFonts w:hint="eastAsia" w:ascii="仿宋_GB2312" w:eastAsia="仿宋_GB2312"/>
          <w:color w:val="000000"/>
          <w:sz w:val="32"/>
          <w:szCs w:val="32"/>
          <w:lang w:eastAsia="zh-CN"/>
        </w:rPr>
        <w:t>交通运输支出</w:t>
      </w:r>
      <w:r>
        <w:rPr>
          <w:rFonts w:hint="eastAsia" w:ascii="仿宋_GB2312" w:eastAsia="仿宋_GB2312"/>
          <w:color w:val="000000"/>
          <w:sz w:val="32"/>
          <w:szCs w:val="32"/>
        </w:rPr>
        <w:t>（类）214</w:t>
      </w:r>
      <w:r>
        <w:rPr>
          <w:rFonts w:hint="eastAsia" w:ascii="仿宋_GB2312" w:eastAsia="仿宋_GB2312"/>
          <w:color w:val="000000"/>
          <w:sz w:val="32"/>
          <w:szCs w:val="32"/>
          <w:lang w:eastAsia="zh-CN"/>
        </w:rPr>
        <w:t>公路水路运输</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公路和运输安全（项）10：指反映公路和运输安全支出。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（类）221</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auto"/>
          <w:sz w:val="32"/>
          <w:szCs w:val="32"/>
          <w:lang w:val="en-US" w:eastAsia="zh-CN"/>
        </w:rPr>
        <w:t>30.</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01安全监管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06：反映安全生产监管方面的支出。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31.</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224其他灾害防治及</w:t>
      </w:r>
      <w:r>
        <w:rPr>
          <w:rFonts w:hint="eastAsia" w:ascii="仿宋_GB2312" w:eastAsia="仿宋_GB2312"/>
          <w:color w:val="000000"/>
          <w:sz w:val="32"/>
          <w:szCs w:val="32"/>
          <w:lang w:val="en-US" w:eastAsia="zh-CN"/>
        </w:rPr>
        <w:t>应急管理支出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w:t>
      </w:r>
      <w:r>
        <w:rPr>
          <w:rFonts w:hint="eastAsia" w:ascii="仿宋" w:hAnsi="仿宋" w:eastAsia="仿宋" w:cs="仿宋"/>
          <w:color w:val="000000"/>
          <w:sz w:val="32"/>
          <w:szCs w:val="32"/>
          <w:lang w:val="en-US" w:eastAsia="zh-CN"/>
        </w:rPr>
        <w:t>其他灾害防治及</w:t>
      </w:r>
      <w:r>
        <w:rPr>
          <w:rFonts w:hint="eastAsia" w:ascii="仿宋_GB2312" w:eastAsia="仿宋_GB2312"/>
          <w:color w:val="000000"/>
          <w:sz w:val="32"/>
          <w:szCs w:val="32"/>
          <w:lang w:val="en-US" w:eastAsia="zh-CN"/>
        </w:rPr>
        <w:t>应急管理支出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00：反映除上述项目以外其他用于灾害防治及应急管理支出。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ascii="仿宋_GB2312" w:eastAsia="仿宋_GB2312"/>
          <w:color w:val="auto"/>
          <w:sz w:val="32"/>
          <w:szCs w:val="32"/>
          <w:highlight w:val="none"/>
        </w:rPr>
      </w:pPr>
      <w:r>
        <w:rPr>
          <w:rFonts w:hint="eastAsia" w:ascii="仿宋_GB2312" w:eastAsia="仿宋_GB2312"/>
          <w:color w:val="000000"/>
          <w:sz w:val="32"/>
          <w:szCs w:val="32"/>
          <w:highlight w:val="none"/>
          <w:lang w:val="en-US" w:eastAsia="zh-CN"/>
        </w:rPr>
        <w:t>34</w:t>
      </w:r>
      <w:r>
        <w:rPr>
          <w:rFonts w:hint="eastAsia" w:ascii="仿宋_GB2312" w:eastAsia="仿宋_GB2312"/>
          <w:color w:val="000000"/>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bookmarkStart w:id="57" w:name="_Toc15396618"/>
    </w:p>
    <w:bookmarkEnd w:id="56"/>
    <w:bookmarkEnd w:id="57"/>
    <w:p>
      <w:pPr>
        <w:widowControl/>
        <w:spacing w:line="576" w:lineRule="exact"/>
        <w:jc w:val="center"/>
        <w:rPr>
          <w:rStyle w:val="28"/>
          <w:rFonts w:hint="eastAsia" w:ascii="黑体" w:hAnsi="黑体" w:eastAsia="黑体" w:cs="黑体"/>
          <w:b w:val="0"/>
          <w:bCs w:val="0"/>
          <w:color w:val="000000" w:themeColor="text1"/>
          <w:sz w:val="32"/>
          <w:szCs w:val="32"/>
          <w:highlight w:val="none"/>
          <w14:textFill>
            <w14:solidFill>
              <w14:schemeClr w14:val="tx1"/>
            </w14:solidFill>
          </w14:textFill>
        </w:rPr>
      </w:pPr>
      <w:bookmarkStart w:id="58" w:name="_Toc15396619"/>
      <w:r>
        <w:rPr>
          <w:rStyle w:val="28"/>
          <w:rFonts w:hint="eastAsia" w:ascii="黑体" w:hAnsi="黑体" w:eastAsia="黑体"/>
          <w:b w:val="0"/>
        </w:rPr>
        <w:t>第</w:t>
      </w:r>
      <w:r>
        <w:rPr>
          <w:rStyle w:val="28"/>
          <w:rFonts w:hint="eastAsia" w:ascii="黑体" w:hAnsi="黑体" w:eastAsia="黑体"/>
          <w:b w:val="0"/>
          <w:lang w:val="en-US" w:eastAsia="zh-CN"/>
        </w:rPr>
        <w:t>四</w:t>
      </w:r>
      <w:r>
        <w:rPr>
          <w:rStyle w:val="28"/>
          <w:rFonts w:hint="eastAsia" w:ascii="黑体" w:hAnsi="黑体" w:eastAsia="黑体"/>
          <w:b w:val="0"/>
        </w:rPr>
        <w:t>部分</w:t>
      </w:r>
      <w:r>
        <w:rPr>
          <w:rStyle w:val="28"/>
          <w:rFonts w:hint="eastAsia" w:ascii="黑体" w:hAnsi="黑体" w:eastAsia="黑体"/>
          <w:b w:val="0"/>
          <w:lang w:val="en-US" w:eastAsia="zh-CN"/>
        </w:rPr>
        <w:t xml:space="preserve">  </w:t>
      </w:r>
      <w:r>
        <w:rPr>
          <w:rStyle w:val="28"/>
          <w:rFonts w:hint="eastAsia" w:ascii="黑体" w:hAnsi="黑体" w:eastAsia="黑体"/>
          <w:b w:val="0"/>
        </w:rPr>
        <w:t>附</w:t>
      </w:r>
      <w:r>
        <w:rPr>
          <w:rStyle w:val="28"/>
          <w:rFonts w:hint="eastAsia" w:ascii="黑体" w:hAnsi="黑体" w:eastAsia="黑体"/>
          <w:b w:val="0"/>
          <w:lang w:val="en-US" w:eastAsia="zh-CN"/>
        </w:rPr>
        <w:t>件</w:t>
      </w:r>
    </w:p>
    <w:p>
      <w:pPr>
        <w:pStyle w:val="9"/>
        <w:spacing w:line="576" w:lineRule="exact"/>
        <w:rPr>
          <w:sz w:val="32"/>
          <w:szCs w:val="32"/>
        </w:rPr>
      </w:pPr>
      <w:r>
        <w:rPr>
          <w:rStyle w:val="28"/>
          <w:rFonts w:hint="eastAsia" w:ascii="黑体" w:hAnsi="黑体" w:eastAsia="黑体" w:cs="黑体"/>
          <w:b w:val="0"/>
          <w:bCs w:val="0"/>
          <w:color w:val="000000" w:themeColor="text1"/>
          <w:sz w:val="32"/>
          <w:szCs w:val="32"/>
          <w:highlight w:val="none"/>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袁家坝街道办事处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信访维稳资金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现将我街道信访维稳项目支出绩效自评报告如下。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保障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办事处维稳、信访、防邪、禁毒、扫黑除恶宣传等日常工作正常运行。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2、通过深入开展扫黑除恶工作，切实增强广大群众的安全感和满意度。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w:t>
      </w:r>
      <w:r>
        <w:rPr>
          <w:rFonts w:hint="eastAsia" w:ascii="仿宋_GB2312" w:hAnsi="仿宋_GB2312" w:eastAsia="仿宋_GB2312" w:cs="仿宋_GB2312"/>
          <w:color w:val="000000" w:themeColor="text1"/>
          <w:sz w:val="32"/>
          <w:szCs w:val="32"/>
          <w:highlight w:val="none"/>
          <w14:textFill>
            <w14:solidFill>
              <w14:schemeClr w14:val="tx1"/>
            </w14:solidFill>
          </w14:textFill>
        </w:rPr>
        <w:t>信访、维稳、防邪、禁毒、扫黑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合计使用6万元，其中宣传单制作、信访条例制作宣传费用发生0.84万元，其他工作开展5.16万元。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手册、宣传栏等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宣传20册。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治安</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环境不断改善，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群众幸福度上升，群众违法犯罪</w:t>
      </w:r>
      <w:r>
        <w:rPr>
          <w:rFonts w:hint="eastAsia" w:ascii="仿宋_GB2312" w:hAnsi="仿宋_GB2312" w:eastAsia="仿宋_GB2312" w:cs="仿宋_GB2312"/>
          <w:color w:val="000000" w:themeColor="text1"/>
          <w:sz w:val="32"/>
          <w:szCs w:val="32"/>
          <w:highlight w:val="none"/>
          <w14:textFill>
            <w14:solidFill>
              <w14:schemeClr w14:val="tx1"/>
            </w14:solidFill>
          </w14:textFill>
        </w:rPr>
        <w:t>指数不断下降，努力营造了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辖区安居乐业的良好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信访条例等</w:t>
      </w:r>
      <w:r>
        <w:rPr>
          <w:rFonts w:hint="eastAsia" w:ascii="仿宋_GB2312" w:hAnsi="仿宋_GB2312" w:eastAsia="仿宋_GB2312" w:cs="仿宋_GB2312"/>
          <w:color w:val="000000" w:themeColor="text1"/>
          <w:sz w:val="32"/>
          <w:szCs w:val="32"/>
          <w:highlight w:val="none"/>
          <w14:textFill>
            <w14:solidFill>
              <w14:schemeClr w14:val="tx1"/>
            </w14:solidFill>
          </w14:textFill>
        </w:rPr>
        <w:t>宣传教育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提高群众法治意识，对一些干部在行使公务权利有异议，引导群众采取正当合法信访。</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560" w:firstLineChars="8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广元经济技术开发区袁家坝街道办事处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2022年4月20日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6"/>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信访维稳项目资金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袁家坝街道</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指标1：值班人次</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全年安全维稳值班等50人次以上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指标2：宣传册印刷</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20册</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指标1：有效预防和制止违法犯罪</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指标1：维护稳定</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指标2：社会环境</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可持续影响</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指标1：防邪、禁毒、扫黑除恶宣传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r>
    </w:tbl>
    <w:p>
      <w:pPr>
        <w:pStyle w:val="9"/>
        <w:spacing w:line="576" w:lineRule="exact"/>
        <w:rPr>
          <w:rStyle w:val="28"/>
          <w:rFonts w:hint="eastAsia" w:ascii="黑体" w:hAnsi="黑体" w:eastAsia="黑体" w:cs="黑体"/>
          <w:b w:val="0"/>
          <w:bCs w:val="0"/>
          <w:color w:val="000000" w:themeColor="text1"/>
          <w:sz w:val="32"/>
          <w:szCs w:val="32"/>
          <w:highlight w:val="none"/>
          <w14:textFill>
            <w14:solidFill>
              <w14:schemeClr w14:val="tx1"/>
            </w14:solidFill>
          </w14:textFill>
        </w:rPr>
      </w:pPr>
    </w:p>
    <w:p>
      <w:pPr>
        <w:pStyle w:val="9"/>
        <w:spacing w:line="576" w:lineRule="exact"/>
        <w:rPr>
          <w:rFonts w:hint="eastAsia" w:eastAsia="黑体"/>
          <w:lang w:val="en-US" w:eastAsia="zh-CN"/>
        </w:rPr>
      </w:pPr>
      <w:r>
        <w:rPr>
          <w:rStyle w:val="28"/>
          <w:rFonts w:hint="eastAsia" w:ascii="黑体" w:hAnsi="黑体" w:eastAsia="黑体" w:cs="黑体"/>
          <w:b w:val="0"/>
          <w:bCs w:val="0"/>
          <w:color w:val="000000" w:themeColor="text1"/>
          <w:sz w:val="32"/>
          <w:szCs w:val="32"/>
          <w:highlight w:val="none"/>
          <w14:textFill>
            <w14:solidFill>
              <w14:schemeClr w14:val="tx1"/>
            </w14:solidFill>
          </w14:textFill>
        </w:rPr>
        <w:t>附件</w:t>
      </w:r>
      <w:r>
        <w:rPr>
          <w:rStyle w:val="28"/>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袁家坝街道办事处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安全监管资金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现将我街道安全生产项目支出绩效自评报告如下。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生产监管</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生产宣传</w:t>
      </w:r>
      <w:r>
        <w:rPr>
          <w:rFonts w:hint="eastAsia" w:ascii="仿宋_GB2312" w:hAnsi="仿宋_GB2312" w:eastAsia="仿宋_GB2312" w:cs="仿宋_GB2312"/>
          <w:color w:val="000000" w:themeColor="text1"/>
          <w:sz w:val="32"/>
          <w:szCs w:val="32"/>
          <w:highlight w:val="none"/>
          <w14:textFill>
            <w14:solidFill>
              <w14:schemeClr w14:val="tx1"/>
            </w14:solidFill>
          </w14:textFill>
        </w:rPr>
        <w:t>等。提高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居民（村民）安全防范意识，经常开展宣传教育与培训活动，营造安全文化氛围。宣传教育与培训活动应针对不同层次人群的安全意识与能力要求制定相应的方案，以提高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辖区企业及居民</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安全意识和防范事故与伤害的能力。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2、辖区全年安全检查12次，开展入企业、入户安全宣传12次。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3、通过对安全隐患排查、整改安全隐患，全年无重大安全事故发生。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监管</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方案相关内容，与具体实施内容相符、申报目标合理可行。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3.98万元。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合计使用3.98万元，其中办公费发生0.83万元、广告宣传费1万元、劳务费2.15万元。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主要是制作安全手册、宣传栏、告示牌等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宣传12余次，全年隐患排查10个，整改10个，完成100%，全年无安全事故发生。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街道辖区安全生产环境不断改善，各类事故指数不断下降，交通安全事故下降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%、消防事故下降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为0</w:t>
      </w:r>
      <w:r>
        <w:rPr>
          <w:rFonts w:hint="eastAsia" w:ascii="仿宋_GB2312" w:hAnsi="仿宋_GB2312" w:eastAsia="仿宋_GB2312" w:cs="仿宋_GB2312"/>
          <w:color w:val="000000" w:themeColor="text1"/>
          <w:sz w:val="32"/>
          <w:szCs w:val="32"/>
          <w:highlight w:val="none"/>
          <w14:textFill>
            <w14:solidFill>
              <w14:schemeClr w14:val="tx1"/>
            </w14:solidFill>
          </w14:textFill>
        </w:rPr>
        <w:t>，努力营造了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辖区安居乐业的良好安全环境。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做好安全宣传教育进企业、进校园、进机关、进社区、进农村、进家庭、进公共场所等活动，多渠道开展安全知识和日常安全常识的宣传，提高社区人员安全意识。最大限度地预防和降低伤害事故， 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安全状况，提高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安全保障，构建平安和谐社会。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pStyle w:val="6"/>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广元经济技术开发区袁家坝街道办事处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2022年4月20日</w:t>
      </w:r>
    </w:p>
    <w:p>
      <w:pPr>
        <w:pStyle w:val="6"/>
        <w:rPr>
          <w:rFonts w:hint="eastAsia"/>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6"/>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安全</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监管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袁家坝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保障辖区企业安全生产</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无安全事故发生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指标1：安全检查</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指标2：安全宣传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≥12次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提高辖区企业安全生产意识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指标2：检查覆盖率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指标1：隐患排查率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指标2：问题整改落实率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指标3：生产安全</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r>
    </w:tbl>
    <w:p>
      <w:pPr>
        <w:pStyle w:val="9"/>
        <w:spacing w:line="576" w:lineRule="exact"/>
        <w:rPr>
          <w:rFonts w:hint="eastAsia" w:eastAsia="宋体"/>
          <w:lang w:val="en-US" w:eastAsia="zh-CN"/>
        </w:rPr>
      </w:pPr>
    </w:p>
    <w:p>
      <w:pPr>
        <w:pStyle w:val="4"/>
        <w:ind w:firstLine="2640" w:firstLineChars="600"/>
        <w:rPr>
          <w:rFonts w:hint="eastAsia" w:ascii="黑体" w:hAnsi="黑体" w:eastAsia="黑体" w:cs="黑体"/>
          <w:b w:val="0"/>
          <w:color w:val="auto"/>
          <w:sz w:val="44"/>
          <w:szCs w:val="44"/>
          <w:highlight w:val="none"/>
          <w:lang w:val="en-US" w:eastAsia="zh-CN"/>
        </w:rPr>
      </w:pPr>
      <w:r>
        <w:rPr>
          <w:rFonts w:hint="eastAsia" w:ascii="黑体" w:hAnsi="黑体" w:eastAsia="黑体" w:cs="黑体"/>
          <w:b w:val="0"/>
          <w:color w:val="auto"/>
          <w:sz w:val="44"/>
          <w:szCs w:val="44"/>
          <w:highlight w:val="none"/>
          <w:lang w:val="en-US" w:eastAsia="zh-CN"/>
        </w:rPr>
        <w:t>第五部分、附表</w:t>
      </w:r>
    </w:p>
    <w:p>
      <w:pPr>
        <w:pStyle w:val="4"/>
        <w:rPr>
          <w:rFonts w:ascii="仿宋" w:hAnsi="仿宋" w:eastAsia="仿宋"/>
          <w:color w:val="auto"/>
          <w:highlight w:val="none"/>
        </w:rPr>
      </w:pPr>
      <w:r>
        <w:rPr>
          <w:rFonts w:hint="eastAsia" w:ascii="仿宋" w:hAnsi="仿宋" w:eastAsia="仿宋"/>
          <w:b w:val="0"/>
          <w:color w:val="auto"/>
          <w:highlight w:val="none"/>
          <w:lang w:eastAsia="zh-CN"/>
        </w:rPr>
        <w:t>一、</w:t>
      </w:r>
      <w:r>
        <w:rPr>
          <w:rFonts w:hint="eastAsia" w:ascii="仿宋" w:hAnsi="仿宋" w:eastAsia="仿宋"/>
          <w:b w:val="0"/>
          <w:color w:val="auto"/>
          <w:highlight w:val="none"/>
        </w:rPr>
        <w:t>收</w:t>
      </w:r>
      <w:r>
        <w:rPr>
          <w:rStyle w:val="29"/>
          <w:rFonts w:hint="eastAsia" w:ascii="仿宋" w:hAnsi="仿宋" w:eastAsia="仿宋"/>
          <w:b w:val="0"/>
          <w:bCs w:val="0"/>
          <w:color w:val="auto"/>
          <w:highlight w:val="none"/>
        </w:rPr>
        <w:t>入支出决算总表</w:t>
      </w:r>
      <w:bookmarkEnd w:id="58"/>
    </w:p>
    <w:p>
      <w:pPr>
        <w:pStyle w:val="4"/>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59"/>
    </w:p>
    <w:p>
      <w:pPr>
        <w:pStyle w:val="4"/>
        <w:rPr>
          <w:rFonts w:ascii="仿宋" w:hAnsi="仿宋" w:eastAsia="仿宋"/>
          <w:color w:val="auto"/>
          <w:highlight w:val="none"/>
        </w:rPr>
      </w:pPr>
      <w:bookmarkStart w:id="60"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60"/>
    </w:p>
    <w:p>
      <w:pPr>
        <w:pStyle w:val="4"/>
        <w:rPr>
          <w:rFonts w:ascii="仿宋" w:hAnsi="仿宋" w:eastAsia="仿宋"/>
          <w:b w:val="0"/>
          <w:color w:val="auto"/>
          <w:highlight w:val="none"/>
        </w:rPr>
      </w:pPr>
      <w:bookmarkStart w:id="61"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61"/>
    </w:p>
    <w:p>
      <w:pPr>
        <w:pStyle w:val="4"/>
        <w:rPr>
          <w:rStyle w:val="29"/>
          <w:rFonts w:ascii="仿宋" w:hAnsi="仿宋" w:eastAsia="仿宋"/>
          <w:b w:val="0"/>
          <w:bCs w:val="0"/>
          <w:color w:val="auto"/>
          <w:highlight w:val="none"/>
        </w:rPr>
      </w:pPr>
      <w:bookmarkStart w:id="62"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62"/>
      <w:bookmarkStart w:id="63" w:name="_Toc15396624"/>
    </w:p>
    <w:p>
      <w:pPr>
        <w:pStyle w:val="4"/>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63"/>
    </w:p>
    <w:p>
      <w:pPr>
        <w:pStyle w:val="4"/>
        <w:rPr>
          <w:rFonts w:ascii="仿宋" w:hAnsi="仿宋" w:eastAsia="仿宋"/>
          <w:color w:val="auto"/>
          <w:highlight w:val="none"/>
        </w:rPr>
      </w:pPr>
      <w:bookmarkStart w:id="64"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4"/>
    </w:p>
    <w:p>
      <w:pPr>
        <w:pStyle w:val="4"/>
        <w:rPr>
          <w:rFonts w:ascii="仿宋" w:hAnsi="仿宋" w:eastAsia="仿宋"/>
          <w:color w:val="auto"/>
          <w:highlight w:val="none"/>
        </w:rPr>
      </w:pPr>
      <w:bookmarkStart w:id="65"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5"/>
    </w:p>
    <w:p>
      <w:pPr>
        <w:pStyle w:val="4"/>
        <w:rPr>
          <w:rFonts w:ascii="仿宋" w:hAnsi="仿宋" w:eastAsia="仿宋"/>
          <w:color w:val="auto"/>
          <w:highlight w:val="none"/>
        </w:rPr>
      </w:pPr>
      <w:bookmarkStart w:id="66"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6"/>
    </w:p>
    <w:p>
      <w:pPr>
        <w:pStyle w:val="4"/>
        <w:rPr>
          <w:rFonts w:ascii="仿宋" w:hAnsi="仿宋" w:eastAsia="仿宋"/>
          <w:color w:val="auto"/>
          <w:highlight w:val="none"/>
        </w:rPr>
      </w:pPr>
      <w:bookmarkStart w:id="67" w:name="_Toc15396628"/>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67"/>
    </w:p>
    <w:p>
      <w:pPr>
        <w:pStyle w:val="4"/>
        <w:rPr>
          <w:rFonts w:hint="eastAsia" w:ascii="仿宋" w:hAnsi="仿宋" w:eastAsia="仿宋"/>
          <w:color w:val="auto"/>
          <w:highlight w:val="none"/>
          <w:lang w:eastAsia="zh-CN"/>
        </w:rPr>
      </w:pPr>
      <w:bookmarkStart w:id="68"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68"/>
      <w:r>
        <w:rPr>
          <w:rStyle w:val="29"/>
          <w:rFonts w:hint="eastAsia" w:ascii="仿宋" w:hAnsi="仿宋" w:eastAsia="仿宋"/>
          <w:b w:val="0"/>
          <w:bCs w:val="0"/>
          <w:color w:val="auto"/>
          <w:highlight w:val="none"/>
          <w:lang w:eastAsia="zh-CN"/>
        </w:rPr>
        <w:t>（本表无数据）</w:t>
      </w:r>
    </w:p>
    <w:p>
      <w:pPr>
        <w:pStyle w:val="4"/>
        <w:rPr>
          <w:rFonts w:hint="eastAsia" w:ascii="仿宋" w:hAnsi="仿宋" w:eastAsia="仿宋"/>
          <w:color w:val="auto"/>
          <w:highlight w:val="none"/>
          <w:lang w:eastAsia="zh-CN"/>
        </w:rPr>
      </w:pPr>
      <w:bookmarkStart w:id="69"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69"/>
      <w:r>
        <w:rPr>
          <w:rStyle w:val="29"/>
          <w:rFonts w:hint="eastAsia" w:ascii="仿宋" w:hAnsi="仿宋" w:eastAsia="仿宋"/>
          <w:b w:val="0"/>
          <w:bCs w:val="0"/>
          <w:color w:val="auto"/>
          <w:highlight w:val="none"/>
          <w:lang w:eastAsia="zh-CN"/>
        </w:rPr>
        <w:t>（本表无数据）</w:t>
      </w:r>
    </w:p>
    <w:p>
      <w:pPr>
        <w:pStyle w:val="4"/>
        <w:rPr>
          <w:rFonts w:ascii="仿宋" w:hAnsi="仿宋" w:eastAsia="仿宋"/>
          <w:color w:val="auto"/>
          <w:highlight w:val="none"/>
        </w:rPr>
      </w:pPr>
    </w:p>
    <w:p>
      <w:pPr>
        <w:pStyle w:val="4"/>
        <w:rPr>
          <w:rStyle w:val="29"/>
          <w:rFonts w:hint="eastAsia" w:ascii="仿宋" w:hAnsi="仿宋" w:eastAsia="仿宋"/>
          <w:b w:val="0"/>
          <w:bCs w:val="0"/>
          <w:color w:val="auto"/>
          <w:highlight w:val="none"/>
        </w:rPr>
      </w:pPr>
      <w:bookmarkStart w:id="70" w:name="_Toc15396631"/>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70"/>
      <w:r>
        <w:rPr>
          <w:rStyle w:val="29"/>
          <w:rFonts w:hint="eastAsia" w:ascii="仿宋" w:hAnsi="仿宋" w:eastAsia="仿宋"/>
          <w:b w:val="0"/>
          <w:bCs w:val="0"/>
          <w:color w:val="auto"/>
          <w:highlight w:val="none"/>
          <w:lang w:eastAsia="zh-CN"/>
        </w:rPr>
        <w:t>（本表无数据）</w:t>
      </w:r>
    </w:p>
    <w:p>
      <w:pPr>
        <w:pStyle w:val="4"/>
        <w:rPr>
          <w:rStyle w:val="29"/>
          <w:rFonts w:hint="eastAsia" w:ascii="仿宋" w:hAnsi="仿宋" w:eastAsia="仿宋"/>
          <w:b w:val="0"/>
          <w:bCs w:val="0"/>
          <w:color w:val="auto"/>
          <w:highlight w:val="none"/>
        </w:rPr>
      </w:pPr>
      <w:r>
        <w:rPr>
          <w:rStyle w:val="29"/>
          <w:rFonts w:hint="eastAsia" w:ascii="仿宋" w:hAnsi="仿宋" w:eastAsia="仿宋"/>
          <w:b w:val="0"/>
          <w:bCs w:val="0"/>
          <w:color w:val="auto"/>
          <w:highlight w:val="none"/>
          <w:lang w:eastAsia="zh-CN"/>
        </w:rPr>
        <w:t>十四、国有资本经营预算财政拨款支出决算表（本表无数据）</w:t>
      </w:r>
    </w:p>
    <w:p>
      <w:pPr>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A9F18"/>
    <w:multiLevelType w:val="singleLevel"/>
    <w:tmpl w:val="8A7A9F18"/>
    <w:lvl w:ilvl="0" w:tentative="0">
      <w:start w:val="8"/>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MTI0ZGUxMmY2OWNmNjYwZGQwNjEzMThkMGU0Z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5F5C5B"/>
    <w:rsid w:val="066E0107"/>
    <w:rsid w:val="07996F6E"/>
    <w:rsid w:val="07CE1FB7"/>
    <w:rsid w:val="0A2032A3"/>
    <w:rsid w:val="101860EC"/>
    <w:rsid w:val="10C055FF"/>
    <w:rsid w:val="118107EC"/>
    <w:rsid w:val="120B6276"/>
    <w:rsid w:val="12557610"/>
    <w:rsid w:val="12FE6E2A"/>
    <w:rsid w:val="13D50BC4"/>
    <w:rsid w:val="16BB723D"/>
    <w:rsid w:val="1A2B57F1"/>
    <w:rsid w:val="1BE8440E"/>
    <w:rsid w:val="1D155CEE"/>
    <w:rsid w:val="1D59359D"/>
    <w:rsid w:val="23860B96"/>
    <w:rsid w:val="240371BF"/>
    <w:rsid w:val="262C7A8B"/>
    <w:rsid w:val="286E1470"/>
    <w:rsid w:val="295E4183"/>
    <w:rsid w:val="29FD04D3"/>
    <w:rsid w:val="2A631FA7"/>
    <w:rsid w:val="2C6E6C5F"/>
    <w:rsid w:val="2C8A61B5"/>
    <w:rsid w:val="2DF04E50"/>
    <w:rsid w:val="31212067"/>
    <w:rsid w:val="319F7F4E"/>
    <w:rsid w:val="359F7AA1"/>
    <w:rsid w:val="36AA5135"/>
    <w:rsid w:val="37B6328D"/>
    <w:rsid w:val="37E16F03"/>
    <w:rsid w:val="3D98207C"/>
    <w:rsid w:val="3DD37461"/>
    <w:rsid w:val="43654D3E"/>
    <w:rsid w:val="44782EF0"/>
    <w:rsid w:val="44E268DA"/>
    <w:rsid w:val="45CD4F29"/>
    <w:rsid w:val="488838B6"/>
    <w:rsid w:val="4A627F82"/>
    <w:rsid w:val="4B4F25DA"/>
    <w:rsid w:val="4BE068DB"/>
    <w:rsid w:val="4D577224"/>
    <w:rsid w:val="4EAB630A"/>
    <w:rsid w:val="4ECE2238"/>
    <w:rsid w:val="4ED41ADA"/>
    <w:rsid w:val="52FE1807"/>
    <w:rsid w:val="56E70B07"/>
    <w:rsid w:val="5AF92295"/>
    <w:rsid w:val="5CD71FC4"/>
    <w:rsid w:val="5F2345A8"/>
    <w:rsid w:val="62E51A79"/>
    <w:rsid w:val="63BC6393"/>
    <w:rsid w:val="65494733"/>
    <w:rsid w:val="66376316"/>
    <w:rsid w:val="671D519C"/>
    <w:rsid w:val="67FB2D13"/>
    <w:rsid w:val="6AE327DC"/>
    <w:rsid w:val="6C4A05C8"/>
    <w:rsid w:val="6E7E3605"/>
    <w:rsid w:val="6FF5CC65"/>
    <w:rsid w:val="715C0E4B"/>
    <w:rsid w:val="72734D90"/>
    <w:rsid w:val="73AD73D5"/>
    <w:rsid w:val="73B6EB34"/>
    <w:rsid w:val="79EE5BA4"/>
    <w:rsid w:val="7A894339"/>
    <w:rsid w:val="7C243B37"/>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afterLines="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eastAsia="仿宋"/>
      <w:kern w:val="0"/>
      <w:sz w:val="32"/>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65010773943442"/>
          <c:y val="0.013597606969074"/>
        </c:manualLayout>
      </c:layout>
      <c:overlay val="0"/>
      <c:spPr>
        <a:noFill/>
        <a:ln>
          <a:noFill/>
        </a:ln>
        <a:effectLst/>
      </c:spPr>
    </c:title>
    <c:autoTitleDeleted val="0"/>
    <c:plotArea>
      <c:layout>
        <c:manualLayout>
          <c:layoutTarget val="inner"/>
          <c:xMode val="edge"/>
          <c:yMode val="edge"/>
          <c:x val="0.278153418951753"/>
          <c:y val="0.107107692307692"/>
          <c:w val="0.376008330440819"/>
          <c:h val="0.555528205128205"/>
        </c:manualLayout>
      </c:layout>
      <c:pieChart>
        <c:varyColors val="1"/>
        <c:ser>
          <c:idx val="0"/>
          <c:order val="0"/>
          <c:tx>
            <c:strRef>
              <c:f>Sheet1!$B$1</c:f>
              <c:strCache>
                <c:ptCount val="1"/>
                <c:pt idx="0">
                  <c:v>2021年本年收入（万元）</c:v>
                </c:pt>
              </c:strCache>
            </c:strRef>
          </c:tx>
          <c:spPr/>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1117.63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913.05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17642298354465"/>
          <c:y val="0.9059097978227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0"/>
      <c:spPr>
        <a:noFill/>
        <a:ln>
          <a:noFill/>
        </a:ln>
        <a:effectLst/>
      </c:spPr>
    </c:title>
    <c:autoTitleDeleted val="0"/>
    <c:plotArea>
      <c:layout/>
      <c:pieChart>
        <c:varyColors val="1"/>
        <c:ser>
          <c:idx val="0"/>
          <c:order val="0"/>
          <c:tx>
            <c:strRef>
              <c:f>Sheet1!$B$1</c:f>
              <c:strCache>
                <c:ptCount val="1"/>
                <c:pt idx="0">
                  <c:v>2021年本年支出（万元）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586.92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557.47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项目支出</c:v>
                </c:pt>
                <c:pt idx="1">
                  <c:v>基本支出</c:v>
                </c:pt>
              </c:strCache>
            </c:strRef>
          </c:cat>
          <c:val>
            <c:numRef>
              <c:f>Sheet1!$B$2:$B$3</c:f>
              <c:numCache>
                <c:formatCode>#,##0.00</c:formatCode>
                <c:ptCount val="2"/>
                <c:pt idx="0">
                  <c:v>586.92</c:v>
                </c:pt>
                <c:pt idx="1">
                  <c:v>557.47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60423265188598"/>
          <c:y val="0.88321732405259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overlay val="0"/>
      <c:spPr>
        <a:noFill/>
        <a:ln>
          <a:noFill/>
        </a:ln>
        <a:effectLst/>
      </c:spPr>
    </c:title>
    <c:autoTitleDeleted val="0"/>
    <c:plotArea>
      <c:layout>
        <c:manualLayout>
          <c:layoutTarget val="inner"/>
          <c:xMode val="edge"/>
          <c:yMode val="edge"/>
          <c:x val="0.0119707661290323"/>
          <c:y val="0.239158756746697"/>
          <c:w val="0.944556451612903"/>
          <c:h val="0.683863763260748"/>
        </c:manualLayout>
      </c:layout>
      <c:barChart>
        <c:barDir val="col"/>
        <c:grouping val="clustered"/>
        <c:varyColors val="0"/>
        <c:ser>
          <c:idx val="0"/>
          <c:order val="0"/>
          <c:tx>
            <c:strRef>
              <c:f>Sheet1!$B$1</c:f>
              <c:strCache>
                <c:ptCount val="1"/>
                <c:pt idx="0">
                  <c:v>一般公共预算财政拨款支出决算总计</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52.89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1144.39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856.39</c:v>
                </c:pt>
                <c:pt idx="1">
                  <c:v>913.05</c:v>
                </c:pt>
              </c:numCache>
            </c:numRef>
          </c:val>
        </c:ser>
        <c:dLbls>
          <c:showLegendKey val="0"/>
          <c:showVal val="0"/>
          <c:showCatName val="0"/>
          <c:showSerName val="0"/>
          <c:showPercent val="0"/>
          <c:showBubbleSize val="0"/>
        </c:dLbls>
        <c:gapWidth val="150"/>
        <c:overlap val="-25"/>
        <c:axId val="912273967"/>
        <c:axId val="923336258"/>
      </c:barChart>
      <c:catAx>
        <c:axId val="912273967"/>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1"/>
        <c:lblAlgn val="ctr"/>
        <c:lblOffset val="100"/>
        <c:noMultiLvlLbl val="0"/>
      </c:catAx>
      <c:valAx>
        <c:axId val="923336258"/>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a:t>
            </a:r>
            <a:r>
              <a:t>）</a:t>
            </a:r>
          </a:p>
        </c:rich>
      </c:tx>
      <c:layout>
        <c:manualLayout>
          <c:xMode val="edge"/>
          <c:yMode val="edge"/>
          <c:x val="0.283297698402717"/>
          <c:y val="0.018897951064253"/>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Lbl>
              <c:idx val="2"/>
              <c:layout>
                <c:manualLayout>
                  <c:x val="-0.0468592520468367"/>
                  <c:y val="0.008383203356270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96524323357366"/>
                  <c:y val="0.01684045530091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17173904044711"/>
                  <c:y val="0.05798401453627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100617103339275"/>
                  <c:y val="-0.007648120714019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350013880662454"/>
                  <c:y val="0.01257634986087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2887933835082"/>
                  <c:y val="0.0491955788770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107321375709749"/>
                  <c:y val="0.01768317374907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442881666106002"/>
                  <c:y val="-0.010012865524092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39.</a:t>
                    </a:r>
                    <a:r>
                      <a:rPr lang="en-US" altLang="zh-CN"/>
                      <a:t>21</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一般公共服务支出</c:v>
                </c:pt>
                <c:pt idx="1">
                  <c:v>公共安全支出</c:v>
                </c:pt>
                <c:pt idx="2">
                  <c:v>社会保障和就业支出</c:v>
                </c:pt>
                <c:pt idx="3">
                  <c:v>卫生健康支出</c:v>
                </c:pt>
                <c:pt idx="4">
                  <c:v>节能环保支出</c:v>
                </c:pt>
                <c:pt idx="5">
                  <c:v>城乡社区支出</c:v>
                </c:pt>
                <c:pt idx="6">
                  <c:v>农林水支出</c:v>
                </c:pt>
                <c:pt idx="7">
                  <c:v>交通运输</c:v>
                </c:pt>
                <c:pt idx="8">
                  <c:v>自然资源海洋气象等支出</c:v>
                </c:pt>
                <c:pt idx="9">
                  <c:v>住房保障支出</c:v>
                </c:pt>
                <c:pt idx="10">
                  <c:v>灾害防治及应急管理支出</c:v>
                </c:pt>
              </c:strCache>
            </c:strRef>
          </c:cat>
          <c:val>
            <c:numRef>
              <c:f>Sheet1!$B$2:$B$12</c:f>
              <c:numCache>
                <c:formatCode>0.00%</c:formatCode>
                <c:ptCount val="11"/>
                <c:pt idx="0">
                  <c:v>0.4336</c:v>
                </c:pt>
                <c:pt idx="1">
                  <c:v>0.0184</c:v>
                </c:pt>
                <c:pt idx="2">
                  <c:v>0.0362</c:v>
                </c:pt>
                <c:pt idx="3">
                  <c:v>0.0114</c:v>
                </c:pt>
                <c:pt idx="4">
                  <c:v>0.0035</c:v>
                </c:pt>
                <c:pt idx="5">
                  <c:v>0.1394</c:v>
                </c:pt>
                <c:pt idx="6">
                  <c:v>0.2909</c:v>
                </c:pt>
                <c:pt idx="7">
                  <c:v>0.0008</c:v>
                </c:pt>
                <c:pt idx="8">
                  <c:v>0.0035</c:v>
                </c:pt>
                <c:pt idx="9">
                  <c:v>0.0282</c:v>
                </c:pt>
                <c:pt idx="10">
                  <c:v>0.0341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14298</Words>
  <Characters>15602</Characters>
  <Lines>61</Lines>
  <Paragraphs>17</Paragraphs>
  <TotalTime>12</TotalTime>
  <ScaleCrop>false</ScaleCrop>
  <LinksUpToDate>false</LinksUpToDate>
  <CharactersWithSpaces>15705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Chrismanman</cp:lastModifiedBy>
  <cp:lastPrinted>2022-09-21T08:31:00Z</cp:lastPrinted>
  <dcterms:modified xsi:type="dcterms:W3CDTF">2023-09-13T00:53:20Z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EFE890A3AD654D41981939AF33C10062_13</vt:lpwstr>
  </property>
</Properties>
</file>