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7425"/>
      <w:bookmarkStart w:id="1" w:name="_Toc15378441"/>
      <w:bookmarkStart w:id="2" w:name="_Toc15377193"/>
      <w:bookmarkStart w:id="3" w:name="_Toc15396597"/>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96476"/>
      <w:bookmarkStart w:id="8" w:name="_Toc15377426"/>
      <w:bookmarkStart w:id="9" w:name="_Toc15377194"/>
      <w:bookmarkStart w:id="10" w:name="_Toc15396598"/>
      <w:r>
        <w:rPr>
          <w:rFonts w:hint="eastAsia" w:ascii="方正小标宋简体" w:hAnsi="方正小标宋简体" w:eastAsia="方正小标宋简体" w:cs="方正小标宋简体"/>
          <w:color w:val="auto"/>
          <w:sz w:val="72"/>
          <w:szCs w:val="72"/>
          <w:highlight w:val="none"/>
          <w:lang w:val="en-US" w:eastAsia="zh-CN"/>
        </w:rPr>
        <w:t>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林业局</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w:t>
      </w:r>
      <w:r>
        <w:rPr>
          <w:rFonts w:hint="eastAsia"/>
          <w:color w:val="auto"/>
          <w:highlight w:val="none"/>
          <w:lang w:eastAsia="zh-CN"/>
        </w:rPr>
        <w:t>2021年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eastAsia="zh-CN"/>
        </w:rPr>
        <w:t>．．．．．．．．．．．．．．．．．．．．．．．．</w:t>
      </w:r>
      <w:r>
        <w:rPr>
          <w:rFonts w:hint="eastAsia" w:ascii="仿宋_GB2312" w:hAnsi="仿宋_GB2312" w:eastAsia="仿宋_GB2312" w:cs="仿宋_GB2312"/>
          <w:sz w:val="30"/>
          <w:szCs w:val="30"/>
          <w:lang w:val="en-US" w:eastAsia="zh-CN"/>
        </w:rPr>
        <w:t>4</w:t>
      </w:r>
    </w:p>
    <w:p>
      <w:pPr>
        <w:pStyle w:val="14"/>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一、基本职能及主要工作</w:t>
      </w:r>
      <w:r>
        <w:rPr>
          <w:rFonts w:hint="eastAsia"/>
          <w:color w:val="auto"/>
          <w:sz w:val="24"/>
          <w:highlight w:val="none"/>
          <w:lang w:eastAsia="zh-CN"/>
        </w:rPr>
        <w:t>．．．．．．．．．．．．．．．．．．．．</w:t>
      </w:r>
      <w:r>
        <w:rPr>
          <w:rFonts w:hint="eastAsia"/>
          <w:color w:val="auto"/>
          <w:sz w:val="24"/>
          <w:highlight w:val="none"/>
          <w:lang w:val="en-US" w:eastAsia="zh-CN"/>
        </w:rPr>
        <w:t>4</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eastAsia="zh-CN"/>
        </w:rPr>
        <w:t>．．．．．．．．．．．．．．．．．．．．．．．．．</w:t>
      </w:r>
      <w:r>
        <w:rPr>
          <w:rFonts w:hint="eastAsia"/>
          <w:color w:val="auto"/>
          <w:sz w:val="24"/>
          <w:highlight w:val="none"/>
          <w:lang w:val="en-US" w:eastAsia="zh-CN"/>
        </w:rPr>
        <w:t>11</w:t>
      </w:r>
    </w:p>
    <w:p>
      <w:pPr>
        <w:pStyle w:val="12"/>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r>
        <w:rPr>
          <w:rFonts w:hint="eastAsia"/>
          <w:color w:val="auto"/>
          <w:sz w:val="24"/>
          <w:highlight w:val="none"/>
          <w:lang w:eastAsia="zh-CN"/>
        </w:rPr>
        <w:t>．．．．．．．．．．．．．．．．</w:t>
      </w:r>
      <w:r>
        <w:rPr>
          <w:rFonts w:hint="eastAsia"/>
          <w:color w:val="auto"/>
          <w:sz w:val="24"/>
          <w:highlight w:val="none"/>
          <w:lang w:val="en-US" w:eastAsia="zh-CN"/>
        </w:rPr>
        <w:t>12</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eastAsia="zh-CN"/>
        </w:rPr>
        <w:t>．．．．．．．．．．．．．．．．．</w:t>
      </w:r>
      <w:r>
        <w:rPr>
          <w:rFonts w:hint="eastAsia"/>
          <w:color w:val="auto"/>
          <w:sz w:val="24"/>
          <w:highlight w:val="none"/>
          <w:lang w:val="en-US" w:eastAsia="zh-CN"/>
        </w:rPr>
        <w:t>12</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12</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13</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．．．．．．．．．．．．．13</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14</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19</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eastAsia="zh-CN"/>
        </w:rPr>
        <w:t>．．．．．．．．．．．</w:t>
      </w:r>
      <w:r>
        <w:rPr>
          <w:rFonts w:hint="eastAsia"/>
          <w:color w:val="auto"/>
          <w:sz w:val="24"/>
          <w:highlight w:val="none"/>
          <w:lang w:val="en-US" w:eastAsia="zh-CN"/>
        </w:rPr>
        <w:t>19</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21</w:t>
      </w:r>
    </w:p>
    <w:p>
      <w:pPr>
        <w:pStyle w:val="14"/>
        <w:adjustRightInd w:val="0"/>
        <w:snapToGrid w:val="0"/>
        <w:spacing w:line="440" w:lineRule="exact"/>
        <w:ind w:leftChars="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21</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20"/>
          <w:rFonts w:hint="eastAsia" w:asciiTheme="minorEastAsia" w:hAnsiTheme="minorEastAsia" w:eastAsiaTheme="minorEastAsia" w:cstheme="minorEastAsia"/>
          <w:color w:val="auto"/>
          <w:sz w:val="24"/>
          <w:highlight w:val="none"/>
          <w:u w:val="none"/>
          <w:lang w:eastAsia="zh-CN"/>
        </w:rPr>
        <w:t>十</w:t>
      </w:r>
      <w:r>
        <w:rPr>
          <w:rStyle w:val="20"/>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lang w:val="en-US" w:eastAsia="zh-CN"/>
        </w:rPr>
        <w:t>预算绩效管理情况．．．．．．．．．．．．．．．．．．．．．22</w:t>
      </w:r>
      <w:r>
        <w:rPr>
          <w:rFonts w:hint="eastAsia" w:asciiTheme="minorEastAsia" w:hAnsiTheme="minorEastAsia" w:eastAsiaTheme="minorEastAsia" w:cstheme="minorEastAsia"/>
          <w:color w:val="auto"/>
          <w:sz w:val="24"/>
          <w:highlight w:val="none"/>
        </w:rPr>
        <w:tab/>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eastAsiaTheme="minorEastAsia"/>
          <w:lang w:val="en-US" w:eastAsia="zh-CN"/>
        </w:rPr>
      </w:pPr>
      <w:r>
        <w:rPr>
          <w:rFonts w:hint="eastAsia" w:asciiTheme="minorEastAsia" w:hAnsiTheme="minorEastAsia" w:eastAsiaTheme="minorEastAsia" w:cstheme="minorEastAsia"/>
          <w:color w:val="auto"/>
          <w:sz w:val="24"/>
          <w:highlight w:val="none"/>
          <w:lang w:val="en-US" w:eastAsia="zh-CN"/>
        </w:rPr>
        <w:t>十一、</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23</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24</w:t>
      </w:r>
    </w:p>
    <w:p>
      <w:pPr>
        <w:pStyle w:val="12"/>
        <w:adjustRightInd w:val="0"/>
        <w:snapToGrid w:val="0"/>
        <w:spacing w:before="0" w:line="440" w:lineRule="exact"/>
        <w:jc w:val="left"/>
        <w:rPr>
          <w:rFonts w:hint="eastAsia"/>
          <w:color w:val="auto"/>
          <w:sz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28</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90</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ascii="仿宋" w:hAnsi="仿宋" w:eastAsia="仿宋"/>
          <w:color w:val="auto"/>
          <w:sz w:val="24"/>
          <w:highlight w:val="none"/>
        </w:rPr>
        <w:t>一、</w:t>
      </w:r>
      <w:r>
        <w:rPr>
          <w:rFonts w:hint="eastAsia"/>
          <w:color w:val="auto"/>
          <w:sz w:val="24"/>
          <w:highlight w:val="none"/>
        </w:rPr>
        <w:t>收入支出决算总表</w:t>
      </w:r>
      <w:r>
        <w:rPr>
          <w:rFonts w:hint="eastAsia"/>
          <w:color w:val="auto"/>
          <w:sz w:val="24"/>
          <w:highlight w:val="none"/>
          <w:lang w:eastAsia="zh-CN"/>
        </w:rPr>
        <w:t>．．．．．．．．．．．．．．．．．．．．．</w:t>
      </w:r>
      <w:r>
        <w:rPr>
          <w:rFonts w:hint="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二、收入决算表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三、支出决算表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四、财政拨款收入支出决算总表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五、财政拨款支出决算明细表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六、一般公共预算财政拨款支出决算表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七、一般公共预算财政拨款支出决算明细表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八、一般公共预算财政拨款基本支出决算表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九、一般公共预算财政拨款项目支出决算表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十、一般公共预算财政拨款“三公”经费支出决算表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十一、政府性基金预算财政拨款收入支出决算表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十二、政府性基金预算财政拨款“三公”经费支出决算表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bookmarkStart w:id="12" w:name="_Toc15396599"/>
      <w:bookmarkStart w:id="13" w:name="_Toc15377196"/>
      <w:r>
        <w:rPr>
          <w:rFonts w:hint="eastAsia" w:asciiTheme="minorEastAsia" w:hAnsiTheme="minorEastAsia" w:eastAsiaTheme="minorEastAsia" w:cstheme="minorEastAsia"/>
          <w:color w:val="auto"/>
          <w:sz w:val="24"/>
          <w:highlight w:val="none"/>
          <w:lang w:val="en-US" w:eastAsia="zh-CN"/>
        </w:rPr>
        <w:t>．．．．．．．．．．．．90</w:t>
      </w: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pPr>
        <w:pStyle w:val="14"/>
        <w:adjustRightInd w:val="0"/>
        <w:snapToGrid w:val="0"/>
        <w:spacing w:line="440" w:lineRule="exact"/>
        <w:jc w:val="center"/>
        <w:rPr>
          <w:rStyle w:val="29"/>
          <w:rFonts w:hint="eastAsia" w:ascii="黑体" w:hAnsi="黑体" w:eastAsia="黑体" w:cs="Times New Roman"/>
          <w:b w:val="0"/>
          <w:bCs w:val="0"/>
          <w:color w:val="auto"/>
          <w:highlight w:val="none"/>
        </w:rPr>
      </w:pPr>
      <w:r>
        <w:rPr>
          <w:rStyle w:val="29"/>
          <w:rFonts w:hint="eastAsia" w:ascii="黑体" w:hAnsi="黑体" w:eastAsia="黑体" w:cs="Times New Roman"/>
          <w:b w:val="0"/>
          <w:bCs w:val="0"/>
          <w:color w:val="auto"/>
          <w:highlight w:val="none"/>
        </w:rPr>
        <w:t>第一部分 部门概况</w:t>
      </w:r>
      <w:bookmarkEnd w:id="12"/>
      <w:bookmarkEnd w:id="13"/>
    </w:p>
    <w:p>
      <w:pPr>
        <w:pStyle w:val="4"/>
        <w:rPr>
          <w:rStyle w:val="29"/>
          <w:rFonts w:hint="eastAsia" w:ascii="黑体" w:hAnsi="黑体" w:eastAsia="黑体" w:cs="Times New Roman"/>
          <w:b w:val="0"/>
          <w:bCs w:val="0"/>
          <w:color w:val="auto"/>
          <w:highlight w:val="none"/>
          <w:lang w:val="en-US" w:eastAsia="zh-CN" w:bidi="ar-SA"/>
        </w:rPr>
      </w:pPr>
      <w:bookmarkStart w:id="14" w:name="_Toc15396600"/>
      <w:bookmarkStart w:id="15" w:name="_Toc15377197"/>
      <w:r>
        <w:rPr>
          <w:rFonts w:hint="eastAsia" w:ascii="黑体" w:hAnsi="黑体" w:eastAsia="黑体"/>
          <w:b w:val="0"/>
          <w:color w:val="auto"/>
          <w:highlight w:val="none"/>
        </w:rPr>
        <w:t>一、基</w:t>
      </w:r>
      <w:r>
        <w:rPr>
          <w:rStyle w:val="30"/>
          <w:rFonts w:hint="eastAsia" w:ascii="黑体" w:hAnsi="黑体" w:eastAsia="黑体"/>
          <w:b w:val="0"/>
          <w:bCs w:val="0"/>
          <w:color w:val="auto"/>
          <w:highlight w:val="none"/>
        </w:rPr>
        <w:t>本职能及主要工作</w:t>
      </w:r>
      <w:bookmarkEnd w:id="14"/>
      <w:bookmarkEnd w:id="15"/>
    </w:p>
    <w:p>
      <w:pPr>
        <w:numPr>
          <w:ilvl w:val="0"/>
          <w:numId w:val="0"/>
        </w:numPr>
        <w:spacing w:line="576" w:lineRule="exact"/>
        <w:ind w:firstLine="640" w:firstLineChars="200"/>
        <w:jc w:val="left"/>
        <w:rPr>
          <w:rStyle w:val="30"/>
          <w:rFonts w:hint="eastAsia" w:ascii="黑体" w:hAnsi="黑体" w:eastAsia="黑体"/>
          <w:b w:val="0"/>
          <w:bCs w:val="0"/>
          <w:color w:val="auto"/>
          <w:highlight w:val="none"/>
        </w:rPr>
      </w:pPr>
      <w:bookmarkStart w:id="16" w:name="_Toc15396601"/>
      <w:bookmarkStart w:id="17" w:name="_Toc15377200"/>
      <w:r>
        <w:rPr>
          <w:rStyle w:val="30"/>
          <w:rFonts w:hint="eastAsia" w:ascii="黑体" w:hAnsi="黑体" w:eastAsia="黑体"/>
          <w:b w:val="0"/>
          <w:bCs w:val="0"/>
          <w:color w:val="auto"/>
          <w:highlight w:val="none"/>
          <w:lang w:eastAsia="zh-CN"/>
        </w:rPr>
        <w:t>（一）</w:t>
      </w:r>
      <w:r>
        <w:rPr>
          <w:rStyle w:val="30"/>
          <w:rFonts w:hint="eastAsia" w:ascii="黑体" w:hAnsi="黑体" w:eastAsia="黑体"/>
          <w:b w:val="0"/>
          <w:bCs w:val="0"/>
          <w:color w:val="auto"/>
          <w:highlight w:val="none"/>
        </w:rPr>
        <w:t>基本职能</w:t>
      </w:r>
      <w:bookmarkStart w:id="18" w:name="_Toc15377199"/>
      <w:bookmarkStart w:id="19" w:name="_Toc15378446"/>
    </w:p>
    <w:p>
      <w:pPr>
        <w:numPr>
          <w:ilvl w:val="0"/>
          <w:numId w:val="0"/>
        </w:numPr>
        <w:spacing w:line="576"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 w:eastAsia="仿宋_GB2312"/>
          <w:color w:val="000000"/>
          <w:sz w:val="32"/>
          <w:szCs w:val="32"/>
        </w:rPr>
        <w:t>负责全市林业及其生态保护修复的监督管理。组织全市生态保护修复和造林绿化工作。负责全市森林资源的监督管理。负责全市湿地资源的监督管理。负责全市陆生野生动植物资源的监督管理。负责监督管理全市各类自然保护地。负责推进全市林业改革相关工作。拟订集体林权制度、国有林区、国有林场（苗圃）等重大改革意见并监督实施。拟订农村林业发展、维护林业经营者合法权益的政策措施。指导农村林地承包经营工作。开展退耕还林，负责天然林保护工作。拟订全市林业资源优化配置及木材利用政策，拟订相关林业产业地方标准并监督实施，组织、指导林产品质量监督。指导全市国有林场（苗圃）基本建设、发展，组织林木种质资源普查，组织建立种质资源库，负责良种选育推广，管理林木种苗生产经营行为，监管林木种苗质量。负责森林防灭火相关工作。监督管理全市林业市级及以上资金和国有资产，提出林业预算内投资、市级及以上财政性资金安排建议，按市政府规定权限，核报、监督管理规划内和年度计划内投资项目。参与拟订全市林业经济调节政策，组织实施林业生态补偿工作。承担职责范围内安全生产和职业健康、生态环境保护、审批服务便民化等工作。</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eastAsia="zh-CN"/>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18"/>
      <w:bookmarkEnd w:id="19"/>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同步</w:t>
      </w:r>
      <w:r>
        <w:rPr>
          <w:rFonts w:hint="default" w:ascii="仿宋_GB2312" w:hAnsi="仿宋" w:eastAsia="仿宋_GB2312"/>
          <w:color w:val="000000"/>
          <w:sz w:val="32"/>
          <w:szCs w:val="32"/>
          <w:lang w:val="en-US"/>
        </w:rPr>
        <w:t>梯</w:t>
      </w:r>
      <w:r>
        <w:rPr>
          <w:rFonts w:hint="eastAsia" w:ascii="仿宋_GB2312" w:hAnsi="仿宋" w:eastAsia="仿宋_GB2312"/>
          <w:color w:val="000000"/>
          <w:sz w:val="32"/>
          <w:szCs w:val="32"/>
          <w:lang w:val="en-US" w:eastAsia="zh-CN"/>
        </w:rPr>
        <w:t>级</w:t>
      </w:r>
      <w:r>
        <w:rPr>
          <w:rFonts w:hint="eastAsia" w:ascii="仿宋_GB2312" w:hAnsi="仿宋" w:eastAsia="仿宋_GB2312"/>
          <w:color w:val="000000"/>
          <w:sz w:val="32"/>
          <w:szCs w:val="32"/>
          <w:lang w:eastAsia="zh-CN"/>
        </w:rPr>
        <w:t>提升</w:t>
      </w:r>
      <w:r>
        <w:rPr>
          <w:rFonts w:hint="eastAsia" w:ascii="仿宋_GB2312" w:hAnsi="仿宋" w:eastAsia="仿宋_GB2312"/>
          <w:color w:val="000000"/>
          <w:sz w:val="32"/>
          <w:szCs w:val="32"/>
          <w:lang w:val="en-US" w:eastAsia="zh-CN"/>
        </w:rPr>
        <w:t>，建设</w:t>
      </w:r>
      <w:r>
        <w:rPr>
          <w:rFonts w:hint="eastAsia" w:ascii="仿宋_GB2312" w:hAnsi="仿宋" w:eastAsia="仿宋_GB2312"/>
          <w:color w:val="000000"/>
          <w:sz w:val="32"/>
          <w:szCs w:val="32"/>
        </w:rPr>
        <w:t>现代林业园区。</w:t>
      </w:r>
      <w:r>
        <w:rPr>
          <w:rFonts w:hint="eastAsia" w:ascii="仿宋_GB2312" w:hAnsi="仿宋" w:eastAsia="仿宋_GB2312"/>
          <w:color w:val="000000"/>
          <w:sz w:val="32"/>
          <w:szCs w:val="32"/>
          <w:lang w:eastAsia="zh-CN"/>
        </w:rPr>
        <w:t>一是争创国家级园区。</w:t>
      </w:r>
      <w:r>
        <w:rPr>
          <w:rFonts w:hint="eastAsia" w:ascii="仿宋_GB2312" w:hAnsi="仿宋" w:eastAsia="仿宋_GB2312"/>
          <w:color w:val="000000"/>
          <w:sz w:val="32"/>
          <w:szCs w:val="32"/>
          <w:lang w:val="en-US" w:eastAsia="zh-CN"/>
        </w:rPr>
        <w:t>朝天核桃现代林业产业园区、中国西部（广元）绿色家居产业城创建国家林业产业示范园区已通过公示。</w:t>
      </w:r>
      <w:r>
        <w:rPr>
          <w:rFonts w:hint="eastAsia" w:ascii="仿宋_GB2312" w:hAnsi="仿宋" w:eastAsia="仿宋_GB2312"/>
          <w:color w:val="000000"/>
          <w:sz w:val="32"/>
          <w:szCs w:val="32"/>
          <w:lang w:eastAsia="zh-CN"/>
        </w:rPr>
        <w:t>二是培育省级园区。</w:t>
      </w:r>
      <w:r>
        <w:rPr>
          <w:rFonts w:hint="eastAsia" w:ascii="仿宋_GB2312" w:hAnsi="仿宋" w:eastAsia="仿宋_GB2312"/>
          <w:color w:val="000000"/>
          <w:sz w:val="32"/>
          <w:szCs w:val="32"/>
          <w:lang w:val="en-US" w:eastAsia="zh-CN"/>
        </w:rPr>
        <w:t>剑阁县核桃现代林业园区、昭化区林下中药材园区创建省星级林业园区已通过现场核查，旺苍英萃核桃园区、青川白龙湖油橄榄园区、利州木本油料园区被市政府推荐申报省星级培育园区。</w:t>
      </w:r>
      <w:r>
        <w:rPr>
          <w:rFonts w:hint="eastAsia" w:ascii="仿宋_GB2312" w:hAnsi="仿宋" w:eastAsia="仿宋_GB2312"/>
          <w:color w:val="000000"/>
          <w:sz w:val="32"/>
          <w:szCs w:val="32"/>
          <w:lang w:eastAsia="zh-CN"/>
        </w:rPr>
        <w:t>三是认定市级园区。</w:t>
      </w:r>
      <w:r>
        <w:rPr>
          <w:rFonts w:hint="eastAsia" w:ascii="仿宋_GB2312" w:hAnsi="仿宋" w:eastAsia="仿宋_GB2312"/>
          <w:color w:val="000000"/>
          <w:sz w:val="32"/>
          <w:szCs w:val="32"/>
          <w:lang w:val="en-US" w:eastAsia="zh-CN"/>
        </w:rPr>
        <w:t>苍溪高晨核桃园区、青川沙州油橄榄园区、朝天两河口笋用竹园区等7个园区创建为市级现代林业园区</w:t>
      </w:r>
      <w:r>
        <w:rPr>
          <w:rFonts w:hint="eastAsia" w:ascii="仿宋_GB2312" w:hAnsi="仿宋" w:eastAsia="仿宋_GB2312"/>
          <w:color w:val="000000"/>
          <w:sz w:val="32"/>
          <w:szCs w:val="32"/>
          <w:lang w:eastAsia="zh-CN"/>
        </w:rPr>
        <w:t>。省林草局充分肯定我市园区建设的经验和成效，全省现代林业园区建设现场推进会</w:t>
      </w:r>
      <w:r>
        <w:rPr>
          <w:rFonts w:hint="eastAsia" w:ascii="仿宋_GB2312" w:hAnsi="仿宋" w:eastAsia="仿宋_GB2312"/>
          <w:color w:val="000000"/>
          <w:sz w:val="32"/>
          <w:szCs w:val="32"/>
          <w:lang w:val="en-US" w:eastAsia="zh-CN"/>
        </w:rPr>
        <w:t>在我市召开。</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突出</w:t>
      </w:r>
      <w:r>
        <w:rPr>
          <w:rFonts w:hint="eastAsia" w:ascii="仿宋_GB2312" w:hAnsi="仿宋" w:eastAsia="仿宋_GB2312"/>
          <w:color w:val="000000"/>
          <w:sz w:val="32"/>
          <w:szCs w:val="32"/>
        </w:rPr>
        <w:t>提质增效</w:t>
      </w:r>
      <w:r>
        <w:rPr>
          <w:rFonts w:hint="eastAsia" w:ascii="仿宋_GB2312" w:hAnsi="仿宋" w:eastAsia="仿宋_GB2312"/>
          <w:color w:val="000000"/>
          <w:sz w:val="32"/>
          <w:szCs w:val="32"/>
          <w:lang w:eastAsia="zh-CN"/>
        </w:rPr>
        <w:t>，发展林业特色产业</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一是推进木本油料提质增效。实施核桃品种改良15.2万亩，近年新栽实生苗品种改良任务基本完成。新建成木本油料丰产稳产示范基地20万亩，累计建成50.3万亩。实现核桃产量22.</w:t>
      </w:r>
      <w:r>
        <w:rPr>
          <w:rFonts w:hint="eastAsia" w:ascii="仿宋_GB2312" w:hAnsi="仿宋" w:eastAsia="仿宋_GB2312"/>
          <w:color w:val="000000"/>
          <w:sz w:val="32"/>
          <w:szCs w:val="32"/>
          <w:lang w:val="en-US" w:eastAsia="zh-CN"/>
        </w:rPr>
        <w:t>28</w:t>
      </w:r>
      <w:r>
        <w:rPr>
          <w:rFonts w:hint="eastAsia" w:ascii="仿宋_GB2312" w:hAnsi="仿宋" w:eastAsia="仿宋_GB2312"/>
          <w:color w:val="000000"/>
          <w:sz w:val="32"/>
          <w:szCs w:val="32"/>
          <w:lang w:eastAsia="zh-CN"/>
        </w:rPr>
        <w:t>万吨、油橄榄产量5572吨。二是推进以笋用竹为重点的森林蔬菜产业发展。</w:t>
      </w:r>
      <w:r>
        <w:rPr>
          <w:rFonts w:hint="eastAsia" w:ascii="仿宋_GB2312" w:hAnsi="仿宋" w:eastAsia="仿宋_GB2312"/>
          <w:color w:val="000000"/>
          <w:sz w:val="32"/>
          <w:szCs w:val="32"/>
          <w:lang w:val="en-US" w:eastAsia="zh-CN"/>
        </w:rPr>
        <w:t>新栽笋用竹3.1万亩，</w:t>
      </w:r>
      <w:r>
        <w:rPr>
          <w:rFonts w:hint="eastAsia" w:ascii="仿宋_GB2312" w:hAnsi="仿宋" w:eastAsia="仿宋_GB2312"/>
          <w:color w:val="000000"/>
          <w:sz w:val="32"/>
          <w:szCs w:val="32"/>
          <w:lang w:eastAsia="zh-CN"/>
        </w:rPr>
        <w:t>抚育改造野生巴山木竹笋用竹林</w:t>
      </w:r>
      <w:r>
        <w:rPr>
          <w:rFonts w:hint="eastAsia" w:ascii="仿宋_GB2312" w:hAnsi="仿宋" w:eastAsia="仿宋_GB2312"/>
          <w:color w:val="000000"/>
          <w:sz w:val="32"/>
          <w:szCs w:val="32"/>
          <w:lang w:val="en-US" w:eastAsia="zh-CN"/>
        </w:rPr>
        <w:t>1.2</w:t>
      </w:r>
      <w:r>
        <w:rPr>
          <w:rFonts w:hint="eastAsia" w:ascii="仿宋_GB2312" w:hAnsi="仿宋" w:eastAsia="仿宋_GB2312"/>
          <w:color w:val="000000"/>
          <w:sz w:val="32"/>
          <w:szCs w:val="32"/>
          <w:lang w:eastAsia="zh-CN"/>
        </w:rPr>
        <w:t>万亩</w:t>
      </w:r>
      <w:r>
        <w:rPr>
          <w:rFonts w:hint="eastAsia" w:ascii="仿宋_GB2312" w:hAnsi="仿宋" w:eastAsia="仿宋_GB2312"/>
          <w:color w:val="000000"/>
          <w:sz w:val="32"/>
          <w:szCs w:val="32"/>
          <w:lang w:val="en-US" w:eastAsia="zh-CN"/>
        </w:rPr>
        <w:t>。利州区中口笋用竹基地、朝天区两河口笋用竹基地被省林草局认定为省级竹产业示范基地。</w:t>
      </w:r>
      <w:r>
        <w:rPr>
          <w:rFonts w:hint="eastAsia" w:ascii="仿宋_GB2312" w:hAnsi="仿宋" w:eastAsia="仿宋_GB2312"/>
          <w:color w:val="000000"/>
          <w:sz w:val="32"/>
          <w:szCs w:val="32"/>
          <w:lang w:eastAsia="zh-CN"/>
        </w:rPr>
        <w:t>三是做强林下经济。新发展芍药、金丝皇菊、玫瑰、茯苓、柴胡等林下种植和林蜂、林禽、林畜等林下养殖为主的林下经济10</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lang w:eastAsia="zh-CN"/>
        </w:rPr>
        <w:t>万亩。利州区精珍竹笋林下经济示范基地建成国家林下经济示范基地。四是做精森林康养旅游。</w:t>
      </w:r>
      <w:r>
        <w:rPr>
          <w:rFonts w:hint="eastAsia" w:ascii="仿宋_GB2312" w:hAnsi="仿宋" w:eastAsia="仿宋_GB2312"/>
          <w:color w:val="000000"/>
          <w:sz w:val="32"/>
          <w:szCs w:val="32"/>
          <w:lang w:val="en-US" w:eastAsia="zh-CN"/>
        </w:rPr>
        <w:t>新建成国家级森林康养试点建设基地1家、中国森林康养人家1家。</w:t>
      </w:r>
      <w:r>
        <w:rPr>
          <w:rFonts w:hint="default" w:ascii="仿宋_GB2312" w:hAnsi="仿宋" w:eastAsia="仿宋_GB2312"/>
          <w:color w:val="000000"/>
          <w:sz w:val="32"/>
          <w:szCs w:val="32"/>
          <w:lang w:val="en-US" w:eastAsia="zh-CN"/>
        </w:rPr>
        <w:t>举办了苍溪梨花节、</w:t>
      </w:r>
      <w:r>
        <w:rPr>
          <w:rFonts w:hint="eastAsia" w:ascii="仿宋_GB2312" w:hAnsi="仿宋" w:eastAsia="仿宋_GB2312"/>
          <w:color w:val="000000"/>
          <w:sz w:val="32"/>
          <w:szCs w:val="32"/>
          <w:lang w:val="en-US" w:eastAsia="zh-CN"/>
        </w:rPr>
        <w:t>旺苍英萃芍药花节、剑阁金丝皇菊采摘节、青川环幸福岛花卉旅游</w:t>
      </w:r>
      <w:r>
        <w:rPr>
          <w:rFonts w:hint="default" w:ascii="仿宋_GB2312" w:hAnsi="仿宋" w:eastAsia="仿宋_GB2312"/>
          <w:color w:val="000000"/>
          <w:sz w:val="32"/>
          <w:szCs w:val="32"/>
          <w:lang w:val="en-US" w:eastAsia="zh-CN"/>
        </w:rPr>
        <w:t>节、利州月季花节</w:t>
      </w:r>
      <w:r>
        <w:rPr>
          <w:rFonts w:hint="eastAsia" w:ascii="仿宋_GB2312" w:hAnsi="仿宋" w:eastAsia="仿宋_GB2312"/>
          <w:color w:val="000000"/>
          <w:sz w:val="32"/>
          <w:szCs w:val="32"/>
          <w:lang w:val="en-US" w:eastAsia="zh-CN"/>
        </w:rPr>
        <w:t>、</w:t>
      </w:r>
      <w:r>
        <w:rPr>
          <w:rFonts w:hint="default" w:ascii="仿宋_GB2312" w:hAnsi="仿宋" w:eastAsia="仿宋_GB2312"/>
          <w:color w:val="000000"/>
          <w:sz w:val="32"/>
          <w:szCs w:val="32"/>
          <w:lang w:val="en-US" w:eastAsia="zh-CN"/>
        </w:rPr>
        <w:t>昭化</w:t>
      </w:r>
      <w:r>
        <w:rPr>
          <w:rFonts w:hint="eastAsia" w:ascii="仿宋_GB2312" w:hAnsi="仿宋" w:eastAsia="仿宋_GB2312"/>
          <w:color w:val="000000"/>
          <w:sz w:val="32"/>
          <w:szCs w:val="32"/>
          <w:lang w:val="en-US" w:eastAsia="zh-CN"/>
        </w:rPr>
        <w:t>荷花</w:t>
      </w:r>
      <w:r>
        <w:rPr>
          <w:rFonts w:hint="default" w:ascii="仿宋_GB2312" w:hAnsi="仿宋" w:eastAsia="仿宋_GB2312"/>
          <w:color w:val="000000"/>
          <w:sz w:val="32"/>
          <w:szCs w:val="32"/>
          <w:lang w:val="en-US" w:eastAsia="zh-CN"/>
        </w:rPr>
        <w:t>节</w:t>
      </w:r>
      <w:r>
        <w:rPr>
          <w:rFonts w:hint="eastAsia" w:ascii="仿宋_GB2312" w:hAnsi="仿宋" w:eastAsia="仿宋_GB2312"/>
          <w:color w:val="000000"/>
          <w:sz w:val="32"/>
          <w:szCs w:val="32"/>
          <w:lang w:val="en-US" w:eastAsia="zh-CN"/>
        </w:rPr>
        <w:t>和桃花节</w:t>
      </w:r>
      <w:r>
        <w:rPr>
          <w:rFonts w:hint="default" w:ascii="仿宋_GB2312" w:hAnsi="仿宋" w:eastAsia="仿宋_GB2312"/>
          <w:color w:val="000000"/>
          <w:sz w:val="32"/>
          <w:szCs w:val="32"/>
          <w:lang w:val="en-US" w:eastAsia="zh-CN"/>
        </w:rPr>
        <w:t>、朝天樱花节等主题花卉旅游节庆活动。</w:t>
      </w:r>
      <w:r>
        <w:rPr>
          <w:rFonts w:hint="eastAsia" w:ascii="仿宋_GB2312" w:hAnsi="仿宋" w:eastAsia="仿宋_GB2312"/>
          <w:color w:val="000000"/>
          <w:sz w:val="32"/>
          <w:szCs w:val="32"/>
          <w:lang w:eastAsia="zh-CN"/>
        </w:rPr>
        <w:t>五是培育新型经营主体。推荐国家林业产业化重点龙头企业1家，</w:t>
      </w:r>
      <w:r>
        <w:rPr>
          <w:rFonts w:hint="eastAsia" w:ascii="仿宋_GB2312" w:hAnsi="仿宋" w:eastAsia="仿宋_GB2312"/>
          <w:color w:val="000000"/>
          <w:sz w:val="32"/>
          <w:szCs w:val="32"/>
          <w:lang w:val="en-US" w:eastAsia="zh-CN"/>
        </w:rPr>
        <w:t>认定省级林草产业化龙头企业9家</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扶持培育国家级农民示范合作社3家、省级示范社4家、市级示范社3家。</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坚持建管并重，推进国土绿化美化</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一是完成营造林任务。以世界银行贷款四川长江流域上游森林生态系统恢复项目为抓手，充分运用生态感知落地上图系统科学推进造林绿化，完成营造林</w:t>
      </w:r>
      <w:r>
        <w:rPr>
          <w:rFonts w:hint="default" w:ascii="仿宋_GB2312" w:hAnsi="仿宋" w:eastAsia="仿宋_GB2312"/>
          <w:color w:val="000000"/>
          <w:sz w:val="32"/>
          <w:szCs w:val="32"/>
          <w:lang w:val="en" w:eastAsia="zh-CN"/>
        </w:rPr>
        <w:t>46.57</w:t>
      </w:r>
      <w:r>
        <w:rPr>
          <w:rFonts w:hint="eastAsia" w:ascii="仿宋_GB2312" w:hAnsi="仿宋" w:eastAsia="仿宋_GB2312"/>
          <w:color w:val="000000"/>
          <w:sz w:val="32"/>
          <w:szCs w:val="32"/>
          <w:lang w:val="zh-CN" w:eastAsia="zh-CN"/>
        </w:rPr>
        <w:t>万亩，</w:t>
      </w:r>
      <w:r>
        <w:rPr>
          <w:rFonts w:hint="eastAsia" w:ascii="仿宋_GB2312" w:hAnsi="仿宋" w:eastAsia="仿宋_GB2312"/>
          <w:color w:val="000000"/>
          <w:sz w:val="32"/>
          <w:szCs w:val="32"/>
          <w:lang w:val="en-US" w:eastAsia="zh-CN"/>
        </w:rPr>
        <w:t>其中人工造林</w:t>
      </w:r>
      <w:r>
        <w:rPr>
          <w:rFonts w:hint="default" w:ascii="仿宋_GB2312" w:hAnsi="仿宋" w:eastAsia="仿宋_GB2312"/>
          <w:color w:val="000000"/>
          <w:sz w:val="32"/>
          <w:szCs w:val="32"/>
          <w:lang w:val="en" w:eastAsia="zh-CN"/>
        </w:rPr>
        <w:t>4.84</w:t>
      </w:r>
      <w:r>
        <w:rPr>
          <w:rFonts w:hint="eastAsia" w:ascii="仿宋_GB2312" w:hAnsi="仿宋" w:eastAsia="仿宋_GB2312"/>
          <w:color w:val="000000"/>
          <w:sz w:val="32"/>
          <w:szCs w:val="32"/>
          <w:lang w:val="en-US" w:eastAsia="zh-CN"/>
        </w:rPr>
        <w:t>万亩、封山育林</w:t>
      </w:r>
      <w:r>
        <w:rPr>
          <w:rFonts w:hint="default" w:ascii="仿宋_GB2312" w:hAnsi="仿宋" w:eastAsia="仿宋_GB2312"/>
          <w:color w:val="000000"/>
          <w:sz w:val="32"/>
          <w:szCs w:val="32"/>
          <w:lang w:val="en" w:eastAsia="zh-CN"/>
        </w:rPr>
        <w:t>14.60</w:t>
      </w:r>
      <w:r>
        <w:rPr>
          <w:rFonts w:hint="eastAsia" w:ascii="仿宋_GB2312" w:hAnsi="仿宋" w:eastAsia="仿宋_GB2312"/>
          <w:color w:val="000000"/>
          <w:sz w:val="32"/>
          <w:szCs w:val="32"/>
          <w:lang w:val="en-US" w:eastAsia="zh-CN"/>
        </w:rPr>
        <w:t>万亩、</w:t>
      </w:r>
      <w:r>
        <w:rPr>
          <w:rFonts w:hint="eastAsia" w:ascii="仿宋_GB2312" w:hAnsi="仿宋" w:eastAsia="仿宋_GB2312"/>
          <w:color w:val="000000"/>
          <w:sz w:val="32"/>
          <w:szCs w:val="32"/>
          <w:cs w:val="0"/>
          <w:lang w:val="mn" w:eastAsia="zh-CN"/>
        </w:rPr>
        <w:t>人工更新</w:t>
      </w:r>
      <w:r>
        <w:rPr>
          <w:rFonts w:hint="default" w:ascii="仿宋_GB2312" w:hAnsi="仿宋" w:eastAsia="仿宋_GB2312"/>
          <w:color w:val="000000"/>
          <w:sz w:val="32"/>
          <w:szCs w:val="32"/>
          <w:cs w:val="0"/>
          <w:lang w:val="en" w:eastAsia="zh-CN"/>
        </w:rPr>
        <w:t>0.17</w:t>
      </w:r>
      <w:r>
        <w:rPr>
          <w:rFonts w:hint="eastAsia" w:ascii="仿宋_GB2312" w:hAnsi="仿宋" w:eastAsia="仿宋_GB2312"/>
          <w:color w:val="000000"/>
          <w:sz w:val="32"/>
          <w:szCs w:val="32"/>
          <w:lang w:val="en-US" w:eastAsia="zh-CN"/>
        </w:rPr>
        <w:t>万亩、退化林修复</w:t>
      </w:r>
      <w:r>
        <w:rPr>
          <w:rFonts w:hint="default" w:ascii="仿宋_GB2312" w:hAnsi="仿宋" w:eastAsia="仿宋_GB2312"/>
          <w:color w:val="000000"/>
          <w:sz w:val="32"/>
          <w:szCs w:val="32"/>
          <w:lang w:val="en" w:eastAsia="zh-CN"/>
        </w:rPr>
        <w:t>10.29</w:t>
      </w:r>
      <w:r>
        <w:rPr>
          <w:rFonts w:hint="eastAsia" w:ascii="仿宋_GB2312" w:hAnsi="仿宋" w:eastAsia="仿宋_GB2312"/>
          <w:color w:val="000000"/>
          <w:sz w:val="32"/>
          <w:szCs w:val="32"/>
          <w:lang w:val="en-US" w:eastAsia="zh-CN"/>
        </w:rPr>
        <w:t>万亩、中幼林抚育</w:t>
      </w:r>
      <w:r>
        <w:rPr>
          <w:rFonts w:hint="default" w:ascii="仿宋_GB2312" w:hAnsi="仿宋" w:eastAsia="仿宋_GB2312"/>
          <w:color w:val="000000"/>
          <w:sz w:val="32"/>
          <w:szCs w:val="32"/>
          <w:lang w:val="en" w:eastAsia="zh-CN"/>
        </w:rPr>
        <w:t>16.67</w:t>
      </w:r>
      <w:r>
        <w:rPr>
          <w:rFonts w:hint="eastAsia" w:ascii="仿宋_GB2312" w:hAnsi="仿宋" w:eastAsia="仿宋_GB2312"/>
          <w:color w:val="000000"/>
          <w:sz w:val="32"/>
          <w:szCs w:val="32"/>
          <w:lang w:val="en-US" w:eastAsia="zh-CN"/>
        </w:rPr>
        <w:t>万亩</w:t>
      </w:r>
      <w:r>
        <w:rPr>
          <w:rFonts w:hint="eastAsia" w:ascii="仿宋_GB2312" w:hAnsi="仿宋" w:eastAsia="仿宋_GB2312"/>
          <w:color w:val="000000"/>
          <w:sz w:val="32"/>
          <w:szCs w:val="32"/>
          <w:lang w:val="zh-CN" w:eastAsia="zh-CN"/>
        </w:rPr>
        <w:t>。</w:t>
      </w:r>
      <w:r>
        <w:rPr>
          <w:rFonts w:hint="eastAsia" w:ascii="仿宋_GB2312" w:hAnsi="仿宋" w:eastAsia="仿宋_GB2312"/>
          <w:color w:val="000000"/>
          <w:sz w:val="32"/>
          <w:szCs w:val="32"/>
          <w:lang w:val="en-US" w:eastAsia="zh-CN"/>
        </w:rPr>
        <w:t>二是推进增彩添香建设。新建成</w:t>
      </w:r>
      <w:r>
        <w:rPr>
          <w:rFonts w:hint="default" w:ascii="仿宋_GB2312" w:hAnsi="仿宋" w:eastAsia="仿宋_GB2312"/>
          <w:color w:val="000000"/>
          <w:sz w:val="32"/>
          <w:szCs w:val="32"/>
          <w:lang w:val="en-US" w:eastAsia="zh-CN"/>
        </w:rPr>
        <w:t>增彩添香示范点7个，栽植药材花卉</w:t>
      </w:r>
      <w:r>
        <w:rPr>
          <w:rFonts w:hint="eastAsia" w:ascii="仿宋_GB2312" w:hAnsi="仿宋" w:eastAsia="仿宋_GB2312"/>
          <w:color w:val="000000"/>
          <w:sz w:val="32"/>
          <w:szCs w:val="32"/>
          <w:lang w:val="en-US" w:eastAsia="zh-CN"/>
        </w:rPr>
        <w:t>5</w:t>
      </w:r>
      <w:r>
        <w:rPr>
          <w:rFonts w:hint="default" w:ascii="仿宋_GB2312" w:hAnsi="仿宋" w:eastAsia="仿宋_GB2312"/>
          <w:color w:val="000000"/>
          <w:sz w:val="32"/>
          <w:szCs w:val="32"/>
          <w:lang w:val="en-US" w:eastAsia="zh-CN"/>
        </w:rPr>
        <w:t>000余亩</w:t>
      </w:r>
      <w:r>
        <w:rPr>
          <w:rFonts w:hint="eastAsia" w:ascii="仿宋_GB2312" w:hAnsi="仿宋" w:eastAsia="仿宋_GB2312"/>
          <w:color w:val="000000"/>
          <w:sz w:val="32"/>
          <w:szCs w:val="32"/>
          <w:lang w:val="en-US" w:eastAsia="zh-CN"/>
        </w:rPr>
        <w:t>、</w:t>
      </w:r>
      <w:r>
        <w:rPr>
          <w:rFonts w:hint="default" w:ascii="仿宋_GB2312" w:hAnsi="仿宋" w:eastAsia="仿宋_GB2312"/>
          <w:color w:val="000000"/>
          <w:sz w:val="32"/>
          <w:szCs w:val="32"/>
          <w:lang w:val="en-US" w:eastAsia="zh-CN"/>
        </w:rPr>
        <w:t>观赏花卉</w:t>
      </w:r>
      <w:r>
        <w:rPr>
          <w:rFonts w:hint="eastAsia" w:ascii="仿宋_GB2312" w:hAnsi="仿宋" w:eastAsia="仿宋_GB2312"/>
          <w:color w:val="000000"/>
          <w:sz w:val="32"/>
          <w:szCs w:val="32"/>
          <w:lang w:val="en-US" w:eastAsia="zh-CN"/>
        </w:rPr>
        <w:t>和经济林花卉</w:t>
      </w:r>
      <w:r>
        <w:rPr>
          <w:rFonts w:hint="default" w:ascii="仿宋_GB2312" w:hAnsi="仿宋" w:eastAsia="仿宋_GB2312"/>
          <w:color w:val="000000"/>
          <w:sz w:val="32"/>
          <w:szCs w:val="32"/>
          <w:lang w:val="en-US" w:eastAsia="zh-CN"/>
        </w:rPr>
        <w:t>2000余亩</w:t>
      </w:r>
      <w:r>
        <w:rPr>
          <w:rFonts w:hint="eastAsia" w:ascii="仿宋_GB2312" w:hAnsi="仿宋" w:eastAsia="仿宋_GB2312"/>
          <w:color w:val="000000"/>
          <w:sz w:val="32"/>
          <w:szCs w:val="32"/>
          <w:lang w:val="en-US" w:eastAsia="zh-CN"/>
        </w:rPr>
        <w:t>。结合乡村道路绿化美化，建成</w:t>
      </w:r>
      <w:r>
        <w:rPr>
          <w:rFonts w:hint="default" w:ascii="仿宋_GB2312" w:hAnsi="仿宋" w:eastAsia="仿宋_GB2312"/>
          <w:color w:val="000000"/>
          <w:sz w:val="32"/>
          <w:szCs w:val="32"/>
          <w:lang w:val="en-US" w:eastAsia="zh-CN"/>
        </w:rPr>
        <w:t>增彩添香廊道</w:t>
      </w:r>
      <w:r>
        <w:rPr>
          <w:rFonts w:hint="eastAsia" w:ascii="仿宋_GB2312" w:hAnsi="仿宋" w:eastAsia="仿宋_GB2312"/>
          <w:color w:val="000000"/>
          <w:sz w:val="32"/>
          <w:szCs w:val="32"/>
          <w:lang w:val="en-US" w:eastAsia="zh-CN"/>
        </w:rPr>
        <w:t>1</w:t>
      </w:r>
      <w:r>
        <w:rPr>
          <w:rFonts w:hint="default" w:ascii="仿宋_GB2312" w:hAnsi="仿宋" w:eastAsia="仿宋_GB2312"/>
          <w:color w:val="000000"/>
          <w:sz w:val="32"/>
          <w:szCs w:val="32"/>
          <w:lang w:val="en-US" w:eastAsia="zh-CN"/>
        </w:rPr>
        <w:t>50余公里</w:t>
      </w:r>
      <w:r>
        <w:rPr>
          <w:rFonts w:hint="eastAsia" w:ascii="仿宋_GB2312" w:hAnsi="仿宋" w:eastAsia="仿宋_GB2312"/>
          <w:color w:val="000000"/>
          <w:sz w:val="32"/>
          <w:szCs w:val="32"/>
          <w:lang w:val="en-US" w:eastAsia="zh-CN"/>
        </w:rPr>
        <w:t>；昭化区柏林湖翠竹长廊、朝天区二专线翠竹长廊被认定为第二批省级翠竹长廊。</w:t>
      </w:r>
      <w:r>
        <w:rPr>
          <w:rFonts w:hint="default" w:ascii="仿宋_GB2312" w:hAnsi="仿宋" w:eastAsia="仿宋_GB2312"/>
          <w:color w:val="000000"/>
          <w:sz w:val="32"/>
          <w:szCs w:val="32"/>
          <w:lang w:val="en-US" w:eastAsia="zh-CN"/>
        </w:rPr>
        <w:t>结合乡村振兴示范村建设，</w:t>
      </w:r>
      <w:r>
        <w:rPr>
          <w:rFonts w:hint="eastAsia" w:ascii="仿宋_GB2312" w:hAnsi="仿宋" w:eastAsia="仿宋_GB2312"/>
          <w:color w:val="000000"/>
          <w:sz w:val="32"/>
          <w:szCs w:val="32"/>
          <w:lang w:val="en-US" w:eastAsia="zh-CN"/>
        </w:rPr>
        <w:t>打造</w:t>
      </w:r>
      <w:r>
        <w:rPr>
          <w:rFonts w:hint="default" w:ascii="仿宋_GB2312" w:hAnsi="仿宋" w:eastAsia="仿宋_GB2312"/>
          <w:color w:val="000000"/>
          <w:sz w:val="32"/>
          <w:szCs w:val="32"/>
          <w:lang w:val="en-US" w:eastAsia="zh-CN"/>
        </w:rPr>
        <w:t>增彩添香示范村14个</w:t>
      </w:r>
      <w:r>
        <w:rPr>
          <w:rFonts w:hint="eastAsia" w:ascii="仿宋_GB2312" w:hAnsi="仿宋" w:eastAsia="仿宋_GB2312"/>
          <w:color w:val="000000"/>
          <w:sz w:val="32"/>
          <w:szCs w:val="32"/>
          <w:lang w:val="en-US" w:eastAsia="zh-CN"/>
        </w:rPr>
        <w:t>。三是加强涉林民生工程管理。</w:t>
      </w:r>
      <w:r>
        <w:rPr>
          <w:rFonts w:hint="default" w:ascii="仿宋_GB2312" w:hAnsi="仿宋" w:eastAsia="仿宋_GB2312"/>
          <w:color w:val="000000"/>
          <w:sz w:val="32"/>
          <w:szCs w:val="32"/>
          <w:lang w:val="en-US" w:eastAsia="zh-CN"/>
        </w:rPr>
        <w:t>优先</w:t>
      </w:r>
      <w:r>
        <w:rPr>
          <w:rFonts w:hint="eastAsia" w:ascii="仿宋_GB2312" w:hAnsi="仿宋" w:eastAsia="仿宋_GB2312"/>
          <w:color w:val="000000"/>
          <w:sz w:val="32"/>
          <w:szCs w:val="32"/>
          <w:lang w:val="en-US" w:eastAsia="zh-CN"/>
        </w:rPr>
        <w:t>面向</w:t>
      </w:r>
      <w:r>
        <w:rPr>
          <w:rFonts w:hint="default" w:ascii="仿宋_GB2312" w:hAnsi="仿宋" w:eastAsia="仿宋_GB2312"/>
          <w:color w:val="000000"/>
          <w:sz w:val="32"/>
          <w:szCs w:val="32"/>
          <w:lang w:val="en-US" w:eastAsia="zh-CN"/>
        </w:rPr>
        <w:t>脱贫人口</w:t>
      </w:r>
      <w:r>
        <w:rPr>
          <w:rFonts w:hint="eastAsia" w:ascii="仿宋_GB2312" w:hAnsi="仿宋" w:eastAsia="仿宋_GB2312"/>
          <w:color w:val="000000"/>
          <w:sz w:val="32"/>
          <w:szCs w:val="32"/>
          <w:lang w:val="en-US" w:eastAsia="zh-CN"/>
        </w:rPr>
        <w:t>选聘力能胜任的</w:t>
      </w:r>
      <w:r>
        <w:rPr>
          <w:rFonts w:hint="default" w:ascii="仿宋_GB2312" w:hAnsi="仿宋" w:eastAsia="仿宋_GB2312"/>
          <w:color w:val="000000"/>
          <w:sz w:val="32"/>
          <w:szCs w:val="32"/>
          <w:lang w:val="en-US" w:eastAsia="zh-CN"/>
        </w:rPr>
        <w:t>生态护林员</w:t>
      </w:r>
      <w:r>
        <w:rPr>
          <w:rFonts w:hint="eastAsia" w:ascii="仿宋_GB2312" w:hAnsi="仿宋" w:eastAsia="仿宋_GB2312"/>
          <w:color w:val="000000"/>
          <w:sz w:val="32"/>
          <w:szCs w:val="32"/>
          <w:lang w:val="en-US" w:eastAsia="zh-CN"/>
        </w:rPr>
        <w:t>6710名，发放补助3281万元；按时足额兑现涉林惠民补助资金</w:t>
      </w:r>
      <w:r>
        <w:rPr>
          <w:rFonts w:hint="default" w:ascii="仿宋_GB2312" w:hAnsi="仿宋" w:eastAsia="仿宋_GB2312"/>
          <w:color w:val="000000"/>
          <w:sz w:val="32"/>
          <w:szCs w:val="32"/>
          <w:lang w:val="en" w:eastAsia="zh-CN"/>
        </w:rPr>
        <w:t>1.7</w:t>
      </w:r>
      <w:r>
        <w:rPr>
          <w:rFonts w:hint="eastAsia" w:ascii="仿宋_GB2312" w:hAnsi="仿宋" w:eastAsia="仿宋_GB2312"/>
          <w:color w:val="000000"/>
          <w:sz w:val="32"/>
          <w:szCs w:val="32"/>
          <w:lang w:val="en-US" w:eastAsia="zh-CN"/>
        </w:rPr>
        <w:t>亿元，确保了104.11万亩退耕还林成果得到全面巩固，80.11万亩国有林、623.</w:t>
      </w:r>
      <w:r>
        <w:rPr>
          <w:rFonts w:hint="default" w:ascii="仿宋_GB2312" w:hAnsi="仿宋" w:eastAsia="仿宋_GB2312"/>
          <w:color w:val="000000"/>
          <w:sz w:val="32"/>
          <w:szCs w:val="32"/>
          <w:lang w:val="en" w:eastAsia="zh-CN"/>
        </w:rPr>
        <w:t>38</w:t>
      </w:r>
      <w:r>
        <w:rPr>
          <w:rFonts w:hint="eastAsia" w:ascii="仿宋_GB2312" w:hAnsi="仿宋" w:eastAsia="仿宋_GB2312"/>
          <w:color w:val="000000"/>
          <w:sz w:val="32"/>
          <w:szCs w:val="32"/>
          <w:lang w:val="en-US" w:eastAsia="zh-CN"/>
        </w:rPr>
        <w:t>万亩集体和个人所有公益林、175.6万亩天然商品林得到有效管护。四是加强古树名木保护。积极推行蜀道古柏离任交接接力保护模式，将古树名木保护成效纳入行政首长离任审计。推行“一树一园”模式，建成利州区枫杨古树公园、铁坚油杉古树公园和昭化区柿子树古树公园。全面完成古树名木挂牌，积极开展抢救复壮</w:t>
      </w:r>
      <w:r>
        <w:rPr>
          <w:rFonts w:hint="default" w:ascii="仿宋_GB2312" w:hAnsi="仿宋" w:eastAsia="仿宋_GB2312"/>
          <w:color w:val="000000"/>
          <w:sz w:val="32"/>
          <w:szCs w:val="32"/>
          <w:lang w:val="en-US" w:eastAsia="zh-CN"/>
        </w:rPr>
        <w:t>，</w:t>
      </w:r>
      <w:r>
        <w:rPr>
          <w:rFonts w:hint="eastAsia" w:ascii="仿宋_GB2312" w:hAnsi="仿宋" w:eastAsia="仿宋_GB2312"/>
          <w:color w:val="000000"/>
          <w:sz w:val="32"/>
          <w:szCs w:val="32"/>
          <w:lang w:val="en-US" w:eastAsia="zh-CN"/>
        </w:rPr>
        <w:t>有效保护古树名木10817株。</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严格依法依规，加强林政资源管理</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一是落实“双增”目标。督促各县区对照目标，提前安排，认真落实，全面完成省政府下达市政府的2017—2021年森林资源保护发展任期目标任务。2021年森林覆盖率新增0.16个百分点，达到57.63%；森林蓄积新增113万立方米，达到6190万立方米。二是推进森林督查。督促各县区完成2021年森林督查自查及森林资源管理一张图更新工作，按照省林草局规定的时间节点和质量要求上报了成果。对2018—2020年森林督查排查的539个问题，建立问题台账，推动整改落实，目前已完成整改销号523个。三是强化林地要素保障。在省林草局下达我市林地定额180.5883公顷，数量居全省第二的基础上，又争取到使用省级备用林地定额74.4336公顷，为我市重点项目建设和经济发展提供了充足的要素保障，目前已上报使用林地定额248.637公顷。四是加强林业行政执法。2021年度（2020年10月1日至2021年9月30日）全市各级林业行政机关共受理各类林业行政案件257宗，已办结254宗，罚没收入719.7072万元，恢复林地15.3457公顷，补种树木63087株，没收野生动物274只。</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切实履职尽责，强化自然保护地监管。</w:t>
      </w:r>
      <w:r>
        <w:rPr>
          <w:rFonts w:hint="eastAsia" w:ascii="仿宋_GB2312" w:hAnsi="仿宋" w:eastAsia="仿宋_GB2312"/>
          <w:color w:val="000000"/>
          <w:sz w:val="32"/>
          <w:szCs w:val="32"/>
          <w:lang w:val="en-US" w:eastAsia="zh-CN"/>
        </w:rPr>
        <w:t>一是督促整改涉林环保问题。中央环保督察反馈我市4个涉林问题中，除九龙山调规问题须待省林草局牵头划定外围保护带外，其他3个问题均已整改到位。省级暗访及自查发现的22个问题，已完成整改13个，其余9个正在整改中。二是牵头起草地方性法规。根据市政府工作安排，我局牵头起草了《广元市剑门蜀道保护条例（草案）》，已经省十三届人大常委会批准通过，将于2021年1月1日起施行。三是指导编报相关</w:t>
      </w:r>
      <w:r>
        <w:rPr>
          <w:rFonts w:hint="default" w:ascii="仿宋_GB2312" w:hAnsi="仿宋" w:eastAsia="仿宋_GB2312"/>
          <w:color w:val="000000"/>
          <w:sz w:val="32"/>
          <w:szCs w:val="32"/>
          <w:lang w:val="en-US" w:eastAsia="zh-CN"/>
        </w:rPr>
        <w:t>规</w:t>
      </w:r>
      <w:r>
        <w:rPr>
          <w:rFonts w:hint="eastAsia" w:ascii="仿宋_GB2312" w:hAnsi="仿宋" w:eastAsia="仿宋_GB2312"/>
          <w:color w:val="000000"/>
          <w:sz w:val="32"/>
          <w:szCs w:val="32"/>
          <w:lang w:val="en-US" w:eastAsia="zh-CN"/>
        </w:rPr>
        <w:t>划。旺苍大峡谷省级森林公园总体规划修编已获省林草局正式批复。米仓山大峡谷国家级风景名胜区总体规划已完成省级审查并上报国家林草局。指导剑阁县、昭化区重新启动了剑门蜀道风景名胜区昭化古城至高庙铺段和剑门关景区、翠云廊景区详细规划编制和报审，并与国家、省林草主管部门进行了专题对接。协同市白龙湖管理局重新启动了白龙湖近期重点建设区域控制性详细规划编制。四是严格执行准入许可。审查审议建设项目进入自然保护地方案24个，上报省林草局审查项目17个，已完成办理准入许可项目18个，切实推动了G5京昆高速扩容、黑石坡至曾家山旅游公路、绵苍巴高速等重点项目的合法合规落地实施。</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树牢底线思维，做好防灾减灾工作。</w:t>
      </w:r>
      <w:r>
        <w:rPr>
          <w:rFonts w:hint="eastAsia" w:ascii="仿宋_GB2312" w:hAnsi="仿宋" w:eastAsia="仿宋_GB2312"/>
          <w:color w:val="000000"/>
          <w:sz w:val="32"/>
          <w:szCs w:val="32"/>
          <w:lang w:val="en-US" w:eastAsia="zh-CN"/>
        </w:rPr>
        <w:t>一是全力抓好森林防灭火工作。我局牵头市森林防灭火指挥部“一办六组”中的火灾风险隐患排查整治、小火打早打了和林区输配电设施火灾隐患排查整治三个专项工作组，累计组织排查整治火灾风险隐患7891个，建成集中焚烧池3471个，组建地方专业扑火队伍6支301人，组织扑火队指战员参加应急演练3000余人次，强化森林防火日常监测预警，并在专项整治期间牵头开展了高密度、全覆盖森林防灭火宣传教育，高质量完成了森林防灭火专项整治任务，截至目前实现了全市森林火灾“零发生”。二是加强林业有害生物防控。完成松材线虫病秋季专项普查，监测覆盖率100%，青川、朝天发现异常枯死松树，清理病死、枯死、濒死松木16752株。剑阁县松材线虫病疫情得到有效控制。红火蚁疫情防治开展了</w:t>
      </w:r>
      <w:r>
        <w:rPr>
          <w:rFonts w:hint="default" w:ascii="仿宋_GB2312" w:hAnsi="仿宋" w:eastAsia="仿宋_GB2312"/>
          <w:color w:val="000000"/>
          <w:sz w:val="32"/>
          <w:szCs w:val="32"/>
          <w:lang w:val="en" w:eastAsia="zh-CN"/>
        </w:rPr>
        <w:t>6</w:t>
      </w:r>
      <w:r>
        <w:rPr>
          <w:rFonts w:hint="eastAsia" w:ascii="仿宋_GB2312" w:hAnsi="仿宋" w:eastAsia="仿宋_GB2312"/>
          <w:color w:val="000000"/>
          <w:sz w:val="32"/>
          <w:szCs w:val="32"/>
          <w:lang w:val="en-US" w:eastAsia="zh-CN"/>
        </w:rPr>
        <w:t>轮全面防控扑杀工作，累计防治林地面积2426亩，杀灭率在80%以上，疫情初步得到控制。全市林业有害生物共计发生79.6万亩，成灾0.02万亩，成灾率0.01‰，低于省下达控制指标3‰。三是加强野猪致害防控。野生动物致害赔偿保险实现县区全覆盖。青川县、朝天区被纳入全省（共4个）野猪致害防控试点县。旺</w:t>
      </w:r>
      <w:r>
        <w:rPr>
          <w:rFonts w:hint="default" w:ascii="仿宋_GB2312" w:hAnsi="仿宋" w:eastAsia="仿宋_GB2312"/>
          <w:color w:val="000000"/>
          <w:sz w:val="32"/>
          <w:szCs w:val="32"/>
          <w:lang w:val="en-US" w:eastAsia="zh-CN"/>
        </w:rPr>
        <w:t>苍县</w:t>
      </w:r>
      <w:r>
        <w:rPr>
          <w:rFonts w:hint="eastAsia" w:ascii="仿宋_GB2312" w:hAnsi="仿宋" w:eastAsia="仿宋_GB2312"/>
          <w:color w:val="000000"/>
          <w:sz w:val="32"/>
          <w:szCs w:val="32"/>
          <w:lang w:val="en-US" w:eastAsia="zh-CN"/>
        </w:rPr>
        <w:t>、</w:t>
      </w:r>
      <w:r>
        <w:rPr>
          <w:rFonts w:hint="default" w:ascii="仿宋_GB2312" w:hAnsi="仿宋" w:eastAsia="仿宋_GB2312"/>
          <w:color w:val="000000"/>
          <w:sz w:val="32"/>
          <w:szCs w:val="32"/>
          <w:lang w:val="en-US" w:eastAsia="zh-CN"/>
        </w:rPr>
        <w:t>青川县、朝天区</w:t>
      </w:r>
      <w:r>
        <w:rPr>
          <w:rFonts w:hint="eastAsia" w:ascii="仿宋_GB2312" w:hAnsi="仿宋" w:eastAsia="仿宋_GB2312"/>
          <w:color w:val="000000"/>
          <w:sz w:val="32"/>
          <w:szCs w:val="32"/>
          <w:lang w:val="en-US" w:eastAsia="zh-CN"/>
        </w:rPr>
        <w:t>经省林草局批复同意正在积极</w:t>
      </w:r>
      <w:r>
        <w:rPr>
          <w:rFonts w:hint="default" w:ascii="仿宋_GB2312" w:hAnsi="仿宋" w:eastAsia="仿宋_GB2312"/>
          <w:color w:val="000000"/>
          <w:sz w:val="32"/>
          <w:szCs w:val="32"/>
          <w:lang w:val="en-US" w:eastAsia="zh-CN"/>
        </w:rPr>
        <w:t>组建猎捕队。</w:t>
      </w:r>
      <w:r>
        <w:rPr>
          <w:rFonts w:hint="eastAsia" w:ascii="仿宋_GB2312" w:hAnsi="仿宋" w:eastAsia="仿宋_GB2312"/>
          <w:color w:val="000000"/>
          <w:sz w:val="32"/>
          <w:szCs w:val="32"/>
          <w:lang w:val="en-US" w:eastAsia="zh-CN"/>
        </w:rPr>
        <w:t>引进外地</w:t>
      </w:r>
      <w:r>
        <w:rPr>
          <w:rFonts w:hint="default" w:ascii="仿宋_GB2312" w:hAnsi="仿宋" w:eastAsia="仿宋_GB2312"/>
          <w:color w:val="000000"/>
          <w:sz w:val="32"/>
          <w:szCs w:val="32"/>
          <w:lang w:val="en-US" w:eastAsia="zh-CN"/>
        </w:rPr>
        <w:t>专业猎捕</w:t>
      </w:r>
      <w:r>
        <w:rPr>
          <w:rFonts w:hint="eastAsia" w:ascii="仿宋_GB2312" w:hAnsi="仿宋" w:eastAsia="仿宋_GB2312"/>
          <w:color w:val="000000"/>
          <w:sz w:val="32"/>
          <w:szCs w:val="32"/>
          <w:lang w:val="en-US" w:eastAsia="zh-CN"/>
        </w:rPr>
        <w:t>队来我市实施</w:t>
      </w:r>
      <w:r>
        <w:rPr>
          <w:rFonts w:hint="default" w:ascii="仿宋_GB2312" w:hAnsi="仿宋" w:eastAsia="仿宋_GB2312"/>
          <w:color w:val="000000"/>
          <w:sz w:val="32"/>
          <w:szCs w:val="32"/>
          <w:lang w:val="en-US" w:eastAsia="zh-CN"/>
        </w:rPr>
        <w:t>野猪</w:t>
      </w:r>
      <w:r>
        <w:rPr>
          <w:rFonts w:hint="eastAsia" w:ascii="仿宋_GB2312" w:hAnsi="仿宋" w:eastAsia="仿宋_GB2312"/>
          <w:color w:val="000000"/>
          <w:sz w:val="32"/>
          <w:szCs w:val="32"/>
          <w:lang w:val="en-US" w:eastAsia="zh-CN"/>
        </w:rPr>
        <w:t>种群调控计划</w:t>
      </w:r>
      <w:r>
        <w:rPr>
          <w:rFonts w:hint="default" w:ascii="仿宋_GB2312" w:hAnsi="仿宋" w:eastAsia="仿宋_GB2312"/>
          <w:color w:val="000000"/>
          <w:sz w:val="32"/>
          <w:szCs w:val="32"/>
          <w:lang w:val="en-US" w:eastAsia="zh-CN"/>
        </w:rPr>
        <w:t>，</w:t>
      </w:r>
      <w:r>
        <w:rPr>
          <w:rFonts w:hint="eastAsia" w:ascii="仿宋_GB2312" w:hAnsi="仿宋" w:eastAsia="仿宋_GB2312"/>
          <w:color w:val="000000"/>
          <w:sz w:val="32"/>
          <w:szCs w:val="32"/>
          <w:lang w:val="en-US" w:eastAsia="zh-CN"/>
        </w:rPr>
        <w:t>截至目前已</w:t>
      </w:r>
      <w:r>
        <w:rPr>
          <w:rFonts w:hint="default" w:ascii="仿宋_GB2312" w:hAnsi="仿宋" w:eastAsia="仿宋_GB2312"/>
          <w:color w:val="000000"/>
          <w:sz w:val="32"/>
          <w:szCs w:val="32"/>
          <w:lang w:val="en-US" w:eastAsia="zh-CN"/>
        </w:rPr>
        <w:t>猎捕</w:t>
      </w:r>
      <w:r>
        <w:rPr>
          <w:rFonts w:hint="eastAsia" w:ascii="仿宋_GB2312" w:hAnsi="仿宋" w:eastAsia="仿宋_GB2312"/>
          <w:color w:val="000000"/>
          <w:sz w:val="32"/>
          <w:szCs w:val="32"/>
          <w:lang w:val="en-US" w:eastAsia="zh-CN"/>
        </w:rPr>
        <w:t>野猪91</w:t>
      </w:r>
      <w:r>
        <w:rPr>
          <w:rFonts w:hint="default" w:ascii="仿宋_GB2312" w:hAnsi="仿宋" w:eastAsia="仿宋_GB2312"/>
          <w:color w:val="000000"/>
          <w:sz w:val="32"/>
          <w:szCs w:val="32"/>
          <w:lang w:val="en-US" w:eastAsia="zh-CN"/>
        </w:rPr>
        <w:t>头</w:t>
      </w:r>
      <w:r>
        <w:rPr>
          <w:rFonts w:hint="eastAsia" w:ascii="仿宋_GB2312" w:hAnsi="仿宋" w:eastAsia="仿宋_GB2312"/>
          <w:color w:val="000000"/>
          <w:sz w:val="32"/>
          <w:szCs w:val="32"/>
          <w:lang w:val="en-US" w:eastAsia="zh-CN"/>
        </w:rPr>
        <w:t>。</w:t>
      </w:r>
    </w:p>
    <w:p>
      <w:pPr>
        <w:spacing w:line="576"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聚焦重点环节，推进</w:t>
      </w:r>
      <w:r>
        <w:rPr>
          <w:rFonts w:hint="eastAsia" w:ascii="仿宋_GB2312" w:hAnsi="仿宋" w:eastAsia="仿宋_GB2312"/>
          <w:color w:val="000000"/>
          <w:sz w:val="32"/>
          <w:szCs w:val="32"/>
        </w:rPr>
        <w:t>林业改革创新。</w:t>
      </w:r>
      <w:r>
        <w:rPr>
          <w:rFonts w:hint="eastAsia" w:ascii="仿宋_GB2312" w:hAnsi="仿宋" w:eastAsia="仿宋_GB2312"/>
          <w:color w:val="000000"/>
          <w:sz w:val="32"/>
          <w:szCs w:val="32"/>
          <w:lang w:val="en-US" w:eastAsia="zh-CN"/>
        </w:rPr>
        <w:t>一是全面推行林长制。按照省委、省政府统一安排部署，加快推动和全面落实我市林长制工作。市、县区均印发了全面落实林长制工作方案，市、县、乡、村四级林长+村级监管员+村民小组网格员“4+2”组织责任体系基本建成。二是深化集体林权制度改革。在全面总结评估朝天区核桃自然灾害保险和价格指数保险试点工作基础上，进一步提炼可复制可推广的经验，梳理存在的困难和问题，起草了《广元市特色林业产业（核桃）保险试点成果推介方案》，已通过市委深改会、市政府常务会审议，拟在全市推广。三是强化科技支撑保障。青川县国家级毛叶山桐子种质资源库完成建设任务，旺苍县省级水青冈种质资源库升国家级已通过专家审定，我市国家级种质资源库占比全省三分之一。在四县区开展了毛叶山桐子优选单株嫁接扩繁和区试工作。核桃杂交育种在四县区同步开展，已完成本年度F1代种子采收和上年度F1代播种育苗工作。</w:t>
      </w:r>
    </w:p>
    <w:p>
      <w:pPr>
        <w:spacing w:line="576" w:lineRule="exact"/>
        <w:ind w:firstLine="640" w:firstLineChars="200"/>
        <w:jc w:val="left"/>
        <w:rPr>
          <w:rFonts w:hint="eastAsia" w:hAnsi="仿宋_GB2312" w:cs="仿宋_GB2312"/>
          <w:color w:val="auto"/>
          <w:kern w:val="2"/>
          <w:sz w:val="32"/>
          <w:szCs w:val="32"/>
          <w:lang w:eastAsia="zh-CN"/>
        </w:rPr>
      </w:pPr>
      <w:r>
        <w:rPr>
          <w:rFonts w:hint="eastAsia" w:ascii="仿宋_GB2312" w:hAnsi="仿宋" w:eastAsia="仿宋_GB2312"/>
          <w:color w:val="000000"/>
          <w:sz w:val="32"/>
          <w:szCs w:val="32"/>
          <w:lang w:eastAsia="zh-CN"/>
        </w:rPr>
        <w:t>坚持从严从实，加强机关</w:t>
      </w:r>
      <w:r>
        <w:rPr>
          <w:rFonts w:hint="eastAsia" w:ascii="仿宋_GB2312" w:hAnsi="仿宋" w:eastAsia="仿宋_GB2312"/>
          <w:color w:val="000000"/>
          <w:sz w:val="32"/>
          <w:szCs w:val="32"/>
        </w:rPr>
        <w:t>党的</w:t>
      </w:r>
      <w:r>
        <w:rPr>
          <w:rFonts w:hint="eastAsia" w:ascii="仿宋_GB2312" w:hAnsi="仿宋" w:eastAsia="仿宋_GB2312"/>
          <w:color w:val="000000"/>
          <w:sz w:val="32"/>
          <w:szCs w:val="32"/>
          <w:lang w:eastAsia="zh-CN"/>
        </w:rPr>
        <w:t>建设</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一是加强思想政治建设。扎实开展党史学习教育，组织党员干部学习中国共产党简史、社会主义发展简史、中华人民共和国简史、改革开放简史。局党组理论学习中心组集体学习11次（其中专题学习研讨6次），各支部组织党员干部集中学习6次以上并高质量召开了党史学习教育专题组织生活会，党员自学并撰写心得体会6篇。在党史学习中进一步增强“四个意识”，坚定“四个自信”，做到“两个维护”。二是加强基层组织建设。对标省党支部标准化规范化建设标准，推进市级林业系统党支部标准化规范化建设80%达标，超过“三年全面达标”的时序进度。充分发挥党支部直接教育党员、管理党员、监督党员的职责作用。持续推进党员积分制管理。三是加强党风廉政建设。研制全面从严治党党组主体责任、党组书记第一责任人责任、班子成员“一岗双责”责任清单，按照责任清单明确的内容要求逐一认真推进落实，按季建立履职台账，始终把从严治党贯穿于林业改革和发展全过程。四是扎实开展纪律作风整顿。成立领导小组，制发工作方案，开展学习教育，对照全市明确的12个方面和我局增加的1个方面突出问题，局班子和全局党员干部逐一检视剖析，查找纪律作风问题，制定整改措施，扎实推进整改，取得了严纪律、转作风、促发展的良好成效。</w:t>
      </w:r>
    </w:p>
    <w:p>
      <w:pPr>
        <w:pStyle w:val="4"/>
        <w:rPr>
          <w:rStyle w:val="30"/>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6"/>
      <w:bookmarkEnd w:id="17"/>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广元市林业局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个，其中其他事业单位</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个。</w:t>
      </w:r>
    </w:p>
    <w:p>
      <w:pPr>
        <w:pStyle w:val="6"/>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广元市林业局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年度部门决算编制范围的二级预算单位包括：</w:t>
      </w:r>
    </w:p>
    <w:p>
      <w:pPr>
        <w:pStyle w:val="6"/>
        <w:numPr>
          <w:ilvl w:val="0"/>
          <w:numId w:val="0"/>
        </w:numPr>
        <w:adjustRightInd w:val="0"/>
        <w:snapToGrid w:val="0"/>
        <w:spacing w:before="93" w:line="600" w:lineRule="exact"/>
        <w:ind w:left="672" w:leftChars="0"/>
        <w:outlineLvl w:val="2"/>
        <w:rPr>
          <w:rFonts w:ascii="仿宋" w:hAnsi="仿宋" w:eastAsia="仿宋"/>
          <w:color w:val="auto"/>
          <w:sz w:val="32"/>
          <w:szCs w:val="32"/>
          <w:highlight w:val="none"/>
        </w:rPr>
      </w:pPr>
      <w:bookmarkStart w:id="20" w:name="_Toc15377433"/>
      <w:bookmarkStart w:id="21" w:name="_Toc15306276"/>
      <w:bookmarkStart w:id="22" w:name="_Toc15378449"/>
      <w:bookmarkStart w:id="23" w:name="_Toc15377202"/>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广元市林业局局机关</w:t>
      </w:r>
      <w:bookmarkEnd w:id="20"/>
      <w:bookmarkEnd w:id="21"/>
      <w:bookmarkEnd w:id="22"/>
      <w:bookmarkEnd w:id="23"/>
    </w:p>
    <w:p>
      <w:pPr>
        <w:pStyle w:val="6"/>
        <w:numPr>
          <w:ilvl w:val="0"/>
          <w:numId w:val="0"/>
        </w:numPr>
        <w:adjustRightInd w:val="0"/>
        <w:snapToGrid w:val="0"/>
        <w:spacing w:before="93" w:line="600" w:lineRule="exact"/>
        <w:ind w:left="672" w:leftChars="0"/>
        <w:outlineLvl w:val="2"/>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2.广元市国有林场</w:t>
      </w:r>
    </w:p>
    <w:p>
      <w:pPr>
        <w:pStyle w:val="6"/>
        <w:numPr>
          <w:ilvl w:val="0"/>
          <w:numId w:val="0"/>
        </w:numPr>
        <w:adjustRightInd w:val="0"/>
        <w:snapToGrid w:val="0"/>
        <w:spacing w:before="93" w:line="600" w:lineRule="exact"/>
        <w:ind w:left="672" w:leftChars="0"/>
        <w:outlineLvl w:val="2"/>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3.广元市国营中心苗圃</w:t>
      </w:r>
    </w:p>
    <w:p>
      <w:pPr>
        <w:pStyle w:val="6"/>
        <w:numPr>
          <w:ilvl w:val="0"/>
          <w:numId w:val="0"/>
        </w:numPr>
        <w:adjustRightInd w:val="0"/>
        <w:snapToGrid w:val="0"/>
        <w:spacing w:before="93" w:line="600" w:lineRule="exact"/>
        <w:ind w:left="672" w:leftChars="0"/>
        <w:outlineLvl w:val="2"/>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4.广元市林业科学研究院</w:t>
      </w:r>
    </w:p>
    <w:p>
      <w:pPr>
        <w:pStyle w:val="6"/>
        <w:numPr>
          <w:ilvl w:val="0"/>
          <w:numId w:val="0"/>
        </w:numPr>
        <w:adjustRightInd w:val="0"/>
        <w:snapToGrid w:val="0"/>
        <w:spacing w:before="93" w:line="600" w:lineRule="exact"/>
        <w:ind w:left="672" w:leftChars="0"/>
        <w:outlineLvl w:val="2"/>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5.南河国家湿地公园管理中心</w:t>
      </w:r>
    </w:p>
    <w:p>
      <w:pPr>
        <w:pStyle w:val="6"/>
        <w:numPr>
          <w:ilvl w:val="0"/>
          <w:numId w:val="0"/>
        </w:numPr>
        <w:adjustRightInd w:val="0"/>
        <w:snapToGrid w:val="0"/>
        <w:spacing w:before="93" w:line="600" w:lineRule="exact"/>
        <w:ind w:firstLine="640" w:firstLineChars="200"/>
        <w:outlineLvl w:val="2"/>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 xml:space="preserve"> 6.广元市自然保护地工作站</w:t>
      </w:r>
    </w:p>
    <w:p>
      <w:pPr>
        <w:pStyle w:val="6"/>
        <w:numPr>
          <w:ilvl w:val="0"/>
          <w:numId w:val="0"/>
        </w:numPr>
        <w:adjustRightInd w:val="0"/>
        <w:snapToGrid w:val="0"/>
        <w:spacing w:before="93" w:line="600" w:lineRule="exact"/>
        <w:ind w:left="672" w:leftChars="0"/>
        <w:outlineLvl w:val="2"/>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br w:type="page"/>
      </w:r>
    </w:p>
    <w:p>
      <w:pPr>
        <w:pStyle w:val="3"/>
        <w:ind w:right="440"/>
        <w:jc w:val="center"/>
        <w:rPr>
          <w:rStyle w:val="29"/>
          <w:rFonts w:ascii="黑体" w:hAnsi="黑体" w:eastAsia="黑体"/>
          <w:b w:val="0"/>
          <w:bCs/>
          <w:color w:val="auto"/>
          <w:highlight w:val="none"/>
        </w:rPr>
      </w:pPr>
      <w:bookmarkStart w:id="24" w:name="_Toc15396602"/>
      <w:bookmarkStart w:id="25"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9"/>
          <w:rFonts w:hint="eastAsia" w:ascii="黑体" w:hAnsi="黑体" w:eastAsia="黑体"/>
          <w:b w:val="0"/>
          <w:bCs/>
          <w:color w:val="auto"/>
          <w:highlight w:val="none"/>
        </w:rPr>
        <w:t>部门决算情况说明</w:t>
      </w:r>
      <w:bookmarkEnd w:id="24"/>
      <w:bookmarkEnd w:id="25"/>
    </w:p>
    <w:p>
      <w:pPr>
        <w:rPr>
          <w:color w:val="auto"/>
          <w:highlight w:val="none"/>
        </w:rPr>
      </w:pPr>
    </w:p>
    <w:p>
      <w:pPr>
        <w:pStyle w:val="28"/>
        <w:numPr>
          <w:ilvl w:val="0"/>
          <w:numId w:val="1"/>
        </w:numPr>
        <w:spacing w:line="600" w:lineRule="exact"/>
        <w:ind w:firstLineChars="0"/>
        <w:outlineLvl w:val="1"/>
        <w:rPr>
          <w:rStyle w:val="30"/>
          <w:rFonts w:ascii="黑体" w:hAnsi="黑体" w:eastAsia="黑体"/>
          <w:b w:val="0"/>
          <w:color w:val="auto"/>
          <w:highlight w:val="none"/>
        </w:rPr>
      </w:pPr>
      <w:bookmarkStart w:id="26" w:name="_Toc15377205"/>
      <w:bookmarkStart w:id="27"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6"/>
      <w:bookmarkEnd w:id="27"/>
    </w:p>
    <w:p>
      <w:pPr>
        <w:spacing w:line="36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年度收、支总计12242.4万元。与20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1130.36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8.45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项目资金减少。</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10"/>
        <w:jc w:val="center"/>
      </w:pPr>
      <w:r>
        <w:drawing>
          <wp:inline distT="0" distB="0" distL="114300" distR="114300">
            <wp:extent cx="3305175" cy="1493520"/>
            <wp:effectExtent l="4445" t="4445" r="5080" b="698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left"/>
        <w:rPr>
          <w:rFonts w:ascii="仿宋_GB2312" w:eastAsia="仿宋_GB2312"/>
          <w:color w:val="auto"/>
          <w:sz w:val="32"/>
          <w:szCs w:val="32"/>
          <w:highlight w:val="none"/>
        </w:rPr>
      </w:pPr>
    </w:p>
    <w:p>
      <w:pPr>
        <w:pStyle w:val="28"/>
        <w:numPr>
          <w:ilvl w:val="0"/>
          <w:numId w:val="1"/>
        </w:numPr>
        <w:spacing w:line="600" w:lineRule="exact"/>
        <w:ind w:firstLineChars="0"/>
        <w:outlineLvl w:val="1"/>
        <w:rPr>
          <w:rStyle w:val="30"/>
          <w:rFonts w:ascii="黑体" w:hAnsi="黑体" w:eastAsia="黑体"/>
          <w:b w:val="0"/>
          <w:color w:val="auto"/>
          <w:highlight w:val="none"/>
        </w:rPr>
      </w:pPr>
      <w:bookmarkStart w:id="28" w:name="_Toc15396604"/>
      <w:bookmarkStart w:id="29"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8"/>
      <w:bookmarkEnd w:id="29"/>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5496.22</w:t>
      </w:r>
      <w:r>
        <w:rPr>
          <w:rFonts w:hint="eastAsia" w:ascii="仿宋" w:hAnsi="仿宋" w:eastAsia="仿宋"/>
          <w:color w:val="auto"/>
          <w:sz w:val="32"/>
          <w:szCs w:val="32"/>
          <w:highlight w:val="none"/>
        </w:rPr>
        <w:t>万元，其中：一般公共预算财政拨款收入5312.4万元，占</w:t>
      </w:r>
      <w:r>
        <w:rPr>
          <w:rFonts w:hint="eastAsia" w:ascii="仿宋" w:hAnsi="仿宋" w:eastAsia="仿宋"/>
          <w:color w:val="auto"/>
          <w:sz w:val="32"/>
          <w:szCs w:val="32"/>
          <w:highlight w:val="none"/>
          <w:lang w:val="en-US" w:eastAsia="zh-CN"/>
        </w:rPr>
        <w:t>97.13</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；政府性基金预算财政拨款收入155.98万元，占</w:t>
      </w:r>
      <w:r>
        <w:rPr>
          <w:rFonts w:hint="eastAsia" w:ascii="仿宋" w:hAnsi="仿宋" w:eastAsia="仿宋"/>
          <w:color w:val="auto"/>
          <w:sz w:val="32"/>
          <w:szCs w:val="32"/>
          <w:highlight w:val="none"/>
          <w:lang w:val="en-US" w:eastAsia="zh-CN"/>
        </w:rPr>
        <w:t>2.85</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10"/>
      </w:pPr>
    </w:p>
    <w:p>
      <w:pPr>
        <w:pStyle w:val="10"/>
        <w:jc w:val="center"/>
        <w:rPr>
          <w:rFonts w:ascii="仿宋_GB2312" w:eastAsia="仿宋_GB2312"/>
          <w:color w:val="auto"/>
          <w:sz w:val="32"/>
          <w:szCs w:val="32"/>
          <w:highlight w:val="none"/>
        </w:rPr>
      </w:pPr>
      <w:r>
        <w:drawing>
          <wp:inline distT="0" distB="0" distL="114300" distR="114300">
            <wp:extent cx="3221355" cy="1434465"/>
            <wp:effectExtent l="4445" t="4445" r="12700" b="88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8"/>
        <w:numPr>
          <w:ilvl w:val="0"/>
          <w:numId w:val="1"/>
        </w:numPr>
        <w:spacing w:line="600" w:lineRule="exact"/>
        <w:ind w:firstLineChars="0"/>
        <w:outlineLvl w:val="1"/>
        <w:rPr>
          <w:rStyle w:val="30"/>
          <w:rFonts w:ascii="黑体" w:hAnsi="黑体" w:eastAsia="黑体"/>
          <w:b w:val="0"/>
          <w:color w:val="auto"/>
          <w:highlight w:val="none"/>
        </w:rPr>
      </w:pPr>
      <w:bookmarkStart w:id="30" w:name="_Toc15377207"/>
      <w:bookmarkStart w:id="31" w:name="_Toc15396605"/>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30"/>
      <w:bookmarkEnd w:id="3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9669.95</w:t>
      </w:r>
      <w:r>
        <w:rPr>
          <w:rFonts w:hint="eastAsia" w:ascii="仿宋" w:hAnsi="仿宋" w:eastAsia="仿宋"/>
          <w:color w:val="auto"/>
          <w:sz w:val="32"/>
          <w:szCs w:val="32"/>
          <w:highlight w:val="none"/>
        </w:rPr>
        <w:t>万元，其中：基本支出3024.17万元，占</w:t>
      </w:r>
      <w:r>
        <w:rPr>
          <w:rFonts w:hint="eastAsia" w:ascii="仿宋" w:hAnsi="仿宋" w:eastAsia="仿宋"/>
          <w:color w:val="auto"/>
          <w:sz w:val="32"/>
          <w:szCs w:val="32"/>
          <w:highlight w:val="none"/>
          <w:lang w:val="en-US" w:eastAsia="zh-CN"/>
        </w:rPr>
        <w:t>31.27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；项目支出6645.78万元，占</w:t>
      </w:r>
      <w:r>
        <w:rPr>
          <w:rFonts w:hint="eastAsia" w:ascii="仿宋" w:hAnsi="仿宋" w:eastAsia="仿宋"/>
          <w:color w:val="auto"/>
          <w:sz w:val="32"/>
          <w:szCs w:val="32"/>
          <w:highlight w:val="none"/>
          <w:lang w:val="en-US" w:eastAsia="zh-CN"/>
        </w:rPr>
        <w:t>68.73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10"/>
        <w:rPr>
          <w:rFonts w:hint="eastAsia" w:ascii="仿宋" w:hAnsi="仿宋" w:eastAsia="仿宋"/>
          <w:color w:val="auto"/>
          <w:sz w:val="32"/>
          <w:szCs w:val="32"/>
          <w:highlight w:val="none"/>
        </w:rPr>
      </w:pPr>
    </w:p>
    <w:p>
      <w:pPr>
        <w:pStyle w:val="10"/>
        <w:jc w:val="center"/>
        <w:rPr>
          <w:rFonts w:hint="eastAsia" w:ascii="仿宋" w:hAnsi="仿宋" w:eastAsia="仿宋"/>
          <w:color w:val="auto"/>
          <w:sz w:val="32"/>
          <w:szCs w:val="32"/>
          <w:highlight w:val="none"/>
        </w:rPr>
      </w:pPr>
      <w:r>
        <w:drawing>
          <wp:inline distT="0" distB="0" distL="114300" distR="114300">
            <wp:extent cx="3034665" cy="1371600"/>
            <wp:effectExtent l="4445" t="4445" r="889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0"/>
          <w:rFonts w:ascii="黑体" w:hAnsi="黑体" w:eastAsia="黑体"/>
          <w:b w:val="0"/>
          <w:color w:val="auto"/>
          <w:highlight w:val="none"/>
        </w:rPr>
      </w:pPr>
      <w:bookmarkStart w:id="32" w:name="_Toc15396606"/>
      <w:bookmarkStart w:id="33" w:name="_Toc15377208"/>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2"/>
      <w:bookmarkEnd w:id="33"/>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年财政拨款收、支总计14044.29万元。与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955.84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6.37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项目资金减少。</w:t>
      </w:r>
    </w:p>
    <w:p>
      <w:pPr>
        <w:spacing w:line="600" w:lineRule="exact"/>
        <w:ind w:firstLine="320" w:firstLineChars="1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bookmarkStart w:id="34" w:name="_Toc15377209"/>
      <w:bookmarkStart w:id="35" w:name="_Toc15396607"/>
    </w:p>
    <w:p>
      <w:pPr>
        <w:pStyle w:val="10"/>
        <w:rPr>
          <w:rFonts w:hint="eastAsia" w:ascii="仿宋" w:hAnsi="仿宋" w:eastAsia="仿宋"/>
          <w:color w:val="auto"/>
          <w:sz w:val="32"/>
          <w:szCs w:val="32"/>
          <w:highlight w:val="none"/>
        </w:rPr>
      </w:pPr>
    </w:p>
    <w:p>
      <w:pPr>
        <w:pStyle w:val="10"/>
        <w:jc w:val="center"/>
        <w:rPr>
          <w:rFonts w:hint="eastAsia" w:ascii="黑体" w:hAnsi="黑体" w:eastAsia="黑体"/>
          <w:color w:val="auto"/>
          <w:sz w:val="32"/>
          <w:szCs w:val="32"/>
          <w:highlight w:val="none"/>
        </w:rPr>
      </w:pPr>
      <w:r>
        <w:drawing>
          <wp:inline distT="0" distB="0" distL="114300" distR="114300">
            <wp:extent cx="4208145" cy="1644015"/>
            <wp:effectExtent l="5080" t="4445" r="15875" b="88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0"/>
        <w:rPr>
          <w:rFonts w:hint="eastAsia"/>
        </w:rPr>
      </w:pPr>
    </w:p>
    <w:p>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34"/>
      <w:bookmarkEnd w:id="35"/>
    </w:p>
    <w:p>
      <w:pPr>
        <w:spacing w:line="600" w:lineRule="exact"/>
        <w:ind w:firstLine="642" w:firstLineChars="200"/>
        <w:outlineLvl w:val="2"/>
        <w:rPr>
          <w:rFonts w:ascii="仿宋" w:hAnsi="仿宋" w:eastAsia="仿宋"/>
          <w:b/>
          <w:color w:val="auto"/>
          <w:sz w:val="32"/>
          <w:szCs w:val="32"/>
          <w:highlight w:val="none"/>
        </w:rPr>
      </w:pPr>
      <w:bookmarkStart w:id="36" w:name="_Toc15377210"/>
      <w:r>
        <w:rPr>
          <w:rFonts w:hint="eastAsia" w:ascii="仿宋" w:hAnsi="仿宋" w:eastAsia="仿宋"/>
          <w:b/>
          <w:color w:val="auto"/>
          <w:sz w:val="32"/>
          <w:szCs w:val="32"/>
          <w:highlight w:val="none"/>
        </w:rPr>
        <w:t>（一）一般公共预算财政拨款支出决算总体情况</w:t>
      </w:r>
      <w:bookmarkEnd w:id="36"/>
    </w:p>
    <w:p>
      <w:pPr>
        <w:spacing w:line="600" w:lineRule="exact"/>
        <w:ind w:firstLine="640" w:firstLineChars="200"/>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9645.57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99.75</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181.73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加快推进项目，项目资金拨付增大</w:t>
      </w:r>
      <w:r>
        <w:rPr>
          <w:rFonts w:hint="eastAsia" w:ascii="仿宋" w:hAnsi="仿宋" w:eastAsia="仿宋"/>
          <w:color w:val="auto"/>
          <w:sz w:val="32"/>
          <w:szCs w:val="32"/>
          <w:highlight w:val="none"/>
          <w:lang w:val="en-US" w:eastAsia="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10"/>
        <w:rPr>
          <w:rFonts w:hint="eastAsia" w:ascii="仿宋" w:hAnsi="仿宋" w:eastAsia="仿宋"/>
          <w:color w:val="auto"/>
          <w:sz w:val="32"/>
          <w:szCs w:val="32"/>
          <w:highlight w:val="none"/>
        </w:rPr>
      </w:pPr>
    </w:p>
    <w:p>
      <w:pPr>
        <w:pStyle w:val="10"/>
        <w:rPr>
          <w:rFonts w:hint="eastAsia" w:ascii="仿宋" w:hAnsi="仿宋" w:eastAsia="仿宋"/>
          <w:color w:val="auto"/>
          <w:sz w:val="32"/>
          <w:szCs w:val="32"/>
          <w:highlight w:val="none"/>
        </w:rPr>
      </w:pPr>
      <w:r>
        <w:drawing>
          <wp:inline distT="0" distB="0" distL="114300" distR="114300">
            <wp:extent cx="5271135" cy="1452245"/>
            <wp:effectExtent l="4445" t="4445" r="20320" b="1016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37" w:name="_Toc15377211"/>
      <w:r>
        <w:rPr>
          <w:rFonts w:hint="eastAsia" w:ascii="仿宋" w:hAnsi="仿宋" w:eastAsia="仿宋"/>
          <w:b/>
          <w:color w:val="auto"/>
          <w:sz w:val="32"/>
          <w:szCs w:val="32"/>
          <w:highlight w:val="none"/>
        </w:rPr>
        <w:t>（二）一般公共预算财政拨款支出决算结构情况</w:t>
      </w:r>
      <w:bookmarkEnd w:id="37"/>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9463.84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交通运输支出（类）</w:t>
      </w:r>
      <w:r>
        <w:rPr>
          <w:rFonts w:hint="eastAsia" w:ascii="仿宋" w:hAnsi="仿宋" w:eastAsia="仿宋"/>
          <w:color w:val="auto"/>
          <w:sz w:val="32"/>
          <w:szCs w:val="32"/>
          <w:highlight w:val="none"/>
        </w:rPr>
        <w:t>支出2064.31万元，占</w:t>
      </w:r>
      <w:r>
        <w:rPr>
          <w:rFonts w:hint="eastAsia" w:ascii="仿宋" w:hAnsi="仿宋" w:eastAsia="仿宋"/>
          <w:color w:val="auto"/>
          <w:sz w:val="32"/>
          <w:szCs w:val="32"/>
          <w:highlight w:val="none"/>
          <w:lang w:val="en-US" w:eastAsia="zh-CN"/>
        </w:rPr>
        <w:t>21.81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农林水支出（类）支出6181.26万元，占</w:t>
      </w:r>
      <w:r>
        <w:rPr>
          <w:rFonts w:hint="eastAsia" w:ascii="仿宋" w:hAnsi="仿宋" w:eastAsia="仿宋"/>
          <w:color w:val="auto"/>
          <w:sz w:val="32"/>
          <w:szCs w:val="32"/>
          <w:highlight w:val="none"/>
          <w:lang w:val="en-US" w:eastAsia="zh-CN"/>
        </w:rPr>
        <w:t>65.31</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支出285.55万元，占</w:t>
      </w:r>
      <w:r>
        <w:rPr>
          <w:rFonts w:hint="eastAsia" w:ascii="仿宋" w:hAnsi="仿宋" w:eastAsia="仿宋"/>
          <w:color w:val="auto"/>
          <w:sz w:val="32"/>
          <w:szCs w:val="32"/>
          <w:highlight w:val="none"/>
          <w:lang w:val="en-US" w:eastAsia="zh-CN"/>
        </w:rPr>
        <w:t>3.02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107.83万元，占</w:t>
      </w:r>
      <w:r>
        <w:rPr>
          <w:rFonts w:hint="eastAsia" w:ascii="仿宋" w:hAnsi="仿宋" w:eastAsia="仿宋"/>
          <w:color w:val="auto"/>
          <w:sz w:val="32"/>
          <w:szCs w:val="32"/>
          <w:highlight w:val="none"/>
          <w:lang w:val="en-US" w:eastAsia="zh-CN"/>
        </w:rPr>
        <w:t>1.14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节能环保支出559.14万元，占</w:t>
      </w:r>
      <w:r>
        <w:rPr>
          <w:rFonts w:hint="eastAsia" w:ascii="仿宋" w:hAnsi="仿宋" w:eastAsia="仿宋"/>
          <w:color w:val="auto"/>
          <w:sz w:val="32"/>
          <w:szCs w:val="32"/>
          <w:highlight w:val="none"/>
          <w:lang w:val="en-US" w:eastAsia="zh-CN"/>
        </w:rPr>
        <w:t>5.91%；</w:t>
      </w:r>
      <w:r>
        <w:rPr>
          <w:rFonts w:hint="eastAsia" w:ascii="仿宋" w:hAnsi="仿宋" w:eastAsia="仿宋"/>
          <w:color w:val="auto"/>
          <w:sz w:val="32"/>
          <w:szCs w:val="32"/>
          <w:highlight w:val="none"/>
        </w:rPr>
        <w:t>住房保障支出260.1万元，占</w:t>
      </w:r>
      <w:r>
        <w:rPr>
          <w:rFonts w:hint="eastAsia" w:ascii="仿宋" w:hAnsi="仿宋" w:eastAsia="仿宋"/>
          <w:color w:val="auto"/>
          <w:sz w:val="32"/>
          <w:szCs w:val="32"/>
          <w:highlight w:val="none"/>
          <w:lang w:val="en-US" w:eastAsia="zh-CN"/>
        </w:rPr>
        <w:t>2.75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pStyle w:val="10"/>
        <w:jc w:val="center"/>
        <w:rPr>
          <w:rFonts w:hint="eastAsia" w:ascii="仿宋" w:hAnsi="仿宋" w:eastAsia="仿宋"/>
          <w:b/>
          <w:color w:val="auto"/>
          <w:sz w:val="32"/>
          <w:szCs w:val="32"/>
          <w:highlight w:val="none"/>
        </w:rPr>
      </w:pPr>
      <w:bookmarkStart w:id="38" w:name="_Toc15377212"/>
      <w:r>
        <w:drawing>
          <wp:inline distT="0" distB="0" distL="114300" distR="114300">
            <wp:extent cx="3859530" cy="2221230"/>
            <wp:effectExtent l="4445" t="4445" r="22225" b="2222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321" w:firstLineChars="1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8"/>
    </w:p>
    <w:p>
      <w:pPr>
        <w:spacing w:line="600" w:lineRule="exact"/>
        <w:ind w:firstLine="642" w:firstLineChars="200"/>
        <w:outlineLvl w:val="2"/>
        <w:rPr>
          <w:rFonts w:ascii="仿宋" w:hAnsi="仿宋" w:eastAsia="仿宋"/>
          <w:color w:val="auto"/>
          <w:sz w:val="32"/>
          <w:szCs w:val="32"/>
          <w:highlight w:val="none"/>
        </w:rPr>
      </w:pPr>
      <w:bookmarkStart w:id="39" w:name="_Toc15377444"/>
      <w:bookmarkStart w:id="40" w:name="_Toc15377213"/>
      <w:bookmarkStart w:id="41"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9645.57</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68.68</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39"/>
      <w:bookmarkEnd w:id="40"/>
      <w:bookmarkEnd w:id="41"/>
    </w:p>
    <w:p>
      <w:pPr>
        <w:spacing w:line="600" w:lineRule="exact"/>
        <w:ind w:firstLine="642"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lang w:eastAsia="zh-CN"/>
        </w:rPr>
        <w:t>科学技术支出</w:t>
      </w:r>
      <w:r>
        <w:rPr>
          <w:rStyle w:val="19"/>
          <w:rFonts w:hint="eastAsia" w:ascii="仿宋" w:hAnsi="仿宋" w:eastAsia="仿宋"/>
          <w:bCs/>
          <w:color w:val="auto"/>
          <w:sz w:val="32"/>
          <w:szCs w:val="32"/>
          <w:highlight w:val="none"/>
        </w:rPr>
        <w:t>（类）科技条件与服务（款）其他科技条件与服务支出（项）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1.44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52.17</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Style w:val="19"/>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2.</w:t>
      </w:r>
      <w:r>
        <w:rPr>
          <w:rStyle w:val="19"/>
          <w:rFonts w:hint="eastAsia" w:ascii="仿宋" w:hAnsi="仿宋" w:eastAsia="仿宋"/>
          <w:bCs/>
          <w:color w:val="auto"/>
          <w:sz w:val="32"/>
          <w:szCs w:val="32"/>
          <w:highlight w:val="none"/>
          <w:lang w:eastAsia="zh-CN"/>
        </w:rPr>
        <w:t>科学技术支出</w:t>
      </w:r>
      <w:r>
        <w:rPr>
          <w:rStyle w:val="19"/>
          <w:rFonts w:hint="eastAsia" w:ascii="仿宋" w:hAnsi="仿宋" w:eastAsia="仿宋"/>
          <w:bCs/>
          <w:color w:val="auto"/>
          <w:sz w:val="32"/>
          <w:szCs w:val="32"/>
          <w:highlight w:val="none"/>
        </w:rPr>
        <w:t>（类）科技条件与服务（款）其他科学技术支出（项）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4.21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44.83</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Style w:val="19"/>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3.</w:t>
      </w:r>
      <w:r>
        <w:rPr>
          <w:rStyle w:val="19"/>
          <w:rFonts w:hint="eastAsia" w:ascii="仿宋" w:hAnsi="仿宋" w:eastAsia="仿宋"/>
          <w:bCs/>
          <w:color w:val="auto"/>
          <w:sz w:val="32"/>
          <w:szCs w:val="32"/>
          <w:highlight w:val="none"/>
        </w:rPr>
        <w:t>社会保障和就业支出（类）行政事业单位养老支出（款）  行政单位离退休（项）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0.48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2" w:firstLineChars="200"/>
        <w:rPr>
          <w:rFonts w:hint="eastAsia" w:ascii="仿宋_GB2312" w:hAnsi="仿宋_GB2312" w:eastAsia="仿宋_GB2312" w:cs="仿宋_GB2312"/>
          <w:color w:val="auto"/>
          <w:sz w:val="32"/>
          <w:szCs w:val="32"/>
          <w:lang w:val="en-US" w:eastAsia="zh-CN"/>
        </w:rPr>
      </w:pPr>
      <w:r>
        <w:rPr>
          <w:rStyle w:val="19"/>
          <w:rFonts w:ascii="仿宋" w:hAnsi="仿宋" w:eastAsia="仿宋"/>
          <w:bCs/>
          <w:color w:val="auto"/>
          <w:sz w:val="32"/>
          <w:szCs w:val="32"/>
          <w:highlight w:val="none"/>
        </w:rPr>
        <w:t>4.</w:t>
      </w:r>
      <w:r>
        <w:rPr>
          <w:rStyle w:val="19"/>
          <w:rFonts w:hint="eastAsia" w:ascii="仿宋" w:hAnsi="仿宋" w:eastAsia="仿宋"/>
          <w:bCs/>
          <w:color w:val="auto"/>
          <w:sz w:val="32"/>
          <w:szCs w:val="32"/>
          <w:highlight w:val="none"/>
        </w:rPr>
        <w:t>社会保障和就业支出（类）行政事业单位养老支出（款）  机关事业单位基本养老保险缴费支出（项）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200.54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97.85</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spacing w:line="600" w:lineRule="exact"/>
        <w:ind w:firstLine="642"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5.</w:t>
      </w:r>
      <w:r>
        <w:rPr>
          <w:rStyle w:val="19"/>
          <w:rFonts w:hint="eastAsia" w:ascii="仿宋" w:hAnsi="仿宋" w:eastAsia="仿宋"/>
          <w:bCs/>
          <w:color w:val="auto"/>
          <w:sz w:val="32"/>
          <w:szCs w:val="32"/>
          <w:highlight w:val="none"/>
        </w:rPr>
        <w:t>社会保障和就业支出（类）行政事业单位养老支出（款）  机关事业单位职业年金缴费支出（项）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36.41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2" w:firstLineChars="200"/>
        <w:rPr>
          <w:rStyle w:val="19"/>
          <w:rFonts w:hint="eastAsia" w:ascii="仿宋" w:hAnsi="仿宋" w:eastAsia="仿宋"/>
          <w:b w:val="0"/>
          <w:bCs/>
          <w:color w:val="auto"/>
          <w:sz w:val="32"/>
          <w:szCs w:val="32"/>
          <w:highlight w:val="none"/>
        </w:rPr>
      </w:pPr>
      <w:r>
        <w:rPr>
          <w:rStyle w:val="19"/>
          <w:rFonts w:ascii="仿宋" w:hAnsi="仿宋" w:eastAsia="仿宋"/>
          <w:bCs/>
          <w:color w:val="auto"/>
          <w:sz w:val="32"/>
          <w:szCs w:val="32"/>
          <w:highlight w:val="none"/>
        </w:rPr>
        <w:t>6.</w:t>
      </w:r>
      <w:r>
        <w:rPr>
          <w:rStyle w:val="19"/>
          <w:rFonts w:hint="eastAsia" w:ascii="仿宋" w:hAnsi="仿宋" w:eastAsia="仿宋"/>
          <w:bCs/>
          <w:color w:val="auto"/>
          <w:sz w:val="32"/>
          <w:szCs w:val="32"/>
          <w:highlight w:val="none"/>
        </w:rPr>
        <w:t>社会保障和就业支出（类）抚恤（款） 死亡抚恤（项）</w:t>
      </w:r>
      <w:r>
        <w:rPr>
          <w:rStyle w:val="19"/>
          <w:rFonts w:hint="eastAsia" w:ascii="仿宋" w:hAnsi="仿宋" w:eastAsia="仿宋"/>
          <w:bCs/>
          <w:color w:val="auto"/>
          <w:sz w:val="32"/>
          <w:szCs w:val="32"/>
          <w:highlight w:val="none"/>
          <w:lang w:eastAsia="zh-CN"/>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32.63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hint="eastAsia" w:ascii="仿宋" w:hAnsi="仿宋" w:eastAsia="仿宋"/>
          <w:bCs/>
          <w:color w:val="auto"/>
          <w:sz w:val="32"/>
          <w:szCs w:val="32"/>
          <w:highlight w:val="none"/>
        </w:rPr>
        <w:t>社会保障和就业支出（类）其他社会保障和就业支出（款）其他社会保障和就业支出（项）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15.49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lang w:val="en-US" w:eastAsia="zh-CN"/>
        </w:rPr>
        <w:t>8.</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（类）行政事业单位医疗（款）行政单位医疗（项）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55.72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2" w:firstLineChars="200"/>
        <w:rPr>
          <w:rFonts w:hint="eastAsia" w:ascii="仿宋_GB2312" w:hAnsi="仿宋_GB2312" w:eastAsia="仿宋_GB2312" w:cs="仿宋_GB2312"/>
          <w:color w:val="auto"/>
          <w:sz w:val="32"/>
          <w:szCs w:val="32"/>
          <w:lang w:val="en-US" w:eastAsia="zh-CN"/>
        </w:rPr>
      </w:pPr>
      <w:r>
        <w:rPr>
          <w:rFonts w:hint="eastAsia" w:ascii="仿宋" w:hAnsi="仿宋" w:eastAsia="仿宋"/>
          <w:b/>
          <w:bCs/>
          <w:color w:val="auto"/>
          <w:sz w:val="32"/>
          <w:szCs w:val="32"/>
          <w:highlight w:val="none"/>
          <w:lang w:val="en-US" w:eastAsia="zh-CN"/>
        </w:rPr>
        <w:t>9.</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w:t>
      </w:r>
      <w:r>
        <w:rPr>
          <w:rStyle w:val="19"/>
          <w:rFonts w:hint="eastAsia" w:ascii="仿宋" w:hAnsi="仿宋" w:eastAsia="仿宋"/>
          <w:bCs/>
          <w:color w:val="auto"/>
          <w:sz w:val="32"/>
          <w:szCs w:val="32"/>
          <w:highlight w:val="none"/>
          <w:lang w:eastAsia="zh-CN"/>
        </w:rPr>
        <w:t>事业</w:t>
      </w:r>
      <w:r>
        <w:rPr>
          <w:rStyle w:val="19"/>
          <w:rFonts w:hint="eastAsia" w:ascii="仿宋" w:hAnsi="仿宋" w:eastAsia="仿宋"/>
          <w:bCs/>
          <w:color w:val="auto"/>
          <w:sz w:val="32"/>
          <w:szCs w:val="32"/>
          <w:highlight w:val="none"/>
        </w:rPr>
        <w:t>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52.11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97.58</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spacing w:line="600" w:lineRule="exact"/>
        <w:ind w:firstLine="642" w:firstLineChars="200"/>
        <w:rPr>
          <w:rFonts w:hint="eastAsia" w:ascii="仿宋_GB2312" w:hAnsi="仿宋_GB2312" w:eastAsia="仿宋_GB2312" w:cs="仿宋_GB2312"/>
          <w:color w:val="auto"/>
          <w:sz w:val="32"/>
          <w:szCs w:val="32"/>
          <w:lang w:eastAsia="zh-CN"/>
        </w:rPr>
      </w:pPr>
      <w:r>
        <w:rPr>
          <w:rFonts w:hint="eastAsia" w:ascii="仿宋" w:hAnsi="仿宋" w:eastAsia="仿宋"/>
          <w:b/>
          <w:color w:val="auto"/>
          <w:sz w:val="32"/>
          <w:szCs w:val="32"/>
          <w:highlight w:val="none"/>
          <w:lang w:val="en-US" w:eastAsia="zh-CN"/>
        </w:rPr>
        <w:t>10.</w:t>
      </w:r>
      <w:r>
        <w:rPr>
          <w:rFonts w:hint="eastAsia" w:ascii="仿宋" w:hAnsi="仿宋" w:eastAsia="仿宋"/>
          <w:b/>
          <w:bCs/>
          <w:color w:val="auto"/>
          <w:sz w:val="32"/>
          <w:szCs w:val="32"/>
          <w:highlight w:val="none"/>
        </w:rPr>
        <w:t>节能环保支出</w:t>
      </w:r>
      <w:r>
        <w:rPr>
          <w:rStyle w:val="19"/>
          <w:rFonts w:hint="eastAsia" w:ascii="仿宋" w:hAnsi="仿宋" w:eastAsia="仿宋"/>
          <w:bCs/>
          <w:color w:val="auto"/>
          <w:sz w:val="32"/>
          <w:szCs w:val="32"/>
          <w:highlight w:val="none"/>
        </w:rPr>
        <w:t>（类）天然林保护（款）</w:t>
      </w:r>
      <w:r>
        <w:rPr>
          <w:rStyle w:val="19"/>
          <w:rFonts w:hint="eastAsia" w:ascii="仿宋" w:hAnsi="仿宋" w:eastAsia="仿宋"/>
          <w:bCs/>
          <w:color w:val="auto"/>
          <w:sz w:val="32"/>
          <w:szCs w:val="32"/>
          <w:highlight w:val="none"/>
          <w:lang w:eastAsia="zh-CN"/>
        </w:rPr>
        <w:t xml:space="preserve"> 森林管护</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221.07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84.12</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spacing w:line="600" w:lineRule="exact"/>
        <w:ind w:firstLine="642" w:firstLineChars="200"/>
        <w:rPr>
          <w:rFonts w:hint="eastAsia" w:ascii="仿宋_GB2312" w:hAnsi="仿宋_GB2312" w:eastAsia="仿宋_GB2312" w:cs="仿宋_GB2312"/>
          <w:color w:val="auto"/>
          <w:sz w:val="32"/>
          <w:szCs w:val="32"/>
          <w:lang w:eastAsia="zh-CN"/>
        </w:rPr>
      </w:pPr>
      <w:r>
        <w:rPr>
          <w:rFonts w:hint="eastAsia" w:ascii="仿宋" w:hAnsi="仿宋" w:eastAsia="仿宋"/>
          <w:b/>
          <w:bCs/>
          <w:color w:val="auto"/>
          <w:sz w:val="32"/>
          <w:szCs w:val="32"/>
          <w:highlight w:val="none"/>
          <w:lang w:val="en-US" w:eastAsia="zh-CN"/>
        </w:rPr>
        <w:t>11.</w:t>
      </w:r>
      <w:r>
        <w:rPr>
          <w:rFonts w:hint="eastAsia" w:ascii="仿宋" w:hAnsi="仿宋" w:eastAsia="仿宋"/>
          <w:b/>
          <w:bCs/>
          <w:color w:val="auto"/>
          <w:sz w:val="32"/>
          <w:szCs w:val="32"/>
          <w:highlight w:val="none"/>
        </w:rPr>
        <w:t>节能环保支出</w:t>
      </w:r>
      <w:r>
        <w:rPr>
          <w:rStyle w:val="19"/>
          <w:rFonts w:hint="eastAsia" w:ascii="仿宋" w:hAnsi="仿宋" w:eastAsia="仿宋"/>
          <w:bCs/>
          <w:color w:val="auto"/>
          <w:sz w:val="32"/>
          <w:szCs w:val="32"/>
          <w:highlight w:val="none"/>
        </w:rPr>
        <w:t>（类）天然林保护（款</w:t>
      </w:r>
      <w:r>
        <w:rPr>
          <w:rStyle w:val="19"/>
          <w:rFonts w:hint="eastAsia" w:ascii="仿宋" w:hAnsi="仿宋" w:eastAsia="仿宋"/>
          <w:bCs/>
          <w:color w:val="auto"/>
          <w:sz w:val="32"/>
          <w:szCs w:val="32"/>
          <w:highlight w:val="none"/>
          <w:lang w:eastAsia="zh-CN"/>
        </w:rPr>
        <w:t>）社会保险补助</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238.07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93.11</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spacing w:line="600" w:lineRule="exact"/>
        <w:ind w:firstLine="642" w:firstLineChars="200"/>
        <w:rPr>
          <w:rFonts w:hint="eastAsia" w:ascii="仿宋_GB2312" w:hAnsi="仿宋_GB2312" w:eastAsia="仿宋_GB2312" w:cs="仿宋_GB2312"/>
          <w:color w:val="auto"/>
          <w:sz w:val="32"/>
          <w:szCs w:val="32"/>
          <w:lang w:eastAsia="zh-CN"/>
        </w:rPr>
      </w:pPr>
      <w:r>
        <w:rPr>
          <w:rFonts w:hint="eastAsia" w:ascii="仿宋" w:hAnsi="仿宋" w:eastAsia="仿宋"/>
          <w:b/>
          <w:bCs/>
          <w:color w:val="auto"/>
          <w:sz w:val="32"/>
          <w:szCs w:val="32"/>
          <w:highlight w:val="none"/>
          <w:lang w:val="en-US" w:eastAsia="zh-CN"/>
        </w:rPr>
        <w:t>12.</w:t>
      </w:r>
      <w:r>
        <w:rPr>
          <w:rFonts w:hint="eastAsia" w:ascii="仿宋" w:hAnsi="仿宋" w:eastAsia="仿宋"/>
          <w:b/>
          <w:bCs/>
          <w:color w:val="auto"/>
          <w:sz w:val="32"/>
          <w:szCs w:val="32"/>
          <w:highlight w:val="none"/>
        </w:rPr>
        <w:t>节能环保支出</w:t>
      </w:r>
      <w:r>
        <w:rPr>
          <w:rStyle w:val="19"/>
          <w:rFonts w:hint="eastAsia" w:ascii="仿宋" w:hAnsi="仿宋" w:eastAsia="仿宋"/>
          <w:bCs/>
          <w:color w:val="auto"/>
          <w:sz w:val="32"/>
          <w:szCs w:val="32"/>
          <w:highlight w:val="none"/>
        </w:rPr>
        <w:t>（类）天然林保护（款</w:t>
      </w:r>
      <w:r>
        <w:rPr>
          <w:rStyle w:val="19"/>
          <w:rFonts w:hint="eastAsia" w:ascii="仿宋" w:hAnsi="仿宋" w:eastAsia="仿宋"/>
          <w:bCs/>
          <w:color w:val="auto"/>
          <w:sz w:val="32"/>
          <w:szCs w:val="32"/>
          <w:highlight w:val="none"/>
          <w:lang w:eastAsia="zh-CN"/>
        </w:rPr>
        <w:t>）政策性社会性支出补助</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2" w:firstLineChars="200"/>
        <w:rPr>
          <w:rStyle w:val="19"/>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13.</w:t>
      </w:r>
      <w:r>
        <w:rPr>
          <w:rStyle w:val="19"/>
          <w:rFonts w:hint="eastAsia" w:ascii="仿宋" w:hAnsi="仿宋" w:eastAsia="仿宋"/>
          <w:bCs/>
          <w:color w:val="auto"/>
          <w:sz w:val="32"/>
          <w:szCs w:val="32"/>
          <w:highlight w:val="none"/>
          <w:lang w:val="en-US" w:eastAsia="zh-CN"/>
        </w:rPr>
        <w:t>农林水支出</w:t>
      </w:r>
      <w:r>
        <w:rPr>
          <w:rStyle w:val="19"/>
          <w:rFonts w:hint="eastAsia" w:ascii="仿宋" w:hAnsi="仿宋" w:eastAsia="仿宋"/>
          <w:bCs/>
          <w:color w:val="auto"/>
          <w:sz w:val="32"/>
          <w:szCs w:val="32"/>
          <w:highlight w:val="none"/>
        </w:rPr>
        <w:t>（类）林业和草原（款）行政运行（项）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558.63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p>
    <w:p>
      <w:pPr>
        <w:numPr>
          <w:ilvl w:val="0"/>
          <w:numId w:val="0"/>
        </w:numPr>
        <w:spacing w:line="600" w:lineRule="exact"/>
        <w:ind w:firstLine="642" w:firstLineChars="200"/>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auto"/>
          <w:sz w:val="32"/>
          <w:szCs w:val="32"/>
          <w:highlight w:val="none"/>
          <w:lang w:val="en-US" w:eastAsia="zh-CN"/>
        </w:rPr>
        <w:t>14.农林水支出</w:t>
      </w:r>
      <w:r>
        <w:rPr>
          <w:rStyle w:val="19"/>
          <w:rFonts w:hint="eastAsia" w:ascii="仿宋" w:hAnsi="仿宋" w:eastAsia="仿宋"/>
          <w:bCs/>
          <w:color w:val="auto"/>
          <w:sz w:val="32"/>
          <w:szCs w:val="32"/>
          <w:highlight w:val="none"/>
        </w:rPr>
        <w:t>（类）林业和草原（款）一般行政管理事务（项）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85.7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p>
    <w:p>
      <w:pPr>
        <w:numPr>
          <w:ilvl w:val="0"/>
          <w:numId w:val="0"/>
        </w:numPr>
        <w:spacing w:line="600" w:lineRule="exact"/>
        <w:ind w:firstLine="642" w:firstLineChars="200"/>
        <w:rPr>
          <w:rFonts w:hint="eastAsia" w:ascii="仿宋_GB2312" w:hAnsi="仿宋_GB2312" w:eastAsia="仿宋_GB2312" w:cs="仿宋_GB2312"/>
          <w:color w:val="auto"/>
          <w:sz w:val="32"/>
          <w:szCs w:val="32"/>
          <w:lang w:eastAsia="zh-CN"/>
        </w:rPr>
      </w:pPr>
      <w:r>
        <w:rPr>
          <w:rStyle w:val="19"/>
          <w:rFonts w:hint="eastAsia" w:ascii="仿宋" w:hAnsi="仿宋" w:eastAsia="仿宋"/>
          <w:bCs/>
          <w:color w:val="auto"/>
          <w:sz w:val="32"/>
          <w:szCs w:val="32"/>
          <w:highlight w:val="none"/>
          <w:lang w:val="en-US" w:eastAsia="zh-CN"/>
        </w:rPr>
        <w:t>15.农林水支出</w:t>
      </w:r>
      <w:r>
        <w:rPr>
          <w:rStyle w:val="19"/>
          <w:rFonts w:hint="eastAsia" w:ascii="仿宋" w:hAnsi="仿宋" w:eastAsia="仿宋"/>
          <w:bCs/>
          <w:color w:val="auto"/>
          <w:sz w:val="32"/>
          <w:szCs w:val="32"/>
          <w:highlight w:val="none"/>
        </w:rPr>
        <w:t>（类）林业和草原（款）</w:t>
      </w:r>
      <w:r>
        <w:rPr>
          <w:rStyle w:val="19"/>
          <w:rFonts w:hint="eastAsia" w:ascii="仿宋" w:hAnsi="仿宋" w:eastAsia="仿宋" w:cs="Times New Roman"/>
          <w:bCs/>
          <w:color w:val="auto"/>
          <w:sz w:val="32"/>
          <w:szCs w:val="32"/>
          <w:highlight w:val="none"/>
          <w:lang w:eastAsia="zh-CN"/>
        </w:rPr>
        <w:t>事业机构</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1693.02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98.29</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2" w:firstLineChars="200"/>
        <w:rPr>
          <w:rFonts w:hint="eastAsia" w:ascii="仿宋_GB2312" w:hAnsi="仿宋_GB2312" w:eastAsia="仿宋_GB2312" w:cs="仿宋_GB2312"/>
          <w:color w:val="auto"/>
          <w:sz w:val="32"/>
          <w:szCs w:val="32"/>
          <w:lang w:eastAsia="zh-CN"/>
        </w:rPr>
      </w:pPr>
      <w:r>
        <w:rPr>
          <w:rStyle w:val="19"/>
          <w:rFonts w:hint="eastAsia" w:ascii="仿宋" w:hAnsi="仿宋" w:eastAsia="仿宋"/>
          <w:bCs/>
          <w:color w:val="auto"/>
          <w:sz w:val="32"/>
          <w:szCs w:val="32"/>
          <w:highlight w:val="none"/>
          <w:lang w:val="en-US" w:eastAsia="zh-CN"/>
        </w:rPr>
        <w:t>16.农林水支出</w:t>
      </w:r>
      <w:r>
        <w:rPr>
          <w:rStyle w:val="19"/>
          <w:rFonts w:hint="eastAsia" w:ascii="仿宋" w:hAnsi="仿宋" w:eastAsia="仿宋"/>
          <w:bCs/>
          <w:color w:val="auto"/>
          <w:sz w:val="32"/>
          <w:szCs w:val="32"/>
          <w:highlight w:val="none"/>
        </w:rPr>
        <w:t>（类）林业和草原（款）森林资源培育（项）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629.39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55.16%，</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17.</w:t>
      </w:r>
      <w:r>
        <w:rPr>
          <w:rStyle w:val="19"/>
          <w:rFonts w:hint="eastAsia" w:ascii="仿宋" w:hAnsi="仿宋" w:eastAsia="仿宋"/>
          <w:bCs/>
          <w:color w:val="auto"/>
          <w:sz w:val="32"/>
          <w:szCs w:val="32"/>
          <w:highlight w:val="none"/>
          <w:lang w:val="en-US" w:eastAsia="zh-CN"/>
        </w:rPr>
        <w:t>农林水支出</w:t>
      </w:r>
      <w:r>
        <w:rPr>
          <w:rStyle w:val="19"/>
          <w:rFonts w:hint="eastAsia" w:ascii="仿宋" w:hAnsi="仿宋" w:eastAsia="仿宋"/>
          <w:bCs/>
          <w:color w:val="auto"/>
          <w:sz w:val="32"/>
          <w:szCs w:val="32"/>
          <w:highlight w:val="none"/>
        </w:rPr>
        <w:t>（类）林业和草原（款）技术推广与转化（项）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174.72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55.43%，</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18</w:t>
      </w:r>
      <w:r>
        <w:rPr>
          <w:rStyle w:val="19"/>
          <w:rFonts w:hint="eastAsia" w:ascii="仿宋" w:hAnsi="仿宋" w:eastAsia="仿宋"/>
          <w:bCs/>
          <w:color w:val="auto"/>
          <w:sz w:val="32"/>
          <w:szCs w:val="32"/>
          <w:highlight w:val="none"/>
          <w:lang w:val="en-US" w:eastAsia="zh-CN"/>
        </w:rPr>
        <w:t>.农林水支出</w:t>
      </w:r>
      <w:r>
        <w:rPr>
          <w:rStyle w:val="19"/>
          <w:rFonts w:hint="eastAsia" w:ascii="仿宋" w:hAnsi="仿宋" w:eastAsia="仿宋"/>
          <w:bCs/>
          <w:color w:val="auto"/>
          <w:sz w:val="32"/>
          <w:szCs w:val="32"/>
          <w:highlight w:val="none"/>
        </w:rPr>
        <w:t>（类）林业和草原（款）森林生态效益补偿（项）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23.8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29.81%，</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19.</w:t>
      </w:r>
      <w:r>
        <w:rPr>
          <w:rStyle w:val="19"/>
          <w:rFonts w:hint="eastAsia" w:ascii="仿宋" w:hAnsi="仿宋" w:eastAsia="仿宋"/>
          <w:bCs/>
          <w:color w:val="auto"/>
          <w:sz w:val="32"/>
          <w:szCs w:val="32"/>
          <w:highlight w:val="none"/>
          <w:lang w:val="en-US" w:eastAsia="zh-CN"/>
        </w:rPr>
        <w:t>农林水支出</w:t>
      </w:r>
      <w:r>
        <w:rPr>
          <w:rStyle w:val="19"/>
          <w:rFonts w:hint="eastAsia" w:ascii="仿宋" w:hAnsi="仿宋" w:eastAsia="仿宋"/>
          <w:bCs/>
          <w:color w:val="auto"/>
          <w:sz w:val="32"/>
          <w:szCs w:val="32"/>
          <w:highlight w:val="none"/>
        </w:rPr>
        <w:t>（类）林业和草原（款）</w:t>
      </w:r>
      <w:r>
        <w:rPr>
          <w:rStyle w:val="19"/>
          <w:rFonts w:hint="eastAsia" w:ascii="仿宋" w:hAnsi="仿宋" w:eastAsia="仿宋"/>
          <w:bCs/>
          <w:color w:val="auto"/>
          <w:sz w:val="32"/>
          <w:szCs w:val="32"/>
          <w:highlight w:val="none"/>
          <w:lang w:eastAsia="zh-CN"/>
        </w:rPr>
        <w:t>森林资源管理</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w:t>
      </w:r>
      <w:r>
        <w:rPr>
          <w:rStyle w:val="19"/>
          <w:rFonts w:hint="eastAsia" w:ascii="仿宋" w:hAnsi="仿宋" w:eastAsia="仿宋"/>
          <w:bCs/>
          <w:color w:val="auto"/>
          <w:sz w:val="32"/>
          <w:szCs w:val="32"/>
          <w:highlight w:val="none"/>
          <w:lang w:val="en-US" w:eastAsia="zh-CN"/>
        </w:rPr>
        <w:t>农林水支出</w:t>
      </w:r>
      <w:r>
        <w:rPr>
          <w:rStyle w:val="19"/>
          <w:rFonts w:hint="eastAsia" w:ascii="仿宋" w:hAnsi="仿宋" w:eastAsia="仿宋"/>
          <w:bCs/>
          <w:color w:val="auto"/>
          <w:sz w:val="32"/>
          <w:szCs w:val="32"/>
          <w:highlight w:val="none"/>
        </w:rPr>
        <w:t>（类）林业和草原（款）自然保护区等管理（项）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134.24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29.81%，</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numPr>
          <w:ilvl w:val="0"/>
          <w:numId w:val="0"/>
        </w:numPr>
        <w:spacing w:line="600" w:lineRule="exact"/>
        <w:ind w:firstLine="642" w:firstLineChars="200"/>
        <w:rPr>
          <w:rFonts w:hint="eastAsia" w:ascii="仿宋_GB2312" w:hAnsi="仿宋_GB2312" w:eastAsia="仿宋_GB2312" w:cs="仿宋_GB2312"/>
          <w:color w:val="auto"/>
          <w:sz w:val="32"/>
          <w:szCs w:val="32"/>
          <w:lang w:eastAsia="zh-CN"/>
        </w:rPr>
      </w:pPr>
      <w:r>
        <w:rPr>
          <w:rStyle w:val="19"/>
          <w:rFonts w:hint="eastAsia" w:ascii="仿宋" w:hAnsi="仿宋" w:eastAsia="仿宋"/>
          <w:bCs/>
          <w:color w:val="auto"/>
          <w:sz w:val="32"/>
          <w:szCs w:val="32"/>
          <w:highlight w:val="none"/>
          <w:lang w:val="en-US" w:eastAsia="zh-CN"/>
        </w:rPr>
        <w:t>21.农林水支出</w:t>
      </w:r>
      <w:r>
        <w:rPr>
          <w:rStyle w:val="19"/>
          <w:rFonts w:hint="eastAsia" w:ascii="仿宋" w:hAnsi="仿宋" w:eastAsia="仿宋"/>
          <w:bCs/>
          <w:color w:val="auto"/>
          <w:sz w:val="32"/>
          <w:szCs w:val="32"/>
          <w:highlight w:val="none"/>
        </w:rPr>
        <w:t>（类）林业和草原（款）</w:t>
      </w:r>
      <w:r>
        <w:rPr>
          <w:rStyle w:val="19"/>
          <w:rFonts w:hint="eastAsia" w:ascii="仿宋" w:hAnsi="仿宋" w:eastAsia="仿宋" w:cs="Times New Roman"/>
          <w:bCs/>
          <w:color w:val="auto"/>
          <w:sz w:val="32"/>
          <w:szCs w:val="32"/>
          <w:highlight w:val="none"/>
          <w:lang w:val="en-US" w:eastAsia="zh-CN"/>
        </w:rPr>
        <w:t>动植物保护</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 xml:space="preserve"> 24.94 </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42.73%，</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2" w:firstLineChars="200"/>
        <w:rPr>
          <w:rFonts w:hint="eastAsia" w:ascii="仿宋_GB2312" w:hAnsi="仿宋_GB2312" w:eastAsia="仿宋_GB2312" w:cs="仿宋_GB2312"/>
          <w:color w:val="auto"/>
          <w:sz w:val="32"/>
          <w:szCs w:val="32"/>
          <w:lang w:eastAsia="zh-CN"/>
        </w:rPr>
      </w:pPr>
      <w:r>
        <w:rPr>
          <w:rStyle w:val="19"/>
          <w:rFonts w:hint="eastAsia" w:ascii="仿宋" w:hAnsi="仿宋" w:eastAsia="仿宋"/>
          <w:bCs/>
          <w:color w:val="auto"/>
          <w:sz w:val="32"/>
          <w:szCs w:val="32"/>
          <w:highlight w:val="none"/>
          <w:lang w:val="en-US" w:eastAsia="zh-CN"/>
        </w:rPr>
        <w:t>22.农林水支出</w:t>
      </w:r>
      <w:r>
        <w:rPr>
          <w:rStyle w:val="19"/>
          <w:rFonts w:hint="eastAsia" w:ascii="仿宋" w:hAnsi="仿宋" w:eastAsia="仿宋"/>
          <w:bCs/>
          <w:color w:val="auto"/>
          <w:sz w:val="32"/>
          <w:szCs w:val="32"/>
          <w:highlight w:val="none"/>
        </w:rPr>
        <w:t>（类）林业和草原（款）</w:t>
      </w:r>
      <w:r>
        <w:rPr>
          <w:rStyle w:val="19"/>
          <w:rFonts w:hint="eastAsia" w:ascii="仿宋" w:hAnsi="仿宋" w:eastAsia="仿宋" w:cs="Times New Roman"/>
          <w:bCs/>
          <w:color w:val="auto"/>
          <w:sz w:val="32"/>
          <w:szCs w:val="32"/>
          <w:highlight w:val="none"/>
          <w:lang w:val="en-US" w:eastAsia="zh-CN"/>
        </w:rPr>
        <w:t>湿地保护</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158.18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64.43%，</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2" w:firstLineChars="200"/>
        <w:rPr>
          <w:rFonts w:hint="eastAsia" w:ascii="仿宋_GB2312" w:hAnsi="仿宋_GB2312" w:eastAsia="仿宋_GB2312" w:cs="仿宋_GB2312"/>
          <w:color w:val="auto"/>
          <w:sz w:val="32"/>
          <w:szCs w:val="32"/>
          <w:lang w:eastAsia="zh-CN"/>
        </w:rPr>
      </w:pPr>
      <w:r>
        <w:rPr>
          <w:rStyle w:val="19"/>
          <w:rFonts w:hint="eastAsia" w:ascii="仿宋" w:hAnsi="仿宋" w:eastAsia="仿宋"/>
          <w:bCs/>
          <w:color w:val="auto"/>
          <w:sz w:val="32"/>
          <w:szCs w:val="32"/>
          <w:highlight w:val="none"/>
          <w:lang w:val="en-US" w:eastAsia="zh-CN"/>
        </w:rPr>
        <w:t>23.农林水支出</w:t>
      </w:r>
      <w:r>
        <w:rPr>
          <w:rStyle w:val="19"/>
          <w:rFonts w:hint="eastAsia" w:ascii="仿宋" w:hAnsi="仿宋" w:eastAsia="仿宋"/>
          <w:bCs/>
          <w:color w:val="auto"/>
          <w:sz w:val="32"/>
          <w:szCs w:val="32"/>
          <w:highlight w:val="none"/>
        </w:rPr>
        <w:t>（类）林业和草原（款）</w:t>
      </w:r>
      <w:r>
        <w:rPr>
          <w:rStyle w:val="19"/>
          <w:rFonts w:hint="eastAsia" w:ascii="仿宋" w:hAnsi="仿宋" w:eastAsia="仿宋" w:cs="Times New Roman"/>
          <w:bCs/>
          <w:color w:val="auto"/>
          <w:sz w:val="32"/>
          <w:szCs w:val="32"/>
          <w:highlight w:val="none"/>
          <w:lang w:val="en-US" w:eastAsia="zh-CN"/>
        </w:rPr>
        <w:t>林业草原防灾减灾</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244.53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99.18%</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0" w:firstLineChars="200"/>
        <w:rPr>
          <w:rFonts w:hint="eastAsia" w:ascii="仿宋" w:hAnsi="仿宋" w:eastAsia="仿宋_GB2312"/>
          <w:b/>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24.</w:t>
      </w:r>
      <w:r>
        <w:rPr>
          <w:rStyle w:val="19"/>
          <w:rFonts w:hint="eastAsia" w:ascii="仿宋" w:hAnsi="仿宋" w:eastAsia="仿宋"/>
          <w:bCs/>
          <w:color w:val="auto"/>
          <w:sz w:val="32"/>
          <w:szCs w:val="32"/>
          <w:highlight w:val="none"/>
          <w:lang w:val="en-US" w:eastAsia="zh-CN"/>
        </w:rPr>
        <w:t>农林水支出</w:t>
      </w:r>
      <w:r>
        <w:rPr>
          <w:rStyle w:val="19"/>
          <w:rFonts w:hint="eastAsia" w:ascii="仿宋" w:hAnsi="仿宋" w:eastAsia="仿宋"/>
          <w:bCs/>
          <w:color w:val="auto"/>
          <w:sz w:val="32"/>
          <w:szCs w:val="32"/>
          <w:highlight w:val="none"/>
        </w:rPr>
        <w:t>（类）林业和草原（款）</w:t>
      </w:r>
      <w:r>
        <w:rPr>
          <w:rStyle w:val="19"/>
          <w:rFonts w:hint="eastAsia" w:ascii="仿宋" w:hAnsi="仿宋" w:eastAsia="仿宋" w:cs="Times New Roman"/>
          <w:bCs/>
          <w:color w:val="auto"/>
          <w:sz w:val="32"/>
          <w:szCs w:val="32"/>
          <w:highlight w:val="none"/>
          <w:lang w:val="en-US" w:eastAsia="zh-CN"/>
        </w:rPr>
        <w:t>行业业务管理（项）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36.72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53.28%，</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numPr>
          <w:ilvl w:val="0"/>
          <w:numId w:val="0"/>
        </w:numPr>
        <w:spacing w:line="600" w:lineRule="exact"/>
        <w:ind w:firstLine="642" w:firstLineChars="200"/>
        <w:rPr>
          <w:rFonts w:hint="eastAsia" w:ascii="仿宋_GB2312" w:hAnsi="仿宋_GB2312" w:eastAsia="仿宋_GB2312" w:cs="仿宋_GB2312"/>
          <w:color w:val="auto"/>
          <w:sz w:val="32"/>
          <w:szCs w:val="32"/>
          <w:lang w:eastAsia="zh-CN"/>
        </w:rPr>
      </w:pPr>
      <w:r>
        <w:rPr>
          <w:rStyle w:val="19"/>
          <w:rFonts w:hint="eastAsia" w:ascii="仿宋" w:hAnsi="仿宋" w:eastAsia="仿宋"/>
          <w:bCs/>
          <w:color w:val="auto"/>
          <w:sz w:val="32"/>
          <w:szCs w:val="32"/>
          <w:highlight w:val="none"/>
          <w:lang w:val="en-US" w:eastAsia="zh-CN"/>
        </w:rPr>
        <w:t>25.农林水支出</w:t>
      </w:r>
      <w:r>
        <w:rPr>
          <w:rStyle w:val="19"/>
          <w:rFonts w:hint="eastAsia" w:ascii="仿宋" w:hAnsi="仿宋" w:eastAsia="仿宋"/>
          <w:bCs/>
          <w:color w:val="auto"/>
          <w:sz w:val="32"/>
          <w:szCs w:val="32"/>
          <w:highlight w:val="none"/>
        </w:rPr>
        <w:t>（类）林业和草原（款）</w:t>
      </w:r>
      <w:r>
        <w:rPr>
          <w:rStyle w:val="19"/>
          <w:rFonts w:hint="eastAsia" w:ascii="仿宋" w:hAnsi="仿宋" w:eastAsia="仿宋" w:cs="Times New Roman"/>
          <w:bCs/>
          <w:color w:val="auto"/>
          <w:sz w:val="32"/>
          <w:szCs w:val="32"/>
          <w:highlight w:val="none"/>
          <w:lang w:val="en-US" w:eastAsia="zh-CN"/>
        </w:rPr>
        <w:t>其他林业和草原支出（项）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2402.4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69.42%，</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bookmarkStart w:id="42" w:name="_Toc15396608"/>
      <w:bookmarkStart w:id="43" w:name="_Toc15377214"/>
    </w:p>
    <w:p>
      <w:pPr>
        <w:numPr>
          <w:ilvl w:val="0"/>
          <w:numId w:val="0"/>
        </w:num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26.</w:t>
      </w:r>
      <w:r>
        <w:rPr>
          <w:rStyle w:val="19"/>
          <w:rFonts w:hint="eastAsia" w:ascii="仿宋" w:hAnsi="仿宋" w:eastAsia="仿宋"/>
          <w:bCs/>
          <w:color w:val="auto"/>
          <w:sz w:val="32"/>
          <w:szCs w:val="32"/>
          <w:highlight w:val="none"/>
          <w:lang w:val="en-US" w:eastAsia="zh-CN"/>
        </w:rPr>
        <w:t>交通运输支出</w:t>
      </w:r>
      <w:r>
        <w:rPr>
          <w:rStyle w:val="19"/>
          <w:rFonts w:hint="eastAsia" w:ascii="仿宋" w:hAnsi="仿宋" w:eastAsia="仿宋"/>
          <w:bCs/>
          <w:color w:val="auto"/>
          <w:sz w:val="32"/>
          <w:szCs w:val="32"/>
          <w:highlight w:val="none"/>
        </w:rPr>
        <w:t>（类）车辆购置税支出（款）</w:t>
      </w:r>
      <w:r>
        <w:rPr>
          <w:rStyle w:val="19"/>
          <w:rFonts w:hint="eastAsia" w:ascii="仿宋" w:hAnsi="仿宋" w:eastAsia="仿宋" w:cs="Times New Roman"/>
          <w:bCs/>
          <w:color w:val="auto"/>
          <w:sz w:val="32"/>
          <w:szCs w:val="32"/>
          <w:highlight w:val="none"/>
          <w:lang w:val="en-US" w:eastAsia="zh-CN"/>
        </w:rPr>
        <w:t xml:space="preserve"> 车辆购置税用于公路等基础设施建设支出（项）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2064.31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47.54%，</w:t>
      </w:r>
      <w:r>
        <w:rPr>
          <w:rStyle w:val="19"/>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sz w:val="32"/>
          <w:szCs w:val="32"/>
        </w:rPr>
        <w:t>项目尚在实施中，属于正常的资金</w:t>
      </w:r>
      <w:r>
        <w:rPr>
          <w:rFonts w:hint="eastAsia" w:ascii="仿宋_GB2312" w:hAnsi="仿宋_GB2312" w:eastAsia="仿宋_GB2312" w:cs="仿宋_GB2312"/>
          <w:color w:val="auto"/>
          <w:sz w:val="32"/>
          <w:szCs w:val="32"/>
        </w:rPr>
        <w:t>结转</w:t>
      </w:r>
      <w:r>
        <w:rPr>
          <w:rFonts w:hint="eastAsia" w:ascii="仿宋_GB2312" w:hAnsi="仿宋_GB2312" w:eastAsia="仿宋_GB2312" w:cs="仿宋_GB2312"/>
          <w:color w:val="auto"/>
          <w:sz w:val="32"/>
          <w:szCs w:val="32"/>
          <w:lang w:eastAsia="zh-CN"/>
        </w:rPr>
        <w:t>。</w:t>
      </w:r>
    </w:p>
    <w:p>
      <w:pPr>
        <w:pStyle w:val="10"/>
        <w:ind w:firstLine="642" w:firstLineChars="200"/>
        <w:rPr>
          <w:rFonts w:hint="eastAsia" w:ascii="仿宋_GB2312" w:hAnsi="仿宋_GB2312" w:eastAsia="仿宋_GB2312" w:cs="仿宋_GB2312"/>
          <w:color w:val="auto"/>
          <w:sz w:val="32"/>
          <w:szCs w:val="32"/>
          <w:lang w:eastAsia="zh-CN"/>
        </w:rPr>
      </w:pPr>
      <w:r>
        <w:rPr>
          <w:rStyle w:val="19"/>
          <w:rFonts w:hint="eastAsia" w:ascii="仿宋" w:hAnsi="仿宋" w:eastAsia="仿宋"/>
          <w:bCs/>
          <w:color w:val="auto"/>
          <w:sz w:val="32"/>
          <w:szCs w:val="32"/>
          <w:highlight w:val="none"/>
          <w:lang w:val="en-US" w:eastAsia="zh-CN"/>
        </w:rPr>
        <w:t>27.住房保障支出</w:t>
      </w:r>
      <w:r>
        <w:rPr>
          <w:rStyle w:val="19"/>
          <w:rFonts w:hint="eastAsia" w:ascii="仿宋" w:hAnsi="仿宋" w:eastAsia="仿宋"/>
          <w:bCs/>
          <w:color w:val="auto"/>
          <w:sz w:val="32"/>
          <w:szCs w:val="32"/>
          <w:highlight w:val="none"/>
        </w:rPr>
        <w:t>（类）住房保障支出（款）</w:t>
      </w:r>
      <w:r>
        <w:rPr>
          <w:rStyle w:val="19"/>
          <w:rFonts w:hint="eastAsia" w:ascii="仿宋" w:hAnsi="仿宋" w:eastAsia="仿宋" w:cs="Times New Roman"/>
          <w:bCs/>
          <w:color w:val="auto"/>
          <w:sz w:val="32"/>
          <w:szCs w:val="32"/>
          <w:highlight w:val="none"/>
          <w:lang w:val="en-US" w:eastAsia="zh-CN"/>
        </w:rPr>
        <w:t>住房公积金（项）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244.1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99.32%</w:t>
      </w:r>
      <w:r>
        <w:rPr>
          <w:rFonts w:hint="eastAsia" w:ascii="仿宋_GB2312" w:hAnsi="仿宋_GB2312" w:eastAsia="仿宋_GB2312" w:cs="仿宋_GB2312"/>
          <w:color w:val="auto"/>
          <w:sz w:val="32"/>
          <w:szCs w:val="32"/>
          <w:lang w:eastAsia="zh-CN"/>
        </w:rPr>
        <w:t>。</w:t>
      </w:r>
    </w:p>
    <w:p>
      <w:pPr>
        <w:pStyle w:val="10"/>
        <w:ind w:firstLine="642" w:firstLineChars="200"/>
        <w:rPr>
          <w:rFonts w:hint="eastAsia" w:ascii="仿宋_GB2312" w:hAnsi="仿宋_GB2312" w:eastAsia="仿宋_GB2312" w:cs="仿宋_GB2312"/>
          <w:color w:val="auto"/>
          <w:sz w:val="32"/>
          <w:szCs w:val="32"/>
          <w:lang w:eastAsia="zh-CN"/>
        </w:rPr>
      </w:pPr>
      <w:r>
        <w:rPr>
          <w:rStyle w:val="19"/>
          <w:rFonts w:hint="eastAsia" w:ascii="仿宋" w:hAnsi="仿宋" w:eastAsia="仿宋"/>
          <w:bCs/>
          <w:color w:val="auto"/>
          <w:sz w:val="32"/>
          <w:szCs w:val="32"/>
          <w:highlight w:val="none"/>
          <w:lang w:val="en-US" w:eastAsia="zh-CN"/>
        </w:rPr>
        <w:t>28.住房保障支出</w:t>
      </w:r>
      <w:r>
        <w:rPr>
          <w:rStyle w:val="19"/>
          <w:rFonts w:hint="eastAsia" w:ascii="仿宋" w:hAnsi="仿宋" w:eastAsia="仿宋"/>
          <w:bCs/>
          <w:color w:val="auto"/>
          <w:sz w:val="32"/>
          <w:szCs w:val="32"/>
          <w:highlight w:val="none"/>
        </w:rPr>
        <w:t>（类）住房保障支出（款）</w:t>
      </w:r>
      <w:r>
        <w:rPr>
          <w:rStyle w:val="19"/>
          <w:rFonts w:hint="eastAsia" w:ascii="仿宋" w:hAnsi="仿宋" w:eastAsia="仿宋" w:cs="Times New Roman"/>
          <w:bCs/>
          <w:color w:val="auto"/>
          <w:sz w:val="32"/>
          <w:szCs w:val="32"/>
          <w:highlight w:val="none"/>
          <w:lang w:val="en-US" w:eastAsia="zh-CN"/>
        </w:rPr>
        <w:t>购房补贴（项）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244.1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16%</w:t>
      </w:r>
      <w:r>
        <w:rPr>
          <w:rFonts w:hint="eastAsia" w:ascii="仿宋_GB2312" w:hAnsi="仿宋_GB2312" w:eastAsia="仿宋_GB2312" w:cs="仿宋_GB2312"/>
          <w:color w:val="auto"/>
          <w:sz w:val="32"/>
          <w:szCs w:val="32"/>
          <w:lang w:eastAsia="zh-CN"/>
        </w:rPr>
        <w:t>。</w:t>
      </w:r>
    </w:p>
    <w:p>
      <w:pPr>
        <w:pStyle w:val="10"/>
        <w:ind w:firstLine="640" w:firstLineChars="200"/>
        <w:rPr>
          <w:rStyle w:val="30"/>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42"/>
      <w:bookmarkEnd w:id="43"/>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3023.94</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2723.98</w:t>
      </w:r>
      <w:r>
        <w:rPr>
          <w:rFonts w:hint="eastAsia" w:ascii="仿宋" w:hAnsi="仿宋" w:eastAsia="仿宋"/>
          <w:color w:val="auto"/>
          <w:sz w:val="32"/>
          <w:szCs w:val="32"/>
          <w:highlight w:val="none"/>
        </w:rPr>
        <w:t>万元，主要包括：基本工资、津贴补贴、奖金、</w:t>
      </w:r>
      <w:r>
        <w:rPr>
          <w:rFonts w:hint="eastAsia" w:ascii="仿宋" w:hAnsi="仿宋" w:eastAsia="仿宋"/>
          <w:color w:val="auto"/>
          <w:sz w:val="32"/>
          <w:szCs w:val="32"/>
          <w:highlight w:val="none"/>
          <w:lang w:eastAsia="zh-CN"/>
        </w:rPr>
        <w:t>绩效工资、</w:t>
      </w:r>
      <w:r>
        <w:rPr>
          <w:rFonts w:hint="eastAsia" w:ascii="仿宋" w:hAnsi="仿宋" w:eastAsia="仿宋"/>
          <w:color w:val="auto"/>
          <w:sz w:val="32"/>
          <w:szCs w:val="32"/>
          <w:highlight w:val="none"/>
        </w:rPr>
        <w:t>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其他社会保障缴费、其他工资福利支出、抚恤金、生活补助、</w:t>
      </w:r>
      <w:r>
        <w:rPr>
          <w:rFonts w:hint="eastAsia" w:ascii="仿宋" w:hAnsi="仿宋" w:eastAsia="仿宋"/>
          <w:color w:val="auto"/>
          <w:sz w:val="32"/>
          <w:szCs w:val="32"/>
          <w:highlight w:val="none"/>
          <w:lang w:eastAsia="zh-CN"/>
        </w:rPr>
        <w:t>医疗费补助、奖励金、</w:t>
      </w:r>
      <w:r>
        <w:rPr>
          <w:rFonts w:hint="eastAsia" w:ascii="仿宋" w:hAnsi="仿宋" w:eastAsia="仿宋"/>
          <w:color w:val="auto"/>
          <w:sz w:val="32"/>
          <w:szCs w:val="32"/>
          <w:highlight w:val="none"/>
        </w:rPr>
        <w:t>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299.96</w:t>
      </w:r>
      <w:r>
        <w:rPr>
          <w:rFonts w:hint="eastAsia" w:ascii="仿宋" w:hAnsi="仿宋" w:eastAsia="仿宋"/>
          <w:color w:val="auto"/>
          <w:sz w:val="32"/>
          <w:szCs w:val="32"/>
          <w:highlight w:val="none"/>
        </w:rPr>
        <w:t>万元，主要包括：办公费、印刷费、咨询费、手续费、水费、电费、邮电费、物业管理费、差旅费、维修（护）费、会议费、培训费、公务接待费、劳务费、委托业务费、工会经费、福利费、公务用车运行维护费、其他交通费、其他商品和服务支出</w:t>
      </w:r>
      <w:r>
        <w:rPr>
          <w:rFonts w:hint="eastAsia" w:ascii="仿宋" w:hAnsi="仿宋" w:eastAsia="仿宋"/>
          <w:color w:val="auto"/>
          <w:sz w:val="32"/>
          <w:szCs w:val="32"/>
          <w:highlight w:val="none"/>
          <w:lang w:eastAsia="zh-CN"/>
        </w:rPr>
        <w:t>、办公设备购置</w:t>
      </w:r>
      <w:r>
        <w:rPr>
          <w:rFonts w:hint="eastAsia" w:ascii="仿宋" w:hAnsi="仿宋" w:eastAsia="仿宋"/>
          <w:color w:val="auto"/>
          <w:sz w:val="32"/>
          <w:szCs w:val="32"/>
          <w:highlight w:val="none"/>
        </w:rPr>
        <w:t>。</w:t>
      </w:r>
    </w:p>
    <w:p>
      <w:pPr>
        <w:spacing w:line="600" w:lineRule="exact"/>
        <w:ind w:firstLine="640"/>
        <w:outlineLvl w:val="1"/>
        <w:rPr>
          <w:rStyle w:val="30"/>
          <w:rFonts w:ascii="黑体" w:hAnsi="黑体" w:eastAsia="黑体"/>
          <w:b w:val="0"/>
          <w:color w:val="auto"/>
          <w:highlight w:val="none"/>
        </w:rPr>
      </w:pPr>
      <w:bookmarkStart w:id="44" w:name="_Toc15377215"/>
      <w:bookmarkStart w:id="45" w:name="_Toc15396609"/>
      <w:r>
        <w:rPr>
          <w:rFonts w:hint="eastAsia" w:ascii="黑体" w:eastAsia="黑体"/>
          <w:color w:val="auto"/>
          <w:sz w:val="32"/>
          <w:szCs w:val="32"/>
          <w:highlight w:val="none"/>
        </w:rPr>
        <w:t>七、</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三公”经费财政拨款支出决算情况说明</w:t>
      </w:r>
      <w:bookmarkEnd w:id="44"/>
      <w:bookmarkEnd w:id="45"/>
    </w:p>
    <w:p>
      <w:pPr>
        <w:spacing w:line="600" w:lineRule="exact"/>
        <w:ind w:firstLine="640"/>
        <w:outlineLvl w:val="2"/>
        <w:rPr>
          <w:rFonts w:ascii="仿宋" w:hAnsi="仿宋" w:eastAsia="仿宋"/>
          <w:b/>
          <w:color w:val="auto"/>
          <w:sz w:val="32"/>
          <w:szCs w:val="32"/>
          <w:highlight w:val="none"/>
        </w:rPr>
      </w:pPr>
      <w:bookmarkStart w:id="46" w:name="_Toc15377216"/>
      <w:r>
        <w:rPr>
          <w:rFonts w:hint="eastAsia" w:ascii="仿宋" w:hAnsi="仿宋" w:eastAsia="仿宋"/>
          <w:b/>
          <w:color w:val="auto"/>
          <w:sz w:val="32"/>
          <w:szCs w:val="32"/>
          <w:highlight w:val="none"/>
        </w:rPr>
        <w:t>（一）“三公”经费财政拨款支出决算总体情况说明</w:t>
      </w:r>
      <w:bookmarkEnd w:id="46"/>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54.39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85.53</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，决算数小于预算数主要原因是</w:t>
      </w:r>
      <w:r>
        <w:rPr>
          <w:rFonts w:hint="eastAsia" w:ascii="仿宋" w:hAnsi="仿宋" w:eastAsia="仿宋"/>
          <w:color w:val="auto"/>
          <w:sz w:val="32"/>
          <w:szCs w:val="32"/>
          <w:highlight w:val="none"/>
          <w:lang w:eastAsia="zh-CN"/>
        </w:rPr>
        <w:t>厉行节约，减少三公经费支出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47" w:name="_Toc15377217"/>
      <w:r>
        <w:rPr>
          <w:rFonts w:hint="eastAsia" w:ascii="仿宋" w:hAnsi="仿宋" w:eastAsia="仿宋"/>
          <w:b/>
          <w:color w:val="auto"/>
          <w:sz w:val="32"/>
          <w:szCs w:val="32"/>
          <w:highlight w:val="none"/>
        </w:rPr>
        <w:t>（二）“三公”经费财政拨款支出决算具体情况说明</w:t>
      </w:r>
      <w:bookmarkEnd w:id="4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49.61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91.21</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4.78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8.79</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10"/>
        <w:rPr>
          <w:rFonts w:hint="eastAsia" w:ascii="仿宋" w:hAnsi="仿宋" w:eastAsia="仿宋"/>
          <w:color w:val="auto"/>
          <w:sz w:val="32"/>
          <w:szCs w:val="32"/>
          <w:highlight w:val="none"/>
        </w:rPr>
      </w:pPr>
    </w:p>
    <w:p>
      <w:pPr>
        <w:pStyle w:val="10"/>
        <w:jc w:val="center"/>
        <w:rPr>
          <w:rFonts w:hint="eastAsia" w:ascii="仿宋" w:hAnsi="仿宋" w:eastAsia="仿宋"/>
          <w:color w:val="auto"/>
          <w:sz w:val="32"/>
          <w:szCs w:val="32"/>
          <w:highlight w:val="none"/>
        </w:rPr>
      </w:pPr>
      <w:r>
        <w:drawing>
          <wp:inline distT="0" distB="0" distL="114300" distR="114300">
            <wp:extent cx="3568065" cy="1752600"/>
            <wp:effectExtent l="4445" t="4445" r="8890"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年初预算安排</w:t>
      </w:r>
      <w:r>
        <w:rPr>
          <w:rFonts w:hint="eastAsia" w:ascii="仿宋_GB2312" w:eastAsia="仿宋_GB2312"/>
          <w:color w:val="auto"/>
          <w:sz w:val="32"/>
          <w:szCs w:val="32"/>
          <w:highlight w:val="none"/>
          <w:lang w:val="en-US" w:eastAsia="zh-CN"/>
        </w:rPr>
        <w:t>3.0万元，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b/>
          <w:color w:val="auto"/>
          <w:sz w:val="32"/>
          <w:szCs w:val="32"/>
          <w:highlight w:val="none"/>
          <w:lang w:val="en-US" w:eastAsia="zh-CN"/>
        </w:rPr>
        <w:t>因公出国（境）支出决算较2020年无变化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49.61</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90.79</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11.91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31.59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大熊猫广元分局纳入我局统一核算、工作任务加重</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未购置公务用车。</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特种专业技术用车</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其他用车</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w:t>
      </w:r>
    </w:p>
    <w:p>
      <w:pPr>
        <w:pageBreakBefore w:val="0"/>
        <w:kinsoku/>
        <w:wordWrap/>
        <w:topLinePunct w:val="0"/>
        <w:bidi w:val="0"/>
        <w:spacing w:line="576" w:lineRule="exact"/>
        <w:ind w:left="0" w:leftChars="0" w:right="0" w:firstLine="642" w:firstLineChars="200"/>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49.61</w:t>
      </w:r>
      <w:r>
        <w:rPr>
          <w:rFonts w:hint="eastAsia" w:ascii="仿宋_GB2312" w:eastAsia="仿宋_GB2312"/>
          <w:color w:val="auto"/>
          <w:sz w:val="32"/>
          <w:szCs w:val="32"/>
          <w:highlight w:val="none"/>
        </w:rPr>
        <w:t>万元。主要用于主要用于</w:t>
      </w:r>
      <w:r>
        <w:rPr>
          <w:rFonts w:ascii="仿宋_GB2312" w:hAnsi="仿宋_GB2312" w:eastAsia="仿宋_GB2312" w:cs="仿宋_GB2312"/>
          <w:sz w:val="32"/>
          <w:szCs w:val="32"/>
        </w:rPr>
        <w:t>森林防火、</w:t>
      </w:r>
      <w:r>
        <w:rPr>
          <w:rFonts w:hint="eastAsia" w:ascii="仿宋_GB2312" w:hAnsi="仿宋_GB2312" w:eastAsia="仿宋_GB2312" w:cs="仿宋_GB2312"/>
          <w:sz w:val="32"/>
          <w:szCs w:val="32"/>
          <w:lang w:eastAsia="zh-CN"/>
        </w:rPr>
        <w:t>林业有害生物</w:t>
      </w:r>
      <w:r>
        <w:rPr>
          <w:rFonts w:ascii="仿宋_GB2312" w:hAnsi="仿宋_GB2312" w:eastAsia="仿宋_GB2312" w:cs="仿宋_GB2312"/>
          <w:sz w:val="32"/>
          <w:szCs w:val="32"/>
        </w:rPr>
        <w:t>、森林资源管理、产业发展、</w:t>
      </w:r>
      <w:r>
        <w:rPr>
          <w:rFonts w:hint="eastAsia" w:ascii="仿宋_GB2312" w:hAnsi="仿宋_GB2312" w:eastAsia="仿宋_GB2312" w:cs="仿宋_GB2312"/>
          <w:sz w:val="32"/>
          <w:szCs w:val="32"/>
          <w:lang w:eastAsia="zh-CN"/>
        </w:rPr>
        <w:t>生态保护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野生动物保护</w:t>
      </w:r>
      <w:r>
        <w:rPr>
          <w:rFonts w:ascii="仿宋_GB2312" w:hAnsi="仿宋_GB2312" w:eastAsia="仿宋_GB2312" w:cs="仿宋_GB2312"/>
          <w:sz w:val="32"/>
          <w:szCs w:val="32"/>
        </w:rPr>
        <w:t>等项目上级检查、项目验收、县区指导工作、执法检查</w:t>
      </w:r>
      <w:r>
        <w:rPr>
          <w:rFonts w:hint="eastAsia" w:ascii="仿宋_GB2312" w:hAnsi="仿宋_GB2312" w:eastAsia="仿宋_GB2312" w:cs="仿宋_GB2312"/>
          <w:sz w:val="32"/>
          <w:szCs w:val="32"/>
        </w:rPr>
        <w:t>等所需的公务用车燃料费、维修费、过路过桥费等支出。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4.78</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80.36</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年增减少</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9.47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受新冠疫情影响，接待次数减少</w:t>
      </w:r>
      <w:r>
        <w:rPr>
          <w:rFonts w:hint="eastAsia" w:ascii="仿宋_GB2312" w:eastAsia="仿宋_GB2312"/>
          <w:color w:val="auto"/>
          <w:sz w:val="32"/>
          <w:szCs w:val="32"/>
          <w:highlight w:val="none"/>
        </w:rPr>
        <w:t>。其中：</w:t>
      </w:r>
    </w:p>
    <w:p>
      <w:pPr>
        <w:spacing w:line="600" w:lineRule="exact"/>
        <w:ind w:firstLine="642" w:firstLineChars="200"/>
        <w:jc w:val="left"/>
        <w:rPr>
          <w:rFonts w:hint="eastAsia" w:ascii="仿宋_GB2312" w:hAnsi="仿宋_GB2312" w:eastAsia="仿宋_GB2312" w:cs="仿宋_GB2312"/>
          <w:sz w:val="32"/>
          <w:szCs w:val="32"/>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4.78</w:t>
      </w:r>
      <w:r>
        <w:rPr>
          <w:rFonts w:hint="eastAsia" w:ascii="仿宋_GB2312" w:eastAsia="仿宋_GB2312"/>
          <w:color w:val="auto"/>
          <w:sz w:val="32"/>
          <w:szCs w:val="32"/>
          <w:highlight w:val="none"/>
        </w:rPr>
        <w:t>万元，主要用于开展业务活动开支的用餐费</w:t>
      </w:r>
      <w:bookmarkStart w:id="63" w:name="_GoBack"/>
      <w:bookmarkEnd w:id="63"/>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41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389</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4.78</w:t>
      </w:r>
      <w:r>
        <w:rPr>
          <w:rFonts w:hint="eastAsia" w:ascii="仿宋_GB2312" w:eastAsia="仿宋_GB2312"/>
          <w:color w:val="auto"/>
          <w:sz w:val="32"/>
          <w:szCs w:val="32"/>
          <w:highlight w:val="none"/>
        </w:rPr>
        <w:t>万元，具体内容包括具体内容包括：</w:t>
      </w:r>
      <w:r>
        <w:rPr>
          <w:rFonts w:ascii="仿宋_GB2312" w:hAnsi="仿宋_GB2312" w:eastAsia="仿宋_GB2312" w:cs="仿宋_GB2312"/>
          <w:sz w:val="32"/>
          <w:szCs w:val="32"/>
        </w:rPr>
        <w:t>森林防火、</w:t>
      </w:r>
      <w:r>
        <w:rPr>
          <w:rFonts w:hint="eastAsia" w:ascii="仿宋_GB2312" w:hAnsi="仿宋_GB2312" w:eastAsia="仿宋_GB2312" w:cs="仿宋_GB2312"/>
          <w:sz w:val="32"/>
          <w:szCs w:val="32"/>
          <w:lang w:eastAsia="zh-CN"/>
        </w:rPr>
        <w:t>古树名木调研</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储备林建设</w:t>
      </w:r>
      <w:r>
        <w:rPr>
          <w:rFonts w:ascii="仿宋_GB2312" w:hAnsi="仿宋_GB2312" w:eastAsia="仿宋_GB2312" w:cs="仿宋_GB2312"/>
          <w:sz w:val="32"/>
          <w:szCs w:val="32"/>
        </w:rPr>
        <w:t>等业务工作</w:t>
      </w:r>
      <w:r>
        <w:rPr>
          <w:rFonts w:hint="eastAsia" w:ascii="仿宋_GB2312" w:hAnsi="仿宋_GB2312" w:eastAsia="仿宋_GB2312" w:cs="仿宋_GB2312"/>
          <w:sz w:val="32"/>
          <w:szCs w:val="32"/>
          <w:lang w:eastAsia="zh-CN"/>
        </w:rPr>
        <w:t>，省局检查、</w:t>
      </w:r>
      <w:r>
        <w:rPr>
          <w:rFonts w:ascii="仿宋_GB2312" w:hAnsi="仿宋_GB2312" w:eastAsia="仿宋_GB2312" w:cs="仿宋_GB2312"/>
          <w:sz w:val="32"/>
          <w:szCs w:val="32"/>
        </w:rPr>
        <w:t>其他市州及外省来广学习交流、县区联系工作等所必需的公务接待</w:t>
      </w:r>
      <w:r>
        <w:rPr>
          <w:rFonts w:hint="eastAsia" w:ascii="仿宋_GB2312" w:hAnsi="仿宋_GB2312" w:eastAsia="仿宋_GB2312" w:cs="仿宋_GB2312"/>
          <w:sz w:val="32"/>
          <w:szCs w:val="32"/>
          <w:lang w:eastAsia="zh-CN"/>
        </w:rPr>
        <w:t>。</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30"/>
          <w:rFonts w:ascii="黑体" w:hAnsi="黑体" w:eastAsia="黑体"/>
          <w:color w:val="auto"/>
          <w:highlight w:val="none"/>
        </w:rPr>
      </w:pPr>
      <w:bookmarkStart w:id="48" w:name="_Toc15396610"/>
      <w:bookmarkStart w:id="49" w:name="_Toc15377218"/>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8"/>
      <w:bookmarkEnd w:id="49"/>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181.73</w:t>
      </w:r>
      <w:r>
        <w:rPr>
          <w:rFonts w:hint="eastAsia" w:ascii="仿宋_GB2312" w:eastAsia="仿宋_GB2312"/>
          <w:color w:val="auto"/>
          <w:sz w:val="32"/>
          <w:szCs w:val="32"/>
          <w:highlight w:val="none"/>
        </w:rPr>
        <w:t>万元。</w:t>
      </w:r>
    </w:p>
    <w:p>
      <w:pPr>
        <w:pStyle w:val="6"/>
      </w:pPr>
    </w:p>
    <w:p>
      <w:pPr>
        <w:numPr>
          <w:ilvl w:val="0"/>
          <w:numId w:val="2"/>
        </w:numPr>
        <w:spacing w:line="600" w:lineRule="exact"/>
        <w:ind w:firstLine="640"/>
        <w:outlineLvl w:val="1"/>
        <w:rPr>
          <w:rStyle w:val="30"/>
          <w:rFonts w:ascii="黑体" w:hAnsi="黑体" w:eastAsia="黑体"/>
          <w:b w:val="0"/>
          <w:color w:val="auto"/>
          <w:highlight w:val="none"/>
        </w:rPr>
      </w:pPr>
      <w:bookmarkStart w:id="50" w:name="_Toc15377219"/>
      <w:bookmarkStart w:id="51" w:name="_Toc15396611"/>
      <w:r>
        <w:rPr>
          <w:rStyle w:val="30"/>
          <w:rFonts w:hint="eastAsia" w:ascii="黑体" w:hAnsi="黑体" w:eastAsia="黑体"/>
          <w:b w:val="0"/>
          <w:color w:val="auto"/>
          <w:highlight w:val="none"/>
        </w:rPr>
        <w:t>国有资本经营预算支出决算情况说明</w:t>
      </w:r>
      <w:bookmarkEnd w:id="50"/>
      <w:bookmarkEnd w:id="51"/>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2" w:name="_Toc15377221"/>
      <w:bookmarkStart w:id="53" w:name="_Toc15396612"/>
    </w:p>
    <w:p>
      <w:pPr>
        <w:pStyle w:val="6"/>
        <w:rPr>
          <w:rFonts w:hint="eastAsia"/>
        </w:rPr>
      </w:pPr>
    </w:p>
    <w:p>
      <w:pPr>
        <w:numPr>
          <w:ilvl w:val="0"/>
          <w:numId w:val="2"/>
        </w:numPr>
        <w:spacing w:line="600" w:lineRule="exact"/>
        <w:ind w:firstLine="640"/>
        <w:outlineLvl w:val="1"/>
        <w:rPr>
          <w:rStyle w:val="30"/>
          <w:rFonts w:hint="eastAsia" w:ascii="黑体" w:hAnsi="黑体" w:eastAsia="黑体"/>
          <w:b w:val="0"/>
          <w:color w:val="auto"/>
          <w:highlight w:val="none"/>
        </w:rPr>
      </w:pPr>
      <w:r>
        <w:rPr>
          <w:rStyle w:val="30"/>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Fonts w:hint="default"/>
          <w:highlight w:val="red"/>
          <w:lang w:val="en-US"/>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预算编制阶段，对</w:t>
      </w:r>
      <w:r>
        <w:rPr>
          <w:rFonts w:hint="eastAsia" w:ascii="仿宋_GB2312" w:hAnsi="仿宋_GB2312" w:eastAsia="仿宋_GB2312" w:cs="仿宋_GB2312"/>
          <w:color w:val="auto"/>
          <w:sz w:val="32"/>
          <w:szCs w:val="32"/>
          <w:highlight w:val="none"/>
          <w:lang w:val="en-US" w:eastAsia="zh-CN"/>
        </w:rPr>
        <w:t>0个项目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。2021年部门预算项目绩效目标自评表见附件（第四部分）。</w:t>
      </w:r>
    </w:p>
    <w:p>
      <w:pPr>
        <w:pStyle w:val="6"/>
        <w:rPr>
          <w:rFonts w:hint="eastAsia"/>
        </w:rPr>
      </w:pPr>
    </w:p>
    <w:p>
      <w:pPr>
        <w:numPr>
          <w:ilvl w:val="0"/>
          <w:numId w:val="2"/>
        </w:numPr>
        <w:spacing w:line="600" w:lineRule="exact"/>
        <w:ind w:firstLine="640"/>
        <w:outlineLvl w:val="1"/>
        <w:rPr>
          <w:rStyle w:val="30"/>
          <w:rFonts w:hint="eastAsia" w:ascii="黑体" w:hAnsi="黑体" w:eastAsia="黑体"/>
          <w:b w:val="0"/>
          <w:color w:val="auto"/>
          <w:highlight w:val="none"/>
        </w:rPr>
      </w:pPr>
      <w:r>
        <w:rPr>
          <w:rStyle w:val="30"/>
          <w:rFonts w:hint="eastAsia" w:ascii="黑体" w:hAnsi="黑体" w:eastAsia="黑体"/>
          <w:b w:val="0"/>
          <w:color w:val="auto"/>
          <w:highlight w:val="none"/>
        </w:rPr>
        <w:t>其他重要事项的情况说明</w:t>
      </w:r>
      <w:bookmarkEnd w:id="52"/>
      <w:bookmarkEnd w:id="53"/>
    </w:p>
    <w:p>
      <w:pPr>
        <w:spacing w:line="600" w:lineRule="exact"/>
        <w:ind w:firstLine="642" w:firstLineChars="200"/>
        <w:outlineLvl w:val="2"/>
        <w:rPr>
          <w:rFonts w:ascii="仿宋" w:hAnsi="仿宋" w:eastAsia="仿宋"/>
          <w:color w:val="auto"/>
          <w:sz w:val="32"/>
          <w:szCs w:val="32"/>
          <w:highlight w:val="none"/>
        </w:rPr>
      </w:pPr>
      <w:bookmarkStart w:id="54" w:name="_Toc15377222"/>
      <w:r>
        <w:rPr>
          <w:rFonts w:hint="eastAsia" w:ascii="仿宋" w:hAnsi="仿宋" w:eastAsia="仿宋"/>
          <w:b/>
          <w:color w:val="auto"/>
          <w:sz w:val="32"/>
          <w:szCs w:val="32"/>
          <w:highlight w:val="none"/>
        </w:rPr>
        <w:t>（一）机关运行经费支出情况</w:t>
      </w:r>
      <w:bookmarkEnd w:id="54"/>
    </w:p>
    <w:p>
      <w:pPr>
        <w:spacing w:line="600" w:lineRule="exact"/>
        <w:ind w:firstLine="640" w:firstLineChars="200"/>
        <w:rPr>
          <w:rFonts w:hint="eastAsia" w:ascii="仿宋" w:hAnsi="仿宋" w:eastAsia="仿宋_GB2312" w:cs="仿宋"/>
          <w:b/>
          <w:bCs w:val="0"/>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市林业局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162.6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34.49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26.92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机关职</w:t>
      </w:r>
      <w:r>
        <w:rPr>
          <w:rFonts w:ascii="仿宋_GB2312" w:eastAsia="仿宋_GB2312"/>
          <w:color w:val="000000"/>
          <w:sz w:val="32"/>
          <w:szCs w:val="32"/>
        </w:rPr>
        <w:t>能职责增加，</w:t>
      </w:r>
      <w:r>
        <w:rPr>
          <w:rFonts w:hint="eastAsia" w:ascii="仿宋_GB2312" w:eastAsia="仿宋_GB2312"/>
          <w:color w:val="000000"/>
          <w:sz w:val="32"/>
          <w:szCs w:val="32"/>
        </w:rPr>
        <w:t>人</w:t>
      </w:r>
      <w:r>
        <w:rPr>
          <w:rFonts w:hint="eastAsia" w:ascii="仿宋_GB2312" w:eastAsia="仿宋_GB2312"/>
          <w:color w:val="000000"/>
          <w:sz w:val="32"/>
          <w:szCs w:val="32"/>
          <w:lang w:eastAsia="zh-CN"/>
        </w:rPr>
        <w:t>员</w:t>
      </w:r>
      <w:r>
        <w:rPr>
          <w:rFonts w:hint="eastAsia" w:ascii="仿宋_GB2312" w:eastAsia="仿宋_GB2312"/>
          <w:color w:val="000000"/>
          <w:sz w:val="32"/>
          <w:szCs w:val="32"/>
        </w:rPr>
        <w:t>增加</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5" w:name="_Toc15377223"/>
      <w:r>
        <w:rPr>
          <w:rFonts w:hint="eastAsia" w:ascii="仿宋" w:hAnsi="仿宋" w:eastAsia="仿宋"/>
          <w:b/>
          <w:color w:val="auto"/>
          <w:sz w:val="32"/>
          <w:szCs w:val="32"/>
          <w:highlight w:val="none"/>
        </w:rPr>
        <w:t>（二）政府采购支出情况</w:t>
      </w:r>
      <w:bookmarkEnd w:id="5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广元市林业局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1583.54</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4.63</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1570.6</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8.32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森林防火、林业有害生物防治等</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6" w:name="_Toc15377224"/>
      <w:r>
        <w:rPr>
          <w:rFonts w:hint="eastAsia" w:ascii="仿宋" w:hAnsi="仿宋" w:eastAsia="仿宋"/>
          <w:b/>
          <w:color w:val="auto"/>
          <w:sz w:val="32"/>
          <w:szCs w:val="32"/>
          <w:highlight w:val="none"/>
        </w:rPr>
        <w:t>（三）国有资产占有使用情况</w:t>
      </w:r>
      <w:bookmarkEnd w:id="56"/>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广元市林业局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特种专业技术用车</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森林防火、林业有害生物防治等。</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台（套）。</w:t>
      </w:r>
    </w:p>
    <w:p>
      <w:pPr>
        <w:numPr>
          <w:ilvl w:val="0"/>
          <w:numId w:val="3"/>
        </w:numPr>
        <w:spacing w:line="600" w:lineRule="exact"/>
        <w:ind w:firstLine="660" w:firstLineChars="150"/>
        <w:jc w:val="center"/>
        <w:outlineLvl w:val="0"/>
        <w:rPr>
          <w:rStyle w:val="29"/>
          <w:rFonts w:ascii="黑体" w:hAnsi="黑体" w:eastAsia="黑体"/>
          <w:b w:val="0"/>
          <w:color w:val="auto"/>
          <w:highlight w:val="none"/>
        </w:rPr>
      </w:pPr>
      <w:bookmarkStart w:id="57" w:name="_Toc15377225"/>
      <w:bookmarkStart w:id="58" w:name="_Toc15396613"/>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57"/>
      <w:bookmarkEnd w:id="58"/>
    </w:p>
    <w:p>
      <w:pPr>
        <w:spacing w:line="600" w:lineRule="exact"/>
        <w:jc w:val="left"/>
        <w:rPr>
          <w:rFonts w:ascii="宋体"/>
          <w:b/>
          <w:color w:val="auto"/>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5.社会保障和就业支出</w:t>
      </w:r>
      <w:r>
        <w:rPr>
          <w:rFonts w:hint="eastAsia" w:ascii="仿宋_GB2312" w:eastAsia="仿宋_GB2312"/>
          <w:color w:val="auto"/>
          <w:sz w:val="32"/>
          <w:szCs w:val="32"/>
          <w:highlight w:val="none"/>
        </w:rPr>
        <w:t>（类）行政事业单位养老支出（款</w:t>
      </w:r>
      <w:r>
        <w:rPr>
          <w:rFonts w:hint="eastAsia" w:ascii="仿宋_GB2312" w:eastAsia="仿宋_GB2312"/>
          <w:color w:val="auto"/>
          <w:sz w:val="32"/>
          <w:szCs w:val="32"/>
          <w:highlight w:val="none"/>
          <w:lang w:eastAsia="zh-CN"/>
        </w:rPr>
        <w:t>）机关事业单位基本养老保险缴费支出（项）：反映机关事业单位实施养老保险制度由单位缴纳的基本养老保险费支出。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6.社会保障和就业支出</w:t>
      </w:r>
      <w:r>
        <w:rPr>
          <w:rFonts w:hint="eastAsia" w:ascii="仿宋_GB2312" w:eastAsia="仿宋_GB2312"/>
          <w:color w:val="auto"/>
          <w:sz w:val="32"/>
          <w:szCs w:val="32"/>
          <w:highlight w:val="none"/>
        </w:rPr>
        <w:t>（类）行政事业单位养老支出（款</w:t>
      </w:r>
      <w:r>
        <w:rPr>
          <w:rFonts w:hint="eastAsia" w:ascii="仿宋_GB2312" w:eastAsia="仿宋_GB2312"/>
          <w:color w:val="auto"/>
          <w:sz w:val="32"/>
          <w:szCs w:val="32"/>
          <w:highlight w:val="none"/>
          <w:lang w:eastAsia="zh-CN"/>
        </w:rPr>
        <w:t>）机关事业单位职业年金缴费支出（项）：反映机关事业单位实施养老保险制度由单位实际缴纳的职业年金支出。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7.社会保障和就业支出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抚恤（款）死亡抚恤（项）：反映按规定用于烈士和牺牲、病故人员家属的一次性和定期抚恤金以及丧葬费补助费。</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行政单位医疗（项）：指</w:t>
      </w:r>
      <w:r>
        <w:rPr>
          <w:rFonts w:hint="eastAsia" w:ascii="仿宋_GB2312" w:eastAsia="仿宋_GB2312"/>
          <w:color w:val="auto"/>
          <w:sz w:val="32"/>
          <w:szCs w:val="32"/>
          <w:highlight w:val="none"/>
          <w:lang w:eastAsia="zh-CN"/>
        </w:rPr>
        <w:t>反映财政部门安排的行政单位（包括实行公务员管理的事业单位，下同）基本医疗缴纳经费，未参加医疗保险的行政单位的公费医疗经费，按国家规定享受离休人员、红军老战士待遇人员的医疗经费。</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节能环保支出（类）天然林保护（款）</w:t>
      </w:r>
      <w:r>
        <w:rPr>
          <w:rFonts w:hint="eastAsia" w:ascii="仿宋_GB2312" w:eastAsia="仿宋_GB2312"/>
          <w:color w:val="auto"/>
          <w:sz w:val="32"/>
          <w:szCs w:val="32"/>
          <w:highlight w:val="none"/>
          <w:lang w:eastAsia="zh-CN"/>
        </w:rPr>
        <w:t>社会保险补助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：反映专项用于木材减少货停产造成实施单位应缴纳社会保险补助缺口的补助支出。</w:t>
      </w:r>
    </w:p>
    <w:p>
      <w:pPr>
        <w:ind w:firstLine="640" w:firstLineChars="200"/>
        <w:rPr>
          <w:rFonts w:hint="eastAsia" w:ascii="仿宋_GB2312" w:eastAsia="仿宋_GB2312"/>
          <w:b/>
          <w:bCs/>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节能环保支出（类）天然林保护（款）</w:t>
      </w:r>
      <w:r>
        <w:rPr>
          <w:rFonts w:hint="eastAsia" w:ascii="仿宋_GB2312" w:eastAsia="仿宋_GB2312"/>
          <w:color w:val="auto"/>
          <w:sz w:val="32"/>
          <w:szCs w:val="32"/>
          <w:highlight w:val="none"/>
          <w:lang w:eastAsia="zh-CN"/>
        </w:rPr>
        <w:t>政策性社会性支出补助（项）：反映专项用于实施单位承担的政策性社会性支出补助。</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农林水支出（类）林业和草原（款）行政运行（项）：</w:t>
      </w:r>
      <w:r>
        <w:rPr>
          <w:rFonts w:hint="eastAsia" w:ascii="仿宋_GB2312" w:eastAsia="仿宋_GB2312"/>
          <w:color w:val="auto"/>
          <w:sz w:val="32"/>
          <w:szCs w:val="32"/>
          <w:highlight w:val="none"/>
          <w:lang w:eastAsia="zh-CN"/>
        </w:rPr>
        <w:t>指反映行政单位( 包括实行公务员管理的事业单位)的基本支出。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一般行政管理事务（项）：反映行政单位(包括实行公务员管理的事业单位)未单独设置项级科目的其他项目支出。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事业机构（项）：反映事业单位的基本支出，不包括行政单位(含实行公务员管理的事业单位)后勤服务中心等附属事业单位的支出。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森林资源培育（项）：反映育苗(种)、造林、抚育、退化林修复、义务植树以及生物质能源建设等方面的支出。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技术推广与转化（项）：反映良种繁有、新技术引进、区域化试验、示范、技术推广、成果转化科学普及等方面的支出。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森林生态效益补偿</w:t>
      </w:r>
      <w:r>
        <w:rPr>
          <w:rFonts w:hint="eastAsia" w:ascii="仿宋_GB2312" w:eastAsia="仿宋_GB2312"/>
          <w:color w:val="auto"/>
          <w:sz w:val="32"/>
          <w:szCs w:val="32"/>
          <w:highlight w:val="none"/>
          <w:lang w:val="en-US" w:eastAsia="zh-CN"/>
        </w:rPr>
        <w:t>(项）：反映用于公益林保护和管理等方面的支出。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val="en-US" w:eastAsia="zh-CN"/>
        </w:rPr>
        <w:t>自然保护区等管理（项）：</w:t>
      </w:r>
      <w:r>
        <w:rPr>
          <w:rFonts w:hint="eastAsia" w:ascii="仿宋_GB2312" w:eastAsia="仿宋_GB2312"/>
          <w:color w:val="auto"/>
          <w:sz w:val="32"/>
          <w:szCs w:val="32"/>
          <w:highlight w:val="none"/>
          <w:lang w:eastAsia="zh-CN"/>
        </w:rPr>
        <w:t>反映除国家公园外的自然保护区、风景名胜区、自然遗产、地质公园等自然保护地建设、调查、规划、监测、管护、能力提升、生态补偿、生态保护和修复、科研、宣传及管理等方面的支出。</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动植物保护（项）：反映动植物资源生存环境调查、监测、保护管理、野外放(回)归、巡护、野生动物疫源疫病监测防控、濒危野生动植拯救、繁育及进口管理等方面的支出。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其他林业和草原支出（项）：反映除上述项日以外其他用于林业和草原方面的支出。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交通运输支出（类）车辆购置税支出（款</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车辆购置税用于公路等基础设施建设支出（项）：指</w:t>
      </w:r>
      <w:r>
        <w:rPr>
          <w:rFonts w:hint="eastAsia" w:ascii="仿宋_GB2312" w:eastAsia="仿宋_GB2312"/>
          <w:color w:val="auto"/>
          <w:sz w:val="32"/>
          <w:szCs w:val="32"/>
          <w:highlight w:val="none"/>
          <w:lang w:eastAsia="zh-CN"/>
        </w:rPr>
        <w:t>反映车辆购置税收入安排用于公路等基础设施建设的支出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住房保障支出（类）住房改革支出（款）住房公积金（项）：指</w:t>
      </w:r>
      <w:r>
        <w:rPr>
          <w:rFonts w:hint="eastAsia" w:ascii="仿宋_GB2312" w:eastAsia="仿宋_GB2312"/>
          <w:color w:val="auto"/>
          <w:sz w:val="32"/>
          <w:szCs w:val="32"/>
          <w:highlight w:val="none"/>
          <w:lang w:eastAsia="zh-CN"/>
        </w:rPr>
        <w:t>反映事业单位按人力资源和社会保障部、财政部规定的基本工资和津贴补贴以及规定比例为职工缴纳的住房公积金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hint="eastAsia" w:ascii="黑体" w:hAnsi="黑体" w:eastAsia="黑体"/>
          <w:b w:val="0"/>
          <w:color w:val="auto"/>
          <w:highlight w:val="none"/>
          <w:lang w:eastAsia="zh-CN"/>
        </w:rPr>
      </w:pPr>
      <w:bookmarkStart w:id="59" w:name="_Toc15377226"/>
      <w:r>
        <w:rPr>
          <w:rFonts w:ascii="宋体"/>
          <w:b/>
          <w:color w:val="auto"/>
          <w:sz w:val="44"/>
          <w:szCs w:val="44"/>
          <w:highlight w:val="none"/>
        </w:rPr>
        <w:br w:type="page"/>
      </w:r>
      <w:bookmarkStart w:id="60"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60"/>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广元市林业局</w:t>
      </w:r>
      <w:r>
        <w:rPr>
          <w:rFonts w:hint="eastAsia" w:ascii="方正小标宋简体" w:hAnsi="宋体" w:eastAsia="方正小标宋简体"/>
          <w:color w:val="auto"/>
          <w:kern w:val="0"/>
          <w:sz w:val="40"/>
          <w:szCs w:val="44"/>
          <w:highlight w:val="none"/>
        </w:rPr>
        <w:t>部门整体绩效评价报告</w:t>
      </w:r>
    </w:p>
    <w:p>
      <w:pPr>
        <w:spacing w:line="576"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2021年</w:t>
      </w:r>
      <w:r>
        <w:rPr>
          <w:rFonts w:hint="eastAsia" w:ascii="仿宋_GB2312" w:hAnsi="仿宋_GB2312" w:eastAsia="仿宋_GB2312" w:cs="仿宋_GB2312"/>
          <w:bCs/>
          <w:kern w:val="0"/>
          <w:sz w:val="32"/>
          <w:szCs w:val="32"/>
        </w:rPr>
        <w:t>，我局严格按照财政绩效评价有关规定，强化资金绩效管理，严格资金用途</w:t>
      </w:r>
      <w:r>
        <w:rPr>
          <w:rFonts w:hint="eastAsia" w:ascii="仿宋_GB2312" w:hAnsi="仿宋_GB2312" w:eastAsia="仿宋_GB2312" w:cs="仿宋_GB2312"/>
          <w:bCs/>
          <w:kern w:val="0"/>
          <w:sz w:val="32"/>
          <w:szCs w:val="32"/>
          <w:lang w:eastAsia="zh-CN"/>
        </w:rPr>
        <w:t>监</w:t>
      </w:r>
      <w:r>
        <w:rPr>
          <w:rFonts w:hint="eastAsia" w:ascii="仿宋_GB2312" w:hAnsi="仿宋_GB2312" w:eastAsia="仿宋_GB2312" w:cs="仿宋_GB2312"/>
          <w:bCs/>
          <w:kern w:val="0"/>
          <w:sz w:val="32"/>
          <w:szCs w:val="32"/>
        </w:rPr>
        <w:t>管，严控资金支出，不断提升我局财政资金的支出效率和综合</w:t>
      </w:r>
      <w:r>
        <w:rPr>
          <w:rFonts w:hint="eastAsia" w:ascii="仿宋_GB2312" w:hAnsi="仿宋_GB2312" w:eastAsia="仿宋_GB2312" w:cs="仿宋_GB2312"/>
          <w:bCs/>
          <w:kern w:val="0"/>
          <w:sz w:val="32"/>
          <w:szCs w:val="32"/>
          <w:lang w:eastAsia="zh-CN"/>
        </w:rPr>
        <w:t>效益</w:t>
      </w:r>
      <w:r>
        <w:rPr>
          <w:rFonts w:hint="eastAsia" w:ascii="仿宋_GB2312" w:hAnsi="仿宋_GB2312" w:eastAsia="仿宋_GB2312" w:cs="仿宋_GB2312"/>
          <w:bCs/>
          <w:kern w:val="0"/>
          <w:sz w:val="32"/>
          <w:szCs w:val="32"/>
        </w:rPr>
        <w:t>。根据《</w:t>
      </w:r>
      <w:r>
        <w:rPr>
          <w:rFonts w:hint="eastAsia" w:ascii="仿宋_GB2312" w:hAnsi="仿宋_GB2312" w:eastAsia="仿宋_GB2312" w:cs="仿宋_GB2312"/>
          <w:bCs/>
          <w:kern w:val="0"/>
          <w:sz w:val="32"/>
          <w:szCs w:val="32"/>
          <w:lang w:eastAsia="zh-CN"/>
        </w:rPr>
        <w:t>广元</w:t>
      </w:r>
      <w:r>
        <w:rPr>
          <w:rFonts w:hint="eastAsia" w:ascii="仿宋_GB2312" w:hAnsi="仿宋_GB2312" w:eastAsia="仿宋_GB2312" w:cs="仿宋_GB2312"/>
          <w:bCs/>
          <w:kern w:val="0"/>
          <w:sz w:val="32"/>
          <w:szCs w:val="32"/>
        </w:rPr>
        <w:t>市财政局关于开展</w:t>
      </w:r>
      <w:r>
        <w:rPr>
          <w:rFonts w:hint="eastAsia" w:ascii="仿宋_GB2312" w:hAnsi="仿宋_GB2312" w:eastAsia="仿宋_GB2312" w:cs="仿宋_GB2312"/>
          <w:bCs/>
          <w:kern w:val="0"/>
          <w:sz w:val="32"/>
          <w:szCs w:val="32"/>
          <w:lang w:val="en-US" w:eastAsia="zh-CN"/>
        </w:rPr>
        <w:t>2022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部门、政策和项目支出绩效自评</w:t>
      </w:r>
      <w:r>
        <w:rPr>
          <w:rFonts w:hint="eastAsia" w:ascii="仿宋_GB2312" w:hAnsi="仿宋_GB2312" w:eastAsia="仿宋_GB2312" w:cs="仿宋_GB2312"/>
          <w:bCs/>
          <w:kern w:val="0"/>
          <w:sz w:val="32"/>
          <w:szCs w:val="32"/>
        </w:rPr>
        <w:t>工作的通知》</w:t>
      </w:r>
      <w:r>
        <w:rPr>
          <w:rFonts w:hint="eastAsia" w:ascii="仿宋_GB2312" w:hAnsi="仿宋_GB2312" w:eastAsia="仿宋_GB2312" w:cs="仿宋_GB2312"/>
          <w:bCs/>
          <w:kern w:val="0"/>
          <w:sz w:val="32"/>
          <w:szCs w:val="32"/>
          <w:lang w:val="en-US" w:eastAsia="zh-CN"/>
        </w:rPr>
        <w:t>(广财绩〔2022〕8号）</w:t>
      </w:r>
      <w:r>
        <w:rPr>
          <w:rFonts w:hint="eastAsia" w:ascii="仿宋_GB2312" w:hAnsi="仿宋_GB2312" w:eastAsia="仿宋_GB2312" w:cs="仿宋_GB2312"/>
          <w:bCs/>
          <w:kern w:val="0"/>
          <w:sz w:val="32"/>
          <w:szCs w:val="32"/>
        </w:rPr>
        <w:t>要求，现就有关情况报告如下。</w:t>
      </w:r>
    </w:p>
    <w:p>
      <w:pPr>
        <w:spacing w:line="576"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一、部门概况</w:t>
      </w:r>
    </w:p>
    <w:p>
      <w:pPr>
        <w:overflowPunct w:val="0"/>
        <w:spacing w:line="540" w:lineRule="exact"/>
        <w:ind w:firstLine="640" w:firstLineChars="200"/>
        <w:jc w:val="left"/>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（一）</w:t>
      </w:r>
      <w:r>
        <w:rPr>
          <w:rFonts w:hint="eastAsia" w:ascii="仿宋_GB2312" w:hAnsi="仿宋_GB2312" w:eastAsia="仿宋_GB2312" w:cs="仿宋_GB2312"/>
          <w:bCs/>
          <w:kern w:val="0"/>
          <w:sz w:val="32"/>
          <w:szCs w:val="32"/>
          <w:lang w:eastAsia="zh-CN"/>
        </w:rPr>
        <w:t>机构组成。</w:t>
      </w:r>
      <w:r>
        <w:rPr>
          <w:rFonts w:hint="eastAsia" w:ascii="仿宋_GB2312" w:hAnsi="仿宋_GB2312" w:eastAsia="仿宋_GB2312" w:cs="仿宋_GB2312"/>
          <w:color w:val="000000"/>
          <w:sz w:val="32"/>
          <w:szCs w:val="32"/>
          <w:lang w:eastAsia="zh-CN"/>
        </w:rPr>
        <w:t>广元市林业局是广元市人民政府工作部门，为正县级单位。有办公室、规划改革发展科、生态保护修复科、政策法规科、综合执法科、森林资源管理科、野生动植物保护管理科、自然保护地和湿地管理科、林业产业和科技科、国有林场和种苗管理科、财务科、人事科、机关党委办、森林防火科等</w:t>
      </w:r>
      <w:r>
        <w:rPr>
          <w:rFonts w:hint="eastAsia" w:ascii="仿宋_GB2312" w:hAnsi="仿宋_GB2312" w:eastAsia="仿宋_GB2312" w:cs="仿宋_GB2312"/>
          <w:color w:val="000000"/>
          <w:sz w:val="32"/>
          <w:szCs w:val="32"/>
          <w:lang w:val="en-US" w:eastAsia="zh-CN"/>
        </w:rPr>
        <w:t>14个内设科室。下属企事业单位4个，即广元市林业科学研究院、广元市国有林场、广元市国营中心苗圃和广元市鸳鸯池国有林保护有限公司。</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lang w:eastAsia="zh-CN"/>
        </w:rPr>
        <w:t>（二）机构职能。</w:t>
      </w:r>
      <w:r>
        <w:rPr>
          <w:rFonts w:hint="eastAsia" w:ascii="仿宋_GB2312" w:hAnsi="仿宋_GB2312" w:eastAsia="仿宋_GB2312" w:cs="仿宋_GB2312"/>
          <w:bCs/>
          <w:kern w:val="0"/>
          <w:sz w:val="32"/>
          <w:szCs w:val="32"/>
          <w:highlight w:val="none"/>
          <w:u w:val="none"/>
          <w:lang w:val="zh-CN" w:eastAsia="zh-CN" w:bidi="ar-SA"/>
        </w:rPr>
        <w:t>按《中共广元市委办公室 广元市人民政府办公室 关于印发&lt;广元市林业局职能配置、内设机构和人员编制规定&gt;的通知》（广委办函〔2019〕52 号），广元市林业局机构职能如下：</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1.</w:t>
      </w:r>
      <w:r>
        <w:rPr>
          <w:rFonts w:hint="eastAsia" w:ascii="仿宋_GB2312" w:hAnsi="仿宋_GB2312" w:eastAsia="仿宋_GB2312" w:cs="仿宋_GB2312"/>
          <w:bCs/>
          <w:kern w:val="0"/>
          <w:sz w:val="32"/>
          <w:szCs w:val="32"/>
          <w:highlight w:val="none"/>
          <w:u w:val="none"/>
          <w:lang w:val="zh-CN" w:eastAsia="zh-CN" w:bidi="ar-SA"/>
        </w:rPr>
        <w:t>负责全市林业及其生态保护修复的监督管理。拟订全市林业及其生态保护修复的相关政策、规划和起草相关规范性文件并组织实施。组织拟订有关地方标准并指导实施，组织开展全市森林、陆生野生动植物、湿地、自然保护地和荒漠等资源的动态监测与评价。推进全市林业数字化建设。</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2.</w:t>
      </w:r>
      <w:r>
        <w:rPr>
          <w:rFonts w:hint="eastAsia" w:ascii="仿宋_GB2312" w:hAnsi="仿宋_GB2312" w:eastAsia="仿宋_GB2312" w:cs="仿宋_GB2312"/>
          <w:bCs/>
          <w:kern w:val="0"/>
          <w:sz w:val="32"/>
          <w:szCs w:val="32"/>
          <w:highlight w:val="none"/>
          <w:u w:val="none"/>
          <w:lang w:val="zh-CN" w:eastAsia="zh-CN" w:bidi="ar-SA"/>
        </w:rPr>
        <w:t>组织全市生态保护修复和造林绿化工作。组织实施林业重点生态保护修复工程，指导公益林和商品林的培育，指导和监督全民义务植树、城乡绿化工作，指导林业有害生物防治、检疫工作。承担林业应对气候变化的相关工作。负责全市荒漠化、石漠化防治工作。承担广元市绿化委员会的具体工作。</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3.</w:t>
      </w:r>
      <w:r>
        <w:rPr>
          <w:rFonts w:hint="eastAsia" w:ascii="仿宋_GB2312" w:hAnsi="仿宋_GB2312" w:eastAsia="仿宋_GB2312" w:cs="仿宋_GB2312"/>
          <w:bCs/>
          <w:kern w:val="0"/>
          <w:sz w:val="32"/>
          <w:szCs w:val="32"/>
          <w:highlight w:val="none"/>
          <w:u w:val="none"/>
          <w:lang w:val="zh-CN" w:eastAsia="zh-CN" w:bidi="ar-SA"/>
        </w:rPr>
        <w:t>负责全市森林资源的监督管理。贯彻执行全省森林采伐限额和林地保护利用规划。组织编制并监督执行全市森林采伐限额，监督检查林木凭证采伐、经营加工、运输。负责林地管理，拟订林地保护利用规划并组织实施，组织实施公益林划定管理工作，管理国有森林资源。</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4.</w:t>
      </w:r>
      <w:r>
        <w:rPr>
          <w:rFonts w:hint="eastAsia" w:ascii="仿宋_GB2312" w:hAnsi="仿宋_GB2312" w:eastAsia="仿宋_GB2312" w:cs="仿宋_GB2312"/>
          <w:bCs/>
          <w:kern w:val="0"/>
          <w:sz w:val="32"/>
          <w:szCs w:val="32"/>
          <w:highlight w:val="none"/>
          <w:u w:val="none"/>
          <w:lang w:val="zh-CN" w:eastAsia="zh-CN" w:bidi="ar-SA"/>
        </w:rPr>
        <w:t xml:space="preserve">负责全市湿地资源的监督管理。贯彻执行全省有关湿地保护规划及其相关的标准规定，拟订全市湿地保护规划及其相关的地方标准。负责湿地生态保护修复工作，监督管理湿地的合理利用。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5.</w:t>
      </w:r>
      <w:r>
        <w:rPr>
          <w:rFonts w:hint="eastAsia" w:ascii="仿宋_GB2312" w:hAnsi="仿宋_GB2312" w:eastAsia="仿宋_GB2312" w:cs="仿宋_GB2312"/>
          <w:bCs/>
          <w:kern w:val="0"/>
          <w:sz w:val="32"/>
          <w:szCs w:val="32"/>
          <w:highlight w:val="none"/>
          <w:u w:val="none"/>
          <w:lang w:val="zh-CN" w:eastAsia="zh-CN" w:bidi="ar-SA"/>
        </w:rPr>
        <w:t>负责全市陆生野生动植物资源的监督管理。组织开展陆生野生动植物资源调查，拟订及调整全市重点保护陆生野生动物、植物名录，指导陆生野生动植物的救护繁育、栖息地恢复发展、疫源疫病监测，监督管理全市陆生野生动植物猎捕或采集、驯养繁殖或培植、经营利用，按分工监督管理野生动植物进出口。</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6.</w:t>
      </w:r>
      <w:r>
        <w:rPr>
          <w:rFonts w:hint="eastAsia" w:ascii="仿宋_GB2312" w:hAnsi="仿宋_GB2312" w:eastAsia="仿宋_GB2312" w:cs="仿宋_GB2312"/>
          <w:bCs/>
          <w:kern w:val="0"/>
          <w:sz w:val="32"/>
          <w:szCs w:val="32"/>
          <w:highlight w:val="none"/>
          <w:u w:val="none"/>
          <w:lang w:val="zh-CN" w:eastAsia="zh-CN" w:bidi="ar-SA"/>
        </w:rPr>
        <w:t xml:space="preserve">负责监督管理全市各类自然保护地。拟订全市自然保护区、森林公园、地质公园、风景名胜区、自然遗产等各类自然保护地规划和相关地方标准。指导全市各类自然保护地的建设和管理。负责市级政府直接行使和代理行使全民所有权的国家公园等自然保护地的自然资源资产管理和国土空间用途管制。提出新建、调整各类自然保护地和湿地的审核建议并按程序报批。负责生物多样性保护相关工作。承担自然遗产申报的相关工作。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7.</w:t>
      </w:r>
      <w:r>
        <w:rPr>
          <w:rFonts w:hint="eastAsia" w:ascii="仿宋_GB2312" w:hAnsi="仿宋_GB2312" w:eastAsia="仿宋_GB2312" w:cs="仿宋_GB2312"/>
          <w:bCs/>
          <w:kern w:val="0"/>
          <w:sz w:val="32"/>
          <w:szCs w:val="32"/>
          <w:highlight w:val="none"/>
          <w:u w:val="none"/>
          <w:lang w:val="zh-CN" w:eastAsia="zh-CN" w:bidi="ar-SA"/>
        </w:rPr>
        <w:t xml:space="preserve">负责推进全市林业改革相关工作。拟订集体林权制度、国有林区、国有林场（苗圃）等重大改革意见并监督实施。拟订农村林业发展、维护林业经营者合法权益的政策措施。指导农村林地承包经营工作。开展退耕还林，负责天然林保护工作。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8.</w:t>
      </w:r>
      <w:r>
        <w:rPr>
          <w:rFonts w:hint="eastAsia" w:ascii="仿宋_GB2312" w:hAnsi="仿宋_GB2312" w:eastAsia="仿宋_GB2312" w:cs="仿宋_GB2312"/>
          <w:bCs/>
          <w:kern w:val="0"/>
          <w:sz w:val="32"/>
          <w:szCs w:val="32"/>
          <w:highlight w:val="none"/>
          <w:u w:val="none"/>
          <w:lang w:val="zh-CN" w:eastAsia="zh-CN" w:bidi="ar-SA"/>
        </w:rPr>
        <w:t xml:space="preserve">拟订全市林业资源优化配置及木材利用政策，拟订相关林业产业地方标准并监督实施，组织、指导林产品质量监督。指导生态扶贫相关工作。指导现代林业园区建设、低产低效林改造、花卉、特色经济林、森林林下经济、森林康养和生态旅游等产业发展，推进林业绿色产业发展。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9.</w:t>
      </w:r>
      <w:r>
        <w:rPr>
          <w:rFonts w:hint="eastAsia" w:ascii="仿宋_GB2312" w:hAnsi="仿宋_GB2312" w:eastAsia="仿宋_GB2312" w:cs="仿宋_GB2312"/>
          <w:bCs/>
          <w:kern w:val="0"/>
          <w:sz w:val="32"/>
          <w:szCs w:val="32"/>
          <w:highlight w:val="none"/>
          <w:u w:val="none"/>
          <w:lang w:val="zh-CN" w:eastAsia="zh-CN" w:bidi="ar-SA"/>
        </w:rPr>
        <w:t xml:space="preserve">指导全市国有林场（苗圃）基本建设、发展，组织林木种质资源普查，组织建立种质资源库，负责良种选育推广，管理林木种苗生产经营行为，监管林木种苗质量。监督管理林业生物种质资源、转基因生物安全、植物新品种保护。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10.</w:t>
      </w:r>
      <w:r>
        <w:rPr>
          <w:rFonts w:hint="eastAsia" w:ascii="仿宋_GB2312" w:hAnsi="仿宋_GB2312" w:eastAsia="仿宋_GB2312" w:cs="仿宋_GB2312"/>
          <w:bCs/>
          <w:kern w:val="0"/>
          <w:sz w:val="32"/>
          <w:szCs w:val="32"/>
          <w:highlight w:val="none"/>
          <w:u w:val="none"/>
          <w:lang w:val="zh-CN" w:eastAsia="zh-CN" w:bidi="ar-SA"/>
        </w:rPr>
        <w:t xml:space="preserve">指导全市林业重大违法案件的查处，指导林区社会治安治理工作。负责林业相关行政执法监管工作。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11.</w:t>
      </w:r>
      <w:r>
        <w:rPr>
          <w:rFonts w:hint="eastAsia" w:ascii="仿宋_GB2312" w:hAnsi="仿宋_GB2312" w:eastAsia="仿宋_GB2312" w:cs="仿宋_GB2312"/>
          <w:bCs/>
          <w:kern w:val="0"/>
          <w:sz w:val="32"/>
          <w:szCs w:val="32"/>
          <w:highlight w:val="none"/>
          <w:u w:val="none"/>
          <w:lang w:val="zh-CN" w:eastAsia="zh-CN" w:bidi="ar-SA"/>
        </w:rPr>
        <w:t xml:space="preserve">负责落实全市综合防灾减灾规划相关要求，组织编制全市森林火灾防治规划并指导实施，组织、指导开展防火巡护、火源管理、防火设施建设等工作。负责森林火情监测预警、火灾预防和统计评估相关工作，发送森林火险信息。组织指导国有林场林区开展宣传教育、监测预警、督促检查等防火工作。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12.</w:t>
      </w:r>
      <w:r>
        <w:rPr>
          <w:rFonts w:hint="eastAsia" w:ascii="仿宋_GB2312" w:hAnsi="仿宋_GB2312" w:eastAsia="仿宋_GB2312" w:cs="仿宋_GB2312"/>
          <w:bCs/>
          <w:kern w:val="0"/>
          <w:sz w:val="32"/>
          <w:szCs w:val="32"/>
          <w:highlight w:val="none"/>
          <w:u w:val="none"/>
          <w:lang w:val="zh-CN" w:eastAsia="zh-CN" w:bidi="ar-SA"/>
        </w:rPr>
        <w:t xml:space="preserve">监督管理全市林业市级及以上资金和国有资产，提出林业预算内投资、市级及以上财政性资金安排建议，按市政府规定权限，核报、监督管理规划内和年度计划内投资项目。参与拟订全市林业经济调节政策，组织实施林业生态补偿工作。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13.</w:t>
      </w:r>
      <w:r>
        <w:rPr>
          <w:rFonts w:hint="eastAsia" w:ascii="仿宋_GB2312" w:hAnsi="仿宋_GB2312" w:eastAsia="仿宋_GB2312" w:cs="仿宋_GB2312"/>
          <w:bCs/>
          <w:kern w:val="0"/>
          <w:sz w:val="32"/>
          <w:szCs w:val="32"/>
          <w:highlight w:val="none"/>
          <w:u w:val="none"/>
          <w:lang w:val="zh-CN" w:eastAsia="zh-CN" w:bidi="ar-SA"/>
        </w:rPr>
        <w:t xml:space="preserve">负责林业科技、教育、对外交流和宣传工作。组织重点科技项目攻关和科技成果转化、推广。指导全市林业人才队伍建设。组织实施林业对外交流与合作事务，承担湿地、防治荒漠化、濒危野生动植物等国际公约履约有关工作。负责林业行业宣传工作。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14.</w:t>
      </w:r>
      <w:r>
        <w:rPr>
          <w:rFonts w:hint="eastAsia" w:ascii="仿宋_GB2312" w:hAnsi="仿宋_GB2312" w:eastAsia="仿宋_GB2312" w:cs="仿宋_GB2312"/>
          <w:bCs/>
          <w:kern w:val="0"/>
          <w:sz w:val="32"/>
          <w:szCs w:val="32"/>
          <w:highlight w:val="none"/>
          <w:u w:val="none"/>
          <w:lang w:val="zh-CN" w:eastAsia="zh-CN" w:bidi="ar-SA"/>
        </w:rPr>
        <w:t xml:space="preserve">承担职责范围内安全生产和职业健康、生态环境保护、审批服务便民化等工作。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15.</w:t>
      </w:r>
      <w:r>
        <w:rPr>
          <w:rFonts w:hint="eastAsia" w:ascii="仿宋_GB2312" w:hAnsi="仿宋_GB2312" w:eastAsia="仿宋_GB2312" w:cs="仿宋_GB2312"/>
          <w:bCs/>
          <w:kern w:val="0"/>
          <w:sz w:val="32"/>
          <w:szCs w:val="32"/>
          <w:highlight w:val="none"/>
          <w:u w:val="none"/>
          <w:lang w:val="zh-CN" w:eastAsia="zh-CN" w:bidi="ar-SA"/>
        </w:rPr>
        <w:t xml:space="preserve">完成市委、市政府交办的其他任务。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16.</w:t>
      </w:r>
      <w:r>
        <w:rPr>
          <w:rFonts w:hint="eastAsia" w:ascii="仿宋_GB2312" w:hAnsi="仿宋_GB2312" w:eastAsia="仿宋_GB2312" w:cs="仿宋_GB2312"/>
          <w:bCs/>
          <w:kern w:val="0"/>
          <w:sz w:val="32"/>
          <w:szCs w:val="32"/>
          <w:highlight w:val="none"/>
          <w:u w:val="none"/>
          <w:lang w:val="zh-CN" w:eastAsia="zh-CN" w:bidi="ar-SA"/>
        </w:rPr>
        <w:t>职能转变。围绕高质量筑牢嘉陵江上游生态屏障，加强森林、湿地监督管理的统筹协调，切实加大生态系统保护力度，实施重要生态系统保护和修复工程，高质量实施绿化全川广元行动、低产低效林改造、增彩添香和花卉产业发展，高水平推进数字林业建设，加快实现林业生态、经济、社会三大效益。统一推进全市湿地、森林公园、地质公园、风景名胜区、自然遗产等各类自然保护地的清理规范、归并整合及监督管理。</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en-US" w:eastAsia="zh-CN" w:bidi="ar-SA"/>
        </w:rPr>
        <w:t>17.</w:t>
      </w:r>
      <w:r>
        <w:rPr>
          <w:rFonts w:hint="eastAsia" w:ascii="仿宋_GB2312" w:hAnsi="仿宋_GB2312" w:eastAsia="仿宋_GB2312" w:cs="仿宋_GB2312"/>
          <w:bCs/>
          <w:kern w:val="0"/>
          <w:sz w:val="32"/>
          <w:szCs w:val="32"/>
          <w:highlight w:val="none"/>
          <w:u w:val="none"/>
          <w:lang w:val="zh-CN" w:eastAsia="zh-CN" w:bidi="ar-SA"/>
        </w:rPr>
        <w:t>在自然灾害防救方面的职责分工。市应急管理局与市自然资源局、市水利局、市林业局等部门要做到各司其职、无缝对接。市应急管理局负责统一组织、统一指挥、统一协调自然灾害类突发事件应急救援救灾工作。市自然资源局、市水利局、市林业局依法依规承担相关行业领域的灾害监测、预警、防治工作及抢险救援的技术保障工作。</w:t>
      </w:r>
    </w:p>
    <w:p>
      <w:pPr>
        <w:pStyle w:val="13"/>
        <w:ind w:left="0" w:leftChars="0" w:firstLine="64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zh-CN" w:eastAsia="zh-CN" w:bidi="ar-SA"/>
        </w:rPr>
        <w:t>（三）人员概况。</w:t>
      </w:r>
      <w:r>
        <w:rPr>
          <w:rFonts w:hint="eastAsia" w:ascii="仿宋_GB2312" w:hAnsi="仿宋_GB2312" w:eastAsia="仿宋_GB2312" w:cs="仿宋_GB2312"/>
          <w:bCs/>
          <w:kern w:val="0"/>
          <w:sz w:val="32"/>
          <w:szCs w:val="32"/>
          <w:highlight w:val="none"/>
          <w:u w:val="none"/>
          <w:lang w:val="en-US" w:eastAsia="zh-CN" w:bidi="ar-SA"/>
        </w:rPr>
        <w:t>截至2021年12月底。我局机关及下属事业单位现有在职干部职工176名，</w:t>
      </w:r>
      <w:r>
        <w:rPr>
          <w:rFonts w:hint="eastAsia" w:ascii="仿宋_GB2312" w:hAnsi="仿宋_GB2312" w:eastAsia="仿宋_GB2312" w:cs="仿宋_GB2312"/>
          <w:bCs/>
          <w:kern w:val="0"/>
          <w:sz w:val="32"/>
          <w:szCs w:val="32"/>
          <w:highlight w:val="none"/>
          <w:u w:val="none"/>
          <w:lang w:val="en" w:eastAsia="zh-CN" w:bidi="ar-SA"/>
        </w:rPr>
        <w:t>其中公务员</w:t>
      </w:r>
      <w:r>
        <w:rPr>
          <w:rFonts w:hint="eastAsia" w:ascii="仿宋_GB2312" w:hAnsi="仿宋_GB2312" w:eastAsia="仿宋_GB2312" w:cs="仿宋_GB2312"/>
          <w:bCs/>
          <w:kern w:val="0"/>
          <w:sz w:val="32"/>
          <w:szCs w:val="32"/>
          <w:highlight w:val="none"/>
          <w:u w:val="none"/>
          <w:lang w:val="en-US" w:eastAsia="zh-CN" w:bidi="ar-SA"/>
        </w:rPr>
        <w:t>21名</w:t>
      </w:r>
      <w:r>
        <w:rPr>
          <w:rFonts w:hint="eastAsia" w:ascii="仿宋_GB2312" w:hAnsi="仿宋_GB2312" w:eastAsia="仿宋_GB2312" w:cs="仿宋_GB2312"/>
          <w:bCs/>
          <w:kern w:val="0"/>
          <w:sz w:val="32"/>
          <w:szCs w:val="32"/>
          <w:highlight w:val="none"/>
          <w:u w:val="none"/>
          <w:lang w:val="en" w:eastAsia="zh-CN" w:bidi="ar-SA"/>
        </w:rPr>
        <w:t>、机关工勤</w:t>
      </w:r>
      <w:r>
        <w:rPr>
          <w:rFonts w:hint="eastAsia" w:ascii="仿宋_GB2312" w:hAnsi="仿宋_GB2312" w:eastAsia="仿宋_GB2312" w:cs="仿宋_GB2312"/>
          <w:bCs/>
          <w:kern w:val="0"/>
          <w:sz w:val="32"/>
          <w:szCs w:val="32"/>
          <w:highlight w:val="none"/>
          <w:u w:val="none"/>
          <w:lang w:val="en-US" w:eastAsia="zh-CN" w:bidi="ar-SA"/>
        </w:rPr>
        <w:t>3名、</w:t>
      </w:r>
      <w:r>
        <w:rPr>
          <w:rFonts w:hint="eastAsia" w:ascii="仿宋_GB2312" w:hAnsi="仿宋_GB2312" w:eastAsia="仿宋_GB2312" w:cs="仿宋_GB2312"/>
          <w:bCs/>
          <w:kern w:val="0"/>
          <w:sz w:val="32"/>
          <w:szCs w:val="32"/>
          <w:highlight w:val="none"/>
          <w:u w:val="none"/>
          <w:lang w:val="en" w:eastAsia="zh-CN" w:bidi="ar-SA"/>
        </w:rPr>
        <w:t>参公人员</w:t>
      </w:r>
      <w:r>
        <w:rPr>
          <w:rFonts w:hint="eastAsia" w:ascii="仿宋_GB2312" w:hAnsi="仿宋_GB2312" w:eastAsia="仿宋_GB2312" w:cs="仿宋_GB2312"/>
          <w:bCs/>
          <w:kern w:val="0"/>
          <w:sz w:val="32"/>
          <w:szCs w:val="32"/>
          <w:highlight w:val="none"/>
          <w:u w:val="none"/>
          <w:lang w:val="en-US" w:eastAsia="zh-CN" w:bidi="ar-SA"/>
        </w:rPr>
        <w:t>5名</w:t>
      </w:r>
      <w:r>
        <w:rPr>
          <w:rFonts w:hint="eastAsia" w:ascii="仿宋_GB2312" w:hAnsi="仿宋_GB2312" w:eastAsia="仿宋_GB2312" w:cs="仿宋_GB2312"/>
          <w:bCs/>
          <w:kern w:val="0"/>
          <w:sz w:val="32"/>
          <w:szCs w:val="32"/>
          <w:highlight w:val="none"/>
          <w:u w:val="none"/>
          <w:lang w:val="en" w:eastAsia="zh-CN" w:bidi="ar-SA"/>
        </w:rPr>
        <w:t>、事业人员</w:t>
      </w:r>
      <w:r>
        <w:rPr>
          <w:rFonts w:hint="eastAsia" w:ascii="仿宋_GB2312" w:hAnsi="仿宋_GB2312" w:eastAsia="仿宋_GB2312" w:cs="仿宋_GB2312"/>
          <w:bCs/>
          <w:kern w:val="0"/>
          <w:sz w:val="32"/>
          <w:szCs w:val="32"/>
          <w:highlight w:val="none"/>
          <w:u w:val="none"/>
          <w:lang w:val="en-US" w:eastAsia="zh-CN" w:bidi="ar-SA"/>
        </w:rPr>
        <w:t>147名。现有人员中市管干部16人，科级干部31人。</w:t>
      </w:r>
    </w:p>
    <w:p>
      <w:pPr>
        <w:spacing w:line="576" w:lineRule="exact"/>
        <w:ind w:firstLine="640" w:firstLineChars="200"/>
        <w:rPr>
          <w:rFonts w:hint="eastAsia" w:ascii="仿宋_GB2312" w:hAnsi="仿宋_GB2312" w:eastAsia="仿宋_GB2312" w:cs="仿宋_GB2312"/>
          <w:bCs/>
          <w:kern w:val="0"/>
          <w:sz w:val="32"/>
          <w:szCs w:val="32"/>
          <w:highlight w:val="none"/>
          <w:u w:val="none"/>
        </w:rPr>
      </w:pPr>
      <w:r>
        <w:rPr>
          <w:rFonts w:hint="eastAsia" w:ascii="仿宋_GB2312" w:hAnsi="仿宋_GB2312" w:eastAsia="仿宋_GB2312" w:cs="仿宋_GB2312"/>
          <w:bCs/>
          <w:kern w:val="0"/>
          <w:sz w:val="32"/>
          <w:szCs w:val="32"/>
          <w:highlight w:val="none"/>
          <w:u w:val="none"/>
        </w:rPr>
        <w:t>二、部门财政资金收支情况</w:t>
      </w:r>
    </w:p>
    <w:p>
      <w:pPr>
        <w:spacing w:line="576" w:lineRule="exact"/>
        <w:ind w:firstLine="64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zh-CN"/>
        </w:rPr>
        <w:t>（一）部门财政资金收入情况</w:t>
      </w:r>
      <w:r>
        <w:rPr>
          <w:rFonts w:hint="eastAsia" w:ascii="仿宋_GB2312" w:hAnsi="仿宋_GB2312" w:eastAsia="仿宋_GB2312" w:cs="仿宋_GB2312"/>
          <w:u w:val="none"/>
          <w:lang w:val="en-US" w:eastAsia="zh-CN"/>
        </w:rPr>
        <w:t xml:space="preserve">    </w:t>
      </w:r>
    </w:p>
    <w:p>
      <w:pPr>
        <w:pStyle w:val="13"/>
        <w:ind w:left="0" w:leftChars="0" w:firstLine="64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en-US" w:eastAsia="zh-CN" w:bidi="ar-SA"/>
        </w:rPr>
        <w:t>我局（含所属二级预算单位）2021年当年收入4955.43万元。其中，基本支出3015.03元，项目支出1940.4万元。</w:t>
      </w:r>
    </w:p>
    <w:p>
      <w:pPr>
        <w:pStyle w:val="35"/>
        <w:spacing w:line="576" w:lineRule="exact"/>
        <w:ind w:firstLine="640" w:firstLineChars="200"/>
        <w:outlineLvl w:val="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en-US" w:eastAsia="zh-CN" w:bidi="ar-SA"/>
        </w:rPr>
        <w:t>1.市林业局。2021年当年收入2806.65万元。其中，基本支出1568.56万元，项目支出1238.09万元。</w:t>
      </w:r>
    </w:p>
    <w:p>
      <w:pPr>
        <w:pStyle w:val="13"/>
        <w:ind w:left="0" w:leftChars="0" w:firstLine="64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en-US" w:eastAsia="zh-CN" w:bidi="ar-SA"/>
        </w:rPr>
        <w:t>2.市林业科学研究院。2021年当年收入547.18万元。其中，基本支出427.74万元，项目支出119.44万元。</w:t>
      </w:r>
    </w:p>
    <w:p>
      <w:pPr>
        <w:ind w:firstLine="64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en-US" w:eastAsia="zh-CN" w:bidi="ar-SA"/>
        </w:rPr>
        <w:t>3.市国营中心苗圃。2021年当年收入444.60万元。其中，基本支出284.62万元，项目支出159.98万元。</w:t>
      </w:r>
    </w:p>
    <w:p>
      <w:pPr>
        <w:pStyle w:val="13"/>
        <w:ind w:left="0" w:leftChars="0" w:firstLine="64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en-US" w:eastAsia="zh-CN" w:bidi="ar-SA"/>
        </w:rPr>
        <w:t>4.市国有林场。2021年当年收入796.33万元。其中，基本支出375.43万元，项目支出420.89万元。</w:t>
      </w:r>
    </w:p>
    <w:p>
      <w:pPr>
        <w:pStyle w:val="13"/>
        <w:ind w:left="0" w:leftChars="0" w:firstLine="64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en-US" w:eastAsia="zh-CN" w:bidi="ar-SA"/>
        </w:rPr>
        <w:t>5.市自然保护地工作站。2021年当年收入150.51万元。其中，基本支出148.51万元，项目支出2万元。</w:t>
      </w:r>
    </w:p>
    <w:p>
      <w:pPr>
        <w:pStyle w:val="13"/>
        <w:ind w:left="0" w:leftChars="0" w:firstLine="640" w:firstLineChars="200"/>
        <w:rPr>
          <w:rFonts w:hint="default"/>
          <w:lang w:val="en-US" w:eastAsia="zh-CN"/>
        </w:rPr>
      </w:pPr>
      <w:r>
        <w:rPr>
          <w:rFonts w:hint="eastAsia" w:ascii="仿宋_GB2312" w:hAnsi="仿宋_GB2312" w:eastAsia="仿宋_GB2312" w:cs="仿宋_GB2312"/>
          <w:bCs/>
          <w:kern w:val="0"/>
          <w:sz w:val="32"/>
          <w:szCs w:val="32"/>
          <w:highlight w:val="none"/>
          <w:u w:val="none"/>
          <w:lang w:val="en-US" w:eastAsia="zh-CN" w:bidi="ar-SA"/>
        </w:rPr>
        <w:t>6.四川南河国家湿地公园管理中心。2021年当年收入210.16万元。其中，基本支出210.16万元，项目支出0万元。</w:t>
      </w:r>
    </w:p>
    <w:p>
      <w:pPr>
        <w:pStyle w:val="13"/>
        <w:ind w:left="0" w:leftChars="0" w:firstLine="640" w:firstLineChars="200"/>
        <w:rPr>
          <w:rFonts w:hint="eastAsia" w:ascii="仿宋_GB2312" w:hAnsi="仿宋_GB2312" w:eastAsia="仿宋_GB2312" w:cs="仿宋_GB2312"/>
          <w:bCs/>
          <w:kern w:val="0"/>
          <w:sz w:val="32"/>
          <w:szCs w:val="32"/>
          <w:highlight w:val="none"/>
          <w:u w:val="none"/>
          <w:lang w:val="zh-CN" w:eastAsia="zh-CN" w:bidi="ar-SA"/>
        </w:rPr>
      </w:pPr>
      <w:r>
        <w:rPr>
          <w:rFonts w:hint="eastAsia" w:ascii="仿宋_GB2312" w:hAnsi="仿宋_GB2312" w:eastAsia="仿宋_GB2312" w:cs="仿宋_GB2312"/>
          <w:bCs/>
          <w:kern w:val="0"/>
          <w:sz w:val="32"/>
          <w:szCs w:val="32"/>
          <w:highlight w:val="none"/>
          <w:u w:val="none"/>
          <w:lang w:val="zh-CN" w:eastAsia="zh-CN" w:bidi="ar-SA"/>
        </w:rPr>
        <w:t>（二）部门财政资金支出情况</w:t>
      </w:r>
    </w:p>
    <w:p>
      <w:pPr>
        <w:pStyle w:val="13"/>
        <w:ind w:left="0" w:leftChars="0" w:firstLine="0" w:firstLineChars="0"/>
        <w:rPr>
          <w:rFonts w:hint="default" w:ascii="仿宋_GB2312" w:hAnsi="仿宋_GB2312" w:eastAsia="仿宋_GB2312" w:cs="仿宋_GB2312"/>
          <w:bCs/>
          <w:kern w:val="0"/>
          <w:sz w:val="32"/>
          <w:szCs w:val="32"/>
          <w:highlight w:val="none"/>
          <w:u w:val="none"/>
          <w:lang w:val="en-US" w:eastAsia="zh-CN"/>
        </w:rPr>
      </w:pPr>
      <w:r>
        <w:rPr>
          <w:rFonts w:hint="eastAsia" w:ascii="仿宋_GB2312" w:hAnsi="仿宋_GB2312" w:eastAsia="仿宋_GB2312" w:cs="仿宋_GB2312"/>
          <w:bCs/>
          <w:kern w:val="0"/>
          <w:sz w:val="32"/>
          <w:szCs w:val="32"/>
          <w:highlight w:val="none"/>
          <w:u w:val="none"/>
          <w:lang w:val="en-US" w:eastAsia="zh-CN"/>
        </w:rPr>
        <w:t xml:space="preserve">    我局</w:t>
      </w:r>
      <w:r>
        <w:rPr>
          <w:rFonts w:hint="eastAsia" w:ascii="仿宋_GB2312" w:hAnsi="仿宋_GB2312" w:eastAsia="仿宋_GB2312" w:cs="仿宋_GB2312"/>
          <w:bCs/>
          <w:kern w:val="0"/>
          <w:sz w:val="32"/>
          <w:szCs w:val="32"/>
          <w:highlight w:val="none"/>
          <w:u w:val="none"/>
          <w:lang w:val="en-US" w:eastAsia="zh-CN" w:bidi="ar-SA"/>
        </w:rPr>
        <w:t>（含所属二级预算单位）2021年当年支出4567.92万元。其中，基本支出3009.64万元，项目支出1558.28万元。</w:t>
      </w:r>
    </w:p>
    <w:p>
      <w:pPr>
        <w:pStyle w:val="13"/>
        <w:ind w:left="0" w:leftChars="0" w:firstLine="0" w:firstLineChars="0"/>
        <w:rPr>
          <w:rFonts w:hint="eastAsia" w:ascii="仿宋_GB2312" w:hAnsi="仿宋_GB2312" w:eastAsia="仿宋_GB2312" w:cs="仿宋_GB2312"/>
          <w:bCs/>
          <w:kern w:val="0"/>
          <w:sz w:val="32"/>
          <w:szCs w:val="32"/>
          <w:highlight w:val="none"/>
          <w:u w:val="none"/>
          <w:lang w:val="en-US" w:eastAsia="zh-CN"/>
        </w:rPr>
      </w:pPr>
      <w:r>
        <w:rPr>
          <w:rFonts w:hint="eastAsia" w:ascii="仿宋_GB2312" w:hAnsi="仿宋_GB2312" w:eastAsia="仿宋_GB2312" w:cs="仿宋_GB2312"/>
          <w:bCs/>
          <w:kern w:val="0"/>
          <w:sz w:val="32"/>
          <w:szCs w:val="32"/>
          <w:highlight w:val="none"/>
          <w:u w:val="none"/>
          <w:lang w:val="en-US" w:eastAsia="zh-CN"/>
        </w:rPr>
        <w:t xml:space="preserve">    1.市林业局。2021年当年支出2642.53万元。其中，基本支出1568.56万元，项目支出1073.97万元。</w:t>
      </w:r>
    </w:p>
    <w:p>
      <w:pPr>
        <w:pStyle w:val="13"/>
        <w:ind w:left="0" w:leftChars="0" w:firstLine="42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lang w:val="en-US" w:eastAsia="zh-CN"/>
        </w:rPr>
        <w:t xml:space="preserve">   </w:t>
      </w:r>
      <w:r>
        <w:rPr>
          <w:rFonts w:hint="eastAsia" w:ascii="仿宋_GB2312" w:hAnsi="仿宋_GB2312" w:eastAsia="仿宋_GB2312" w:cs="仿宋_GB2312"/>
          <w:bCs/>
          <w:kern w:val="0"/>
          <w:sz w:val="32"/>
          <w:szCs w:val="32"/>
          <w:highlight w:val="none"/>
          <w:u w:val="none"/>
          <w:lang w:val="en-US" w:eastAsia="zh-CN" w:bidi="ar-SA"/>
        </w:rPr>
        <w:t>2.市林业科学研究院。2021年当年支出539.17万元。其中，基本支出427.74万元，项目支出111.43万元。</w:t>
      </w:r>
    </w:p>
    <w:p>
      <w:pPr>
        <w:ind w:firstLine="64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en-US" w:eastAsia="zh-CN" w:bidi="ar-SA"/>
        </w:rPr>
        <w:t>3.市国营中心苗圃。2021年当年支出427.06万元。其中，基本支出283.62万元，项目支出143.44万元。</w:t>
      </w:r>
    </w:p>
    <w:p>
      <w:pPr>
        <w:pStyle w:val="13"/>
        <w:ind w:left="0" w:leftChars="0" w:firstLine="64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en-US" w:eastAsia="zh-CN" w:bidi="ar-SA"/>
        </w:rPr>
        <w:t>4.市国有林场。2021年当年支出598.49万元。其中，基本支出371.05万元，项目支出227.44万元。</w:t>
      </w:r>
    </w:p>
    <w:p>
      <w:pPr>
        <w:pStyle w:val="13"/>
        <w:ind w:left="0" w:leftChars="0" w:firstLine="640" w:firstLineChars="200"/>
        <w:rPr>
          <w:rFonts w:hint="eastAsia" w:ascii="仿宋_GB2312" w:hAnsi="仿宋_GB2312" w:eastAsia="仿宋_GB2312" w:cs="仿宋_GB2312"/>
          <w:bCs/>
          <w:kern w:val="0"/>
          <w:sz w:val="32"/>
          <w:szCs w:val="32"/>
          <w:highlight w:val="none"/>
          <w:u w:val="none"/>
          <w:lang w:val="en-US" w:eastAsia="zh-CN" w:bidi="ar-SA"/>
        </w:rPr>
      </w:pPr>
      <w:r>
        <w:rPr>
          <w:rFonts w:hint="eastAsia" w:ascii="仿宋_GB2312" w:hAnsi="仿宋_GB2312" w:eastAsia="仿宋_GB2312" w:cs="仿宋_GB2312"/>
          <w:bCs/>
          <w:kern w:val="0"/>
          <w:sz w:val="32"/>
          <w:szCs w:val="32"/>
          <w:highlight w:val="none"/>
          <w:u w:val="none"/>
          <w:lang w:val="en-US" w:eastAsia="zh-CN" w:bidi="ar-SA"/>
        </w:rPr>
        <w:t>5.市自然保护地工作站。2021年当年支出150.51万元。其中，基本支出148.51万元，项目支出2万元。</w:t>
      </w:r>
    </w:p>
    <w:p>
      <w:pPr>
        <w:pStyle w:val="13"/>
        <w:ind w:left="0" w:leftChars="0" w:firstLine="640" w:firstLineChars="200"/>
        <w:rPr>
          <w:rFonts w:hint="default"/>
          <w:lang w:val="en-US" w:eastAsia="zh-CN"/>
        </w:rPr>
      </w:pPr>
      <w:r>
        <w:rPr>
          <w:rFonts w:hint="eastAsia" w:ascii="仿宋_GB2312" w:hAnsi="仿宋_GB2312" w:eastAsia="仿宋_GB2312" w:cs="仿宋_GB2312"/>
          <w:bCs/>
          <w:kern w:val="0"/>
          <w:sz w:val="32"/>
          <w:szCs w:val="32"/>
          <w:highlight w:val="none"/>
          <w:u w:val="none"/>
          <w:lang w:val="en-US" w:eastAsia="zh-CN" w:bidi="ar-SA"/>
        </w:rPr>
        <w:t>6.四川南河国家湿地公园管理中心。2021年当年支出210.16万元。其中，基本支出210.16万元，项目支出0万元。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shd w:val="clear" w:color="auto" w:fill="FFFFFF"/>
        </w:rPr>
        <w:t>三、</w:t>
      </w:r>
      <w:r>
        <w:rPr>
          <w:rFonts w:hint="eastAsia" w:ascii="仿宋_GB2312" w:hAnsi="仿宋_GB2312" w:eastAsia="仿宋_GB2312" w:cs="仿宋_GB2312"/>
          <w:color w:val="000000"/>
          <w:kern w:val="0"/>
          <w:sz w:val="32"/>
          <w:szCs w:val="32"/>
          <w:u w:val="none"/>
          <w:shd w:val="clear" w:color="auto" w:fill="FFFFFF"/>
        </w:rPr>
        <w:t>部门整体预算绩效管理情况</w:t>
      </w:r>
    </w:p>
    <w:p>
      <w:pPr>
        <w:keepNext w:val="0"/>
        <w:keepLines w:val="0"/>
        <w:pageBreakBefore w:val="0"/>
        <w:widowControl/>
        <w:numPr>
          <w:ilvl w:val="0"/>
          <w:numId w:val="4"/>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部门预算项目绩效管理</w:t>
      </w:r>
    </w:p>
    <w:p>
      <w:pPr>
        <w:pStyle w:val="6"/>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1.科学目标制定</w:t>
      </w:r>
      <w:r>
        <w:rPr>
          <w:rFonts w:hint="eastAsia" w:ascii="仿宋_GB2312" w:hAnsi="仿宋_GB2312" w:eastAsia="仿宋_GB2312" w:cs="仿宋_GB2312"/>
          <w:sz w:val="32"/>
          <w:szCs w:val="32"/>
          <w:lang w:val="en" w:eastAsia="zh-CN"/>
        </w:rPr>
        <w:t>。一是在预算编制时贯彻落实中央关于林业工作的方针政策和省委、市委决策部署，资金预算合规、科学、合理的同时，把预算、绩效和林业改革发展工作深度融合。二是履行预算绩效设立审核程序，经集体决策后合理纳入预算。</w:t>
      </w:r>
      <w:r>
        <w:rPr>
          <w:rFonts w:hint="eastAsia" w:ascii="仿宋_GB2312" w:hAnsi="仿宋_GB2312" w:eastAsia="仿宋_GB2312" w:cs="仿宋_GB2312"/>
          <w:sz w:val="32"/>
          <w:szCs w:val="32"/>
          <w:lang w:val="en-US" w:eastAsia="zh-CN"/>
        </w:rPr>
        <w:t>三是细化量化项目绩效目标，编制预算时对科室申报的预算项目进行全面梳理、严把审核关，合理保障，所有项目必须有明细的资金测算。四是对无具体内容，无明细支出测算的，或支出测算不够细化的项目，一律不予安排。编制部门预算时同步编制绩效目标，我局绩效目标管理覆盖率达100%。</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2.严格过程管理</w:t>
      </w:r>
      <w:r>
        <w:rPr>
          <w:rFonts w:hint="eastAsia" w:ascii="仿宋_GB2312" w:hAnsi="仿宋_GB2312" w:eastAsia="仿宋_GB2312" w:cs="仿宋_GB2312"/>
          <w:sz w:val="32"/>
          <w:szCs w:val="32"/>
          <w:lang w:val="en" w:eastAsia="zh-CN"/>
        </w:rPr>
        <w:t>。一是</w:t>
      </w:r>
      <w:r>
        <w:rPr>
          <w:rFonts w:hint="eastAsia" w:ascii="仿宋_GB2312" w:hAnsi="仿宋_GB2312" w:eastAsia="仿宋_GB2312" w:cs="仿宋_GB2312"/>
          <w:sz w:val="32"/>
          <w:szCs w:val="32"/>
          <w:lang w:val="en-US" w:eastAsia="zh-CN"/>
        </w:rPr>
        <w:t>对照年初制定的目标对项目进度、预算执行、投入产出、各项效益的阶段性完成情况实施监控。二是明确项目牵头科室，落实预算执行主体，负责实现项目绩效目标。三是定期对目标绩效有偏差的项目进行监督检查和纠偏处理。四是部门日常公用经费、项目支出中“办公费、印刷费、水费、电费、物业管理费”等科目等年初预算数与决算数持平。五是部门预算执行进度在6、9、11月达到序时进度的80%、90%、90%，即实际支出达到40%、67.5%、82.5%。</w:t>
      </w:r>
    </w:p>
    <w:p>
      <w:pPr>
        <w:pStyle w:val="6"/>
        <w:keepNext w:val="0"/>
        <w:keepLines w:val="0"/>
        <w:pageBreakBefore w:val="0"/>
        <w:widowControl w:val="0"/>
        <w:numPr>
          <w:ilvl w:val="0"/>
          <w:numId w:val="0"/>
        </w:numPr>
        <w:kinsoku/>
        <w:wordWrap/>
        <w:overflowPunct/>
        <w:topLinePunct w:val="0"/>
        <w:bidi w:val="0"/>
        <w:adjustRightInd/>
        <w:snapToGrid/>
        <w:spacing w:after="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目标全面完成。2021年，在市委、市政府的坚强领导下，市林业局以巩固拓展脱贫攻坚成果同乡村振兴有效衔接为主线，以林业产业高质量发展为主题，以改革创新为动力，以全面推行林长制为抓手，通过对绩效目标的全链条化管理，全面实现预期目标。</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（1）人员类目标实现情况。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我局人员类经费用于职工工资、绩效发放，“五险一金”等缴纳，切实保障职工利益。经费使用符合国家财经法规，遵守财务管理制度以及有关项目资金管理办法的规定，加强自身队伍建设，做好日常工作，打造一流服务团队，提高职工满意度，确保资金效益得到充分发挥。</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ascii="Noto Sans CJK SC" w:hAnsi="Noto Sans CJK SC" w:eastAsia="Noto Sans CJK SC" w:cs="Noto Sans CJK SC"/>
          <w:i w:val="0"/>
          <w:caps w:val="0"/>
          <w:color w:val="121212"/>
          <w:spacing w:val="0"/>
          <w:kern w:val="0"/>
          <w:sz w:val="27"/>
          <w:szCs w:val="27"/>
          <w:shd w:val="clear" w:fill="FFFFFF"/>
          <w:lang w:val="en-US" w:eastAsia="zh-CN" w:bidi="ar"/>
        </w:rPr>
      </w:pPr>
      <w:r>
        <w:rPr>
          <w:rFonts w:hint="eastAsia" w:ascii="仿宋_GB2312" w:hAnsi="仿宋_GB2312" w:eastAsia="仿宋_GB2312" w:cs="仿宋_GB2312"/>
          <w:sz w:val="32"/>
          <w:szCs w:val="32"/>
          <w:u w:val="none"/>
          <w:lang w:val="en-US" w:eastAsia="zh-CN"/>
        </w:rPr>
        <w:t>（2）运转类目标实现情况。</w:t>
      </w:r>
    </w:p>
    <w:p>
      <w:pPr>
        <w:keepNext w:val="0"/>
        <w:keepLines w:val="0"/>
        <w:widowControl/>
        <w:suppressLineNumbers w:val="0"/>
        <w:ind w:firstLine="640" w:firstLineChars="200"/>
        <w:jc w:val="left"/>
        <w:rPr>
          <w:rFonts w:hint="eastAsia"/>
          <w:lang w:val="en-US" w:eastAsia="zh-CN"/>
        </w:rPr>
      </w:pPr>
      <w:r>
        <w:rPr>
          <w:rFonts w:hint="eastAsia" w:ascii="仿宋_GB2312" w:hAnsi="仿宋_GB2312" w:eastAsia="仿宋_GB2312" w:cs="仿宋_GB2312"/>
          <w:b w:val="0"/>
          <w:bCs w:val="0"/>
          <w:color w:val="auto"/>
          <w:kern w:val="0"/>
          <w:sz w:val="32"/>
          <w:szCs w:val="32"/>
          <w:lang w:val="en-US" w:eastAsia="zh-CN"/>
        </w:rPr>
        <w:t>我局从严落实厉行节约反对浪费和长期过紧日子有关要求,从严控制一般性支出预算。根据财政部门要求，大力压减“三公”经费支出，严格执行相关支出标准，严禁超预算、超标准列支“三公”经费。严格控制会议和培训的数量、时间、规模及列支范围和标准，严格履行报批程序。加强差旅管理，严格执行差旅费规定制度。优化办公家具、办公设备等资产的配置和使用，通过调剂方式盘活存量资产，节约购置资金。维护我局正常运转，各项工作有序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（3）特定目标类</w:t>
      </w:r>
      <w:r>
        <w:rPr>
          <w:rFonts w:hint="eastAsia" w:ascii="仿宋_GB2312" w:hAnsi="仿宋_GB2312" w:eastAsia="仿宋_GB2312" w:cs="仿宋_GB2312"/>
          <w:sz w:val="32"/>
          <w:szCs w:val="32"/>
          <w:u w:val="none"/>
          <w:lang w:val="en-US" w:eastAsia="zh-CN"/>
        </w:rPr>
        <w:t>目标实现情况</w:t>
      </w:r>
      <w:r>
        <w:rPr>
          <w:rFonts w:hint="eastAsia" w:ascii="仿宋_GB2312" w:hAnsi="仿宋_GB2312" w:eastAsia="仿宋_GB2312" w:cs="仿宋_GB2312"/>
          <w:sz w:val="32"/>
          <w:szCs w:val="32"/>
          <w:lang w:val="en-US" w:eastAsia="zh-CN"/>
        </w:rPr>
        <w:t>。</w:t>
      </w:r>
    </w:p>
    <w:p>
      <w:pPr>
        <w:pStyle w:val="6"/>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①现代林业产业项目目标实现情况。完成年度预期目标任务。核桃、油橄榄两大全产业链协调发展，森林蔬菜（含笋用竹）、森林康养旅游、林下经济、珍稀林木花卉、林板加工5个特色产业统筹推进，“2+5”现代林业产业体系逐步完善，助推现代特色农业“一区两带七集群”建设，实现林业总产值257亿元，全市农民人均从林业产业获得收入达到3500元。实现巩固拓展脱贫攻坚成果与乡村振兴有效衔接。  </w:t>
      </w:r>
    </w:p>
    <w:p>
      <w:pPr>
        <w:pStyle w:val="6"/>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②生态保护修复工作经费项目目标实现情况。指导和督促各县区及直属单位全年完成营造林46.57万亩。组织开展好全民义务植树活动尽责率达93.48%。抓好天保工程实施，有效管护国有林80.11万亩，实施生态效益补偿兑现624.39万亩，天然商品林停伐管护补助兑现175.63万亩。全面巩固退耕还林成果104.11万亩，完成退耕还林直补资金兑现工作。大力推进生态就业，将生态护林员纳入即报系统（DPS）进行可视化、精细化管理，选（续）聘生态护林员6710人。全面完成古树名木挂牌，深入推动《四川省古树名木保护条例》实施，印发《广元市古树名木保护实施方案》，有效保护古树名木10817株。开展野生动植物保护，加强森林资源管护，坚守生态安全，全面完成“双增长”年度目标任务。  </w:t>
      </w:r>
    </w:p>
    <w:p>
      <w:pPr>
        <w:pStyle w:val="6"/>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世界银行贷款长江流域上游森林生态系统恢复项目管理工作经费项目目标实现情况。参与项目立项研究论证，就项目内容、规模、技术、市场等为同级财政部门提供立项咨询意见；成立项目建设推进工作组，按照贷款方或赠款方及国内相关制度要求，督导项目项目县区进行项目准备，协调解决土地整理、苗木准备、农户参与等问题，开展政策指导和专项业务培训；按照贷款方或赠款方及国内相关制度要求，协调推进项目执行，督促项目县区定期向同级财政部门汇总报送项目进度报告、财务报告和完工报告；组织项目县区开展项目绩效评价，总结推广项目先进技术、创新模式和管理经验，青川县项目专题会、剑阁县三举措把牢世行项目建设质量关等经验被省林草局官网采纳；协助世行检查组开展项目检查，协助省审计厅开展世行项目2019至2020财务收支和项目执行情况审计并督促完成整改等；2021年完成营造林22810.73公顷，占年度任务的115%；开展政策专项业务培训690人次；对标支付指标，严把建设质量，严格执行提款流程，2021年提款报账9725325.65欧元，累计提款报账占承贷金额的71%。</w:t>
      </w:r>
    </w:p>
    <w:p>
      <w:pPr>
        <w:pStyle w:val="6"/>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剑门蜀道保护条例立法工作经费项目目标实现情况。按照市七届人大五年立法计划安排，《条例》列为了市人大常委会2021年立法工作计划。市政府于2020年11月成立了以市政府副市长为组长的立法工作起草领导小组，明确由市林业局牵头，会同市司法局、市文广旅局共同起草。2020年11月，市林业局联同相关部门成立工作专班，制定工作方案，推进《条例》起草工作。市人大常委会领导及相关部门提前参与指导，时任副市长多次召集相关县区和市级部门召开专题会组织研究。《条例》草案先后20余次组织讨论和征求相关市级部门和涉及的4个县、区政府意见，经过综合各方面意见充分讨论和研究修改，由市司法局组织立法专家论证修改完善。2021年4月23日，七届市人民政府第115次常务会议讨论通过，并报送市人大常委会。4月28日，市七届人大常委会第三十五次会议初审通过了《广元市剑门蜀道保护条例（草案）》。8月24日广元市第七届人民代表大会常务委员会第三十八次会议通过。9月29日四川省第十三届人民代表大会常务委员会第三十次会议批准，自2022年1月1日起施行。</w:t>
      </w:r>
    </w:p>
    <w:p>
      <w:pPr>
        <w:pStyle w:val="6"/>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 林业有害生物防治项目目标实现情况。2021年，我市坚持“预防为主，科学治理，依法监管，强化责任”的方针，全面完成了蜀柏毒蛾、云南松毛虫等林业有害生物监测防治工作，扎实开展了松材线虫病专项普查、日常监测、病枯死松树除治工作和红火蚁疫情防治工作，深入开展了林业植物产地检疫、调运检疫、复检工作，有效遏制了松材线虫病和红火蚁疫情扩散蔓延，确保了全市森林资源、林业生产和人民生命财产安全。林业有害生物防治辖区居民满意度达95%。</w:t>
      </w:r>
      <w:r>
        <w:rPr>
          <w:rFonts w:hint="eastAsia" w:ascii="仿宋_GB2312" w:hAnsi="仿宋_GB2312" w:eastAsia="仿宋_GB2312" w:cs="仿宋_GB2312"/>
          <w:sz w:val="32"/>
          <w:szCs w:val="32"/>
          <w:lang w:val="zh-CN" w:eastAsia="zh-CN"/>
        </w:rPr>
        <w:t>本项目完成了全市松林资源的松材线虫病疫情监测普查，监测面积达504.9万亩，</w:t>
      </w:r>
      <w:r>
        <w:rPr>
          <w:rFonts w:hint="eastAsia" w:ascii="仿宋_GB2312" w:hAnsi="仿宋_GB2312" w:eastAsia="仿宋_GB2312" w:cs="仿宋_GB2312"/>
          <w:sz w:val="32"/>
          <w:szCs w:val="32"/>
          <w:lang w:val="en-US" w:eastAsia="zh-CN"/>
        </w:rPr>
        <w:t>监测覆盖率达100%，第一时间发现枯死松树，第一时间取样送检，枯死松树原因鉴定准确率达100%；彻底查清了全市松材线虫病发生情况及病枯死松树分布情况，为下一步防控措施提供了科学依据和技术支撑。2021年全市共发现枯死松树15351株，松材线虫病发生面积1395亩，年底全市累计除治病死、枯死和濒死松木共30101株，媒介昆虫防治面积7.1万亩，及时有效控制了松材线虫病扩散蔓延。完成了广元经开区陵江社区红火蚁发生区域的疫情防治，2021年共开展5轮全面防控扑杀工作，累计防治林地面积2576亩，防治率达100%，疫情得到有效控制。截至年底，林地发生面积降为50亩，总体以轻度危害为主。完成了蜀柏毒蛾、云南松毛虫等主要林业有害生物的虫情调查；及时督导各县区开展蜀柏毒蛾、云南松毛虫等林业有害生物防治工作，并认真开展了防治成效核查工作，确保了有虫不成灾。2021年，全市林业有害生物成灾率为0.1‰，严格控制在3‰以内，无公害防治率达99.84%。完成了林业植物产地检疫、调运检疫、复检工作，2021年实施产地检疫苗木合格率达100%，苗木复检率达100%，未发现松材线虫病疑似症状的松木及其制品的情况，未出现因产地检疫程序不规范、检疫检验不准确而造成的公共事件。</w:t>
      </w:r>
    </w:p>
    <w:p>
      <w:pPr>
        <w:pStyle w:val="6"/>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帮扶工作专项经费项目目标实现情况。我局深入贯彻落实中央、省、市关于实现巩固拓展脱贫攻坚成果同乡村振兴有效衔接决策部署，进一步巩固拓展乡村振兴促进脱贫攻坚成果，围绕2021年度驻村帮扶工作计划，加强项目实施和资金监管，强化驻村帮扶工作成效，以扎实有效的工作，圆满实现了驻村帮扶工作村民满意、当地党委政府满意、帮扶干部满意目标。2021年，驻村工作队认真开展脱贫攻坚成果巩固及乡村振兴驻村帮扶工作，一是加强理论学习，提高驻村工作能力，强化队伍建设，锻造政治素质过硬、业务水平高的的驻村队伍。二是加强驻村管理，确保驻村工作质量。严格履行“建强基层组织、推进强村富民、提高治理水平、为民办事服务”等工作职责。严格落实驻村工作制度，强化驻村工作时间，确保驻村工作每月不少于20天。三是开展摸底调查，深入了解社情民意。累计走访脱贫户468户，非贫困户1441户。四是加强组织建设，配齐配强两委班子。五是加强防控宣传，协助新冠疫情防控。始终坚持“人民至上，生命至上”宗旨，严格落实防控政策，同村两委对外来人员和返乡村民进行登记造册，落实核酸检测，居家隔离等措施，组织好在家村民做好疫苗接种工作，确保不漏一户一人。六是加强隐患排查，协助抓好防灾减灾。七是加强技术培训，积极推进产业发展。组织新梁村引导培育贫困户及种养殖大户投身发展“女皇李”和“剑柑”等水果产业。八是加强消费帮扶，开展“以购代扶”工作。</w:t>
      </w:r>
    </w:p>
    <w:p>
      <w:pPr>
        <w:pStyle w:val="6"/>
        <w:numPr>
          <w:ilvl w:val="0"/>
          <w:numId w:val="0"/>
        </w:num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⑦森林防火专项经费项目目标实现情况。</w:t>
      </w:r>
      <w:r>
        <w:rPr>
          <w:rFonts w:hint="eastAsia" w:ascii="仿宋_GB2312" w:hAnsi="仿宋_GB2312" w:eastAsia="仿宋_GB2312" w:cs="仿宋_GB2312"/>
          <w:sz w:val="32"/>
          <w:szCs w:val="32"/>
          <w:lang w:val="zh-CN" w:eastAsia="zh-CN"/>
        </w:rPr>
        <w:t>累计排查整治火灾风险隐患7891个；组建地方专业扑火队伍6支300人；印发了《关于进一步加强护林员管理工作的通知》，全市共选聘生态护林员5000余名，加强日常巡护。会同应急管理部门组织开展森林防灭火综合应急演练9次，森林火灾扑救实战应急演练近80场次，累计参加演练指战员3000余人次，培训灭火指挥员1820名。一是广泛开展宣传教育。在报刊、电台、网站等平台开设宣传专栏20余个，利用全市1.66万个“村村响”应急广播每天定时播报；扎实开展中小学春秋季学期“开学第一课·森林防灭火”主题教育和“校园六个一”活动。二是聚焦重点区域重点人员加强宣传。在国有林场、自然保护地、旅游景区、城区周边、重点防火乡镇等重点林区的进山路口增设警示标牌2.7万余个、安装语音宣传杆232个、配置视频智能监控48套。对全市376个森林可燃物标准地和39个森林可燃物大样地进行外业调查，全面完成森林可燃物、减灾能力、历史火灾、野外火源四个调查任务。我市森林火灾损失率为0，有效保护了人民群众生命财产和森林资源安全。经过森林防火相关督查、宣传、演练、培训，及对森林消防车辆的定时维护，实现“打早、打小、打了”目标，全市森林火灾损失率为0。社会、群众满意度达到95%以上。</w:t>
      </w:r>
    </w:p>
    <w:p>
      <w:pPr>
        <w:pStyle w:val="6"/>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⑧行政执法监督项目目标实现情况。一是严格落实森林资源保护发展目标责任制。督促各县区人民政府完成2020年度森林资源保护发展目标责任制自查工作，代市政府草拟《广元市2020年度森林资源保护发展目标责任制执行情况的报告》并上报省政府；督促各县区对照目标，提前安排，认真落实，全面完成省政府下达市政府的2017-2021年森林资源保护发展任期目标任务。2021年新增森林覆盖率0.16个百分点、新增森林蓄积113万立方米，超额完成省政府下达新增森林蓄积72.9万立方米的目标任务。二是全面建成广元林长制责任体系。我市林长制工作按照省委省政府统一安排部署有序推进，市、县区均印发了全面落实林长制工作方案，初步建立起市、县、乡、村4级林长及村民小组网格员组织责任体系。三是扎实推进森林督查。及时向县区分发2021年森林督查影像及判读变化图斑数据库和2020年审核入库的森林资源管理“一张图”数据。督促各县区完成2021年森林督查及森林资源管理一张图更新工作，并收集、汇总相关数据。四是全面完成打击毁林专项行动。加强组织领导，制定《广元市打击毁林专项行动实施方案》，结合森林督查全面清理2013年以来各类破坏森林资源的问题。五严格林地用途管制，木材经营加工监督检查，积极引导节约集约使用林地资源，依法审批建设项目使用林地，严格规范林木采伐管理，共审核发放林木采伐许可证1.9万份，加强长期使用林地二次核查和临时占用林地的监督管理。</w:t>
      </w:r>
    </w:p>
    <w:p>
      <w:pPr>
        <w:pStyle w:val="6"/>
        <w:numPr>
          <w:ilvl w:val="0"/>
          <w:numId w:val="0"/>
        </w:num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⑨防火物资储备项目目标实现情况。</w:t>
      </w:r>
    </w:p>
    <w:p>
      <w:pPr>
        <w:pStyle w:val="6"/>
        <w:numPr>
          <w:ilvl w:val="0"/>
          <w:numId w:val="0"/>
        </w:numPr>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zh-CN" w:eastAsia="zh-CN"/>
        </w:rPr>
        <w:t>实际购置扑火队员防火服、防护头盔、阻燃手套各70套，有效保护了队员生命财产和森林资源安全。对全面提升我市森林防火、火灾扑救处置和物资保障能力，有效应对突</w:t>
      </w:r>
      <w:r>
        <w:rPr>
          <w:rFonts w:hint="eastAsia" w:ascii="仿宋_GB2312" w:hAnsi="仿宋_GB2312" w:eastAsia="仿宋_GB2312" w:cs="仿宋_GB2312"/>
          <w:sz w:val="32"/>
          <w:szCs w:val="32"/>
          <w:u w:val="none"/>
          <w:lang w:val="zh-CN" w:eastAsia="zh-CN"/>
        </w:rPr>
        <w:t>发事件，巩固全市生态建设成果将发挥积极作用。</w:t>
      </w:r>
      <w:r>
        <w:rPr>
          <w:rFonts w:hint="eastAsia" w:ascii="仿宋_GB2312" w:hAnsi="仿宋_GB2312" w:eastAsia="仿宋_GB2312" w:cs="仿宋_GB2312"/>
          <w:sz w:val="32"/>
          <w:szCs w:val="32"/>
          <w:u w:val="none"/>
          <w:lang w:val="en-US" w:eastAsia="zh-CN"/>
        </w:rPr>
        <w:t xml:space="preserve">   </w:t>
      </w:r>
    </w:p>
    <w:p>
      <w:pPr>
        <w:pStyle w:val="6"/>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4.资金安全高效。</w:t>
      </w:r>
    </w:p>
    <w:p>
      <w:pPr>
        <w:pStyle w:val="6"/>
        <w:numPr>
          <w:ilvl w:val="0"/>
          <w:numId w:val="0"/>
        </w:numPr>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color w:val="000000"/>
          <w:kern w:val="0"/>
          <w:sz w:val="32"/>
          <w:szCs w:val="32"/>
          <w:shd w:val="clear" w:color="auto" w:fill="FFFFFF"/>
          <w:lang w:val="en-US" w:eastAsia="zh-CN"/>
        </w:rPr>
        <w:t>我局</w:t>
      </w:r>
      <w:r>
        <w:rPr>
          <w:rFonts w:hint="eastAsia" w:ascii="仿宋_GB2312" w:hAnsi="仿宋_GB2312" w:eastAsia="仿宋_GB2312" w:cs="仿宋_GB2312"/>
          <w:bCs/>
          <w:kern w:val="0"/>
          <w:sz w:val="32"/>
          <w:szCs w:val="32"/>
          <w:highlight w:val="none"/>
          <w:u w:val="none"/>
          <w:lang w:val="en-US" w:eastAsia="zh-CN"/>
        </w:rPr>
        <w:t>2021年当年收入</w:t>
      </w:r>
      <w:r>
        <w:rPr>
          <w:rFonts w:hint="eastAsia" w:ascii="仿宋_GB2312" w:hAnsi="仿宋_GB2312" w:eastAsia="仿宋_GB2312" w:cs="仿宋_GB2312"/>
          <w:bCs/>
          <w:kern w:val="0"/>
          <w:sz w:val="32"/>
          <w:szCs w:val="32"/>
          <w:highlight w:val="none"/>
          <w:u w:val="none"/>
          <w:lang w:val="en-US" w:eastAsia="zh-CN" w:bidi="ar-SA"/>
        </w:rPr>
        <w:t>2806.65，当年</w:t>
      </w:r>
      <w:r>
        <w:rPr>
          <w:rFonts w:hint="eastAsia" w:ascii="仿宋_GB2312" w:hAnsi="仿宋_GB2312" w:eastAsia="仿宋_GB2312" w:cs="仿宋_GB2312"/>
          <w:bCs/>
          <w:kern w:val="0"/>
          <w:sz w:val="32"/>
          <w:szCs w:val="32"/>
          <w:highlight w:val="none"/>
          <w:u w:val="none"/>
          <w:lang w:val="en-US" w:eastAsia="zh-CN"/>
        </w:rPr>
        <w:t>支出2642.53万元，</w:t>
      </w:r>
      <w:r>
        <w:rPr>
          <w:rFonts w:hint="eastAsia" w:ascii="仿宋_GB2312" w:hAnsi="仿宋_GB2312" w:eastAsia="仿宋_GB2312" w:cs="仿宋_GB2312"/>
          <w:color w:val="000000"/>
          <w:kern w:val="0"/>
          <w:sz w:val="32"/>
          <w:szCs w:val="32"/>
          <w:shd w:val="clear" w:color="auto" w:fill="FFFFFF"/>
          <w:lang w:val="en-US" w:eastAsia="zh-CN"/>
        </w:rPr>
        <w:t>支付率94.15%。</w:t>
      </w:r>
      <w:r>
        <w:rPr>
          <w:rFonts w:hint="eastAsia" w:ascii="仿宋_GB2312" w:hAnsi="仿宋_GB2312" w:eastAsia="仿宋_GB2312" w:cs="仿宋_GB2312"/>
          <w:sz w:val="32"/>
          <w:szCs w:val="32"/>
          <w:lang w:val="en-US" w:eastAsia="zh-CN"/>
        </w:rPr>
        <w:t>预算资金支出控制好，执行进度符合预期，无低效无效率预算资金，根据</w:t>
      </w:r>
      <w:r>
        <w:rPr>
          <w:rFonts w:hint="eastAsia" w:ascii="仿宋_GB2312" w:hAnsi="仿宋_GB2312" w:eastAsia="仿宋_GB2312" w:cs="仿宋_GB2312"/>
          <w:color w:val="000000"/>
          <w:kern w:val="0"/>
          <w:sz w:val="32"/>
          <w:szCs w:val="32"/>
          <w:shd w:val="clear" w:color="auto" w:fill="FFFFFF"/>
          <w:lang w:val="en-US" w:eastAsia="zh-CN"/>
        </w:rPr>
        <w:t xml:space="preserve">审计监督、财政检查结果，2021年度部门预算管理方面不存在违纪违规问题。 </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（二）结果应用情况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lang w:val="zh-CN" w:eastAsia="zh-CN"/>
        </w:rPr>
      </w:pPr>
      <w:r>
        <w:rPr>
          <w:rFonts w:hint="eastAsia" w:ascii="仿宋_GB2312" w:hAnsi="仿宋_GB2312" w:eastAsia="仿宋_GB2312" w:cs="仿宋_GB2312"/>
          <w:sz w:val="32"/>
          <w:szCs w:val="32"/>
          <w:lang w:val="en" w:eastAsia="zh-CN"/>
        </w:rPr>
        <w:t>一是</w:t>
      </w:r>
      <w:r>
        <w:rPr>
          <w:rFonts w:hint="eastAsia" w:ascii="仿宋_GB2312" w:hAnsi="仿宋_GB2312" w:eastAsia="仿宋_GB2312" w:cs="仿宋_GB2312"/>
          <w:sz w:val="32"/>
          <w:szCs w:val="32"/>
        </w:rPr>
        <w:t>按要求将绩效目标随同部门年初预算同步公开，将绩效目标完成情况、部门整体支出绩效评价自评报告等绩效信息随同部门年终决算公开</w:t>
      </w:r>
      <w:r>
        <w:rPr>
          <w:rFonts w:hint="eastAsia" w:ascii="仿宋_GB2312" w:hAnsi="仿宋_GB2312" w:eastAsia="仿宋_GB2312" w:cs="仿宋_GB2312"/>
          <w:sz w:val="32"/>
          <w:szCs w:val="32"/>
          <w:lang w:val="en" w:eastAsia="zh-CN"/>
        </w:rPr>
        <w:t>。二</w:t>
      </w:r>
      <w:r>
        <w:rPr>
          <w:rFonts w:hint="eastAsia" w:ascii="仿宋_GB2312" w:hAnsi="仿宋_GB2312" w:eastAsia="仿宋_GB2312" w:cs="仿宋_GB2312"/>
          <w:sz w:val="32"/>
          <w:szCs w:val="32"/>
          <w:lang w:val="en-US" w:eastAsia="zh-CN"/>
        </w:rPr>
        <w:t>注重结果运用，将绩效评价结果作为以后年度预算申请、安排、分配的重要依据。三是将相关科室、直属单位预算绩效管理工作纳入部门年度考核。四是在普遍开展单位自我评价基础上，选择一些社会关注度高、涉及面广、金额较大的项目开展再评价，并逐步扩大再评价范围和数量。五是在绩效管理过程中（包括绩效目标核查、绩效监控核查和重点绩效评价）我局未出现需要整改反馈的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（三）自评质量</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部门整体支出、政策支出和项目支出绩效评价等自评报告质量好，基本格式规范。内容完整、分析全面、观点客观、建议举措操作可行。绩效目标自评准确。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u w:val="none"/>
          <w:shd w:val="clear" w:color="auto" w:fill="FFFFFF"/>
        </w:rPr>
      </w:pPr>
      <w:r>
        <w:rPr>
          <w:rFonts w:hint="eastAsia" w:ascii="仿宋_GB2312" w:hAnsi="仿宋_GB2312" w:eastAsia="仿宋_GB2312" w:cs="仿宋_GB2312"/>
          <w:color w:val="000000"/>
          <w:kern w:val="0"/>
          <w:sz w:val="32"/>
          <w:szCs w:val="32"/>
          <w:u w:val="none"/>
          <w:shd w:val="clear" w:color="auto" w:fill="FFFFFF"/>
        </w:rPr>
        <w:t>四、评价结论及建议</w:t>
      </w:r>
    </w:p>
    <w:p>
      <w:pPr>
        <w:spacing w:line="576"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按照《2022年市级专项预算项目支出绩效评价指标体系》，自评得分</w:t>
      </w:r>
      <w:r>
        <w:rPr>
          <w:rFonts w:hint="eastAsia" w:ascii="仿宋_GB2312" w:hAnsi="仿宋_GB2312" w:eastAsia="仿宋_GB2312" w:cs="仿宋_GB2312"/>
          <w:color w:val="auto"/>
          <w:sz w:val="32"/>
          <w:szCs w:val="32"/>
          <w:u w:val="none"/>
          <w:lang w:val="en-US" w:eastAsia="zh-CN"/>
        </w:rPr>
        <w:t>99.5分</w:t>
      </w:r>
      <w:r>
        <w:rPr>
          <w:rFonts w:hint="eastAsia" w:ascii="仿宋_GB2312" w:hAnsi="仿宋_GB2312" w:eastAsia="仿宋_GB2312" w:cs="仿宋_GB2312"/>
          <w:color w:val="auto"/>
          <w:sz w:val="32"/>
          <w:szCs w:val="32"/>
          <w:lang w:val="en-US" w:eastAsia="zh-CN"/>
        </w:rPr>
        <w:t>。我局</w:t>
      </w:r>
      <w:r>
        <w:rPr>
          <w:rFonts w:hint="eastAsia" w:ascii="仿宋_GB2312" w:hAnsi="仿宋_GB2312" w:eastAsia="仿宋_GB2312" w:cs="仿宋_GB2312"/>
          <w:bCs/>
          <w:kern w:val="0"/>
          <w:sz w:val="32"/>
          <w:szCs w:val="32"/>
          <w:lang w:val="en-US" w:eastAsia="zh-CN"/>
        </w:rPr>
        <w:t>严格执行财经法律、法规和各项财务规章制度，加强财务管理，规范会计核算，资金高效运行。</w:t>
      </w:r>
      <w:r>
        <w:rPr>
          <w:rFonts w:hint="eastAsia" w:ascii="仿宋_GB2312" w:hAnsi="仿宋_GB2312" w:eastAsia="仿宋_GB2312" w:cs="仿宋_GB2312"/>
          <w:color w:val="auto"/>
          <w:sz w:val="32"/>
          <w:szCs w:val="32"/>
          <w:lang w:val="en-US" w:eastAsia="zh-CN"/>
        </w:rPr>
        <w:t>项目决策科学，依据充分，项目管理规范；绩效执行进度预期，预算</w:t>
      </w:r>
      <w:r>
        <w:rPr>
          <w:rFonts w:hint="eastAsia" w:ascii="仿宋_GB2312" w:hAnsi="仿宋_GB2312" w:eastAsia="仿宋_GB2312" w:cs="仿宋_GB2312"/>
          <w:sz w:val="32"/>
          <w:szCs w:val="32"/>
          <w:lang w:val="en-US" w:eastAsia="zh-CN"/>
        </w:rPr>
        <w:t>匹配</w:t>
      </w:r>
      <w:r>
        <w:rPr>
          <w:rFonts w:hint="eastAsia" w:ascii="仿宋_GB2312" w:hAnsi="仿宋_GB2312" w:eastAsia="仿宋_GB2312" w:cs="仿宋_GB2312"/>
          <w:color w:val="auto"/>
          <w:sz w:val="32"/>
          <w:szCs w:val="32"/>
          <w:lang w:val="en-US" w:eastAsia="zh-CN"/>
        </w:rPr>
        <w:t>；项目完成效果好，实施后达到了预期目的，促进了广元林业事业的发展。</w:t>
      </w:r>
    </w:p>
    <w:p>
      <w:pPr>
        <w:keepNext w:val="0"/>
        <w:keepLines w:val="0"/>
        <w:pageBreakBefore w:val="0"/>
        <w:widowControl w:val="0"/>
        <w:numPr>
          <w:ilvl w:val="0"/>
          <w:numId w:val="4"/>
        </w:numPr>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建议意见</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建议进一步加强对预算绩效管理工作的培训和指导，进一步优化项目绩效考核指标体系。</w:t>
      </w:r>
    </w:p>
    <w:p>
      <w:pPr>
        <w:pStyle w:val="36"/>
        <w:rPr>
          <w:rFonts w:hint="eastAsia" w:ascii="仿宋_GB2312" w:hAnsi="仿宋_GB2312" w:eastAsia="仿宋_GB2312" w:cs="仿宋_GB2312"/>
          <w:lang w:eastAsia="zh-CN"/>
        </w:rPr>
      </w:pPr>
    </w:p>
    <w:p>
      <w:pPr>
        <w:pStyle w:val="36"/>
        <w:rPr>
          <w:rFonts w:hint="eastAsia" w:ascii="仿宋_GB2312" w:hAnsi="仿宋_GB2312" w:eastAsia="仿宋_GB2312" w:cs="仿宋_GB2312"/>
          <w:lang w:eastAsia="zh-CN"/>
        </w:rPr>
      </w:pPr>
    </w:p>
    <w:p>
      <w:pPr>
        <w:pStyle w:val="36"/>
        <w:rPr>
          <w:rFonts w:hint="eastAsia" w:ascii="仿宋_GB2312" w:hAnsi="仿宋_GB2312" w:eastAsia="仿宋_GB2312" w:cs="仿宋_GB2312"/>
          <w:lang w:eastAsia="zh-CN"/>
        </w:rPr>
      </w:pPr>
    </w:p>
    <w:p>
      <w:pPr>
        <w:spacing w:line="576" w:lineRule="exact"/>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广元市林业局</w:t>
      </w:r>
    </w:p>
    <w:p>
      <w:pPr>
        <w:pStyle w:val="6"/>
        <w:rPr>
          <w:rFonts w:hint="eastAsia" w:ascii="仿宋_GB2312" w:hAnsi="仿宋_GB2312" w:eastAsia="仿宋_GB2312" w:cs="仿宋_GB2312"/>
        </w:rPr>
      </w:pPr>
      <w:r>
        <w:rPr>
          <w:rFonts w:hint="eastAsia" w:ascii="仿宋_GB2312" w:hAnsi="仿宋_GB2312" w:eastAsia="仿宋_GB2312" w:cs="仿宋_GB2312"/>
          <w:bCs/>
          <w:kern w:val="0"/>
          <w:sz w:val="32"/>
          <w:szCs w:val="32"/>
          <w:lang w:val="en-US" w:eastAsia="zh-CN"/>
        </w:rPr>
        <w:t xml:space="preserve">                                   </w:t>
      </w:r>
    </w:p>
    <w:p>
      <w:pPr>
        <w:pStyle w:val="13"/>
        <w:rPr>
          <w:rFonts w:hint="eastAsia" w:ascii="仿宋_GB2312" w:hAnsi="仿宋_GB2312" w:eastAsia="仿宋_GB2312" w:cs="仿宋_GB2312"/>
        </w:rPr>
      </w:pPr>
    </w:p>
    <w:p>
      <w:pPr>
        <w:rPr>
          <w:rFonts w:hint="eastAsia" w:ascii="仿宋_GB2312" w:hAnsi="仿宋_GB2312" w:eastAsia="仿宋_GB2312" w:cs="仿宋_GB2312"/>
        </w:rPr>
      </w:pPr>
    </w:p>
    <w:p>
      <w:pPr>
        <w:pStyle w:val="13"/>
        <w:rPr>
          <w:rFonts w:hint="eastAsia" w:ascii="仿宋_GB2312" w:hAnsi="仿宋_GB2312" w:eastAsia="仿宋_GB2312" w:cs="仿宋_GB2312"/>
        </w:rPr>
      </w:pPr>
    </w:p>
    <w:p>
      <w:pPr>
        <w:rPr>
          <w:rFonts w:hint="eastAsia" w:ascii="仿宋_GB2312" w:hAnsi="仿宋_GB2312" w:eastAsia="仿宋_GB2312" w:cs="仿宋_GB2312"/>
        </w:rPr>
      </w:pPr>
    </w:p>
    <w:p>
      <w:pPr>
        <w:pStyle w:val="13"/>
        <w:rPr>
          <w:rFonts w:hint="eastAsia" w:ascii="仿宋_GB2312" w:hAnsi="仿宋_GB2312" w:eastAsia="仿宋_GB2312" w:cs="仿宋_GB2312"/>
        </w:rPr>
      </w:pPr>
    </w:p>
    <w:p>
      <w:pPr>
        <w:rPr>
          <w:rFonts w:hint="eastAsia" w:ascii="仿宋_GB2312" w:hAnsi="仿宋_GB2312" w:eastAsia="仿宋_GB2312" w:cs="仿宋_GB2312"/>
        </w:rPr>
      </w:pPr>
    </w:p>
    <w:p>
      <w:pPr>
        <w:pStyle w:val="13"/>
        <w:rPr>
          <w:rFonts w:hint="eastAsia" w:ascii="仿宋_GB2312" w:hAnsi="仿宋_GB2312" w:eastAsia="仿宋_GB2312" w:cs="仿宋_GB2312"/>
        </w:rPr>
      </w:pPr>
    </w:p>
    <w:p>
      <w:pPr>
        <w:rPr>
          <w:rFonts w:hint="eastAsia" w:ascii="仿宋_GB2312" w:hAnsi="仿宋_GB2312" w:eastAsia="仿宋_GB2312" w:cs="仿宋_GB2312"/>
        </w:rPr>
      </w:pPr>
    </w:p>
    <w:p>
      <w:pPr>
        <w:pStyle w:val="13"/>
        <w:rPr>
          <w:rFonts w:hint="eastAsia" w:ascii="仿宋_GB2312" w:hAnsi="仿宋_GB2312" w:eastAsia="仿宋_GB2312" w:cs="仿宋_GB2312"/>
        </w:rPr>
      </w:pPr>
    </w:p>
    <w:p>
      <w:pPr>
        <w:rPr>
          <w:rFonts w:hint="eastAsia" w:ascii="仿宋_GB2312" w:hAnsi="仿宋_GB2312" w:eastAsia="仿宋_GB2312" w:cs="仿宋_GB2312"/>
        </w:rPr>
      </w:pPr>
    </w:p>
    <w:p>
      <w:pPr>
        <w:pStyle w:val="13"/>
        <w:rPr>
          <w:rFonts w:hint="eastAsia" w:ascii="仿宋_GB2312" w:hAnsi="仿宋_GB2312" w:eastAsia="仿宋_GB2312" w:cs="仿宋_GB2312"/>
        </w:rPr>
      </w:pPr>
    </w:p>
    <w:p>
      <w:pPr>
        <w:rPr>
          <w:rFonts w:hint="eastAsia" w:ascii="仿宋_GB2312" w:hAnsi="仿宋_GB2312" w:eastAsia="仿宋_GB2312" w:cs="仿宋_GB2312"/>
        </w:rPr>
      </w:pPr>
    </w:p>
    <w:p>
      <w:pPr>
        <w:pStyle w:val="13"/>
        <w:rPr>
          <w:rFonts w:hint="eastAsia" w:ascii="仿宋_GB2312" w:hAnsi="仿宋_GB2312" w:eastAsia="仿宋_GB2312" w:cs="仿宋_GB2312"/>
        </w:rPr>
      </w:pPr>
    </w:p>
    <w:p>
      <w:pPr>
        <w:pStyle w:val="13"/>
        <w:ind w:left="0" w:leftChars="0" w:firstLine="0" w:firstLineChars="0"/>
        <w:rPr>
          <w:rFonts w:hint="eastAsia"/>
        </w:rPr>
      </w:pPr>
    </w:p>
    <w:p>
      <w:pPr>
        <w:pStyle w:val="6"/>
        <w:rPr>
          <w:rFonts w:hint="eastAsia" w:hAnsi="宋体" w:cs="宋体"/>
          <w:color w:val="auto"/>
          <w:kern w:val="0"/>
          <w:sz w:val="32"/>
          <w:szCs w:val="32"/>
          <w:highlight w:val="none"/>
          <w:shd w:val="clear" w:color="auto" w:fill="FFFFFF"/>
          <w:lang w:val="zh-CN"/>
        </w:rPr>
      </w:pPr>
    </w:p>
    <w:p>
      <w:pPr>
        <w:pStyle w:val="6"/>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pStyle w:val="35"/>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广元市林业局</w:t>
      </w:r>
    </w:p>
    <w:p>
      <w:pPr>
        <w:pStyle w:val="35"/>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2021年专项预算项目（剑门蜀道保护条例立法工作经费）支出绩效自评报告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现将我</w:t>
      </w:r>
      <w:r>
        <w:rPr>
          <w:rFonts w:hint="eastAsia" w:ascii="仿宋_GB2312" w:hAnsi="仿宋_GB2312" w:eastAsia="仿宋_GB2312" w:cs="仿宋_GB2312"/>
          <w:color w:val="auto"/>
          <w:sz w:val="32"/>
          <w:szCs w:val="32"/>
          <w:lang w:val="en-US" w:eastAsia="zh-CN"/>
        </w:rPr>
        <w:t>局剑门蜀道保护条例立法工作经费专项支出绩效自评情况报告如下。</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val="zh-CN" w:eastAsia="zh-CN"/>
        </w:rPr>
        <w:t>项目概况</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（一）项目基本情况</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1.说明项目主管部门（单位）在该项目管理中的职能。</w:t>
      </w:r>
    </w:p>
    <w:p>
      <w:pPr>
        <w:spacing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负责项目资金规划方案编制、组织实施、监督管理、检查验收和区域绩效目标申报及评价等工作，配合做好项目绩效评价工作。</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项目立项、资金申报的依据。</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根据广元市人民政府办公室《关于印发剑门蜀道保护条例（草案）立法工作实施方案》的通知（广府办函【2020】67号）要求，开展立法调研、立法起草、法律文本修改、立法论证等工作。</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3.资金管理办法制定情况，资金支持具体项目的条件、范围与支持方式概况。</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按照省、市相关资金管理办法及</w:t>
      </w:r>
      <w:r>
        <w:rPr>
          <w:rFonts w:hint="eastAsia" w:ascii="仿宋_GB2312" w:hAnsi="仿宋_GB2312" w:eastAsia="仿宋_GB2312" w:cs="仿宋_GB2312"/>
          <w:color w:val="auto"/>
          <w:sz w:val="32"/>
          <w:szCs w:val="32"/>
          <w:lang w:val="zh-CN" w:eastAsia="zh-CN"/>
        </w:rPr>
        <w:t>项目管理</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val="zh-CN" w:eastAsia="zh-CN"/>
        </w:rPr>
        <w:t>相关</w:t>
      </w:r>
      <w:r>
        <w:rPr>
          <w:rFonts w:hint="eastAsia" w:ascii="仿宋_GB2312" w:hAnsi="仿宋_GB2312" w:eastAsia="仿宋_GB2312" w:cs="仿宋_GB2312"/>
          <w:color w:val="auto"/>
          <w:sz w:val="32"/>
          <w:szCs w:val="32"/>
          <w:lang w:val="en-US" w:eastAsia="zh-CN"/>
        </w:rPr>
        <w:t>规定</w:t>
      </w:r>
      <w:r>
        <w:rPr>
          <w:rFonts w:hint="eastAsia" w:ascii="仿宋_GB2312" w:hAnsi="仿宋_GB2312" w:eastAsia="仿宋_GB2312" w:cs="仿宋_GB2312"/>
          <w:color w:val="auto"/>
          <w:sz w:val="32"/>
          <w:szCs w:val="32"/>
          <w:lang w:val="zh-CN" w:eastAsia="zh-CN"/>
        </w:rPr>
        <w:t>，严格执行项目</w:t>
      </w:r>
      <w:r>
        <w:rPr>
          <w:rFonts w:hint="eastAsia" w:ascii="仿宋_GB2312" w:hAnsi="仿宋_GB2312" w:eastAsia="仿宋_GB2312" w:cs="仿宋_GB2312"/>
          <w:color w:val="auto"/>
          <w:sz w:val="32"/>
          <w:szCs w:val="32"/>
          <w:lang w:val="en-US" w:eastAsia="zh-CN"/>
        </w:rPr>
        <w:t>资金</w:t>
      </w:r>
      <w:r>
        <w:rPr>
          <w:rFonts w:hint="eastAsia" w:ascii="仿宋_GB2312" w:hAnsi="仿宋_GB2312" w:eastAsia="仿宋_GB2312" w:cs="仿宋_GB2312"/>
          <w:color w:val="auto"/>
          <w:sz w:val="32"/>
          <w:szCs w:val="32"/>
          <w:lang w:val="zh-CN" w:eastAsia="zh-CN"/>
        </w:rPr>
        <w:t>绩效管理制度，扎实开展事前绩效评估，加强预算项目前端绩效管控，推动预算安排理性决策动态实施绩效运行监控，深入开展绩效自评。资金支持项目的条件、范围与支持方式</w:t>
      </w:r>
      <w:r>
        <w:rPr>
          <w:rFonts w:hint="eastAsia" w:ascii="仿宋_GB2312" w:hAnsi="仿宋_GB2312" w:eastAsia="仿宋_GB2312" w:cs="仿宋_GB2312"/>
          <w:color w:val="auto"/>
          <w:sz w:val="32"/>
          <w:szCs w:val="32"/>
          <w:lang w:val="en-US" w:eastAsia="zh-CN"/>
        </w:rPr>
        <w:t>符合相关管理规定</w:t>
      </w:r>
      <w:r>
        <w:rPr>
          <w:rFonts w:hint="eastAsia" w:ascii="仿宋_GB2312" w:hAnsi="仿宋_GB2312" w:eastAsia="仿宋_GB2312" w:cs="仿宋_GB2312"/>
          <w:color w:val="auto"/>
          <w:sz w:val="32"/>
          <w:szCs w:val="32"/>
          <w:lang w:val="zh-CN" w:eastAsia="zh-CN"/>
        </w:rPr>
        <w:t>。</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4.资金分配的原则及考虑因素。</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我局所有项目</w:t>
      </w:r>
      <w:r>
        <w:rPr>
          <w:rFonts w:hint="eastAsia" w:ascii="仿宋_GB2312" w:hAnsi="仿宋_GB2312" w:eastAsia="仿宋_GB2312" w:cs="仿宋_GB2312"/>
          <w:color w:val="auto"/>
          <w:sz w:val="32"/>
          <w:szCs w:val="32"/>
          <w:lang w:val="en-US" w:eastAsia="zh-CN"/>
        </w:rPr>
        <w:t>资金均按相关规定，</w:t>
      </w:r>
      <w:r>
        <w:rPr>
          <w:rFonts w:hint="eastAsia" w:ascii="仿宋_GB2312" w:hAnsi="仿宋_GB2312" w:eastAsia="仿宋_GB2312" w:cs="仿宋_GB2312"/>
          <w:color w:val="auto"/>
          <w:sz w:val="32"/>
          <w:szCs w:val="32"/>
          <w:lang w:val="zh-CN" w:eastAsia="zh-CN"/>
        </w:rPr>
        <w:t>按照“政策目标明确、分配规范、支出方向协调、绩效结果挂钩”的原则分配。</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（二）项目绩效目标</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项目主要内容。开展立法调研、立法起草、法律文本修改、立法论证等工作，最终完成《广元市剑门蜀道保护条例》并在四川省人民代表大会常务委员会议上批准通过。</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项目应实现的具体绩效目标，包括目标的量化、细化情况以及项目实施进度计划等。</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）质量指标：按要求完成并在四川省人民代表大会常务委员会议上批准通过。</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）社会效益指标：促进剑门蜀道（广元段）遗址遗迹保护，提升保护管理水平。</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）满意度指标：部门满意度≥95%。</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（三）项目自评步骤及方法</w:t>
      </w:r>
    </w:p>
    <w:p>
      <w:pPr>
        <w:spacing w:line="576" w:lineRule="exact"/>
        <w:ind w:firstLine="640" w:firstLineChars="200"/>
        <w:rPr>
          <w:rFonts w:hint="eastAsia" w:ascii="仿宋_GB2312" w:hAnsi="仿宋_GB2312" w:eastAsia="仿宋_GB2312" w:cs="仿宋_GB2312"/>
          <w:color w:val="auto"/>
          <w:sz w:val="32"/>
          <w:szCs w:val="32"/>
          <w:u w:val="none"/>
          <w:lang w:val="zh-CN" w:eastAsia="zh-CN"/>
        </w:rPr>
      </w:pPr>
      <w:r>
        <w:rPr>
          <w:rFonts w:hint="eastAsia" w:ascii="仿宋_GB2312" w:hAnsi="仿宋_GB2312" w:eastAsia="仿宋_GB2312" w:cs="仿宋_GB2312"/>
          <w:color w:val="auto"/>
          <w:sz w:val="32"/>
          <w:szCs w:val="32"/>
          <w:u w:val="none"/>
          <w:lang w:val="zh-CN" w:eastAsia="zh-CN"/>
        </w:rPr>
        <w:t>我局高度重视</w:t>
      </w:r>
      <w:r>
        <w:rPr>
          <w:rFonts w:hint="eastAsia" w:ascii="仿宋_GB2312" w:hAnsi="仿宋_GB2312" w:eastAsia="仿宋_GB2312" w:cs="仿宋_GB2312"/>
          <w:color w:val="auto"/>
          <w:sz w:val="32"/>
          <w:szCs w:val="32"/>
          <w:u w:val="none"/>
          <w:lang w:val="en-US" w:eastAsia="zh-CN"/>
        </w:rPr>
        <w:t>此次</w:t>
      </w:r>
      <w:r>
        <w:rPr>
          <w:rFonts w:hint="eastAsia" w:ascii="仿宋_GB2312" w:hAnsi="仿宋_GB2312" w:eastAsia="仿宋_GB2312" w:cs="仿宋_GB2312"/>
          <w:color w:val="auto"/>
          <w:sz w:val="32"/>
          <w:szCs w:val="32"/>
          <w:u w:val="none"/>
          <w:lang w:val="zh-CN" w:eastAsia="zh-CN"/>
        </w:rPr>
        <w:t>绩效自评工作，</w:t>
      </w:r>
      <w:r>
        <w:rPr>
          <w:rFonts w:hint="eastAsia" w:ascii="仿宋_GB2312" w:hAnsi="仿宋_GB2312" w:eastAsia="仿宋_GB2312" w:cs="仿宋_GB2312"/>
          <w:color w:val="auto"/>
          <w:sz w:val="32"/>
          <w:szCs w:val="32"/>
          <w:u w:val="none"/>
          <w:lang w:val="en-US" w:eastAsia="zh-CN"/>
        </w:rPr>
        <w:t>按照要求，一是认真学习领会文件精神，明确绩效评价要求，成立专项绩效评价工作组；二是及时收集基础资料，按照本次绩效评价要求，及时全面收集整理各类绩效评价基础资料，包括资金下达文件、绩效目标、财政政策执行、财经纪律监督执行、项目申报、批复、实施、验收等相关文件资料；三是对照一级、二级指标，组织开展自查自评，分析项目实施、完成结果、项目效果等方面的情况；四是全面总结项目存在的问题，提出相关建议；五是各项目实施科室提交专项支出绩效自评报告；六是</w:t>
      </w:r>
      <w:r>
        <w:rPr>
          <w:rFonts w:hint="eastAsia" w:ascii="仿宋_GB2312" w:hAnsi="仿宋_GB2312" w:eastAsia="仿宋_GB2312" w:cs="仿宋_GB2312"/>
          <w:color w:val="auto"/>
          <w:sz w:val="32"/>
          <w:szCs w:val="32"/>
          <w:u w:val="none"/>
          <w:lang w:val="zh-CN" w:eastAsia="zh-CN"/>
        </w:rPr>
        <w:t>由</w:t>
      </w:r>
      <w:r>
        <w:rPr>
          <w:rFonts w:hint="eastAsia" w:ascii="仿宋_GB2312" w:hAnsi="仿宋_GB2312" w:eastAsia="仿宋_GB2312" w:cs="仿宋_GB2312"/>
          <w:color w:val="auto"/>
          <w:sz w:val="32"/>
          <w:szCs w:val="32"/>
          <w:u w:val="none"/>
          <w:lang w:val="en-US" w:eastAsia="zh-CN"/>
        </w:rPr>
        <w:t>我局自然保护地和湿地管理科</w:t>
      </w:r>
      <w:r>
        <w:rPr>
          <w:rFonts w:hint="eastAsia" w:ascii="仿宋_GB2312" w:hAnsi="仿宋_GB2312" w:eastAsia="仿宋_GB2312" w:cs="仿宋_GB2312"/>
          <w:color w:val="auto"/>
          <w:sz w:val="32"/>
          <w:szCs w:val="32"/>
          <w:u w:val="none"/>
          <w:lang w:val="zh-CN" w:eastAsia="zh-CN"/>
        </w:rPr>
        <w:t>牵头</w:t>
      </w:r>
      <w:r>
        <w:rPr>
          <w:rFonts w:hint="eastAsia" w:ascii="仿宋_GB2312" w:hAnsi="仿宋_GB2312" w:eastAsia="仿宋_GB2312" w:cs="仿宋_GB2312"/>
          <w:color w:val="auto"/>
          <w:sz w:val="32"/>
          <w:szCs w:val="32"/>
          <w:u w:val="none"/>
          <w:lang w:val="en-US" w:eastAsia="zh-CN"/>
        </w:rPr>
        <w:t>的专项绩效评价工作组对各项目主管部门自评结果进行数据整理、分析，并撰写我局剑门蜀道保护条例立法工作经费支出绩效的自评报告。</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二、项目资金申报及使用情况</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（一）项目资金申报及批复情况</w:t>
      </w:r>
    </w:p>
    <w:p>
      <w:pPr>
        <w:spacing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zh-CN" w:eastAsia="zh-CN"/>
        </w:rPr>
        <w:t>年度</w:t>
      </w:r>
      <w:r>
        <w:rPr>
          <w:rFonts w:hint="eastAsia" w:ascii="仿宋_GB2312" w:hAnsi="仿宋_GB2312" w:eastAsia="仿宋_GB2312" w:cs="仿宋_GB2312"/>
          <w:color w:val="auto"/>
          <w:sz w:val="32"/>
          <w:szCs w:val="32"/>
          <w:lang w:val="en-US" w:eastAsia="zh-CN"/>
        </w:rPr>
        <w:t>剑门蜀道保护条例立法工作经费</w:t>
      </w:r>
      <w:r>
        <w:rPr>
          <w:rFonts w:hint="eastAsia" w:ascii="仿宋_GB2312" w:hAnsi="仿宋_GB2312" w:eastAsia="仿宋_GB2312" w:cs="仿宋_GB2312"/>
          <w:color w:val="auto"/>
          <w:sz w:val="32"/>
          <w:szCs w:val="32"/>
          <w:lang w:val="zh-CN" w:eastAsia="zh-CN"/>
        </w:rPr>
        <w:t>资金总额：</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万元，全部为财政资金</w:t>
      </w:r>
      <w:r>
        <w:rPr>
          <w:rFonts w:hint="eastAsia" w:ascii="仿宋_GB2312" w:hAnsi="仿宋_GB2312" w:eastAsia="仿宋_GB2312" w:cs="仿宋_GB2312"/>
          <w:color w:val="auto"/>
          <w:sz w:val="32"/>
          <w:szCs w:val="32"/>
          <w:lang w:val="en-US" w:eastAsia="zh-CN"/>
        </w:rPr>
        <w:t>。</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（二）资金计划、到位及使用情况</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资金到位。</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zh-CN" w:eastAsia="zh-CN"/>
        </w:rPr>
        <w:t>年度</w:t>
      </w:r>
      <w:r>
        <w:rPr>
          <w:rFonts w:hint="eastAsia" w:ascii="仿宋_GB2312" w:hAnsi="仿宋_GB2312" w:eastAsia="仿宋_GB2312" w:cs="仿宋_GB2312"/>
          <w:color w:val="auto"/>
          <w:sz w:val="32"/>
          <w:szCs w:val="32"/>
          <w:lang w:val="en-US" w:eastAsia="zh-CN"/>
        </w:rPr>
        <w:t>剑门蜀道保护条例立法工作经费</w:t>
      </w:r>
      <w:r>
        <w:rPr>
          <w:rFonts w:hint="eastAsia" w:ascii="仿宋_GB2312" w:hAnsi="仿宋_GB2312" w:eastAsia="仿宋_GB2312" w:cs="仿宋_GB2312"/>
          <w:color w:val="auto"/>
          <w:sz w:val="32"/>
          <w:szCs w:val="32"/>
          <w:lang w:val="zh-CN" w:eastAsia="zh-CN"/>
        </w:rPr>
        <w:t xml:space="preserve">资金到位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万元，资金到位率 100%。</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资金使用。</w:t>
      </w:r>
    </w:p>
    <w:p>
      <w:pPr>
        <w:spacing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截至目前，我市</w:t>
      </w:r>
      <w:r>
        <w:rPr>
          <w:rFonts w:hint="eastAsia" w:ascii="仿宋_GB2312" w:hAnsi="仿宋_GB2312" w:eastAsia="仿宋_GB2312" w:cs="仿宋_GB2312"/>
          <w:color w:val="auto"/>
          <w:sz w:val="32"/>
          <w:szCs w:val="32"/>
          <w:lang w:val="en-US" w:eastAsia="zh-CN"/>
        </w:rPr>
        <w:t>2021年剑门蜀道保护条例立法工作经费项目</w:t>
      </w:r>
      <w:r>
        <w:rPr>
          <w:rFonts w:hint="eastAsia" w:ascii="仿宋_GB2312" w:hAnsi="仿宋_GB2312" w:eastAsia="仿宋_GB2312" w:cs="仿宋_GB2312"/>
          <w:color w:val="auto"/>
          <w:sz w:val="32"/>
          <w:szCs w:val="32"/>
          <w:lang w:val="zh-CN" w:eastAsia="zh-CN"/>
        </w:rPr>
        <w:t xml:space="preserve">资金支付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万元，</w:t>
      </w:r>
      <w:r>
        <w:rPr>
          <w:rFonts w:hint="eastAsia" w:ascii="仿宋_GB2312" w:hAnsi="仿宋_GB2312" w:eastAsia="仿宋_GB2312" w:cs="仿宋_GB2312"/>
          <w:color w:val="auto"/>
          <w:sz w:val="32"/>
          <w:szCs w:val="32"/>
          <w:lang w:val="en-US" w:eastAsia="zh-CN"/>
        </w:rPr>
        <w:t>无结转结余</w:t>
      </w:r>
      <w:r>
        <w:rPr>
          <w:rFonts w:hint="eastAsia" w:ascii="仿宋_GB2312" w:hAnsi="仿宋_GB2312" w:eastAsia="仿宋_GB2312" w:cs="仿宋_GB2312"/>
          <w:color w:val="auto"/>
          <w:sz w:val="32"/>
          <w:szCs w:val="32"/>
          <w:lang w:val="zh-CN" w:eastAsia="zh-CN"/>
        </w:rPr>
        <w:t>。</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（三）项目财务管理情况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严格执行中央、省、市有关资金使用与管理规定，实行专款专用。加强财务管理，规范会计核算，及时准确掌握资金到位、使用等情况，真实完整地反映会计报表，努力提高资金管理效果，资金无截留、挤占、挪用现象。</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三、项目实施及管理情况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（一）项目组织架构及实施流程</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1.高度重视，加强管理。我局落实分管领导和责任科室，加强对资金分配、项目立项等方面管理，组织项目的具体实施。</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2.认真学习，把握规范要求。不断深化学习相关政策，项目严格按照各相应技术标准及验收规范开展。</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（二）项目管理情况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相关业务科室具体组织实施，严格执行财务管理制度、财务处理及时，会计核算规范。在项目建设过程中，按项目工程建设管理、资金管理要求，严格按政府采购等程序实施，确保项目质量和进度。</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（三）项目监管情况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该项目实施的事前、事中、事后监管受局党委办及财务科的监督，资金支付受财政局统一监管。</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四、目绩效情况</w:t>
      </w:r>
      <w:r>
        <w:rPr>
          <w:rFonts w:hint="eastAsia" w:ascii="仿宋_GB2312" w:hAnsi="仿宋_GB2312" w:eastAsia="仿宋_GB2312" w:cs="仿宋_GB2312"/>
          <w:color w:val="auto"/>
          <w:sz w:val="32"/>
          <w:szCs w:val="32"/>
          <w:lang w:val="zh-CN" w:eastAsia="zh-CN"/>
        </w:rPr>
        <w:tab/>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（一）项目完成情况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市七届人大五年立法计划安排，《条例》列为了市人大常委会2021年立法工作计划。市政府于2020年11月成立了以市政府副市长为组长的立法工作起草领导小组，明确由市林业局牵头，会同市司法局、市文广旅局共同起草。</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11月，市林业局联同相关部门成立工作专班，制定工作方案，推进《条例》起草工作，通过公文、座谈会、考察学习等途径，采取“沉下身”问计于民、“走出去”借智借力、“请进来”把脉问诊等方式，广泛听取市级机关、县区、人大代表和社会公众的意见。市人大常委会领导及相关部门提前参与指导，时任副市长多次召集相关县区和市级部门召开专题会组织研究。《条例》草案先后20余次组织讨论和征求相关市级部门和涉及的4个县、区政府意见，经过综合各方面意见充分讨论和研究修改，由市司法局组织立法专家论证修改完善。2021年4月23日，七届市人民政府第115次常务会议讨论通过，并报送市人大常委会。4月28日，市七届人大常委会第三十五次会议初审通过了《广元市剑门蜀道保护条例（草案）》。8月24日广元市第七届人民代表大会常务委员会第三十八次会议通过。9月29日四川省第十三届人民代表大会常务委员会第三十次会议批准，自2021年1月1日起施行。</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本项目严格项目管理和实施，按时保质保量完成了各项工作任务，工程建设当年完工率为100%；严格规范资金使用，</w:t>
      </w:r>
      <w:r>
        <w:rPr>
          <w:rFonts w:hint="eastAsia" w:ascii="仿宋_GB2312" w:hAnsi="仿宋_GB2312" w:eastAsia="仿宋_GB2312" w:cs="仿宋_GB2312"/>
          <w:color w:val="auto"/>
          <w:sz w:val="32"/>
          <w:szCs w:val="32"/>
          <w:lang w:val="zh-CN" w:eastAsia="zh-CN"/>
        </w:rPr>
        <w:t>到位多少，就使用多少，</w:t>
      </w:r>
      <w:r>
        <w:rPr>
          <w:rFonts w:hint="eastAsia" w:ascii="仿宋_GB2312" w:hAnsi="仿宋_GB2312" w:eastAsia="仿宋_GB2312" w:cs="仿宋_GB2312"/>
          <w:color w:val="auto"/>
          <w:sz w:val="32"/>
          <w:szCs w:val="32"/>
          <w:lang w:val="en-US" w:eastAsia="zh-CN"/>
        </w:rPr>
        <w:t>资金使用率为100%，结余0万元；不存在违规记录现象。</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（二）项目效益情况</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（1）生态效益</w:t>
      </w:r>
      <w:bookmarkStart w:id="61" w:name="_Toc90991180"/>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项目的实施，是深入贯彻落实习近平总书记新发展理念的根本体现,彻底让剑门蜀道保护管理工作步入规范化、法治化轨道，真正从立法层面为剑门蜀道保护提供法律遵循，形成了整体性、重点性相结合的保护体系，有力完善了全市地方性法规体系。</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（2）社会效益。</w:t>
      </w:r>
      <w:bookmarkEnd w:id="61"/>
      <w:bookmarkStart w:id="62" w:name="_Toc90991181"/>
      <w:r>
        <w:rPr>
          <w:rFonts w:hint="eastAsia" w:ascii="仿宋_GB2312" w:hAnsi="仿宋_GB2312" w:eastAsia="仿宋_GB2312" w:cs="仿宋_GB2312"/>
          <w:color w:val="auto"/>
          <w:sz w:val="32"/>
          <w:szCs w:val="32"/>
          <w:lang w:val="en-US" w:eastAsia="zh-CN"/>
        </w:rPr>
        <w:t>强制性落实剑门蜀道范围内所有生态资源、人文景观、遗产遗迹要素的保护，规范、控制沿线开发，有效解决了之前多头管理、多级管理，资源要素难整合、整体功能发挥不好等系列问题，将更好地推动我市生态文明建设和推动区域经济社会协调发展。</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（3）经济效益。</w:t>
      </w:r>
      <w:r>
        <w:rPr>
          <w:rFonts w:hint="eastAsia" w:ascii="仿宋_GB2312" w:hAnsi="仿宋_GB2312" w:eastAsia="仿宋_GB2312" w:cs="仿宋_GB2312"/>
          <w:color w:val="auto"/>
          <w:sz w:val="32"/>
          <w:szCs w:val="32"/>
          <w:lang w:val="en-US" w:eastAsia="zh-CN"/>
        </w:rPr>
        <w:t>项目实施后，</w:t>
      </w:r>
      <w:r>
        <w:rPr>
          <w:rFonts w:hint="eastAsia" w:ascii="仿宋_GB2312" w:hAnsi="仿宋_GB2312" w:eastAsia="仿宋_GB2312" w:cs="仿宋_GB2312"/>
          <w:color w:val="auto"/>
          <w:sz w:val="32"/>
          <w:szCs w:val="32"/>
          <w:lang w:val="zh-CN" w:eastAsia="zh-CN"/>
        </w:rPr>
        <w:t>促进剑门蜀道（广元段）遗址遗迹保护，提升保护管理水平</w:t>
      </w:r>
      <w:r>
        <w:rPr>
          <w:rFonts w:hint="eastAsia" w:ascii="仿宋_GB2312" w:hAnsi="仿宋_GB2312" w:eastAsia="仿宋_GB2312" w:cs="仿宋_GB2312"/>
          <w:color w:val="auto"/>
          <w:sz w:val="32"/>
          <w:szCs w:val="32"/>
          <w:lang w:val="en-US" w:eastAsia="zh-CN"/>
        </w:rPr>
        <w:t>展</w:t>
      </w:r>
      <w:bookmarkEnd w:id="62"/>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让森林资源持续发挥旅游等各方面的间接效益，</w:t>
      </w:r>
      <w:r>
        <w:rPr>
          <w:rFonts w:hint="eastAsia" w:ascii="仿宋_GB2312" w:hAnsi="仿宋_GB2312" w:eastAsia="仿宋_GB2312" w:cs="仿宋_GB2312"/>
          <w:color w:val="auto"/>
          <w:sz w:val="32"/>
          <w:szCs w:val="32"/>
          <w:lang w:val="en-US" w:eastAsia="zh-CN"/>
        </w:rPr>
        <w:t>推进林业可持续发展，保障了林业经济稳步发展。</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五、评价结论及建议</w:t>
      </w:r>
    </w:p>
    <w:p>
      <w:pPr>
        <w:spacing w:line="576"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（一）评价结论</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决策科学，依据充分，项目管理规范，项目完成效果好，实施后达到了预期目的，《条例》的施行，为实现科学依法保护提供有力的法律依据，为剑门蜀道保护工作将迎来一个全新局面，也必将为我市社会经济全面发展作出巨大的贡献。</w:t>
      </w:r>
    </w:p>
    <w:p>
      <w:pPr>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（二）相关建议</w:t>
      </w:r>
    </w:p>
    <w:p>
      <w:pPr>
        <w:spacing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无。</w:t>
      </w:r>
    </w:p>
    <w:p/>
    <w:p>
      <w:pPr>
        <w:pStyle w:val="15"/>
        <w:keepNext w:val="0"/>
        <w:keepLines w:val="0"/>
        <w:pageBreakBefore w:val="0"/>
        <w:widowControl w:val="0"/>
        <w:kinsoku/>
        <w:wordWrap/>
        <w:overflowPunct/>
        <w:topLinePunct w:val="0"/>
        <w:autoSpaceDE/>
        <w:autoSpaceDN/>
        <w:bidi w:val="0"/>
        <w:adjustRightInd/>
        <w:snapToGrid/>
        <w:spacing w:after="0" w:line="400" w:lineRule="exact"/>
        <w:ind w:left="1320" w:leftChars="200" w:hanging="900" w:hangingChars="300"/>
        <w:jc w:val="both"/>
        <w:textAlignment w:val="auto"/>
        <w:rPr>
          <w:rFonts w:hint="eastAsia"/>
          <w:b w:val="0"/>
          <w:bCs w:val="0"/>
          <w:lang w:eastAsia="zh-CN"/>
        </w:rPr>
      </w:pPr>
    </w:p>
    <w:p>
      <w:pPr>
        <w:pStyle w:val="15"/>
        <w:keepNext w:val="0"/>
        <w:keepLines w:val="0"/>
        <w:pageBreakBefore w:val="0"/>
        <w:widowControl w:val="0"/>
        <w:kinsoku/>
        <w:wordWrap/>
        <w:overflowPunct/>
        <w:topLinePunct w:val="0"/>
        <w:autoSpaceDE/>
        <w:autoSpaceDN/>
        <w:bidi w:val="0"/>
        <w:adjustRightInd/>
        <w:snapToGrid/>
        <w:spacing w:after="0" w:line="400" w:lineRule="exact"/>
        <w:ind w:left="1320" w:leftChars="200" w:hanging="900" w:hangingChars="300"/>
        <w:jc w:val="both"/>
        <w:textAlignment w:val="auto"/>
        <w:rPr>
          <w:rFonts w:hint="eastAsia"/>
          <w:b w:val="0"/>
          <w:bCs w:val="0"/>
          <w:lang w:eastAsia="zh-CN"/>
        </w:rPr>
      </w:pPr>
    </w:p>
    <w:p>
      <w:pPr>
        <w:pStyle w:val="15"/>
        <w:keepNext w:val="0"/>
        <w:keepLines w:val="0"/>
        <w:pageBreakBefore w:val="0"/>
        <w:widowControl w:val="0"/>
        <w:kinsoku/>
        <w:wordWrap/>
        <w:overflowPunct/>
        <w:topLinePunct w:val="0"/>
        <w:autoSpaceDE/>
        <w:autoSpaceDN/>
        <w:bidi w:val="0"/>
        <w:adjustRightInd/>
        <w:snapToGrid/>
        <w:spacing w:after="0" w:line="400" w:lineRule="exact"/>
        <w:ind w:left="1320" w:leftChars="200" w:hanging="900" w:hangingChars="300"/>
        <w:jc w:val="both"/>
        <w:textAlignment w:val="auto"/>
        <w:rPr>
          <w:rFonts w:hint="eastAsia"/>
          <w:b w:val="0"/>
          <w:bCs w:val="0"/>
          <w:lang w:eastAsia="zh-CN"/>
        </w:rPr>
      </w:pPr>
    </w:p>
    <w:p>
      <w:pPr>
        <w:pStyle w:val="15"/>
        <w:keepNext w:val="0"/>
        <w:keepLines w:val="0"/>
        <w:pageBreakBefore w:val="0"/>
        <w:widowControl w:val="0"/>
        <w:kinsoku/>
        <w:wordWrap/>
        <w:overflowPunct/>
        <w:topLinePunct w:val="0"/>
        <w:autoSpaceDE/>
        <w:autoSpaceDN/>
        <w:bidi w:val="0"/>
        <w:adjustRightInd/>
        <w:snapToGrid/>
        <w:spacing w:after="0" w:line="400" w:lineRule="exact"/>
        <w:ind w:left="1320" w:leftChars="200" w:hanging="900" w:hangingChars="300"/>
        <w:jc w:val="both"/>
        <w:textAlignment w:val="auto"/>
        <w:rPr>
          <w:rFonts w:hint="eastAsia" w:ascii="仿宋_GB2312" w:hAnsi="仿宋_GB2312" w:cs="仿宋_GB2312"/>
          <w:color w:val="auto"/>
          <w:sz w:val="32"/>
          <w:szCs w:val="32"/>
          <w:u w:val="none"/>
          <w:lang w:val="en-US" w:eastAsia="zh-CN"/>
        </w:rPr>
      </w:pPr>
      <w:r>
        <w:rPr>
          <w:rFonts w:hint="eastAsia"/>
          <w:b w:val="0"/>
          <w:bCs w:val="0"/>
          <w:lang w:eastAsia="zh-CN"/>
        </w:rPr>
        <w:t>附件</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lang w:val="en-US" w:eastAsia="zh-CN"/>
        </w:rPr>
        <w:t>2021年部门预算项目绩效目标自评表（剑门蜀道保护条例立法工作经费）</w:t>
      </w:r>
    </w:p>
    <w:p>
      <w:pPr>
        <w:pStyle w:val="15"/>
        <w:keepNext w:val="0"/>
        <w:keepLines w:val="0"/>
        <w:pageBreakBefore w:val="0"/>
        <w:widowControl w:val="0"/>
        <w:kinsoku/>
        <w:wordWrap/>
        <w:overflowPunct/>
        <w:topLinePunct w:val="0"/>
        <w:autoSpaceDE/>
        <w:autoSpaceDN/>
        <w:bidi w:val="0"/>
        <w:adjustRightInd/>
        <w:snapToGrid/>
        <w:spacing w:after="0" w:line="400" w:lineRule="exact"/>
        <w:ind w:left="1380" w:leftChars="200" w:hanging="960" w:hangingChars="300"/>
        <w:jc w:val="center"/>
        <w:textAlignment w:val="auto"/>
        <w:rPr>
          <w:rFonts w:hint="eastAsia" w:hAnsi="宋体" w:cs="宋体"/>
          <w:color w:val="auto"/>
          <w:kern w:val="0"/>
          <w:sz w:val="32"/>
          <w:szCs w:val="32"/>
          <w:highlight w:val="none"/>
          <w:shd w:val="clear" w:color="auto" w:fill="FFFFFF"/>
          <w:lang w:val="zh-CN"/>
        </w:rPr>
      </w:pPr>
      <w:r>
        <w:rPr>
          <w:rFonts w:hint="eastAsia" w:ascii="仿宋_GB2312" w:hAnsi="仿宋_GB2312" w:eastAsia="仿宋_GB2312" w:cs="仿宋_GB2312"/>
          <w:color w:val="auto"/>
          <w:sz w:val="32"/>
          <w:szCs w:val="32"/>
          <w:lang w:val="en-US" w:eastAsia="zh-CN"/>
        </w:rPr>
        <w:t>广元市林业局</w:t>
      </w:r>
    </w:p>
    <w:tbl>
      <w:tblPr>
        <w:tblStyle w:val="16"/>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6"/>
        <w:gridCol w:w="1035"/>
        <w:gridCol w:w="1380"/>
        <w:gridCol w:w="1695"/>
        <w:gridCol w:w="1711"/>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广元市林业局623001</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根据广元市人民政府办公室《关于印发剑门蜀道保护条例（草案）立法工作实施方案》的通知（广府办函【2020】67号）要求，开展立法调研、立法起草、法律文本修改、立法论证等工作。</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根据广元市人民政府办公室《关于印发剑门蜀道保护条例（草案）立法工作实施方案》的通知（广府办函【2020】67号）要求，开展立法调研、立法起草、法律文本修改、立法论证等工作。《广元市剑门蜀道保护条例》2021年9月29日四川省第十三届人民代表大会常务委员会第三十次会议批准通过，</w:t>
            </w:r>
            <w:r>
              <w:rPr>
                <w:rFonts w:hint="eastAsia" w:ascii="宋体" w:hAnsi="宋体" w:eastAsia="宋体" w:cs="宋体"/>
                <w:i w:val="0"/>
                <w:color w:val="auto"/>
                <w:sz w:val="24"/>
                <w:szCs w:val="24"/>
                <w:highlight w:val="none"/>
                <w:u w:val="none"/>
                <w:lang w:eastAsia="zh-CN"/>
              </w:rPr>
              <w:t>2021年</w:t>
            </w:r>
            <w:r>
              <w:rPr>
                <w:rFonts w:hint="eastAsia" w:ascii="宋体" w:hAnsi="宋体" w:eastAsia="宋体" w:cs="宋体"/>
                <w:i w:val="0"/>
                <w:color w:val="auto"/>
                <w:sz w:val="24"/>
                <w:szCs w:val="24"/>
                <w:highlight w:val="none"/>
                <w:u w:val="none"/>
              </w:rPr>
              <w:t>1月1日起实施。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3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0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0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 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按要求完成</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资料费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0.5万元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差旅费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车辆租用及运行费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１万元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会议费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0.5万元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经济效益  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剑门蜀道保护水平显著提高</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促进剑门蜀道（广元段）遗址遗迹保护，提升保护管理水平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促进了剑门蜀道（广元段）遗址遗迹保护，提升了保护管理水平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部门满意度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90%以上</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满意度指标</w:t>
            </w:r>
          </w:p>
        </w:tc>
      </w:tr>
    </w:tbl>
    <w:p>
      <w:pPr>
        <w:pStyle w:val="6"/>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rPr>
          <w:rFonts w:hint="eastAsia"/>
          <w:lang w:val="zh-CN"/>
        </w:rPr>
      </w:pPr>
    </w:p>
    <w:p>
      <w:pPr>
        <w:pStyle w:val="35"/>
        <w:keepNext w:val="0"/>
        <w:keepLines w:val="0"/>
        <w:pageBreakBefore w:val="0"/>
        <w:widowControl w:val="0"/>
        <w:kinsoku/>
        <w:wordWrap/>
        <w:overflowPunct/>
        <w:topLinePunct w:val="0"/>
        <w:autoSpaceDE/>
        <w:autoSpaceDN/>
        <w:bidi w:val="0"/>
        <w:spacing w:line="576" w:lineRule="exact"/>
        <w:ind w:firstLine="3200" w:firstLineChars="800"/>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sectPr>
          <w:headerReference r:id="rId3" w:type="default"/>
          <w:footerReference r:id="rId4" w:type="default"/>
          <w:pgSz w:w="11906" w:h="16838"/>
          <w:pgMar w:top="2098" w:right="1474" w:bottom="1984" w:left="1587" w:header="851" w:footer="1559" w:gutter="0"/>
          <w:pgNumType w:fmt="decimal" w:start="1"/>
          <w:cols w:space="425" w:num="1"/>
          <w:docGrid w:type="lines" w:linePitch="312" w:charSpace="0"/>
        </w:sectPr>
      </w:pPr>
    </w:p>
    <w:p>
      <w:pPr>
        <w:pStyle w:val="35"/>
        <w:keepNext w:val="0"/>
        <w:keepLines w:val="0"/>
        <w:pageBreakBefore w:val="0"/>
        <w:widowControl w:val="0"/>
        <w:kinsoku/>
        <w:wordWrap/>
        <w:overflowPunct/>
        <w:topLinePunct w:val="0"/>
        <w:autoSpaceDE/>
        <w:autoSpaceDN/>
        <w:bidi w:val="0"/>
        <w:spacing w:line="576" w:lineRule="exact"/>
        <w:ind w:firstLine="3200" w:firstLineChars="800"/>
        <w:jc w:val="both"/>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0"/>
          <w:szCs w:val="40"/>
          <w:lang w:val="en-US" w:eastAsia="zh-CN"/>
        </w:rPr>
        <w:t>广元市林业局</w:t>
      </w:r>
    </w:p>
    <w:p>
      <w:pPr>
        <w:pStyle w:val="35"/>
        <w:keepNext w:val="0"/>
        <w:keepLines w:val="0"/>
        <w:pageBreakBefore w:val="0"/>
        <w:widowControl w:val="0"/>
        <w:kinsoku/>
        <w:wordWrap/>
        <w:overflowPunct/>
        <w:topLinePunct w:val="0"/>
        <w:autoSpaceDE/>
        <w:autoSpaceDN/>
        <w:bidi w:val="0"/>
        <w:spacing w:line="576" w:lineRule="exact"/>
        <w:ind w:firstLine="800" w:firstLineChars="200"/>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0"/>
          <w:szCs w:val="40"/>
          <w:lang w:val="en-US" w:eastAsia="zh-CN"/>
        </w:rPr>
        <w:t>2021年专项预算项目</w:t>
      </w:r>
      <w:r>
        <w:rPr>
          <w:rFonts w:hint="default" w:ascii="方正小标宋简体" w:hAnsi="方正小标宋简体" w:eastAsia="方正小标宋简体" w:cs="方正小标宋简体"/>
          <w:b w:val="0"/>
          <w:bCs w:val="0"/>
          <w:color w:val="auto"/>
          <w:kern w:val="2"/>
          <w:sz w:val="40"/>
          <w:szCs w:val="40"/>
          <w:lang w:val="en" w:eastAsia="zh-CN"/>
        </w:rPr>
        <w:t>(</w:t>
      </w:r>
      <w:r>
        <w:rPr>
          <w:rFonts w:hint="eastAsia" w:ascii="方正小标宋简体" w:hAnsi="方正小标宋简体" w:eastAsia="方正小标宋简体" w:cs="方正小标宋简体"/>
          <w:b w:val="0"/>
          <w:bCs w:val="0"/>
          <w:color w:val="auto"/>
          <w:kern w:val="2"/>
          <w:sz w:val="40"/>
          <w:szCs w:val="40"/>
          <w:lang w:val="en-US" w:eastAsia="zh-CN"/>
        </w:rPr>
        <w:t>现代林业产业发展</w:t>
      </w:r>
      <w:r>
        <w:rPr>
          <w:rFonts w:hint="default" w:ascii="方正小标宋简体" w:hAnsi="方正小标宋简体" w:eastAsia="方正小标宋简体" w:cs="方正小标宋简体"/>
          <w:b w:val="0"/>
          <w:bCs w:val="0"/>
          <w:color w:val="auto"/>
          <w:kern w:val="2"/>
          <w:sz w:val="40"/>
          <w:szCs w:val="40"/>
          <w:lang w:val="en" w:eastAsia="zh-CN"/>
        </w:rPr>
        <w:t>)</w:t>
      </w:r>
      <w:r>
        <w:rPr>
          <w:rFonts w:hint="eastAsia" w:ascii="方正小标宋简体" w:hAnsi="方正小标宋简体" w:eastAsia="方正小标宋简体" w:cs="方正小标宋简体"/>
          <w:b w:val="0"/>
          <w:bCs w:val="0"/>
          <w:color w:val="auto"/>
          <w:kern w:val="2"/>
          <w:sz w:val="40"/>
          <w:szCs w:val="40"/>
          <w:lang w:val="en-US" w:eastAsia="zh-CN"/>
        </w:rPr>
        <w:t>支出绩效自评报告</w:t>
      </w:r>
    </w:p>
    <w:p>
      <w:pPr>
        <w:keepNext w:val="0"/>
        <w:keepLines w:val="0"/>
        <w:pageBreakBefore w:val="0"/>
        <w:widowControl w:val="0"/>
        <w:kinsoku/>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按照相关要求，我局扎实开展</w:t>
      </w:r>
      <w:r>
        <w:rPr>
          <w:rFonts w:hint="eastAsia" w:ascii="仿宋_GB2312" w:hAnsi="仿宋_GB2312" w:eastAsia="仿宋_GB2312" w:cs="仿宋_GB2312"/>
          <w:b w:val="0"/>
          <w:bCs w:val="0"/>
          <w:sz w:val="32"/>
          <w:szCs w:val="32"/>
          <w:lang w:val="en" w:eastAsia="zh-CN"/>
        </w:rPr>
        <w:t>了</w:t>
      </w:r>
      <w:r>
        <w:rPr>
          <w:rFonts w:hint="eastAsia" w:ascii="仿宋_GB2312" w:hAnsi="仿宋_GB2312" w:eastAsia="仿宋_GB2312" w:cs="仿宋_GB2312"/>
          <w:b w:val="0"/>
          <w:bCs w:val="0"/>
          <w:sz w:val="32"/>
          <w:szCs w:val="32"/>
          <w:lang w:val="en-US" w:eastAsia="zh-CN"/>
        </w:rPr>
        <w:t>2021年专项预算项目支出绩效自评工作。</w:t>
      </w:r>
      <w:r>
        <w:rPr>
          <w:rFonts w:hint="eastAsia" w:ascii="仿宋_GB2312" w:hAnsi="仿宋_GB2312" w:eastAsia="仿宋_GB2312" w:cs="仿宋_GB2312"/>
          <w:b w:val="0"/>
          <w:bCs w:val="0"/>
          <w:sz w:val="32"/>
          <w:szCs w:val="32"/>
          <w:lang w:val="zh-CN" w:eastAsia="zh-CN"/>
        </w:rPr>
        <w:t>现将我</w:t>
      </w:r>
      <w:r>
        <w:rPr>
          <w:rFonts w:hint="eastAsia" w:ascii="仿宋_GB2312" w:hAnsi="仿宋_GB2312" w:eastAsia="仿宋_GB2312" w:cs="仿宋_GB2312"/>
          <w:b w:val="0"/>
          <w:bCs w:val="0"/>
          <w:sz w:val="32"/>
          <w:szCs w:val="32"/>
          <w:lang w:val="en-US" w:eastAsia="zh-CN"/>
        </w:rPr>
        <w:t>局现代林业产业发展专项支出绩效自评情况报告如下。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（一）项目基本情况</w:t>
      </w:r>
    </w:p>
    <w:p>
      <w:pPr>
        <w:spacing w:line="360" w:lineRule="auto"/>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1．说明项目主管部门（单位）在该项目管理中的职能。</w:t>
      </w:r>
    </w:p>
    <w:p>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u w:val="none"/>
        </w:rPr>
        <w:t>负责项目资金规划方案编制、组织实施、监督管理、检查验收和区域绩效目标申报及评价等工作，配合做好项目绩效评价工作。</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项目立项、资金申报的依据。</w:t>
      </w:r>
    </w:p>
    <w:p>
      <w:pPr>
        <w:spacing w:line="360" w:lineRule="auto"/>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是《关于加快构建现代特色农业“7+3”产业体系推进特色农业强市建设的实施意见》（广委发〔2019〕11号）中：（十四）强化政策支持：市、县区财政每年预算安排特色产业发展专项资金。二是《邹自景同志在中国共产党广元市第八次代表大会上的报告》中：（三）加快发展优质特色农业。巩固提升茶叶、红心猕猴桃、核桃、油橄榄、山地蔬菜（食用菌）、道地中药材、土鸡、生态渔业等优势特色产业，突破性发展肉牛羊产业。</w:t>
      </w:r>
    </w:p>
    <w:p>
      <w:pPr>
        <w:spacing w:line="360" w:lineRule="auto"/>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color w:val="auto"/>
          <w:sz w:val="32"/>
          <w:szCs w:val="32"/>
          <w:u w:val="none"/>
          <w:lang w:val="en-US" w:eastAsia="zh-CN"/>
        </w:rPr>
        <w:t>按照省、市相关资金管理办法及</w:t>
      </w:r>
      <w:r>
        <w:rPr>
          <w:rFonts w:hint="eastAsia" w:ascii="仿宋_GB2312" w:hAnsi="仿宋_GB2312" w:eastAsia="仿宋_GB2312" w:cs="仿宋_GB2312"/>
          <w:b w:val="0"/>
          <w:bCs w:val="0"/>
          <w:color w:val="auto"/>
          <w:sz w:val="32"/>
          <w:szCs w:val="32"/>
          <w:u w:val="none"/>
          <w:lang w:val="zh-CN" w:eastAsia="zh-CN"/>
        </w:rPr>
        <w:t>项目管理</w:t>
      </w:r>
      <w:r>
        <w:rPr>
          <w:rFonts w:hint="eastAsia" w:ascii="仿宋_GB2312" w:hAnsi="仿宋_GB2312" w:eastAsia="仿宋_GB2312" w:cs="仿宋_GB2312"/>
          <w:b w:val="0"/>
          <w:bCs w:val="0"/>
          <w:color w:val="auto"/>
          <w:sz w:val="32"/>
          <w:szCs w:val="32"/>
          <w:u w:val="none"/>
          <w:lang w:val="en-US" w:eastAsia="zh-CN"/>
        </w:rPr>
        <w:t>的</w:t>
      </w:r>
      <w:r>
        <w:rPr>
          <w:rFonts w:hint="eastAsia" w:ascii="仿宋_GB2312" w:hAnsi="仿宋_GB2312" w:eastAsia="仿宋_GB2312" w:cs="仿宋_GB2312"/>
          <w:b w:val="0"/>
          <w:bCs w:val="0"/>
          <w:color w:val="auto"/>
          <w:sz w:val="32"/>
          <w:szCs w:val="32"/>
          <w:u w:val="none"/>
          <w:lang w:val="zh-CN" w:eastAsia="zh-CN"/>
        </w:rPr>
        <w:t>相关</w:t>
      </w:r>
      <w:r>
        <w:rPr>
          <w:rFonts w:hint="eastAsia" w:ascii="仿宋_GB2312" w:hAnsi="仿宋_GB2312" w:eastAsia="仿宋_GB2312" w:cs="仿宋_GB2312"/>
          <w:b w:val="0"/>
          <w:bCs w:val="0"/>
          <w:color w:val="auto"/>
          <w:sz w:val="32"/>
          <w:szCs w:val="32"/>
          <w:u w:val="none"/>
          <w:lang w:val="en-US" w:eastAsia="zh-CN"/>
        </w:rPr>
        <w:t>规定</w:t>
      </w:r>
      <w:r>
        <w:rPr>
          <w:rFonts w:hint="eastAsia" w:ascii="仿宋_GB2312" w:hAnsi="仿宋_GB2312" w:eastAsia="仿宋_GB2312" w:cs="仿宋_GB2312"/>
          <w:b w:val="0"/>
          <w:bCs w:val="0"/>
          <w:color w:val="auto"/>
          <w:sz w:val="32"/>
          <w:szCs w:val="32"/>
          <w:u w:val="none"/>
          <w:lang w:val="zh-CN" w:eastAsia="zh-CN"/>
        </w:rPr>
        <w:t>，严格执行项目</w:t>
      </w:r>
      <w:r>
        <w:rPr>
          <w:rFonts w:hint="eastAsia" w:ascii="仿宋_GB2312" w:hAnsi="仿宋_GB2312" w:eastAsia="仿宋_GB2312" w:cs="仿宋_GB2312"/>
          <w:b w:val="0"/>
          <w:bCs w:val="0"/>
          <w:color w:val="auto"/>
          <w:sz w:val="32"/>
          <w:szCs w:val="32"/>
          <w:u w:val="none"/>
          <w:lang w:val="en-US" w:eastAsia="zh-CN"/>
        </w:rPr>
        <w:t>资金</w:t>
      </w:r>
      <w:r>
        <w:rPr>
          <w:rFonts w:hint="eastAsia" w:ascii="仿宋_GB2312" w:hAnsi="仿宋_GB2312" w:eastAsia="仿宋_GB2312" w:cs="仿宋_GB2312"/>
          <w:b w:val="0"/>
          <w:bCs w:val="0"/>
          <w:color w:val="auto"/>
          <w:sz w:val="32"/>
          <w:szCs w:val="32"/>
          <w:u w:val="none"/>
          <w:lang w:val="zh-CN" w:eastAsia="zh-CN"/>
        </w:rPr>
        <w:t>绩效管理制度，扎实开展事前绩效评估，加强预算项目前端绩效管控，推动预算安排理性决策动态实施绩效运行监控，深入开展绩效自评。资金支持项目的条件、范围与支持方式</w:t>
      </w:r>
      <w:r>
        <w:rPr>
          <w:rFonts w:hint="eastAsia" w:ascii="仿宋_GB2312" w:hAnsi="仿宋_GB2312" w:eastAsia="仿宋_GB2312" w:cs="仿宋_GB2312"/>
          <w:b w:val="0"/>
          <w:bCs w:val="0"/>
          <w:color w:val="auto"/>
          <w:sz w:val="32"/>
          <w:szCs w:val="32"/>
          <w:u w:val="none"/>
          <w:lang w:val="en-US" w:eastAsia="zh-CN"/>
        </w:rPr>
        <w:t>符合相关管理规定</w:t>
      </w:r>
      <w:r>
        <w:rPr>
          <w:rFonts w:hint="eastAsia" w:ascii="仿宋_GB2312" w:hAnsi="仿宋_GB2312" w:eastAsia="仿宋_GB2312" w:cs="仿宋_GB2312"/>
          <w:b w:val="0"/>
          <w:bCs w:val="0"/>
          <w:color w:val="auto"/>
          <w:sz w:val="32"/>
          <w:szCs w:val="32"/>
          <w:u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4．资金分配的原则及考虑因素。</w:t>
      </w:r>
    </w:p>
    <w:p>
      <w:pPr>
        <w:pStyle w:val="6"/>
        <w:ind w:firstLine="640" w:firstLineChars="200"/>
        <w:rPr>
          <w:rFonts w:hint="eastAsia" w:ascii="仿宋_GB2312" w:hAnsi="仿宋_GB2312" w:eastAsia="仿宋_GB2312" w:cs="仿宋_GB2312"/>
          <w:b w:val="0"/>
          <w:bCs w:val="0"/>
          <w:color w:val="auto"/>
          <w:kern w:val="2"/>
          <w:sz w:val="32"/>
          <w:szCs w:val="32"/>
          <w:u w:val="none"/>
          <w:lang w:val="zh-CN" w:eastAsia="zh-CN" w:bidi="ar-SA"/>
        </w:rPr>
      </w:pPr>
      <w:r>
        <w:rPr>
          <w:rFonts w:hint="eastAsia" w:ascii="仿宋_GB2312" w:hAnsi="仿宋_GB2312" w:eastAsia="仿宋_GB2312" w:cs="仿宋_GB2312"/>
          <w:b w:val="0"/>
          <w:bCs w:val="0"/>
          <w:color w:val="auto"/>
          <w:kern w:val="2"/>
          <w:sz w:val="32"/>
          <w:szCs w:val="32"/>
          <w:u w:val="none"/>
          <w:lang w:val="zh-CN" w:eastAsia="zh-CN" w:bidi="ar-SA"/>
        </w:rPr>
        <w:t>我局所有项目</w:t>
      </w:r>
      <w:r>
        <w:rPr>
          <w:rFonts w:hint="eastAsia" w:ascii="仿宋_GB2312" w:hAnsi="仿宋_GB2312" w:eastAsia="仿宋_GB2312" w:cs="仿宋_GB2312"/>
          <w:b w:val="0"/>
          <w:bCs w:val="0"/>
          <w:color w:val="auto"/>
          <w:kern w:val="2"/>
          <w:sz w:val="32"/>
          <w:szCs w:val="32"/>
          <w:u w:val="none"/>
          <w:lang w:val="en-US" w:eastAsia="zh-CN" w:bidi="ar-SA"/>
        </w:rPr>
        <w:t>资金均按相关规定，</w:t>
      </w:r>
      <w:r>
        <w:rPr>
          <w:rFonts w:hint="eastAsia" w:ascii="仿宋_GB2312" w:hAnsi="仿宋_GB2312" w:eastAsia="仿宋_GB2312" w:cs="仿宋_GB2312"/>
          <w:b w:val="0"/>
          <w:bCs w:val="0"/>
          <w:color w:val="auto"/>
          <w:kern w:val="2"/>
          <w:sz w:val="32"/>
          <w:szCs w:val="32"/>
          <w:u w:val="none"/>
          <w:lang w:val="zh-CN" w:eastAsia="zh-CN" w:bidi="ar-SA"/>
        </w:rPr>
        <w:t>按照“政策目标明确、分配规范、支出方向协调、绩效结果挂钩”的原则分配。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napToGrid w:val="0"/>
          <w:color w:val="auto"/>
          <w:sz w:val="32"/>
          <w:szCs w:val="32"/>
          <w:lang w:eastAsia="zh-CN"/>
        </w:rPr>
      </w:pPr>
      <w:r>
        <w:rPr>
          <w:rFonts w:hint="eastAsia" w:ascii="仿宋_GB2312" w:hAnsi="仿宋_GB2312" w:eastAsia="仿宋_GB2312" w:cs="仿宋_GB2312"/>
          <w:b w:val="0"/>
          <w:bCs w:val="0"/>
          <w:snapToGrid w:val="0"/>
          <w:color w:val="auto"/>
          <w:sz w:val="32"/>
          <w:szCs w:val="32"/>
        </w:rPr>
        <w:t>认真谋划现代林业园区建设、木本油料提质增效、笋用竹产业发展等重点工作，大力推进林业产业发展</w:t>
      </w:r>
      <w:r>
        <w:rPr>
          <w:rFonts w:hint="eastAsia" w:ascii="仿宋_GB2312" w:hAnsi="仿宋_GB2312" w:eastAsia="仿宋_GB2312" w:cs="仿宋_GB2312"/>
          <w:b w:val="0"/>
          <w:bCs w:val="0"/>
          <w:snapToGrid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u w:val="none"/>
          <w:lang w:val="zh-CN"/>
        </w:rPr>
        <w:t>1．项目主要内容。</w:t>
      </w:r>
      <w:r>
        <w:rPr>
          <w:rFonts w:hint="eastAsia" w:ascii="仿宋_GB2312" w:hAnsi="仿宋_GB2312" w:eastAsia="仿宋_GB2312" w:cs="仿宋_GB2312"/>
          <w:b w:val="0"/>
          <w:bCs w:val="0"/>
          <w:sz w:val="32"/>
          <w:szCs w:val="32"/>
          <w:lang w:val="en-US" w:eastAsia="zh-CN"/>
        </w:rPr>
        <w:t>进一步加快推进核桃、油橄榄两大全产业链发展，统筹推进森林蔬菜（含笋用竹）、森林康养旅游、林下经济、珍稀林木花卉、林板加工5个特色产业，构建完善“2+5”现代林业产业体系，助推现代特色农业“一区两带七集群”建设，实现林业总产值236亿元以上，全市农民人均从林业产业获得收入达到3000元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val="zh-CN"/>
        </w:rPr>
        <w:t>项目实现的具体绩效目标。召</w:t>
      </w:r>
      <w:r>
        <w:rPr>
          <w:rFonts w:hint="eastAsia" w:ascii="仿宋_GB2312" w:hAnsi="仿宋_GB2312" w:eastAsia="仿宋_GB2312" w:cs="仿宋_GB2312"/>
          <w:b w:val="0"/>
          <w:bCs w:val="0"/>
          <w:sz w:val="32"/>
          <w:szCs w:val="32"/>
          <w:lang w:val="zh-CN" w:eastAsia="zh-CN"/>
        </w:rPr>
        <w:t>开产业现场会</w:t>
      </w:r>
      <w:r>
        <w:rPr>
          <w:rFonts w:hint="eastAsia" w:ascii="仿宋_GB2312" w:hAnsi="仿宋_GB2312" w:eastAsia="仿宋_GB2312" w:cs="仿宋_GB2312"/>
          <w:b w:val="0"/>
          <w:bCs w:val="0"/>
          <w:sz w:val="32"/>
          <w:szCs w:val="32"/>
          <w:lang w:val="en-US" w:eastAsia="zh-CN"/>
        </w:rPr>
        <w:t>3次，指导县区木本油料品种改良10万亩，木本油料基地提质增效10万亩，笋用竹基地建设2万亩，每个县区建设增彩添香示范村2个以上，建设核桃初加工厂10个，对5个市级现代林业园区巩固提升；助推乡村振兴，带动林农人均增收1000元以上；群众对发展林业产业支持率达到90%以上，林业经营主体对林业产业工作满意率达到90%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（三）项目自评步骤及方法</w:t>
      </w:r>
    </w:p>
    <w:p>
      <w:pPr>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color w:val="auto"/>
          <w:sz w:val="32"/>
          <w:szCs w:val="32"/>
          <w:u w:val="none"/>
          <w:lang w:val="zh-CN"/>
        </w:rPr>
        <w:t>我</w:t>
      </w:r>
      <w:r>
        <w:rPr>
          <w:rFonts w:hint="eastAsia" w:ascii="仿宋_GB2312" w:hAnsi="仿宋_GB2312" w:eastAsia="仿宋_GB2312" w:cs="仿宋_GB2312"/>
          <w:b w:val="0"/>
          <w:bCs w:val="0"/>
          <w:sz w:val="32"/>
          <w:szCs w:val="32"/>
          <w:lang w:val="zh-CN" w:eastAsia="zh-CN"/>
        </w:rPr>
        <w:t>局高度重视此次绩效自评工作，按照相关要求，一是认真学习领会文件精神，明确绩效评价要求，成立专项绩效评价工作组；</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val="zh-CN" w:eastAsia="zh-CN"/>
        </w:rPr>
        <w:t>及时收集基础资料，按照本次绩效评价要求，及时全面收集整理各类绩效评价基础资料，包括资金下达文件、绩效目标、财政政策执行、财经纪律监督执行、项目申报、批复、</w:t>
      </w:r>
      <w:r>
        <w:rPr>
          <w:rFonts w:hint="eastAsia" w:ascii="仿宋_GB2312" w:hAnsi="仿宋_GB2312" w:eastAsia="仿宋_GB2312" w:cs="仿宋_GB2312"/>
          <w:b w:val="0"/>
          <w:bCs w:val="0"/>
          <w:sz w:val="32"/>
          <w:szCs w:val="32"/>
          <w:lang w:val="en-US" w:eastAsia="zh-CN"/>
        </w:rPr>
        <w:t>实施、验收</w:t>
      </w:r>
      <w:r>
        <w:rPr>
          <w:rFonts w:hint="eastAsia" w:ascii="仿宋_GB2312" w:hAnsi="仿宋_GB2312" w:eastAsia="仿宋_GB2312" w:cs="仿宋_GB2312"/>
          <w:b w:val="0"/>
          <w:bCs w:val="0"/>
          <w:sz w:val="32"/>
          <w:szCs w:val="32"/>
          <w:lang w:val="zh-CN" w:eastAsia="zh-CN"/>
        </w:rPr>
        <w:t>等相关文件资料；</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val="zh-CN" w:eastAsia="zh-CN"/>
        </w:rPr>
        <w:t>是对照一级、二级指标，组织开展自查自评，分析项目实施、完成结果、项目效果等方面的情况；</w:t>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lang w:val="zh-CN" w:eastAsia="zh-CN"/>
        </w:rPr>
        <w:t>是全面总结项目存在的问题，提出相关建议；</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lang w:val="zh-CN" w:eastAsia="zh-CN"/>
        </w:rPr>
        <w:t>是</w:t>
      </w:r>
      <w:r>
        <w:rPr>
          <w:rFonts w:hint="eastAsia" w:ascii="仿宋_GB2312" w:hAnsi="仿宋_GB2312" w:eastAsia="仿宋_GB2312" w:cs="仿宋_GB2312"/>
          <w:b w:val="0"/>
          <w:bCs w:val="0"/>
          <w:sz w:val="32"/>
          <w:szCs w:val="32"/>
          <w:lang w:val="en-US" w:eastAsia="zh-CN"/>
        </w:rPr>
        <w:t>各项目实施科室提交</w:t>
      </w:r>
      <w:r>
        <w:rPr>
          <w:rFonts w:hint="eastAsia" w:ascii="仿宋_GB2312" w:hAnsi="仿宋_GB2312" w:eastAsia="仿宋_GB2312" w:cs="仿宋_GB2312"/>
          <w:b w:val="0"/>
          <w:bCs w:val="0"/>
          <w:sz w:val="32"/>
          <w:szCs w:val="32"/>
          <w:lang w:val="zh-CN" w:eastAsia="zh-CN"/>
        </w:rPr>
        <w:t>专项支出绩效自评报告</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六是由我局</w:t>
      </w:r>
      <w:r>
        <w:rPr>
          <w:rFonts w:hint="eastAsia" w:ascii="仿宋_GB2312" w:hAnsi="仿宋_GB2312" w:eastAsia="仿宋_GB2312" w:cs="仿宋_GB2312"/>
          <w:b w:val="0"/>
          <w:bCs w:val="0"/>
          <w:sz w:val="32"/>
          <w:szCs w:val="32"/>
          <w:lang w:val="en-US" w:eastAsia="zh-CN"/>
        </w:rPr>
        <w:t>林业产业和科技</w:t>
      </w:r>
      <w:r>
        <w:rPr>
          <w:rFonts w:hint="eastAsia" w:ascii="仿宋_GB2312" w:hAnsi="仿宋_GB2312" w:eastAsia="仿宋_GB2312" w:cs="仿宋_GB2312"/>
          <w:b w:val="0"/>
          <w:bCs w:val="0"/>
          <w:sz w:val="32"/>
          <w:szCs w:val="32"/>
          <w:lang w:val="zh-CN" w:eastAsia="zh-CN"/>
        </w:rPr>
        <w:t>科牵头的专项绩效评价工作组对各项目主管部门自评结果进行数据整理、分析，并撰写我局</w:t>
      </w:r>
      <w:r>
        <w:rPr>
          <w:rFonts w:hint="eastAsia" w:ascii="仿宋_GB2312" w:hAnsi="仿宋_GB2312" w:eastAsia="仿宋_GB2312" w:cs="仿宋_GB2312"/>
          <w:b w:val="0"/>
          <w:bCs w:val="0"/>
          <w:sz w:val="32"/>
          <w:szCs w:val="32"/>
          <w:lang w:val="en-US" w:eastAsia="zh-CN"/>
        </w:rPr>
        <w:t>现代林业产业发展</w:t>
      </w:r>
      <w:r>
        <w:rPr>
          <w:rFonts w:hint="eastAsia" w:ascii="仿宋_GB2312" w:hAnsi="仿宋_GB2312" w:eastAsia="仿宋_GB2312" w:cs="仿宋_GB2312"/>
          <w:b w:val="0"/>
          <w:bCs w:val="0"/>
          <w:sz w:val="32"/>
          <w:szCs w:val="32"/>
          <w:lang w:val="zh-CN" w:eastAsia="zh-CN"/>
        </w:rPr>
        <w:t>项目支出绩效的自评报告。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（一）项目资金申报及批复情况</w:t>
      </w:r>
    </w:p>
    <w:p>
      <w:pPr>
        <w:pStyle w:val="13"/>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2021</w:t>
      </w:r>
      <w:r>
        <w:rPr>
          <w:rFonts w:hint="eastAsia" w:ascii="仿宋_GB2312" w:hAnsi="仿宋_GB2312" w:eastAsia="仿宋_GB2312" w:cs="仿宋_GB2312"/>
          <w:b w:val="0"/>
          <w:bCs w:val="0"/>
          <w:kern w:val="2"/>
          <w:sz w:val="32"/>
          <w:szCs w:val="32"/>
          <w:lang w:val="zh-CN" w:eastAsia="zh-CN" w:bidi="ar-SA"/>
        </w:rPr>
        <w:t>年度</w:t>
      </w:r>
      <w:r>
        <w:rPr>
          <w:rFonts w:hint="eastAsia" w:ascii="仿宋_GB2312" w:hAnsi="仿宋_GB2312" w:eastAsia="仿宋_GB2312" w:cs="仿宋_GB2312"/>
          <w:b w:val="0"/>
          <w:bCs w:val="0"/>
          <w:kern w:val="2"/>
          <w:sz w:val="32"/>
          <w:szCs w:val="32"/>
          <w:lang w:val="en-US" w:eastAsia="zh-CN" w:bidi="ar-SA"/>
        </w:rPr>
        <w:t>现代林业产业发展项目</w:t>
      </w:r>
      <w:r>
        <w:rPr>
          <w:rFonts w:hint="eastAsia" w:ascii="仿宋_GB2312" w:hAnsi="仿宋_GB2312" w:eastAsia="仿宋_GB2312" w:cs="仿宋_GB2312"/>
          <w:b w:val="0"/>
          <w:bCs w:val="0"/>
          <w:kern w:val="2"/>
          <w:sz w:val="32"/>
          <w:szCs w:val="32"/>
          <w:lang w:val="zh-CN" w:eastAsia="zh-CN" w:bidi="ar-SA"/>
        </w:rPr>
        <w:t>资金总额：</w:t>
      </w:r>
      <w:r>
        <w:rPr>
          <w:rFonts w:hint="eastAsia" w:ascii="仿宋_GB2312" w:hAnsi="仿宋_GB2312" w:eastAsia="仿宋_GB2312" w:cs="仿宋_GB2312"/>
          <w:b w:val="0"/>
          <w:bCs w:val="0"/>
          <w:kern w:val="2"/>
          <w:sz w:val="32"/>
          <w:szCs w:val="32"/>
          <w:lang w:val="en-US" w:eastAsia="zh-CN" w:bidi="ar-SA"/>
        </w:rPr>
        <w:t>29</w:t>
      </w:r>
      <w:r>
        <w:rPr>
          <w:rFonts w:hint="eastAsia" w:ascii="仿宋_GB2312" w:hAnsi="仿宋_GB2312" w:eastAsia="仿宋_GB2312" w:cs="仿宋_GB2312"/>
          <w:b w:val="0"/>
          <w:bCs w:val="0"/>
          <w:kern w:val="2"/>
          <w:sz w:val="32"/>
          <w:szCs w:val="32"/>
          <w:lang w:val="zh-CN" w:eastAsia="zh-CN" w:bidi="ar-SA"/>
        </w:rPr>
        <w:t>万元，全部为财政资金</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仿宋_GB2312" w:hAnsi="仿宋_GB2312" w:eastAsia="仿宋_GB2312" w:cs="仿宋_GB2312"/>
          <w:b w:val="0"/>
          <w:bCs w:val="0"/>
          <w:color w:val="C00000"/>
          <w:sz w:val="32"/>
          <w:szCs w:val="32"/>
          <w:lang w:val="zh-CN"/>
        </w:rPr>
      </w:pPr>
      <w:r>
        <w:rPr>
          <w:rFonts w:hint="eastAsia" w:ascii="仿宋_GB2312" w:hAnsi="仿宋_GB2312" w:eastAsia="仿宋_GB2312" w:cs="仿宋_GB2312"/>
          <w:b w:val="0"/>
          <w:bCs w:val="0"/>
          <w:sz w:val="32"/>
          <w:szCs w:val="32"/>
          <w:lang w:val="zh-CN"/>
        </w:rPr>
        <w:t>1．资金到位。</w:t>
      </w:r>
    </w:p>
    <w:p>
      <w:pPr>
        <w:pStyle w:val="13"/>
        <w:ind w:left="0" w:leftChars="0" w:firstLine="640" w:firstLineChars="200"/>
        <w:jc w:val="left"/>
        <w:rPr>
          <w:rFonts w:hint="eastAsia" w:ascii="仿宋_GB2312" w:hAnsi="仿宋_GB2312" w:eastAsia="仿宋_GB2312" w:cs="仿宋_GB2312"/>
          <w:b w:val="0"/>
          <w:bCs w:val="0"/>
          <w:kern w:val="2"/>
          <w:sz w:val="32"/>
          <w:szCs w:val="32"/>
          <w:lang w:val="zh-CN" w:eastAsia="zh-CN" w:bidi="ar-SA"/>
        </w:rPr>
      </w:pPr>
      <w:r>
        <w:rPr>
          <w:rFonts w:hint="eastAsia" w:ascii="仿宋_GB2312" w:hAnsi="仿宋_GB2312" w:eastAsia="仿宋_GB2312" w:cs="仿宋_GB2312"/>
          <w:b w:val="0"/>
          <w:bCs w:val="0"/>
          <w:kern w:val="2"/>
          <w:sz w:val="32"/>
          <w:szCs w:val="32"/>
          <w:lang w:val="en-US" w:eastAsia="zh-CN" w:bidi="ar-SA"/>
        </w:rPr>
        <w:t>现代林业产业发展</w:t>
      </w:r>
      <w:r>
        <w:rPr>
          <w:rFonts w:hint="eastAsia" w:ascii="仿宋_GB2312" w:hAnsi="仿宋_GB2312" w:eastAsia="仿宋_GB2312" w:cs="仿宋_GB2312"/>
          <w:b w:val="0"/>
          <w:bCs w:val="0"/>
          <w:kern w:val="2"/>
          <w:sz w:val="32"/>
          <w:szCs w:val="32"/>
          <w:lang w:val="zh-CN" w:eastAsia="zh-CN" w:bidi="ar-SA"/>
        </w:rPr>
        <w:t>资金到位</w:t>
      </w:r>
      <w:r>
        <w:rPr>
          <w:rFonts w:hint="eastAsia" w:ascii="仿宋_GB2312" w:hAnsi="仿宋_GB2312" w:eastAsia="仿宋_GB2312" w:cs="仿宋_GB2312"/>
          <w:b w:val="0"/>
          <w:bCs w:val="0"/>
          <w:kern w:val="2"/>
          <w:sz w:val="32"/>
          <w:szCs w:val="32"/>
          <w:lang w:val="en-US" w:eastAsia="zh-CN" w:bidi="ar-SA"/>
        </w:rPr>
        <w:t>29</w:t>
      </w:r>
      <w:r>
        <w:rPr>
          <w:rFonts w:hint="eastAsia" w:ascii="仿宋_GB2312" w:hAnsi="仿宋_GB2312" w:eastAsia="仿宋_GB2312" w:cs="仿宋_GB2312"/>
          <w:b w:val="0"/>
          <w:bCs w:val="0"/>
          <w:kern w:val="2"/>
          <w:sz w:val="32"/>
          <w:szCs w:val="32"/>
          <w:lang w:val="zh-CN" w:eastAsia="zh-CN" w:bidi="ar-SA"/>
        </w:rPr>
        <w:t>万元，资金到位率100%。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．资金使用。</w:t>
      </w:r>
    </w:p>
    <w:p>
      <w:pPr>
        <w:pStyle w:val="13"/>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zh-CN" w:eastAsia="zh-CN" w:bidi="ar-SA"/>
        </w:rPr>
        <w:t>截至目前，我市</w:t>
      </w:r>
      <w:r>
        <w:rPr>
          <w:rFonts w:hint="eastAsia" w:ascii="仿宋_GB2312" w:hAnsi="仿宋_GB2312" w:eastAsia="仿宋_GB2312" w:cs="仿宋_GB2312"/>
          <w:b w:val="0"/>
          <w:bCs w:val="0"/>
          <w:kern w:val="2"/>
          <w:sz w:val="32"/>
          <w:szCs w:val="32"/>
          <w:lang w:val="en-US" w:eastAsia="zh-CN" w:bidi="ar-SA"/>
        </w:rPr>
        <w:t>2021年现代林业产业发展</w:t>
      </w:r>
      <w:r>
        <w:rPr>
          <w:rFonts w:hint="eastAsia" w:ascii="仿宋_GB2312" w:hAnsi="仿宋_GB2312" w:eastAsia="仿宋_GB2312" w:cs="仿宋_GB2312"/>
          <w:b w:val="0"/>
          <w:bCs w:val="0"/>
          <w:kern w:val="2"/>
          <w:sz w:val="32"/>
          <w:szCs w:val="32"/>
          <w:lang w:val="zh-CN" w:eastAsia="zh-CN" w:bidi="ar-SA"/>
        </w:rPr>
        <w:t xml:space="preserve">项目资金支付 </w:t>
      </w:r>
      <w:r>
        <w:rPr>
          <w:rFonts w:hint="eastAsia" w:ascii="仿宋_GB2312" w:hAnsi="仿宋_GB2312" w:eastAsia="仿宋_GB2312" w:cs="仿宋_GB2312"/>
          <w:b w:val="0"/>
          <w:bCs w:val="0"/>
          <w:kern w:val="2"/>
          <w:sz w:val="32"/>
          <w:szCs w:val="32"/>
          <w:lang w:val="en-US" w:eastAsia="zh-CN" w:bidi="ar-SA"/>
        </w:rPr>
        <w:t>29</w:t>
      </w:r>
      <w:r>
        <w:rPr>
          <w:rFonts w:hint="eastAsia" w:ascii="仿宋_GB2312" w:hAnsi="仿宋_GB2312" w:eastAsia="仿宋_GB2312" w:cs="仿宋_GB2312"/>
          <w:b w:val="0"/>
          <w:bCs w:val="0"/>
          <w:kern w:val="2"/>
          <w:sz w:val="32"/>
          <w:szCs w:val="32"/>
          <w:lang w:val="zh-CN" w:eastAsia="zh-CN" w:bidi="ar-SA"/>
        </w:rPr>
        <w:t>万元，无结余结转。</w:t>
      </w:r>
      <w:r>
        <w:rPr>
          <w:rFonts w:hint="eastAsia" w:ascii="仿宋_GB2312" w:hAnsi="仿宋_GB2312" w:eastAsia="仿宋_GB2312" w:cs="仿宋_GB2312"/>
          <w:b w:val="0"/>
          <w:bCs w:val="0"/>
          <w:kern w:val="2"/>
          <w:sz w:val="32"/>
          <w:szCs w:val="32"/>
          <w:lang w:val="en-US" w:eastAsia="zh-CN" w:bidi="ar-SA"/>
        </w:rPr>
        <w:t>此项目资金使用安全、规范、高效。资金支付范围、支付标准、支付进度、支付依据合规合法，与预算相符。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（三）项目财务管理情况</w:t>
      </w:r>
    </w:p>
    <w:p>
      <w:pPr>
        <w:pStyle w:val="13"/>
        <w:ind w:left="0" w:leftChars="0" w:firstLine="640" w:firstLineChars="200"/>
        <w:jc w:val="left"/>
        <w:rPr>
          <w:rFonts w:hint="eastAsia" w:ascii="仿宋_GB2312" w:hAnsi="仿宋_GB2312" w:eastAsia="仿宋_GB2312" w:cs="仿宋_GB2312"/>
          <w:b w:val="0"/>
          <w:bCs w:val="0"/>
          <w:kern w:val="2"/>
          <w:sz w:val="32"/>
          <w:szCs w:val="32"/>
          <w:lang w:val="zh-CN" w:eastAsia="zh-CN" w:bidi="ar-SA"/>
        </w:rPr>
      </w:pPr>
      <w:r>
        <w:rPr>
          <w:rFonts w:hint="eastAsia" w:ascii="仿宋_GB2312" w:hAnsi="仿宋_GB2312" w:eastAsia="仿宋_GB2312" w:cs="仿宋_GB2312"/>
          <w:b w:val="0"/>
          <w:bCs w:val="0"/>
          <w:kern w:val="2"/>
          <w:sz w:val="32"/>
          <w:szCs w:val="32"/>
          <w:lang w:val="zh-CN" w:eastAsia="zh-CN" w:bidi="ar-SA"/>
        </w:rPr>
        <w:t>我局严格执行中央、省、市有关资金使用与管理规定，实行专款专用。加强财务管理，规范会计核算，及时准确掌握资金到位、使用等情况，真实完整地反映会计报表，努力提高资金管理效果，资金无截留、挤占、</w:t>
      </w:r>
      <w:r>
        <w:rPr>
          <w:rFonts w:hint="eastAsia" w:ascii="仿宋_GB2312" w:hAnsi="仿宋_GB2312" w:eastAsia="仿宋_GB2312" w:cs="仿宋_GB2312"/>
          <w:b w:val="0"/>
          <w:bCs w:val="0"/>
          <w:kern w:val="2"/>
          <w:sz w:val="32"/>
          <w:szCs w:val="32"/>
          <w:lang w:val="en-US" w:eastAsia="zh-CN" w:bidi="ar-SA"/>
        </w:rPr>
        <w:t>挪用现象</w:t>
      </w:r>
      <w:r>
        <w:rPr>
          <w:rFonts w:hint="eastAsia" w:ascii="仿宋_GB2312" w:hAnsi="仿宋_GB2312" w:eastAsia="仿宋_GB2312" w:cs="仿宋_GB2312"/>
          <w:b w:val="0"/>
          <w:bCs w:val="0"/>
          <w:kern w:val="2"/>
          <w:sz w:val="32"/>
          <w:szCs w:val="32"/>
          <w:lang w:val="zh-CN" w:eastAsia="zh-CN" w:bidi="ar-SA"/>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项目实施及管理情况</w:t>
      </w:r>
    </w:p>
    <w:p>
      <w:pPr>
        <w:spacing w:line="36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（一）项目组织架构及实施流程</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zh-CN" w:eastAsia="zh-CN" w:bidi="ar-SA"/>
        </w:rPr>
      </w:pPr>
      <w:r>
        <w:rPr>
          <w:rFonts w:hint="eastAsia" w:ascii="仿宋_GB2312" w:hAnsi="仿宋_GB2312" w:eastAsia="仿宋_GB2312" w:cs="仿宋_GB2312"/>
          <w:b w:val="0"/>
          <w:bCs w:val="0"/>
          <w:color w:val="auto"/>
          <w:sz w:val="32"/>
          <w:szCs w:val="32"/>
          <w:u w:val="none"/>
        </w:rPr>
        <w:t>1</w:t>
      </w:r>
      <w:r>
        <w:rPr>
          <w:rFonts w:hint="eastAsia" w:ascii="仿宋_GB2312" w:hAnsi="仿宋_GB2312" w:eastAsia="仿宋_GB2312" w:cs="仿宋_GB2312"/>
          <w:b w:val="0"/>
          <w:bCs w:val="0"/>
          <w:i w:val="0"/>
          <w:iCs w:val="0"/>
          <w:kern w:val="2"/>
          <w:sz w:val="32"/>
          <w:szCs w:val="32"/>
          <w:lang w:val="zh-CN" w:eastAsia="zh-CN" w:bidi="ar-SA"/>
        </w:rPr>
        <w:t>.高度重视，加强管理。我局落实分管领导和责任科室，加强对资金分配、项目立项等方面管理，组织项目的具体实施。</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zh-CN" w:eastAsia="zh-CN" w:bidi="ar-SA"/>
        </w:rPr>
      </w:pPr>
      <w:r>
        <w:rPr>
          <w:rFonts w:hint="eastAsia" w:ascii="仿宋_GB2312" w:hAnsi="仿宋_GB2312" w:eastAsia="仿宋_GB2312" w:cs="仿宋_GB2312"/>
          <w:b w:val="0"/>
          <w:bCs w:val="0"/>
          <w:i w:val="0"/>
          <w:iCs w:val="0"/>
          <w:kern w:val="2"/>
          <w:sz w:val="32"/>
          <w:szCs w:val="32"/>
          <w:lang w:val="zh-CN" w:eastAsia="zh-CN" w:bidi="ar-SA"/>
        </w:rPr>
        <w:t>2.认真学习，把握规范要求。不断深化学习相关政策，项目严格按照各相应技术标准及验收规范开展。</w:t>
      </w:r>
    </w:p>
    <w:p>
      <w:pPr>
        <w:spacing w:line="36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（二）项目管理情况</w:t>
      </w:r>
    </w:p>
    <w:p>
      <w:pPr>
        <w:spacing w:line="576" w:lineRule="exact"/>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相关业务科室</w:t>
      </w:r>
      <w:r>
        <w:rPr>
          <w:rFonts w:hint="eastAsia" w:ascii="仿宋_GB2312" w:hAnsi="仿宋_GB2312" w:eastAsia="仿宋_GB2312" w:cs="仿宋_GB2312"/>
          <w:b w:val="0"/>
          <w:bCs w:val="0"/>
          <w:color w:val="auto"/>
          <w:sz w:val="32"/>
          <w:szCs w:val="32"/>
          <w:u w:val="none"/>
        </w:rPr>
        <w:t>具体</w:t>
      </w:r>
      <w:r>
        <w:rPr>
          <w:rFonts w:hint="eastAsia" w:ascii="仿宋_GB2312" w:hAnsi="仿宋_GB2312" w:eastAsia="仿宋_GB2312" w:cs="仿宋_GB2312"/>
          <w:b w:val="0"/>
          <w:bCs w:val="0"/>
          <w:color w:val="auto"/>
          <w:sz w:val="32"/>
          <w:szCs w:val="32"/>
          <w:u w:val="none"/>
          <w:lang w:eastAsia="zh-CN"/>
        </w:rPr>
        <w:t>组织</w:t>
      </w:r>
      <w:r>
        <w:rPr>
          <w:rFonts w:hint="eastAsia" w:ascii="仿宋_GB2312" w:hAnsi="仿宋_GB2312" w:eastAsia="仿宋_GB2312" w:cs="仿宋_GB2312"/>
          <w:b w:val="0"/>
          <w:bCs w:val="0"/>
          <w:color w:val="auto"/>
          <w:sz w:val="32"/>
          <w:szCs w:val="32"/>
          <w:u w:val="none"/>
        </w:rPr>
        <w:t>实施，严格执行财务管理制度、财务处理及时，会计核算规范。在项目建设过程中，按项目工程建设管理、资金管理要求，严格按政府采购等程序实施，确保项目质量和进度。</w:t>
      </w:r>
    </w:p>
    <w:p>
      <w:pPr>
        <w:numPr>
          <w:ilvl w:val="0"/>
          <w:numId w:val="6"/>
        </w:numPr>
        <w:spacing w:line="360" w:lineRule="auto"/>
        <w:ind w:left="0" w:leftChars="0"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项目监管情况</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该项目实施的事前、事中、事后监管受</w:t>
      </w:r>
      <w:r>
        <w:rPr>
          <w:rFonts w:hint="eastAsia" w:ascii="仿宋_GB2312" w:hAnsi="仿宋_GB2312" w:eastAsia="仿宋_GB2312" w:cs="仿宋_GB2312"/>
          <w:b w:val="0"/>
          <w:bCs w:val="0"/>
          <w:sz w:val="32"/>
          <w:szCs w:val="32"/>
          <w:lang w:eastAsia="zh-CN"/>
        </w:rPr>
        <w:t>局党委办及财务科</w:t>
      </w:r>
      <w:r>
        <w:rPr>
          <w:rFonts w:hint="eastAsia" w:ascii="仿宋_GB2312" w:hAnsi="仿宋_GB2312" w:eastAsia="仿宋_GB2312" w:cs="仿宋_GB2312"/>
          <w:b w:val="0"/>
          <w:bCs w:val="0"/>
          <w:sz w:val="32"/>
          <w:szCs w:val="32"/>
        </w:rPr>
        <w:t>的监督，资金支付受财政局统一监管。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rPr>
        <w:t>四、项目绩效情况</w:t>
      </w:r>
      <w:r>
        <w:rPr>
          <w:rFonts w:hint="eastAsia" w:ascii="仿宋_GB2312" w:hAnsi="仿宋_GB2312" w:eastAsia="仿宋_GB2312" w:cs="仿宋_GB2312"/>
          <w:b w:val="0"/>
          <w:bCs w:val="0"/>
          <w:sz w:val="32"/>
          <w:szCs w:val="32"/>
          <w:u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C00000"/>
          <w:sz w:val="32"/>
          <w:szCs w:val="32"/>
          <w:u w:val="none"/>
          <w:lang w:val="zh-CN"/>
        </w:rPr>
      </w:pPr>
      <w:r>
        <w:rPr>
          <w:rFonts w:hint="eastAsia" w:ascii="仿宋_GB2312" w:hAnsi="仿宋_GB2312" w:eastAsia="仿宋_GB2312" w:cs="仿宋_GB2312"/>
          <w:b w:val="0"/>
          <w:bCs w:val="0"/>
          <w:sz w:val="32"/>
          <w:szCs w:val="32"/>
          <w:u w:val="none"/>
          <w:lang w:val="zh-CN"/>
        </w:rPr>
        <w:t>（一）项目完成情况</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zh-CN" w:eastAsia="zh-CN" w:bidi="ar-SA"/>
        </w:rPr>
      </w:pPr>
      <w:r>
        <w:rPr>
          <w:rFonts w:hint="eastAsia" w:ascii="仿宋_GB2312" w:hAnsi="仿宋_GB2312" w:eastAsia="仿宋_GB2312" w:cs="仿宋_GB2312"/>
          <w:b w:val="0"/>
          <w:bCs w:val="0"/>
          <w:snapToGrid w:val="0"/>
          <w:sz w:val="32"/>
          <w:szCs w:val="32"/>
          <w:lang w:val="en-US" w:eastAsia="zh-CN"/>
        </w:rPr>
        <w:t>1</w:t>
      </w:r>
      <w:r>
        <w:rPr>
          <w:rFonts w:hint="eastAsia" w:ascii="仿宋_GB2312" w:hAnsi="仿宋_GB2312" w:eastAsia="仿宋_GB2312" w:cs="仿宋_GB2312"/>
          <w:b w:val="0"/>
          <w:bCs w:val="0"/>
          <w:i w:val="0"/>
          <w:iCs w:val="0"/>
          <w:kern w:val="2"/>
          <w:sz w:val="32"/>
          <w:szCs w:val="32"/>
          <w:lang w:val="en-US" w:eastAsia="zh-CN" w:bidi="ar-SA"/>
        </w:rPr>
        <w:t>.数量指标：</w:t>
      </w:r>
      <w:r>
        <w:rPr>
          <w:rFonts w:hint="eastAsia" w:ascii="仿宋_GB2312" w:hAnsi="仿宋_GB2312" w:eastAsia="仿宋_GB2312" w:cs="仿宋_GB2312"/>
          <w:b w:val="0"/>
          <w:bCs w:val="0"/>
          <w:i w:val="0"/>
          <w:iCs w:val="0"/>
          <w:kern w:val="2"/>
          <w:sz w:val="32"/>
          <w:szCs w:val="32"/>
          <w:lang w:val="zh-CN" w:eastAsia="zh-CN" w:bidi="ar-SA"/>
        </w:rPr>
        <w:t>2021年，全市上下凝心聚力，勇求突破，认真谋划现代林业园区建设、木本油料提质增效、笋用竹产业发展等重点工作，大力推进林业产业发展，在市委、市政府坚强领导和省局关心支持下，各项工作取得了明显成效。</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zh-CN" w:eastAsia="zh-CN" w:bidi="ar-SA"/>
        </w:rPr>
      </w:pPr>
      <w:r>
        <w:rPr>
          <w:rFonts w:hint="eastAsia" w:ascii="仿宋_GB2312" w:hAnsi="仿宋_GB2312" w:eastAsia="仿宋_GB2312" w:cs="仿宋_GB2312"/>
          <w:b w:val="0"/>
          <w:bCs w:val="0"/>
          <w:i w:val="0"/>
          <w:iCs w:val="0"/>
          <w:kern w:val="2"/>
          <w:sz w:val="32"/>
          <w:szCs w:val="32"/>
          <w:lang w:val="zh-CN" w:eastAsia="zh-CN" w:bidi="ar-SA"/>
        </w:rPr>
        <w:t>同步梯次推进，现代林业园区全面提升。一是争创国家级园区。朝天核桃现代林业产业园区、中国西部（广元）绿色家居产业城成功创建国家林业产业示范园区。二是培育省级园区。剑阁县核桃现代林业园区、昭化区林下中药材园区创建省星级林业园区已通过现场核查，旺苍英萃核桃园区、青川油橄榄园区、利州木本油料园区被市政府推荐申报省星级培育园区。三是认定市级园区。苍溪高晨核桃园区、青川沙州油橄榄园区、朝天两河口笋用竹园区等7个园区创建为市级现代林业园区。四是承办现场会议</w:t>
      </w:r>
      <w:r>
        <w:rPr>
          <w:rFonts w:hint="eastAsia" w:ascii="仿宋_GB2312" w:hAnsi="仿宋_GB2312" w:eastAsia="仿宋_GB2312" w:cs="仿宋_GB2312"/>
          <w:b w:val="0"/>
          <w:bCs w:val="0"/>
          <w:i w:val="0"/>
          <w:iCs w:val="0"/>
          <w:kern w:val="2"/>
          <w:sz w:val="32"/>
          <w:szCs w:val="32"/>
          <w:lang w:val="en-US" w:eastAsia="zh-CN" w:bidi="ar-SA"/>
        </w:rPr>
        <w:t>3次</w:t>
      </w:r>
      <w:r>
        <w:rPr>
          <w:rFonts w:hint="eastAsia" w:ascii="仿宋_GB2312" w:hAnsi="仿宋_GB2312" w:eastAsia="仿宋_GB2312" w:cs="仿宋_GB2312"/>
          <w:b w:val="0"/>
          <w:bCs w:val="0"/>
          <w:i w:val="0"/>
          <w:iCs w:val="0"/>
          <w:kern w:val="2"/>
          <w:sz w:val="32"/>
          <w:szCs w:val="32"/>
          <w:lang w:val="zh-CN" w:eastAsia="zh-CN" w:bidi="ar-SA"/>
        </w:rPr>
        <w:t>。全省现代林业园区建设现场推进会在我市召开。</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zh-CN" w:eastAsia="zh-CN" w:bidi="ar-SA"/>
        </w:rPr>
      </w:pPr>
      <w:r>
        <w:rPr>
          <w:rFonts w:hint="eastAsia" w:ascii="仿宋_GB2312" w:hAnsi="仿宋_GB2312" w:eastAsia="仿宋_GB2312" w:cs="仿宋_GB2312"/>
          <w:b w:val="0"/>
          <w:bCs w:val="0"/>
          <w:i w:val="0"/>
          <w:iCs w:val="0"/>
          <w:kern w:val="2"/>
          <w:sz w:val="32"/>
          <w:szCs w:val="32"/>
          <w:lang w:val="zh-CN" w:eastAsia="zh-CN" w:bidi="ar-SA"/>
        </w:rPr>
        <w:t>突出提质增效，林业特色产业加快发展。一是推进木本油料提质增效。实施核桃品种改良</w:t>
      </w:r>
      <w:r>
        <w:rPr>
          <w:rFonts w:hint="eastAsia" w:ascii="仿宋_GB2312" w:hAnsi="仿宋_GB2312" w:eastAsia="仿宋_GB2312" w:cs="仿宋_GB2312"/>
          <w:b w:val="0"/>
          <w:bCs w:val="0"/>
          <w:i w:val="0"/>
          <w:iCs w:val="0"/>
          <w:kern w:val="2"/>
          <w:sz w:val="32"/>
          <w:szCs w:val="32"/>
          <w:lang w:val="en-US" w:eastAsia="zh-CN" w:bidi="ar-SA"/>
        </w:rPr>
        <w:t>15.2</w:t>
      </w:r>
      <w:r>
        <w:rPr>
          <w:rFonts w:hint="eastAsia" w:ascii="仿宋_GB2312" w:hAnsi="仿宋_GB2312" w:eastAsia="仿宋_GB2312" w:cs="仿宋_GB2312"/>
          <w:b w:val="0"/>
          <w:bCs w:val="0"/>
          <w:i w:val="0"/>
          <w:iCs w:val="0"/>
          <w:kern w:val="2"/>
          <w:sz w:val="32"/>
          <w:szCs w:val="32"/>
          <w:lang w:val="zh-CN" w:eastAsia="zh-CN" w:bidi="ar-SA"/>
        </w:rPr>
        <w:t>万亩，近年新栽实生苗品种改良任务基本完成。新建成木本油料丰产稳产示范基地20万亩，累计建成50.3万亩。实现核桃产量22.28万吨、油橄榄产量5572吨。二是推进以笋用竹为重点的森林蔬菜产业发展。新栽笋用竹3</w:t>
      </w:r>
      <w:r>
        <w:rPr>
          <w:rFonts w:hint="eastAsia" w:ascii="仿宋_GB2312" w:hAnsi="仿宋_GB2312" w:eastAsia="仿宋_GB2312" w:cs="仿宋_GB2312"/>
          <w:b w:val="0"/>
          <w:bCs w:val="0"/>
          <w:i w:val="0"/>
          <w:iCs w:val="0"/>
          <w:kern w:val="2"/>
          <w:sz w:val="32"/>
          <w:szCs w:val="32"/>
          <w:lang w:val="en-US" w:eastAsia="zh-CN" w:bidi="ar-SA"/>
        </w:rPr>
        <w:t>.1</w:t>
      </w:r>
      <w:r>
        <w:rPr>
          <w:rFonts w:hint="eastAsia" w:ascii="仿宋_GB2312" w:hAnsi="仿宋_GB2312" w:eastAsia="仿宋_GB2312" w:cs="仿宋_GB2312"/>
          <w:b w:val="0"/>
          <w:bCs w:val="0"/>
          <w:i w:val="0"/>
          <w:iCs w:val="0"/>
          <w:kern w:val="2"/>
          <w:sz w:val="32"/>
          <w:szCs w:val="32"/>
          <w:lang w:val="zh-CN" w:eastAsia="zh-CN" w:bidi="ar-SA"/>
        </w:rPr>
        <w:t>万亩，抚育改造野生巴山木竹笋用竹林1.2万亩。利州区中口笋用竹基地、朝天区两河口笋用竹基地被省林草局认定为省级竹产业示范基地。三是做强林下经济。新发展芍药、金丝皇菊、玫瑰、茯苓、柴胡等林下种植和林蜂、林禽、林畜等林下养殖为主的林下经济10.1万亩。利州区精珍竹笋林下经济示范基地建成国家林下经济示范基地。四是做长产业链条。10个核桃初加工厂建成投产。</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围绕重要节点，积极推进花卉产业发展。结合乡村振兴示范村建设，各县区积极推进增彩添香示范点、示范村建设。全市共打造增彩添香示范点7个，新栽植各类芍药、月季、鼠尾草等观赏花卉2000余亩，栽植金丝皇菊、洋甘菊、金银花等药材花卉3000余亩；打造了苍溪船山村和宝珠村、青川清坪村和幸福村、利州区万和村等14个增彩添香示范村；苍溪县结合梨仙湖至亭子口电站段翠竹长廊建设打造了增彩添香长廊10公里，青川县结合公路绿化彩化打造了凉水至关庄增彩添香廊道12公里，利州区围绕龙潭十景在缘溪谷两边栽植美人梅、紫荆、樱花等，建成增彩添香廊道8.8公里，全市合计建成增彩添香廊道50余公里。各县区围绕特色花卉产业发展，举办了朝天樱花节、苍溪梨花节、旺苍芍药花节、昭化桃花节、利州月季花节等主题花卉旅游节庆活动。</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2.质量指标。品种改良成活率达93%以上，核桃、油橄榄、笋用竹栽植成活率达92%以上。</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3.时效指标。现代林业产业发展项目于2021年12月31日前全面完成。</w:t>
      </w:r>
    </w:p>
    <w:p>
      <w:pPr>
        <w:pStyle w:val="6"/>
        <w:numPr>
          <w:ilvl w:val="0"/>
          <w:numId w:val="0"/>
        </w:numPr>
        <w:ind w:firstLine="64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（二）项目效益情况</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snapToGrid w:val="0"/>
          <w:sz w:val="32"/>
          <w:szCs w:val="32"/>
          <w:lang w:val="en-US" w:eastAsia="zh-CN"/>
        </w:rPr>
        <w:t>1</w:t>
      </w:r>
      <w:r>
        <w:rPr>
          <w:rFonts w:hint="eastAsia" w:ascii="仿宋_GB2312" w:hAnsi="仿宋_GB2312" w:eastAsia="仿宋_GB2312" w:cs="仿宋_GB2312"/>
          <w:b w:val="0"/>
          <w:bCs w:val="0"/>
          <w:i w:val="0"/>
          <w:iCs w:val="0"/>
          <w:kern w:val="2"/>
          <w:sz w:val="32"/>
          <w:szCs w:val="32"/>
          <w:lang w:val="en-US" w:eastAsia="zh-CN" w:bidi="ar-SA"/>
        </w:rPr>
        <w:t>.社会效益。项目实施过程中，通过指导督促县区园区建设、统筹推进木本油料产业、森林蔬菜（含笋用竹）、森林康养旅游、林下经济、珍稀林木花卉、林板加工5个特色产业发展，助推乡村振兴，带动林农人均增收1200元以上，乡村产业兴旺。</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2.生态效益。通过项目的实施，吸引了周边人群旅游观光，美化了当地环境，提高了人居质量。</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3.可持续影响效益。保障了林业经济稳步发展，推进林业可持续发展。改善森林生态系统功能，构建稳定的森林生态系统。</w:t>
      </w:r>
    </w:p>
    <w:p>
      <w:pPr>
        <w:pStyle w:val="13"/>
        <w:ind w:left="0" w:leftChars="0" w:firstLine="640" w:firstLineChars="200"/>
        <w:jc w:val="left"/>
        <w:rPr>
          <w:rFonts w:hint="eastAsia" w:ascii="仿宋_GB2312" w:hAnsi="仿宋_GB2312" w:eastAsia="仿宋_GB2312" w:cs="仿宋_GB2312"/>
          <w:b w:val="0"/>
          <w:bCs w:val="0"/>
          <w:i w:val="0"/>
          <w:iCs w:val="0"/>
          <w:kern w:val="2"/>
          <w:sz w:val="32"/>
          <w:szCs w:val="32"/>
          <w:lang w:val="en-US" w:eastAsia="zh-CN" w:bidi="ar-SA"/>
        </w:rPr>
      </w:pPr>
      <w:r>
        <w:rPr>
          <w:rFonts w:hint="eastAsia" w:ascii="仿宋_GB2312" w:hAnsi="仿宋_GB2312" w:eastAsia="仿宋_GB2312" w:cs="仿宋_GB2312"/>
          <w:b w:val="0"/>
          <w:bCs w:val="0"/>
          <w:i w:val="0"/>
          <w:iCs w:val="0"/>
          <w:kern w:val="2"/>
          <w:sz w:val="32"/>
          <w:szCs w:val="32"/>
          <w:lang w:val="en-US" w:eastAsia="zh-CN" w:bidi="ar-SA"/>
        </w:rPr>
        <w:t>4.群众对发展林业产业支持率达到95%以上，林业经营主体对林业产业工作满意率达到95%以上。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single"/>
          <w:lang w:val="zh-CN" w:eastAsia="zh-CN"/>
        </w:rPr>
      </w:pPr>
      <w:r>
        <w:rPr>
          <w:rFonts w:hint="eastAsia" w:ascii="仿宋_GB2312" w:hAnsi="仿宋_GB2312" w:eastAsia="仿宋_GB2312" w:cs="仿宋_GB2312"/>
          <w:b w:val="0"/>
          <w:bCs w:val="0"/>
          <w:color w:val="auto"/>
          <w:sz w:val="32"/>
          <w:szCs w:val="32"/>
          <w:lang w:val="en-US" w:eastAsia="zh-CN"/>
        </w:rPr>
        <w:t>项目决策科学，依据充分，项目管理较为规范，项目完成效果好，实施后达到了预期目的，促进林业产业发展、助推乡村振兴、带动群众增收。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（三）相关建议</w:t>
      </w:r>
    </w:p>
    <w:p>
      <w:pPr>
        <w:pStyle w:val="13"/>
        <w:rPr>
          <w:rFonts w:hint="eastAsia" w:ascii="仿宋_GB2312" w:hAnsi="仿宋_GB2312" w:eastAsia="仿宋_GB2312" w:cs="仿宋_GB2312"/>
          <w:b w:val="0"/>
          <w:bCs w:val="0"/>
          <w:color w:val="C00000"/>
          <w:sz w:val="32"/>
          <w:szCs w:val="32"/>
          <w:u w:val="none"/>
          <w:lang w:val="zh-CN"/>
        </w:rPr>
      </w:pPr>
      <w:r>
        <w:rPr>
          <w:rFonts w:hint="eastAsia" w:ascii="仿宋_GB2312" w:hAnsi="仿宋_GB2312" w:eastAsia="仿宋_GB2312" w:cs="仿宋_GB2312"/>
          <w:b w:val="0"/>
          <w:bCs w:val="0"/>
          <w:color w:val="C00000"/>
          <w:sz w:val="32"/>
          <w:szCs w:val="32"/>
          <w:u w:val="none"/>
          <w:lang w:val="zh-CN"/>
        </w:rPr>
        <w:t>无。</w:t>
      </w:r>
    </w:p>
    <w:p>
      <w:pPr>
        <w:rPr>
          <w:rFonts w:hint="eastAsia" w:ascii="仿宋_GB2312" w:hAnsi="仿宋_GB2312" w:eastAsia="仿宋_GB2312" w:cs="仿宋_GB2312"/>
          <w:b w:val="0"/>
          <w:bCs w:val="0"/>
          <w:sz w:val="32"/>
          <w:szCs w:val="32"/>
          <w:lang w:val="en-US" w:eastAsia="zh-CN"/>
        </w:rPr>
      </w:pPr>
    </w:p>
    <w:p>
      <w:pPr>
        <w:ind w:left="1380" w:leftChars="200" w:hanging="960" w:hangingChars="3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color w:val="auto"/>
          <w:sz w:val="32"/>
          <w:szCs w:val="32"/>
          <w:u w:val="none"/>
        </w:rPr>
        <w:t>202</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none"/>
          <w:lang w:eastAsia="zh-CN"/>
        </w:rPr>
        <w:t>市级专项预算项目支出绩效评价指标体系</w:t>
      </w:r>
      <w:r>
        <w:rPr>
          <w:rFonts w:hint="eastAsia" w:ascii="仿宋_GB2312" w:hAnsi="仿宋_GB2312" w:eastAsia="仿宋_GB2312" w:cs="仿宋_GB2312"/>
          <w:b w:val="0"/>
          <w:bCs w:val="0"/>
          <w:color w:val="auto"/>
          <w:sz w:val="32"/>
          <w:szCs w:val="32"/>
          <w:u w:val="none"/>
          <w:lang w:val="en-US" w:eastAsia="zh-CN"/>
        </w:rPr>
        <w:t>（现代林业产业发展）</w:t>
      </w:r>
    </w:p>
    <w:p>
      <w:pPr>
        <w:pStyle w:val="13"/>
        <w:rPr>
          <w:rFonts w:hint="eastAsia" w:ascii="仿宋_GB2312" w:hAnsi="仿宋_GB2312" w:eastAsia="仿宋_GB2312" w:cs="仿宋_GB2312"/>
          <w:b w:val="0"/>
          <w:bCs w:val="0"/>
          <w:color w:val="auto"/>
          <w:sz w:val="32"/>
          <w:szCs w:val="32"/>
          <w:u w:val="none"/>
          <w:lang w:val="en-US" w:eastAsia="zh-CN"/>
        </w:rPr>
      </w:pPr>
    </w:p>
    <w:p>
      <w:pPr>
        <w:pStyle w:val="13"/>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广元市林业局</w:t>
      </w:r>
    </w:p>
    <w:p>
      <w:pPr>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w:t>
      </w:r>
    </w:p>
    <w:p>
      <w:pPr>
        <w:pStyle w:val="6"/>
        <w:rPr>
          <w:rFonts w:hint="eastAsia"/>
          <w:lang w:val="zh-CN"/>
        </w:rPr>
      </w:pPr>
    </w:p>
    <w:p>
      <w:pPr>
        <w:pStyle w:val="6"/>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13"/>
        <w:rPr>
          <w:rFonts w:hint="eastAsia" w:hAnsi="宋体" w:cs="宋体"/>
          <w:color w:val="auto"/>
          <w:kern w:val="0"/>
          <w:sz w:val="32"/>
          <w:szCs w:val="32"/>
          <w:highlight w:val="none"/>
          <w:shd w:val="clear" w:color="auto" w:fill="FFFFFF"/>
          <w:lang w:val="zh-CN"/>
        </w:rPr>
      </w:pPr>
    </w:p>
    <w:p>
      <w:pPr>
        <w:rPr>
          <w:rFonts w:hint="eastAsia"/>
          <w:lang w:val="zh-CN"/>
        </w:rPr>
      </w:pPr>
    </w:p>
    <w:tbl>
      <w:tblPr>
        <w:tblStyle w:val="16"/>
        <w:tblpPr w:leftFromText="180" w:rightFromText="180" w:vertAnchor="text" w:horzAnchor="page" w:tblpX="1277" w:tblpY="1299"/>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0"/>
        <w:gridCol w:w="1050"/>
        <w:gridCol w:w="1380"/>
        <w:gridCol w:w="1650"/>
        <w:gridCol w:w="1647"/>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cs="宋体"/>
                <w:b/>
                <w:i w:val="0"/>
                <w:color w:val="auto"/>
                <w:sz w:val="32"/>
                <w:szCs w:val="32"/>
                <w:highlight w:val="yellow"/>
                <w:u w:val="none"/>
                <w:lang w:val="en-US" w:eastAsia="zh-CN"/>
              </w:rPr>
              <w:t>2</w:t>
            </w:r>
            <w:r>
              <w:rPr>
                <w:rFonts w:hint="eastAsia" w:ascii="宋体" w:hAnsi="宋体" w:eastAsia="宋体" w:cs="宋体"/>
                <w:b/>
                <w:i w:val="0"/>
                <w:color w:val="auto"/>
                <w:sz w:val="32"/>
                <w:szCs w:val="32"/>
                <w:highlight w:val="yellow"/>
                <w:u w:val="none"/>
                <w:lang w:val="en-US" w:eastAsia="zh-CN"/>
              </w:rPr>
              <w:t>021年部门预算项目绩效目标自评</w:t>
            </w:r>
            <w:r>
              <w:rPr>
                <w:rFonts w:hint="eastAsia" w:ascii="宋体" w:hAnsi="宋体" w:cs="宋体"/>
                <w:b/>
                <w:i w:val="0"/>
                <w:color w:val="auto"/>
                <w:sz w:val="32"/>
                <w:szCs w:val="32"/>
                <w:highlight w:val="yellow"/>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广元市林业局623001</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eastAsia="zh-CN"/>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进一步加快推进核桃、油橄榄两大全产业链发展，统筹推进森林蔬菜（含笋用竹）、森林康养旅游、林下经济、珍稀林木花卉、林板加工5个特色产业，构建完善“2+5”现代林业产业体系，助推现代特色农业“一区两带七集群”建设，实现林业总产值236亿元以上，全市农民人均从林业产业获得收入达到3000元以上。</w:t>
            </w:r>
          </w:p>
        </w:tc>
        <w:tc>
          <w:tcPr>
            <w:tcW w:w="405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 xml:space="preserve">完成年度预期目标任务。核桃、油橄榄两大全产业链协调发展，森林蔬菜（含笋用竹）、森林康养旅游、林下经济、珍稀林木花卉、林板加工5个特色产业统筹推进，“2+5”现代林业产业体系逐步完善，助推现代特色农业“一区两带七集群”建设，实现林业总产值257亿元，全市农民人均从林业产业获得收入达到3500元。实现巩固拓展脱贫攻坚成果与乡村振兴有效衔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44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bl>
    <w:p/>
    <w:tbl>
      <w:tblPr>
        <w:tblStyle w:val="16"/>
        <w:tblpPr w:leftFromText="180" w:rightFromText="180" w:vertAnchor="text" w:horzAnchor="page" w:tblpX="1277" w:tblpY="8682"/>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0"/>
        <w:gridCol w:w="1050"/>
        <w:gridCol w:w="1380"/>
        <w:gridCol w:w="1650"/>
        <w:gridCol w:w="1647"/>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restart"/>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项目完成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召开现场会</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3次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木本油料品种改良</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15.2万亩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笋用竹基地建设</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2万亩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3.1万亩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增彩添香示范村建设</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每个县区建设示范村2个以上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每个县区建成示范村2个，全市建成示范村14个。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核桃初加工厂建设</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restart"/>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林业园区改造提升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对5个市级现代林业园区巩固提升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建成2个国家级园区、7个市级园区，5个既有市级现代林业园区全面巩固提升。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木本油料基地提质增效</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20万亩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品种改良成活率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85%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核桃初加工厂建设</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建成投产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建成投产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栽植成活率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完成时间</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2021年12月31日前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已于2021年12月31日前完成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资料费</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差旅费</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会议及培训费</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专家咨询费</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项目效果指标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助推乡村振兴，带动群众增收</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林农人均增收1000元以上，乡村产业兴旺。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林农人均增收1200元，逐步实现乡村产业兴旺。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44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生态效益</w:t>
            </w:r>
          </w:p>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乡村绿化美化</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提高乡村绿化品位和档次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乡村绿化品位和档次明显提高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38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群众对发展林业产业支持率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38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林业经营主体对林业产业工作满意率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95%</w:t>
            </w:r>
          </w:p>
        </w:tc>
      </w:tr>
    </w:tbl>
    <w:p>
      <w:pPr>
        <w:pStyle w:val="7"/>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13"/>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13"/>
        <w:rPr>
          <w:rFonts w:hint="eastAsia" w:hAnsi="宋体" w:cs="宋体"/>
          <w:color w:val="auto"/>
          <w:kern w:val="0"/>
          <w:sz w:val="32"/>
          <w:szCs w:val="32"/>
          <w:highlight w:val="none"/>
          <w:shd w:val="clear" w:color="auto" w:fill="FFFFFF"/>
          <w:lang w:val="zh-CN"/>
        </w:rPr>
      </w:pPr>
    </w:p>
    <w:p>
      <w:pPr>
        <w:pStyle w:val="3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color w:val="auto"/>
          <w:spacing w:val="0"/>
          <w:kern w:val="2"/>
          <w:sz w:val="44"/>
          <w:szCs w:val="44"/>
          <w:lang w:eastAsia="zh-CN" w:bidi="ar-SA"/>
        </w:rPr>
        <w:sectPr>
          <w:pgSz w:w="11906" w:h="16838"/>
          <w:pgMar w:top="2098" w:right="1474" w:bottom="1984" w:left="1587" w:header="851" w:footer="1559" w:gutter="0"/>
          <w:pgNumType w:fmt="decimal"/>
          <w:cols w:space="425" w:num="1"/>
          <w:docGrid w:type="lines" w:linePitch="312" w:charSpace="0"/>
        </w:sectPr>
      </w:pPr>
    </w:p>
    <w:p>
      <w:pPr>
        <w:pStyle w:val="3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color w:val="auto"/>
          <w:spacing w:val="0"/>
          <w:kern w:val="2"/>
          <w:sz w:val="44"/>
          <w:szCs w:val="44"/>
          <w:lang w:eastAsia="zh-CN" w:bidi="ar-SA"/>
        </w:rPr>
      </w:pPr>
      <w:r>
        <w:rPr>
          <w:rFonts w:hint="default" w:ascii="方正小标宋简体" w:hAnsi="方正小标宋简体" w:eastAsia="方正小标宋简体" w:cs="方正小标宋简体"/>
          <w:b w:val="0"/>
          <w:bCs w:val="0"/>
          <w:color w:val="auto"/>
          <w:spacing w:val="0"/>
          <w:kern w:val="2"/>
          <w:sz w:val="44"/>
          <w:szCs w:val="44"/>
          <w:lang w:eastAsia="zh-CN" w:bidi="ar-SA"/>
        </w:rPr>
        <w:t>广元市林业局</w:t>
      </w:r>
    </w:p>
    <w:p>
      <w:pPr>
        <w:pStyle w:val="3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 xml:space="preserve"> 2021年专项预算项目（世界银行贷款长江流域上游森林生态系统恢复项目管理工作经费）支出绩效自评报告</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方正仿宋_GBK" w:hAnsi="方正仿宋_GBK" w:eastAsia="方正仿宋_GBK" w:cs="方正仿宋_GBK"/>
          <w:b w:val="0"/>
          <w:bCs w:val="0"/>
          <w:sz w:val="32"/>
          <w:szCs w:val="32"/>
          <w:lang w:eastAsia="zh-CN"/>
        </w:rPr>
      </w:pP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b w:val="0"/>
          <w:bCs w:val="0"/>
          <w:sz w:val="32"/>
          <w:szCs w:val="32"/>
          <w:lang w:val="zh-CN" w:eastAsia="zh-CN"/>
        </w:rPr>
        <w:t>相关要求，现将我</w:t>
      </w:r>
      <w:r>
        <w:rPr>
          <w:rFonts w:hint="eastAsia" w:ascii="仿宋_GB2312" w:hAnsi="仿宋_GB2312" w:eastAsia="仿宋_GB2312" w:cs="仿宋_GB2312"/>
          <w:b w:val="0"/>
          <w:bCs w:val="0"/>
          <w:sz w:val="32"/>
          <w:szCs w:val="32"/>
          <w:lang w:val="en-US" w:eastAsia="zh-CN"/>
        </w:rPr>
        <w:t>局世界银行贷款长江流域上游森林生态系统恢复项目管理工作经费（以下简称世行项目）专项支出绩效自评情况报告如下。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项目主管部门在项目管理中的职能。贯彻执行世界银行贷款长江流域上游森林生态系统恢复项目相关政策，协调推进项目执行，配合和协助世行及国内相关部门开展项目检查、绩效管理等工作。</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项目立项、资金申报的依据。项目立项、资金申报的依据为《四川省林业和草原局</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zh-CN" w:eastAsia="zh-CN"/>
        </w:rPr>
        <w:t>四川省财政厅关于印发</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世界银行贷款长江流域上游森林生态系统恢复项目管理办法</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的通知》（川林发〔202</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27</w:t>
      </w:r>
      <w:r>
        <w:rPr>
          <w:rFonts w:hint="eastAsia" w:ascii="仿宋_GB2312" w:hAnsi="仿宋_GB2312" w:eastAsia="仿宋_GB2312" w:cs="仿宋_GB2312"/>
          <w:b w:val="0"/>
          <w:bCs w:val="0"/>
          <w:sz w:val="32"/>
          <w:szCs w:val="32"/>
          <w:lang w:val="zh-CN" w:eastAsia="zh-CN"/>
        </w:rPr>
        <w:t>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资金管理办法制定情况、资金支持具体项目的条件、范围与支持方式。严格执行现有</w:t>
      </w:r>
      <w:r>
        <w:rPr>
          <w:rFonts w:hint="eastAsia" w:ascii="仿宋_GB2312" w:hAnsi="仿宋_GB2312" w:eastAsia="仿宋_GB2312" w:cs="仿宋_GB2312"/>
          <w:b w:val="0"/>
          <w:bCs w:val="0"/>
          <w:sz w:val="32"/>
          <w:szCs w:val="32"/>
          <w:lang w:val="en-US" w:eastAsia="zh-CN"/>
        </w:rPr>
        <w:t>相关资金管理办法，未再新制定资金管理办法。经费主要用于差旅费、会议及培训费、车辆运行费、资料费。</w:t>
      </w:r>
      <w:r>
        <w:rPr>
          <w:rFonts w:hint="eastAsia" w:ascii="仿宋_GB2312" w:hAnsi="仿宋_GB2312" w:eastAsia="仿宋_GB2312" w:cs="仿宋_GB2312"/>
          <w:b w:val="0"/>
          <w:bCs w:val="0"/>
          <w:sz w:val="32"/>
          <w:szCs w:val="32"/>
          <w:lang w:val="en-US" w:eastAsia="zh-CN"/>
        </w:rPr>
        <w:tab/>
      </w:r>
    </w:p>
    <w:p>
      <w:pPr>
        <w:spacing w:line="24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资金分配的原则及考虑因素。我局所有项目</w:t>
      </w:r>
      <w:r>
        <w:rPr>
          <w:rFonts w:hint="eastAsia" w:ascii="仿宋_GB2312" w:hAnsi="仿宋_GB2312" w:eastAsia="仿宋_GB2312" w:cs="仿宋_GB2312"/>
          <w:b w:val="0"/>
          <w:bCs w:val="0"/>
          <w:sz w:val="32"/>
          <w:szCs w:val="32"/>
          <w:lang w:val="en-US" w:eastAsia="zh-CN"/>
        </w:rPr>
        <w:t>资金均按相关规定，</w:t>
      </w:r>
      <w:r>
        <w:rPr>
          <w:rFonts w:hint="eastAsia" w:ascii="仿宋_GB2312" w:hAnsi="仿宋_GB2312" w:eastAsia="仿宋_GB2312" w:cs="仿宋_GB2312"/>
          <w:b w:val="0"/>
          <w:bCs w:val="0"/>
          <w:sz w:val="32"/>
          <w:szCs w:val="32"/>
          <w:lang w:val="zh-CN" w:eastAsia="zh-CN"/>
        </w:rPr>
        <w:t>按照“政策目标明确、分配规范、支出方向协调、绩效结果挂钩”的原则分配。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项目的主要内容。协调推进我市3县1区（剑阁、旺苍、青川、朝天）贷款金额2128万欧元开展</w:t>
      </w:r>
      <w:r>
        <w:rPr>
          <w:rFonts w:hint="eastAsia" w:ascii="仿宋_GB2312" w:hAnsi="仿宋_GB2312" w:eastAsia="仿宋_GB2312" w:cs="仿宋_GB2312"/>
          <w:b w:val="0"/>
          <w:bCs w:val="0"/>
          <w:sz w:val="32"/>
          <w:szCs w:val="32"/>
          <w:lang w:val="en-US" w:eastAsia="zh-CN"/>
        </w:rPr>
        <w:t>世行项目。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eastAsia="zh-CN"/>
        </w:rPr>
        <w:t>项目实现的绩效目标。</w:t>
      </w:r>
      <w:r>
        <w:rPr>
          <w:rFonts w:hint="eastAsia" w:ascii="仿宋_GB2312" w:hAnsi="仿宋_GB2312" w:eastAsia="仿宋_GB2312" w:cs="仿宋_GB2312"/>
          <w:b w:val="0"/>
          <w:bCs w:val="0"/>
          <w:sz w:val="32"/>
          <w:szCs w:val="32"/>
          <w:lang w:val="en-US" w:eastAsia="zh-CN"/>
        </w:rPr>
        <w:t>参与项目立项研究论证，就项目内容、规模、技术、市场等为同级财政部门提供立项咨询意见;按照贷款方或赠款方及国内相关制度要求，统一组织项目实施单位进行项目准备，协调解决有关问题，开展政策指导和专项业务培训;按照贷款方或赠款方及国内相关制度要求，协调推进项目执行，定期向同级财政部门汇总报送项目进度报告、财务报告和完工报告;组织开展项目绩效评价，总结推广项目先进技术、创新模式和管理经验;配合协助贷款方或赠款方及国内相关部门开展项目检查、绩效管理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项目申报内容。符合世行项目管理办法要求，有效提高世行项目质量，申报目标合理可行。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项目申报、批复等程序规范。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1.资金计划。市级财政资金4万元。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2.资金到位。资金到位率100%。</w:t>
      </w:r>
    </w:p>
    <w:p>
      <w:pPr>
        <w:pStyle w:val="13"/>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3.资金使用。</w:t>
      </w:r>
      <w:r>
        <w:rPr>
          <w:rFonts w:hint="eastAsia" w:ascii="仿宋_GB2312" w:hAnsi="仿宋_GB2312" w:eastAsia="仿宋_GB2312" w:cs="仿宋_GB2312"/>
          <w:b w:val="0"/>
          <w:bCs w:val="0"/>
          <w:kern w:val="2"/>
          <w:sz w:val="32"/>
          <w:szCs w:val="32"/>
          <w:lang w:val="zh-CN" w:eastAsia="zh-CN" w:bidi="ar-SA"/>
        </w:rPr>
        <w:t>截至目前，我市</w:t>
      </w:r>
      <w:r>
        <w:rPr>
          <w:rFonts w:hint="eastAsia" w:ascii="仿宋_GB2312" w:hAnsi="仿宋_GB2312" w:eastAsia="仿宋_GB2312" w:cs="仿宋_GB2312"/>
          <w:b w:val="0"/>
          <w:bCs w:val="0"/>
          <w:kern w:val="2"/>
          <w:sz w:val="32"/>
          <w:szCs w:val="32"/>
          <w:lang w:val="en-US" w:eastAsia="zh-CN" w:bidi="ar-SA"/>
        </w:rPr>
        <w:t>2021年世界银行贷款长江流域上游森林生态系统恢复项目管理工作经费</w:t>
      </w:r>
      <w:r>
        <w:rPr>
          <w:rFonts w:hint="eastAsia" w:ascii="仿宋_GB2312" w:hAnsi="仿宋_GB2312" w:eastAsia="仿宋_GB2312" w:cs="仿宋_GB2312"/>
          <w:b w:val="0"/>
          <w:bCs w:val="0"/>
          <w:kern w:val="2"/>
          <w:sz w:val="32"/>
          <w:szCs w:val="32"/>
          <w:lang w:val="zh-CN" w:eastAsia="zh-CN" w:bidi="ar-SA"/>
        </w:rPr>
        <w:t xml:space="preserve">项目资金支付 </w:t>
      </w:r>
      <w:r>
        <w:rPr>
          <w:rFonts w:hint="eastAsia"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val="zh-CN" w:eastAsia="zh-CN" w:bidi="ar-SA"/>
        </w:rPr>
        <w:t>万元，无结余结转。</w:t>
      </w:r>
      <w:r>
        <w:rPr>
          <w:rFonts w:hint="eastAsia" w:ascii="仿宋_GB2312" w:hAnsi="仿宋_GB2312" w:eastAsia="仿宋_GB2312" w:cs="仿宋_GB2312"/>
          <w:b w:val="0"/>
          <w:bCs w:val="0"/>
          <w:kern w:val="2"/>
          <w:sz w:val="32"/>
          <w:szCs w:val="32"/>
          <w:lang w:val="en-US" w:eastAsia="zh-CN" w:bidi="ar-SA"/>
        </w:rPr>
        <w:t>此项目资金使用安全、规范、高效。资金支付范围、支付标准、支付进度、支付依据合规合法，与预算相符。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建立健全单位财务管理制度，严格按照财务管理制度进行财务管理，会计核算规范，账目明晰。</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项目实施及管理情况</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（一）项目组织架构及实施流程</w:t>
      </w:r>
    </w:p>
    <w:p>
      <w:pPr>
        <w:spacing w:line="24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1.高度重视，加强管理。我局落实分管领导和责任科室，加强对资金分配、项目立项等方面管理，组织项目的具体实施。</w:t>
      </w:r>
    </w:p>
    <w:p>
      <w:pPr>
        <w:spacing w:line="24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2.认真学习，把握规范要求。不断深化学习相关政策，项目严格按照各相应技术标准及验收规范开展。</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（二）项目管理情况</w:t>
      </w:r>
    </w:p>
    <w:p>
      <w:pPr>
        <w:spacing w:line="576" w:lineRule="exact"/>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相关业务科室具体组织实施，严格执行财务管理制度、财务处理及时，会计核算规范。在项目建设过程中，按项目工程建设管理、资金管理要求，严格按政府采购等程序实施，确保项目质量和进度。</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（三）项目监管情况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val="en-US" w:eastAsia="zh-CN"/>
        </w:rPr>
        <w:t>该项目实施的事前、事中、事后监管受局党委办及财务科的监督，资金支付受财政局统一监管。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四、项目绩效情况</w:t>
      </w:r>
      <w:r>
        <w:rPr>
          <w:rFonts w:hint="eastAsia" w:ascii="仿宋_GB2312" w:hAnsi="仿宋_GB2312" w:eastAsia="仿宋_GB2312" w:cs="仿宋_GB2312"/>
          <w:b w:val="0"/>
          <w:bCs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项目立项研究论证，就项目内容、规模、技术、市场等为同级财政部门提供立项咨询意见；成立项目建设推进工作组，按照贷款方或赠款方及国内相关制度要求，督导项目项目县区进行项目准备，协调解决土地整理、苗木准备、农户参与等问题，开展政策指导和专项业务培训；按照贷款方或赠款方及国内相关制度要求，协调推进项目执行，督促项目县区定期向同级财政部门汇总报送项目进度报告、财务报告和完工报告；组织项目县区开展项目绩效评价，总结推广项目先进技术、创新模式和管理经验，青川县项目专题会、剑阁县三举措把牢世行项目建设质量关等经验被省林草局官网采纳；协助世行检查组开展项目检查，协助省审计厅开展世行项目2019至2020财务收支和项目执行情况审计并督促完成整改等；2021年完成营造林22810.73公顷，占年度任务的115%；开展政策专项业务培训690人次；对标支付指标，严把建设质量，严格执行提款流程，2021年提款报账9725325.65欧元，累计提款报账占承贷金额的71%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1.社会效益。在林业生产活动的宣传、教育和培训过程中，不断提高项目实施区林农的森林经营和管理水平，有利于提高林业生产力和促进林业科技进步，对推动物质文明和精神文明建设进程具有重要作用。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2.生态效益。按照《世界银行贷款长江上游森林生态系统恢复项目森林生态系统多功能近自然修复经营技术指南》开展营造林活动，有效提高森林质量和提升固碳成果，改善林分结构，提高森林生态系统稳定性。</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可持续影响。通过新造林和更新造林、森林综合抚育加补植、低效林改造和人工促进天然更新等经营管理活动，建设具有稳定性、抗逆性和生长活力的森林生态系统，实现嘉陵江上游的森林生态系统恢复与发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4.经济效益。兼顾生态效益和经济效益，吸引广大群众参与世行项目，既增加了短期务工收入，又增加了用材林、经济林培育等长期收入。同时，森林质生态环境提质，还可增加森林康养旅游收入。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（三）满意度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满意度达100%。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五、评价结论及建议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（一）评价结论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项目决策科学，依据充分，项目管理规范，项目完成效果好，实施后达到了预期目的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（二）相关建议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工作任务繁重，建议加大经费支持力度。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此函。</w:t>
      </w:r>
    </w:p>
    <w:p>
      <w:pPr>
        <w:rPr>
          <w:rFonts w:hint="eastAsia" w:ascii="仿宋_GB2312" w:hAnsi="仿宋_GB2312" w:eastAsia="仿宋_GB2312" w:cs="仿宋_GB2312"/>
          <w:b w:val="0"/>
          <w:bCs w:val="0"/>
          <w:sz w:val="32"/>
          <w:szCs w:val="32"/>
          <w:lang w:val="en-US" w:eastAsia="zh-CN"/>
        </w:rPr>
      </w:pPr>
    </w:p>
    <w:p>
      <w:pPr>
        <w:ind w:left="1598" w:leftChars="304" w:hanging="960" w:hangingChars="300"/>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2021年部门预算项目绩效目标自评表（世界银行贷款长江流域上游森林生态系统恢复项目管理工作经费</w:t>
      </w:r>
      <w:r>
        <w:rPr>
          <w:rFonts w:hint="eastAsia" w:ascii="仿宋_GB2312" w:hAnsi="仿宋_GB2312" w:eastAsia="仿宋_GB2312" w:cs="仿宋_GB2312"/>
          <w:b w:val="0"/>
          <w:bCs w:val="0"/>
          <w:color w:val="auto"/>
          <w:sz w:val="32"/>
          <w:szCs w:val="32"/>
          <w:u w:val="none"/>
          <w:lang w:eastAsia="zh-CN"/>
        </w:rPr>
        <w:t>）</w:t>
      </w:r>
    </w:p>
    <w:p>
      <w:pPr>
        <w:pStyle w:val="13"/>
        <w:rPr>
          <w:rFonts w:hint="eastAsia" w:ascii="仿宋_GB2312" w:hAnsi="仿宋_GB2312" w:eastAsia="仿宋_GB2312" w:cs="仿宋_GB2312"/>
          <w:b w:val="0"/>
          <w:bCs w:val="0"/>
          <w:lang w:val="en-US" w:eastAsia="zh-CN"/>
        </w:rPr>
      </w:pPr>
    </w:p>
    <w:p>
      <w:pPr>
        <w:pStyle w:val="13"/>
        <w:rPr>
          <w:rFonts w:hint="eastAsia" w:ascii="仿宋_GB2312" w:hAnsi="仿宋_GB2312" w:eastAsia="仿宋_GB2312" w:cs="仿宋_GB231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760" w:firstLineChars="1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广元市林业局</w:t>
      </w:r>
    </w:p>
    <w:p>
      <w:pPr>
        <w:pStyle w:val="1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pStyle w:val="13"/>
        <w:rPr>
          <w:rFonts w:hint="eastAsia"/>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lang w:val="en-US" w:eastAsia="zh-CN"/>
        </w:rPr>
      </w:pPr>
    </w:p>
    <w:p>
      <w:pPr>
        <w:pStyle w:val="13"/>
        <w:rPr>
          <w:rFonts w:hint="eastAsia" w:ascii="仿宋_GB2312" w:hAnsi="仿宋_GB2312" w:eastAsia="仿宋_GB2312" w:cs="仿宋_GB2312"/>
          <w:sz w:val="32"/>
          <w:szCs w:val="32"/>
          <w:lang w:val="en-US" w:eastAsia="zh-CN"/>
        </w:rPr>
      </w:pPr>
    </w:p>
    <w:tbl>
      <w:tblPr>
        <w:tblStyle w:val="16"/>
        <w:tblpPr w:leftFromText="180" w:rightFromText="180" w:vertAnchor="text" w:horzAnchor="page" w:tblpX="1277" w:tblpY="1299"/>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840"/>
        <w:gridCol w:w="1005"/>
        <w:gridCol w:w="2310"/>
        <w:gridCol w:w="1932"/>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广元市林业局623001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eastAsia="zh-CN"/>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世行贷款项目涉及我市3县1区（剑阁、旺苍、青川、朝天），贷款金额2128万欧元（约1.7亿元人民币）。按照职责：参与项目立项研究论证，就项目内容、规模、技术、市场等为同级财政部门提供立项咨询意见;按照贷款方或赠款方及国内相关制度要求，统一组织项目实施单位进行项目准备，协调解决有关问题，开展政策指导和专项业务培训;按照贷款方或赠款方及国内相关制度要求，协调推进项目执行，定期向同级财政部门汇总报送项目进度报告、财务报告和完工报告;组织开展项目绩效评价，总结推广项目先进技术、创新模式和管理经验;配合协助贷款方或赠款方及国内相关部门开展项目检查、绩效管理等工作。</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世行贷款项目涉及我市3县1区（剑阁、旺苍、青川、朝天），贷款金额2128万欧元。参与项目立项研究论证，就项目内容、规模、技术、市场等为同级财政部门提供立项咨询意见;成立项目建设推进工作组，按照贷款方或赠款方及国内相关制度要求，督导项目项目县区进行项目准备，协调解决土地整理、苗木准备、农户参与等问题，开展政策指导和专项业务培训;按照贷款方或赠款方及国内相关制度要求，协调推进项目执行，督促项目县区定期向同级财政部门汇总报送项目进度报告、财务报告和完工报告;组织项目县区开展项目绩效评价，总结推广项目先进技术、创新模式和管理经验，青川县项目专题会、剑阁县三举措把牢世行项目建设质量关等经验被省林草局官网采纳；协助世行检查组开展项目检查，协助省审计厅开展世行项目2019至2020财务收支和项目执行情况审计并督促完成整改等；2021年完成营造林22810.73公顷，占年度任务的115%；开展政策专项业务培训690人次；对标支付指标，严把建设质量，严格执行提款流程，2021年提款报账9725325.65欧元，累计提款报账占承贷金额的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项目完成指标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按要求完成</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差旅费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会议及培训费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0.5万元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车辆运行费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资料费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0.5万元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差旅费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项目效果指标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社会效益指标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 xml:space="preserve">扩大贫困人口就业途径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 xml:space="preserve"> 有效地促进贫困地区林农就业，林农收入水平不断提高                                                               </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开展政策专项业务培训690人次，有效地促进贫困地区林农就业，林农收入水平不断提高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满意度指标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部门满意度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95%</w:t>
            </w:r>
          </w:p>
        </w:tc>
      </w:tr>
    </w:tbl>
    <w:p>
      <w:pPr>
        <w:rPr>
          <w:rFonts w:hint="eastAsia" w:ascii="仿宋_GB2312" w:hAnsi="仿宋_GB2312" w:eastAsia="仿宋_GB2312" w:cs="仿宋_GB2312"/>
          <w:sz w:val="32"/>
          <w:szCs w:val="32"/>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pStyle w:val="3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color w:val="auto"/>
          <w:spacing w:val="0"/>
          <w:kern w:val="2"/>
          <w:sz w:val="44"/>
          <w:szCs w:val="44"/>
          <w:lang w:eastAsia="zh-CN" w:bidi="ar-SA"/>
        </w:rPr>
        <w:sectPr>
          <w:pgSz w:w="11906" w:h="16838"/>
          <w:pgMar w:top="2098" w:right="1474" w:bottom="1984" w:left="1587" w:header="851" w:footer="1559" w:gutter="0"/>
          <w:pgNumType w:fmt="decimal"/>
          <w:cols w:space="425" w:num="1"/>
          <w:docGrid w:type="lines" w:linePitch="312" w:charSpace="0"/>
        </w:sectPr>
      </w:pPr>
    </w:p>
    <w:p>
      <w:pPr>
        <w:pStyle w:val="3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color w:val="auto"/>
          <w:spacing w:val="0"/>
          <w:kern w:val="2"/>
          <w:sz w:val="44"/>
          <w:szCs w:val="44"/>
          <w:lang w:eastAsia="zh-CN" w:bidi="ar-SA"/>
        </w:rPr>
      </w:pPr>
      <w:r>
        <w:rPr>
          <w:rFonts w:hint="default" w:ascii="方正小标宋简体" w:hAnsi="方正小标宋简体" w:eastAsia="方正小标宋简体" w:cs="方正小标宋简体"/>
          <w:color w:val="auto"/>
          <w:spacing w:val="0"/>
          <w:kern w:val="2"/>
          <w:sz w:val="44"/>
          <w:szCs w:val="44"/>
          <w:lang w:eastAsia="zh-CN" w:bidi="ar-SA"/>
        </w:rPr>
        <w:t>广元市林业局</w:t>
      </w:r>
    </w:p>
    <w:p>
      <w:pPr>
        <w:pStyle w:val="3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pacing w:val="0"/>
          <w:kern w:val="2"/>
          <w:sz w:val="44"/>
          <w:szCs w:val="44"/>
          <w:lang w:val="en-US" w:eastAsia="zh-CN" w:bidi="ar-SA"/>
        </w:rPr>
      </w:pPr>
      <w:r>
        <w:rPr>
          <w:rFonts w:hint="eastAsia" w:ascii="方正小标宋简体" w:hAnsi="方正小标宋简体" w:eastAsia="方正小标宋简体" w:cs="方正小标宋简体"/>
          <w:color w:val="auto"/>
          <w:spacing w:val="0"/>
          <w:kern w:val="2"/>
          <w:sz w:val="44"/>
          <w:szCs w:val="44"/>
          <w:lang w:val="en-US" w:eastAsia="zh-CN" w:bidi="ar-SA"/>
        </w:rPr>
        <w:t xml:space="preserve"> 2021年专项预算项目（生态保护修复工作经费）支出绩效自评情况的函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方正仿宋_GBK" w:hAnsi="方正仿宋_GBK" w:eastAsia="方正仿宋_GBK" w:cs="方正仿宋_GBK"/>
          <w:sz w:val="32"/>
          <w:szCs w:val="32"/>
          <w:lang w:eastAsia="zh-CN"/>
        </w:rPr>
      </w:pP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b w:val="0"/>
          <w:bCs w:val="0"/>
          <w:sz w:val="32"/>
          <w:szCs w:val="32"/>
          <w:lang w:val="zh-CN" w:eastAsia="zh-CN"/>
        </w:rPr>
        <w:t>相关文件要求，现将我</w:t>
      </w:r>
      <w:r>
        <w:rPr>
          <w:rFonts w:hint="eastAsia" w:ascii="仿宋_GB2312" w:hAnsi="仿宋_GB2312" w:eastAsia="仿宋_GB2312" w:cs="仿宋_GB2312"/>
          <w:b w:val="0"/>
          <w:bCs w:val="0"/>
          <w:sz w:val="32"/>
          <w:szCs w:val="32"/>
          <w:lang w:val="en-US" w:eastAsia="zh-CN"/>
        </w:rPr>
        <w:t>局生态保护修复工作经费专项支出绩效自评情况报告如下。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（一）项目基本情况</w:t>
      </w:r>
    </w:p>
    <w:p>
      <w:pPr>
        <w:spacing w:line="36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项目主管部门在项目管理中的职能。贯彻执行生态保护修复相关政策，指导和督促各县区及直属单位完成年度目标任务。</w:t>
      </w:r>
      <w:r>
        <w:rPr>
          <w:rFonts w:hint="eastAsia" w:ascii="仿宋_GB2312" w:hAnsi="仿宋_GB2312" w:eastAsia="仿宋_GB2312" w:cs="仿宋_GB2312"/>
          <w:b w:val="0"/>
          <w:bCs w:val="0"/>
          <w:color w:val="auto"/>
          <w:sz w:val="32"/>
          <w:szCs w:val="32"/>
          <w:u w:val="none"/>
        </w:rPr>
        <w:t>负责项目资金规划方案编制、组织实施、监督管理、检查验收和区域绩效目标申报及评价等工作，配合做好项目绩效评价工作。</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项目立项、资金申报的依据。《四川省林业和草原就 四川省发展和改革委员会 四川省财政厅 四川省自然资源厅关于印发四川省天然林保护修复制度实施方案的通知》（川林规发〔2020〕22号），《四川省人民政府办公厅关于实施新一轮退耕还林还草的意见》（川办发〔2015〕4号）。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资金管理办法制定情况、资金支持具体项目的条件、范围与支持方式。严格执行现有</w:t>
      </w:r>
      <w:r>
        <w:rPr>
          <w:rFonts w:hint="eastAsia" w:ascii="仿宋_GB2312" w:hAnsi="仿宋_GB2312" w:eastAsia="仿宋_GB2312" w:cs="仿宋_GB2312"/>
          <w:b w:val="0"/>
          <w:bCs w:val="0"/>
          <w:sz w:val="32"/>
          <w:szCs w:val="32"/>
          <w:lang w:val="en-US" w:eastAsia="zh-CN"/>
        </w:rPr>
        <w:t>相关资金管理办法，未再新制定资金管理办法。经费主要用于检查验收、督促指导、督查、调研差旅，会议及培训，车辆租用、维护运行，印刷，宣传。</w:t>
      </w:r>
    </w:p>
    <w:p>
      <w:pPr>
        <w:pStyle w:val="6"/>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资金分配的原则及考虑因素。</w:t>
      </w:r>
      <w:r>
        <w:rPr>
          <w:rFonts w:hint="eastAsia" w:ascii="仿宋_GB2312" w:hAnsi="仿宋_GB2312" w:eastAsia="仿宋_GB2312" w:cs="仿宋_GB2312"/>
          <w:b w:val="0"/>
          <w:bCs w:val="0"/>
          <w:color w:val="auto"/>
          <w:kern w:val="2"/>
          <w:sz w:val="32"/>
          <w:szCs w:val="32"/>
          <w:u w:val="none"/>
          <w:lang w:val="zh-CN" w:eastAsia="zh-CN" w:bidi="ar-SA"/>
        </w:rPr>
        <w:t>我局所有项目</w:t>
      </w:r>
      <w:r>
        <w:rPr>
          <w:rFonts w:hint="eastAsia" w:ascii="仿宋_GB2312" w:hAnsi="仿宋_GB2312" w:eastAsia="仿宋_GB2312" w:cs="仿宋_GB2312"/>
          <w:b w:val="0"/>
          <w:bCs w:val="0"/>
          <w:color w:val="auto"/>
          <w:kern w:val="2"/>
          <w:sz w:val="32"/>
          <w:szCs w:val="32"/>
          <w:u w:val="none"/>
          <w:lang w:val="en-US" w:eastAsia="zh-CN" w:bidi="ar-SA"/>
        </w:rPr>
        <w:t>资金均按相关规定，</w:t>
      </w:r>
      <w:r>
        <w:rPr>
          <w:rFonts w:hint="eastAsia" w:ascii="仿宋_GB2312" w:hAnsi="仿宋_GB2312" w:eastAsia="仿宋_GB2312" w:cs="仿宋_GB2312"/>
          <w:b w:val="0"/>
          <w:bCs w:val="0"/>
          <w:color w:val="auto"/>
          <w:kern w:val="2"/>
          <w:sz w:val="32"/>
          <w:szCs w:val="32"/>
          <w:u w:val="none"/>
          <w:lang w:val="zh-CN" w:eastAsia="zh-CN" w:bidi="ar-SA"/>
        </w:rPr>
        <w:t>按照“政策目标明确、分配规范、支出方向协调、绩效结果挂钩”的原则分配。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项目的主要内容。指导和督促各县区及直属单位完成年度目标任务。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eastAsia="zh-CN"/>
        </w:rPr>
        <w:t>项目实现的绩效目标。</w:t>
      </w:r>
      <w:r>
        <w:rPr>
          <w:rFonts w:hint="eastAsia" w:ascii="仿宋_GB2312" w:hAnsi="仿宋_GB2312" w:eastAsia="仿宋_GB2312" w:cs="仿宋_GB2312"/>
          <w:b w:val="0"/>
          <w:bCs w:val="0"/>
          <w:sz w:val="32"/>
          <w:szCs w:val="32"/>
          <w:lang w:val="en-US" w:eastAsia="zh-CN"/>
        </w:rPr>
        <w:t>指导和督促各县区及直属单位完成全年营造林目标；组织开展好全民义务植树活动；抓好天保、退耕等民生工程实施，有效管护国有林80.11万亩，完成全市624.39万亩集体公益林森林生态效益补偿和集体和个人所有天然商品林停伐管护补助面积175.63万亩兑现工作，巩固退耕还林成果，完成退耕还林直补资金兑现；做好生态护林员选聘和管理工作；全面完成古树名木挂牌；开展野生动植物保护，加强森林资源管护，坚守生态安全，全面完成“双增长”年度目标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项目申报内容。符合省、市相关文件要求，有效提高生态保护修复质量，申报目标合理可行。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项目申报、批复等程序规范。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1.资金计划。市级财政30万元。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2.资金到位。资金到位率100%。</w:t>
      </w:r>
    </w:p>
    <w:p>
      <w:pPr>
        <w:pStyle w:val="13"/>
        <w:ind w:left="0" w:leftChars="0" w:firstLine="640" w:firstLineChars="200"/>
        <w:jc w:val="left"/>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val="en-US" w:eastAsia="zh-CN"/>
        </w:rPr>
        <w:t>3.资金使用。</w:t>
      </w:r>
      <w:r>
        <w:rPr>
          <w:rFonts w:hint="eastAsia" w:ascii="仿宋_GB2312" w:hAnsi="仿宋_GB2312" w:eastAsia="仿宋_GB2312" w:cs="仿宋_GB2312"/>
          <w:b w:val="0"/>
          <w:bCs w:val="0"/>
          <w:kern w:val="2"/>
          <w:sz w:val="32"/>
          <w:szCs w:val="32"/>
          <w:lang w:val="zh-CN" w:eastAsia="zh-CN" w:bidi="ar-SA"/>
        </w:rPr>
        <w:t>截至目前，我市</w:t>
      </w:r>
      <w:r>
        <w:rPr>
          <w:rFonts w:hint="eastAsia" w:ascii="仿宋_GB2312" w:hAnsi="仿宋_GB2312" w:eastAsia="仿宋_GB2312" w:cs="仿宋_GB2312"/>
          <w:b w:val="0"/>
          <w:bCs w:val="0"/>
          <w:kern w:val="2"/>
          <w:sz w:val="32"/>
          <w:szCs w:val="32"/>
          <w:lang w:val="en-US" w:eastAsia="zh-CN" w:bidi="ar-SA"/>
        </w:rPr>
        <w:t>生态保护修复工作经费项目</w:t>
      </w:r>
      <w:r>
        <w:rPr>
          <w:rFonts w:hint="eastAsia" w:ascii="仿宋_GB2312" w:hAnsi="仿宋_GB2312" w:eastAsia="仿宋_GB2312" w:cs="仿宋_GB2312"/>
          <w:b w:val="0"/>
          <w:bCs w:val="0"/>
          <w:kern w:val="2"/>
          <w:sz w:val="32"/>
          <w:szCs w:val="32"/>
          <w:lang w:val="zh-CN" w:eastAsia="zh-CN" w:bidi="ar-SA"/>
        </w:rPr>
        <w:t>资金支付</w:t>
      </w:r>
      <w:r>
        <w:rPr>
          <w:rFonts w:hint="eastAsia" w:ascii="仿宋_GB2312" w:hAnsi="仿宋_GB2312" w:eastAsia="仿宋_GB2312" w:cs="仿宋_GB2312"/>
          <w:b w:val="0"/>
          <w:bCs w:val="0"/>
          <w:kern w:val="2"/>
          <w:sz w:val="32"/>
          <w:szCs w:val="32"/>
          <w:lang w:val="en-US" w:eastAsia="zh-CN" w:bidi="ar-SA"/>
        </w:rPr>
        <w:t>30</w:t>
      </w:r>
      <w:r>
        <w:rPr>
          <w:rFonts w:hint="eastAsia" w:ascii="仿宋_GB2312" w:hAnsi="仿宋_GB2312" w:eastAsia="仿宋_GB2312" w:cs="仿宋_GB2312"/>
          <w:b w:val="0"/>
          <w:bCs w:val="0"/>
          <w:kern w:val="2"/>
          <w:sz w:val="32"/>
          <w:szCs w:val="32"/>
          <w:lang w:val="zh-CN" w:eastAsia="zh-CN" w:bidi="ar-SA"/>
        </w:rPr>
        <w:t>万元，无结余结转。</w:t>
      </w:r>
      <w:r>
        <w:rPr>
          <w:rFonts w:hint="eastAsia" w:ascii="仿宋_GB2312" w:hAnsi="仿宋_GB2312" w:eastAsia="仿宋_GB2312" w:cs="仿宋_GB2312"/>
          <w:b w:val="0"/>
          <w:bCs w:val="0"/>
          <w:kern w:val="2"/>
          <w:sz w:val="32"/>
          <w:szCs w:val="32"/>
          <w:lang w:val="en-US" w:eastAsia="zh-CN" w:bidi="ar-SA"/>
        </w:rPr>
        <w:t>此项目资金使用安全、规范、高效。资金支付范围、支付标准、支付进度、支付依据合规合法，与预算相符。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建立健全单位财务管理制度，严格按照财务管理制度进行财务管理，会计核算规范，账目明晰。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三、项目实施及管理情况</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（一）项目组织架构及实施流程</w:t>
      </w:r>
    </w:p>
    <w:p>
      <w:pPr>
        <w:spacing w:line="24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1.高度重视，加强管理。我局落实分管领导和责任科室，加强对资金分配、项目立项等方面管理，组织项目的具体实施。</w:t>
      </w:r>
    </w:p>
    <w:p>
      <w:pPr>
        <w:spacing w:line="240" w:lineRule="auto"/>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2.认真学习，把握规范要求。不断深化学习相关政策，项目严格按照各相应技术标准及验收规范开展。</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（二）项目管理情况</w:t>
      </w:r>
    </w:p>
    <w:p>
      <w:pPr>
        <w:spacing w:line="576" w:lineRule="exact"/>
        <w:ind w:firstLine="640" w:firstLineChars="200"/>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eastAsia="zh-CN"/>
        </w:rPr>
        <w:t>相关业务科室具体组织实施，严格执行财务管理制度、财务处理及时，会计核算规范。在项目建设过程中，按项目工程建设管理、资金管理要求，严格按政府采购等程序实施，确保项目质量和进度。</w:t>
      </w:r>
    </w:p>
    <w:p>
      <w:pPr>
        <w:spacing w:line="24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（三）项目监管情况</w:t>
      </w:r>
    </w:p>
    <w:p>
      <w:pPr>
        <w:spacing w:line="24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eastAsia="zh-CN"/>
        </w:rPr>
        <w:t>该项目实施的事前、事中、事后监管受局党委办及财务科的监督，资金支付受财政局统一监管。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四、项目绩效情况</w:t>
      </w:r>
      <w:r>
        <w:rPr>
          <w:rFonts w:hint="eastAsia" w:ascii="仿宋_GB2312" w:hAnsi="仿宋_GB2312" w:eastAsia="仿宋_GB2312" w:cs="仿宋_GB2312"/>
          <w:b w:val="0"/>
          <w:bCs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指导和督促各县区及直属单位全年完成营造林46.57万亩。组织开展好全民义务植树活动尽责率达93.48%。抓好天保工程实施，有效管护国有林80.11万亩，实施生态效益补偿兑现624.39万亩，天然商品林停伐管护补助兑现175.63万亩。全面巩固退耕还林成果104.11万亩，完成退耕还林直补资金兑现工作。大力推进生态就业，将生态护林员纳入即报系统（DPS）进行可视化、精细化管理，选（续）聘生态护林员6710人。全面完成古树名木挂牌，深入推动《四川省古树名木保护条例》实施，印发《广元市古树名木保护实施方案》，有效保护古树名木10817株。开展野生动植物保护，加强森林资源管护，坚守生态安全，全面完成“双增长”年度目标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1.社会效益。在林业生产活动的宣传、教育和培训过程中，不断提高项目实施区林农的森林经营和管理水平，有利于提高林业生产力和促进林业科技进步，对推动物质文明和精神文明建设进程具有重要作用。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2.生态效益。按照营造林技术规程开展营造林活动，有效提高森林质量和提升固碳成果，改善林分结构，提高森林生态系统稳定性。森林防护效能显著增强，山林绿了，生态优了，森林覆盖率提高到了57.63%。</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可持续影响。通过新造林和更新造林、森林综合抚育加补植、低效林改造和人工促进天然更新等经营管理活动，建设具有稳定性、抗逆性和生长活力的森林生态系统，实现嘉陵江上游的森林生态系统稳定与发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4.经济效益。兼顾生态效益和经济效益，吸引广大群众参与国土绿化，既增加了短期务工收入，又增加了用材林、经济林培育等长期收入。同时，森林质生态环境提质，还可增加森林康养旅游收入。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（三）满意度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部门满意度为94%，社会满意度93%。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五、评价结论及建议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（一）评价结论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rPr>
        <w:t>项目决策科学，依据充分，项目管理规范，项目完成效果好，实施后达到了预期目的</w:t>
      </w:r>
      <w:r>
        <w:rPr>
          <w:rFonts w:hint="eastAsia" w:ascii="仿宋_GB2312" w:hAnsi="仿宋_GB2312" w:eastAsia="仿宋_GB2312" w:cs="仿宋_GB2312"/>
          <w:b w:val="0"/>
          <w:b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（二）相关建议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工作任务繁重，建议加大经费支持力度。 </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附件：</w:t>
      </w:r>
      <w:r>
        <w:rPr>
          <w:rFonts w:hint="eastAsia" w:ascii="仿宋_GB2312" w:hAnsi="仿宋_GB2312" w:eastAsia="仿宋_GB2312" w:cs="仿宋_GB2312"/>
          <w:color w:val="auto"/>
          <w:sz w:val="32"/>
          <w:szCs w:val="32"/>
          <w:u w:val="none"/>
          <w:lang w:val="en-US" w:eastAsia="zh-CN"/>
        </w:rPr>
        <w:t>2021年部门预算项目绩效目标自评表（生态保护修复）</w:t>
      </w:r>
    </w:p>
    <w:p>
      <w:pPr>
        <w:pStyle w:val="13"/>
        <w:rPr>
          <w:rFonts w:hint="eastAsia"/>
          <w:lang w:val="en-US" w:eastAsia="zh-CN"/>
        </w:rPr>
      </w:pPr>
    </w:p>
    <w:p>
      <w:pPr>
        <w:pStyle w:val="13"/>
        <w:rPr>
          <w:rFonts w:hint="default"/>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760" w:firstLineChars="1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广元市林业局</w:t>
      </w:r>
    </w:p>
    <w:p>
      <w:pPr>
        <w:pStyle w:val="13"/>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13"/>
        <w:ind w:left="0" w:leftChars="0" w:firstLine="0" w:firstLineChars="0"/>
        <w:rPr>
          <w:rFonts w:hint="eastAsia" w:ascii="仿宋_GB2312" w:hAnsi="仿宋_GB2312" w:eastAsia="仿宋_GB2312" w:cs="仿宋_GB2312"/>
          <w:sz w:val="32"/>
          <w:szCs w:val="32"/>
          <w:lang w:val="en-US" w:eastAsia="zh-CN"/>
        </w:rPr>
      </w:pPr>
    </w:p>
    <w:p>
      <w:pPr>
        <w:rPr>
          <w:rFonts w:hint="eastAsia"/>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lang w:val="en-US" w:eastAsia="zh-CN"/>
        </w:rPr>
      </w:pPr>
    </w:p>
    <w:tbl>
      <w:tblPr>
        <w:tblStyle w:val="16"/>
        <w:tblpPr w:leftFromText="180" w:rightFromText="180" w:vertAnchor="text" w:horzAnchor="page" w:tblpX="1277" w:tblpY="1299"/>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840"/>
        <w:gridCol w:w="1005"/>
        <w:gridCol w:w="2310"/>
        <w:gridCol w:w="1932"/>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广元市林业局623001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eastAsia="zh-CN"/>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指导和督促各县区及直属单位完成全年营造林目标；组织开展好全民义务植树活动；抓好天保、退耕等民生工程实施， 有效管护国有林80.11万亩，完成全市624.39万亩集体公益林森林生态效益补偿和集体和个人所有天然商品林停伐管护补助面积175.63万亩兑现工作，巩固退耕还林成果，完成退耕还林直补资金兑现；做好生态护林员选聘和管理工作；全面完成古树名木挂牌；开展野生动植物保护，加强森林资源管护，坚守生态安全，全面完成“双增长”年度目标任务。</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 xml:space="preserve">指导和督促各县区及直属单位全年完成营造林46.57万亩。组织开展好全民义务植树活动尽责率达93.48%。抓好天保工程实施， 有效管护国有林80.11万亩，实施生态效益补偿兑现624.39万亩，天然商品林停伐管护补助兑现175.63万亩。全面巩固退耕还林成果104.11万亩，完成退耕还林直补资金兑现工作。大力推进生态就业，将生态护林员纳入即报系统（DPS）进行可视化、精细化管理，选（续）聘生态护林员6710人。全面完成古树名木挂牌，深入推动《四川省古树名木保护条例》实施，印发《广元市古树名木保护实施方案》，有效保护古树名木10817株。开展野生动植物保护，加强森林资源管护，坚守生态安全，全面完成“双增长”年度目标任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依法管护国有林</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80.11万亩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80.11万亩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完成全市集体公益林森林生态效益补偿兑现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624.39万亩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624.39万亩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集体和个人所有天然商品林停伐管护补助兑现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175.63万亩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175.63万亩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按要求完成</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检查验收、督促指导、督查、调研差旅费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会议及培训费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车辆租用、维护运行费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7万元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印刷费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宣传费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项目效果指标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社会效益指标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 xml:space="preserve">  维护森林资源安全，筑牢嘉陵江上游生态屏障，维护生物多样性和生态平衡</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 xml:space="preserve">  实现森林资源从数量增长进一步向质量提升转变；民生短板明显改善，社会保障全面提升，林区社会和谐稳定。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实现森林资源从数量增长进一步向质量提升转变，2021年森林覆盖率新增0.16个百分点，达57.63%；森林蓄积新增113万立方米，达到6190万立方米,民生短板明显改善，社会保障全面提升，林区社会和谐稳定。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部门满意度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社会满意度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93%</w:t>
            </w:r>
          </w:p>
        </w:tc>
      </w:tr>
    </w:tbl>
    <w:p>
      <w:pPr>
        <w:pStyle w:val="13"/>
        <w:ind w:left="0" w:leftChars="0" w:firstLine="0" w:firstLineChars="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pStyle w:val="13"/>
        <w:rPr>
          <w:rFonts w:hint="eastAsia"/>
          <w:lang w:val="en-US" w:eastAsia="zh-CN"/>
        </w:rPr>
        <w:sectPr>
          <w:pgSz w:w="11906" w:h="16838"/>
          <w:pgMar w:top="2098" w:right="1474" w:bottom="1984" w:left="1587" w:header="851" w:footer="1559" w:gutter="0"/>
          <w:pgNumType w:fmt="decimal"/>
          <w:cols w:space="425" w:num="1"/>
          <w:docGrid w:type="lines" w:linePitch="312" w:charSpace="0"/>
        </w:sectPr>
      </w:pPr>
    </w:p>
    <w:p>
      <w:pPr>
        <w:rPr>
          <w:rFonts w:hint="eastAsia"/>
          <w:lang w:val="en-US" w:eastAsia="zh-CN"/>
        </w:rPr>
      </w:pPr>
    </w:p>
    <w:p>
      <w:pPr>
        <w:pStyle w:val="35"/>
        <w:spacing w:line="576" w:lineRule="exact"/>
        <w:ind w:firstLine="3200" w:firstLineChars="800"/>
        <w:jc w:val="left"/>
        <w:rPr>
          <w:rFonts w:hint="eastAsia" w:ascii="方正小标宋简体" w:hAnsi="方正小标宋简体" w:eastAsia="方正小标宋简体" w:cs="方正小标宋简体"/>
          <w:color w:val="auto"/>
          <w:kern w:val="2"/>
          <w:sz w:val="40"/>
          <w:szCs w:val="40"/>
          <w:lang w:val="en-US"/>
        </w:rPr>
      </w:pPr>
      <w:r>
        <w:rPr>
          <w:rFonts w:hint="eastAsia" w:ascii="方正小标宋简体" w:hAnsi="方正小标宋简体" w:eastAsia="方正小标宋简体" w:cs="方正小标宋简体"/>
          <w:color w:val="auto"/>
          <w:kern w:val="2"/>
          <w:sz w:val="40"/>
          <w:szCs w:val="40"/>
          <w:lang w:val="en-US"/>
        </w:rPr>
        <w:t>广元市林业局</w:t>
      </w:r>
    </w:p>
    <w:p>
      <w:pPr>
        <w:pStyle w:val="35"/>
        <w:spacing w:line="576" w:lineRule="exact"/>
        <w:ind w:firstLine="800" w:firstLineChars="200"/>
        <w:jc w:val="center"/>
        <w:rPr>
          <w:rFonts w:hint="eastAsia" w:ascii="方正小标宋简体" w:hAnsi="方正小标宋简体" w:eastAsia="方正小标宋简体" w:cs="方正小标宋简体"/>
          <w:color w:val="auto"/>
          <w:kern w:val="2"/>
          <w:sz w:val="40"/>
          <w:szCs w:val="40"/>
          <w:lang w:val="en-US" w:eastAsia="zh-CN"/>
        </w:rPr>
      </w:pPr>
      <w:r>
        <w:rPr>
          <w:rFonts w:hint="eastAsia" w:ascii="方正小标宋简体" w:hAnsi="方正小标宋简体" w:eastAsia="方正小标宋简体" w:cs="方正小标宋简体"/>
          <w:color w:val="auto"/>
          <w:kern w:val="2"/>
          <w:sz w:val="40"/>
          <w:szCs w:val="40"/>
          <w:lang w:val="en-US" w:eastAsia="zh-CN"/>
        </w:rPr>
        <w:t>2021年</w:t>
      </w:r>
      <w:r>
        <w:rPr>
          <w:rFonts w:hint="eastAsia" w:ascii="方正小标宋简体" w:hAnsi="方正小标宋简体" w:eastAsia="方正小标宋简体" w:cs="方正小标宋简体"/>
          <w:color w:val="auto"/>
          <w:kern w:val="2"/>
          <w:sz w:val="40"/>
          <w:szCs w:val="40"/>
          <w:lang w:val="en-US"/>
        </w:rPr>
        <w:t>专项预算项目</w:t>
      </w:r>
      <w:r>
        <w:rPr>
          <w:rFonts w:hint="eastAsia" w:ascii="方正小标宋简体" w:hAnsi="方正小标宋简体" w:eastAsia="方正小标宋简体" w:cs="方正小标宋简体"/>
          <w:color w:val="auto"/>
          <w:kern w:val="2"/>
          <w:sz w:val="40"/>
          <w:szCs w:val="40"/>
          <w:lang w:val="en-US" w:eastAsia="zh-CN"/>
        </w:rPr>
        <w:t>（</w:t>
      </w:r>
      <w:r>
        <w:rPr>
          <w:rFonts w:hint="eastAsia" w:ascii="方正小标宋简体" w:hAnsi="方正小标宋简体" w:eastAsia="方正小标宋简体" w:cs="方正小标宋简体"/>
          <w:color w:val="auto"/>
          <w:kern w:val="2"/>
          <w:sz w:val="40"/>
          <w:szCs w:val="40"/>
          <w:lang w:val="en-US"/>
        </w:rPr>
        <w:t>森林防火专项经费</w:t>
      </w:r>
      <w:r>
        <w:rPr>
          <w:rFonts w:hint="eastAsia" w:ascii="方正小标宋简体" w:hAnsi="方正小标宋简体" w:eastAsia="方正小标宋简体" w:cs="方正小标宋简体"/>
          <w:color w:val="auto"/>
          <w:kern w:val="2"/>
          <w:sz w:val="40"/>
          <w:szCs w:val="40"/>
          <w:lang w:val="en-US" w:eastAsia="zh-CN"/>
        </w:rPr>
        <w:t>）</w:t>
      </w:r>
      <w:r>
        <w:rPr>
          <w:rFonts w:hint="eastAsia" w:ascii="方正小标宋简体" w:hAnsi="方正小标宋简体" w:eastAsia="方正小标宋简体" w:cs="方正小标宋简体"/>
          <w:color w:val="auto"/>
          <w:kern w:val="2"/>
          <w:sz w:val="40"/>
          <w:szCs w:val="40"/>
          <w:lang w:val="en-US"/>
        </w:rPr>
        <w:t>支出绩效自评</w:t>
      </w:r>
      <w:r>
        <w:rPr>
          <w:rFonts w:hint="eastAsia" w:ascii="方正小标宋简体" w:hAnsi="方正小标宋简体" w:eastAsia="方正小标宋简体" w:cs="方正小标宋简体"/>
          <w:color w:val="auto"/>
          <w:kern w:val="2"/>
          <w:sz w:val="40"/>
          <w:szCs w:val="40"/>
          <w:lang w:val="en-US" w:eastAsia="zh-CN"/>
        </w:rPr>
        <w:t>情况的函</w:t>
      </w:r>
    </w:p>
    <w:p>
      <w:pPr>
        <w:pStyle w:val="35"/>
        <w:spacing w:line="576" w:lineRule="exact"/>
        <w:ind w:firstLine="3200" w:firstLineChars="800"/>
        <w:jc w:val="both"/>
        <w:rPr>
          <w:rFonts w:hint="eastAsia" w:ascii="方正小标宋简体" w:hAnsi="方正小标宋简体" w:eastAsia="方正小标宋简体" w:cs="方正小标宋简体"/>
          <w:color w:val="auto"/>
          <w:kern w:val="2"/>
          <w:sz w:val="40"/>
          <w:szCs w:val="40"/>
          <w:lang w:val="en-US" w:eastAsia="zh-CN"/>
        </w:rPr>
      </w:pP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b w:val="0"/>
          <w:bCs w:val="0"/>
          <w:sz w:val="32"/>
          <w:szCs w:val="32"/>
          <w:lang w:val="zh-CN" w:eastAsia="zh-CN"/>
        </w:rPr>
        <w:t>相关要求，现将我</w:t>
      </w:r>
      <w:r>
        <w:rPr>
          <w:rFonts w:hint="eastAsia" w:ascii="仿宋_GB2312" w:hAnsi="仿宋_GB2312" w:eastAsia="仿宋_GB2312" w:cs="仿宋_GB2312"/>
          <w:b w:val="0"/>
          <w:bCs w:val="0"/>
          <w:sz w:val="32"/>
          <w:szCs w:val="32"/>
          <w:lang w:val="en-US" w:eastAsia="zh-CN"/>
        </w:rPr>
        <w:t>局森林防火专项经费专项支出绩效自评情况报告如下。</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zh-CN"/>
        </w:rPr>
        <w:t>项目概况</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（一）项目基本情况</w:t>
      </w:r>
    </w:p>
    <w:p>
      <w:pPr>
        <w:spacing w:line="360" w:lineRule="auto"/>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1．说明项目主管部门（单位）在该项目管理中的职能。</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负责项目资金规划方案编制、组织实施、监督管理、检查验收和区域绩效目标申报及评价等工作，配合做好项目绩效评价工作。</w:t>
      </w:r>
    </w:p>
    <w:p>
      <w:pPr>
        <w:numPr>
          <w:ilvl w:val="0"/>
          <w:numId w:val="5"/>
        </w:numPr>
        <w:adjustRightInd w:val="0"/>
        <w:snapToGrid w:val="0"/>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项目立项、资金申报的依据。</w:t>
      </w:r>
    </w:p>
    <w:p>
      <w:pPr>
        <w:pStyle w:val="13"/>
        <w:ind w:left="0" w:lef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川省森林防火条例》第十条、县级以上地方人民政府应当将森林防火基础设施建设等工作纳入国民经济和社会发展规划及政府年度工作计划，并按年度组织实施;将森林火灾预防、扑救、装备和队伍建设等经费列入本级财政预算，安排专项经费，并根据实际需要逐年增加。</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按照省、市相关资金管理办法及</w:t>
      </w:r>
      <w:r>
        <w:rPr>
          <w:rFonts w:hint="eastAsia" w:ascii="仿宋_GB2312" w:hAnsi="仿宋_GB2312" w:eastAsia="仿宋_GB2312" w:cs="仿宋_GB2312"/>
          <w:b w:val="0"/>
          <w:bCs w:val="0"/>
          <w:sz w:val="32"/>
          <w:szCs w:val="32"/>
          <w:lang w:val="zh-CN"/>
        </w:rPr>
        <w:t>项目管理</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lang w:val="zh-CN"/>
        </w:rPr>
        <w:t>相关</w:t>
      </w:r>
      <w:r>
        <w:rPr>
          <w:rFonts w:hint="eastAsia" w:ascii="仿宋_GB2312" w:hAnsi="仿宋_GB2312" w:eastAsia="仿宋_GB2312" w:cs="仿宋_GB2312"/>
          <w:b w:val="0"/>
          <w:bCs w:val="0"/>
          <w:sz w:val="32"/>
          <w:szCs w:val="32"/>
        </w:rPr>
        <w:t>规定</w:t>
      </w:r>
      <w:r>
        <w:rPr>
          <w:rFonts w:hint="eastAsia" w:ascii="仿宋_GB2312" w:hAnsi="仿宋_GB2312" w:eastAsia="仿宋_GB2312" w:cs="仿宋_GB2312"/>
          <w:b w:val="0"/>
          <w:bCs w:val="0"/>
          <w:sz w:val="32"/>
          <w:szCs w:val="32"/>
          <w:lang w:val="zh-CN"/>
        </w:rPr>
        <w:t>，严格执行项目</w:t>
      </w:r>
      <w:r>
        <w:rPr>
          <w:rFonts w:hint="eastAsia" w:ascii="仿宋_GB2312" w:hAnsi="仿宋_GB2312" w:eastAsia="仿宋_GB2312" w:cs="仿宋_GB2312"/>
          <w:b w:val="0"/>
          <w:bCs w:val="0"/>
          <w:sz w:val="32"/>
          <w:szCs w:val="32"/>
        </w:rPr>
        <w:t>资金</w:t>
      </w:r>
      <w:r>
        <w:rPr>
          <w:rFonts w:hint="eastAsia" w:ascii="仿宋_GB2312" w:hAnsi="仿宋_GB2312" w:eastAsia="仿宋_GB2312" w:cs="仿宋_GB2312"/>
          <w:b w:val="0"/>
          <w:bCs w:val="0"/>
          <w:sz w:val="32"/>
          <w:szCs w:val="32"/>
          <w:lang w:val="zh-CN"/>
        </w:rPr>
        <w:t>绩效管理制度，扎实开展事前绩效评估，加强预算项目前端绩效管控，推动预算安排理性决策动态实施绩效运行监控，深入开展绩效自评。资金支持项目的条件、范围与支持方式</w:t>
      </w:r>
      <w:r>
        <w:rPr>
          <w:rFonts w:hint="eastAsia" w:ascii="仿宋_GB2312" w:hAnsi="仿宋_GB2312" w:eastAsia="仿宋_GB2312" w:cs="仿宋_GB2312"/>
          <w:b w:val="0"/>
          <w:bCs w:val="0"/>
          <w:sz w:val="32"/>
          <w:szCs w:val="32"/>
        </w:rPr>
        <w:t>符合相关管理规定</w:t>
      </w:r>
      <w:r>
        <w:rPr>
          <w:rFonts w:hint="eastAsia" w:ascii="仿宋_GB2312" w:hAnsi="仿宋_GB2312" w:eastAsia="仿宋_GB2312" w:cs="仿宋_GB2312"/>
          <w:b w:val="0"/>
          <w:bCs w:val="0"/>
          <w:sz w:val="32"/>
          <w:szCs w:val="32"/>
          <w:lang w:val="zh-CN"/>
        </w:rPr>
        <w:t>。</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4．资金分配的原则及考虑因素。</w:t>
      </w:r>
    </w:p>
    <w:p>
      <w:pPr>
        <w:pStyle w:val="6"/>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我局所有项目</w:t>
      </w:r>
      <w:r>
        <w:rPr>
          <w:rFonts w:hint="eastAsia" w:ascii="仿宋_GB2312" w:hAnsi="仿宋_GB2312" w:eastAsia="仿宋_GB2312" w:cs="仿宋_GB2312"/>
          <w:b w:val="0"/>
          <w:bCs w:val="0"/>
          <w:sz w:val="32"/>
          <w:szCs w:val="32"/>
        </w:rPr>
        <w:t>资金均按相关规定，</w:t>
      </w:r>
      <w:r>
        <w:rPr>
          <w:rFonts w:hint="eastAsia" w:ascii="仿宋_GB2312" w:hAnsi="仿宋_GB2312" w:eastAsia="仿宋_GB2312" w:cs="仿宋_GB2312"/>
          <w:b w:val="0"/>
          <w:bCs w:val="0"/>
          <w:sz w:val="32"/>
          <w:szCs w:val="32"/>
          <w:lang w:val="zh-CN"/>
        </w:rPr>
        <w:t>按照“政策目标明确、分配规范、支出方向协调、绩效结果挂钩”的原则分配。</w:t>
      </w:r>
    </w:p>
    <w:p>
      <w:pPr>
        <w:numPr>
          <w:ilvl w:val="0"/>
          <w:numId w:val="6"/>
        </w:num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项目绩效目标</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lang w:val="zh-CN"/>
        </w:rPr>
        <w:t>1．项目主要内容。</w:t>
      </w:r>
      <w:r>
        <w:rPr>
          <w:rFonts w:hint="eastAsia" w:ascii="仿宋_GB2312" w:hAnsi="仿宋_GB2312" w:eastAsia="仿宋_GB2312" w:cs="仿宋_GB2312"/>
          <w:b w:val="0"/>
          <w:bCs w:val="0"/>
          <w:sz w:val="32"/>
          <w:szCs w:val="32"/>
          <w:u w:val="none"/>
          <w:lang w:val="zh-CN"/>
        </w:rPr>
        <w:t>累计排查整治火灾风险隐患7891个；组建地方专业扑火队伍6支300人；印发了《关于进一步加强护林员管理工作的通知》，全市共选聘生态护林员5000余名，加强日常巡护。会同应急管理部门组织开展森林防灭火综合应急演练9次，森林火灾扑救实战应急演练近80场次，累计参加演练指战员3000余人次，培训灭火指挥员1820名。一是广泛开展宣传教育。在报刊、电台、网站等平台开设宣传专栏20余个，利用全市1.66万个“村村响”应急广播每天定时播报；扎实开展中小学春秋季学期“开学第一课·森林防灭火”主题教育和“校园六个一”活动。二是聚焦重点区域重点人员加强宣传。在国有林场、自然保护地、旅游景区、城区周边、重点防火乡镇等重点林区的进山路口增设警示标牌2.7万余个、安装语音宣传杆232个、配置视频智能监控48套。对全市376个森林可燃物标准地和39个森林可燃物大样地进行外业调查，全面完成森林可燃物、减灾能力、历史火灾、野外火源四个调查任务。我市森林火灾损失率为0，有效保护了人民群众生命财产和森林资源安全。</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2．经过森林防火相关督查、宣传、演练、培训，及对森林消防车辆的定时维护，实现“打早、打小、打了”目标，全市森林火灾损失率为0。社会、群众满意度达到95%以上。</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3．申报内容与实际相符，申报目标合理可行。</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（三）项目自评步骤及方法</w:t>
      </w:r>
    </w:p>
    <w:p>
      <w:pPr>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我局高度重视</w:t>
      </w:r>
      <w:r>
        <w:rPr>
          <w:rFonts w:hint="eastAsia" w:ascii="仿宋_GB2312" w:hAnsi="仿宋_GB2312" w:eastAsia="仿宋_GB2312" w:cs="仿宋_GB2312"/>
          <w:b w:val="0"/>
          <w:bCs w:val="0"/>
          <w:sz w:val="32"/>
          <w:szCs w:val="32"/>
        </w:rPr>
        <w:t>此次</w:t>
      </w:r>
      <w:r>
        <w:rPr>
          <w:rFonts w:hint="eastAsia" w:ascii="仿宋_GB2312" w:hAnsi="仿宋_GB2312" w:eastAsia="仿宋_GB2312" w:cs="仿宋_GB2312"/>
          <w:b w:val="0"/>
          <w:bCs w:val="0"/>
          <w:sz w:val="32"/>
          <w:szCs w:val="32"/>
          <w:lang w:val="zh-CN"/>
        </w:rPr>
        <w:t>绩效自评工作，</w:t>
      </w:r>
      <w:r>
        <w:rPr>
          <w:rFonts w:hint="eastAsia" w:ascii="仿宋_GB2312" w:hAnsi="仿宋_GB2312" w:eastAsia="仿宋_GB2312" w:cs="仿宋_GB2312"/>
          <w:b w:val="0"/>
          <w:bCs w:val="0"/>
          <w:sz w:val="32"/>
          <w:szCs w:val="32"/>
        </w:rPr>
        <w:t>按照</w:t>
      </w:r>
      <w:r>
        <w:rPr>
          <w:rFonts w:hint="eastAsia" w:ascii="仿宋_GB2312" w:hAnsi="仿宋_GB2312" w:eastAsia="仿宋_GB2312" w:cs="仿宋_GB2312"/>
          <w:b w:val="0"/>
          <w:bCs w:val="0"/>
          <w:sz w:val="32"/>
          <w:szCs w:val="32"/>
          <w:lang w:eastAsia="zh-CN"/>
        </w:rPr>
        <w:t>相关</w:t>
      </w:r>
      <w:r>
        <w:rPr>
          <w:rFonts w:hint="eastAsia" w:ascii="仿宋_GB2312" w:hAnsi="仿宋_GB2312" w:eastAsia="仿宋_GB2312" w:cs="仿宋_GB2312"/>
          <w:b w:val="0"/>
          <w:bCs w:val="0"/>
          <w:sz w:val="32"/>
          <w:szCs w:val="32"/>
        </w:rPr>
        <w:t>要求，一是认真学习领会文件精神，明确绩效评价要求，成立专项绩效评价工作组；二是及时收集基础资料，按照本次绩效评价要求，及时全面收集整理各类绩效评价基础资料，包括资金下达文件、绩效目标、财政政策执行、财经纪律监督执行、项目申报、批复、实施、验收等相关文件资料；三是对照一级、二级指标，组织开展自查自评，分析项目实施、完成结果、项目效果等方面的情况；四是全面总结项目存在的问题，提出相关建议；五是各项目实施科室提交专项支出绩效自评报告；六是</w:t>
      </w:r>
      <w:r>
        <w:rPr>
          <w:rFonts w:hint="eastAsia" w:ascii="仿宋_GB2312" w:hAnsi="仿宋_GB2312" w:eastAsia="仿宋_GB2312" w:cs="仿宋_GB2312"/>
          <w:b w:val="0"/>
          <w:bCs w:val="0"/>
          <w:sz w:val="32"/>
          <w:szCs w:val="32"/>
          <w:lang w:val="zh-CN"/>
        </w:rPr>
        <w:t>由</w:t>
      </w:r>
      <w:r>
        <w:rPr>
          <w:rFonts w:hint="eastAsia" w:ascii="仿宋_GB2312" w:hAnsi="仿宋_GB2312" w:eastAsia="仿宋_GB2312" w:cs="仿宋_GB2312"/>
          <w:b w:val="0"/>
          <w:bCs w:val="0"/>
          <w:sz w:val="32"/>
          <w:szCs w:val="32"/>
        </w:rPr>
        <w:t>我局</w:t>
      </w:r>
      <w:r>
        <w:rPr>
          <w:rFonts w:hint="eastAsia" w:ascii="仿宋_GB2312" w:hAnsi="仿宋_GB2312" w:eastAsia="仿宋_GB2312" w:cs="仿宋_GB2312"/>
          <w:b w:val="0"/>
          <w:bCs w:val="0"/>
          <w:sz w:val="32"/>
          <w:szCs w:val="32"/>
          <w:lang w:eastAsia="zh-CN"/>
        </w:rPr>
        <w:t>防火</w:t>
      </w:r>
      <w:r>
        <w:rPr>
          <w:rFonts w:hint="eastAsia" w:ascii="仿宋_GB2312" w:hAnsi="仿宋_GB2312" w:eastAsia="仿宋_GB2312" w:cs="仿宋_GB2312"/>
          <w:b w:val="0"/>
          <w:bCs w:val="0"/>
          <w:sz w:val="32"/>
          <w:szCs w:val="32"/>
        </w:rPr>
        <w:t>科</w:t>
      </w:r>
      <w:r>
        <w:rPr>
          <w:rFonts w:hint="eastAsia" w:ascii="仿宋_GB2312" w:hAnsi="仿宋_GB2312" w:eastAsia="仿宋_GB2312" w:cs="仿宋_GB2312"/>
          <w:b w:val="0"/>
          <w:bCs w:val="0"/>
          <w:sz w:val="32"/>
          <w:szCs w:val="32"/>
          <w:lang w:val="zh-CN"/>
        </w:rPr>
        <w:t>牵头</w:t>
      </w:r>
      <w:r>
        <w:rPr>
          <w:rFonts w:hint="eastAsia" w:ascii="仿宋_GB2312" w:hAnsi="仿宋_GB2312" w:eastAsia="仿宋_GB2312" w:cs="仿宋_GB2312"/>
          <w:b w:val="0"/>
          <w:bCs w:val="0"/>
          <w:sz w:val="32"/>
          <w:szCs w:val="32"/>
        </w:rPr>
        <w:t>的专项绩效评价工作组对各项目主管部门自评结果进行数据整理、分析，并撰写我局</w:t>
      </w:r>
      <w:r>
        <w:rPr>
          <w:rFonts w:hint="eastAsia" w:ascii="仿宋_GB2312" w:hAnsi="仿宋_GB2312" w:eastAsia="仿宋_GB2312" w:cs="仿宋_GB2312"/>
          <w:b w:val="0"/>
          <w:bCs w:val="0"/>
          <w:sz w:val="32"/>
          <w:szCs w:val="32"/>
          <w:lang w:val="en-US"/>
        </w:rPr>
        <w:t>森林防火专项经费</w:t>
      </w:r>
      <w:r>
        <w:rPr>
          <w:rFonts w:hint="eastAsia" w:ascii="仿宋_GB2312" w:hAnsi="仿宋_GB2312" w:eastAsia="仿宋_GB2312" w:cs="仿宋_GB2312"/>
          <w:b w:val="0"/>
          <w:bCs w:val="0"/>
          <w:sz w:val="32"/>
          <w:szCs w:val="32"/>
        </w:rPr>
        <w:t>支出绩效的自评报告。</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二、项目资金申报及使用情况</w:t>
      </w:r>
    </w:p>
    <w:p>
      <w:pPr>
        <w:adjustRightInd w:val="0"/>
        <w:snapToGrid w:val="0"/>
        <w:spacing w:line="576" w:lineRule="exact"/>
        <w:ind w:left="420" w:left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（一）项目资金申报及批复情况</w:t>
      </w:r>
    </w:p>
    <w:p>
      <w:pPr>
        <w:pStyle w:val="13"/>
        <w:ind w:left="0" w:leftChars="0" w:firstLine="640" w:firstLineChars="200"/>
        <w:jc w:val="left"/>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en-US" w:eastAsia="zh-CN"/>
        </w:rPr>
        <w:t>20</w:t>
      </w:r>
      <w:r>
        <w:rPr>
          <w:rFonts w:hint="eastAsia" w:ascii="仿宋_GB2312" w:hAnsi="仿宋_GB2312" w:eastAsia="仿宋_GB2312" w:cs="仿宋_GB2312"/>
          <w:b w:val="0"/>
          <w:bCs w:val="0"/>
          <w:sz w:val="32"/>
          <w:szCs w:val="32"/>
          <w:u w:val="none"/>
          <w:lang w:val="zh-CN"/>
        </w:rPr>
        <w:t>21年度森林防火专项经费项目资金总额：29万元，全部为财政资金。</w:t>
      </w:r>
    </w:p>
    <w:p>
      <w:pPr>
        <w:adjustRightInd w:val="0"/>
        <w:snapToGrid w:val="0"/>
        <w:spacing w:line="576" w:lineRule="exact"/>
        <w:ind w:left="420" w:left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（二）资金计划、到位及使用情况</w:t>
      </w:r>
    </w:p>
    <w:p>
      <w:pPr>
        <w:adjustRightInd w:val="0"/>
        <w:snapToGrid w:val="0"/>
        <w:spacing w:line="576" w:lineRule="exact"/>
        <w:ind w:firstLine="640" w:firstLineChars="200"/>
        <w:rPr>
          <w:rFonts w:hint="eastAsia" w:ascii="仿宋_GB2312" w:hAnsi="仿宋_GB2312" w:eastAsia="仿宋_GB2312" w:cs="仿宋_GB2312"/>
          <w:b w:val="0"/>
          <w:bCs w:val="0"/>
          <w:color w:val="C00000"/>
          <w:sz w:val="32"/>
          <w:szCs w:val="32"/>
          <w:lang w:val="zh-CN"/>
        </w:rPr>
      </w:pPr>
      <w:r>
        <w:rPr>
          <w:rFonts w:hint="eastAsia" w:ascii="仿宋_GB2312" w:hAnsi="仿宋_GB2312" w:eastAsia="仿宋_GB2312" w:cs="仿宋_GB2312"/>
          <w:b w:val="0"/>
          <w:bCs w:val="0"/>
          <w:sz w:val="32"/>
          <w:szCs w:val="32"/>
          <w:lang w:val="zh-CN"/>
        </w:rPr>
        <w:t>1．资金到位。</w:t>
      </w:r>
    </w:p>
    <w:p>
      <w:pPr>
        <w:pStyle w:val="13"/>
        <w:ind w:left="0" w:leftChars="0" w:firstLine="640" w:firstLineChars="200"/>
        <w:jc w:val="left"/>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森林防火专项经费资金到位29万元，资金到位率 100%。</w:t>
      </w:r>
    </w:p>
    <w:p>
      <w:pPr>
        <w:numPr>
          <w:ilvl w:val="0"/>
          <w:numId w:val="0"/>
        </w:num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．资金使用。</w:t>
      </w:r>
    </w:p>
    <w:p>
      <w:pPr>
        <w:pStyle w:val="13"/>
        <w:ind w:left="0" w:leftChars="0"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截至目前，我市</w:t>
      </w:r>
      <w:r>
        <w:rPr>
          <w:rFonts w:hint="eastAsia" w:ascii="仿宋_GB2312" w:hAnsi="仿宋_GB2312" w:eastAsia="仿宋_GB2312" w:cs="仿宋_GB2312"/>
          <w:b w:val="0"/>
          <w:bCs w:val="0"/>
          <w:sz w:val="32"/>
          <w:szCs w:val="32"/>
          <w:u w:val="none"/>
          <w:lang w:val="en-US" w:eastAsia="zh-CN"/>
        </w:rPr>
        <w:t>20</w:t>
      </w:r>
      <w:r>
        <w:rPr>
          <w:rFonts w:hint="eastAsia" w:ascii="仿宋_GB2312" w:hAnsi="仿宋_GB2312" w:eastAsia="仿宋_GB2312" w:cs="仿宋_GB2312"/>
          <w:b w:val="0"/>
          <w:bCs w:val="0"/>
          <w:sz w:val="32"/>
          <w:szCs w:val="32"/>
          <w:u w:val="none"/>
        </w:rPr>
        <w:t>21年防火物资储备</w:t>
      </w:r>
      <w:r>
        <w:rPr>
          <w:rFonts w:hint="eastAsia" w:ascii="仿宋_GB2312" w:hAnsi="仿宋_GB2312" w:eastAsia="仿宋_GB2312" w:cs="仿宋_GB2312"/>
          <w:b w:val="0"/>
          <w:bCs w:val="0"/>
          <w:sz w:val="32"/>
          <w:szCs w:val="32"/>
          <w:u w:val="none"/>
          <w:lang w:val="zh-CN"/>
        </w:rPr>
        <w:t>项目资金支付</w:t>
      </w:r>
      <w:r>
        <w:rPr>
          <w:rFonts w:hint="eastAsia" w:ascii="仿宋_GB2312" w:hAnsi="仿宋_GB2312" w:eastAsia="仿宋_GB2312" w:cs="仿宋_GB2312"/>
          <w:b w:val="0"/>
          <w:bCs w:val="0"/>
          <w:sz w:val="32"/>
          <w:szCs w:val="32"/>
          <w:u w:val="none"/>
        </w:rPr>
        <w:t>29</w:t>
      </w:r>
      <w:r>
        <w:rPr>
          <w:rFonts w:hint="eastAsia" w:ascii="仿宋_GB2312" w:hAnsi="仿宋_GB2312" w:eastAsia="仿宋_GB2312" w:cs="仿宋_GB2312"/>
          <w:b w:val="0"/>
          <w:bCs w:val="0"/>
          <w:sz w:val="32"/>
          <w:szCs w:val="32"/>
          <w:u w:val="none"/>
          <w:lang w:val="zh-CN"/>
        </w:rPr>
        <w:t>万元，无结转</w:t>
      </w:r>
      <w:r>
        <w:rPr>
          <w:rFonts w:hint="eastAsia" w:ascii="仿宋_GB2312" w:hAnsi="仿宋_GB2312" w:eastAsia="仿宋_GB2312" w:cs="仿宋_GB2312"/>
          <w:b w:val="0"/>
          <w:bCs w:val="0"/>
          <w:sz w:val="32"/>
          <w:szCs w:val="32"/>
          <w:u w:val="none"/>
          <w:lang w:eastAsia="zh-CN"/>
        </w:rPr>
        <w:t>结余</w:t>
      </w:r>
      <w:r>
        <w:rPr>
          <w:rFonts w:hint="eastAsia" w:ascii="仿宋_GB2312" w:hAnsi="仿宋_GB2312" w:eastAsia="仿宋_GB2312" w:cs="仿宋_GB2312"/>
          <w:b w:val="0"/>
          <w:bCs w:val="0"/>
          <w:sz w:val="32"/>
          <w:szCs w:val="32"/>
          <w:u w:val="none"/>
          <w:lang w:val="zh-CN"/>
        </w:rPr>
        <w:t>。</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我局资金使用安全、规范、高效。资金支付范围、支付标准、支付进度、支付依据合规合法，与预算相符。</w:t>
      </w:r>
    </w:p>
    <w:p>
      <w:pPr>
        <w:adjustRightInd w:val="0"/>
        <w:snapToGrid w:val="0"/>
        <w:spacing w:line="576" w:lineRule="exact"/>
        <w:ind w:left="420" w:left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局严格执行中央、省、市有关资金使用与管理规定，实行专款专用。加强财务管理，规范会计核算，及时准确掌握资金到位、使用等情况，真实完整地反映会计报表，努力提高资金管理效果，资金无截留、挤占、挪用现象。</w:t>
      </w:r>
    </w:p>
    <w:p>
      <w:pPr>
        <w:numPr>
          <w:ilvl w:val="0"/>
          <w:numId w:val="7"/>
        </w:numPr>
        <w:adjustRightInd w:val="0"/>
        <w:snapToGrid w:val="0"/>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项目实施及管理情况</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（一）项目组织架构及实施流程</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1.高度重视，加强管理。我局落实分管领导和责任科室，加强对资金分配、项目立项等方面管理，组织项目的具体实施。</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2.认真学习，把握规范要求。不断深化学习相关政策，项目严格按照各相应技术标准及验收规范开展。</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（二）项目管理情况</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相关业务科室具体组织实施，严格执行财务管理制度、财务处理及时，会计核算规范。在项目建设过程中，按项目工程建设管理、资金管理要求，严格按政府采购等程序实施，确保项目质量和进度。</w:t>
      </w:r>
    </w:p>
    <w:p>
      <w:pPr>
        <w:numPr>
          <w:ilvl w:val="0"/>
          <w:numId w:val="0"/>
        </w:numPr>
        <w:spacing w:line="360" w:lineRule="auto"/>
        <w:ind w:leftChars="200"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项目监管情况</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该项目实施的事前、事中、事后监管受</w:t>
      </w:r>
      <w:r>
        <w:rPr>
          <w:rFonts w:hint="eastAsia" w:ascii="仿宋_GB2312" w:hAnsi="仿宋_GB2312" w:eastAsia="仿宋_GB2312" w:cs="仿宋_GB2312"/>
          <w:b w:val="0"/>
          <w:bCs w:val="0"/>
          <w:sz w:val="32"/>
          <w:szCs w:val="32"/>
          <w:lang w:eastAsia="zh-CN"/>
        </w:rPr>
        <w:t>局党委办及财务科</w:t>
      </w:r>
      <w:r>
        <w:rPr>
          <w:rFonts w:hint="eastAsia" w:ascii="仿宋_GB2312" w:hAnsi="仿宋_GB2312" w:eastAsia="仿宋_GB2312" w:cs="仿宋_GB2312"/>
          <w:b w:val="0"/>
          <w:bCs w:val="0"/>
          <w:sz w:val="32"/>
          <w:szCs w:val="32"/>
        </w:rPr>
        <w:t>的监督，资金支付受财政局统一监管。</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rPr>
        <w:t>四、项目绩效情况</w:t>
      </w:r>
      <w:r>
        <w:rPr>
          <w:rFonts w:hint="eastAsia" w:ascii="仿宋_GB2312" w:hAnsi="仿宋_GB2312" w:eastAsia="仿宋_GB2312" w:cs="仿宋_GB2312"/>
          <w:b w:val="0"/>
          <w:bCs w:val="0"/>
          <w:sz w:val="32"/>
          <w:szCs w:val="32"/>
          <w:u w:val="none"/>
          <w:lang w:val="zh-CN"/>
        </w:rPr>
        <w:tab/>
      </w:r>
    </w:p>
    <w:p>
      <w:pPr>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（一）项目完成情况</w:t>
      </w:r>
    </w:p>
    <w:p>
      <w:p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了有效的预防和扑救森林火灾，保障人民生命财产安全，保护森林资源，维护生态安全，建设生态文明，根据《中华人民共和国森林法》、《森林防火条例》、《四川省森林防火条例》等有关法律、行政法规，结合本地实际，设立森林防火专项经费。    2021年森林防火专项经费开支29万元，分别为：</w:t>
      </w:r>
    </w:p>
    <w:p>
      <w:pPr>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现该项目已完成100%，无结余资金。在项目实施过程中，严格项目资金管理，认真贯彻严格执行财政资金专款专用，项目顺利开展，没有发生改变资金用途、扣减项目资金等现象。全市累计排查整治火灾风险隐患7891个；组建地方专业扑火队伍6支300人；印发了《关于进一步加强护林员管理工作的通知》，全市共选聘生态护林员5000余名，加强日常巡护。会同应急管理部门组织开展森林防灭火综合应急演练9次，森林火灾扑救实战应急演练近80场次，累计参加演练指战员3000余人次，培训灭火指挥员1820名。一是广泛开展宣传教育。在报刊、电台、网站等平台开设宣传专栏20余个，利用全市1.66万个“村村响”应急广播每天定时播报；扎实开展中小学春秋季学期“开学第一课·森林防灭火”主题教育和“校园六个一”活动。二是聚焦重点区域重点人员加强宣传。在国有林场、自然保护地、旅游景区、城区周边、重点防火乡镇等重点林区的进山路口增设警示标牌2.7万余个、安装语音宣传杆232个、配置视频智能监控48套。对全市376个森林可燃物标准地和39个森林可燃物大样地进行外业调查，全面完成森林可燃物、减灾能力、历史火灾、野外火源四个调查任务。我市森林火灾损失率为0，有效保护了人民群众生命财产和森林资源安全。</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（二）项目效益情况</w:t>
      </w:r>
    </w:p>
    <w:p>
      <w:pPr>
        <w:spacing w:line="576" w:lineRule="exact"/>
        <w:ind w:firstLine="640" w:firstLineChars="200"/>
        <w:rPr>
          <w:rFonts w:hint="eastAsia" w:ascii="仿宋_GB2312" w:hAnsi="仿宋_GB2312" w:eastAsia="仿宋_GB2312" w:cs="仿宋_GB2312"/>
          <w:b w:val="0"/>
          <w:bCs w:val="0"/>
          <w:sz w:val="32"/>
          <w:szCs w:val="32"/>
          <w:u w:val="none"/>
          <w:lang w:val="zh-CN"/>
        </w:rPr>
      </w:pPr>
      <w:r>
        <w:rPr>
          <w:rFonts w:hint="eastAsia" w:ascii="仿宋_GB2312" w:hAnsi="仿宋_GB2312" w:eastAsia="仿宋_GB2312" w:cs="仿宋_GB2312"/>
          <w:b w:val="0"/>
          <w:bCs w:val="0"/>
          <w:sz w:val="32"/>
          <w:szCs w:val="32"/>
          <w:u w:val="none"/>
          <w:lang w:val="zh-CN"/>
        </w:rPr>
        <w:t>全年没有发生一起森林火灾，实现“打早、打小、打了”目标，全市森林火灾损失率控制在0.1‰以内，部门、群众满意度达到95%以上。</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五、评价结论及建议</w:t>
      </w:r>
    </w:p>
    <w:p>
      <w:pPr>
        <w:adjustRightInd w:val="0"/>
        <w:snapToGrid w:val="0"/>
        <w:spacing w:line="576" w:lineRule="exact"/>
        <w:ind w:firstLine="640" w:firstLineChars="200"/>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lang w:val="zh-CN"/>
        </w:rPr>
        <w:t>（一）评价结论</w:t>
      </w:r>
    </w:p>
    <w:p>
      <w:pPr>
        <w:spacing w:line="360" w:lineRule="auto"/>
        <w:ind w:firstLine="640" w:firstLineChars="200"/>
        <w:rPr>
          <w:rFonts w:hint="eastAsia" w:ascii="仿宋_GB2312" w:hAnsi="仿宋_GB2312" w:eastAsia="仿宋_GB2312" w:cs="仿宋_GB2312"/>
          <w:b w:val="0"/>
          <w:bCs w:val="0"/>
          <w:sz w:val="32"/>
          <w:szCs w:val="32"/>
          <w:u w:val="none"/>
          <w:shd w:val="clear" w:color="auto" w:fill="auto"/>
          <w:lang w:val="zh-CN"/>
        </w:rPr>
      </w:pPr>
      <w:r>
        <w:rPr>
          <w:rFonts w:hint="eastAsia" w:ascii="仿宋_GB2312" w:hAnsi="仿宋_GB2312" w:eastAsia="仿宋_GB2312" w:cs="仿宋_GB2312"/>
          <w:b w:val="0"/>
          <w:bCs w:val="0"/>
          <w:sz w:val="32"/>
          <w:szCs w:val="32"/>
          <w:u w:val="none"/>
        </w:rPr>
        <w:t>项目决策科学，依据充分，项目管理规范，项目完成效果好，实施后达到了预期目的，在市委市政府的决策部署下今年我市森林防火工作稳中有升。2021年全市共发生森林火灾0起，森林火灾损失率为0。没有发生重特大森林火灾。基层群众对森林防火工作满意程度达到95%以上。</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（二）存在的问题</w:t>
      </w:r>
    </w:p>
    <w:p>
      <w:pPr>
        <w:pStyle w:val="13"/>
        <w:ind w:left="1280" w:hanging="64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无。</w:t>
      </w:r>
    </w:p>
    <w:p>
      <w:pPr>
        <w:adjustRightInd w:val="0"/>
        <w:snapToGrid w:val="0"/>
        <w:spacing w:line="576"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（三）相关建议</w:t>
      </w:r>
    </w:p>
    <w:p>
      <w:pPr>
        <w:adjustRightInd w:val="0"/>
        <w:snapToGrid w:val="0"/>
        <w:spacing w:line="600"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加大对森林防火基础设施建设，进一步加大对森林防火工作的投入，促进森林防火基础设施改善。</w:t>
      </w:r>
    </w:p>
    <w:p>
      <w:pPr>
        <w:rPr>
          <w:rFonts w:hint="eastAsia" w:ascii="仿宋_GB2312" w:hAnsi="仿宋_GB2312" w:eastAsia="仿宋_GB2312" w:cs="仿宋_GB2312"/>
          <w:b w:val="0"/>
          <w:bCs w:val="0"/>
          <w:sz w:val="32"/>
          <w:szCs w:val="32"/>
        </w:rPr>
      </w:pPr>
    </w:p>
    <w:p>
      <w:pPr>
        <w:ind w:left="1380" w:leftChars="200" w:hanging="960" w:hangingChars="3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2021年部门预算项目绩效目标自评表（森林防火专项经费项目）</w:t>
      </w:r>
    </w:p>
    <w:p>
      <w:pPr>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pPr>
        <w:pStyle w:val="13"/>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p>
    <w:p>
      <w:pPr>
        <w:pStyle w:val="13"/>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pStyle w:val="13"/>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pStyle w:val="13"/>
        <w:rPr>
          <w:rFonts w:hint="default"/>
          <w:lang w:val="en-US" w:eastAsia="zh-CN"/>
        </w:rPr>
      </w:pPr>
    </w:p>
    <w:tbl>
      <w:tblPr>
        <w:tblStyle w:val="16"/>
        <w:tblpPr w:leftFromText="180" w:rightFromText="180" w:vertAnchor="text" w:horzAnchor="page" w:tblpX="1277" w:tblpY="1299"/>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840"/>
        <w:gridCol w:w="1005"/>
        <w:gridCol w:w="2310"/>
        <w:gridCol w:w="1932"/>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广元市林业局623001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eastAsia="zh-CN"/>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指导开展隐患排查整治、日常巡护、森林防灭火、火灾普查工作，把森林火灾损失率控制在0.1‰以内，加强林业行业专业森林消防队伍组建管理，保护人民群众生命财产和森林资源安全。</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1"/>
                <w:szCs w:val="21"/>
                <w:highlight w:val="none"/>
                <w:u w:val="none"/>
              </w:rPr>
              <w:t>累计排查整治火灾风险隐患7891个；组建地方专业扑火队伍6支300人；印发了《关于进一步加强护林员管理工作的通知》，全市共选聘生态护林员5000余名，加强日常巡护。会同应急管理部门组织开展森林防灭火综合应急演练9次，森林火灾扑救实战应急演练近80场次，累计参加演练指战员3000余人次，培训灭火指挥员1820名。一是广泛开展宣传教育。在报刊、电台、网站等平台开设宣传专栏20余个，利用全市1.66万个“村村响”应急广播每天定时播报；扎实开展中小学春秋季学期“开学第一课·森林防灭火”主题教育和“校园六个一”活动。二是聚焦重点区域重点人员加强宣传。在国有林场、自然保护地、旅游景区、城区周边、重点防火乡镇等重点林区的进山路口增设警示标牌2.7万余个、安装语音宣传杆232个、配置视频智能监控48套。对全市376个森林可燃物标准地和39个森林可燃物大样地进行外业调查，全面完成森林可燃物、减灾能力、历史火灾、野外火源四个调查任务。我市森林火灾损失率为0，有效保护了人民群众生命财产和森林资源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项目完成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森林火灾损失率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森林火灾损失率控制在0.1‰以内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完成全年目标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工作督查、检查、普查差旅费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会议及培训</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1万元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森林防火演练</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宣传费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4万元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资料费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车辆维护运行</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项目效果指标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社会效益指标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维护森林资源安全</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森林火灾损失率控制在0.1‰以内，保护人民群众生命财产和森林资源安全。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森林火灾损失率为0，有效保护了人民群众生命财产和森林资源安全。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满意度指标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部门满意度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8"/>
                <w:szCs w:val="28"/>
                <w:highlight w:val="none"/>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2"/>
                <w:szCs w:val="22"/>
                <w:u w:val="none"/>
                <w:lang w:val="en-US" w:eastAsia="zh-CN" w:bidi="ar"/>
              </w:rPr>
              <w:t>社会满意度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hAnsi="宋体" w:eastAsia="宋体" w:cs="宋体"/>
                <w:i w:val="0"/>
                <w:color w:val="000000"/>
                <w:kern w:val="0"/>
                <w:sz w:val="24"/>
                <w:szCs w:val="24"/>
                <w:u w:val="none"/>
                <w:lang w:val="en-US" w:eastAsia="zh-CN" w:bidi="ar"/>
              </w:rPr>
              <w:t>95%</w:t>
            </w:r>
          </w:p>
        </w:tc>
      </w:tr>
    </w:tbl>
    <w:p>
      <w:pPr>
        <w:rPr>
          <w:rFonts w:hint="eastAsia"/>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lang w:val="en-US" w:eastAsia="zh-CN"/>
        </w:rPr>
        <w:sectPr>
          <w:pgSz w:w="11906" w:h="16838"/>
          <w:pgMar w:top="2098" w:right="1474" w:bottom="1984" w:left="1587" w:header="851" w:footer="1559" w:gutter="0"/>
          <w:pgNumType w:fmt="decimal"/>
          <w:cols w:space="425" w:num="1"/>
          <w:docGrid w:type="lines" w:linePitch="312" w:charSpace="0"/>
        </w:sectPr>
      </w:pPr>
    </w:p>
    <w:p>
      <w:pPr>
        <w:widowControl/>
        <w:jc w:val="left"/>
        <w:rPr>
          <w:rStyle w:val="29"/>
          <w:rFonts w:ascii="黑体" w:hAnsi="黑体" w:eastAsia="黑体"/>
          <w:b w:val="0"/>
          <w:color w:val="auto"/>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p>
    <w:p>
      <w:pPr>
        <w:pStyle w:val="4"/>
        <w:rPr>
          <w:rFonts w:ascii="仿宋" w:hAnsi="仿宋" w:eastAsia="仿宋"/>
          <w:color w:val="auto"/>
          <w:highlight w:val="none"/>
        </w:rPr>
      </w:pPr>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p>
    <w:p>
      <w:pPr>
        <w:pStyle w:val="4"/>
        <w:rPr>
          <w:rFonts w:ascii="仿宋" w:hAnsi="仿宋" w:eastAsia="仿宋"/>
          <w:b w:val="0"/>
          <w:color w:val="auto"/>
          <w:highlight w:val="none"/>
        </w:rPr>
      </w:pPr>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p>
    <w:p>
      <w:pPr>
        <w:pStyle w:val="4"/>
        <w:rPr>
          <w:rStyle w:val="30"/>
          <w:rFonts w:ascii="仿宋" w:hAnsi="仿宋" w:eastAsia="仿宋"/>
          <w:b w:val="0"/>
          <w:bCs w:val="0"/>
          <w:color w:val="auto"/>
          <w:highlight w:val="none"/>
        </w:rPr>
      </w:pPr>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般公共预算财政拨款“三公”经费支出决算表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r>
        <w:rPr>
          <w:rStyle w:val="30"/>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府性基金预算财政拨款“三公”经费支出决算表</w:t>
      </w:r>
    </w:p>
    <w:p>
      <w:pPr>
        <w:pStyle w:val="4"/>
        <w:rPr>
          <w:rStyle w:val="30"/>
          <w:rFonts w:hint="eastAsia" w:ascii="仿宋" w:hAnsi="仿宋" w:eastAsia="仿宋"/>
          <w:b w:val="0"/>
          <w:bCs w:val="0"/>
          <w:color w:val="auto"/>
          <w:highlight w:val="none"/>
        </w:rPr>
      </w:pPr>
      <w:r>
        <w:rPr>
          <w:rStyle w:val="30"/>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pPr>
        <w:rPr>
          <w:rFonts w:hint="eastAsia" w:eastAsia="仿宋"/>
          <w:color w:val="auto"/>
          <w:highlight w:val="none"/>
          <w:lang w:eastAsia="zh-CN"/>
        </w:rPr>
      </w:pPr>
      <w:r>
        <w:rPr>
          <w:rStyle w:val="30"/>
          <w:rFonts w:hint="eastAsia" w:ascii="仿宋" w:hAnsi="仿宋" w:eastAsia="仿宋"/>
          <w:b w:val="0"/>
          <w:bCs w:val="0"/>
          <w:color w:val="auto"/>
          <w:highlight w:val="none"/>
          <w:lang w:eastAsia="zh-CN"/>
        </w:rPr>
        <w:t>十四、国有资本经营预算财政拨款支出决算表</w:t>
      </w:r>
    </w:p>
    <w:p>
      <w:pPr>
        <w:rPr>
          <w:rFonts w:hint="eastAsia" w:eastAsia="仿宋"/>
          <w:color w:val="auto"/>
          <w:highlight w:val="none"/>
          <w:lang w:eastAsia="zh-CN"/>
        </w:rPr>
      </w:pPr>
    </w:p>
    <w:p>
      <w:pPr>
        <w:spacing w:line="580" w:lineRule="exact"/>
        <w:rPr>
          <w:rStyle w:val="29"/>
          <w:rFonts w:ascii="黑体" w:hAnsi="黑体" w:eastAsia="黑体"/>
          <w:b w:val="0"/>
          <w:color w:val="auto"/>
          <w:highlight w:val="none"/>
        </w:rPr>
      </w:pPr>
    </w:p>
    <w:p>
      <w:pPr>
        <w:widowControl/>
        <w:jc w:val="left"/>
        <w:rPr>
          <w:rStyle w:val="29"/>
          <w:rFonts w:ascii="黑体" w:hAnsi="黑体" w:eastAsia="黑体"/>
          <w:b w:val="0"/>
          <w:color w:val="auto"/>
          <w:highlight w:val="none"/>
        </w:rPr>
      </w:pPr>
      <w:r>
        <w:rPr>
          <w:rStyle w:val="29"/>
          <w:rFonts w:ascii="黑体" w:hAnsi="黑体" w:eastAsia="黑体"/>
          <w:b w:val="0"/>
          <w:color w:val="auto"/>
          <w:highlight w:val="none"/>
        </w:rPr>
        <w:br w:type="page"/>
      </w:r>
    </w:p>
    <w:bookmarkEnd w:id="59"/>
    <w:p>
      <w:pPr>
        <w:rPr>
          <w:rFonts w:hint="eastAsia" w:eastAsia="仿宋"/>
          <w:color w:val="auto"/>
          <w:highlight w:val="none"/>
          <w:lang w:eastAsia="zh-CN"/>
        </w:rPr>
      </w:pP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华文中宋"/>
    <w:panose1 w:val="00000000000000000000"/>
    <w:charset w:val="00"/>
    <w:family w:val="roman"/>
    <w:pitch w:val="default"/>
    <w:sig w:usb0="00000000" w:usb1="00000000" w:usb2="00000000"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oto Sans CJK SC">
    <w:panose1 w:val="020B05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F36F53D"/>
    <w:multiLevelType w:val="singleLevel"/>
    <w:tmpl w:val="DF36F53D"/>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3EF35CF"/>
    <w:multiLevelType w:val="singleLevel"/>
    <w:tmpl w:val="F3EF35CF"/>
    <w:lvl w:ilvl="0" w:tentative="0">
      <w:start w:val="2"/>
      <w:numFmt w:val="decimal"/>
      <w:suff w:val="nothing"/>
      <w:lvlText w:val="%1．"/>
      <w:lvlJc w:val="left"/>
    </w:lvl>
  </w:abstractNum>
  <w:abstractNum w:abstractNumId="4">
    <w:nsid w:val="FBDC6BDD"/>
    <w:multiLevelType w:val="singleLevel"/>
    <w:tmpl w:val="FBDC6BDD"/>
    <w:lvl w:ilvl="0" w:tentative="0">
      <w:start w:val="2"/>
      <w:numFmt w:val="chineseCounting"/>
      <w:suff w:val="nothing"/>
      <w:lvlText w:val="（%1）"/>
      <w:lvlJc w:val="left"/>
      <w:rPr>
        <w:rFonts w:hint="eastAsia"/>
      </w:rPr>
    </w:lvl>
  </w:abstractNum>
  <w:abstractNum w:abstractNumId="5">
    <w:nsid w:val="FEFC85CC"/>
    <w:multiLevelType w:val="singleLevel"/>
    <w:tmpl w:val="FEFC85CC"/>
    <w:lvl w:ilvl="0" w:tentative="0">
      <w:start w:val="3"/>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6E7C185"/>
    <w:multiLevelType w:val="singleLevel"/>
    <w:tmpl w:val="36E7C185"/>
    <w:lvl w:ilvl="0" w:tentative="0">
      <w:start w:val="3"/>
      <w:numFmt w:val="chineseCounting"/>
      <w:suff w:val="nothing"/>
      <w:lvlText w:val="%1、"/>
      <w:lvlJc w:val="left"/>
      <w:rPr>
        <w:rFonts w:hint="eastAsia"/>
      </w:rPr>
    </w:lvl>
  </w:abstractNum>
  <w:num w:numId="1">
    <w:abstractNumId w:val="6"/>
  </w:num>
  <w:num w:numId="2">
    <w:abstractNumId w:val="0"/>
  </w:num>
  <w:num w:numId="3">
    <w:abstractNumId w:val="2"/>
  </w:num>
  <w:num w:numId="4">
    <w:abstractNumId w:val="1"/>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2557610"/>
    <w:rsid w:val="13D50BC4"/>
    <w:rsid w:val="16BB723D"/>
    <w:rsid w:val="1BE8440E"/>
    <w:rsid w:val="1D155CEE"/>
    <w:rsid w:val="232A14EF"/>
    <w:rsid w:val="23860B96"/>
    <w:rsid w:val="240371BF"/>
    <w:rsid w:val="24B848EA"/>
    <w:rsid w:val="271A6B0D"/>
    <w:rsid w:val="29FD04D3"/>
    <w:rsid w:val="2C8A61B5"/>
    <w:rsid w:val="2DF04E50"/>
    <w:rsid w:val="319F7F4E"/>
    <w:rsid w:val="359F7AA1"/>
    <w:rsid w:val="36AA5135"/>
    <w:rsid w:val="37E16F03"/>
    <w:rsid w:val="3D98207C"/>
    <w:rsid w:val="44E268DA"/>
    <w:rsid w:val="4A627F82"/>
    <w:rsid w:val="4B4F25DA"/>
    <w:rsid w:val="4BE068DB"/>
    <w:rsid w:val="4D577224"/>
    <w:rsid w:val="4EAB630A"/>
    <w:rsid w:val="4ECE2238"/>
    <w:rsid w:val="5AF92295"/>
    <w:rsid w:val="5CD71FC4"/>
    <w:rsid w:val="5F2345A8"/>
    <w:rsid w:val="66376316"/>
    <w:rsid w:val="6C4A05C8"/>
    <w:rsid w:val="6E7E3605"/>
    <w:rsid w:val="6FF5CC65"/>
    <w:rsid w:val="715C0E4B"/>
    <w:rsid w:val="72734D90"/>
    <w:rsid w:val="73AD73D5"/>
    <w:rsid w:val="73B6EB34"/>
    <w:rsid w:val="79EE5BA4"/>
    <w:rsid w:val="7A894339"/>
    <w:rsid w:val="7EBF8679"/>
    <w:rsid w:val="7EEF11D3"/>
    <w:rsid w:val="7FA30C79"/>
    <w:rsid w:val="7FBF5A38"/>
    <w:rsid w:val="7FC96657"/>
    <w:rsid w:val="7FFBD5CC"/>
    <w:rsid w:val="D8D6DB89"/>
    <w:rsid w:val="DB6F4CAB"/>
    <w:rsid w:val="DF6F9789"/>
    <w:rsid w:val="DF9D11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Body Text"/>
    <w:basedOn w:val="1"/>
    <w:next w:val="7"/>
    <w:link w:val="26"/>
    <w:qFormat/>
    <w:uiPriority w:val="99"/>
    <w:pPr>
      <w:spacing w:beforeLines="30"/>
    </w:pPr>
    <w:rPr>
      <w:rFonts w:ascii="仿宋_GB2312" w:eastAsia="仿宋_GB2312"/>
      <w:kern w:val="0"/>
      <w:sz w:val="30"/>
    </w:rPr>
  </w:style>
  <w:style w:type="paragraph" w:styleId="7">
    <w:name w:val="Subtitle"/>
    <w:basedOn w:val="1"/>
    <w:next w:val="1"/>
    <w:qFormat/>
    <w:uiPriority w:val="0"/>
    <w:pPr>
      <w:spacing w:line="312" w:lineRule="auto"/>
      <w:jc w:val="left"/>
      <w:outlineLvl w:val="1"/>
    </w:pPr>
    <w:rPr>
      <w:rFonts w:ascii="Cambria" w:hAnsi="Cambria" w:cs="Times New Roman"/>
      <w:b/>
      <w:bCs/>
      <w:color w:val="auto"/>
      <w:kern w:val="28"/>
      <w:sz w:val="21"/>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w:basedOn w:val="6"/>
    <w:qFormat/>
    <w:uiPriority w:val="0"/>
    <w:pPr>
      <w:ind w:firstLine="420" w:firstLineChars="100"/>
    </w:pPr>
    <w:rPr>
      <w:szCs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9"/>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rPr>
  </w:style>
  <w:style w:type="paragraph" w:customStyle="1" w:styleId="36">
    <w:name w:val="常用样式（方正仿宋简）"/>
    <w:basedOn w:val="1"/>
    <w:qFormat/>
    <w:uiPriority w:val="99"/>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1&#24180;&#20915;&#31639;&#20844;&#24320;\2021&#24180;&#20915;&#31639;&#32534;&#21046;&#35828;&#26126;&#36741;&#34920;&#26426;&#2085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1&#24180;&#20915;&#31639;&#20844;&#24320;\2021&#24180;&#20915;&#31639;&#32534;&#21046;&#35828;&#26126;&#36741;&#34920;&#26426;&#2085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1&#24180;&#20915;&#31639;&#20844;&#24320;\2021&#24180;&#20915;&#31639;&#32534;&#21046;&#35828;&#26126;&#36741;&#34920;&#26426;&#2085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1&#24180;&#20915;&#31639;&#20844;&#24320;\2021&#24180;&#20915;&#31639;&#32534;&#21046;&#35828;&#26126;&#36741;&#34920;&#26426;&#2085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1&#24180;&#20915;&#31639;&#20844;&#24320;\2021&#24180;&#20915;&#31639;&#32534;&#21046;&#35828;&#26126;&#36741;&#34920;&#26426;&#2085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1&#24180;&#20915;&#31639;&#20844;&#24320;\2021&#24180;&#20915;&#31639;&#32534;&#21046;&#35828;&#26126;&#36741;&#34920;&#26426;&#2085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1&#24180;&#20915;&#31639;&#20844;&#24320;\2021&#24180;&#20915;&#31639;&#32534;&#21046;&#35828;&#26126;&#36741;&#34920;&#26426;&#208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[2021年决算编制说明辅表机关.xlsx]机关1!$B$13:$B$14</c:f>
              <c:strCache>
                <c:ptCount val="2"/>
                <c:pt idx="0">
                  <c:v>2020年收支总计</c:v>
                </c:pt>
                <c:pt idx="1">
                  <c:v>2021年收支总计</c:v>
                </c:pt>
              </c:strCache>
            </c:strRef>
          </c:cat>
          <c:val>
            <c:numRef>
              <c:f>[2021年决算编制说明辅表机关.xlsx]机关1!$C$13:$C$14</c:f>
              <c:numCache>
                <c:formatCode>General</c:formatCode>
                <c:ptCount val="2"/>
                <c:pt idx="0">
                  <c:v>13372.76</c:v>
                </c:pt>
                <c:pt idx="1">
                  <c:v>12242.4</c:v>
                </c:pt>
              </c:numCache>
            </c:numRef>
          </c:val>
        </c:ser>
        <c:dLbls>
          <c:showLegendKey val="false"/>
          <c:showVal val="false"/>
          <c:showCatName val="false"/>
          <c:showSerName val="false"/>
          <c:showPercent val="false"/>
          <c:showBubbleSize val="false"/>
        </c:dLbls>
        <c:gapWidth val="219"/>
        <c:overlap val="-27"/>
        <c:axId val="242179848"/>
        <c:axId val="242180232"/>
      </c:barChart>
      <c:catAx>
        <c:axId val="242179848"/>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2180232"/>
        <c:crosses val="autoZero"/>
        <c:auto val="true"/>
        <c:lblAlgn val="ctr"/>
        <c:lblOffset val="100"/>
        <c:noMultiLvlLbl val="false"/>
      </c:catAx>
      <c:valAx>
        <c:axId val="24218023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217984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[2021年决算编制说明辅表机关.xlsx]机关1!$B$1:$B$3</c:f>
              <c:strCache>
                <c:ptCount val="3"/>
                <c:pt idx="0">
                  <c:v>一般公共预算</c:v>
                </c:pt>
                <c:pt idx="1">
                  <c:v>其他收入</c:v>
                </c:pt>
                <c:pt idx="2">
                  <c:v>政府性基金预算</c:v>
                </c:pt>
              </c:strCache>
            </c:strRef>
          </c:cat>
          <c:val>
            <c:numRef>
              <c:f>[2021年决算编制说明辅表机关.xlsx]机关1!$C$1:$C$3</c:f>
              <c:numCache>
                <c:formatCode>#,##0.00</c:formatCode>
                <c:ptCount val="3"/>
                <c:pt idx="0">
                  <c:v>5312.4</c:v>
                </c:pt>
                <c:pt idx="1">
                  <c:v>0.84</c:v>
                </c:pt>
                <c:pt idx="2" c:formatCode="General">
                  <c:v>155.98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endParaRPr lang="zh-CN" altLang="en-US" sz="100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[2021年决算编制说明辅表机关.xlsx]机关1!$B$10:$B$11</c:f>
              <c:strCache>
                <c:ptCount val="2"/>
                <c:pt idx="0">
                  <c:v>基本支出</c:v>
                </c:pt>
                <c:pt idx="1">
                  <c:v>项目支出</c:v>
                </c:pt>
              </c:strCache>
            </c:strRef>
          </c:cat>
          <c:val>
            <c:numRef>
              <c:f>[2021年决算编制说明辅表机关.xlsx]机关1!$C$10:$C$11</c:f>
              <c:numCache>
                <c:formatCode>#,##0.00</c:formatCode>
                <c:ptCount val="2"/>
                <c:pt idx="0">
                  <c:v>3024.17</c:v>
                </c:pt>
                <c:pt idx="1">
                  <c:v>6645.78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0.0516836380135196"/>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[2021年决算编制说明辅表机关.xlsx]机关1!$B$36:$B$37</c:f>
              <c:strCache>
                <c:ptCount val="2"/>
                <c:pt idx="0">
                  <c:v>2020年财政拨款收支总计</c:v>
                </c:pt>
                <c:pt idx="1">
                  <c:v>2021年财政拨款收支总计</c:v>
                </c:pt>
              </c:strCache>
            </c:strRef>
          </c:cat>
          <c:val>
            <c:numRef>
              <c:f>[2021年决算编制说明辅表机关.xlsx]机关1!$C$36:$C$37</c:f>
              <c:numCache>
                <c:formatCode>General</c:formatCode>
                <c:ptCount val="2"/>
                <c:pt idx="0">
                  <c:v>15000.13</c:v>
                </c:pt>
                <c:pt idx="1" c:formatCode="#,##0.00">
                  <c:v>14044.29</c:v>
                </c:pt>
              </c:numCache>
            </c:numRef>
          </c:val>
        </c:ser>
        <c:dLbls>
          <c:showLegendKey val="false"/>
          <c:showVal val="false"/>
          <c:showCatName val="false"/>
          <c:showSerName val="false"/>
          <c:showPercent val="false"/>
          <c:showBubbleSize val="false"/>
        </c:dLbls>
        <c:gapWidth val="219"/>
        <c:overlap val="-27"/>
        <c:axId val="371911240"/>
        <c:axId val="371908288"/>
      </c:barChart>
      <c:catAx>
        <c:axId val="371911240"/>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71908288"/>
        <c:crosses val="autoZero"/>
        <c:auto val="true"/>
        <c:lblAlgn val="ctr"/>
        <c:lblOffset val="100"/>
        <c:noMultiLvlLbl val="false"/>
      </c:catAx>
      <c:valAx>
        <c:axId val="37190828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7191124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endParaRPr lang="zh-CN" altLang="en-US" sz="100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[2021年决算编制说明辅表机关.xlsx]机关1!$B$18:$B$19</c:f>
              <c:strCache>
                <c:ptCount val="2"/>
                <c:pt idx="0">
                  <c:v>2020年一般公共预算财政拨款支出</c:v>
                </c:pt>
                <c:pt idx="1">
                  <c:v>2021年一般公共预算财政拨款支出</c:v>
                </c:pt>
              </c:strCache>
            </c:strRef>
          </c:cat>
          <c:val>
            <c:numRef>
              <c:f>[2021年决算编制说明辅表机关.xlsx]机关1!$C$18:$C$19</c:f>
              <c:numCache>
                <c:formatCode>#,##0.00</c:formatCode>
                <c:ptCount val="2"/>
                <c:pt idx="0">
                  <c:v>9463.84</c:v>
                </c:pt>
                <c:pt idx="1">
                  <c:v>9645.57</c:v>
                </c:pt>
              </c:numCache>
            </c:numRef>
          </c:val>
        </c:ser>
        <c:dLbls>
          <c:showLegendKey val="false"/>
          <c:showVal val="false"/>
          <c:showCatName val="false"/>
          <c:showSerName val="false"/>
          <c:showPercent val="false"/>
          <c:showBubbleSize val="false"/>
        </c:dLbls>
        <c:gapWidth val="219"/>
        <c:overlap val="-27"/>
        <c:axId val="242232136"/>
        <c:axId val="242232520"/>
      </c:barChart>
      <c:catAx>
        <c:axId val="242232136"/>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2232520"/>
        <c:crosses val="autoZero"/>
        <c:auto val="true"/>
        <c:lblAlgn val="ctr"/>
        <c:lblOffset val="100"/>
        <c:noMultiLvlLbl val="false"/>
      </c:catAx>
      <c:valAx>
        <c:axId val="242232520"/>
        <c:scaling>
          <c:orientation val="minMax"/>
        </c:scaling>
        <c:delete val="false"/>
        <c:axPos val="l"/>
        <c:majorGridlines>
          <c:spPr>
            <a:ln w="9525" cap="flat" cmpd="sng" algn="ctr">
              <a:solidFill>
                <a:schemeClr val="tx1">
                  <a:lumMod val="15000"/>
                  <a:lumOff val="85000"/>
                </a:schemeClr>
              </a:solidFill>
              <a:round/>
            </a:ln>
            <a:effectLst/>
          </c:spPr>
        </c:majorGridlines>
        <c:numFmt formatCode="#,##0.00"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223213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endParaRPr lang="zh-CN" altLang="en-US" sz="100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Lbls>
            <c:delete val="true"/>
          </c:dLbls>
          <c:cat>
            <c:strRef>
              <c:f>[2021年决算编制说明辅表机关.xlsx]机关2!$A$2:$A$8</c:f>
              <c:strCache>
                <c:ptCount val="7"/>
                <c:pt idx="0">
                  <c:v>社会保障和就业支出</c:v>
                </c:pt>
                <c:pt idx="1">
                  <c:v>科技技术支出</c:v>
                </c:pt>
                <c:pt idx="2">
                  <c:v>卫生健康支出</c:v>
                </c:pt>
                <c:pt idx="3">
                  <c:v>节能环保支出</c:v>
                </c:pt>
                <c:pt idx="4">
                  <c:v>农林水支出</c:v>
                </c:pt>
                <c:pt idx="5">
                  <c:v>交通运输支出</c:v>
                </c:pt>
                <c:pt idx="6">
                  <c:v>住房保障支出</c:v>
                </c:pt>
              </c:strCache>
            </c:strRef>
          </c:cat>
          <c:val>
            <c:numRef>
              <c:f>[2021年决算编制说明辅表机关.xlsx]机关2!$B$2:$B$8</c:f>
              <c:numCache>
                <c:formatCode>General</c:formatCode>
                <c:ptCount val="7"/>
                <c:pt idx="0">
                  <c:v>285.55</c:v>
                </c:pt>
                <c:pt idx="1">
                  <c:v>5.65</c:v>
                </c:pt>
                <c:pt idx="2">
                  <c:v>107.83</c:v>
                </c:pt>
                <c:pt idx="3">
                  <c:v>559.14</c:v>
                </c:pt>
                <c:pt idx="4" c:formatCode="#,##0.00">
                  <c:v>6181.26</c:v>
                </c:pt>
                <c:pt idx="5" c:formatCode="#,##0.00">
                  <c:v>2064.31</c:v>
                </c:pt>
                <c:pt idx="6">
                  <c:v>260.1</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Lbls>
            <c:delete val="true"/>
          </c:dLbls>
          <c:cat>
            <c:strRef>
              <c:f>[2021年决算编制说明辅表机关.xlsx]机关2!$A$2:$A$8</c:f>
              <c:strCache>
                <c:ptCount val="7"/>
                <c:pt idx="0">
                  <c:v>社会保障和就业支出</c:v>
                </c:pt>
                <c:pt idx="1">
                  <c:v>科技技术支出</c:v>
                </c:pt>
                <c:pt idx="2">
                  <c:v>卫生健康支出</c:v>
                </c:pt>
                <c:pt idx="3">
                  <c:v>节能环保支出</c:v>
                </c:pt>
                <c:pt idx="4">
                  <c:v>农林水支出</c:v>
                </c:pt>
                <c:pt idx="5">
                  <c:v>交通运输支出</c:v>
                </c:pt>
                <c:pt idx="6">
                  <c:v>住房保障支出</c:v>
                </c:pt>
              </c:strCache>
            </c:strRef>
          </c:cat>
          <c:val>
            <c:numRef>
              <c:f>[2021年决算编制说明辅表机关.xlsx]机关2!$C$2:$C$8</c:f>
              <c:numCache>
                <c:formatCode>0.00%</c:formatCode>
                <c:ptCount val="7"/>
                <c:pt idx="0">
                  <c:v>0.0301727417200629</c:v>
                </c:pt>
                <c:pt idx="1">
                  <c:v>0.000597009247831747</c:v>
                </c:pt>
                <c:pt idx="2">
                  <c:v>0.0113938950785305</c:v>
                </c:pt>
                <c:pt idx="3">
                  <c:v>0.0590817258110873</c:v>
                </c:pt>
                <c:pt idx="4">
                  <c:v>0.653145023584507</c:v>
                </c:pt>
                <c:pt idx="5">
                  <c:v>0.218126046087001</c:v>
                </c:pt>
                <c:pt idx="6">
                  <c:v>0.0274835584709801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endParaRPr lang="zh-CN" altLang="en-US" sz="100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[2021年决算编制说明辅表机关.xlsx]机关2!$A$26:$A$28</c:f>
              <c:strCache>
                <c:ptCount val="3"/>
                <c:pt idx="0">
                  <c:v>因公出国（境）费</c:v>
                </c:pt>
                <c:pt idx="1">
                  <c:v>公务用车购置及运行维护费</c:v>
                </c:pt>
                <c:pt idx="2">
                  <c:v>公务接待费</c:v>
                </c:pt>
              </c:strCache>
            </c:strRef>
          </c:cat>
          <c:val>
            <c:numRef>
              <c:f>[2021年决算编制说明辅表机关.xlsx]机关2!$B$26:$B$28</c:f>
              <c:numCache>
                <c:formatCode>General</c:formatCode>
                <c:ptCount val="3"/>
                <c:pt idx="0">
                  <c:v>0</c:v>
                </c:pt>
                <c:pt idx="1">
                  <c:v>49.61</c:v>
                </c:pt>
                <c:pt idx="2">
                  <c:v>4.78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20</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2022-08-08T17:11:00Z</cp:lastPrinted>
  <dcterms:modified xsi:type="dcterms:W3CDTF">2023-09-16T18:12:34Z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7C0741BFD1B5417BB6FA75E7C67495AD</vt:lpwstr>
  </property>
</Properties>
</file>