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r>
        <w:rPr>
          <w:rFonts w:hint="eastAsia" w:ascii="方正小标宋简体" w:hAnsi="方正小标宋简体" w:eastAsia="方正小标宋简体" w:cs="方正小标宋简体"/>
          <w:color w:val="333333"/>
          <w:kern w:val="0"/>
          <w:sz w:val="44"/>
          <w:szCs w:val="44"/>
          <w:shd w:val="clear" w:color="auto" w:fill="FFFFFF"/>
        </w:rPr>
        <w:t>广元市计量检定测试所</w:t>
      </w: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r>
        <w:rPr>
          <w:rFonts w:hint="eastAsia" w:ascii="方正小标宋简体" w:hAnsi="方正小标宋简体" w:eastAsia="方正小标宋简体" w:cs="方正小标宋简体"/>
          <w:color w:val="333333"/>
          <w:kern w:val="0"/>
          <w:sz w:val="44"/>
          <w:szCs w:val="44"/>
          <w:shd w:val="clear" w:color="auto" w:fill="FFFFFF"/>
        </w:rPr>
        <w:t>2022年单位预算编制说明</w:t>
      </w:r>
    </w:p>
    <w:p>
      <w:pPr>
        <w:widowControl/>
        <w:shd w:val="clear" w:color="auto" w:fill="FFFFFF"/>
        <w:spacing w:line="580" w:lineRule="atLeast"/>
        <w:jc w:val="center"/>
        <w:rPr>
          <w:rFonts w:ascii="宋体" w:hAnsi="宋体" w:cs="宋体"/>
          <w:b/>
          <w:bCs/>
          <w:color w:val="333333"/>
          <w:kern w:val="0"/>
          <w:sz w:val="28"/>
          <w:szCs w:val="28"/>
          <w:shd w:val="clear" w:color="auto" w:fill="FFFFFF"/>
        </w:rPr>
      </w:pPr>
      <w:r>
        <w:rPr>
          <w:rFonts w:hint="eastAsia" w:ascii="宋体" w:hAnsi="宋体" w:cs="宋体"/>
          <w:color w:val="333333"/>
          <w:kern w:val="0"/>
          <w:sz w:val="28"/>
          <w:szCs w:val="28"/>
          <w:shd w:val="clear" w:color="auto" w:fill="FFFFFF"/>
        </w:rPr>
        <w:t>目   录</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一、基本职能及主要工作.................... ... .............(1)</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（一）单位职能简介.......................... ... ... .........(1)</w:t>
      </w:r>
    </w:p>
    <w:p>
      <w:pPr>
        <w:jc w:val="distribute"/>
        <w:rPr>
          <w:rFonts w:ascii="仿宋" w:hAnsi="仿宋" w:eastAsia="仿宋" w:cs="仿宋"/>
          <w:color w:val="333333"/>
          <w:kern w:val="0"/>
          <w:sz w:val="24"/>
          <w:shd w:val="clear" w:color="auto" w:fill="FFFFFF"/>
        </w:rPr>
      </w:pPr>
      <w:r>
        <w:rPr>
          <w:rFonts w:hint="eastAsia" w:ascii="仿宋" w:hAnsi="仿宋" w:eastAsia="仿宋" w:cs="仿宋"/>
          <w:color w:val="333333"/>
          <w:kern w:val="0"/>
          <w:sz w:val="24"/>
          <w:shd w:val="clear" w:color="auto" w:fill="FFFFFF"/>
        </w:rPr>
        <w:t>（二）单位2022年重点工作................. ... .............(1)</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二、部门预算单位构成...................... ... ... ...........(2)</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三、收支预算情况说明......................... ... ..........(2)</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（一）收入预算情况...................... ... ...............(2)</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（二）支出预算情况.............................. ... ... .....(2)</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四、财政拨款收支预算情况说明................... ... ... ......(2)</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五、一般公共预算当年拨款情况说明............... ... ........(3)</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（一）一般公共预算当年拨款规模变化情况........ ... .........(3)</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（二）一般公共预算当年拨款结构情况.............. ... ... .....(3)</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（三）一般公共预算当年拨款具体使用情况............ ... ... ...(3)</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六、一般公共预算基本支出情况说明................. ... ... ....(4)</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七、“三公”经费财政拨款预算安排情况说明......... ... ... ......(5)</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（一）公务接待费与2021年预算相比.............. ... ... .......(5)</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(二)公务用车购置及运行维护费与2021年预算相比...... ... ... .(5)</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（三）因公出国（境）经费与2021年预算相比........ ... ... .......(5)</w:t>
      </w:r>
    </w:p>
    <w:p>
      <w:pPr>
        <w:jc w:val="distribute"/>
        <w:rPr>
          <w:rFonts w:ascii="仿宋" w:hAnsi="仿宋" w:eastAsia="仿宋" w:cs="仿宋"/>
          <w:color w:val="333333"/>
          <w:kern w:val="0"/>
          <w:sz w:val="28"/>
          <w:szCs w:val="28"/>
          <w:shd w:val="clear" w:color="auto" w:fill="FFFFFF"/>
        </w:rPr>
        <w:sectPr>
          <w:footerReference r:id="rId3" w:type="default"/>
          <w:pgSz w:w="11906" w:h="16838"/>
          <w:pgMar w:top="1701" w:right="1531" w:bottom="1418" w:left="1531" w:header="720" w:footer="1134" w:gutter="0"/>
          <w:cols w:space="720" w:num="1"/>
          <w:docGrid w:type="lines" w:linePitch="312" w:charSpace="0"/>
        </w:sectPr>
      </w:pP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八、政府性基金预算支出情况说明................ ... ... .......(5)</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九、国有资本经营预算支出情况说明..... ... ... ................(6)</w:t>
      </w:r>
    </w:p>
    <w:p>
      <w:pPr>
        <w:jc w:val="distribute"/>
        <w:rPr>
          <w:rFonts w:ascii="仿宋" w:hAnsi="仿宋" w:eastAsia="仿宋" w:cs="仿宋"/>
          <w:color w:val="333333"/>
          <w:kern w:val="0"/>
          <w:sz w:val="28"/>
          <w:szCs w:val="28"/>
          <w:shd w:val="clear" w:color="auto" w:fill="FFFFFF"/>
        </w:rPr>
      </w:pPr>
      <w:r>
        <w:rPr>
          <w:rFonts w:hint="eastAsia" w:ascii="仿宋" w:hAnsi="仿宋" w:eastAsia="仿宋" w:cs="仿宋"/>
          <w:color w:val="333333"/>
          <w:kern w:val="0"/>
          <w:sz w:val="28"/>
          <w:szCs w:val="28"/>
          <w:shd w:val="clear" w:color="auto" w:fill="FFFFFF"/>
        </w:rPr>
        <w:t>十、其他重要事项的情况说明................ ... ... .........(6)</w:t>
      </w:r>
    </w:p>
    <w:p>
      <w:pPr>
        <w:jc w:val="distribute"/>
        <w:rPr>
          <w:rFonts w:ascii="仿宋" w:hAnsi="仿宋" w:eastAsia="仿宋" w:cs="仿宋"/>
          <w:color w:val="333333"/>
          <w:kern w:val="0"/>
          <w:sz w:val="28"/>
          <w:szCs w:val="28"/>
          <w:shd w:val="clear" w:color="auto" w:fill="FFFFFF"/>
        </w:rPr>
        <w:sectPr>
          <w:footerReference r:id="rId4" w:type="default"/>
          <w:pgSz w:w="11906" w:h="16838"/>
          <w:pgMar w:top="1701" w:right="1531" w:bottom="1418" w:left="1531" w:header="720" w:footer="1134" w:gutter="0"/>
          <w:pgNumType w:start="1"/>
          <w:cols w:space="720" w:num="1"/>
          <w:docGrid w:type="lines" w:linePitch="312" w:charSpace="0"/>
        </w:sectPr>
      </w:pPr>
      <w:r>
        <w:rPr>
          <w:rFonts w:hint="eastAsia" w:ascii="仿宋" w:hAnsi="仿宋" w:eastAsia="仿宋" w:cs="仿宋"/>
          <w:color w:val="333333"/>
          <w:kern w:val="0"/>
          <w:sz w:val="28"/>
          <w:szCs w:val="28"/>
          <w:shd w:val="clear" w:color="auto" w:fill="FFFFFF"/>
        </w:rPr>
        <w:t>十一、名词解释....................... ... ... ...............(6)</w:t>
      </w:r>
    </w:p>
    <w:p>
      <w:pPr>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（一）单位职能简介</w:t>
      </w:r>
    </w:p>
    <w:p>
      <w:pPr>
        <w:ind w:firstLine="640" w:firstLineChars="200"/>
        <w:rPr>
          <w:rFonts w:ascii="仿宋" w:hAnsi="仿宋" w:eastAsia="仿宋" w:cs="仿宋"/>
          <w:sz w:val="32"/>
          <w:szCs w:val="32"/>
        </w:rPr>
      </w:pPr>
      <w:r>
        <w:rPr>
          <w:rFonts w:hint="eastAsia" w:ascii="仿宋" w:hAnsi="仿宋" w:eastAsia="仿宋" w:cs="仿宋"/>
          <w:sz w:val="32"/>
          <w:szCs w:val="32"/>
        </w:rPr>
        <w:t>1、负责研究和建立广元地区社会公用计量标准，进行量值传递，执行强制检定、仲裁检定和法律规定的其他检定、测试、校准任务；</w:t>
      </w:r>
    </w:p>
    <w:p>
      <w:pPr>
        <w:ind w:firstLine="640" w:firstLineChars="200"/>
        <w:rPr>
          <w:rFonts w:ascii="仿宋" w:hAnsi="仿宋" w:eastAsia="仿宋" w:cs="仿宋"/>
          <w:sz w:val="32"/>
          <w:szCs w:val="32"/>
        </w:rPr>
      </w:pPr>
      <w:r>
        <w:rPr>
          <w:rFonts w:hint="eastAsia" w:ascii="仿宋" w:hAnsi="仿宋" w:eastAsia="仿宋" w:cs="仿宋"/>
          <w:sz w:val="32"/>
          <w:szCs w:val="32"/>
        </w:rPr>
        <w:t>2、承办市场监督管理部门交办的计量监督、计量管理和计量技术规范的起草工作；</w:t>
      </w:r>
    </w:p>
    <w:p>
      <w:pPr>
        <w:ind w:firstLine="640" w:firstLineChars="200"/>
        <w:rPr>
          <w:rFonts w:ascii="仿宋" w:hAnsi="仿宋" w:eastAsia="仿宋" w:cs="仿宋"/>
          <w:sz w:val="32"/>
          <w:szCs w:val="32"/>
        </w:rPr>
      </w:pPr>
      <w:r>
        <w:rPr>
          <w:rFonts w:hint="eastAsia" w:ascii="仿宋" w:hAnsi="仿宋" w:eastAsia="仿宋" w:cs="仿宋"/>
          <w:sz w:val="32"/>
          <w:szCs w:val="32"/>
        </w:rPr>
        <w:t>3、为社会提供计量中介服务、计量校准服务、计量技术开发应用和计量仪器设备调试和修理服务。</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（二）2022年重点工作</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加强干部职工党风廉政建设，扎实推进干部纪律作风整顿工作。加强机构内部管理，着力强化日常纪律监督、制度执行监督，不断完善内部管理机制，着力提升工作效能，全面落实从严治党，深入推进党风廉政建设和纪律作风整顿工作一路向前。</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扎实做好强检和非强检工作。以加油机、出租车计价器、水电气表等民生计量器具为重点，抓好传统产业、新兴产业等领域计量器具的强制检定和校准工作，强化服务意识，确保量值传递准确、可靠，持续优化营商环境。</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夯实技术基础，提升计量能力。新建6项社会公用计量标准，准备13项计量标准复查考核，不断完善量值溯源体系建立，提升检测能力。加大技术人员培训力度，提高业务水平，进一步增强市场价竞争力。 </w:t>
      </w:r>
    </w:p>
    <w:p>
      <w:pPr>
        <w:numPr>
          <w:ilvl w:val="0"/>
          <w:numId w:val="1"/>
        </w:numPr>
        <w:ind w:firstLine="640" w:firstLineChars="200"/>
        <w:rPr>
          <w:rFonts w:ascii="仿宋" w:hAnsi="仿宋" w:eastAsia="仿宋" w:cs="仿宋"/>
          <w:sz w:val="32"/>
          <w:szCs w:val="32"/>
        </w:rPr>
      </w:pPr>
      <w:r>
        <w:rPr>
          <w:rFonts w:hint="eastAsia" w:ascii="仿宋" w:hAnsi="仿宋" w:eastAsia="仿宋" w:cs="仿宋"/>
          <w:sz w:val="32"/>
          <w:szCs w:val="32"/>
        </w:rPr>
        <w:t>发扬脱贫攻坚精神，全力推进乡村振兴。全力做好驻村队员的日常管理和后勤服务，加强驻村队员与村镇干部之间的协作，积极谋划乡村振兴思路，确保完成工作任务。</w:t>
      </w:r>
    </w:p>
    <w:p>
      <w:pPr>
        <w:ind w:firstLine="640" w:firstLineChars="200"/>
        <w:rPr>
          <w:rFonts w:ascii="黑体" w:hAnsi="黑体" w:eastAsia="黑体" w:cs="黑体"/>
          <w:sz w:val="32"/>
          <w:szCs w:val="32"/>
        </w:rPr>
      </w:pPr>
      <w:r>
        <w:rPr>
          <w:rFonts w:hint="eastAsia" w:ascii="黑体" w:hAnsi="黑体" w:eastAsia="黑体" w:cs="黑体"/>
          <w:sz w:val="32"/>
          <w:szCs w:val="32"/>
        </w:rPr>
        <w:t>二、预算单位构成</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从预算单位构成看，广元市计量检定测试所单位预算为广元市市场监督管理局二级事业预算单位。 </w:t>
      </w:r>
    </w:p>
    <w:p>
      <w:pPr>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ind w:firstLine="640" w:firstLineChars="200"/>
        <w:rPr>
          <w:rFonts w:ascii="仿宋" w:hAnsi="仿宋" w:eastAsia="仿宋" w:cs="仿宋"/>
          <w:sz w:val="32"/>
          <w:szCs w:val="32"/>
        </w:rPr>
      </w:pPr>
      <w:r>
        <w:rPr>
          <w:rFonts w:hint="eastAsia" w:ascii="仿宋" w:hAnsi="仿宋" w:eastAsia="仿宋" w:cs="仿宋"/>
          <w:sz w:val="32"/>
          <w:szCs w:val="32"/>
        </w:rPr>
        <w:t>按照综合预算的原则，广元市计量检定测试所所有收入和支出均纳入单位预算管理。收入包括：一般公共预算拨款收入、上年结转；支出包括：一般公共服务支出、社会保障和就业支出、卫生健康支出、住房保障支出。广元市计量检定测试所2022年收支总预算722.99万元,比2021年收支预算总数增加2.83万元，扣除上年结转资金、一次性安排等因素后，同口径增加54.45万元，主要原因是财政保障方式发生改变。</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（一）收入预算情况</w:t>
      </w:r>
    </w:p>
    <w:p>
      <w:pPr>
        <w:ind w:firstLine="640" w:firstLineChars="200"/>
        <w:rPr>
          <w:rFonts w:ascii="仿宋" w:hAnsi="仿宋" w:eastAsia="仿宋" w:cs="仿宋"/>
          <w:sz w:val="32"/>
          <w:szCs w:val="32"/>
        </w:rPr>
      </w:pPr>
      <w:r>
        <w:rPr>
          <w:rFonts w:hint="eastAsia" w:ascii="仿宋" w:hAnsi="仿宋" w:eastAsia="仿宋" w:cs="仿宋"/>
          <w:sz w:val="32"/>
          <w:szCs w:val="32"/>
        </w:rPr>
        <w:t>2022年收入预算722.99万元，其中：上年结转7.10万元，占0.98%；一般公共预算拨款收入715.89万元，占99.02%。</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（二）支出预算情况</w:t>
      </w:r>
    </w:p>
    <w:p>
      <w:pPr>
        <w:ind w:firstLine="640" w:firstLineChars="200"/>
        <w:rPr>
          <w:rFonts w:ascii="仿宋" w:hAnsi="仿宋" w:eastAsia="仿宋" w:cs="仿宋"/>
          <w:sz w:val="32"/>
          <w:szCs w:val="32"/>
        </w:rPr>
      </w:pPr>
      <w:r>
        <w:rPr>
          <w:rFonts w:hint="eastAsia" w:ascii="仿宋" w:hAnsi="仿宋" w:eastAsia="仿宋" w:cs="仿宋"/>
          <w:sz w:val="32"/>
          <w:szCs w:val="32"/>
        </w:rPr>
        <w:t>2022年支出预算722.99万元，其中：基本支出512.25万元，占70.85%；项目支出210.74万元，占29.15%。</w:t>
      </w:r>
    </w:p>
    <w:p>
      <w:pPr>
        <w:ind w:firstLine="640" w:firstLineChars="200"/>
        <w:rPr>
          <w:rFonts w:ascii="仿宋" w:hAnsi="仿宋" w:eastAsia="仿宋" w:cs="仿宋"/>
          <w:sz w:val="32"/>
          <w:szCs w:val="32"/>
        </w:rPr>
      </w:pPr>
      <w:r>
        <w:rPr>
          <w:rFonts w:hint="eastAsia" w:ascii="黑体" w:hAnsi="黑体" w:eastAsia="黑体" w:cs="黑体"/>
          <w:sz w:val="32"/>
          <w:szCs w:val="32"/>
        </w:rPr>
        <w:t>四、财政拨款收支预算情况说明</w:t>
      </w:r>
    </w:p>
    <w:p>
      <w:pPr>
        <w:ind w:firstLine="640" w:firstLineChars="200"/>
        <w:rPr>
          <w:rFonts w:ascii="仿宋" w:hAnsi="仿宋" w:eastAsia="仿宋" w:cs="仿宋"/>
          <w:sz w:val="32"/>
          <w:szCs w:val="32"/>
        </w:rPr>
      </w:pPr>
      <w:r>
        <w:rPr>
          <w:rFonts w:hint="eastAsia" w:ascii="仿宋" w:hAnsi="仿宋" w:eastAsia="仿宋" w:cs="仿宋"/>
          <w:sz w:val="32"/>
          <w:szCs w:val="32"/>
        </w:rPr>
        <w:t>2022年财政拨款收支总预算722.99万元,比2021年财政拨款收支总预算增加2.83万元，扣除上年结转资金、一次性安排等因素后，同口径增加54.45万元，主要原因是财政保障方式发生改变。</w:t>
      </w:r>
    </w:p>
    <w:p>
      <w:pPr>
        <w:ind w:firstLine="642" w:firstLineChars="200"/>
        <w:rPr>
          <w:rFonts w:ascii="仿宋" w:hAnsi="仿宋" w:eastAsia="仿宋" w:cs="仿宋"/>
          <w:sz w:val="32"/>
          <w:szCs w:val="32"/>
        </w:rPr>
      </w:pPr>
      <w:r>
        <w:rPr>
          <w:rFonts w:hint="eastAsia" w:ascii="楷体" w:hAnsi="楷体" w:eastAsia="楷体" w:cs="楷体"/>
          <w:b/>
          <w:bCs/>
          <w:sz w:val="32"/>
          <w:szCs w:val="32"/>
        </w:rPr>
        <w:t>收入包括：</w:t>
      </w:r>
      <w:r>
        <w:rPr>
          <w:rFonts w:hint="eastAsia" w:ascii="仿宋" w:hAnsi="仿宋" w:eastAsia="仿宋" w:cs="仿宋"/>
          <w:sz w:val="32"/>
          <w:szCs w:val="32"/>
        </w:rPr>
        <w:t>本年一般公共预算拨款收入715.89万元、上年结转一般公共预算拨款收入7.10万元；支出包括：一般公共服务支出604.04万元、社会保障和就业支出57.61万元、卫生健康支出19.20万元、住房保障支出42.14万元。</w:t>
      </w:r>
    </w:p>
    <w:p>
      <w:pPr>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(一)般公共预算当年拨款规模变化情况</w:t>
      </w:r>
    </w:p>
    <w:p>
      <w:pPr>
        <w:ind w:firstLine="640" w:firstLineChars="200"/>
        <w:rPr>
          <w:rFonts w:ascii="仿宋" w:hAnsi="仿宋" w:eastAsia="仿宋" w:cs="仿宋"/>
          <w:sz w:val="32"/>
          <w:szCs w:val="32"/>
        </w:rPr>
      </w:pPr>
      <w:r>
        <w:rPr>
          <w:rFonts w:hint="eastAsia" w:ascii="仿宋" w:hAnsi="仿宋" w:eastAsia="仿宋" w:cs="仿宋"/>
          <w:sz w:val="32"/>
          <w:szCs w:val="32"/>
        </w:rPr>
        <w:t>2022年一般公共预算当年拨款715.89万元，比2021年预算数增加54.45万元，主要原因是将财政保障方式发生改变。</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（二）一般公共预算当年拨款结构情况</w:t>
      </w:r>
    </w:p>
    <w:p>
      <w:pPr>
        <w:ind w:firstLine="640" w:firstLineChars="200"/>
        <w:rPr>
          <w:rFonts w:ascii="仿宋" w:hAnsi="仿宋" w:eastAsia="仿宋" w:cs="仿宋"/>
          <w:sz w:val="32"/>
          <w:szCs w:val="32"/>
        </w:rPr>
      </w:pPr>
      <w:r>
        <w:rPr>
          <w:rFonts w:hint="eastAsia" w:ascii="仿宋" w:hAnsi="仿宋" w:eastAsia="仿宋" w:cs="仿宋"/>
          <w:sz w:val="32"/>
          <w:szCs w:val="32"/>
        </w:rPr>
        <w:t>一般公共服务支出596.94万元，占83.38%；社会保障和就业支出57.61万元，占8.05%；卫生健康支出19.20万元，占2.68%；住房保障支出42.14万元，占5.89%。</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（三）一般公共预算当年拨款具体使用情况</w:t>
      </w:r>
    </w:p>
    <w:p>
      <w:pPr>
        <w:ind w:firstLine="640" w:firstLineChars="200"/>
        <w:rPr>
          <w:rFonts w:ascii="仿宋" w:hAnsi="仿宋" w:eastAsia="仿宋" w:cs="仿宋"/>
          <w:sz w:val="32"/>
          <w:szCs w:val="32"/>
        </w:rPr>
      </w:pPr>
      <w:r>
        <w:rPr>
          <w:rFonts w:hint="eastAsia" w:ascii="仿宋" w:hAnsi="仿宋" w:eastAsia="仿宋" w:cs="仿宋"/>
          <w:sz w:val="32"/>
          <w:szCs w:val="32"/>
        </w:rPr>
        <w:t>1.一般公共服务支出（类）市场监督管理事务（款）事业运行（项）2022年预算数为393.30万元。主要用于事业单位工资奖金津补贴、其他工资福利支出、办公经费、印刷费、水电费、物管费、差旅费、培训费、公务接待费、公务用车运行维护费、租车费、维修（护）费、其他商品和服务支出、社会福利和救助、其他对个人和家庭补助。</w:t>
      </w:r>
    </w:p>
    <w:p>
      <w:pPr>
        <w:ind w:firstLine="640" w:firstLineChars="200"/>
        <w:rPr>
          <w:rFonts w:ascii="仿宋" w:hAnsi="仿宋" w:eastAsia="仿宋" w:cs="仿宋"/>
          <w:sz w:val="32"/>
          <w:szCs w:val="32"/>
        </w:rPr>
      </w:pPr>
      <w:r>
        <w:rPr>
          <w:rFonts w:hint="eastAsia" w:ascii="仿宋" w:hAnsi="仿宋" w:eastAsia="仿宋" w:cs="仿宋"/>
          <w:sz w:val="32"/>
          <w:szCs w:val="32"/>
        </w:rPr>
        <w:t>2.一般公共服务支出（类）市场监督管理事务（款）其他市场监督管理事务（项）2022年预算数为203.64万元。主要用于计量检定工作运行的办公经费、委托业务费、维修（护）费、专用材料费、专用燃料费、劳务费、差旅费、公务用车运行维护费、乡村振兴经费。</w:t>
      </w:r>
    </w:p>
    <w:p>
      <w:pPr>
        <w:ind w:firstLine="640" w:firstLineChars="200"/>
        <w:rPr>
          <w:rFonts w:ascii="仿宋" w:hAnsi="仿宋" w:eastAsia="仿宋" w:cs="仿宋"/>
          <w:sz w:val="32"/>
          <w:szCs w:val="32"/>
        </w:rPr>
      </w:pPr>
      <w:r>
        <w:rPr>
          <w:rFonts w:hint="eastAsia" w:ascii="仿宋" w:hAnsi="仿宋" w:eastAsia="仿宋" w:cs="仿宋"/>
          <w:sz w:val="32"/>
          <w:szCs w:val="32"/>
        </w:rPr>
        <w:t>3.社会保障和就业（类）行政事业单位养老支出（款）机关事业单位基本养老保险缴费支出（项）2022年预算数为38.40万元，主要用于：实施养老保险制度由单位缴纳的基本养老保险支出。</w:t>
      </w:r>
    </w:p>
    <w:p>
      <w:pPr>
        <w:ind w:firstLine="640" w:firstLineChars="200"/>
        <w:rPr>
          <w:rFonts w:ascii="仿宋" w:hAnsi="仿宋" w:eastAsia="仿宋" w:cs="仿宋"/>
          <w:sz w:val="32"/>
          <w:szCs w:val="32"/>
        </w:rPr>
      </w:pPr>
      <w:r>
        <w:rPr>
          <w:rFonts w:hint="eastAsia" w:ascii="仿宋" w:hAnsi="仿宋" w:eastAsia="仿宋" w:cs="仿宋"/>
          <w:sz w:val="32"/>
          <w:szCs w:val="32"/>
        </w:rPr>
        <w:t>4.社会保障和就业（类）行政事业单位养老支出（款）机关事业单位职业年金缴费支出（项）2022年预算数为19.20万元，主要用于：实施养老保险制度由单位缴纳的职业年金支出。</w:t>
      </w:r>
    </w:p>
    <w:p>
      <w:pPr>
        <w:ind w:firstLine="640" w:firstLineChars="200"/>
        <w:rPr>
          <w:rFonts w:ascii="仿宋" w:hAnsi="仿宋" w:eastAsia="仿宋" w:cs="仿宋"/>
          <w:sz w:val="32"/>
          <w:szCs w:val="32"/>
        </w:rPr>
      </w:pPr>
      <w:r>
        <w:rPr>
          <w:rFonts w:hint="eastAsia" w:ascii="仿宋" w:hAnsi="仿宋" w:eastAsia="仿宋" w:cs="仿宋"/>
          <w:sz w:val="32"/>
          <w:szCs w:val="32"/>
        </w:rPr>
        <w:t>5.卫生健康（类）行政事业单位医疗（款）事业单位医疗（项）2022年预算数为19.20万元，主要用于：部门下属事业单位按规定由单位缴纳的基本医疗保险支出。</w:t>
      </w:r>
    </w:p>
    <w:p>
      <w:pPr>
        <w:ind w:firstLine="640" w:firstLineChars="200"/>
        <w:rPr>
          <w:rFonts w:ascii="仿宋" w:hAnsi="仿宋" w:eastAsia="仿宋" w:cs="仿宋"/>
          <w:sz w:val="32"/>
          <w:szCs w:val="32"/>
        </w:rPr>
      </w:pPr>
      <w:r>
        <w:rPr>
          <w:rFonts w:hint="eastAsia" w:ascii="仿宋" w:hAnsi="仿宋" w:eastAsia="仿宋" w:cs="仿宋"/>
          <w:sz w:val="32"/>
          <w:szCs w:val="32"/>
        </w:rPr>
        <w:t>6.住房保障（类）住房改革支出（款）住房公积金（项）2022年预算数为42.14万元，主要用于：部门按规定为职工缴纳的住房公积金支出。</w:t>
      </w:r>
    </w:p>
    <w:p>
      <w:pPr>
        <w:ind w:firstLine="640" w:firstLineChars="200"/>
        <w:rPr>
          <w:rFonts w:ascii="仿宋" w:hAnsi="仿宋" w:eastAsia="仿宋" w:cs="仿宋"/>
          <w:sz w:val="32"/>
          <w:szCs w:val="32"/>
        </w:rPr>
      </w:pPr>
      <w:r>
        <w:rPr>
          <w:rFonts w:hint="eastAsia" w:ascii="黑体" w:hAnsi="黑体" w:eastAsia="黑体" w:cs="黑体"/>
          <w:sz w:val="32"/>
          <w:szCs w:val="32"/>
        </w:rPr>
        <w:t>六、一般公共预算基本支出情况说明</w:t>
      </w:r>
    </w:p>
    <w:p>
      <w:pPr>
        <w:ind w:firstLine="640" w:firstLineChars="200"/>
        <w:rPr>
          <w:rFonts w:ascii="仿宋" w:hAnsi="仿宋" w:eastAsia="仿宋" w:cs="仿宋"/>
          <w:sz w:val="32"/>
          <w:szCs w:val="32"/>
        </w:rPr>
      </w:pPr>
      <w:r>
        <w:rPr>
          <w:rFonts w:hint="eastAsia" w:ascii="仿宋" w:hAnsi="仿宋" w:eastAsia="仿宋" w:cs="仿宋"/>
          <w:sz w:val="32"/>
          <w:szCs w:val="32"/>
        </w:rPr>
        <w:t>2022年一般公共预算基本支出512.25万元，其中：人员经费447.82万元，主要包括：基本工资、津贴补贴、奖金、社会保险缴费、住房公积金等支出。</w:t>
      </w:r>
    </w:p>
    <w:p>
      <w:pPr>
        <w:ind w:firstLine="640" w:firstLineChars="200"/>
        <w:rPr>
          <w:rFonts w:ascii="仿宋" w:hAnsi="仿宋" w:eastAsia="仿宋" w:cs="仿宋"/>
          <w:sz w:val="32"/>
          <w:szCs w:val="32"/>
        </w:rPr>
      </w:pPr>
      <w:r>
        <w:rPr>
          <w:rFonts w:hint="eastAsia" w:ascii="仿宋" w:hAnsi="仿宋" w:eastAsia="仿宋" w:cs="仿宋"/>
          <w:sz w:val="32"/>
          <w:szCs w:val="32"/>
        </w:rPr>
        <w:t>公用经费64.44万元，主要包括：办公费、印刷费、水费、电费、邮电费、物业管理费、差旅费、维修（护）费、会议费、培训费、公务接待费、劳务费、工会经费、福利费、公务用车运行维护费、其他交通费用等支出。</w:t>
      </w:r>
    </w:p>
    <w:p>
      <w:pPr>
        <w:ind w:firstLine="640" w:firstLineChars="200"/>
        <w:rPr>
          <w:rFonts w:ascii="仿宋" w:hAnsi="仿宋" w:eastAsia="仿宋" w:cs="仿宋"/>
          <w:sz w:val="32"/>
          <w:szCs w:val="32"/>
        </w:rPr>
      </w:pPr>
      <w:r>
        <w:rPr>
          <w:rFonts w:hint="eastAsia" w:ascii="黑体" w:hAnsi="黑体" w:eastAsia="黑体" w:cs="黑体"/>
          <w:sz w:val="32"/>
          <w:szCs w:val="32"/>
        </w:rPr>
        <w:t>七、“三公”经费财政拨款预算安排情况说明</w:t>
      </w:r>
    </w:p>
    <w:p>
      <w:pPr>
        <w:ind w:firstLine="640" w:firstLineChars="200"/>
        <w:rPr>
          <w:rFonts w:ascii="仿宋" w:hAnsi="仿宋" w:eastAsia="仿宋" w:cs="仿宋"/>
          <w:sz w:val="32"/>
          <w:szCs w:val="32"/>
        </w:rPr>
      </w:pPr>
      <w:r>
        <w:rPr>
          <w:rFonts w:hint="eastAsia" w:ascii="仿宋" w:hAnsi="仿宋" w:eastAsia="仿宋" w:cs="仿宋"/>
          <w:sz w:val="32"/>
          <w:szCs w:val="32"/>
        </w:rPr>
        <w:t>2022年“三公”经费财政拨款预算数7.44万元，其中：公务接待费1.44万元，公务用车购置及运行维护费6万元，因公出国（境）经费0万元。</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（一）公务接待费与2021年预算持平。</w:t>
      </w:r>
    </w:p>
    <w:p>
      <w:pPr>
        <w:ind w:firstLine="640" w:firstLineChars="200"/>
        <w:rPr>
          <w:rFonts w:ascii="仿宋" w:hAnsi="仿宋" w:eastAsia="仿宋" w:cs="仿宋"/>
          <w:sz w:val="32"/>
          <w:szCs w:val="32"/>
        </w:rPr>
      </w:pPr>
      <w:r>
        <w:rPr>
          <w:rFonts w:hint="eastAsia" w:ascii="仿宋" w:hAnsi="仿宋" w:eastAsia="仿宋" w:cs="仿宋"/>
          <w:sz w:val="32"/>
          <w:szCs w:val="32"/>
        </w:rPr>
        <w:t>2022年公务接待费计划用于执行接待考察调研、检查指导等公务活动开支的交通费、住宿费、用餐费等。</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（二）公务用车购置及运行维护费与2021年预算</w:t>
      </w:r>
      <w:r>
        <w:rPr>
          <w:rFonts w:hint="eastAsia" w:ascii="楷体" w:hAnsi="楷体" w:eastAsia="楷体" w:cs="楷体"/>
          <w:b/>
          <w:bCs/>
          <w:sz w:val="32"/>
          <w:szCs w:val="32"/>
          <w:lang w:val="en-US" w:eastAsia="zh-CN"/>
        </w:rPr>
        <w:t>相比</w:t>
      </w:r>
      <w:r>
        <w:rPr>
          <w:rFonts w:hint="eastAsia" w:ascii="楷体" w:hAnsi="楷体" w:eastAsia="楷体" w:cs="楷体"/>
          <w:b/>
          <w:bCs/>
          <w:sz w:val="32"/>
          <w:szCs w:val="32"/>
        </w:rPr>
        <w:t>增加0.4万元，增加的原因主要是业务范围扩大。</w:t>
      </w:r>
    </w:p>
    <w:p>
      <w:pPr>
        <w:ind w:firstLine="640" w:firstLineChars="200"/>
        <w:rPr>
          <w:rFonts w:ascii="仿宋" w:hAnsi="仿宋" w:eastAsia="仿宋" w:cs="仿宋"/>
          <w:sz w:val="32"/>
          <w:szCs w:val="32"/>
        </w:rPr>
      </w:pPr>
      <w:r>
        <w:rPr>
          <w:rFonts w:hint="eastAsia" w:ascii="仿宋" w:hAnsi="仿宋" w:eastAsia="仿宋" w:cs="仿宋"/>
          <w:sz w:val="32"/>
          <w:szCs w:val="32"/>
        </w:rPr>
        <w:t>单位现有公务用车3辆，其中：越野车2辆，衡器检定专用车1辆。</w:t>
      </w:r>
    </w:p>
    <w:p>
      <w:pPr>
        <w:ind w:firstLine="640" w:firstLineChars="200"/>
        <w:rPr>
          <w:rFonts w:ascii="仿宋" w:hAnsi="仿宋" w:eastAsia="仿宋" w:cs="仿宋"/>
          <w:sz w:val="32"/>
          <w:szCs w:val="32"/>
        </w:rPr>
      </w:pPr>
      <w:r>
        <w:rPr>
          <w:rFonts w:hint="eastAsia" w:ascii="仿宋" w:hAnsi="仿宋" w:eastAsia="仿宋" w:cs="仿宋"/>
          <w:sz w:val="32"/>
          <w:szCs w:val="32"/>
        </w:rPr>
        <w:t>2022年安排公务用车运行维护费6万元，用于3辆公务用车燃油、过路（桥）、维修、保险等方面支出。2022年公务用车购置费0万元，2022年无公务用车购置计划。</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（三）因公出国(境)费用与2021年预算持平。</w:t>
      </w:r>
    </w:p>
    <w:p>
      <w:pPr>
        <w:ind w:firstLine="640" w:firstLineChars="200"/>
        <w:rPr>
          <w:rFonts w:ascii="仿宋" w:hAnsi="仿宋" w:eastAsia="仿宋" w:cs="仿宋"/>
          <w:sz w:val="32"/>
          <w:szCs w:val="32"/>
        </w:rPr>
      </w:pPr>
      <w:r>
        <w:rPr>
          <w:rFonts w:hint="eastAsia" w:ascii="仿宋" w:hAnsi="仿宋" w:eastAsia="仿宋" w:cs="仿宋"/>
          <w:sz w:val="32"/>
          <w:szCs w:val="32"/>
        </w:rPr>
        <w:t>2022年部门预算未编列因公出国(境)经费,未安排出国(境)任务和计划。</w:t>
      </w:r>
    </w:p>
    <w:p>
      <w:pPr>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ind w:firstLine="640" w:firstLineChars="200"/>
        <w:rPr>
          <w:rFonts w:ascii="仿宋" w:hAnsi="仿宋" w:eastAsia="仿宋" w:cs="仿宋"/>
          <w:sz w:val="32"/>
          <w:szCs w:val="32"/>
        </w:rPr>
      </w:pPr>
      <w:r>
        <w:rPr>
          <w:rFonts w:hint="eastAsia" w:ascii="仿宋" w:hAnsi="仿宋" w:eastAsia="仿宋" w:cs="仿宋"/>
          <w:sz w:val="32"/>
          <w:szCs w:val="32"/>
        </w:rPr>
        <w:t>我单位2022年没有使用政府性基金预算拨款安排的支出。</w:t>
      </w:r>
    </w:p>
    <w:p>
      <w:pPr>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ind w:firstLine="640" w:firstLineChars="200"/>
        <w:rPr>
          <w:rFonts w:ascii="仿宋" w:hAnsi="仿宋" w:eastAsia="仿宋" w:cs="仿宋"/>
          <w:sz w:val="32"/>
          <w:szCs w:val="32"/>
        </w:rPr>
      </w:pPr>
      <w:r>
        <w:rPr>
          <w:rFonts w:hint="eastAsia" w:ascii="仿宋" w:hAnsi="仿宋" w:eastAsia="仿宋" w:cs="仿宋"/>
          <w:sz w:val="32"/>
          <w:szCs w:val="32"/>
        </w:rPr>
        <w:t>我单位2022年没有使用国有资本经营预算拨款安排的支出。</w:t>
      </w:r>
    </w:p>
    <w:p>
      <w:pPr>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（一）机关运行经费</w:t>
      </w:r>
    </w:p>
    <w:p>
      <w:pPr>
        <w:ind w:firstLine="640" w:firstLineChars="200"/>
        <w:rPr>
          <w:rFonts w:ascii="仿宋" w:hAnsi="仿宋" w:eastAsia="仿宋" w:cs="仿宋"/>
          <w:sz w:val="32"/>
          <w:szCs w:val="32"/>
        </w:rPr>
      </w:pPr>
      <w:r>
        <w:rPr>
          <w:rFonts w:hint="eastAsia" w:ascii="仿宋" w:hAnsi="仿宋" w:eastAsia="仿宋" w:cs="仿宋"/>
          <w:sz w:val="32"/>
          <w:szCs w:val="32"/>
        </w:rPr>
        <w:t>2022年，我单位是事业单位，无机关运行经费。</w:t>
      </w:r>
    </w:p>
    <w:p>
      <w:pPr>
        <w:ind w:firstLine="642" w:firstLineChars="200"/>
        <w:rPr>
          <w:rFonts w:ascii="仿宋" w:hAnsi="仿宋" w:eastAsia="仿宋" w:cs="仿宋"/>
          <w:sz w:val="32"/>
          <w:szCs w:val="32"/>
        </w:rPr>
      </w:pPr>
      <w:r>
        <w:rPr>
          <w:rFonts w:hint="eastAsia" w:ascii="楷体" w:hAnsi="楷体" w:eastAsia="楷体" w:cs="楷体"/>
          <w:b/>
          <w:bCs/>
          <w:sz w:val="32"/>
          <w:szCs w:val="32"/>
        </w:rPr>
        <w:t>（二）政府采购情况</w:t>
      </w:r>
    </w:p>
    <w:p>
      <w:pPr>
        <w:ind w:firstLine="640" w:firstLineChars="200"/>
        <w:rPr>
          <w:rFonts w:ascii="仿宋" w:hAnsi="仿宋" w:eastAsia="仿宋" w:cs="仿宋"/>
          <w:sz w:val="32"/>
          <w:szCs w:val="32"/>
        </w:rPr>
      </w:pPr>
      <w:r>
        <w:rPr>
          <w:rFonts w:hint="eastAsia" w:ascii="仿宋" w:hAnsi="仿宋" w:eastAsia="仿宋" w:cs="仿宋"/>
          <w:sz w:val="32"/>
          <w:szCs w:val="32"/>
        </w:rPr>
        <w:t>2022年，我单位安排政府采购预算0万元。</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（三）国有资产占有使用情况</w:t>
      </w:r>
    </w:p>
    <w:p>
      <w:pPr>
        <w:ind w:firstLine="640" w:firstLineChars="200"/>
        <w:rPr>
          <w:rFonts w:ascii="仿宋" w:hAnsi="仿宋" w:eastAsia="仿宋" w:cs="仿宋"/>
          <w:sz w:val="32"/>
          <w:szCs w:val="32"/>
        </w:rPr>
      </w:pPr>
      <w:r>
        <w:rPr>
          <w:rFonts w:hint="eastAsia" w:ascii="仿宋" w:hAnsi="仿宋" w:eastAsia="仿宋" w:cs="仿宋"/>
          <w:sz w:val="32"/>
          <w:szCs w:val="32"/>
        </w:rPr>
        <w:t>截至2021年底，我单位共有车辆3辆，其中：越野车2辆，衡器检定专用车1辆。单位价值50万元以上大型设备1台（套）。</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（四）绩效目标设置情况</w:t>
      </w:r>
    </w:p>
    <w:p>
      <w:pPr>
        <w:ind w:firstLine="640" w:firstLineChars="200"/>
        <w:rPr>
          <w:rFonts w:ascii="仿宋" w:hAnsi="仿宋" w:eastAsia="仿宋" w:cs="仿宋"/>
          <w:sz w:val="32"/>
          <w:szCs w:val="32"/>
        </w:rPr>
      </w:pPr>
      <w:r>
        <w:rPr>
          <w:rFonts w:hint="eastAsia" w:ascii="仿宋" w:hAnsi="仿宋" w:eastAsia="仿宋" w:cs="仿宋"/>
          <w:sz w:val="32"/>
          <w:szCs w:val="32"/>
        </w:rPr>
        <w:t>绩效目标是预算编制的前提和基础，2022年广元市计量检定测试所单位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ind w:firstLine="640" w:firstLineChars="200"/>
        <w:rPr>
          <w:rFonts w:ascii="仿宋" w:hAnsi="仿宋" w:eastAsia="仿宋" w:cs="仿宋"/>
          <w:sz w:val="32"/>
          <w:szCs w:val="32"/>
        </w:rPr>
      </w:pPr>
      <w:r>
        <w:rPr>
          <w:rFonts w:hint="eastAsia" w:ascii="仿宋" w:hAnsi="仿宋" w:eastAsia="仿宋" w:cs="仿宋"/>
          <w:sz w:val="32"/>
          <w:szCs w:val="32"/>
        </w:rPr>
        <w:t>（一）一般公共预算拨款收入：指市级财政当年拨付的资金。</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上年结转：指以前年度尚未完成，结转到本年仍按原规定用途继续使用的资金。</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一般公共服务（类）市场监督管理事务（款）事业运行（项）：主要用于保障事业单位正常运行、开展日常工作的基本支出。</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一般公共服务（类）市场监督管理事务市场监督管理事务（款）其他市场监督管理事务（项）主要用于除上述项目以外其他市场监督管理事务方面的支出。</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社会保障和就业（类）行政事业单位养老支出（款）机关事业单位基本养老保险缴费支出（项）：指部门实施养老保险制度由单位缴纳的养老保险的支出。</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社会保障和就业（类）行政事业单位养老支出（款）机关事业单位职业年金缴费支出（项）：指部门实施养老保险制度由单位缴纳的职业年金的支出。</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卫生健康（类）行政事业单位医疗（款）事业单位医疗（项）：指事业单位用于单位应缴纳基本医疗保险支出。</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住房保障（类）住房改革支出（款）住房公积金（项）：指按照《住房公积金管理条例》的规定，由单位及其在职职工缴存的长期住房储金。</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基本支出：指为保证机构正常运转，完成日常工作任务而发生的人员支出和公用支出。</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“三公”经费：纳入财政</w:t>
      </w:r>
      <w:r>
        <w:rPr>
          <w:rFonts w:hint="eastAsia" w:ascii="仿宋" w:hAnsi="仿宋" w:eastAsia="仿宋" w:cs="仿宋"/>
          <w:sz w:val="32"/>
          <w:szCs w:val="32"/>
          <w:lang w:eastAsia="zh-CN"/>
        </w:rPr>
        <w:t>局</w:t>
      </w:r>
      <w:bookmarkStart w:id="0" w:name="_GoBack"/>
      <w:bookmarkEnd w:id="0"/>
      <w:r>
        <w:rPr>
          <w:rFonts w:hint="eastAsia" w:ascii="仿宋" w:hAnsi="仿宋" w:eastAsia="仿宋" w:cs="仿宋"/>
          <w:sz w:val="32"/>
          <w:szCs w:val="32"/>
        </w:rPr>
        <w:t>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 w:hAnsi="仿宋" w:eastAsia="仿宋" w:cs="仿宋"/>
          <w:sz w:val="32"/>
          <w:szCs w:val="32"/>
        </w:rPr>
      </w:pPr>
      <w:r>
        <w:rPr>
          <w:rFonts w:hint="eastAsia" w:ascii="仿宋" w:hAnsi="仿宋" w:eastAsia="仿宋" w:cs="仿宋"/>
          <w:sz w:val="32"/>
          <w:szCs w:val="32"/>
        </w:rPr>
        <w:t>附件1：部门预算公开表</w:t>
      </w:r>
    </w:p>
    <w:p>
      <w:pPr>
        <w:ind w:firstLine="640" w:firstLineChars="200"/>
        <w:rPr>
          <w:rFonts w:ascii="仿宋" w:hAnsi="仿宋" w:eastAsia="仿宋" w:cs="仿宋"/>
          <w:sz w:val="32"/>
          <w:szCs w:val="32"/>
        </w:rPr>
      </w:pPr>
      <w:r>
        <w:rPr>
          <w:rFonts w:hint="eastAsia" w:ascii="仿宋" w:hAnsi="仿宋" w:eastAsia="仿宋" w:cs="仿宋"/>
          <w:sz w:val="32"/>
          <w:szCs w:val="32"/>
        </w:rPr>
        <w:t>附件2：部门预算绩效目标表</w:t>
      </w:r>
    </w:p>
    <w:p>
      <w:pPr>
        <w:widowControl/>
        <w:shd w:val="clear" w:color="auto" w:fill="FFFFFF"/>
        <w:spacing w:line="580" w:lineRule="atLeast"/>
        <w:ind w:firstLine="668"/>
        <w:rPr>
          <w:rFonts w:ascii="仿宋_GB2312" w:hAnsi="Times New Roman" w:eastAsia="仿宋_GB2312" w:cs="仿宋_GB2312"/>
          <w:color w:val="333333"/>
          <w:kern w:val="0"/>
          <w:sz w:val="32"/>
          <w:szCs w:val="32"/>
          <w:shd w:val="clear" w:color="auto" w:fill="FFFFFF"/>
        </w:rPr>
      </w:pPr>
    </w:p>
    <w:p>
      <w:pPr>
        <w:widowControl/>
        <w:shd w:val="clear" w:color="auto" w:fill="FFFFFF"/>
        <w:spacing w:line="580" w:lineRule="atLeast"/>
        <w:ind w:firstLine="668"/>
        <w:rPr>
          <w:rFonts w:ascii="仿宋_GB2312" w:hAnsi="Times New Roman" w:eastAsia="仿宋_GB2312" w:cs="仿宋_GB2312"/>
          <w:color w:val="333333"/>
          <w:kern w:val="0"/>
          <w:sz w:val="32"/>
          <w:szCs w:val="32"/>
          <w:shd w:val="clear" w:color="auto" w:fill="FFFFFF"/>
        </w:rPr>
      </w:pPr>
    </w:p>
    <w:p>
      <w:pPr>
        <w:widowControl/>
        <w:shd w:val="clear" w:color="auto" w:fill="FFFFFF"/>
        <w:spacing w:line="580" w:lineRule="atLeast"/>
        <w:ind w:firstLine="4800" w:firstLineChars="1500"/>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广元市计量检定测试所</w:t>
      </w:r>
    </w:p>
    <w:p>
      <w:pPr>
        <w:widowControl/>
        <w:shd w:val="clear" w:color="auto" w:fill="FFFFFF"/>
        <w:spacing w:line="580" w:lineRule="atLeast"/>
        <w:ind w:firstLine="5494" w:firstLineChars="1717"/>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2022年3月9日</w:t>
      </w:r>
    </w:p>
    <w:p/>
    <w:p/>
    <w:sectPr>
      <w:footerReference r:id="rId5" w:type="default"/>
      <w:pgSz w:w="11906" w:h="16838"/>
      <w:pgMar w:top="1440" w:right="1800" w:bottom="1100" w:left="1800" w:header="720" w:footer="720"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7" o:spid="_x0000_s1027" o:spt="202" type="#_x0000_t202" style="position:absolute;left:0pt;margin-top:0pt;height:14.15pt;width:10.15pt;mso-position-horizontal:center;mso-position-horizontal-relative:margin;z-index:251660288;mso-width-relative:page;mso-height-relative:page;" filled="f" stroked="f" coordsize="21600,21600" o:gfxdata="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4cCZ1AAAAAMBAAAPAAAAAAAAAAEAIAAAACIAAABkcnMv&#10;ZG93bnJldi54bWxQSwECFAAUAAAACACHTuJAukL8qs4BAACZAwAADgAAAAAAAAABACAAAAAjAQAA&#10;ZHJzL2Uyb0RvYy54bWxQSwUGAAAAAAYABgBZAQAAYwUAAAAA&#10;">
          <v:path/>
          <v:fill on="f" focussize="0,0"/>
          <v:stroke on="f" joinstyle="miter"/>
          <v:imagedata o:title=""/>
          <o:lock v:ext="edit"/>
          <v:textbox inset="0mm,0mm,0mm,0mm">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7D8AD8"/>
    <w:multiLevelType w:val="singleLevel"/>
    <w:tmpl w:val="DB7D8AD8"/>
    <w:lvl w:ilvl="0" w:tentative="0">
      <w:start w:val="1"/>
      <w:numFmt w:val="decimal"/>
      <w:suff w:val="nothing"/>
      <w:lvlText w:val="%1、"/>
      <w:lvlJc w:val="left"/>
    </w:lvl>
  </w:abstractNum>
  <w:abstractNum w:abstractNumId="1">
    <w:nsid w:val="F48D15F4"/>
    <w:multiLevelType w:val="singleLevel"/>
    <w:tmpl w:val="F48D15F4"/>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QzMTU5NmIzMTdiYjAyM2ZjZDg3NzBhMmYyNDA5MDUifQ=="/>
  </w:docVars>
  <w:rsids>
    <w:rsidRoot w:val="4922589B"/>
    <w:rsid w:val="000D6C0C"/>
    <w:rsid w:val="00116E20"/>
    <w:rsid w:val="006C31DD"/>
    <w:rsid w:val="00AC024C"/>
    <w:rsid w:val="00B615E0"/>
    <w:rsid w:val="00E156C9"/>
    <w:rsid w:val="0AB5146B"/>
    <w:rsid w:val="310F3494"/>
    <w:rsid w:val="4922589B"/>
    <w:rsid w:val="602D7640"/>
    <w:rsid w:val="6C5F51BA"/>
    <w:rsid w:val="6CBF2FF5"/>
    <w:rsid w:val="89DD98A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HP</Company>
  <Pages>1</Pages>
  <Words>728</Words>
  <Characters>4151</Characters>
  <Lines>34</Lines>
  <Paragraphs>9</Paragraphs>
  <TotalTime>12</TotalTime>
  <ScaleCrop>false</ScaleCrop>
  <LinksUpToDate>false</LinksUpToDate>
  <CharactersWithSpaces>4870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2023-06-28T19:52:00Z</dcterms:created>
  <dc:creator>Administrator</dc:creator>
  <cp:lastModifiedBy> </cp:lastModifiedBy>
  <dcterms:modified xsi:type="dcterms:W3CDTF">2023-09-17T17:24:38Z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5AEFF8DB9FF6404885E28588BE84C44E_11</vt:lpwstr>
  </property>
</Properties>
</file>