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rPr>
          <w:rFonts w:hint="eastAsia" w:ascii="黑体" w:hAnsi="黑体" w:eastAsia="黑体" w:cs="黑体"/>
          <w:sz w:val="52"/>
          <w:szCs w:val="52"/>
          <w:lang w:val="en-US" w:eastAsia="zh-CN"/>
        </w:rPr>
      </w:pPr>
    </w:p>
    <w:p>
      <w:pPr>
        <w:bidi w:val="0"/>
        <w:rPr>
          <w:rFonts w:hint="eastAsia" w:ascii="黑体" w:hAnsi="黑体" w:eastAsia="黑体" w:cs="黑体"/>
          <w:sz w:val="52"/>
          <w:szCs w:val="52"/>
          <w:lang w:val="en-US" w:eastAsia="zh-CN"/>
        </w:rPr>
      </w:pPr>
    </w:p>
    <w:p>
      <w:pPr>
        <w:bidi w:val="0"/>
        <w:jc w:val="center"/>
        <w:rPr>
          <w:rFonts w:hint="eastAsia" w:ascii="黑体" w:hAnsi="黑体" w:eastAsia="黑体" w:cs="黑体"/>
          <w:sz w:val="52"/>
          <w:szCs w:val="52"/>
          <w:lang w:val="en-US"/>
        </w:rPr>
      </w:pPr>
      <w:r>
        <w:rPr>
          <w:rFonts w:hint="eastAsia" w:ascii="黑体" w:hAnsi="黑体" w:eastAsia="黑体" w:cs="黑体"/>
          <w:sz w:val="52"/>
          <w:szCs w:val="52"/>
          <w:lang w:val="en-US" w:eastAsia="zh-CN"/>
        </w:rPr>
        <w:t>广元市广播电视台</w:t>
      </w:r>
    </w:p>
    <w:p>
      <w:pPr>
        <w:bidi w:val="0"/>
        <w:jc w:val="center"/>
        <w:rPr>
          <w:rFonts w:hint="eastAsia" w:ascii="黑体" w:hAnsi="黑体" w:eastAsia="黑体" w:cs="黑体"/>
          <w:sz w:val="52"/>
          <w:szCs w:val="52"/>
        </w:rPr>
      </w:pPr>
      <w:r>
        <w:rPr>
          <w:rFonts w:hint="eastAsia" w:ascii="黑体" w:hAnsi="黑体" w:eastAsia="黑体" w:cs="黑体"/>
          <w:sz w:val="52"/>
          <w:szCs w:val="52"/>
          <w:lang w:val="en-US" w:eastAsia="zh-CN"/>
        </w:rPr>
        <w:t>2022年部门预算编制说明</w:t>
      </w:r>
    </w:p>
    <w:p>
      <w:pPr>
        <w:bidi w:val="0"/>
        <w:rPr>
          <w:rFonts w:hint="eastAsia" w:ascii="黑体" w:hAnsi="黑体" w:eastAsia="黑体" w:cs="黑体"/>
          <w:sz w:val="52"/>
          <w:szCs w:val="52"/>
          <w:lang w:val="en-US" w:eastAsia="zh-CN"/>
        </w:rPr>
      </w:pPr>
    </w:p>
    <w:p>
      <w:pPr>
        <w:bidi w:val="0"/>
        <w:rPr>
          <w:rFonts w:hint="eastAsia" w:ascii="黑体" w:hAnsi="黑体" w:eastAsia="黑体" w:cs="黑体"/>
          <w:sz w:val="52"/>
          <w:szCs w:val="52"/>
          <w:lang w:val="en-US" w:eastAsia="zh-CN"/>
        </w:rPr>
      </w:pPr>
    </w:p>
    <w:p>
      <w:pPr>
        <w:bidi w:val="0"/>
        <w:rPr>
          <w:rFonts w:hint="eastAsia" w:ascii="黑体" w:hAnsi="黑体" w:eastAsia="黑体" w:cs="黑体"/>
          <w:sz w:val="52"/>
          <w:szCs w:val="52"/>
          <w:lang w:val="en-US" w:eastAsia="zh-CN"/>
        </w:rPr>
      </w:pPr>
    </w:p>
    <w:p>
      <w:pPr>
        <w:bidi w:val="0"/>
        <w:rPr>
          <w:rFonts w:hint="eastAsia" w:ascii="黑体" w:hAnsi="黑体" w:eastAsia="黑体" w:cs="黑体"/>
          <w:sz w:val="52"/>
          <w:szCs w:val="52"/>
          <w:lang w:val="en-US" w:eastAsia="zh-CN"/>
        </w:rPr>
      </w:pPr>
    </w:p>
    <w:p>
      <w:pPr>
        <w:bidi w:val="0"/>
        <w:rPr>
          <w:rFonts w:hint="eastAsia" w:ascii="黑体" w:hAnsi="黑体" w:eastAsia="黑体" w:cs="黑体"/>
          <w:sz w:val="52"/>
          <w:szCs w:val="52"/>
          <w:lang w:val="en-US" w:eastAsia="zh-CN"/>
        </w:rPr>
      </w:pPr>
    </w:p>
    <w:p>
      <w:pPr>
        <w:bidi w:val="0"/>
        <w:rPr>
          <w:rFonts w:hint="eastAsia" w:ascii="黑体" w:hAnsi="黑体" w:eastAsia="黑体" w:cs="黑体"/>
          <w:sz w:val="52"/>
          <w:szCs w:val="52"/>
          <w:lang w:val="en-US" w:eastAsia="zh-CN"/>
        </w:rPr>
      </w:pPr>
    </w:p>
    <w:p>
      <w:pPr>
        <w:bidi w:val="0"/>
        <w:rPr>
          <w:rFonts w:hint="eastAsia" w:ascii="黑体" w:hAnsi="黑体" w:eastAsia="黑体" w:cs="黑体"/>
          <w:sz w:val="52"/>
          <w:szCs w:val="52"/>
          <w:lang w:val="en-US" w:eastAsia="zh-CN"/>
        </w:rPr>
      </w:pPr>
    </w:p>
    <w:p>
      <w:pPr>
        <w:bidi w:val="0"/>
        <w:rPr>
          <w:rFonts w:hint="eastAsia" w:ascii="黑体" w:hAnsi="黑体" w:eastAsia="黑体" w:cs="黑体"/>
          <w:sz w:val="52"/>
          <w:szCs w:val="52"/>
          <w:lang w:val="en-US" w:eastAsia="zh-CN"/>
        </w:rPr>
      </w:pPr>
    </w:p>
    <w:p>
      <w:pPr>
        <w:bidi w:val="0"/>
        <w:rPr>
          <w:rFonts w:hint="eastAsia" w:ascii="黑体" w:hAnsi="黑体" w:eastAsia="黑体" w:cs="黑体"/>
          <w:sz w:val="52"/>
          <w:szCs w:val="52"/>
          <w:lang w:val="en-US" w:eastAsia="zh-CN"/>
        </w:rPr>
      </w:pPr>
    </w:p>
    <w:p>
      <w:pPr>
        <w:bidi w:val="0"/>
        <w:rPr>
          <w:rFonts w:hint="eastAsia" w:ascii="黑体" w:hAnsi="黑体" w:eastAsia="黑体" w:cs="黑体"/>
          <w:sz w:val="52"/>
          <w:szCs w:val="52"/>
          <w:lang w:val="en-US" w:eastAsia="zh-CN"/>
        </w:rPr>
      </w:pPr>
    </w:p>
    <w:p>
      <w:pPr>
        <w:bidi w:val="0"/>
        <w:rPr>
          <w:rFonts w:hint="eastAsia" w:ascii="黑体" w:hAnsi="黑体" w:eastAsia="黑体" w:cs="黑体"/>
          <w:sz w:val="52"/>
          <w:szCs w:val="52"/>
          <w:lang w:val="en-US" w:eastAsia="zh-CN"/>
        </w:rPr>
      </w:pPr>
    </w:p>
    <w:sdt>
      <w:sdtPr>
        <w:rPr>
          <w:rFonts w:ascii="宋体" w:hAnsi="宋体" w:eastAsia="宋体" w:cs="宋体"/>
          <w:kern w:val="2"/>
          <w:sz w:val="21"/>
          <w:szCs w:val="22"/>
          <w:lang w:val="en-US" w:eastAsia="zh-CN" w:bidi="ar-SA"/>
        </w:rPr>
        <w:id w:val="147462091"/>
        <w15:color w:val="DBDBDB"/>
        <w:docPartObj>
          <w:docPartGallery w:val="Table of Contents"/>
          <w:docPartUnique/>
        </w:docPartObj>
      </w:sdtPr>
      <w:sdtEndPr>
        <w:rPr>
          <w:rFonts w:ascii="宋体" w:hAnsi="宋体" w:eastAsia="宋体" w:cs="宋体"/>
          <w:b/>
          <w:kern w:val="2"/>
          <w:sz w:val="21"/>
          <w:szCs w:val="22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</w:t>
          </w:r>
          <w:r>
            <w:rPr>
              <w:rFonts w:hint="eastAsia" w:ascii="宋体" w:hAnsi="宋体" w:eastAsia="宋体"/>
              <w:sz w:val="21"/>
              <w:lang w:val="en-US" w:eastAsia="zh-CN"/>
            </w:rPr>
            <w:t xml:space="preserve">  </w:t>
          </w:r>
          <w:r>
            <w:rPr>
              <w:rFonts w:ascii="宋体" w:hAnsi="宋体" w:eastAsia="宋体"/>
              <w:sz w:val="21"/>
            </w:rPr>
            <w:t>录</w:t>
          </w:r>
        </w:p>
        <w:p>
          <w:pPr>
            <w:pStyle w:val="13"/>
            <w:tabs>
              <w:tab w:val="right" w:leader="dot" w:pos="8306"/>
              <w:tab w:val="clear" w:pos="8296"/>
            </w:tabs>
          </w:pPr>
          <w:r>
            <w:fldChar w:fldCharType="begin"/>
          </w:r>
          <w:r>
            <w:instrText xml:space="preserve">TOC \o "1-2"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_Toc26424 </w:instrText>
          </w:r>
          <w:r>
            <w:fldChar w:fldCharType="separate"/>
          </w:r>
          <w:r>
            <w:rPr>
              <w:rFonts w:hint="eastAsia"/>
            </w:rPr>
            <w:t>一、</w:t>
          </w:r>
          <w:r>
            <w:rPr>
              <w:rFonts w:hint="eastAsia" w:ascii="Times New Roman" w:hAnsi="Times New Roman" w:eastAsia="宋体"/>
            </w:rPr>
            <w:t>基本职能及主要工作</w:t>
          </w:r>
          <w:r>
            <w:tab/>
          </w:r>
          <w:r>
            <w:fldChar w:fldCharType="begin"/>
          </w:r>
          <w:r>
            <w:instrText xml:space="preserve"> PAGEREF _Toc26424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14"/>
            <w:tabs>
              <w:tab w:val="right" w:leader="dot" w:pos="8306"/>
              <w:tab w:val="clear" w:pos="8296"/>
            </w:tabs>
          </w:pPr>
          <w:r>
            <w:fldChar w:fldCharType="begin"/>
          </w:r>
          <w:r>
            <w:instrText xml:space="preserve"> HYPERLINK \l _Toc32553 </w:instrText>
          </w:r>
          <w:r>
            <w:fldChar w:fldCharType="separate"/>
          </w:r>
          <w:r>
            <w:rPr>
              <w:rFonts w:hint="eastAsia"/>
            </w:rPr>
            <w:t>（一）</w:t>
          </w:r>
          <w:r>
            <w:rPr>
              <w:rFonts w:hint="eastAsia" w:eastAsia="宋体"/>
            </w:rPr>
            <w:t>职能简介</w:t>
          </w:r>
          <w:r>
            <w:tab/>
          </w:r>
          <w:r>
            <w:fldChar w:fldCharType="begin"/>
          </w:r>
          <w:r>
            <w:instrText xml:space="preserve"> PAGEREF _Toc32553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14"/>
            <w:tabs>
              <w:tab w:val="right" w:leader="dot" w:pos="8306"/>
              <w:tab w:val="clear" w:pos="8296"/>
            </w:tabs>
          </w:pPr>
          <w:r>
            <w:fldChar w:fldCharType="begin"/>
          </w:r>
          <w:r>
            <w:instrText xml:space="preserve"> HYPERLINK \l _Toc31804 </w:instrText>
          </w:r>
          <w:r>
            <w:fldChar w:fldCharType="separate"/>
          </w:r>
          <w:r>
            <w:rPr>
              <w:rFonts w:hint="eastAsia" w:eastAsia="宋体"/>
            </w:rPr>
            <w:t>（二）2022年重点工作</w:t>
          </w:r>
          <w:r>
            <w:tab/>
          </w:r>
          <w:r>
            <w:fldChar w:fldCharType="begin"/>
          </w:r>
          <w:r>
            <w:instrText xml:space="preserve"> PAGEREF _Toc31804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13"/>
            <w:tabs>
              <w:tab w:val="right" w:leader="dot" w:pos="8306"/>
              <w:tab w:val="clear" w:pos="8296"/>
            </w:tabs>
          </w:pPr>
          <w:r>
            <w:fldChar w:fldCharType="begin"/>
          </w:r>
          <w:r>
            <w:instrText xml:space="preserve"> HYPERLINK \l _Toc15361 </w:instrText>
          </w:r>
          <w:r>
            <w:fldChar w:fldCharType="separate"/>
          </w:r>
          <w:r>
            <w:rPr>
              <w:rFonts w:hint="eastAsia" w:ascii="Times New Roman" w:hAnsi="Times New Roman" w:eastAsia="宋体"/>
            </w:rPr>
            <w:t>二、部门预算单位构成</w:t>
          </w:r>
          <w:r>
            <w:tab/>
          </w:r>
          <w:r>
            <w:fldChar w:fldCharType="begin"/>
          </w:r>
          <w:r>
            <w:instrText xml:space="preserve"> PAGEREF _Toc15361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13"/>
            <w:tabs>
              <w:tab w:val="right" w:leader="dot" w:pos="8306"/>
              <w:tab w:val="clear" w:pos="8296"/>
            </w:tabs>
          </w:pPr>
          <w:r>
            <w:fldChar w:fldCharType="begin"/>
          </w:r>
          <w:r>
            <w:instrText xml:space="preserve"> HYPERLINK \l _Toc1701 </w:instrText>
          </w:r>
          <w:r>
            <w:fldChar w:fldCharType="separate"/>
          </w:r>
          <w:r>
            <w:rPr>
              <w:rFonts w:hint="eastAsia" w:ascii="Times New Roman" w:hAnsi="Times New Roman" w:eastAsia="宋体"/>
            </w:rPr>
            <w:t>三、收支预算情况说明</w:t>
          </w:r>
          <w:r>
            <w:tab/>
          </w:r>
          <w:r>
            <w:fldChar w:fldCharType="begin"/>
          </w:r>
          <w:r>
            <w:instrText xml:space="preserve"> PAGEREF _Toc1701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14"/>
            <w:tabs>
              <w:tab w:val="right" w:leader="dot" w:pos="8306"/>
              <w:tab w:val="clear" w:pos="8296"/>
            </w:tabs>
          </w:pPr>
          <w:r>
            <w:fldChar w:fldCharType="begin"/>
          </w:r>
          <w:r>
            <w:instrText xml:space="preserve"> HYPERLINK \l _Toc15375 </w:instrText>
          </w:r>
          <w:r>
            <w:fldChar w:fldCharType="separate"/>
          </w:r>
          <w:r>
            <w:rPr>
              <w:rFonts w:hint="eastAsia" w:eastAsia="宋体"/>
            </w:rPr>
            <w:t>（一）收入预算情况</w:t>
          </w:r>
          <w:r>
            <w:tab/>
          </w:r>
          <w:r>
            <w:fldChar w:fldCharType="begin"/>
          </w:r>
          <w:r>
            <w:instrText xml:space="preserve"> PAGEREF _Toc15375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4"/>
            <w:tabs>
              <w:tab w:val="right" w:leader="dot" w:pos="8306"/>
              <w:tab w:val="clear" w:pos="8296"/>
            </w:tabs>
          </w:pPr>
          <w:r>
            <w:fldChar w:fldCharType="begin"/>
          </w:r>
          <w:r>
            <w:instrText xml:space="preserve"> HYPERLINK \l _Toc573 </w:instrText>
          </w:r>
          <w:r>
            <w:fldChar w:fldCharType="separate"/>
          </w:r>
          <w:r>
            <w:rPr>
              <w:rFonts w:hint="eastAsia" w:eastAsia="宋体"/>
            </w:rPr>
            <w:t>（二）支出预算情况</w:t>
          </w:r>
          <w:r>
            <w:tab/>
          </w:r>
          <w:r>
            <w:fldChar w:fldCharType="begin"/>
          </w:r>
          <w:r>
            <w:instrText xml:space="preserve"> PAGEREF _Toc573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3"/>
            <w:tabs>
              <w:tab w:val="right" w:leader="dot" w:pos="8306"/>
              <w:tab w:val="clear" w:pos="8296"/>
            </w:tabs>
          </w:pPr>
          <w:r>
            <w:fldChar w:fldCharType="begin"/>
          </w:r>
          <w:r>
            <w:instrText xml:space="preserve"> HYPERLINK \l _Toc18722 </w:instrText>
          </w:r>
          <w:r>
            <w:fldChar w:fldCharType="separate"/>
          </w:r>
          <w:r>
            <w:rPr>
              <w:rFonts w:hint="eastAsia" w:ascii="Times New Roman" w:hAnsi="Times New Roman" w:eastAsia="宋体"/>
            </w:rPr>
            <w:t>四、财政拨款收支预算情况说明</w:t>
          </w:r>
          <w:r>
            <w:tab/>
          </w:r>
          <w:r>
            <w:fldChar w:fldCharType="begin"/>
          </w:r>
          <w:r>
            <w:instrText xml:space="preserve"> PAGEREF _Toc18722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3"/>
            <w:tabs>
              <w:tab w:val="right" w:leader="dot" w:pos="8306"/>
              <w:tab w:val="clear" w:pos="8296"/>
            </w:tabs>
          </w:pPr>
          <w:r>
            <w:fldChar w:fldCharType="begin"/>
          </w:r>
          <w:r>
            <w:instrText xml:space="preserve"> HYPERLINK \l _Toc538 </w:instrText>
          </w:r>
          <w:r>
            <w:fldChar w:fldCharType="separate"/>
          </w:r>
          <w:r>
            <w:rPr>
              <w:rFonts w:hint="eastAsia" w:ascii="Times New Roman" w:hAnsi="Times New Roman" w:eastAsia="宋体"/>
            </w:rPr>
            <w:t>五、一般公共预算当年拨款情况说明</w:t>
          </w:r>
          <w:r>
            <w:tab/>
          </w:r>
          <w:r>
            <w:fldChar w:fldCharType="begin"/>
          </w:r>
          <w:r>
            <w:instrText xml:space="preserve"> PAGEREF _Toc538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4"/>
            <w:tabs>
              <w:tab w:val="right" w:leader="dot" w:pos="8306"/>
              <w:tab w:val="clear" w:pos="8296"/>
            </w:tabs>
          </w:pPr>
          <w:r>
            <w:fldChar w:fldCharType="begin"/>
          </w:r>
          <w:r>
            <w:instrText xml:space="preserve"> HYPERLINK \l _Toc24684 </w:instrText>
          </w:r>
          <w:r>
            <w:fldChar w:fldCharType="separate"/>
          </w:r>
          <w:r>
            <w:rPr>
              <w:rFonts w:hint="eastAsia" w:eastAsia="宋体"/>
            </w:rPr>
            <w:t>（一）一般公共预算当年拨款规模变化情况</w:t>
          </w:r>
          <w:r>
            <w:tab/>
          </w:r>
          <w:r>
            <w:fldChar w:fldCharType="begin"/>
          </w:r>
          <w:r>
            <w:instrText xml:space="preserve"> PAGEREF _Toc24684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4"/>
            <w:tabs>
              <w:tab w:val="right" w:leader="dot" w:pos="8306"/>
              <w:tab w:val="clear" w:pos="8296"/>
            </w:tabs>
          </w:pPr>
          <w:r>
            <w:fldChar w:fldCharType="begin"/>
          </w:r>
          <w:r>
            <w:instrText xml:space="preserve"> HYPERLINK \l _Toc21299 </w:instrText>
          </w:r>
          <w:r>
            <w:fldChar w:fldCharType="separate"/>
          </w:r>
          <w:r>
            <w:rPr>
              <w:rFonts w:hint="eastAsia" w:eastAsia="宋体"/>
            </w:rPr>
            <w:t>（二）一般公共预算当年拨款结构情况</w:t>
          </w:r>
          <w:r>
            <w:tab/>
          </w:r>
          <w:r>
            <w:fldChar w:fldCharType="begin"/>
          </w:r>
          <w:r>
            <w:instrText xml:space="preserve"> PAGEREF _Toc21299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4"/>
            <w:tabs>
              <w:tab w:val="right" w:leader="dot" w:pos="8306"/>
              <w:tab w:val="clear" w:pos="8296"/>
            </w:tabs>
          </w:pPr>
          <w:r>
            <w:fldChar w:fldCharType="begin"/>
          </w:r>
          <w:r>
            <w:instrText xml:space="preserve"> HYPERLINK \l _Toc5463 </w:instrText>
          </w:r>
          <w:r>
            <w:fldChar w:fldCharType="separate"/>
          </w:r>
          <w:r>
            <w:rPr>
              <w:rFonts w:hint="eastAsia" w:eastAsia="宋体"/>
            </w:rPr>
            <w:t>（三）一般公共预算当年拨款具体使用情况</w:t>
          </w:r>
          <w:r>
            <w:tab/>
          </w:r>
          <w:r>
            <w:fldChar w:fldCharType="begin"/>
          </w:r>
          <w:r>
            <w:instrText xml:space="preserve"> PAGEREF _Toc5463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3"/>
            <w:tabs>
              <w:tab w:val="right" w:leader="dot" w:pos="8306"/>
              <w:tab w:val="clear" w:pos="8296"/>
            </w:tabs>
          </w:pPr>
          <w:r>
            <w:fldChar w:fldCharType="begin"/>
          </w:r>
          <w:r>
            <w:instrText xml:space="preserve"> HYPERLINK \l _Toc29810 </w:instrText>
          </w:r>
          <w:r>
            <w:fldChar w:fldCharType="separate"/>
          </w:r>
          <w:r>
            <w:rPr>
              <w:rFonts w:hint="eastAsia" w:ascii="Times New Roman" w:hAnsi="Times New Roman" w:eastAsia="宋体"/>
            </w:rPr>
            <w:t>六、一般公共预算基本支出情况说明</w:t>
          </w:r>
          <w:r>
            <w:tab/>
          </w:r>
          <w:r>
            <w:fldChar w:fldCharType="begin"/>
          </w:r>
          <w:r>
            <w:instrText xml:space="preserve"> PAGEREF _Toc29810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3"/>
            <w:tabs>
              <w:tab w:val="right" w:leader="dot" w:pos="8306"/>
              <w:tab w:val="clear" w:pos="8296"/>
            </w:tabs>
          </w:pPr>
          <w:r>
            <w:fldChar w:fldCharType="begin"/>
          </w:r>
          <w:r>
            <w:instrText xml:space="preserve"> HYPERLINK \l _Toc18364 </w:instrText>
          </w:r>
          <w:r>
            <w:fldChar w:fldCharType="separate"/>
          </w:r>
          <w:r>
            <w:rPr>
              <w:rFonts w:hint="eastAsia" w:ascii="Times New Roman" w:hAnsi="Times New Roman" w:eastAsia="宋体"/>
            </w:rPr>
            <w:t>七、“三公”经费财政拨款预算安排情况说明</w:t>
          </w:r>
          <w:r>
            <w:tab/>
          </w:r>
          <w:r>
            <w:fldChar w:fldCharType="begin"/>
          </w:r>
          <w:r>
            <w:instrText xml:space="preserve"> PAGEREF _Toc18364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4"/>
            <w:tabs>
              <w:tab w:val="right" w:leader="dot" w:pos="8306"/>
              <w:tab w:val="clear" w:pos="8296"/>
            </w:tabs>
          </w:pPr>
          <w:r>
            <w:fldChar w:fldCharType="begin"/>
          </w:r>
          <w:r>
            <w:instrText xml:space="preserve"> HYPERLINK \l _Toc6265 </w:instrText>
          </w:r>
          <w:r>
            <w:fldChar w:fldCharType="separate"/>
          </w:r>
          <w:r>
            <w:rPr>
              <w:rFonts w:hint="eastAsia"/>
              <w:lang w:val="en-US" w:eastAsia="zh-CN"/>
            </w:rPr>
            <w:t>（一）</w:t>
          </w:r>
          <w:r>
            <w:rPr>
              <w:rFonts w:hint="eastAsia" w:ascii="Times New Roman" w:hAnsi="Times New Roman" w:eastAsia="宋体" w:cs="Times New Roman"/>
              <w:kern w:val="2"/>
              <w:sz w:val="24"/>
              <w:szCs w:val="28"/>
              <w:lang w:val="en-US" w:eastAsia="zh-CN" w:bidi="ar-SA"/>
            </w:rPr>
            <w:t>公务接待费较2021年预算下降1万元。</w:t>
          </w:r>
          <w:r>
            <w:tab/>
          </w:r>
          <w:r>
            <w:fldChar w:fldCharType="begin"/>
          </w:r>
          <w:r>
            <w:instrText xml:space="preserve"> PAGEREF _Toc6265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4"/>
            <w:tabs>
              <w:tab w:val="right" w:leader="dot" w:pos="8306"/>
              <w:tab w:val="clear" w:pos="8296"/>
            </w:tabs>
          </w:pPr>
          <w:r>
            <w:fldChar w:fldCharType="begin"/>
          </w:r>
          <w:r>
            <w:instrText xml:space="preserve"> HYPERLINK \l _Toc12579 </w:instrText>
          </w:r>
          <w:r>
            <w:fldChar w:fldCharType="separate"/>
          </w:r>
          <w:r>
            <w:rPr>
              <w:rFonts w:hint="eastAsia" w:eastAsia="宋体"/>
            </w:rPr>
            <w:t>（二）公务用车购置及运行维护费与2021年预算持平。</w:t>
          </w:r>
          <w:r>
            <w:tab/>
          </w:r>
          <w:r>
            <w:fldChar w:fldCharType="begin"/>
          </w:r>
          <w:r>
            <w:instrText xml:space="preserve"> PAGEREF _Toc12579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4"/>
            <w:tabs>
              <w:tab w:val="right" w:leader="dot" w:pos="8306"/>
              <w:tab w:val="clear" w:pos="8296"/>
            </w:tabs>
          </w:pPr>
          <w:r>
            <w:fldChar w:fldCharType="begin"/>
          </w:r>
          <w:r>
            <w:instrText xml:space="preserve"> HYPERLINK \l _Toc18039 </w:instrText>
          </w:r>
          <w:r>
            <w:fldChar w:fldCharType="separate"/>
          </w:r>
          <w:r>
            <w:rPr>
              <w:rFonts w:hint="eastAsia" w:eastAsia="宋体"/>
            </w:rPr>
            <w:t>（三）因公出国（境）经费与2021年持平。</w:t>
          </w:r>
          <w:r>
            <w:tab/>
          </w:r>
          <w:r>
            <w:fldChar w:fldCharType="begin"/>
          </w:r>
          <w:r>
            <w:instrText xml:space="preserve"> PAGEREF _Toc18039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3"/>
            <w:tabs>
              <w:tab w:val="right" w:leader="dot" w:pos="8306"/>
              <w:tab w:val="clear" w:pos="8296"/>
            </w:tabs>
          </w:pPr>
          <w:r>
            <w:fldChar w:fldCharType="begin"/>
          </w:r>
          <w:r>
            <w:instrText xml:space="preserve"> HYPERLINK \l _Toc10421 </w:instrText>
          </w:r>
          <w:r>
            <w:fldChar w:fldCharType="separate"/>
          </w:r>
          <w:r>
            <w:rPr>
              <w:rFonts w:hint="eastAsia" w:ascii="Times New Roman" w:hAnsi="Times New Roman" w:eastAsia="宋体"/>
            </w:rPr>
            <w:t>八、政府性基金预算支出情况说明</w:t>
          </w:r>
          <w:r>
            <w:tab/>
          </w:r>
          <w:r>
            <w:fldChar w:fldCharType="begin"/>
          </w:r>
          <w:r>
            <w:instrText xml:space="preserve"> PAGEREF _Toc10421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3"/>
            <w:tabs>
              <w:tab w:val="right" w:leader="dot" w:pos="8306"/>
              <w:tab w:val="clear" w:pos="8296"/>
            </w:tabs>
          </w:pPr>
          <w:r>
            <w:fldChar w:fldCharType="begin"/>
          </w:r>
          <w:r>
            <w:instrText xml:space="preserve"> HYPERLINK \l _Toc6847 </w:instrText>
          </w:r>
          <w:r>
            <w:fldChar w:fldCharType="separate"/>
          </w:r>
          <w:r>
            <w:rPr>
              <w:rFonts w:hint="eastAsia" w:ascii="Times New Roman" w:hAnsi="Times New Roman" w:eastAsia="宋体"/>
            </w:rPr>
            <w:t>九、国有资本经营预算支出情况说明</w:t>
          </w:r>
          <w:r>
            <w:tab/>
          </w:r>
          <w:r>
            <w:fldChar w:fldCharType="begin"/>
          </w:r>
          <w:r>
            <w:instrText xml:space="preserve"> PAGEREF _Toc6847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3"/>
            <w:tabs>
              <w:tab w:val="right" w:leader="dot" w:pos="8306"/>
              <w:tab w:val="clear" w:pos="8296"/>
            </w:tabs>
          </w:pPr>
          <w:r>
            <w:fldChar w:fldCharType="begin"/>
          </w:r>
          <w:r>
            <w:instrText xml:space="preserve"> HYPERLINK \l _Toc15363 </w:instrText>
          </w:r>
          <w:r>
            <w:fldChar w:fldCharType="separate"/>
          </w:r>
          <w:r>
            <w:rPr>
              <w:rFonts w:hint="eastAsia" w:ascii="Times New Roman" w:hAnsi="Times New Roman" w:eastAsia="宋体"/>
            </w:rPr>
            <w:t>十、其他重要事项的情况说明</w:t>
          </w:r>
          <w:r>
            <w:tab/>
          </w:r>
          <w:r>
            <w:fldChar w:fldCharType="begin"/>
          </w:r>
          <w:r>
            <w:instrText xml:space="preserve"> PAGEREF _Toc15363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4"/>
            <w:tabs>
              <w:tab w:val="right" w:leader="dot" w:pos="8306"/>
              <w:tab w:val="clear" w:pos="8296"/>
            </w:tabs>
          </w:pPr>
          <w:r>
            <w:fldChar w:fldCharType="begin"/>
          </w:r>
          <w:r>
            <w:instrText xml:space="preserve"> HYPERLINK \l _Toc27906 </w:instrText>
          </w:r>
          <w:r>
            <w:fldChar w:fldCharType="separate"/>
          </w:r>
          <w:r>
            <w:rPr>
              <w:rFonts w:hint="eastAsia" w:eastAsia="宋体"/>
            </w:rPr>
            <w:t>（一）机关运行经费</w:t>
          </w:r>
          <w:r>
            <w:tab/>
          </w:r>
          <w:r>
            <w:fldChar w:fldCharType="begin"/>
          </w:r>
          <w:r>
            <w:instrText xml:space="preserve"> PAGEREF _Toc27906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4"/>
            <w:tabs>
              <w:tab w:val="right" w:leader="dot" w:pos="8306"/>
              <w:tab w:val="clear" w:pos="8296"/>
            </w:tabs>
          </w:pPr>
          <w:r>
            <w:fldChar w:fldCharType="begin"/>
          </w:r>
          <w:r>
            <w:instrText xml:space="preserve"> HYPERLINK \l _Toc27351 </w:instrText>
          </w:r>
          <w:r>
            <w:fldChar w:fldCharType="separate"/>
          </w:r>
          <w:r>
            <w:rPr>
              <w:rFonts w:hint="eastAsia" w:eastAsia="宋体"/>
            </w:rPr>
            <w:t>（二）政府采购情况</w:t>
          </w:r>
          <w:r>
            <w:tab/>
          </w:r>
          <w:r>
            <w:fldChar w:fldCharType="begin"/>
          </w:r>
          <w:r>
            <w:instrText xml:space="preserve"> PAGEREF _Toc27351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4"/>
            <w:tabs>
              <w:tab w:val="right" w:leader="dot" w:pos="8306"/>
              <w:tab w:val="clear" w:pos="8296"/>
            </w:tabs>
          </w:pPr>
          <w:r>
            <w:fldChar w:fldCharType="begin"/>
          </w:r>
          <w:r>
            <w:instrText xml:space="preserve"> HYPERLINK \l _Toc4434 </w:instrText>
          </w:r>
          <w:r>
            <w:fldChar w:fldCharType="separate"/>
          </w:r>
          <w:r>
            <w:rPr>
              <w:rFonts w:hint="eastAsia" w:eastAsia="宋体"/>
            </w:rPr>
            <w:t>（三）国有资产占有使用情况</w:t>
          </w:r>
          <w:r>
            <w:tab/>
          </w:r>
          <w:r>
            <w:fldChar w:fldCharType="begin"/>
          </w:r>
          <w:r>
            <w:instrText xml:space="preserve"> PAGEREF _Toc4434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4"/>
            <w:tabs>
              <w:tab w:val="right" w:leader="dot" w:pos="8306"/>
              <w:tab w:val="clear" w:pos="8296"/>
            </w:tabs>
          </w:pPr>
          <w:r>
            <w:fldChar w:fldCharType="begin"/>
          </w:r>
          <w:r>
            <w:instrText xml:space="preserve"> HYPERLINK \l _Toc1697 </w:instrText>
          </w:r>
          <w:r>
            <w:fldChar w:fldCharType="separate"/>
          </w:r>
          <w:r>
            <w:rPr>
              <w:rFonts w:hint="eastAsia" w:eastAsia="宋体"/>
            </w:rPr>
            <w:t>（四）绩效目标设置情况</w:t>
          </w:r>
          <w:r>
            <w:tab/>
          </w:r>
          <w:r>
            <w:fldChar w:fldCharType="begin"/>
          </w:r>
          <w:r>
            <w:instrText xml:space="preserve"> PAGEREF _Toc1697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3"/>
            <w:tabs>
              <w:tab w:val="right" w:leader="dot" w:pos="8306"/>
              <w:tab w:val="clear" w:pos="8296"/>
            </w:tabs>
          </w:pPr>
          <w:r>
            <w:fldChar w:fldCharType="begin"/>
          </w:r>
          <w:r>
            <w:instrText xml:space="preserve"> HYPERLINK \l _Toc21091 </w:instrText>
          </w:r>
          <w:r>
            <w:fldChar w:fldCharType="separate"/>
          </w:r>
          <w:r>
            <w:rPr>
              <w:rFonts w:hint="eastAsia" w:ascii="Times New Roman" w:hAnsi="Times New Roman" w:eastAsia="宋体"/>
            </w:rPr>
            <w:t>十一、名词解释</w:t>
          </w:r>
          <w:r>
            <w:tab/>
          </w:r>
          <w:r>
            <w:fldChar w:fldCharType="begin"/>
          </w:r>
          <w:r>
            <w:instrText xml:space="preserve"> PAGEREF _Toc21091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9"/>
            <w:rPr>
              <w:rFonts w:hint="eastAsia" w:ascii="宋体" w:hAnsi="宋体" w:eastAsia="宋体" w:cs="宋体"/>
              <w:i w:val="0"/>
              <w:iCs w:val="0"/>
              <w:caps w:val="0"/>
              <w:color w:val="000000"/>
              <w:spacing w:val="0"/>
              <w:kern w:val="0"/>
              <w:sz w:val="27"/>
              <w:szCs w:val="27"/>
              <w:shd w:val="clear" w:fill="FFFFFF"/>
              <w:lang w:val="en-US" w:eastAsia="zh-CN" w:bidi="ar"/>
            </w:rPr>
          </w:pPr>
          <w:r>
            <w:fldChar w:fldCharType="end"/>
          </w:r>
        </w:p>
      </w:sdtContent>
    </w:sdt>
    <w:p>
      <w:pPr>
        <w:pStyle w:val="9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</w:pPr>
    </w:p>
    <w:p>
      <w:pPr>
        <w:pStyle w:val="9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</w:pPr>
    </w:p>
    <w:p>
      <w:pPr>
        <w:pStyle w:val="4"/>
        <w:bidi w:val="0"/>
        <w:rPr>
          <w:rFonts w:hint="eastAsia"/>
        </w:rPr>
        <w:sectPr>
          <w:head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4"/>
        <w:bidi w:val="0"/>
        <w:rPr>
          <w:rFonts w:hint="eastAsia"/>
        </w:rPr>
      </w:pPr>
      <w:bookmarkStart w:id="0" w:name="_Toc26424"/>
      <w:r>
        <w:rPr>
          <w:rFonts w:hint="eastAsia"/>
        </w:rPr>
        <w:t>一、基本职能及主要工作</w:t>
      </w:r>
      <w:bookmarkEnd w:id="0"/>
    </w:p>
    <w:p>
      <w:pPr>
        <w:pStyle w:val="5"/>
        <w:bidi w:val="0"/>
        <w:rPr>
          <w:rFonts w:hint="eastAsia"/>
        </w:rPr>
      </w:pPr>
      <w:bookmarkStart w:id="1" w:name="_Toc32553"/>
      <w:r>
        <w:rPr>
          <w:rFonts w:hint="eastAsia"/>
        </w:rPr>
        <w:t>（一）职能简介</w:t>
      </w:r>
      <w:bookmarkEnd w:id="1"/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市广播电视台的主要职责是充分发挥广播、电视的舆论宣传作用，广泛宣传党的路线、方针、政策和国家的法律、法规；围绕市委、市政府中心工作，积极开展政治、经济、思想、文化宣传和新闻宣传；负责拟订并组织实施市本级广播电视事业和产业发展规划，推进广播电视事业和产业发展；负责广播电视节目制作、播出工作；负责广播电视新技术和科研成果的推广应用及广播电视制作系统、监播系统的建设管理、维护工作；负责市本级广播电视的播出安全和设施设备的安全防护工作。</w:t>
      </w:r>
    </w:p>
    <w:p>
      <w:pPr>
        <w:pStyle w:val="5"/>
        <w:bidi w:val="0"/>
        <w:ind w:firstLine="1040"/>
        <w:rPr>
          <w:rFonts w:hint="eastAsia" w:eastAsia="宋体"/>
        </w:rPr>
      </w:pPr>
      <w:bookmarkStart w:id="2" w:name="_Toc31804"/>
      <w:r>
        <w:rPr>
          <w:rFonts w:hint="eastAsia" w:eastAsia="宋体"/>
        </w:rPr>
        <w:t>（二）2022年重点工作</w:t>
      </w:r>
      <w:bookmarkEnd w:id="2"/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2022年是党的二十大胜利召开和省第十二次党代会召开的重要之年，是广元市广播电视台媒体融合改革实践之年。市广播电视台将按照“1233”工作思路，贯彻新理念、推进新融合、展示新形象、创造新成就，加快建设川陕甘结合部区域示范性主流媒体，以优异成绩迎接党的二十大胜利召开。</w:t>
      </w: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1.把握一条主线，加强主题宣传报道。把握迎接宣传贯彻党的二十大工作主线，把握节奏节点，把稳方向导向，坚持稳中求进、守正创新、敢于斗争主基调，弘扬主旋律、唱响最强音、打好主动仗、守好主阵地，加快广播电视和网络视听高质量创新性发展，为党和国家工作大局提供舆论支持和精神力量。</w:t>
      </w: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2.巩固两大成果，持续加强党的建设。突出“两个确立”的决定性意义，继续巩固党史学习教育成果，持续抓实干部纪律作风整顿和“以案促改”工作。全面重塑政治生态，打造过硬干部队伍，严格落实意识形态工作责任制，把好关口、管好阵地，确保意识形态领域绝对安全。</w:t>
      </w: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3.实施三项改革，推进改革落地见效。实施机构设置改革，优化工作流程，激发人才活力，聚合团队合力；实行绩效工资制度，在绩效工资总额内，体现“多劳多得、优劳多得”原则，充分调动各方面积极性；推进文化生活频道建设，抓好方案实施，创建群众喜闻乐见的栏目节目，以“5+2”栏目架构支撑对外合作区块设置，实现内容生产与经营合作互促，社会效益与经济效益双赢。</w:t>
      </w: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4.建设三大工程，增强媒体融合动能。大力实施综合演播室集成项目，4K高清转播车项目等制播能力强基工程；强力推进《山海携手》《从大运河到大蜀道》等系列精品创优工程；大力开展以经营中心为基础，以“5+2”合作为路径的发展动力储能工程。</w:t>
      </w:r>
    </w:p>
    <w:p>
      <w:pPr>
        <w:pStyle w:val="4"/>
        <w:bidi w:val="0"/>
        <w:rPr>
          <w:rFonts w:hint="eastAsia" w:ascii="Times New Roman" w:hAnsi="Times New Roman" w:eastAsia="宋体"/>
        </w:rPr>
      </w:pPr>
      <w:bookmarkStart w:id="3" w:name="_Toc15361"/>
      <w:r>
        <w:rPr>
          <w:rFonts w:hint="eastAsia" w:ascii="Times New Roman" w:hAnsi="Times New Roman" w:eastAsia="宋体"/>
        </w:rPr>
        <w:t>二、部门预算单位构成</w:t>
      </w:r>
      <w:bookmarkEnd w:id="3"/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广元市广播电视台部门无下属二级预算单位。</w:t>
      </w:r>
    </w:p>
    <w:p>
      <w:pPr>
        <w:pStyle w:val="4"/>
        <w:bidi w:val="0"/>
        <w:rPr>
          <w:rFonts w:hint="eastAsia" w:ascii="Times New Roman" w:hAnsi="Times New Roman" w:eastAsia="宋体"/>
        </w:rPr>
      </w:pPr>
      <w:bookmarkStart w:id="4" w:name="_Toc1701"/>
      <w:r>
        <w:rPr>
          <w:rFonts w:hint="eastAsia" w:ascii="Times New Roman" w:hAnsi="Times New Roman" w:eastAsia="宋体"/>
        </w:rPr>
        <w:t>三、收支预算情况说明</w:t>
      </w:r>
      <w:bookmarkEnd w:id="4"/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按照综合预算的原则，广元市广播电视台单位所有收入和支出均纳入部门预算管理。收入包括：一般公共预算拨款收入、上年结转；支出包括：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文化旅游体育与传媒支出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、社会保障和就业支出、卫生健康支出、住房保障支出。广元市广播电视台2022年收支总预算3628.88万元,比2021年收支预算总数减少239.62万元，扣除上年结转资金、一次性安排等因素后，同口径减少290.9万元，主要原因是我台由于经营状况不佳，收入减少，导致人员流失，人员减少，相应的支出也随之减少。</w:t>
      </w:r>
    </w:p>
    <w:p>
      <w:pPr>
        <w:pStyle w:val="5"/>
        <w:bidi w:val="0"/>
        <w:ind w:firstLine="1040"/>
        <w:rPr>
          <w:rFonts w:hint="eastAsia" w:eastAsia="宋体"/>
        </w:rPr>
      </w:pPr>
      <w:bookmarkStart w:id="5" w:name="_Toc15375"/>
      <w:r>
        <w:rPr>
          <w:rFonts w:hint="eastAsia" w:eastAsia="宋体"/>
        </w:rPr>
        <w:t>（一）收入预算情况</w:t>
      </w:r>
      <w:bookmarkEnd w:id="5"/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2022年收入预算3628.88万元，其中：上年结转718.09万元，占19.79%；一般公共预算拨款收入2910.79万元，占80.21%。</w:t>
      </w:r>
    </w:p>
    <w:p>
      <w:pPr>
        <w:pStyle w:val="5"/>
        <w:bidi w:val="0"/>
        <w:ind w:firstLine="1040"/>
        <w:rPr>
          <w:rFonts w:hint="eastAsia" w:eastAsia="宋体"/>
        </w:rPr>
      </w:pPr>
      <w:bookmarkStart w:id="6" w:name="_Toc573"/>
      <w:r>
        <w:rPr>
          <w:rFonts w:hint="eastAsia" w:eastAsia="宋体"/>
        </w:rPr>
        <w:t>（二）支出预算情况</w:t>
      </w:r>
      <w:bookmarkEnd w:id="6"/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2022年支出预算3628.88万元，其中：基本支出1555.65万元，占42.87%；项目支出2073.23万元，占57.13%。</w:t>
      </w:r>
    </w:p>
    <w:p>
      <w:pPr>
        <w:pStyle w:val="4"/>
        <w:bidi w:val="0"/>
        <w:rPr>
          <w:rFonts w:hint="eastAsia" w:ascii="Times New Roman" w:hAnsi="Times New Roman" w:eastAsia="宋体"/>
        </w:rPr>
      </w:pPr>
      <w:bookmarkStart w:id="7" w:name="_Toc18722"/>
      <w:r>
        <w:rPr>
          <w:rFonts w:hint="eastAsia" w:ascii="Times New Roman" w:hAnsi="Times New Roman" w:eastAsia="宋体"/>
        </w:rPr>
        <w:t>四、财政拨款收支预算情况说明</w:t>
      </w:r>
      <w:bookmarkEnd w:id="7"/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2022年财政拨款收支总预算3628.88万元,比2021年财政拨款收支总预算减少239.62万元，扣除上年结转资金、一次性安排等因素后，同口径减少290.9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万元，主要原因是我台由于经营状况不佳，收入减少，导致人员流失，人员减少，相应的支出也随之减少。</w:t>
      </w: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收入包括：本年一般公共预算拨款收入2910.79万元、上年结转一般公共预算拨款收入718.09万元；支出包括：文化旅游体育与传媒支出3305.95万元、社会保障和就业支出126.21万元、卫生健康支出62.34万元、住房保障支出134.38万元。</w:t>
      </w:r>
    </w:p>
    <w:p>
      <w:pPr>
        <w:pStyle w:val="4"/>
        <w:bidi w:val="0"/>
        <w:rPr>
          <w:rFonts w:hint="eastAsia" w:ascii="Times New Roman" w:hAnsi="Times New Roman" w:eastAsia="宋体"/>
        </w:rPr>
      </w:pPr>
      <w:bookmarkStart w:id="8" w:name="_Toc538"/>
      <w:r>
        <w:rPr>
          <w:rFonts w:hint="eastAsia" w:ascii="Times New Roman" w:hAnsi="Times New Roman" w:eastAsia="宋体"/>
        </w:rPr>
        <w:t>五、一般公共预算当年拨款情况说明</w:t>
      </w:r>
      <w:bookmarkEnd w:id="8"/>
    </w:p>
    <w:p>
      <w:pPr>
        <w:pStyle w:val="5"/>
        <w:bidi w:val="0"/>
        <w:ind w:firstLine="1040"/>
        <w:rPr>
          <w:rFonts w:hint="eastAsia" w:eastAsia="宋体"/>
        </w:rPr>
      </w:pPr>
      <w:bookmarkStart w:id="9" w:name="_Toc24684"/>
      <w:r>
        <w:rPr>
          <w:rFonts w:hint="eastAsia" w:eastAsia="宋体"/>
        </w:rPr>
        <w:t>（一）一般公共预算当年拨款规模变化情况</w:t>
      </w:r>
      <w:bookmarkEnd w:id="9"/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2022年一般公共预算当年拨款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2910.79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万元，比2021年预算数减少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290.90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万元，主要原因是我台由于经营状况不佳，收入减少，导致人员流失，人员减少，相应的支出也随之减少。</w:t>
      </w:r>
    </w:p>
    <w:p>
      <w:pPr>
        <w:pStyle w:val="5"/>
        <w:bidi w:val="0"/>
        <w:ind w:firstLine="1040"/>
        <w:rPr>
          <w:rFonts w:hint="eastAsia" w:eastAsia="宋体"/>
        </w:rPr>
      </w:pPr>
      <w:bookmarkStart w:id="10" w:name="_Toc21299"/>
      <w:r>
        <w:rPr>
          <w:rFonts w:hint="eastAsia" w:eastAsia="宋体"/>
        </w:rPr>
        <w:t>（二）一般公共预算当年拨款结构情况</w:t>
      </w:r>
      <w:bookmarkEnd w:id="10"/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文化旅游体育与传媒支出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2587.86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万元，占91.1%；社会保障和就业支出126.21万元，占3.48%；卫生健康支出62.34万元，占1.72%；住房保障支出134.38万元，占3.7%。</w:t>
      </w:r>
    </w:p>
    <w:p>
      <w:pPr>
        <w:pStyle w:val="5"/>
        <w:bidi w:val="0"/>
        <w:ind w:firstLine="1040"/>
        <w:rPr>
          <w:rFonts w:hint="eastAsia" w:eastAsia="宋体"/>
        </w:rPr>
      </w:pPr>
      <w:bookmarkStart w:id="11" w:name="_Toc5463"/>
      <w:r>
        <w:rPr>
          <w:rFonts w:hint="eastAsia" w:eastAsia="宋体"/>
        </w:rPr>
        <w:t>（三）一般公共预算当年拨款具体使用情况</w:t>
      </w:r>
      <w:bookmarkEnd w:id="11"/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1.文化旅游体育与传媒（类）广播电视（款）电视（项）:2022年预算数为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2587.86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万元，主要用于：部门人员工资福利支出、商品和服务支出、资本性支出及对个人和家庭补助。</w:t>
      </w: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2.社会保障和就业（类）行政事业单位养老支出（款）事业单位离退休（项）：2022年预算数为1.53万元，主要用于：部门离退休人员经费支出。</w:t>
      </w: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3.社会保障和就业（类）行政事业单位养老支出（款）机关事业单位基本养老保险缴费支出（项）：2022年预算数为124.68万元，主要用于：实施养老保险制度由单位缴纳的基本养老保险支出。</w:t>
      </w: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4.卫生健康（类）行政事业单位医疗（款）事业单位医疗（项）：2022年预算数为62.34万元，主要用于：按规定由单位缴纳的基本医疗保险支出。</w:t>
      </w: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5.住房保障（类）住房改革支出（款）住房公积金（项）：2022年预算数为134.38万元，主要用于：部门按规定为职工缴纳的住房公积金支出。</w:t>
      </w:r>
    </w:p>
    <w:p>
      <w:pPr>
        <w:pStyle w:val="4"/>
        <w:bidi w:val="0"/>
        <w:rPr>
          <w:rFonts w:hint="eastAsia" w:ascii="Times New Roman" w:hAnsi="Times New Roman" w:eastAsia="宋体"/>
        </w:rPr>
      </w:pPr>
      <w:bookmarkStart w:id="12" w:name="_Toc29810"/>
      <w:r>
        <w:rPr>
          <w:rFonts w:hint="eastAsia" w:ascii="Times New Roman" w:hAnsi="Times New Roman" w:eastAsia="宋体"/>
        </w:rPr>
        <w:t>六、一般公共预算基本支出情况说明</w:t>
      </w:r>
      <w:bookmarkEnd w:id="12"/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2022年一般公共预算基本支出1555.65万元，其中：人员经费1386.38万元，主要包括：基本工资、津贴补贴、奖金、绩效工资、社会保险缴费、住房公积金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、生活补助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等支出。</w:t>
      </w: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公用经费169.27万元，主要包括：办公费、印刷费、电费、邮电费、物业管理费、差旅费、维修（护）费、会议费、公务接待费、专用材料费、劳务费、工会经费、福利费、公务用车运行维护费、其他商品和服务支出等支出。</w:t>
      </w:r>
    </w:p>
    <w:p>
      <w:pPr>
        <w:pStyle w:val="4"/>
        <w:bidi w:val="0"/>
        <w:rPr>
          <w:rFonts w:hint="eastAsia" w:ascii="Times New Roman" w:hAnsi="Times New Roman" w:eastAsia="宋体"/>
        </w:rPr>
      </w:pPr>
      <w:bookmarkStart w:id="13" w:name="_Toc18364"/>
      <w:r>
        <w:rPr>
          <w:rFonts w:hint="eastAsia" w:ascii="Times New Roman" w:hAnsi="Times New Roman" w:eastAsia="宋体"/>
        </w:rPr>
        <w:t>七、“三公”经费财政拨款预算安排情况说明</w:t>
      </w:r>
      <w:bookmarkEnd w:id="13"/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2022年“三公”经费财政拨款预算数19万元，其中：公务接待费2万元，公务用车购置及运行维护费17万元，因公出国（境）经费0万元。</w:t>
      </w: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2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bookmarkStart w:id="14" w:name="_Toc6265"/>
      <w:r>
        <w:rPr>
          <w:rStyle w:val="21"/>
          <w:rFonts w:hint="eastAsia"/>
          <w:lang w:val="en-US" w:eastAsia="zh-CN"/>
        </w:rPr>
        <w:t>（一）公务接待费较2021年预算下降1万元</w:t>
      </w:r>
      <w:r>
        <w:rPr>
          <w:rStyle w:val="21"/>
          <w:rFonts w:hint="eastAsia"/>
          <w:lang w:eastAsia="zh-CN"/>
        </w:rPr>
        <w:t>。</w:t>
      </w:r>
      <w:bookmarkEnd w:id="14"/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主要原因是严格压缩机关经费支出，减少公务接待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。</w:t>
      </w: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2022年安排公务接待费2万元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计划用于接待考察调研、检查指导等公务活动用餐费等。</w:t>
      </w:r>
    </w:p>
    <w:p>
      <w:pPr>
        <w:pStyle w:val="5"/>
        <w:bidi w:val="0"/>
        <w:ind w:firstLine="1040"/>
        <w:rPr>
          <w:rFonts w:hint="eastAsia" w:eastAsia="宋体"/>
        </w:rPr>
      </w:pPr>
      <w:bookmarkStart w:id="15" w:name="_Toc12579"/>
      <w:r>
        <w:rPr>
          <w:rFonts w:hint="eastAsia" w:eastAsia="宋体"/>
        </w:rPr>
        <w:t>（二）公务用车购置及运行维护费与2021年预算持平。</w:t>
      </w:r>
      <w:bookmarkEnd w:id="15"/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单位现有公务用车3辆，其中：轿车2辆，越野车1辆。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80" w:lineRule="atLeast"/>
        <w:ind w:left="0" w:right="0" w:firstLine="668"/>
        <w:jc w:val="both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2022年安排公务用车购置费0万元，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2022年无公务用车购置计划。</w:t>
      </w: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公务用车运行维护费17万元，与2021年预算持平，用于3辆公务用车燃油、过路（桥）、维修、保险等方面支出，主要保障全台一年的各种采访工作，各种行政事务办理以及各项大型活动的录直播工作。</w:t>
      </w:r>
    </w:p>
    <w:p>
      <w:pPr>
        <w:pStyle w:val="5"/>
        <w:bidi w:val="0"/>
        <w:ind w:firstLine="1040"/>
        <w:rPr>
          <w:rFonts w:hint="eastAsia" w:eastAsia="宋体"/>
        </w:rPr>
      </w:pPr>
      <w:bookmarkStart w:id="16" w:name="_Toc18039"/>
      <w:r>
        <w:rPr>
          <w:rFonts w:hint="eastAsia" w:eastAsia="宋体"/>
        </w:rPr>
        <w:t>（三）因公出国（境）经费与2021年持平。</w:t>
      </w:r>
      <w:bookmarkEnd w:id="16"/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2022年安排因公出国（境）经费0万元。</w:t>
      </w:r>
    </w:p>
    <w:p>
      <w:pPr>
        <w:pStyle w:val="4"/>
        <w:bidi w:val="0"/>
        <w:rPr>
          <w:rFonts w:hint="eastAsia" w:ascii="Times New Roman" w:hAnsi="Times New Roman" w:eastAsia="宋体"/>
        </w:rPr>
      </w:pPr>
      <w:bookmarkStart w:id="17" w:name="_Toc10421"/>
      <w:r>
        <w:rPr>
          <w:rFonts w:hint="eastAsia" w:ascii="Times New Roman" w:hAnsi="Times New Roman" w:eastAsia="宋体"/>
        </w:rPr>
        <w:t>八、政府性基金预算支出情况说明</w:t>
      </w:r>
      <w:bookmarkEnd w:id="17"/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广元市广播电视台2022年没有使用政府性基金预算拨款安排的支出。</w:t>
      </w:r>
    </w:p>
    <w:p>
      <w:pPr>
        <w:pStyle w:val="4"/>
        <w:bidi w:val="0"/>
        <w:rPr>
          <w:rFonts w:hint="eastAsia" w:ascii="Times New Roman" w:hAnsi="Times New Roman" w:eastAsia="宋体"/>
        </w:rPr>
      </w:pPr>
      <w:bookmarkStart w:id="18" w:name="_Toc6847"/>
      <w:r>
        <w:rPr>
          <w:rFonts w:hint="eastAsia" w:ascii="Times New Roman" w:hAnsi="Times New Roman" w:eastAsia="宋体"/>
        </w:rPr>
        <w:t>九、国有资本经营预算支出情况说明</w:t>
      </w:r>
      <w:bookmarkEnd w:id="18"/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广元市广播电视台2022年没有使用国有资本经营预算拨款安排的支出。</w:t>
      </w:r>
    </w:p>
    <w:p>
      <w:pPr>
        <w:pStyle w:val="4"/>
        <w:bidi w:val="0"/>
        <w:rPr>
          <w:rFonts w:hint="eastAsia" w:ascii="Times New Roman" w:hAnsi="Times New Roman" w:eastAsia="宋体"/>
        </w:rPr>
      </w:pPr>
      <w:bookmarkStart w:id="19" w:name="_Toc15363"/>
      <w:r>
        <w:rPr>
          <w:rFonts w:hint="eastAsia" w:ascii="Times New Roman" w:hAnsi="Times New Roman" w:eastAsia="宋体"/>
        </w:rPr>
        <w:t>十、其他重要事项的情况说明</w:t>
      </w:r>
      <w:bookmarkEnd w:id="19"/>
    </w:p>
    <w:p>
      <w:pPr>
        <w:pStyle w:val="5"/>
        <w:bidi w:val="0"/>
        <w:ind w:firstLine="1040"/>
        <w:rPr>
          <w:rFonts w:hint="eastAsia" w:eastAsia="宋体"/>
        </w:rPr>
      </w:pPr>
      <w:bookmarkStart w:id="20" w:name="_Toc27906"/>
      <w:r>
        <w:rPr>
          <w:rFonts w:hint="eastAsia" w:eastAsia="宋体"/>
        </w:rPr>
        <w:t>（一）机关运行经费</w:t>
      </w:r>
      <w:bookmarkEnd w:id="20"/>
    </w:p>
    <w:p>
      <w:pPr>
        <w:bidi w:val="0"/>
        <w:ind w:firstLine="640" w:firstLineChars="20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2022年，广元市广播电视台的机关运行经费为0万元。</w:t>
      </w:r>
    </w:p>
    <w:p>
      <w:pPr>
        <w:pStyle w:val="5"/>
        <w:bidi w:val="0"/>
        <w:ind w:firstLine="1040"/>
        <w:rPr>
          <w:rFonts w:hint="eastAsia" w:eastAsia="宋体"/>
        </w:rPr>
      </w:pPr>
      <w:bookmarkStart w:id="21" w:name="_Toc27351"/>
      <w:r>
        <w:rPr>
          <w:rFonts w:hint="eastAsia" w:eastAsia="宋体"/>
        </w:rPr>
        <w:t>（二）政府采购情况</w:t>
      </w:r>
      <w:bookmarkEnd w:id="21"/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2022年，广元市广播电视台安排政府采购预算96万元，主要用于购买文化流动车、日常办公设备及用品等。</w:t>
      </w:r>
    </w:p>
    <w:p>
      <w:pPr>
        <w:pStyle w:val="5"/>
        <w:bidi w:val="0"/>
        <w:ind w:firstLine="1040"/>
        <w:rPr>
          <w:rFonts w:hint="eastAsia" w:eastAsia="宋体"/>
        </w:rPr>
      </w:pPr>
      <w:bookmarkStart w:id="22" w:name="_Toc4434"/>
      <w:r>
        <w:rPr>
          <w:rFonts w:hint="eastAsia" w:eastAsia="宋体"/>
        </w:rPr>
        <w:t>（三）国有资产占有使用情况</w:t>
      </w:r>
      <w:bookmarkEnd w:id="22"/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截至2021年底，广元市广播电视台共有车辆3辆。单位价值50万元以上大型设备3套，单位价值100万元以上大型设备3套。</w:t>
      </w:r>
    </w:p>
    <w:p>
      <w:pPr>
        <w:pStyle w:val="5"/>
        <w:bidi w:val="0"/>
        <w:ind w:firstLine="1040"/>
        <w:rPr>
          <w:rFonts w:hint="eastAsia" w:eastAsia="宋体"/>
        </w:rPr>
      </w:pPr>
      <w:bookmarkStart w:id="23" w:name="_Toc1697"/>
      <w:r>
        <w:rPr>
          <w:rFonts w:hint="eastAsia" w:eastAsia="宋体"/>
        </w:rPr>
        <w:t>（四）绩效目标设置情况</w:t>
      </w:r>
      <w:bookmarkEnd w:id="23"/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绩效目标是预算编制的前提和基础，2022年广元市广播电视台单位部门预算项目均按要求编制了绩效目标,从项目完成、项目效益、满意度等方面设置了绩效指标，综合反映项目预期完成的数量、成本、时效、质量，预期达到的社会效益、经济效益、生态效益、可持续影响以及服务对象满意度等情况。</w:t>
      </w:r>
    </w:p>
    <w:p>
      <w:pPr>
        <w:pStyle w:val="4"/>
        <w:bidi w:val="0"/>
        <w:rPr>
          <w:rFonts w:hint="eastAsia" w:ascii="Times New Roman" w:hAnsi="Times New Roman" w:eastAsia="宋体"/>
        </w:rPr>
      </w:pPr>
      <w:bookmarkStart w:id="24" w:name="_Toc21091"/>
      <w:r>
        <w:rPr>
          <w:rFonts w:hint="eastAsia" w:ascii="Times New Roman" w:hAnsi="Times New Roman" w:eastAsia="宋体"/>
        </w:rPr>
        <w:t>十一、名词解释</w:t>
      </w:r>
      <w:bookmarkEnd w:id="24"/>
    </w:p>
    <w:p>
      <w:pPr>
        <w:bidi w:val="0"/>
        <w:ind w:firstLine="640" w:firstLineChars="20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（一）一般公共预算拨款收入：指市级财政当年拨付的资金。</w:t>
      </w: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（二）上年结转：指以前年度尚未完成，结转到本年仍按原规定用途继续使用的资金。</w:t>
      </w: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（三）文化旅游体育与传媒支出（类）广播电视（款）广播电视事务（项）：指用于保障市广播电视台正常运行、开展日常工作的支出。</w:t>
      </w: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（四）社会保障和就业（类）行政事业单位养老支出（款）事业单位离退休（项）：指事业单位离退休人员的支出。</w:t>
      </w: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（五）社会保障和就业（类）行政事业单位养老支出（款）机关事业单位基本养老保险缴费支出（项）：指部门实施养老保险制度由单位缴纳的养老保险的支出。</w:t>
      </w: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（六）卫生健康（类）行政事业单位医疗（款）事业单位医疗（项）：指事业单位用于单位应缴纳基本医疗保险支出。</w:t>
      </w: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（七）住房保障（类）住房改革支出（款）住房公积金（项）：指按照《住房公积金管理条例》的规定，由单位及其在职职工缴存的长期住房储金。</w:t>
      </w: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（八）基本支出：指为保证机构正常运转，完成日常工作任务而发生的人员支出和公用支出。</w:t>
      </w: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（九）项目支出：指在基本支出之外为完成特定事业发展目标所发生的支出。</w:t>
      </w: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（十）“三公”经费：纳入财政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局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预算管理的“三公”经费，是指部门用财政拨款安排的因公出国（境）费、公务用车购置及运行费和公务接待费。其中，因公出国（境）费反映单位公务出国（境）的国际旅费、国外城市间交通费、住宿费、伙食费、培训费、公杂费等支出；公务用车购置及运行费反映单位公务用车车辆购置支出（含车辆购置税）及租用费、燃料费、维修费、过路过桥费、保险费等支出；公务接待费反映单位按规定开支的各类公务接待（含外宾接待）支出。</w:t>
      </w:r>
      <w:bookmarkStart w:id="25" w:name="_GoBack"/>
      <w:bookmarkEnd w:id="25"/>
    </w:p>
    <w:p>
      <w:pPr>
        <w:rPr>
          <w:rFonts w:hint="eastAsia" w:ascii="宋体" w:hAnsi="宋体" w:eastAsia="宋体" w:cs="宋体"/>
          <w:sz w:val="32"/>
          <w:szCs w:val="32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FB" w:usb2="0000002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Lucida Sans"/>
    <w:panose1 w:val="020F0302020204030204"/>
    <w:charset w:val="00"/>
    <w:family w:val="auto"/>
    <w:pitch w:val="default"/>
    <w:sig w:usb0="00000000" w:usb1="00000000" w:usb2="00000009" w:usb3="00000000" w:csb0="200001FF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zMTU5NmIzMTdiYjAyM2ZjZDg3NzBhMmYyNDA5MDUifQ=="/>
  </w:docVars>
  <w:rsids>
    <w:rsidRoot w:val="0C110570"/>
    <w:rsid w:val="032D6BB2"/>
    <w:rsid w:val="034F45E8"/>
    <w:rsid w:val="03CE6E4F"/>
    <w:rsid w:val="03F85497"/>
    <w:rsid w:val="0581705E"/>
    <w:rsid w:val="06D974B5"/>
    <w:rsid w:val="07B035F3"/>
    <w:rsid w:val="0A6C26A3"/>
    <w:rsid w:val="0C110570"/>
    <w:rsid w:val="0C175FAD"/>
    <w:rsid w:val="0F3338E7"/>
    <w:rsid w:val="0F717592"/>
    <w:rsid w:val="14276FAA"/>
    <w:rsid w:val="1680003B"/>
    <w:rsid w:val="180E1763"/>
    <w:rsid w:val="1D4D000A"/>
    <w:rsid w:val="1F1072F4"/>
    <w:rsid w:val="21686D75"/>
    <w:rsid w:val="2319085F"/>
    <w:rsid w:val="24C460DD"/>
    <w:rsid w:val="28F31788"/>
    <w:rsid w:val="2C3E14D2"/>
    <w:rsid w:val="2FF23A3E"/>
    <w:rsid w:val="326F2897"/>
    <w:rsid w:val="381B0816"/>
    <w:rsid w:val="382573AA"/>
    <w:rsid w:val="3A6E103D"/>
    <w:rsid w:val="3D9F7103"/>
    <w:rsid w:val="3FD7767B"/>
    <w:rsid w:val="407A0D79"/>
    <w:rsid w:val="41623C68"/>
    <w:rsid w:val="41AC44C7"/>
    <w:rsid w:val="42E40ACD"/>
    <w:rsid w:val="43F6617F"/>
    <w:rsid w:val="457C4FFA"/>
    <w:rsid w:val="4588047C"/>
    <w:rsid w:val="48183F86"/>
    <w:rsid w:val="4A4F28BD"/>
    <w:rsid w:val="4D8D0532"/>
    <w:rsid w:val="516E706D"/>
    <w:rsid w:val="523C5F0E"/>
    <w:rsid w:val="57C33EC0"/>
    <w:rsid w:val="5A05290E"/>
    <w:rsid w:val="5C4F00C8"/>
    <w:rsid w:val="5E392379"/>
    <w:rsid w:val="67EA6F51"/>
    <w:rsid w:val="681E0BBB"/>
    <w:rsid w:val="6DEF1EE4"/>
    <w:rsid w:val="75254B9A"/>
    <w:rsid w:val="75C87222"/>
    <w:rsid w:val="78AB2924"/>
    <w:rsid w:val="79402C21"/>
    <w:rsid w:val="7AEC5242"/>
    <w:rsid w:val="7E434D90"/>
    <w:rsid w:val="7F082C59"/>
    <w:rsid w:val="7FE26C25"/>
    <w:rsid w:val="7FE910FD"/>
    <w:rsid w:val="FB7F9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Times New Roman" w:cs="宋体"/>
      <w:kern w:val="2"/>
      <w:sz w:val="24"/>
      <w:szCs w:val="22"/>
      <w:lang w:val="en-US" w:eastAsia="zh-CN" w:bidi="ar-SA"/>
    </w:rPr>
  </w:style>
  <w:style w:type="paragraph" w:styleId="4">
    <w:name w:val="heading 1"/>
    <w:basedOn w:val="1"/>
    <w:next w:val="1"/>
    <w:link w:val="22"/>
    <w:qFormat/>
    <w:uiPriority w:val="0"/>
    <w:pPr>
      <w:keepNext/>
      <w:keepLines/>
      <w:adjustRightInd w:val="0"/>
      <w:snapToGrid w:val="0"/>
      <w:spacing w:line="360" w:lineRule="auto"/>
      <w:ind w:firstLine="1040" w:firstLineChars="200"/>
      <w:outlineLvl w:val="0"/>
    </w:pPr>
    <w:rPr>
      <w:rFonts w:ascii="Times New Roman" w:hAnsi="Times New Roman" w:eastAsia="宋体" w:cs="Times New Roman"/>
      <w:b/>
      <w:bCs/>
      <w:color w:val="auto"/>
      <w:kern w:val="44"/>
      <w:sz w:val="32"/>
      <w:szCs w:val="44"/>
    </w:rPr>
  </w:style>
  <w:style w:type="paragraph" w:styleId="5">
    <w:name w:val="heading 2"/>
    <w:basedOn w:val="1"/>
    <w:next w:val="1"/>
    <w:link w:val="21"/>
    <w:unhideWhenUsed/>
    <w:qFormat/>
    <w:uiPriority w:val="0"/>
    <w:pPr>
      <w:keepNext/>
      <w:keepLines/>
      <w:spacing w:line="360" w:lineRule="auto"/>
      <w:ind w:firstLine="1040" w:firstLineChars="200"/>
      <w:outlineLvl w:val="1"/>
    </w:pPr>
    <w:rPr>
      <w:rFonts w:eastAsia="宋体" w:asciiTheme="majorAscii" w:hAnsiTheme="majorAscii" w:cstheme="majorBidi"/>
      <w:b/>
      <w:bCs/>
      <w:color w:val="auto"/>
      <w:sz w:val="32"/>
      <w:szCs w:val="32"/>
    </w:rPr>
  </w:style>
  <w:style w:type="paragraph" w:styleId="6">
    <w:name w:val="heading 3"/>
    <w:basedOn w:val="1"/>
    <w:next w:val="1"/>
    <w:link w:val="20"/>
    <w:unhideWhenUsed/>
    <w:qFormat/>
    <w:uiPriority w:val="0"/>
    <w:pPr>
      <w:keepNext/>
      <w:keepLines/>
      <w:spacing w:line="360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paragraph" w:styleId="7">
    <w:name w:val="heading 4"/>
    <w:basedOn w:val="1"/>
    <w:next w:val="1"/>
    <w:link w:val="23"/>
    <w:semiHidden/>
    <w:unhideWhenUsed/>
    <w:qFormat/>
    <w:uiPriority w:val="0"/>
    <w:pPr>
      <w:keepNext/>
      <w:keepLines/>
      <w:spacing w:line="360" w:lineRule="auto"/>
      <w:outlineLvl w:val="3"/>
    </w:pPr>
    <w:rPr>
      <w:rFonts w:ascii="Times New Roman" w:hAnsi="Times New Roman" w:eastAsia="宋体" w:cs="Times New Roman"/>
      <w:b/>
      <w:bCs/>
      <w:sz w:val="24"/>
      <w:szCs w:val="28"/>
    </w:rPr>
  </w:style>
  <w:style w:type="character" w:default="1" w:styleId="17">
    <w:name w:val="Default Paragraph Font"/>
    <w:link w:val="18"/>
    <w:unhideWhenUsed/>
    <w:qFormat/>
    <w:uiPriority w:val="1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rFonts w:ascii="Calibri" w:hAnsi="Calibri" w:eastAsia="宋体" w:cs="Times New Roman"/>
    </w:rPr>
  </w:style>
  <w:style w:type="paragraph" w:styleId="3">
    <w:name w:val="Body Text Indent"/>
    <w:basedOn w:val="1"/>
    <w:qFormat/>
    <w:uiPriority w:val="99"/>
    <w:pPr>
      <w:spacing w:line="360" w:lineRule="auto"/>
      <w:ind w:firstLine="358" w:firstLineChars="128"/>
    </w:pPr>
    <w:rPr>
      <w:kern w:val="0"/>
      <w:sz w:val="24"/>
    </w:rPr>
  </w:style>
  <w:style w:type="paragraph" w:styleId="8">
    <w:name w:val="Document Map"/>
    <w:basedOn w:val="1"/>
    <w:qFormat/>
    <w:uiPriority w:val="99"/>
    <w:rPr>
      <w:rFonts w:ascii="Times New Roman"/>
      <w:sz w:val="18"/>
      <w:szCs w:val="18"/>
    </w:rPr>
  </w:style>
  <w:style w:type="paragraph" w:styleId="9">
    <w:name w:val="Body Text"/>
    <w:basedOn w:val="1"/>
    <w:qFormat/>
    <w:uiPriority w:val="0"/>
    <w:pPr>
      <w:autoSpaceDE w:val="0"/>
      <w:autoSpaceDN w:val="0"/>
      <w:adjustRightInd w:val="0"/>
      <w:ind w:left="120"/>
      <w:jc w:val="left"/>
    </w:pPr>
    <w:rPr>
      <w:rFonts w:ascii="Times New Roman" w:hAnsi="宋体" w:cs="Times New Roman"/>
      <w:kern w:val="0"/>
      <w:sz w:val="24"/>
      <w:szCs w:val="24"/>
    </w:rPr>
  </w:style>
  <w:style w:type="paragraph" w:styleId="10">
    <w:name w:val="toc 3"/>
    <w:basedOn w:val="1"/>
    <w:next w:val="1"/>
    <w:qFormat/>
    <w:uiPriority w:val="0"/>
    <w:pPr>
      <w:tabs>
        <w:tab w:val="right" w:leader="dot" w:pos="8296"/>
      </w:tabs>
      <w:spacing w:line="360" w:lineRule="auto"/>
      <w:ind w:left="840" w:leftChars="400"/>
    </w:pPr>
    <w:rPr>
      <w:rFonts w:ascii="Times New Roman" w:hAnsi="Times New Roman" w:eastAsia="仿宋" w:cs="Times New Roman"/>
      <w:sz w:val="24"/>
      <w:szCs w:val="24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20"/>
    </w:rPr>
  </w:style>
  <w:style w:type="paragraph" w:styleId="13">
    <w:name w:val="toc 1"/>
    <w:basedOn w:val="1"/>
    <w:next w:val="1"/>
    <w:qFormat/>
    <w:uiPriority w:val="0"/>
    <w:pPr>
      <w:tabs>
        <w:tab w:val="right" w:leader="dot" w:pos="8296"/>
      </w:tabs>
      <w:spacing w:line="360" w:lineRule="auto"/>
      <w:jc w:val="center"/>
    </w:pPr>
    <w:rPr>
      <w:rFonts w:ascii="仿宋" w:hAnsi="仿宋" w:eastAsia="仿宋" w:cs="Times New Roman"/>
      <w:sz w:val="24"/>
      <w:szCs w:val="28"/>
    </w:rPr>
  </w:style>
  <w:style w:type="paragraph" w:styleId="14">
    <w:name w:val="toc 2"/>
    <w:basedOn w:val="1"/>
    <w:next w:val="1"/>
    <w:qFormat/>
    <w:uiPriority w:val="0"/>
    <w:pPr>
      <w:tabs>
        <w:tab w:val="right" w:leader="dot" w:pos="8296"/>
      </w:tabs>
      <w:spacing w:line="360" w:lineRule="auto"/>
      <w:ind w:left="420" w:leftChars="200"/>
    </w:pPr>
    <w:rPr>
      <w:rFonts w:ascii="Times New Roman" w:hAnsi="Times New Roman" w:eastAsia="仿宋" w:cs="Times New Roman"/>
      <w:sz w:val="24"/>
      <w:szCs w:val="24"/>
    </w:rPr>
  </w:style>
  <w:style w:type="paragraph" w:styleId="1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18">
    <w:name w:val="_Style 81"/>
    <w:basedOn w:val="8"/>
    <w:link w:val="17"/>
    <w:qFormat/>
    <w:uiPriority w:val="0"/>
    <w:rPr>
      <w:szCs w:val="24"/>
    </w:rPr>
  </w:style>
  <w:style w:type="paragraph" w:customStyle="1" w:styleId="19">
    <w:name w:val="_Style 8"/>
    <w:basedOn w:val="8"/>
    <w:link w:val="17"/>
    <w:qFormat/>
    <w:uiPriority w:val="0"/>
    <w:rPr>
      <w:szCs w:val="24"/>
    </w:rPr>
  </w:style>
  <w:style w:type="character" w:customStyle="1" w:styleId="20">
    <w:name w:val="标题 3 字符"/>
    <w:link w:val="6"/>
    <w:qFormat/>
    <w:uiPriority w:val="1"/>
    <w:rPr>
      <w:rFonts w:ascii="Times New Roman" w:hAnsi="Times New Roman" w:eastAsia="宋体" w:cs="Times New Roman"/>
      <w:b/>
      <w:bCs/>
      <w:sz w:val="24"/>
      <w:szCs w:val="24"/>
      <w:lang w:eastAsia="en-US"/>
    </w:rPr>
  </w:style>
  <w:style w:type="character" w:customStyle="1" w:styleId="21">
    <w:name w:val="标题 2 Char"/>
    <w:basedOn w:val="17"/>
    <w:link w:val="5"/>
    <w:qFormat/>
    <w:locked/>
    <w:uiPriority w:val="9"/>
    <w:rPr>
      <w:rFonts w:eastAsia="宋体" w:asciiTheme="majorAscii" w:hAnsiTheme="majorAscii" w:cstheme="majorBidi"/>
      <w:b/>
      <w:bCs/>
      <w:color w:val="auto"/>
      <w:kern w:val="2"/>
      <w:sz w:val="32"/>
      <w:szCs w:val="32"/>
    </w:rPr>
  </w:style>
  <w:style w:type="character" w:customStyle="1" w:styleId="22">
    <w:name w:val="标题 1 Char"/>
    <w:basedOn w:val="17"/>
    <w:link w:val="4"/>
    <w:qFormat/>
    <w:locked/>
    <w:uiPriority w:val="9"/>
    <w:rPr>
      <w:rFonts w:ascii="Times New Roman" w:hAnsi="Times New Roman" w:eastAsia="宋体" w:cs="Times New Roman"/>
      <w:b/>
      <w:bCs/>
      <w:color w:val="auto"/>
      <w:kern w:val="44"/>
      <w:sz w:val="32"/>
      <w:szCs w:val="44"/>
    </w:rPr>
  </w:style>
  <w:style w:type="character" w:customStyle="1" w:styleId="23">
    <w:name w:val="标题 4 Char1"/>
    <w:basedOn w:val="17"/>
    <w:link w:val="7"/>
    <w:qFormat/>
    <w:locked/>
    <w:uiPriority w:val="99"/>
    <w:rPr>
      <w:rFonts w:ascii="Times New Roman" w:hAnsi="Times New Roman" w:eastAsia="宋体" w:cs="Times New Roman"/>
      <w:b/>
      <w:bCs/>
      <w:sz w:val="24"/>
      <w:szCs w:val="28"/>
    </w:rPr>
  </w:style>
  <w:style w:type="paragraph" w:customStyle="1" w:styleId="24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25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3973</Words>
  <Characters>4305</Characters>
  <Lines>0</Lines>
  <Paragraphs>0</Paragraphs>
  <TotalTime>1</TotalTime>
  <ScaleCrop>false</ScaleCrop>
  <LinksUpToDate>false</LinksUpToDate>
  <CharactersWithSpaces>5116</CharactersWithSpaces>
  <Application>WPS Office_11.8.2.9980_F1E327BC-269C-435d-A152-05C5408002CA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2023-06-27T10:28:00Z</dcterms:created>
  <dc:creator>沉香</dc:creator>
  <cp:lastModifiedBy> </cp:lastModifiedBy>
  <dcterms:modified xsi:type="dcterms:W3CDTF">2023-09-17T17:07:01Z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2052-11.8.2.9980</vt:lpwstr>
  </property>
  <property fmtid="{D5CDD505-2E9C-101B-9397-08002B2CF9AE}" pid="3" name="ICV">
    <vt:lpwstr>993BA8F0B9874939B675E43D421F1A39_13</vt:lpwstr>
  </property>
</Properties>
</file>