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7425"/>
      <w:bookmarkStart w:id="2" w:name="_Toc15378441"/>
      <w:bookmarkStart w:id="3" w:name="_Toc15396475"/>
      <w:bookmarkStart w:id="4" w:name="_Toc15377193"/>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9159"/>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24551"/>
      <w:bookmarkStart w:id="8" w:name="_Toc15378442"/>
      <w:bookmarkStart w:id="9" w:name="_Toc15396476"/>
      <w:bookmarkStart w:id="10" w:name="_Toc15396598"/>
      <w:bookmarkStart w:id="11" w:name="_Toc15377426"/>
      <w:bookmarkStart w:id="12" w:name="_Toc15377194"/>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人民代表大会常务委员会办公室</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16009"/>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8267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TOC \o "1-2" \h \u </w:instrText>
          </w:r>
          <w:r>
            <w:rPr>
              <w:rFonts w:hint="eastAsia"/>
              <w:color w:val="auto"/>
              <w:sz w:val="24"/>
              <w:highlight w:val="none"/>
            </w:rPr>
            <w:fldChar w:fldCharType="separate"/>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_Toc18512 </w:instrText>
          </w:r>
          <w:r>
            <w:rPr>
              <w:rFonts w:hint="eastAsia"/>
              <w:color w:val="auto"/>
              <w:sz w:val="24"/>
              <w:highlight w:val="none"/>
            </w:rPr>
            <w:fldChar w:fldCharType="separate"/>
          </w:r>
          <w:r>
            <w:rPr>
              <w:rFonts w:hint="eastAsia"/>
              <w:color w:val="auto"/>
              <w:sz w:val="24"/>
              <w:highlight w:val="none"/>
            </w:rPr>
            <w:t>第一部分部门概况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_Toc18512 \h </w:instrText>
          </w:r>
          <w:r>
            <w:rPr>
              <w:rFonts w:hint="eastAsia"/>
              <w:color w:val="auto"/>
              <w:sz w:val="24"/>
              <w:highlight w:val="none"/>
            </w:rPr>
            <w:fldChar w:fldCharType="separate"/>
          </w:r>
          <w:r>
            <w:rPr>
              <w:rFonts w:hint="eastAsia"/>
              <w:color w:val="auto"/>
              <w:sz w:val="24"/>
              <w:highlight w:val="none"/>
            </w:rPr>
            <w:t>1</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_Toc19116 </w:instrText>
          </w:r>
          <w:r>
            <w:rPr>
              <w:rFonts w:hint="eastAsia"/>
              <w:color w:val="auto"/>
              <w:sz w:val="24"/>
              <w:highlight w:val="none"/>
            </w:rPr>
            <w:fldChar w:fldCharType="separate"/>
          </w:r>
          <w:r>
            <w:rPr>
              <w:rFonts w:hint="eastAsia"/>
              <w:color w:val="auto"/>
              <w:sz w:val="24"/>
              <w:highlight w:val="none"/>
              <w:lang w:eastAsia="zh-CN"/>
            </w:rPr>
            <w:t>一、部门职责</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_Toc19116 \h </w:instrText>
          </w:r>
          <w:r>
            <w:rPr>
              <w:rFonts w:hint="eastAsia"/>
              <w:color w:val="auto"/>
              <w:sz w:val="24"/>
              <w:highlight w:val="none"/>
            </w:rPr>
            <w:fldChar w:fldCharType="separate"/>
          </w:r>
          <w:r>
            <w:rPr>
              <w:rFonts w:hint="eastAsia"/>
              <w:color w:val="auto"/>
              <w:sz w:val="24"/>
              <w:highlight w:val="none"/>
            </w:rPr>
            <w:t>1</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_Toc28036 </w:instrText>
          </w:r>
          <w:r>
            <w:rPr>
              <w:rFonts w:hint="eastAsia"/>
              <w:color w:val="auto"/>
              <w:sz w:val="24"/>
              <w:highlight w:val="none"/>
            </w:rPr>
            <w:fldChar w:fldCharType="separate"/>
          </w:r>
          <w:r>
            <w:rPr>
              <w:rFonts w:hint="eastAsia"/>
              <w:color w:val="auto"/>
              <w:sz w:val="24"/>
              <w:highlight w:val="none"/>
            </w:rPr>
            <w:t>二、机构设置</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_Toc28036 \h </w:instrText>
          </w:r>
          <w:r>
            <w:rPr>
              <w:rFonts w:hint="eastAsia"/>
              <w:color w:val="auto"/>
              <w:sz w:val="24"/>
              <w:highlight w:val="none"/>
            </w:rPr>
            <w:fldChar w:fldCharType="separate"/>
          </w:r>
          <w:r>
            <w:rPr>
              <w:rFonts w:hint="eastAsia"/>
              <w:color w:val="auto"/>
              <w:sz w:val="24"/>
              <w:highlight w:val="none"/>
            </w:rPr>
            <w:t>2</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_Toc19495 </w:instrText>
          </w:r>
          <w:r>
            <w:rPr>
              <w:rFonts w:hint="eastAsia"/>
              <w:color w:val="auto"/>
              <w:sz w:val="24"/>
              <w:highlight w:val="none"/>
            </w:rPr>
            <w:fldChar w:fldCharType="separate"/>
          </w:r>
          <w:r>
            <w:rPr>
              <w:rFonts w:hint="eastAsia"/>
              <w:color w:val="auto"/>
              <w:sz w:val="24"/>
              <w:highlight w:val="none"/>
            </w:rPr>
            <w:t>第二部分</w:t>
          </w:r>
          <w:r>
            <w:rPr>
              <w:rFonts w:hint="eastAsia"/>
              <w:color w:val="auto"/>
              <w:sz w:val="24"/>
              <w:highlight w:val="none"/>
              <w:lang w:val="en-US" w:eastAsia="zh-CN"/>
            </w:rPr>
            <w:t>2022年度</w:t>
          </w:r>
          <w:r>
            <w:rPr>
              <w:rFonts w:hint="eastAsia"/>
              <w:color w:val="auto"/>
              <w:sz w:val="24"/>
              <w:highlight w:val="none"/>
            </w:rPr>
            <w:t>部门决算情况说明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_Toc19495 \h </w:instrText>
          </w:r>
          <w:r>
            <w:rPr>
              <w:rFonts w:hint="eastAsia"/>
              <w:color w:val="auto"/>
              <w:sz w:val="24"/>
              <w:highlight w:val="none"/>
            </w:rPr>
            <w:fldChar w:fldCharType="separate"/>
          </w:r>
          <w:r>
            <w:rPr>
              <w:rFonts w:hint="eastAsia"/>
              <w:color w:val="auto"/>
              <w:sz w:val="24"/>
              <w:highlight w:val="none"/>
            </w:rPr>
            <w:t>2</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_Toc19438 </w:instrText>
          </w:r>
          <w:r>
            <w:rPr>
              <w:rFonts w:hint="eastAsia"/>
              <w:color w:val="auto"/>
              <w:sz w:val="24"/>
              <w:highlight w:val="none"/>
            </w:rPr>
            <w:fldChar w:fldCharType="separate"/>
          </w:r>
          <w:r>
            <w:rPr>
              <w:rFonts w:hint="default"/>
              <w:color w:val="auto"/>
              <w:sz w:val="24"/>
              <w:highlight w:val="none"/>
            </w:rPr>
            <w:t>一、</w:t>
          </w:r>
          <w:r>
            <w:rPr>
              <w:rFonts w:hint="eastAsia"/>
              <w:color w:val="auto"/>
              <w:sz w:val="24"/>
              <w:highlight w:val="none"/>
            </w:rPr>
            <w:t>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_Toc19438 \h </w:instrText>
          </w:r>
          <w:r>
            <w:rPr>
              <w:rFonts w:hint="eastAsia"/>
              <w:color w:val="auto"/>
              <w:sz w:val="24"/>
              <w:highlight w:val="none"/>
            </w:rPr>
            <w:fldChar w:fldCharType="separate"/>
          </w:r>
          <w:r>
            <w:rPr>
              <w:rFonts w:hint="eastAsia"/>
              <w:color w:val="auto"/>
              <w:sz w:val="24"/>
              <w:highlight w:val="none"/>
            </w:rPr>
            <w:t>2</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_Toc26104 </w:instrText>
          </w:r>
          <w:r>
            <w:rPr>
              <w:rFonts w:hint="eastAsia"/>
              <w:color w:val="auto"/>
              <w:sz w:val="24"/>
              <w:highlight w:val="none"/>
            </w:rPr>
            <w:fldChar w:fldCharType="separate"/>
          </w:r>
          <w:r>
            <w:rPr>
              <w:rFonts w:hint="default"/>
              <w:color w:val="auto"/>
              <w:sz w:val="24"/>
              <w:highlight w:val="none"/>
            </w:rPr>
            <w:t>二、</w:t>
          </w:r>
          <w:r>
            <w:rPr>
              <w:rFonts w:hint="eastAsia"/>
              <w:color w:val="auto"/>
              <w:sz w:val="24"/>
              <w:highlight w:val="none"/>
            </w:rPr>
            <w:t>收入决算情况说明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_Toc26104 \h </w:instrText>
          </w:r>
          <w:r>
            <w:rPr>
              <w:rFonts w:hint="eastAsia"/>
              <w:color w:val="auto"/>
              <w:sz w:val="24"/>
              <w:highlight w:val="none"/>
            </w:rPr>
            <w:fldChar w:fldCharType="separate"/>
          </w:r>
          <w:r>
            <w:rPr>
              <w:rFonts w:hint="eastAsia"/>
              <w:color w:val="auto"/>
              <w:sz w:val="24"/>
              <w:highlight w:val="none"/>
            </w:rPr>
            <w:t>3</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_Toc26946 </w:instrText>
          </w:r>
          <w:r>
            <w:rPr>
              <w:rFonts w:hint="eastAsia"/>
              <w:color w:val="auto"/>
              <w:sz w:val="24"/>
              <w:highlight w:val="none"/>
            </w:rPr>
            <w:fldChar w:fldCharType="separate"/>
          </w:r>
          <w:r>
            <w:rPr>
              <w:rFonts w:hint="default"/>
              <w:color w:val="auto"/>
              <w:sz w:val="24"/>
              <w:highlight w:val="none"/>
            </w:rPr>
            <w:t>三、</w:t>
          </w:r>
          <w:r>
            <w:rPr>
              <w:rFonts w:hint="eastAsia"/>
              <w:color w:val="auto"/>
              <w:sz w:val="24"/>
              <w:highlight w:val="none"/>
            </w:rPr>
            <w:t>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_Toc26946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_Toc30695 </w:instrText>
          </w:r>
          <w:r>
            <w:rPr>
              <w:rFonts w:hint="eastAsia"/>
              <w:color w:val="auto"/>
              <w:sz w:val="24"/>
              <w:highlight w:val="none"/>
            </w:rPr>
            <w:fldChar w:fldCharType="separate"/>
          </w:r>
          <w:r>
            <w:rPr>
              <w:rFonts w:hint="eastAsia"/>
              <w:color w:val="auto"/>
              <w:sz w:val="24"/>
              <w:highlight w:val="none"/>
            </w:rPr>
            <w:t>四、财政拨款收入支出决算总体情况说明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_Toc30695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_Toc8320 </w:instrText>
          </w:r>
          <w:r>
            <w:rPr>
              <w:rFonts w:hint="eastAsia"/>
              <w:color w:val="auto"/>
              <w:sz w:val="24"/>
              <w:highlight w:val="none"/>
            </w:rPr>
            <w:fldChar w:fldCharType="separate"/>
          </w:r>
          <w:r>
            <w:rPr>
              <w:rFonts w:hint="eastAsia"/>
              <w:color w:val="auto"/>
              <w:sz w:val="24"/>
              <w:highlight w:val="none"/>
            </w:rPr>
            <w:t>五、一般公共预算财政拨款支出决算情况说明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_Toc8320 \h </w:instrText>
          </w:r>
          <w:r>
            <w:rPr>
              <w:rFonts w:hint="eastAsia"/>
              <w:color w:val="auto"/>
              <w:sz w:val="24"/>
              <w:highlight w:val="none"/>
            </w:rPr>
            <w:fldChar w:fldCharType="separate"/>
          </w:r>
          <w:r>
            <w:rPr>
              <w:rFonts w:hint="eastAsia"/>
              <w:color w:val="auto"/>
              <w:sz w:val="24"/>
              <w:highlight w:val="none"/>
            </w:rPr>
            <w:t>5</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_Toc11932 </w:instrText>
          </w:r>
          <w:r>
            <w:rPr>
              <w:rFonts w:hint="eastAsia"/>
              <w:color w:val="auto"/>
              <w:sz w:val="24"/>
              <w:highlight w:val="none"/>
            </w:rPr>
            <w:fldChar w:fldCharType="separate"/>
          </w:r>
          <w:r>
            <w:rPr>
              <w:rFonts w:hint="eastAsia"/>
              <w:color w:val="auto"/>
              <w:sz w:val="24"/>
              <w:highlight w:val="none"/>
            </w:rPr>
            <w:t>六、一般公共预算财政拨款基本支出决算情况说明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_Toc11932 \h </w:instrText>
          </w:r>
          <w:r>
            <w:rPr>
              <w:rFonts w:hint="eastAsia"/>
              <w:color w:val="auto"/>
              <w:sz w:val="24"/>
              <w:highlight w:val="none"/>
            </w:rPr>
            <w:fldChar w:fldCharType="separate"/>
          </w:r>
          <w:r>
            <w:rPr>
              <w:rFonts w:hint="eastAsia"/>
              <w:color w:val="auto"/>
              <w:sz w:val="24"/>
              <w:highlight w:val="none"/>
            </w:rPr>
            <w:t>8</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_Toc9972 </w:instrText>
          </w:r>
          <w:r>
            <w:rPr>
              <w:rFonts w:hint="eastAsia"/>
              <w:color w:val="auto"/>
              <w:sz w:val="24"/>
              <w:highlight w:val="none"/>
            </w:rPr>
            <w:fldChar w:fldCharType="separate"/>
          </w:r>
          <w:r>
            <w:rPr>
              <w:rFonts w:hint="eastAsia"/>
              <w:color w:val="auto"/>
              <w:sz w:val="24"/>
              <w:highlight w:val="none"/>
            </w:rPr>
            <w:t>七、财政拨款“三公”经费支出决算情况说明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_Toc9972 \h </w:instrText>
          </w:r>
          <w:r>
            <w:rPr>
              <w:rFonts w:hint="eastAsia"/>
              <w:color w:val="auto"/>
              <w:sz w:val="24"/>
              <w:highlight w:val="none"/>
            </w:rPr>
            <w:fldChar w:fldCharType="separate"/>
          </w:r>
          <w:r>
            <w:rPr>
              <w:rFonts w:hint="eastAsia"/>
              <w:color w:val="auto"/>
              <w:sz w:val="24"/>
              <w:highlight w:val="none"/>
            </w:rPr>
            <w:t>8</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_Toc12001 </w:instrText>
          </w:r>
          <w:r>
            <w:rPr>
              <w:rFonts w:hint="eastAsia"/>
              <w:color w:val="auto"/>
              <w:sz w:val="24"/>
              <w:highlight w:val="none"/>
            </w:rPr>
            <w:fldChar w:fldCharType="separate"/>
          </w:r>
          <w:r>
            <w:rPr>
              <w:rFonts w:hint="eastAsia"/>
              <w:color w:val="auto"/>
              <w:sz w:val="24"/>
              <w:highlight w:val="none"/>
            </w:rPr>
            <w:t>八、政府性基金预算支出决算情况说明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_Toc12001 \h </w:instrText>
          </w:r>
          <w:r>
            <w:rPr>
              <w:rFonts w:hint="eastAsia"/>
              <w:color w:val="auto"/>
              <w:sz w:val="24"/>
              <w:highlight w:val="none"/>
            </w:rPr>
            <w:fldChar w:fldCharType="separate"/>
          </w:r>
          <w:r>
            <w:rPr>
              <w:rFonts w:hint="eastAsia"/>
              <w:color w:val="auto"/>
              <w:sz w:val="24"/>
              <w:highlight w:val="none"/>
            </w:rPr>
            <w:t>10</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_Toc31276 </w:instrText>
          </w:r>
          <w:r>
            <w:rPr>
              <w:rFonts w:hint="eastAsia"/>
              <w:color w:val="auto"/>
              <w:sz w:val="24"/>
              <w:highlight w:val="none"/>
            </w:rPr>
            <w:fldChar w:fldCharType="separate"/>
          </w:r>
          <w:r>
            <w:rPr>
              <w:rFonts w:hint="eastAsia"/>
              <w:color w:val="auto"/>
              <w:sz w:val="24"/>
              <w:highlight w:val="none"/>
            </w:rPr>
            <w:t>九、国有资本经营预算支出决算情况说明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_Toc31276 \h </w:instrText>
          </w:r>
          <w:r>
            <w:rPr>
              <w:rFonts w:hint="eastAsia"/>
              <w:color w:val="auto"/>
              <w:sz w:val="24"/>
              <w:highlight w:val="none"/>
            </w:rPr>
            <w:fldChar w:fldCharType="separate"/>
          </w:r>
          <w:r>
            <w:rPr>
              <w:rFonts w:hint="eastAsia"/>
              <w:color w:val="auto"/>
              <w:sz w:val="24"/>
              <w:highlight w:val="none"/>
            </w:rPr>
            <w:t>10</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_Toc3399 </w:instrText>
          </w:r>
          <w:r>
            <w:rPr>
              <w:rFonts w:hint="eastAsia"/>
              <w:color w:val="auto"/>
              <w:sz w:val="24"/>
              <w:highlight w:val="none"/>
            </w:rPr>
            <w:fldChar w:fldCharType="separate"/>
          </w:r>
          <w:r>
            <w:rPr>
              <w:rFonts w:hint="eastAsia"/>
              <w:color w:val="auto"/>
              <w:sz w:val="24"/>
              <w:highlight w:val="none"/>
            </w:rPr>
            <w:t>十、其他重要事项的情况说明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_Toc3399 \h </w:instrText>
          </w:r>
          <w:r>
            <w:rPr>
              <w:rFonts w:hint="eastAsia"/>
              <w:color w:val="auto"/>
              <w:sz w:val="24"/>
              <w:highlight w:val="none"/>
            </w:rPr>
            <w:fldChar w:fldCharType="separate"/>
          </w:r>
          <w:r>
            <w:rPr>
              <w:rFonts w:hint="eastAsia"/>
              <w:color w:val="auto"/>
              <w:sz w:val="24"/>
              <w:highlight w:val="none"/>
            </w:rPr>
            <w:t>10</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_Toc23157 </w:instrText>
          </w:r>
          <w:r>
            <w:rPr>
              <w:rFonts w:hint="eastAsia"/>
              <w:color w:val="auto"/>
              <w:sz w:val="24"/>
              <w:highlight w:val="none"/>
            </w:rPr>
            <w:fldChar w:fldCharType="separate"/>
          </w:r>
          <w:r>
            <w:rPr>
              <w:rFonts w:hint="eastAsia"/>
              <w:color w:val="auto"/>
              <w:sz w:val="24"/>
              <w:highlight w:val="none"/>
            </w:rPr>
            <w:t>第三部分名词解释</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_Toc23157 \h </w:instrText>
          </w:r>
          <w:r>
            <w:rPr>
              <w:rFonts w:hint="eastAsia"/>
              <w:color w:val="auto"/>
              <w:sz w:val="24"/>
              <w:highlight w:val="none"/>
            </w:rPr>
            <w:fldChar w:fldCharType="separate"/>
          </w:r>
          <w:r>
            <w:rPr>
              <w:rFonts w:hint="eastAsia"/>
              <w:color w:val="auto"/>
              <w:sz w:val="24"/>
              <w:highlight w:val="none"/>
            </w:rPr>
            <w:t>13</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_Toc19851 </w:instrText>
          </w:r>
          <w:r>
            <w:rPr>
              <w:rFonts w:hint="eastAsia"/>
              <w:color w:val="auto"/>
              <w:sz w:val="24"/>
              <w:highlight w:val="none"/>
            </w:rPr>
            <w:fldChar w:fldCharType="separate"/>
          </w:r>
          <w:r>
            <w:rPr>
              <w:rFonts w:hint="eastAsia"/>
              <w:color w:val="auto"/>
              <w:sz w:val="24"/>
              <w:highlight w:val="none"/>
            </w:rPr>
            <w:t>第四部分附件</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_Toc19851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_Toc32243 </w:instrText>
          </w:r>
          <w:r>
            <w:rPr>
              <w:rFonts w:hint="eastAsia"/>
              <w:color w:val="auto"/>
              <w:sz w:val="24"/>
              <w:highlight w:val="none"/>
            </w:rPr>
            <w:fldChar w:fldCharType="separate"/>
          </w:r>
          <w:r>
            <w:rPr>
              <w:rFonts w:hint="eastAsia"/>
              <w:color w:val="auto"/>
              <w:sz w:val="24"/>
              <w:highlight w:val="none"/>
            </w:rPr>
            <w:t>第五部分附表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_Toc32243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_Toc14067 </w:instrText>
          </w:r>
          <w:r>
            <w:rPr>
              <w:rFonts w:hint="eastAsia"/>
              <w:color w:val="auto"/>
              <w:sz w:val="24"/>
              <w:highlight w:val="none"/>
            </w:rPr>
            <w:fldChar w:fldCharType="separate"/>
          </w:r>
          <w:r>
            <w:rPr>
              <w:rFonts w:hint="eastAsia"/>
              <w:color w:val="auto"/>
              <w:sz w:val="24"/>
              <w:highlight w:val="none"/>
            </w:rPr>
            <w:t>一、收入支出决算总表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_Toc14067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_Toc30046 </w:instrText>
          </w:r>
          <w:r>
            <w:rPr>
              <w:rFonts w:hint="eastAsia"/>
              <w:color w:val="auto"/>
              <w:sz w:val="24"/>
              <w:highlight w:val="none"/>
            </w:rPr>
            <w:fldChar w:fldCharType="separate"/>
          </w:r>
          <w:r>
            <w:rPr>
              <w:rFonts w:hint="eastAsia"/>
              <w:color w:val="auto"/>
              <w:sz w:val="24"/>
              <w:highlight w:val="none"/>
            </w:rPr>
            <w:t>二、收入决算表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_Toc30046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_Toc29129 </w:instrText>
          </w:r>
          <w:r>
            <w:rPr>
              <w:rFonts w:hint="eastAsia"/>
              <w:color w:val="auto"/>
              <w:sz w:val="24"/>
              <w:highlight w:val="none"/>
            </w:rPr>
            <w:fldChar w:fldCharType="separate"/>
          </w:r>
          <w:r>
            <w:rPr>
              <w:rFonts w:hint="eastAsia"/>
              <w:color w:val="auto"/>
              <w:sz w:val="24"/>
              <w:highlight w:val="none"/>
            </w:rPr>
            <w:t>三、支出决算表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_Toc29129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_Toc14772 </w:instrText>
          </w:r>
          <w:r>
            <w:rPr>
              <w:rFonts w:hint="eastAsia"/>
              <w:color w:val="auto"/>
              <w:sz w:val="24"/>
              <w:highlight w:val="none"/>
            </w:rPr>
            <w:fldChar w:fldCharType="separate"/>
          </w:r>
          <w:r>
            <w:rPr>
              <w:rFonts w:hint="eastAsia"/>
              <w:color w:val="auto"/>
              <w:sz w:val="24"/>
              <w:highlight w:val="none"/>
            </w:rPr>
            <w:t>四、财政拨款收入支出决算总表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_Toc14772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_Toc15834 </w:instrText>
          </w:r>
          <w:r>
            <w:rPr>
              <w:rFonts w:hint="eastAsia"/>
              <w:color w:val="auto"/>
              <w:sz w:val="24"/>
              <w:highlight w:val="none"/>
            </w:rPr>
            <w:fldChar w:fldCharType="separate"/>
          </w:r>
          <w:r>
            <w:rPr>
              <w:rFonts w:hint="eastAsia"/>
              <w:color w:val="auto"/>
              <w:sz w:val="24"/>
              <w:highlight w:val="none"/>
            </w:rPr>
            <w:t>五、财政拨款支出决算明细表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_Toc15834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_Toc9063 </w:instrText>
          </w:r>
          <w:r>
            <w:rPr>
              <w:rFonts w:hint="eastAsia"/>
              <w:color w:val="auto"/>
              <w:sz w:val="24"/>
              <w:highlight w:val="none"/>
            </w:rPr>
            <w:fldChar w:fldCharType="separate"/>
          </w:r>
          <w:r>
            <w:rPr>
              <w:rFonts w:hint="eastAsia"/>
              <w:color w:val="auto"/>
              <w:sz w:val="24"/>
              <w:highlight w:val="none"/>
            </w:rPr>
            <w:t>六、一般公共预算财政拨款支出决算表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_Toc9063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_Toc19380 </w:instrText>
          </w:r>
          <w:r>
            <w:rPr>
              <w:rFonts w:hint="eastAsia"/>
              <w:color w:val="auto"/>
              <w:sz w:val="24"/>
              <w:highlight w:val="none"/>
            </w:rPr>
            <w:fldChar w:fldCharType="separate"/>
          </w:r>
          <w:r>
            <w:rPr>
              <w:rFonts w:hint="eastAsia"/>
              <w:color w:val="auto"/>
              <w:sz w:val="24"/>
              <w:highlight w:val="none"/>
            </w:rPr>
            <w:t>七、一般公共预算财政拨款支出决算明细表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_Toc19380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_Toc31523 </w:instrText>
          </w:r>
          <w:r>
            <w:rPr>
              <w:rFonts w:hint="eastAsia"/>
              <w:color w:val="auto"/>
              <w:sz w:val="24"/>
              <w:highlight w:val="none"/>
            </w:rPr>
            <w:fldChar w:fldCharType="separate"/>
          </w:r>
          <w:r>
            <w:rPr>
              <w:rFonts w:hint="eastAsia"/>
              <w:color w:val="auto"/>
              <w:sz w:val="24"/>
              <w:highlight w:val="none"/>
            </w:rPr>
            <w:t>八、一般公共预算财政拨款基本支出决算表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_Toc31523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_Toc6720 </w:instrText>
          </w:r>
          <w:r>
            <w:rPr>
              <w:rFonts w:hint="eastAsia"/>
              <w:color w:val="auto"/>
              <w:sz w:val="24"/>
              <w:highlight w:val="none"/>
            </w:rPr>
            <w:fldChar w:fldCharType="separate"/>
          </w:r>
          <w:r>
            <w:rPr>
              <w:rFonts w:hint="eastAsia"/>
              <w:color w:val="auto"/>
              <w:sz w:val="24"/>
              <w:highlight w:val="none"/>
            </w:rPr>
            <w:t>九、一般公共预算财政拨款项目支出决算表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_Toc6720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_Toc344 </w:instrText>
          </w:r>
          <w:r>
            <w:rPr>
              <w:rFonts w:hint="eastAsia"/>
              <w:color w:val="auto"/>
              <w:sz w:val="24"/>
              <w:highlight w:val="none"/>
            </w:rPr>
            <w:fldChar w:fldCharType="separate"/>
          </w:r>
          <w:r>
            <w:rPr>
              <w:rFonts w:hint="eastAsia"/>
              <w:color w:val="auto"/>
              <w:sz w:val="24"/>
              <w:highlight w:val="none"/>
            </w:rPr>
            <w:t>十、政府性基金预算财政拨款收入支出决算表</w:t>
          </w:r>
          <w:r>
            <w:rPr>
              <w:rFonts w:hint="eastAsia"/>
              <w:color w:val="auto"/>
              <w:sz w:val="24"/>
              <w:highlight w:val="none"/>
              <w:lang w:eastAsia="zh-CN"/>
            </w:rPr>
            <w:t>。本表无数据</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_Toc344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_Toc22710 </w:instrText>
          </w:r>
          <w:r>
            <w:rPr>
              <w:rFonts w:hint="eastAsia"/>
              <w:color w:val="auto"/>
              <w:sz w:val="24"/>
              <w:highlight w:val="none"/>
            </w:rPr>
            <w:fldChar w:fldCharType="separate"/>
          </w:r>
          <w:r>
            <w:rPr>
              <w:rFonts w:hint="eastAsia"/>
              <w:color w:val="auto"/>
              <w:sz w:val="24"/>
              <w:highlight w:val="none"/>
            </w:rPr>
            <w:t>十一、国有资本经营预算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eastAsia="zh-CN"/>
            </w:rPr>
            <w:t>。本表无数据</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_Toc22710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_Toc24282 </w:instrText>
          </w:r>
          <w:r>
            <w:rPr>
              <w:rFonts w:hint="eastAsia"/>
              <w:color w:val="auto"/>
              <w:sz w:val="24"/>
              <w:highlight w:val="none"/>
            </w:rPr>
            <w:fldChar w:fldCharType="separate"/>
          </w:r>
          <w:r>
            <w:rPr>
              <w:rFonts w:hint="eastAsia"/>
              <w:color w:val="auto"/>
              <w:sz w:val="24"/>
              <w:highlight w:val="none"/>
            </w:rPr>
            <w:t>十二、</w:t>
          </w:r>
          <w:r>
            <w:rPr>
              <w:rFonts w:hint="eastAsia"/>
              <w:color w:val="auto"/>
              <w:sz w:val="24"/>
              <w:highlight w:val="none"/>
              <w:lang w:eastAsia="zh-CN"/>
            </w:rPr>
            <w:t>国有资本经营预算财政拨款支出决算表。本表无数据</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_Toc24282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pStyle w:val="12"/>
            <w:adjustRightInd w:val="0"/>
            <w:snapToGrid w:val="0"/>
            <w:spacing w:before="0" w:line="440" w:lineRule="exact"/>
            <w:jc w:val="left"/>
            <w:rPr>
              <w:rFonts w:hint="eastAsia"/>
              <w:color w:val="auto"/>
              <w:sz w:val="24"/>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r>
            <w:rPr>
              <w:rFonts w:hint="eastAsia"/>
              <w:color w:val="auto"/>
              <w:sz w:val="24"/>
              <w:highlight w:val="none"/>
            </w:rPr>
            <w:fldChar w:fldCharType="begin"/>
          </w:r>
          <w:r>
            <w:rPr>
              <w:rFonts w:hint="eastAsia"/>
              <w:color w:val="auto"/>
              <w:sz w:val="24"/>
              <w:highlight w:val="none"/>
            </w:rPr>
            <w:instrText xml:space="preserve"> HYPERLINK \l _Toc20779 </w:instrText>
          </w:r>
          <w:r>
            <w:rPr>
              <w:rFonts w:hint="eastAsia"/>
              <w:color w:val="auto"/>
              <w:sz w:val="24"/>
              <w:highlight w:val="none"/>
            </w:rPr>
            <w:fldChar w:fldCharType="separate"/>
          </w:r>
          <w:r>
            <w:rPr>
              <w:rFonts w:hint="eastAsia"/>
              <w:color w:val="auto"/>
              <w:sz w:val="24"/>
              <w:highlight w:val="none"/>
            </w:rPr>
            <w:t>十三、</w:t>
          </w:r>
          <w:r>
            <w:rPr>
              <w:rFonts w:hint="eastAsia"/>
              <w:color w:val="auto"/>
              <w:sz w:val="24"/>
              <w:highlight w:val="none"/>
              <w:lang w:eastAsia="zh-CN"/>
            </w:rPr>
            <w:t>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_Toc20779 \h </w:instrText>
          </w:r>
          <w:r>
            <w:rPr>
              <w:rFonts w:hint="eastAsia"/>
              <w:color w:val="auto"/>
              <w:sz w:val="24"/>
              <w:highlight w:val="none"/>
            </w:rPr>
            <w:fldChar w:fldCharType="separate"/>
          </w:r>
          <w:r>
            <w:rPr>
              <w:rFonts w:hint="eastAsia"/>
              <w:color w:val="auto"/>
              <w:sz w:val="24"/>
              <w:highlight w:val="none"/>
            </w:rPr>
            <w:t>64</w:t>
          </w:r>
          <w:r>
            <w:rPr>
              <w:rFonts w:hint="eastAsia"/>
              <w:color w:val="auto"/>
              <w:sz w:val="24"/>
              <w:highlight w:val="none"/>
            </w:rPr>
            <w:fldChar w:fldCharType="end"/>
          </w:r>
          <w:r>
            <w:rPr>
              <w:rFonts w:hint="eastAsia"/>
              <w:color w:val="auto"/>
              <w:sz w:val="24"/>
              <w:highlight w:val="none"/>
            </w:rPr>
            <w:fldChar w:fldCharType="end"/>
          </w:r>
        </w:p>
        <w:p>
          <w:pPr>
            <w:rPr>
              <w:rFonts w:hint="eastAsia"/>
            </w:rPr>
          </w:pPr>
        </w:p>
        <w:p>
          <w:pPr>
            <w:pStyle w:val="12"/>
            <w:adjustRightInd w:val="0"/>
            <w:snapToGrid w:val="0"/>
            <w:spacing w:before="0"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color w:val="auto"/>
              <w:sz w:val="24"/>
              <w:highlight w:val="none"/>
            </w:rPr>
            <w:fldChar w:fldCharType="end"/>
          </w:r>
        </w:p>
      </w:sdtContent>
    </w:sdt>
    <w:p>
      <w:pPr>
        <w:widowControl/>
        <w:spacing w:line="440" w:lineRule="exact"/>
        <w:jc w:val="center"/>
        <w:rPr>
          <w:rStyle w:val="19"/>
          <w:rFonts w:hint="eastAsia" w:ascii="黑体" w:hAnsi="黑体" w:eastAsia="黑体"/>
          <w:b w:val="0"/>
          <w:bCs w:val="0"/>
          <w:color w:val="auto"/>
          <w:highlight w:val="none"/>
        </w:rPr>
      </w:pPr>
      <w:bookmarkStart w:id="15" w:name="_Toc18512"/>
      <w:bookmarkStart w:id="16" w:name="_Toc15377196"/>
      <w:bookmarkStart w:id="17" w:name="_Toc15396599"/>
      <w:r>
        <w:rPr>
          <w:rStyle w:val="19"/>
          <w:rFonts w:hint="eastAsia" w:ascii="黑体" w:hAnsi="黑体" w:eastAsia="黑体"/>
          <w:b w:val="0"/>
          <w:bCs w:val="0"/>
          <w:color w:val="auto"/>
          <w:highlight w:val="none"/>
        </w:rPr>
        <w:t>第一部分部门概况</w:t>
      </w:r>
      <w:bookmarkEnd w:id="15"/>
      <w:bookmarkEnd w:id="16"/>
      <w:bookmarkEnd w:id="17"/>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18" w:name="_Toc19116"/>
      <w:r>
        <w:rPr>
          <w:rFonts w:hint="eastAsia" w:ascii="黑体" w:hAnsi="黑体" w:eastAsia="黑体"/>
          <w:b w:val="0"/>
          <w:color w:val="auto"/>
          <w:highlight w:val="none"/>
          <w:lang w:eastAsia="zh-CN"/>
        </w:rPr>
        <w:t>部门职责</w:t>
      </w:r>
      <w:bookmarkEnd w:id="18"/>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广元市人民代表大会常务委员会按照宪法法律的规定，依法履行立法、讨论决定重大事项、监督、选举任免国家机关工作人员的职能，在本行政区域内行使以下职权：</w:t>
      </w:r>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1．在本行政区域内，保证宪法、法律、行政法规和上级人民代表大会及其常务委员会决议的遵守和执行。</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2．对本市经济和社会生活中的重大问题组织调查研究、视察和监督、审议、执法检查。</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3．组织选举省、市人大代表。</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4．选举任免国家机关工作人员。</w:t>
      </w:r>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5．督促市人大代表议案，建议、批评和意见的办理工作。</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6．联系在广元的全国、省、市人大代表，组织代表视察、调研、执法检查、代表小组活动。</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7．组织人大代表评议市“一府两院”的工作。</w:t>
      </w:r>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8．负责市人代会、市人大常委会、主任会议等会议的组织和服务工作。</w:t>
      </w:r>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9．负责市人大常委会文件、报告的起草、印发，常委会公报、人大工作简报等的编辑印发和人大工作的宣传报道。</w:t>
      </w:r>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10.负责对市人大常委会机关的人事管理、机关的学习安排与组织机关离退休人员的管理与服务；承担机关的行政事务和对全国、省、市人大来广元考察的接待工作，以及机关的后勤服务工作；办理市人大常委会领导临时交办的其他事项。</w:t>
      </w:r>
    </w:p>
    <w:p>
      <w:pPr>
        <w:pStyle w:val="4"/>
        <w:rPr>
          <w:rStyle w:val="20"/>
          <w:b w:val="0"/>
          <w:bCs w:val="0"/>
          <w:color w:val="auto"/>
          <w:highlight w:val="none"/>
        </w:rPr>
      </w:pPr>
      <w:bookmarkStart w:id="19" w:name="_Toc15377200"/>
      <w:bookmarkStart w:id="20" w:name="_Toc28036"/>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9"/>
      <w:bookmarkEnd w:id="20"/>
      <w:bookmarkEnd w:id="21"/>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广元市人民代表大会常务委员会办公室</w:t>
      </w:r>
      <w:r>
        <w:rPr>
          <w:rFonts w:hint="eastAsia" w:ascii="仿宋" w:hAnsi="仿宋" w:eastAsia="仿宋"/>
          <w:color w:val="auto"/>
          <w:sz w:val="32"/>
          <w:szCs w:val="32"/>
          <w:highlight w:val="none"/>
          <w:lang w:val="en-US" w:eastAsia="zh-CN"/>
        </w:rPr>
        <w:t>一个独立编制、独立核算的行政单位。</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Style w:val="2"/>
        <w:adjustRightInd w:val="0"/>
        <w:snapToGrid w:val="0"/>
        <w:spacing w:before="93" w:line="600" w:lineRule="exact"/>
        <w:ind w:firstLine="672" w:firstLineChars="210"/>
        <w:rPr>
          <w:rFonts w:ascii="仿宋" w:hAnsi="仿宋" w:eastAsia="仿宋"/>
          <w:color w:val="auto"/>
          <w:kern w:val="0"/>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广元市人民代表大会常务委员会办公室</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包括：无。</w:t>
      </w:r>
    </w:p>
    <w:p>
      <w:pPr>
        <w:pStyle w:val="3"/>
        <w:ind w:right="440"/>
        <w:jc w:val="center"/>
        <w:rPr>
          <w:rStyle w:val="19"/>
          <w:rFonts w:ascii="黑体" w:hAnsi="黑体" w:eastAsia="黑体"/>
          <w:b w:val="0"/>
          <w:bCs/>
          <w:color w:val="auto"/>
          <w:highlight w:val="none"/>
        </w:rPr>
      </w:pPr>
      <w:bookmarkStart w:id="22" w:name="_Toc19495"/>
      <w:bookmarkStart w:id="23" w:name="_Toc15396602"/>
      <w:bookmarkStart w:id="24" w:name="_Toc1537720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2"/>
      <w:bookmarkEnd w:id="23"/>
      <w:bookmarkEnd w:id="24"/>
    </w:p>
    <w:p>
      <w:pPr>
        <w:rPr>
          <w:color w:val="auto"/>
          <w:highlight w:val="none"/>
        </w:rPr>
      </w:pPr>
    </w:p>
    <w:p>
      <w:pPr>
        <w:pStyle w:val="30"/>
        <w:numPr>
          <w:ilvl w:val="0"/>
          <w:numId w:val="2"/>
        </w:numPr>
        <w:spacing w:line="600" w:lineRule="exact"/>
        <w:ind w:firstLineChars="0"/>
        <w:outlineLvl w:val="1"/>
        <w:rPr>
          <w:rStyle w:val="20"/>
          <w:rFonts w:ascii="黑体" w:hAnsi="黑体" w:eastAsia="黑体"/>
          <w:b w:val="0"/>
          <w:color w:val="auto"/>
          <w:highlight w:val="none"/>
        </w:rPr>
      </w:pPr>
      <w:bookmarkStart w:id="25" w:name="_Toc15377205"/>
      <w:bookmarkStart w:id="26" w:name="_Toc19438"/>
      <w:bookmarkStart w:id="27"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3,084.33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415.58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新增人员的工资绩效及公用经费、退休人员的职业年金记实、抚恤金、人大会议、加装电梯</w:t>
      </w:r>
      <w:r>
        <w:rPr>
          <w:rFonts w:hint="eastAsia" w:ascii="仿宋" w:hAnsi="仿宋" w:eastAsia="仿宋"/>
          <w:color w:val="auto"/>
          <w:sz w:val="32"/>
          <w:szCs w:val="32"/>
          <w:highlight w:val="none"/>
        </w:rPr>
        <w:t>等</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bookmarkStart w:id="150" w:name="_GoBack"/>
      <w:r>
        <w:rPr>
          <w:rFonts w:hint="eastAsia" w:ascii="仿宋" w:hAnsi="仿宋" w:eastAsia="仿宋"/>
          <w:color w:val="auto"/>
          <w:sz w:val="32"/>
          <w:szCs w:val="32"/>
          <w:highlight w:val="none"/>
          <w:lang w:eastAsia="zh-CN"/>
        </w:rPr>
        <w:pict>
          <v:shape id="Object 2" o:spid="_x0000_s1026" o:spt="75" alt="" type="#_x0000_t75" style="position:absolute;left:0pt;margin-left:53.3pt;margin-top:5.1pt;height:176.6pt;width:338.1pt;z-index:-251656192;mso-width-relative:page;mso-height-relative:page;" o:ole="t" filled="f" o:preferrelative="t" stroked="f" coordsize="21600,21600">
            <v:path/>
            <v:fill on="f" focussize="0,0"/>
            <v:stroke on="f"/>
            <v:imagedata r:id="rId8" o:title=""/>
            <o:lock v:ext="edit" aspectratio="t"/>
          </v:shape>
          <o:OLEObject Type="Embed" ProgID="MSGraph.Chart.8" ShapeID="Object 2" DrawAspect="Content" ObjectID="_1468075725" r:id="rId7">
            <o:LockedField>false</o:LockedField>
          </o:OLEObject>
        </w:pict>
      </w:r>
      <w:bookmarkEnd w:id="150"/>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30"/>
        <w:numPr>
          <w:ilvl w:val="0"/>
          <w:numId w:val="2"/>
        </w:numPr>
        <w:spacing w:line="600" w:lineRule="exact"/>
        <w:ind w:firstLineChars="0"/>
        <w:outlineLvl w:val="1"/>
        <w:rPr>
          <w:rStyle w:val="20"/>
          <w:rFonts w:ascii="黑体" w:hAnsi="黑体" w:eastAsia="黑体"/>
          <w:b w:val="0"/>
          <w:color w:val="auto"/>
          <w:highlight w:val="none"/>
        </w:rPr>
      </w:pPr>
      <w:bookmarkStart w:id="28" w:name="_Toc15377206"/>
      <w:bookmarkStart w:id="29" w:name="_Toc26104"/>
      <w:bookmarkStart w:id="30" w:name="_Toc15396604"/>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hint="eastAsia" w:ascii="仿宋" w:hAnsi="仿宋" w:eastAsia="仿宋"/>
          <w:b/>
          <w:color w:val="auto"/>
          <w:sz w:val="32"/>
          <w:szCs w:val="32"/>
          <w:highlight w:val="none"/>
          <w:lang w:eastAsia="zh-CN"/>
        </w:rPr>
      </w:pPr>
      <w:bookmarkStart w:id="31" w:name="_Toc1803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3,066.45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3,066.45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1"/>
    </w:p>
    <w:p>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auto"/>
          <w:sz w:val="32"/>
          <w:szCs w:val="32"/>
          <w:highlight w:val="none"/>
        </w:rPr>
        <w:pict>
          <v:shape id="Object 4" o:spid="_x0000_s1027" o:spt="75" type="#_x0000_t75" style="position:absolute;left:0pt;margin-left:47.5pt;margin-top:4pt;height:213.35pt;width:417.5pt;z-index:-251655168;mso-width-relative:page;mso-height-relative:page;" o:ole="t" filled="f" o:preferrelative="t" stroked="f" coordsize="21600,21600">
            <v:path/>
            <v:fill on="f" focussize="0,0"/>
            <v:stroke on="f"/>
            <v:imagedata r:id="rId10" o:title=""/>
            <o:lock v:ext="edit" aspectratio="t"/>
          </v:shape>
          <o:OLEObject Type="Embed" ProgID="MSGraph.Chart.8" ShapeID="Object 4" DrawAspect="Content" ObjectID="_1468075726" r:id="rId9">
            <o:LockedField>false</o:LockedField>
          </o:OLEObject>
        </w:pict>
      </w: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30"/>
        <w:numPr>
          <w:ilvl w:val="0"/>
          <w:numId w:val="2"/>
        </w:numPr>
        <w:spacing w:line="600" w:lineRule="exact"/>
        <w:ind w:firstLineChars="0"/>
        <w:outlineLvl w:val="1"/>
        <w:rPr>
          <w:rStyle w:val="20"/>
          <w:rFonts w:ascii="黑体" w:hAnsi="黑体" w:eastAsia="黑体"/>
          <w:b w:val="0"/>
          <w:color w:val="auto"/>
          <w:highlight w:val="none"/>
        </w:rPr>
      </w:pPr>
      <w:bookmarkStart w:id="32" w:name="_Toc15396605"/>
      <w:bookmarkStart w:id="33" w:name="_Toc15377207"/>
      <w:bookmarkStart w:id="34" w:name="_Toc26946"/>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hint="eastAsia" w:ascii="仿宋" w:hAnsi="仿宋" w:eastAsia="仿宋"/>
          <w:b/>
          <w:color w:val="auto"/>
          <w:sz w:val="32"/>
          <w:szCs w:val="32"/>
          <w:highlight w:val="none"/>
          <w:lang w:eastAsia="zh-CN"/>
        </w:rPr>
      </w:pPr>
      <w:bookmarkStart w:id="35" w:name="_Toc11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3,084.33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2,355.63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728.70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5"/>
    </w:p>
    <w:p>
      <w:pPr>
        <w:pStyle w:val="2"/>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shd w:val="pct10" w:color="auto" w:fill="FFFFFF"/>
        </w:rPr>
        <w:pict>
          <v:shape id="Object 5" o:spid="_x0000_s1028" o:spt="75" type="#_x0000_t75" style="position:absolute;left:0pt;margin-left:17.25pt;margin-top:29.95pt;height:140.35pt;width:392.7pt;mso-wrap-distance-bottom:0pt;mso-wrap-distance-left:9pt;mso-wrap-distance-right:9pt;mso-wrap-distance-top:0pt;z-index:251662336;mso-width-relative:page;mso-height-relative:page;" o:ole="t" filled="f" o:preferrelative="t" stroked="f" coordsize="21600,21600">
            <v:path/>
            <v:fill on="f" focussize="0,0"/>
            <v:stroke on="f"/>
            <v:imagedata r:id="rId12" o:title=""/>
            <o:lock v:ext="edit" aspectratio="t"/>
            <w10:wrap type="square"/>
          </v:shape>
          <o:OLEObject Type="Embed" ProgID="MSGraph.Chart.8" ShapeID="Object 5" DrawAspect="Content" ObjectID="_1468075727" r:id="rId11">
            <o:LockedField>false</o:LockedField>
          </o:OLEObject>
        </w:pic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36" w:name="_Toc15377208"/>
      <w:bookmarkStart w:id="37" w:name="_Toc30695"/>
      <w:bookmarkStart w:id="38"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3084.33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415.58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新增人员的工资绩效及公用经费、退休人员的职业年金记实、抚恤金、人大会议、加装电梯</w:t>
      </w:r>
      <w:r>
        <w:rPr>
          <w:rFonts w:hint="eastAsia" w:ascii="仿宋" w:hAnsi="仿宋" w:eastAsia="仿宋"/>
          <w:color w:val="auto"/>
          <w:sz w:val="32"/>
          <w:szCs w:val="32"/>
          <w:highlight w:val="none"/>
        </w:rPr>
        <w:t>等</w:t>
      </w:r>
      <w:r>
        <w:rPr>
          <w:rFonts w:hint="eastAsia" w:ascii="仿宋" w:hAnsi="仿宋" w:eastAsia="仿宋"/>
          <w:color w:val="auto"/>
          <w:sz w:val="32"/>
          <w:szCs w:val="32"/>
          <w:highlight w:val="none"/>
          <w:lang w:eastAsia="zh-CN"/>
        </w:rPr>
        <w:t>。</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pict>
          <v:shape id="Object 6" o:spid="_x0000_s1029" o:spt="75" type="#_x0000_t75" style="position:absolute;left:0pt;margin-left:30.25pt;margin-top:3.6pt;height:182.35pt;width:318.85pt;z-index:-251653120;mso-width-relative:page;mso-height-relative:page;" o:ole="t" filled="f" o:preferrelative="t" stroked="f" coordsize="21600,21600">
            <v:path/>
            <v:fill on="f" focussize="0,0"/>
            <v:stroke on="f"/>
            <v:imagedata r:id="rId14" o:title=""/>
            <o:lock v:ext="edit" aspectratio="t"/>
          </v:shape>
          <o:OLEObject Type="Embed" ProgID="MSGraph.Chart.8" ShapeID="Object 6" DrawAspect="Content" ObjectID="_1468075728" r:id="rId13">
            <o:LockedField>false</o:LockedField>
          </o:OLEObject>
        </w:pic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39" w:name="_Toc8320"/>
      <w:bookmarkStart w:id="40" w:name="_Toc15377209"/>
      <w:bookmarkStart w:id="4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3084.33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415.58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新增人员的工资绩效及公用经费、退休人员的职业年金记实、抚恤金、人大会议、加装电梯</w:t>
      </w:r>
      <w:r>
        <w:rPr>
          <w:rFonts w:hint="eastAsia" w:ascii="仿宋" w:hAnsi="仿宋" w:eastAsia="仿宋"/>
          <w:color w:val="auto"/>
          <w:sz w:val="32"/>
          <w:szCs w:val="32"/>
          <w:highlight w:val="none"/>
        </w:rPr>
        <w:t>等</w:t>
      </w:r>
      <w:r>
        <w:rPr>
          <w:rFonts w:hint="eastAsia" w:ascii="仿宋" w:hAnsi="仿宋" w:eastAsia="仿宋"/>
          <w:color w:val="auto"/>
          <w:sz w:val="32"/>
          <w:szCs w:val="32"/>
          <w:highlight w:val="none"/>
          <w:lang w:eastAsia="zh-CN"/>
        </w:rPr>
        <w:t>。</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pict>
          <v:shape id="Object 7" o:spid="_x0000_s1030" o:spt="75" type="#_x0000_t75" style="position:absolute;left:0pt;margin-left:7.75pt;margin-top:6.25pt;height:200.75pt;width:455.1pt;z-index:-251652096;mso-width-relative:page;mso-height-relative:page;" o:ole="t" filled="f" o:preferrelative="t" stroked="f" coordsize="21600,21600">
            <v:path/>
            <v:fill on="f" focussize="0,0"/>
            <v:stroke on="f"/>
            <v:imagedata r:id="rId16" o:title=""/>
            <o:lock v:ext="edit" aspectratio="t"/>
          </v:shape>
          <o:OLEObject Type="Embed" ProgID="MSGraph.Chart.8" ShapeID="Object 7" DrawAspect="Content" ObjectID="_1468075729" r:id="rId15">
            <o:LockedField>false</o:LockedField>
          </o:OLEObject>
        </w:pict>
      </w: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3084.33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2,663.93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245.22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ascii="仿宋" w:hAnsi="仿宋" w:eastAsia="仿宋"/>
          <w:color w:val="auto"/>
          <w:sz w:val="32"/>
          <w:szCs w:val="32"/>
          <w:highlight w:val="none"/>
        </w:rPr>
        <w:pict>
          <v:shape id="Object 8" o:spid="_x0000_s1031" o:spt="75" type="#_x0000_t75" style="position:absolute;left:0pt;margin-left:-54.45pt;margin-top:26.75pt;height:257.15pt;width:539.55pt;z-index:-251651072;mso-width-relative:page;mso-height-relative:page;" o:ole="t" filled="f" o:preferrelative="t" stroked="f" coordsize="21600,21600">
            <v:path/>
            <v:fill on="f" focussize="0,0"/>
            <v:stroke on="f"/>
            <v:imagedata r:id="rId18" o:title=""/>
            <o:lock v:ext="edit" aspectratio="t"/>
          </v:shape>
          <o:OLEObject Type="Embed" ProgID="MSGraph.Chart.8" ShapeID="Object 8" DrawAspect="Content" ObjectID="_1468075730" r:id="rId17">
            <o:LockedField>false</o:LockedField>
          </o:OLEObject>
        </w:pict>
      </w:r>
      <w:r>
        <w:rPr>
          <w:rFonts w:hint="eastAsia" w:ascii="仿宋" w:hAnsi="仿宋" w:eastAsia="仿宋"/>
          <w:color w:val="auto"/>
          <w:sz w:val="32"/>
          <w:szCs w:val="32"/>
          <w:highlight w:val="none"/>
          <w:lang w:val="en-US" w:eastAsia="zh-CN"/>
        </w:rPr>
        <w:t>57.98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117.19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1"/>
        <w:rPr>
          <w:rStyle w:val="17"/>
          <w:rFonts w:hint="eastAsia" w:ascii="仿宋" w:hAnsi="仿宋" w:eastAsia="仿宋"/>
          <w:bCs/>
          <w:color w:val="auto"/>
          <w:sz w:val="32"/>
          <w:szCs w:val="32"/>
          <w:highlight w:val="none"/>
        </w:rPr>
      </w:pPr>
      <w:bookmarkStart w:id="45" w:name="_Toc15377213"/>
      <w:bookmarkStart w:id="46" w:name="_Toc26533"/>
      <w:bookmarkStart w:id="47" w:name="_Toc15378460"/>
      <w:bookmarkStart w:id="4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3084.33万元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5"/>
      <w:bookmarkEnd w:id="46"/>
      <w:bookmarkEnd w:id="47"/>
      <w:bookmarkEnd w:id="48"/>
    </w:p>
    <w:p>
      <w:pPr>
        <w:pStyle w:val="2"/>
        <w:numPr>
          <w:ilvl w:val="0"/>
          <w:numId w:val="3"/>
        </w:numPr>
        <w:ind w:left="0" w:leftChars="0" w:firstLine="400" w:firstLineChars="0"/>
        <w:rPr>
          <w:rFonts w:hint="eastAsia"/>
        </w:rPr>
      </w:pPr>
      <w:r>
        <w:rPr>
          <w:rFonts w:hint="eastAsia"/>
          <w:b/>
          <w:bCs/>
        </w:rPr>
        <w:t>一般公共服务（类）</w:t>
      </w:r>
      <w:r>
        <w:rPr>
          <w:rFonts w:hint="eastAsia"/>
          <w:b/>
          <w:bCs/>
          <w:lang w:eastAsia="zh-CN"/>
        </w:rPr>
        <w:t>人大事务</w:t>
      </w:r>
      <w:r>
        <w:rPr>
          <w:rFonts w:hint="eastAsia"/>
          <w:b/>
          <w:bCs/>
        </w:rPr>
        <w:t>（款）</w:t>
      </w:r>
      <w:r>
        <w:rPr>
          <w:rFonts w:hint="eastAsia"/>
          <w:b/>
          <w:bCs/>
          <w:lang w:eastAsia="zh-CN"/>
        </w:rPr>
        <w:t>行政运行</w:t>
      </w:r>
      <w:r>
        <w:rPr>
          <w:rFonts w:hint="eastAsia"/>
          <w:b/>
          <w:bCs/>
        </w:rPr>
        <w:t>（项）:</w:t>
      </w:r>
      <w:r>
        <w:rPr>
          <w:rFonts w:hint="eastAsia"/>
          <w:b/>
          <w:bCs/>
          <w:lang w:eastAsia="zh-CN"/>
        </w:rPr>
        <w:t>：</w:t>
      </w:r>
      <w:r>
        <w:rPr>
          <w:rFonts w:hint="eastAsia"/>
        </w:rPr>
        <w:t>出决算为</w:t>
      </w:r>
      <w:r>
        <w:rPr>
          <w:rFonts w:hint="eastAsia"/>
          <w:lang w:val="en-US" w:eastAsia="zh-CN"/>
        </w:rPr>
        <w:t>1,935.24</w:t>
      </w:r>
      <w:r>
        <w:rPr>
          <w:rFonts w:hint="eastAsia"/>
        </w:rPr>
        <w:t>万元，完成预算</w:t>
      </w:r>
      <w:r>
        <w:rPr>
          <w:rFonts w:hint="eastAsia"/>
          <w:lang w:val="en-US" w:eastAsia="zh-CN"/>
        </w:rPr>
        <w:t>100</w:t>
      </w:r>
      <w:r>
        <w:rPr>
          <w:rFonts w:hint="eastAsia"/>
        </w:rPr>
        <w:t>%，决算数</w:t>
      </w:r>
      <w:r>
        <w:rPr>
          <w:rFonts w:hint="eastAsia"/>
          <w:lang w:eastAsia="zh-CN"/>
        </w:rPr>
        <w:t>等</w:t>
      </w:r>
      <w:r>
        <w:rPr>
          <w:rFonts w:hint="eastAsia"/>
        </w:rPr>
        <w:t>于预算数的主要原因是</w:t>
      </w:r>
      <w:r>
        <w:rPr>
          <w:rFonts w:hint="eastAsia"/>
          <w:lang w:eastAsia="zh-CN"/>
        </w:rPr>
        <w:t>严格执行预算支出</w:t>
      </w:r>
      <w:r>
        <w:rPr>
          <w:rFonts w:hint="eastAsia"/>
        </w:rPr>
        <w:t>。</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一般公共服务（类）人大事务（款）一般行政管理事务（项）:</w:t>
      </w:r>
      <w:r>
        <w:rPr>
          <w:rFonts w:hint="eastAsia"/>
          <w:b/>
          <w:sz w:val="30"/>
          <w:szCs w:val="24"/>
          <w:lang w:eastAsia="zh-CN"/>
        </w:rPr>
        <w:t>：</w:t>
      </w:r>
      <w:r>
        <w:rPr>
          <w:rFonts w:hint="eastAsia"/>
          <w:sz w:val="30"/>
          <w:szCs w:val="24"/>
        </w:rPr>
        <w:t>出决算为463.65万元，完成预算100%。</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一般公共服务（类）人大事务（款）人大会议（项）:</w:t>
      </w:r>
      <w:r>
        <w:rPr>
          <w:rFonts w:hint="eastAsia"/>
          <w:b/>
          <w:sz w:val="30"/>
          <w:szCs w:val="24"/>
          <w:lang w:eastAsia="zh-CN"/>
        </w:rPr>
        <w:t>：</w:t>
      </w:r>
      <w:r>
        <w:rPr>
          <w:rFonts w:hint="eastAsia"/>
          <w:sz w:val="30"/>
          <w:szCs w:val="24"/>
        </w:rPr>
        <w:t>出决算为106.74万元，完成预算100%。</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一般公共服务（类）人大事务（款）人大立法（项）:</w:t>
      </w:r>
      <w:r>
        <w:rPr>
          <w:rFonts w:hint="eastAsia"/>
          <w:b/>
          <w:sz w:val="30"/>
          <w:szCs w:val="24"/>
          <w:lang w:eastAsia="zh-CN"/>
        </w:rPr>
        <w:t>：</w:t>
      </w:r>
      <w:r>
        <w:rPr>
          <w:rFonts w:hint="eastAsia"/>
          <w:sz w:val="30"/>
          <w:szCs w:val="24"/>
        </w:rPr>
        <w:t>出决算为25万元，完成预算100%。</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一般公共服务（类）人大事务（款）人大监督（项）</w:t>
      </w:r>
      <w:r>
        <w:rPr>
          <w:rFonts w:hint="eastAsia"/>
          <w:sz w:val="30"/>
          <w:szCs w:val="24"/>
        </w:rPr>
        <w:t>:</w:t>
      </w:r>
      <w:r>
        <w:rPr>
          <w:rFonts w:hint="eastAsia"/>
          <w:sz w:val="30"/>
          <w:szCs w:val="24"/>
          <w:lang w:eastAsia="zh-CN"/>
        </w:rPr>
        <w:t>：</w:t>
      </w:r>
      <w:r>
        <w:rPr>
          <w:rFonts w:hint="eastAsia"/>
          <w:sz w:val="30"/>
          <w:szCs w:val="24"/>
        </w:rPr>
        <w:t>出决算为43万元，完成预算100%。</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一般公共服务（类）人大事务（款）人大代表履职能力提升（项）:</w:t>
      </w:r>
      <w:r>
        <w:rPr>
          <w:rFonts w:hint="eastAsia"/>
          <w:b/>
          <w:sz w:val="30"/>
          <w:szCs w:val="24"/>
          <w:lang w:eastAsia="zh-CN"/>
        </w:rPr>
        <w:t>：</w:t>
      </w:r>
      <w:r>
        <w:rPr>
          <w:rFonts w:hint="eastAsia"/>
          <w:sz w:val="30"/>
          <w:szCs w:val="24"/>
        </w:rPr>
        <w:t>出决算为27万元，完成预算100%。</w:t>
      </w:r>
    </w:p>
    <w:p>
      <w:pPr>
        <w:pStyle w:val="2"/>
        <w:numPr>
          <w:ilvl w:val="0"/>
          <w:numId w:val="3"/>
        </w:numPr>
        <w:spacing w:afterLines="0"/>
        <w:ind w:left="0" w:leftChars="0" w:firstLine="400" w:firstLineChars="0"/>
        <w:rPr>
          <w:rFonts w:hint="eastAsia"/>
          <w:sz w:val="30"/>
          <w:szCs w:val="24"/>
        </w:rPr>
      </w:pPr>
      <w:r>
        <w:rPr>
          <w:rFonts w:hint="eastAsia"/>
          <w:b/>
          <w:sz w:val="30"/>
          <w:szCs w:val="24"/>
        </w:rPr>
        <w:t>一般公共服务（类）人大事务（款）代表工作（项）:</w:t>
      </w:r>
      <w:r>
        <w:rPr>
          <w:rFonts w:hint="eastAsia"/>
          <w:b/>
          <w:sz w:val="30"/>
          <w:szCs w:val="24"/>
          <w:lang w:eastAsia="zh-CN"/>
        </w:rPr>
        <w:t>：</w:t>
      </w:r>
      <w:r>
        <w:rPr>
          <w:rFonts w:hint="eastAsia"/>
          <w:sz w:val="30"/>
          <w:szCs w:val="24"/>
        </w:rPr>
        <w:t>出决算为58.81万元，完成预算100%。</w:t>
      </w:r>
    </w:p>
    <w:p>
      <w:pPr>
        <w:pStyle w:val="2"/>
        <w:numPr>
          <w:ilvl w:val="0"/>
          <w:numId w:val="3"/>
        </w:numPr>
        <w:spacing w:afterLines="0"/>
        <w:ind w:left="0" w:leftChars="0" w:firstLine="400" w:firstLineChars="0"/>
        <w:rPr>
          <w:rFonts w:hint="eastAsia"/>
          <w:b/>
          <w:bCs/>
          <w:lang w:val="en-US" w:eastAsia="zh-CN"/>
        </w:rPr>
      </w:pPr>
      <w:r>
        <w:rPr>
          <w:rFonts w:hint="eastAsia"/>
          <w:b/>
          <w:sz w:val="30"/>
          <w:szCs w:val="24"/>
        </w:rPr>
        <w:t>一般公共服务（类）人大事务（款）人大信访工作（项）:</w:t>
      </w:r>
      <w:r>
        <w:rPr>
          <w:rFonts w:hint="eastAsia"/>
          <w:b/>
          <w:sz w:val="30"/>
          <w:szCs w:val="24"/>
          <w:lang w:eastAsia="zh-CN"/>
        </w:rPr>
        <w:t>：</w:t>
      </w:r>
      <w:r>
        <w:rPr>
          <w:rFonts w:hint="eastAsia"/>
          <w:sz w:val="30"/>
          <w:szCs w:val="24"/>
        </w:rPr>
        <w:t>出决算为4.5万元，完成预算100%。</w:t>
      </w:r>
    </w:p>
    <w:p>
      <w:pPr>
        <w:pStyle w:val="2"/>
        <w:numPr>
          <w:ilvl w:val="0"/>
          <w:numId w:val="3"/>
        </w:numPr>
        <w:ind w:left="0" w:leftChars="0" w:firstLine="400" w:firstLineChars="0"/>
        <w:rPr>
          <w:rFonts w:hint="eastAsia"/>
          <w:lang w:eastAsia="zh-CN"/>
        </w:rPr>
      </w:pPr>
      <w:r>
        <w:rPr>
          <w:rFonts w:hint="eastAsia"/>
          <w:b/>
          <w:bCs/>
        </w:rPr>
        <w:t>社会保障和就业（类）</w:t>
      </w:r>
      <w:r>
        <w:rPr>
          <w:rFonts w:hint="eastAsia"/>
          <w:b/>
          <w:bCs/>
          <w:lang w:eastAsia="zh-CN"/>
        </w:rPr>
        <w:t>行政事业单位养老支出</w:t>
      </w:r>
      <w:r>
        <w:rPr>
          <w:rFonts w:hint="eastAsia"/>
          <w:b/>
          <w:bCs/>
        </w:rPr>
        <w:t>（款）</w:t>
      </w:r>
      <w:r>
        <w:rPr>
          <w:rFonts w:hint="eastAsia"/>
          <w:b/>
          <w:bCs/>
          <w:lang w:eastAsia="zh-CN"/>
        </w:rPr>
        <w:t>行政单位离退休</w:t>
      </w:r>
      <w:r>
        <w:rPr>
          <w:rFonts w:hint="eastAsia"/>
          <w:b/>
          <w:bCs/>
        </w:rPr>
        <w:t>（项）</w:t>
      </w:r>
      <w:r>
        <w:rPr>
          <w:rFonts w:hint="eastAsia"/>
          <w:b/>
          <w:bCs/>
          <w:lang w:eastAsia="zh-CN"/>
        </w:rPr>
        <w:t>：</w:t>
      </w:r>
      <w:r>
        <w:rPr>
          <w:rFonts w:hint="eastAsia"/>
        </w:rPr>
        <w:t>支出决算为</w:t>
      </w:r>
      <w:r>
        <w:rPr>
          <w:rFonts w:hint="eastAsia"/>
          <w:lang w:val="en-US" w:eastAsia="zh-CN"/>
        </w:rPr>
        <w:t>17.45</w:t>
      </w:r>
      <w:r>
        <w:rPr>
          <w:rFonts w:hint="eastAsia"/>
        </w:rPr>
        <w:t>万元，完成预算</w:t>
      </w:r>
      <w:r>
        <w:rPr>
          <w:rFonts w:hint="eastAsia"/>
          <w:lang w:val="en-US" w:eastAsia="zh-CN"/>
        </w:rPr>
        <w:t>100</w:t>
      </w:r>
      <w:r>
        <w:rPr>
          <w:rFonts w:hint="eastAsia"/>
        </w:rPr>
        <w:t>%</w:t>
      </w:r>
      <w:r>
        <w:rPr>
          <w:rFonts w:hint="eastAsia"/>
          <w:lang w:eastAsia="zh-CN"/>
        </w:rPr>
        <w:t>；</w:t>
      </w:r>
    </w:p>
    <w:p>
      <w:pPr>
        <w:pStyle w:val="2"/>
        <w:numPr>
          <w:ilvl w:val="0"/>
          <w:numId w:val="3"/>
        </w:numPr>
        <w:ind w:left="0" w:leftChars="0" w:firstLine="400" w:firstLineChars="0"/>
        <w:rPr>
          <w:rFonts w:hint="eastAsia"/>
          <w:lang w:eastAsia="zh-CN"/>
        </w:rPr>
      </w:pPr>
      <w:r>
        <w:rPr>
          <w:rFonts w:hint="eastAsia"/>
          <w:b/>
          <w:bCs/>
          <w:lang w:eastAsia="zh-CN"/>
        </w:rPr>
        <w:t>社会保障和就业（类）行政事业单位养老支出（款）机关事业单位基本养老保险缴费支出</w:t>
      </w:r>
      <w:r>
        <w:rPr>
          <w:rFonts w:hint="eastAsia"/>
          <w:b/>
          <w:bCs/>
        </w:rPr>
        <w:t>（项）</w:t>
      </w:r>
      <w:r>
        <w:rPr>
          <w:rFonts w:hint="eastAsia"/>
        </w:rPr>
        <w:t>支出决算为</w:t>
      </w:r>
      <w:r>
        <w:rPr>
          <w:rFonts w:hint="eastAsia"/>
          <w:lang w:val="en-US" w:eastAsia="zh-CN"/>
        </w:rPr>
        <w:t>115.96</w:t>
      </w:r>
      <w:r>
        <w:rPr>
          <w:rFonts w:hint="eastAsia"/>
        </w:rPr>
        <w:t>万元，完成预算</w:t>
      </w:r>
      <w:r>
        <w:rPr>
          <w:rFonts w:hint="eastAsia"/>
          <w:lang w:val="en-US" w:eastAsia="zh-CN"/>
        </w:rPr>
        <w:t>100</w:t>
      </w:r>
      <w:r>
        <w:rPr>
          <w:rFonts w:hint="eastAsia"/>
        </w:rPr>
        <w:t>%</w:t>
      </w:r>
      <w:r>
        <w:rPr>
          <w:rFonts w:hint="eastAsia"/>
          <w:lang w:eastAsia="zh-CN"/>
        </w:rPr>
        <w:t>；</w:t>
      </w:r>
    </w:p>
    <w:p>
      <w:pPr>
        <w:pStyle w:val="2"/>
        <w:numPr>
          <w:ilvl w:val="0"/>
          <w:numId w:val="3"/>
        </w:numPr>
        <w:ind w:left="0" w:leftChars="0" w:firstLine="400" w:firstLineChars="0"/>
        <w:rPr>
          <w:rFonts w:hint="eastAsia"/>
          <w:lang w:eastAsia="zh-CN"/>
        </w:rPr>
      </w:pPr>
      <w:r>
        <w:rPr>
          <w:rFonts w:hint="eastAsia"/>
          <w:b/>
          <w:bCs/>
        </w:rPr>
        <w:t>社会保障和就业（类）行政事业单位养老支出（款）机关事业单位职业年金缴费支出（项）</w:t>
      </w:r>
      <w:r>
        <w:rPr>
          <w:rFonts w:hint="eastAsia"/>
        </w:rPr>
        <w:t>支出决算为</w:t>
      </w:r>
      <w:r>
        <w:rPr>
          <w:rFonts w:hint="eastAsia"/>
          <w:lang w:val="en-US" w:eastAsia="zh-CN"/>
        </w:rPr>
        <w:t>41.17</w:t>
      </w:r>
      <w:r>
        <w:rPr>
          <w:rFonts w:hint="eastAsia"/>
        </w:rPr>
        <w:t>万元</w:t>
      </w:r>
      <w:r>
        <w:rPr>
          <w:rFonts w:hint="eastAsia"/>
          <w:lang w:eastAsia="zh-CN"/>
        </w:rPr>
        <w:t>，</w:t>
      </w:r>
      <w:r>
        <w:rPr>
          <w:rFonts w:hint="eastAsia"/>
        </w:rPr>
        <w:t>完成预算</w:t>
      </w:r>
      <w:r>
        <w:rPr>
          <w:rFonts w:hint="eastAsia"/>
          <w:lang w:val="en-US" w:eastAsia="zh-CN"/>
        </w:rPr>
        <w:t>100</w:t>
      </w:r>
      <w:r>
        <w:rPr>
          <w:rFonts w:hint="eastAsia"/>
        </w:rPr>
        <w:t>%</w:t>
      </w:r>
      <w:r>
        <w:rPr>
          <w:rFonts w:hint="eastAsia"/>
          <w:lang w:eastAsia="zh-CN"/>
        </w:rPr>
        <w:t>；</w:t>
      </w:r>
    </w:p>
    <w:p>
      <w:pPr>
        <w:pStyle w:val="2"/>
        <w:numPr>
          <w:ilvl w:val="0"/>
          <w:numId w:val="3"/>
        </w:numPr>
        <w:ind w:left="0" w:leftChars="0" w:firstLine="400" w:firstLineChars="0"/>
        <w:rPr>
          <w:rFonts w:hint="eastAsia"/>
        </w:rPr>
      </w:pPr>
      <w:r>
        <w:rPr>
          <w:rFonts w:hint="eastAsia"/>
          <w:b/>
          <w:bCs/>
          <w:lang w:eastAsia="zh-CN"/>
        </w:rPr>
        <w:t>社会保障和就业（类）抚恤（款）死亡抚恤（项）</w:t>
      </w:r>
      <w:r>
        <w:rPr>
          <w:rFonts w:hint="eastAsia"/>
          <w:lang w:eastAsia="zh-CN"/>
        </w:rPr>
        <w:t>支出决算为</w:t>
      </w:r>
      <w:r>
        <w:rPr>
          <w:rFonts w:hint="eastAsia"/>
          <w:lang w:val="en-US" w:eastAsia="zh-CN"/>
        </w:rPr>
        <w:t>62.6</w:t>
      </w:r>
      <w:r>
        <w:rPr>
          <w:rFonts w:hint="eastAsia"/>
          <w:lang w:eastAsia="zh-CN"/>
        </w:rPr>
        <w:t>万元，完成预算</w:t>
      </w:r>
      <w:r>
        <w:rPr>
          <w:rFonts w:hint="eastAsia"/>
          <w:lang w:val="en-US" w:eastAsia="zh-CN"/>
        </w:rPr>
        <w:t>100</w:t>
      </w:r>
      <w:r>
        <w:rPr>
          <w:rFonts w:hint="eastAsia"/>
          <w:lang w:eastAsia="zh-CN"/>
        </w:rPr>
        <w:t>%；</w:t>
      </w:r>
      <w:r>
        <w:rPr>
          <w:rFonts w:hint="eastAsia"/>
        </w:rPr>
        <w:t>决算数</w:t>
      </w:r>
      <w:r>
        <w:rPr>
          <w:rFonts w:hint="eastAsia"/>
          <w:lang w:eastAsia="zh-CN"/>
        </w:rPr>
        <w:t>等</w:t>
      </w:r>
      <w:r>
        <w:rPr>
          <w:rFonts w:hint="eastAsia"/>
        </w:rPr>
        <w:t>于预算数的主要原因是</w:t>
      </w:r>
      <w:r>
        <w:rPr>
          <w:rFonts w:hint="eastAsia"/>
          <w:lang w:eastAsia="zh-CN"/>
        </w:rPr>
        <w:t>严格执行预算支出</w:t>
      </w:r>
      <w:r>
        <w:rPr>
          <w:rFonts w:hint="eastAsia"/>
        </w:rPr>
        <w:t>。</w:t>
      </w:r>
    </w:p>
    <w:p>
      <w:pPr>
        <w:pStyle w:val="2"/>
        <w:numPr>
          <w:ilvl w:val="0"/>
          <w:numId w:val="3"/>
        </w:numPr>
        <w:ind w:left="0" w:leftChars="0" w:firstLine="400" w:firstLineChars="0"/>
        <w:rPr>
          <w:rFonts w:hint="eastAsia"/>
        </w:rPr>
      </w:pPr>
      <w:r>
        <w:rPr>
          <w:rFonts w:hint="eastAsia"/>
          <w:b/>
          <w:bCs/>
          <w:lang w:val="en-US" w:eastAsia="zh-CN"/>
        </w:rPr>
        <w:t>社会保障和就业（类）其他社会保障和就业支出（款）其他社会保障和就业支出（项）</w:t>
      </w:r>
      <w:r>
        <w:rPr>
          <w:rFonts w:hint="eastAsia"/>
          <w:b w:val="0"/>
          <w:bCs w:val="0"/>
          <w:lang w:val="en-US" w:eastAsia="zh-CN"/>
        </w:rPr>
        <w:t>支出决算为8.05万元，完成预算100%；</w:t>
      </w:r>
    </w:p>
    <w:p>
      <w:pPr>
        <w:pStyle w:val="2"/>
        <w:numPr>
          <w:ilvl w:val="0"/>
          <w:numId w:val="3"/>
        </w:numPr>
        <w:ind w:left="0" w:leftChars="0" w:firstLine="400" w:firstLineChars="0"/>
        <w:rPr>
          <w:rFonts w:hint="eastAsia"/>
          <w:lang w:eastAsia="zh-CN"/>
        </w:rPr>
      </w:pPr>
      <w:r>
        <w:rPr>
          <w:rFonts w:hint="eastAsia"/>
          <w:b/>
          <w:bCs/>
          <w:lang w:eastAsia="zh-CN"/>
        </w:rPr>
        <w:t>卫生健康（类）行政事业单位医疗（款）行政单位医疗（项）：</w:t>
      </w:r>
      <w:r>
        <w:rPr>
          <w:rFonts w:hint="eastAsia"/>
        </w:rPr>
        <w:t>支出决算为</w:t>
      </w:r>
      <w:r>
        <w:rPr>
          <w:rFonts w:hint="eastAsia"/>
          <w:lang w:val="en-US" w:eastAsia="zh-CN"/>
        </w:rPr>
        <w:t>57.98</w:t>
      </w:r>
      <w:r>
        <w:rPr>
          <w:rFonts w:hint="eastAsia"/>
        </w:rPr>
        <w:t>万元，完成预算</w:t>
      </w:r>
      <w:r>
        <w:rPr>
          <w:rFonts w:hint="eastAsia"/>
          <w:lang w:val="en-US" w:eastAsia="zh-CN"/>
        </w:rPr>
        <w:t>100</w:t>
      </w:r>
      <w:r>
        <w:rPr>
          <w:rFonts w:hint="eastAsia"/>
        </w:rPr>
        <w:t>%</w:t>
      </w:r>
      <w:r>
        <w:rPr>
          <w:rFonts w:hint="eastAsia"/>
          <w:lang w:eastAsia="zh-CN"/>
        </w:rPr>
        <w:t>。</w:t>
      </w:r>
    </w:p>
    <w:p>
      <w:pPr>
        <w:pStyle w:val="2"/>
        <w:numPr>
          <w:ilvl w:val="0"/>
          <w:numId w:val="3"/>
        </w:numPr>
        <w:ind w:left="0" w:leftChars="0" w:firstLine="400" w:firstLineChars="0"/>
        <w:rPr>
          <w:rFonts w:hint="eastAsia"/>
          <w:lang w:eastAsia="zh-CN"/>
        </w:rPr>
      </w:pPr>
      <w:r>
        <w:rPr>
          <w:rFonts w:hint="eastAsia"/>
          <w:b/>
          <w:bCs/>
          <w:lang w:val="en-US" w:eastAsia="zh-CN"/>
        </w:rPr>
        <w:t>住房保障支出</w:t>
      </w:r>
      <w:r>
        <w:rPr>
          <w:rFonts w:hint="eastAsia"/>
          <w:b/>
          <w:bCs/>
          <w:lang w:eastAsia="zh-CN"/>
        </w:rPr>
        <w:t>（类）住房改革支出（款）住房公积金（项）：</w:t>
      </w:r>
      <w:r>
        <w:rPr>
          <w:rFonts w:hint="eastAsia"/>
          <w:lang w:eastAsia="zh-CN"/>
        </w:rPr>
        <w:t>支出决算为</w:t>
      </w:r>
      <w:r>
        <w:rPr>
          <w:rFonts w:hint="eastAsia"/>
          <w:lang w:val="en-US" w:eastAsia="zh-CN"/>
        </w:rPr>
        <w:t>117.19</w:t>
      </w:r>
      <w:r>
        <w:rPr>
          <w:rFonts w:hint="eastAsia"/>
          <w:lang w:eastAsia="zh-CN"/>
        </w:rPr>
        <w:t>万元，完成预算</w:t>
      </w:r>
      <w:r>
        <w:rPr>
          <w:rFonts w:hint="eastAsia"/>
          <w:lang w:val="en-US" w:eastAsia="zh-CN"/>
        </w:rPr>
        <w:t>100</w:t>
      </w:r>
      <w:r>
        <w:rPr>
          <w:rFonts w:hint="eastAsia"/>
          <w:lang w:eastAsia="zh-CN"/>
        </w:rPr>
        <w:t>%。</w:t>
      </w:r>
    </w:p>
    <w:p>
      <w:pPr>
        <w:tabs>
          <w:tab w:val="right" w:pos="8306"/>
        </w:tabs>
        <w:spacing w:line="600" w:lineRule="exact"/>
        <w:ind w:firstLine="640"/>
        <w:outlineLvl w:val="1"/>
        <w:rPr>
          <w:rStyle w:val="20"/>
          <w:color w:val="auto"/>
          <w:highlight w:val="none"/>
        </w:rPr>
      </w:pPr>
      <w:bookmarkStart w:id="49" w:name="_Toc11932"/>
      <w:bookmarkStart w:id="50" w:name="_Toc15396608"/>
      <w:bookmarkStart w:id="5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9"/>
      <w:bookmarkEnd w:id="50"/>
      <w:bookmarkEnd w:id="51"/>
      <w:r>
        <w:rPr>
          <w:rStyle w:val="2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年一般公共预算财政拨款基本支出2355.63万元，其中：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人员经费2059.65万元，主要包括：基本工资、津贴补贴、奖金、机关事业单位基本养老保险缴费、职业年金缴费、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其他工资福利支出、离休费、抚恤金、生活补助、其他对个人和家庭的补助等。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公用经费295.98万元，主要包括：办公费、印刷费、水费、电费、邮电费、物业管理费、差旅费、维修（护）费、会议费、培训费、公务接待费、劳务费、工会经费、</w:t>
      </w:r>
      <w:r>
        <w:rPr>
          <w:rFonts w:hint="eastAsia" w:ascii="仿宋" w:hAnsi="仿宋" w:eastAsia="仿宋"/>
          <w:color w:val="auto"/>
          <w:sz w:val="32"/>
          <w:szCs w:val="32"/>
          <w:highlight w:val="none"/>
          <w:lang w:eastAsia="zh-CN"/>
        </w:rPr>
        <w:t>福利费、</w:t>
      </w:r>
      <w:r>
        <w:rPr>
          <w:rFonts w:hint="eastAsia" w:ascii="仿宋" w:hAnsi="仿宋" w:eastAsia="仿宋"/>
          <w:color w:val="auto"/>
          <w:sz w:val="32"/>
          <w:szCs w:val="32"/>
          <w:highlight w:val="none"/>
        </w:rPr>
        <w:t>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、其他商品和服务支出、办公设备购置等。</w:t>
      </w:r>
    </w:p>
    <w:p>
      <w:pPr>
        <w:spacing w:line="600" w:lineRule="exact"/>
        <w:ind w:firstLine="640"/>
        <w:outlineLvl w:val="1"/>
        <w:rPr>
          <w:rStyle w:val="20"/>
          <w:rFonts w:ascii="黑体" w:hAnsi="黑体" w:eastAsia="黑体"/>
          <w:b w:val="0"/>
          <w:color w:val="auto"/>
          <w:highlight w:val="none"/>
        </w:rPr>
      </w:pPr>
      <w:bookmarkStart w:id="52" w:name="_Toc15377215"/>
      <w:bookmarkStart w:id="53" w:name="_Toc15396609"/>
      <w:bookmarkStart w:id="54" w:name="_Toc9972"/>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19.33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pict>
          <v:shape id="Object 9" o:spid="_x0000_s1032" o:spt="75" type="#_x0000_t75" style="position:absolute;left:0pt;margin-left:27.3pt;margin-top:0.85pt;height:207.05pt;width:434.25pt;z-index:-251650048;mso-width-relative:page;mso-height-relative:page;" o:ole="t" filled="f" o:preferrelative="t" stroked="f" coordsize="21600,21600">
            <v:path/>
            <v:fill on="f" focussize="0,0"/>
            <v:stroke on="f"/>
            <v:imagedata r:id="rId20" o:title=""/>
            <o:lock v:ext="edit" aspectratio="t"/>
          </v:shape>
          <o:OLEObject Type="Embed" ProgID="MSGraph.Chart.8" ShapeID="Object 9" DrawAspect="Content" ObjectID="_1468075731" r:id="rId19">
            <o:LockedField>false</o:LockedField>
          </o:OLEObject>
        </w:pic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lang w:eastAsia="zh-CN"/>
        </w:rPr>
        <w:t>年初未安排预算</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因公出国（境）</w:t>
      </w:r>
      <w:r>
        <w:rPr>
          <w:rFonts w:hint="eastAsia" w:ascii="仿宋_GB2312" w:eastAsia="仿宋_GB2312"/>
          <w:color w:val="auto"/>
          <w:sz w:val="32"/>
          <w:szCs w:val="32"/>
          <w:highlight w:val="none"/>
          <w:lang w:eastAsia="zh-CN"/>
        </w:rPr>
        <w:t>支出决算较202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5.67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压缩开支，减少一般公共预算支出。</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eastAsia="zh-CN"/>
        </w:rPr>
        <w:t>未安排预算资金。</w:t>
      </w:r>
      <w:r>
        <w:rPr>
          <w:rFonts w:hint="eastAsia" w:ascii="仿宋_GB2312" w:eastAsia="仿宋_GB2312"/>
          <w:color w:val="auto"/>
          <w:sz w:val="32"/>
          <w:szCs w:val="32"/>
          <w:highlight w:val="none"/>
        </w:rPr>
        <w:t>截至20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年12月底，单位共有公务用车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spacing w:line="600" w:lineRule="exact"/>
        <w:ind w:firstLine="645"/>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万元。主要用于市区外公务出行、离退休干部工作保障、人大会议保障、法律法规实施检查、视察调查、监督评议、</w:t>
      </w:r>
      <w:r>
        <w:rPr>
          <w:rFonts w:hint="eastAsia" w:ascii="仿宋_GB2312" w:eastAsia="仿宋_GB2312"/>
          <w:color w:val="auto"/>
          <w:sz w:val="32"/>
          <w:szCs w:val="32"/>
          <w:highlight w:val="none"/>
          <w:lang w:eastAsia="zh-CN"/>
        </w:rPr>
        <w:t>乡村振兴</w:t>
      </w:r>
      <w:r>
        <w:rPr>
          <w:rFonts w:hint="eastAsia" w:ascii="仿宋_GB2312" w:eastAsia="仿宋_GB2312"/>
          <w:color w:val="auto"/>
          <w:sz w:val="32"/>
          <w:szCs w:val="32"/>
          <w:highlight w:val="none"/>
        </w:rPr>
        <w:t>、人大代表</w:t>
      </w:r>
      <w:r>
        <w:rPr>
          <w:rFonts w:hint="eastAsia" w:ascii="仿宋_GB2312" w:eastAsia="仿宋_GB2312"/>
          <w:color w:val="auto"/>
          <w:sz w:val="32"/>
          <w:szCs w:val="32"/>
          <w:highlight w:val="none"/>
          <w:lang w:eastAsia="zh-CN"/>
        </w:rPr>
        <w:t>集中调研</w:t>
      </w:r>
      <w:r>
        <w:rPr>
          <w:rFonts w:hint="eastAsia" w:ascii="仿宋_GB2312" w:eastAsia="仿宋_GB2312"/>
          <w:color w:val="auto"/>
          <w:sz w:val="32"/>
          <w:szCs w:val="32"/>
          <w:highlight w:val="none"/>
        </w:rPr>
        <w:t>、代表活动、立法调研</w:t>
      </w:r>
      <w:r>
        <w:rPr>
          <w:rFonts w:hint="eastAsia" w:ascii="仿宋_GB2312" w:eastAsia="仿宋_GB2312"/>
          <w:color w:val="auto"/>
          <w:sz w:val="32"/>
          <w:szCs w:val="32"/>
          <w:highlight w:val="none"/>
          <w:lang w:eastAsia="zh-CN"/>
        </w:rPr>
        <w:t>、专题调研</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2.33</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3.37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省内外来访人次比上年减少</w:t>
      </w:r>
      <w:r>
        <w:rPr>
          <w:rFonts w:hint="eastAsia" w:ascii="仿宋_GB2312" w:eastAsia="仿宋_GB2312"/>
          <w:color w:val="auto"/>
          <w:sz w:val="32"/>
          <w:szCs w:val="32"/>
          <w:highlight w:val="none"/>
        </w:rPr>
        <w:t>。其中：</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2.33</w:t>
      </w:r>
      <w:r>
        <w:rPr>
          <w:rFonts w:hint="eastAsia" w:ascii="仿宋_GB2312" w:eastAsia="仿宋_GB2312"/>
          <w:color w:val="auto"/>
          <w:sz w:val="32"/>
          <w:szCs w:val="32"/>
          <w:highlight w:val="none"/>
        </w:rPr>
        <w:t>万元，主要用于接待国内各级人大来客来访执行公务、开展业务活动开支的交通费、住宿费、用餐费等。国内公务接待</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2.33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w:t>
      </w:r>
      <w:r>
        <w:rPr>
          <w:rFonts w:hint="eastAsia" w:ascii="仿宋_GB2312" w:eastAsia="仿宋_GB2312"/>
          <w:color w:val="auto"/>
          <w:sz w:val="32"/>
          <w:szCs w:val="32"/>
          <w:highlight w:val="none"/>
        </w:rPr>
        <w:t>省</w:t>
      </w:r>
      <w:r>
        <w:rPr>
          <w:rFonts w:hint="eastAsia" w:ascii="仿宋_GB2312" w:eastAsia="仿宋_GB2312"/>
          <w:color w:val="auto"/>
          <w:sz w:val="32"/>
          <w:szCs w:val="32"/>
          <w:highlight w:val="none"/>
          <w:lang w:eastAsia="zh-CN"/>
        </w:rPr>
        <w:t>人大来广元调研检查考察</w:t>
      </w:r>
      <w:r>
        <w:rPr>
          <w:rFonts w:hint="eastAsia" w:ascii="仿宋_GB2312" w:eastAsia="仿宋_GB2312"/>
          <w:color w:val="auto"/>
          <w:sz w:val="32"/>
          <w:szCs w:val="32"/>
          <w:highlight w:val="none"/>
          <w:lang w:val="en-US" w:eastAsia="zh-CN"/>
        </w:rPr>
        <w:t>0.82万元；</w:t>
      </w:r>
      <w:r>
        <w:rPr>
          <w:rFonts w:hint="eastAsia" w:ascii="仿宋_GB2312" w:eastAsia="仿宋_GB2312"/>
          <w:color w:val="auto"/>
          <w:sz w:val="32"/>
          <w:szCs w:val="32"/>
          <w:highlight w:val="none"/>
          <w:lang w:eastAsia="zh-CN"/>
        </w:rPr>
        <w:t>接待外省</w:t>
      </w:r>
      <w:r>
        <w:rPr>
          <w:rFonts w:hint="eastAsia" w:ascii="仿宋_GB2312" w:eastAsia="仿宋_GB2312"/>
          <w:color w:val="auto"/>
          <w:sz w:val="32"/>
          <w:szCs w:val="32"/>
          <w:highlight w:val="none"/>
        </w:rPr>
        <w:t>市州</w:t>
      </w:r>
      <w:r>
        <w:rPr>
          <w:rFonts w:hint="eastAsia" w:ascii="仿宋_GB2312" w:eastAsia="仿宋_GB2312"/>
          <w:color w:val="auto"/>
          <w:sz w:val="32"/>
          <w:szCs w:val="32"/>
          <w:highlight w:val="none"/>
          <w:lang w:eastAsia="zh-CN"/>
        </w:rPr>
        <w:t>来广元学习考察</w:t>
      </w:r>
      <w:r>
        <w:rPr>
          <w:rFonts w:hint="eastAsia" w:ascii="仿宋_GB2312" w:eastAsia="仿宋_GB2312"/>
          <w:color w:val="auto"/>
          <w:sz w:val="32"/>
          <w:szCs w:val="32"/>
          <w:highlight w:val="none"/>
          <w:lang w:val="en-US" w:eastAsia="zh-CN"/>
        </w:rPr>
        <w:t>1.18万元；接待</w:t>
      </w:r>
      <w:r>
        <w:rPr>
          <w:rFonts w:hint="eastAsia" w:ascii="仿宋_GB2312" w:eastAsia="仿宋_GB2312"/>
          <w:color w:val="auto"/>
          <w:sz w:val="32"/>
          <w:szCs w:val="32"/>
          <w:highlight w:val="none"/>
        </w:rPr>
        <w:t>县区人大来</w:t>
      </w:r>
      <w:r>
        <w:rPr>
          <w:rFonts w:hint="eastAsia" w:ascii="仿宋_GB2312" w:eastAsia="仿宋_GB2312"/>
          <w:color w:val="auto"/>
          <w:sz w:val="32"/>
          <w:szCs w:val="32"/>
          <w:highlight w:val="none"/>
          <w:lang w:eastAsia="zh-CN"/>
        </w:rPr>
        <w:t>广</w:t>
      </w:r>
      <w:r>
        <w:rPr>
          <w:rFonts w:hint="eastAsia" w:ascii="仿宋_GB2312" w:eastAsia="仿宋_GB2312"/>
          <w:color w:val="auto"/>
          <w:sz w:val="32"/>
          <w:szCs w:val="32"/>
          <w:highlight w:val="none"/>
          <w:lang w:val="en-US" w:eastAsia="zh-CN"/>
        </w:rPr>
        <w:t>元工作汇报及协调0.33万元</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7" w:name="_Toc15396610"/>
      <w:bookmarkStart w:id="58" w:name="_Toc15377218"/>
    </w:p>
    <w:p>
      <w:pPr>
        <w:spacing w:line="600" w:lineRule="exact"/>
        <w:ind w:firstLine="640"/>
        <w:outlineLvl w:val="1"/>
        <w:rPr>
          <w:rStyle w:val="20"/>
          <w:rFonts w:ascii="黑体" w:hAnsi="黑体" w:eastAsia="黑体"/>
          <w:color w:val="auto"/>
          <w:highlight w:val="none"/>
        </w:rPr>
      </w:pPr>
      <w:bookmarkStart w:id="59" w:name="_Toc12001"/>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0"/>
          <w:rFonts w:ascii="黑体" w:hAnsi="黑体" w:eastAsia="黑体"/>
          <w:b w:val="0"/>
          <w:color w:val="auto"/>
          <w:highlight w:val="none"/>
        </w:rPr>
      </w:pPr>
      <w:bookmarkStart w:id="60" w:name="_Toc15396611"/>
      <w:bookmarkStart w:id="61" w:name="_Toc31276"/>
      <w:bookmarkStart w:id="62" w:name="_Toc15377219"/>
      <w:r>
        <w:rPr>
          <w:rStyle w:val="20"/>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0"/>
          <w:rFonts w:hint="eastAsia" w:ascii="黑体" w:hAnsi="黑体" w:eastAsia="黑体"/>
          <w:b w:val="0"/>
          <w:color w:val="auto"/>
          <w:highlight w:val="none"/>
        </w:rPr>
      </w:pPr>
      <w:bookmarkStart w:id="63" w:name="_Toc15396612"/>
      <w:bookmarkStart w:id="64" w:name="_Toc15377221"/>
      <w:bookmarkStart w:id="65" w:name="_Toc3399"/>
      <w:r>
        <w:rPr>
          <w:rStyle w:val="20"/>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广元市人民代表大会常务委员会办公室</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295.98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47.42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厉行节约，压缩开支。</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广元市人民代表大会常务委员会办公室</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采购国产办公电脑</w:t>
      </w:r>
      <w:r>
        <w:rPr>
          <w:rFonts w:hint="eastAsia" w:ascii="仿宋_GB2312" w:eastAsia="仿宋_GB2312"/>
          <w:color w:val="auto"/>
          <w:sz w:val="32"/>
          <w:szCs w:val="32"/>
          <w:highlight w:val="none"/>
          <w:lang w:val="en-US" w:eastAsia="zh-CN"/>
        </w:rPr>
        <w:t>2台</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广元市人民代表大会常务委员会办公室</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人大立法、代表工作</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w:t>
      </w:r>
      <w:r>
        <w:rPr>
          <w:rFonts w:hint="default"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rPr>
        <w:t>全面开展绩效自评，形成</w:t>
      </w:r>
      <w:r>
        <w:rPr>
          <w:rFonts w:hint="eastAsia" w:ascii="仿宋_GB2312" w:hAnsi="仿宋_GB2312" w:eastAsia="仿宋_GB2312" w:cs="仿宋_GB2312"/>
          <w:color w:val="auto"/>
          <w:sz w:val="32"/>
          <w:szCs w:val="32"/>
          <w:highlight w:val="none"/>
          <w:lang w:eastAsia="zh-CN"/>
        </w:rPr>
        <w:t>广元市人民代表大会常务委员会办公室</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；代表工作经费、人大监督工作经费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人大常委会办公室</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zh-CN"/>
        </w:rPr>
        <w:t>广元市人民代表大会常务委员会办公室整体评价等级为优。</w:t>
      </w:r>
      <w:r>
        <w:rPr>
          <w:rFonts w:hint="eastAsia" w:ascii="仿宋_GB2312" w:hAnsi="仿宋_GB2312" w:eastAsia="仿宋_GB2312" w:cs="仿宋_GB2312"/>
          <w:color w:val="auto"/>
          <w:sz w:val="32"/>
          <w:szCs w:val="32"/>
          <w:highlight w:val="none"/>
          <w:lang w:eastAsia="zh-CN"/>
        </w:rPr>
        <w:t>代表工作、人大监督</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zh-CN"/>
        </w:rPr>
        <w:t>广元市人民代表大会常务委员会办公室项目评价等级为优。</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19"/>
          <w:rFonts w:ascii="黑体" w:hAnsi="黑体" w:eastAsia="黑体"/>
          <w:b w:val="0"/>
          <w:color w:val="auto"/>
          <w:highlight w:val="none"/>
        </w:rPr>
      </w:pPr>
      <w:bookmarkStart w:id="69" w:name="_Toc15396613"/>
      <w:bookmarkStart w:id="70" w:name="_Toc15377225"/>
      <w:bookmarkStart w:id="71" w:name="_Toc23157"/>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9"/>
        <w:numPr>
          <w:ilvl w:val="0"/>
          <w:numId w:val="6"/>
        </w:numPr>
        <w:spacing w:line="560" w:lineRule="exact"/>
        <w:ind w:left="0" w:leftChars="0" w:firstLine="400" w:firstLineChars="0"/>
        <w:outlineLvl w:val="1"/>
        <w:rPr>
          <w:rFonts w:ascii="仿宋_GB2312" w:eastAsia="仿宋_GB2312"/>
          <w:color w:val="auto"/>
          <w:sz w:val="32"/>
          <w:szCs w:val="32"/>
          <w:highlight w:val="none"/>
        </w:rPr>
      </w:pPr>
      <w:bookmarkStart w:id="72" w:name="_Toc28443"/>
      <w:bookmarkStart w:id="73" w:name="_Toc16125"/>
      <w:bookmarkStart w:id="74" w:name="_Toc15396614"/>
      <w:bookmarkStart w:id="75" w:name="_Toc15377226"/>
      <w:r>
        <w:rPr>
          <w:rFonts w:hint="eastAsia" w:ascii="仿宋_GB2312" w:eastAsia="仿宋_GB2312"/>
          <w:color w:val="auto"/>
          <w:sz w:val="32"/>
          <w:szCs w:val="32"/>
          <w:highlight w:val="none"/>
        </w:rPr>
        <w:t>财政拨款收入：指单位从同级财政部门取得的财政预算资金。</w:t>
      </w:r>
      <w:bookmarkEnd w:id="72"/>
      <w:bookmarkEnd w:id="73"/>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一般公共服务人大事务（类）人大事务（款）行政运行（项）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指基本工资、津贴补贴、奖金、绩效工资及商品服务支出。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一般公共服务人大事务（类）人大事务（款）一般行政管理事务（项）：指未列入科目的其他项目支出。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一般公共服务人大事务（类）人大事务（款）人大会议（项）：指人大召开人民代表大会等专门会议的支出；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一般公共服务人大事务（类）人大事务（款）人大立法（项）：指市人大及其常委会的立法方面的支出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一般公共服务人大事务（类）人大事务（款）人大监督（项）：指人大开展监督工作的支出。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一般公共服务人大事务（类）人大事务（款）人大代表履职能力提升（项）：指人大为提高代表履职能力所发生的各项支出。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一般公共服务人大事务（类）人大事务（款）代表工作（项）：指人大代表开展各类视察等方面的支出。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一般公共服务人大事务（类）人大事务（款）人大信访工作（项）：指人大处理来信来访工作的支出。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社会保障和就业（类）行政事业单位养老支出（款）行政单位离退休（项）：指离休人员工资支出。</w:t>
      </w:r>
    </w:p>
    <w:p>
      <w:pPr>
        <w:pStyle w:val="29"/>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社会保障和就业（类）行政事业单位养老支出（款）机关事业单位基本养老保险缴费支出（项）：指在职职工的基本养老保险缴费。</w:t>
      </w:r>
    </w:p>
    <w:p>
      <w:pPr>
        <w:pStyle w:val="29"/>
        <w:numPr>
          <w:ilvl w:val="0"/>
          <w:numId w:val="6"/>
        </w:numPr>
        <w:spacing w:line="560" w:lineRule="exact"/>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社会保障和就业（类）行政事业单位养老支出（款）机关事业单位职业年金缴费支出（项）：指在职职工的职业年金缴费支出。</w:t>
      </w:r>
    </w:p>
    <w:p>
      <w:pPr>
        <w:pStyle w:val="29"/>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社会保障和就业（类）抚恤（款）死亡抚恤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：指死亡的退休人员的抚恤金及丧葬费。</w:t>
      </w:r>
    </w:p>
    <w:p>
      <w:pPr>
        <w:pStyle w:val="29"/>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社会保障和就业（类）其他社会保障和就业支出（款）其他社会保障和就业支出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：指其他用于社会保障和就业方面的支出。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卫生健康支出（类）行政事业单位医疗（款）行政单位医疗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：指单位职工的医疗保险缴费。</w:t>
      </w:r>
    </w:p>
    <w:p>
      <w:pPr>
        <w:pStyle w:val="29"/>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住房保障（类）住房改革（款）住房公积金（项）：指单位在职职工缴纳公积金。</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Style w:val="19"/>
          <w:rFonts w:hint="eastAsia" w:ascii="黑体" w:hAnsi="黑体" w:eastAsia="黑体"/>
          <w:b w:val="0"/>
          <w:color w:val="auto"/>
          <w:highlight w:val="none"/>
          <w:lang w:eastAsia="zh-CN"/>
        </w:rPr>
      </w:pPr>
      <w:bookmarkStart w:id="76" w:name="_Toc19851"/>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四部分附件</w:t>
      </w:r>
      <w:bookmarkEnd w:id="74"/>
      <w:bookmarkEnd w:id="76"/>
    </w:p>
    <w:p>
      <w:pPr>
        <w:keepNext w:val="0"/>
        <w:keepLines w:val="0"/>
        <w:pageBreakBefore w:val="0"/>
        <w:kinsoku/>
        <w:wordWrap/>
        <w:overflowPunct/>
        <w:topLinePunct w:val="0"/>
        <w:autoSpaceDE/>
        <w:autoSpaceDN/>
        <w:bidi w:val="0"/>
        <w:spacing w:line="572" w:lineRule="exact"/>
        <w:jc w:val="left"/>
        <w:textAlignment w:val="auto"/>
        <w:outlineLvl w:val="1"/>
        <w:rPr>
          <w:rFonts w:hint="eastAsia"/>
          <w:lang w:val="en-US" w:eastAsia="zh-CN"/>
        </w:rPr>
      </w:pPr>
      <w:bookmarkStart w:id="77" w:name="_Toc27205"/>
      <w:r>
        <w:rPr>
          <w:rFonts w:hint="eastAsia" w:ascii="黑体" w:hAnsi="黑体" w:eastAsia="黑体" w:cs="黑体"/>
          <w:color w:val="auto"/>
          <w:sz w:val="32"/>
          <w:szCs w:val="32"/>
          <w:highlight w:val="none"/>
        </w:rPr>
        <w:t>附件</w:t>
      </w:r>
      <w:bookmarkEnd w:id="77"/>
    </w:p>
    <w:p>
      <w:pPr>
        <w:pStyle w:val="2"/>
        <w:jc w:val="center"/>
        <w:rPr>
          <w:rFonts w:hint="eastAsia"/>
        </w:rPr>
      </w:pPr>
      <w:r>
        <w:rPr>
          <w:rFonts w:hint="eastAsia" w:ascii="宋体" w:hAnsi="宋体" w:eastAsia="宋体" w:cs="Times New Roman"/>
          <w:b/>
          <w:color w:val="auto"/>
          <w:kern w:val="2"/>
          <w:sz w:val="32"/>
          <w:szCs w:val="32"/>
          <w:highlight w:val="none"/>
          <w:shd w:val="clear" w:color="auto" w:fill="FFFFFF"/>
          <w:lang w:val="en-US" w:eastAsia="zh-CN" w:bidi="ar-SA"/>
        </w:rPr>
        <w:t>2022年市级部门整体支出绩效自评报告</w:t>
      </w:r>
    </w:p>
    <w:p>
      <w:pPr>
        <w:pStyle w:val="2"/>
        <w:jc w:val="center"/>
        <w:rPr>
          <w:rFonts w:hint="eastAsia"/>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bidi="ar-SA"/>
        </w:rPr>
        <w:t>广元市人民代表大会常务委员会办公室</w:t>
      </w:r>
    </w:p>
    <w:p>
      <w:pPr>
        <w:pStyle w:val="2"/>
        <w:outlineLvl w:val="1"/>
        <w:rPr>
          <w:rFonts w:hint="eastAsia" w:ascii="黑体" w:hAnsi="宋体" w:eastAsia="黑体" w:cs="宋体"/>
          <w:color w:val="auto"/>
          <w:kern w:val="0"/>
          <w:sz w:val="32"/>
          <w:szCs w:val="32"/>
          <w:highlight w:val="none"/>
          <w:shd w:val="clear" w:color="auto" w:fill="FFFFFF"/>
          <w:lang w:val="zh-CN" w:eastAsia="zh-CN" w:bidi="ar-SA"/>
        </w:rPr>
      </w:pPr>
      <w:bookmarkStart w:id="78" w:name="_Toc1125"/>
      <w:r>
        <w:rPr>
          <w:rFonts w:hint="eastAsia" w:ascii="黑体" w:hAnsi="宋体" w:eastAsia="黑体" w:cs="宋体"/>
          <w:color w:val="auto"/>
          <w:kern w:val="0"/>
          <w:sz w:val="32"/>
          <w:szCs w:val="32"/>
          <w:highlight w:val="none"/>
          <w:shd w:val="clear" w:color="auto" w:fill="FFFFFF"/>
          <w:lang w:val="zh-CN" w:eastAsia="zh-CN" w:bidi="ar-SA"/>
        </w:rPr>
        <w:t>一、部门基本情况</w:t>
      </w:r>
      <w:bookmarkEnd w:id="78"/>
    </w:p>
    <w:p>
      <w:pPr>
        <w:pStyle w:val="2"/>
        <w:rPr>
          <w:rFonts w:hint="eastAsia"/>
          <w:lang w:val="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（一）机构组成。</w:t>
      </w:r>
      <w:r>
        <w:rPr>
          <w:rFonts w:hint="eastAsia"/>
          <w:lang w:val="zh-CN" w:eastAsia="zh-CN"/>
        </w:rPr>
        <w:t>广元市人民代表大会常务委员会办公室行政单位1个，其他事业单位1个（人大常委会办公室信息中心）。主要包括：广元市人大常委会机关是一个独立编制、独立核算的行政单位。市人大设置法制委员会、监察和司法委员会、教科文卫委员会、城乡建设环境资源保护委员会、社会建设委员会等5个专委会，市人大常委会设办公室、财经（预算）工作委员会、农业工作委员会、人事代表工作委员会、民族宗教外事侨务工作委员会、法制工作委员会、研究室、信访室等8个综合办事工作机构。</w:t>
      </w:r>
    </w:p>
    <w:p>
      <w:pPr>
        <w:pStyle w:val="2"/>
        <w:rPr>
          <w:rFonts w:hint="eastAsia"/>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（二）机构职能和人员概况。</w:t>
      </w:r>
      <w:r>
        <w:rPr>
          <w:rFonts w:hint="eastAsia"/>
          <w:lang w:val="zh-CN" w:eastAsia="zh-CN"/>
        </w:rPr>
        <w:t>广元市人民代表大会常务委员会按照宪法法律的规定，依法履行立法、讨论决定重大事项、监督、选举任免国家机关工作人员的职能，在本行政区域内行使以下职权：</w:t>
      </w:r>
    </w:p>
    <w:p>
      <w:pPr>
        <w:pStyle w:val="2"/>
        <w:ind w:firstLine="600" w:firstLineChars="200"/>
        <w:rPr>
          <w:rFonts w:hint="eastAsia"/>
          <w:lang w:val="zh-CN" w:eastAsia="zh-CN"/>
        </w:rPr>
      </w:pPr>
      <w:r>
        <w:rPr>
          <w:rFonts w:hint="eastAsia"/>
          <w:lang w:val="zh-CN" w:eastAsia="zh-CN"/>
        </w:rPr>
        <w:t>1、在本行政区域内，保证宪法、法律、行政法规和上级人民代表大会及其常务委员会决议的遵守和执行；</w:t>
      </w:r>
    </w:p>
    <w:p>
      <w:pPr>
        <w:pStyle w:val="2"/>
        <w:ind w:firstLine="600" w:firstLineChars="200"/>
        <w:rPr>
          <w:rFonts w:hint="eastAsia"/>
          <w:lang w:val="zh-CN" w:eastAsia="zh-CN"/>
        </w:rPr>
      </w:pPr>
      <w:r>
        <w:rPr>
          <w:rFonts w:hint="eastAsia"/>
          <w:lang w:val="zh-CN" w:eastAsia="zh-CN"/>
        </w:rPr>
        <w:t>2、对本市经济和社会生活中的重大问题组织调查研究、视察和监督。</w:t>
      </w:r>
    </w:p>
    <w:p>
      <w:pPr>
        <w:pStyle w:val="2"/>
        <w:ind w:firstLine="600" w:firstLineChars="200"/>
        <w:rPr>
          <w:rFonts w:hint="eastAsia"/>
          <w:lang w:val="zh-CN" w:eastAsia="zh-CN"/>
        </w:rPr>
      </w:pPr>
      <w:r>
        <w:rPr>
          <w:rFonts w:hint="eastAsia"/>
          <w:lang w:val="zh-CN" w:eastAsia="zh-CN"/>
        </w:rPr>
        <w:t>3、组织人大代表评议市“一府一委两院”的工作。</w:t>
      </w:r>
    </w:p>
    <w:p>
      <w:pPr>
        <w:pStyle w:val="2"/>
        <w:ind w:firstLine="600" w:firstLineChars="200"/>
        <w:rPr>
          <w:rFonts w:hint="eastAsia"/>
          <w:lang w:val="zh-CN" w:eastAsia="zh-CN"/>
        </w:rPr>
      </w:pPr>
      <w:r>
        <w:rPr>
          <w:rFonts w:hint="eastAsia"/>
          <w:lang w:val="zh-CN" w:eastAsia="zh-CN"/>
        </w:rPr>
        <w:t>4、督促市人代会期间代表议案、意见和建议的办理工作。</w:t>
      </w:r>
    </w:p>
    <w:p>
      <w:pPr>
        <w:pStyle w:val="2"/>
        <w:ind w:firstLine="600" w:firstLineChars="200"/>
        <w:rPr>
          <w:rFonts w:hint="eastAsia"/>
          <w:lang w:val="zh-CN" w:eastAsia="zh-CN"/>
        </w:rPr>
      </w:pPr>
      <w:r>
        <w:rPr>
          <w:rFonts w:hint="eastAsia"/>
          <w:lang w:val="zh-CN" w:eastAsia="zh-CN"/>
        </w:rPr>
        <w:t>5、办理市人大常委会任免范围内的干部任免手续。</w:t>
      </w:r>
    </w:p>
    <w:p>
      <w:pPr>
        <w:pStyle w:val="2"/>
        <w:ind w:firstLine="600" w:firstLineChars="200"/>
        <w:rPr>
          <w:rFonts w:hint="eastAsia"/>
          <w:lang w:val="zh-CN" w:eastAsia="zh-CN"/>
        </w:rPr>
      </w:pPr>
      <w:r>
        <w:rPr>
          <w:rFonts w:hint="eastAsia"/>
          <w:lang w:val="zh-CN" w:eastAsia="zh-CN"/>
        </w:rPr>
        <w:t>6、领导或者主持本级人民代表大会代表的选举。</w:t>
      </w:r>
    </w:p>
    <w:p>
      <w:pPr>
        <w:pStyle w:val="2"/>
        <w:ind w:firstLine="600" w:firstLineChars="200"/>
        <w:rPr>
          <w:rFonts w:hint="eastAsia"/>
          <w:lang w:val="zh-CN" w:eastAsia="zh-CN"/>
        </w:rPr>
      </w:pPr>
      <w:r>
        <w:rPr>
          <w:rFonts w:hint="eastAsia"/>
          <w:lang w:val="zh-CN" w:eastAsia="zh-CN"/>
        </w:rPr>
        <w:t>7、联系市人大代表，组织代表视察、检查和接访选民活动，督促代表视察、检查和接访活动中提出意见、建议的办理工作。</w:t>
      </w:r>
    </w:p>
    <w:p>
      <w:pPr>
        <w:pStyle w:val="2"/>
        <w:ind w:firstLine="600" w:firstLineChars="200"/>
        <w:rPr>
          <w:rFonts w:hint="eastAsia"/>
          <w:lang w:val="zh-CN" w:eastAsia="zh-CN"/>
        </w:rPr>
      </w:pPr>
      <w:r>
        <w:rPr>
          <w:rFonts w:hint="eastAsia"/>
          <w:lang w:val="zh-CN" w:eastAsia="zh-CN"/>
        </w:rPr>
        <w:t>8、联系在广元工作的全国人大代表及省人大代表，协助开展视察活动。</w:t>
      </w:r>
    </w:p>
    <w:p>
      <w:pPr>
        <w:pStyle w:val="2"/>
        <w:ind w:firstLine="600" w:firstLineChars="200"/>
        <w:rPr>
          <w:rFonts w:hint="eastAsia"/>
          <w:lang w:val="zh-CN" w:eastAsia="zh-CN"/>
        </w:rPr>
      </w:pPr>
      <w:r>
        <w:rPr>
          <w:rFonts w:hint="eastAsia"/>
          <w:lang w:val="zh-CN" w:eastAsia="zh-CN"/>
        </w:rPr>
        <w:t>9、负责市人代会、市人大常委会、主任会议等会议的组织和服务工作。</w:t>
      </w:r>
    </w:p>
    <w:p>
      <w:pPr>
        <w:pStyle w:val="2"/>
        <w:ind w:firstLine="600" w:firstLineChars="200"/>
        <w:rPr>
          <w:rFonts w:hint="eastAsia"/>
          <w:lang w:val="zh-CN" w:eastAsia="zh-CN"/>
        </w:rPr>
      </w:pPr>
      <w:r>
        <w:rPr>
          <w:rFonts w:hint="eastAsia"/>
          <w:lang w:val="zh-CN" w:eastAsia="zh-CN"/>
        </w:rPr>
        <w:t>10、负责市人大常委会文件、报告的起草、印发，常委会公报、人大工作简报等的编辑印发和人大工作的宣传报道。</w:t>
      </w:r>
    </w:p>
    <w:p>
      <w:pPr>
        <w:pStyle w:val="2"/>
        <w:ind w:firstLine="600" w:firstLineChars="200"/>
        <w:rPr>
          <w:rFonts w:hint="eastAsia"/>
          <w:lang w:val="zh-CN"/>
        </w:rPr>
      </w:pPr>
      <w:r>
        <w:rPr>
          <w:rFonts w:hint="eastAsia"/>
          <w:lang w:val="zh-CN" w:eastAsia="zh-CN"/>
        </w:rPr>
        <w:t>广元市人大常委会现有组成人员41人，其中，常委会主任1人、常委会副主任6人，秘书长1人，委员33人。市人大代表35</w:t>
      </w:r>
      <w:r>
        <w:rPr>
          <w:rFonts w:hint="eastAsia"/>
          <w:lang w:val="en-US" w:eastAsia="zh-CN"/>
        </w:rPr>
        <w:t>4</w:t>
      </w:r>
      <w:r>
        <w:rPr>
          <w:rFonts w:hint="eastAsia"/>
          <w:lang w:val="zh-CN" w:eastAsia="zh-CN"/>
        </w:rPr>
        <w:t>名。广元市人民代表大会常务委员会办公室在职人员总数8</w:t>
      </w:r>
      <w:r>
        <w:rPr>
          <w:rFonts w:hint="eastAsia"/>
          <w:lang w:val="en-US" w:eastAsia="zh-CN"/>
        </w:rPr>
        <w:t>2</w:t>
      </w:r>
      <w:r>
        <w:rPr>
          <w:rFonts w:hint="eastAsia"/>
          <w:lang w:val="zh-CN" w:eastAsia="zh-CN"/>
        </w:rPr>
        <w:t>人（其中行政人员编制</w:t>
      </w:r>
      <w:r>
        <w:rPr>
          <w:rFonts w:hint="eastAsia"/>
          <w:lang w:val="en-US" w:eastAsia="zh-CN"/>
        </w:rPr>
        <w:t>58</w:t>
      </w:r>
      <w:r>
        <w:rPr>
          <w:rFonts w:hint="eastAsia"/>
          <w:lang w:val="zh-CN" w:eastAsia="zh-CN"/>
        </w:rPr>
        <w:t>人，事业编制2人，单列编制11人、工勤人员11人，市纪委派驻6人）。离休人员1人，遗属补助人员4人，临聘人员2人，退休人员</w:t>
      </w:r>
      <w:r>
        <w:rPr>
          <w:rFonts w:hint="eastAsia"/>
          <w:lang w:val="en-US" w:eastAsia="zh-CN"/>
        </w:rPr>
        <w:t>58</w:t>
      </w:r>
      <w:r>
        <w:rPr>
          <w:rFonts w:hint="eastAsia"/>
          <w:lang w:val="zh-CN" w:eastAsia="zh-CN"/>
        </w:rPr>
        <w:t>人。</w:t>
      </w:r>
    </w:p>
    <w:p>
      <w:pPr>
        <w:pStyle w:val="2"/>
        <w:rPr>
          <w:rFonts w:hint="eastAsia"/>
          <w:lang w:val="zh-CN"/>
        </w:rPr>
      </w:pPr>
    </w:p>
    <w:p>
      <w:pPr>
        <w:pStyle w:val="2"/>
        <w:rPr>
          <w:rFonts w:hint="eastAsia"/>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（三）年度主要工作任务。</w:t>
      </w:r>
      <w:r>
        <w:rPr>
          <w:rFonts w:hint="eastAsia"/>
          <w:lang w:val="zh-CN" w:eastAsia="zh-CN"/>
        </w:rPr>
        <w:t>在向着第二个百年奋斗目标迈进之际，在广元发展进入关键时期，围绕建设川陕甘结合部现代化中心城市的宏伟目标，市人大常委会工作总体要求是：坚持以习近平新时代中国特色社会主义思想为指导，深入学习贯彻习近平法治思想、习近平总书记关于坚持和完善人民代表大会制度重要思想，全面贯彻落实中央、省委人大工作会议精神，围绕市第八次党代会确定的工作思路，紧扣“为代表建好家，为人民行好权”的工作思路，依法行使好立法权、监督权、决定权、任免权，充分发挥代表主体作用，发展全过程人民民主，保证人民当家作主，深入推进“四个机关”建设，为加快建设川陕甘结合部现代化中心城市贡献人大力量，以优异成绩迎接党的二十大和省十二次党代会胜利召开。</w:t>
      </w:r>
    </w:p>
    <w:p>
      <w:pPr>
        <w:pStyle w:val="2"/>
        <w:rPr>
          <w:rFonts w:hint="eastAsia"/>
          <w:lang w:val="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（四）部门整体支出绩效目标。</w:t>
      </w:r>
      <w:r>
        <w:rPr>
          <w:rFonts w:hint="eastAsia"/>
          <w:lang w:val="zh-CN"/>
        </w:rPr>
        <w:t>保证宪法、法律、行政法规在全市的遵守和执行；讨论、决定市内的政治、经济、教育、科学、文化、卫生、环境和资源保护、民政、民族等工作的重大事项；监督本级人民政府、人民法院和人民检察院的工作，联系本级人民代表大会代表；依照法律规定的权限任免国家机关工作人员。市人大常委会办公室的主要职责是为市人民代表大会、市人大常委会和市人大常委会主任会议行使职权提供服务保障。市人大常委会按照《市人大常委会2022年工作要点》和《市人大常委会2022年立法工作计划》、《市人大常委会2022年监督工作计划》、《市人大常委会2022年调研工作计划》市人大常委会2022年重大事项决定计划》（简称“一要点四计划”），开展立法、调研、审查、监督、执法检查等工作。</w:t>
      </w:r>
    </w:p>
    <w:p>
      <w:pPr>
        <w:pStyle w:val="2"/>
        <w:outlineLvl w:val="1"/>
        <w:rPr>
          <w:rFonts w:hint="eastAsia" w:ascii="黑体" w:hAnsi="宋体" w:eastAsia="黑体" w:cs="宋体"/>
          <w:color w:val="auto"/>
          <w:kern w:val="0"/>
          <w:sz w:val="32"/>
          <w:szCs w:val="32"/>
          <w:highlight w:val="none"/>
          <w:shd w:val="clear" w:color="auto" w:fill="FFFFFF"/>
          <w:lang w:val="zh-CN" w:eastAsia="zh-CN" w:bidi="ar-SA"/>
        </w:rPr>
      </w:pPr>
      <w:bookmarkStart w:id="79" w:name="_Toc23500"/>
      <w:r>
        <w:rPr>
          <w:rFonts w:hint="eastAsia" w:ascii="黑体" w:hAnsi="宋体" w:eastAsia="黑体" w:cs="宋体"/>
          <w:color w:val="auto"/>
          <w:kern w:val="0"/>
          <w:sz w:val="32"/>
          <w:szCs w:val="32"/>
          <w:highlight w:val="none"/>
          <w:shd w:val="clear" w:color="auto" w:fill="FFFFFF"/>
          <w:lang w:val="zh-CN" w:eastAsia="zh-CN" w:bidi="ar-SA"/>
        </w:rPr>
        <w:t>二、部门资金收支情况</w:t>
      </w:r>
      <w:bookmarkEnd w:id="79"/>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（一）部门总体收支情况。</w:t>
      </w:r>
    </w:p>
    <w:p>
      <w:pPr>
        <w:pStyle w:val="2"/>
        <w:ind w:firstLine="600" w:firstLineChars="200"/>
        <w:rPr>
          <w:rFonts w:hint="eastAsia"/>
          <w:lang w:val="en-US" w:eastAsia="zh-CN"/>
        </w:rPr>
      </w:pPr>
      <w:r>
        <w:rPr>
          <w:rFonts w:hint="eastAsia"/>
          <w:lang w:val="en-US" w:eastAsia="zh-CN"/>
        </w:rPr>
        <w:t>1.部门总体收入情况。广元市人民代表大会常务委员会办公室2022年收入预算2350.12万元，其中：上年结转17.88万元，占0.8%；一般公共预算拨款收入2141.24万元，占91%。其他收入（代管资金）191万元，占8.2%。</w:t>
      </w:r>
    </w:p>
    <w:p>
      <w:pPr>
        <w:pStyle w:val="2"/>
        <w:ind w:firstLine="600" w:firstLineChars="200"/>
        <w:rPr>
          <w:rFonts w:hint="eastAsia"/>
          <w:lang w:val="en-US" w:eastAsia="zh-CN"/>
        </w:rPr>
      </w:pPr>
      <w:r>
        <w:rPr>
          <w:rFonts w:hint="eastAsia"/>
          <w:lang w:val="en-US" w:eastAsia="zh-CN"/>
        </w:rPr>
        <w:t>2.部门总体支出情况。广元市人民代表大会常务委员会办公室2022年支出预算2350.12万元，其中：基本支出1545.21万元，占66%；项目支出804.91万元（含代管资金191万元），占34%。</w:t>
      </w:r>
    </w:p>
    <w:p>
      <w:pPr>
        <w:pStyle w:val="2"/>
        <w:ind w:firstLine="600" w:firstLineChars="200"/>
        <w:rPr>
          <w:rFonts w:hint="eastAsia"/>
          <w:lang w:val="en-US" w:eastAsia="zh-CN"/>
        </w:rPr>
      </w:pPr>
      <w:r>
        <w:rPr>
          <w:rFonts w:hint="eastAsia"/>
          <w:lang w:val="en-US" w:eastAsia="zh-CN"/>
        </w:rPr>
        <w:t>3.部门总体结转结余情况。广元市人民代表大会常务委员会办公室本年度无结转结余。</w:t>
      </w:r>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（二）部门财政拨款收支情况。</w:t>
      </w:r>
    </w:p>
    <w:p>
      <w:pPr>
        <w:pStyle w:val="2"/>
        <w:ind w:firstLine="600" w:firstLineChars="200"/>
        <w:rPr>
          <w:rFonts w:hint="eastAsia"/>
          <w:lang w:val="en-US" w:eastAsia="zh-CN"/>
        </w:rPr>
      </w:pPr>
      <w:r>
        <w:rPr>
          <w:rFonts w:hint="eastAsia"/>
          <w:lang w:val="en-US" w:eastAsia="zh-CN"/>
        </w:rPr>
        <w:t>1.部门财政拨款收入情况。广元市人民代表大会常务委员会办公室2022年收入预算2350.12万元，其中：上年结转17.88万元，占0.8%；一般公共预算拨款收入2141.24万元，占91%。其他收入（代管资金）191万元，占8.2%。</w:t>
      </w:r>
    </w:p>
    <w:p>
      <w:pPr>
        <w:pStyle w:val="2"/>
        <w:ind w:firstLine="600" w:firstLineChars="200"/>
        <w:rPr>
          <w:rFonts w:hint="eastAsia"/>
          <w:lang w:val="en-US" w:eastAsia="zh-CN"/>
        </w:rPr>
      </w:pPr>
      <w:r>
        <w:rPr>
          <w:rFonts w:hint="eastAsia"/>
          <w:lang w:val="en-US" w:eastAsia="zh-CN"/>
        </w:rPr>
        <w:t>2.部门财政拨款支出情况。广元市人民代表大会常务委员会办公室2022年支出预算2350.12万元，其中：基本支出1545.21万元，占66%；项目支出804.91万元（含代管资金191万元），占34%。</w:t>
      </w:r>
    </w:p>
    <w:p>
      <w:pPr>
        <w:pStyle w:val="2"/>
        <w:ind w:firstLine="600" w:firstLineChars="200"/>
        <w:rPr>
          <w:rFonts w:hint="eastAsia"/>
          <w:lang w:val="en-US" w:eastAsia="zh-CN"/>
        </w:rPr>
      </w:pPr>
      <w:r>
        <w:rPr>
          <w:rFonts w:hint="eastAsia"/>
          <w:lang w:val="en-US" w:eastAsia="zh-CN"/>
        </w:rPr>
        <w:t>3.部门财政拨款结转结余情况。广元市人民代表大会常务委员会办公室本年度无结转结余。</w:t>
      </w:r>
    </w:p>
    <w:p>
      <w:pPr>
        <w:pStyle w:val="2"/>
        <w:outlineLvl w:val="1"/>
        <w:rPr>
          <w:rFonts w:hint="eastAsia" w:ascii="黑体" w:hAnsi="宋体" w:eastAsia="黑体" w:cs="宋体"/>
          <w:color w:val="auto"/>
          <w:kern w:val="0"/>
          <w:sz w:val="32"/>
          <w:szCs w:val="32"/>
          <w:highlight w:val="none"/>
          <w:shd w:val="clear" w:color="auto" w:fill="FFFFFF"/>
          <w:lang w:val="zh-CN" w:eastAsia="zh-CN" w:bidi="ar-SA"/>
        </w:rPr>
      </w:pPr>
      <w:bookmarkStart w:id="80" w:name="_Toc16437"/>
      <w:r>
        <w:rPr>
          <w:rFonts w:hint="eastAsia" w:ascii="黑体" w:hAnsi="宋体" w:eastAsia="黑体" w:cs="宋体"/>
          <w:color w:val="auto"/>
          <w:kern w:val="0"/>
          <w:sz w:val="32"/>
          <w:szCs w:val="32"/>
          <w:highlight w:val="none"/>
          <w:shd w:val="clear" w:color="auto" w:fill="FFFFFF"/>
          <w:lang w:val="zh-CN" w:eastAsia="zh-CN" w:bidi="ar-SA"/>
        </w:rPr>
        <w:t>三、部门整体绩效分析</w:t>
      </w:r>
      <w:bookmarkEnd w:id="80"/>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（一）部门预算项目绩效分析。</w:t>
      </w:r>
    </w:p>
    <w:p>
      <w:pPr>
        <w:pStyle w:val="2"/>
        <w:rPr>
          <w:rFonts w:hint="eastAsia"/>
          <w:lang w:val="en-US" w:eastAsia="zh-CN"/>
        </w:rPr>
      </w:pPr>
      <w:r>
        <w:rPr>
          <w:rFonts w:hint="eastAsia"/>
          <w:lang w:val="en-US" w:eastAsia="zh-CN"/>
        </w:rPr>
        <w:t>1.人员类项目绩效分析</w:t>
      </w:r>
    </w:p>
    <w:p>
      <w:pPr>
        <w:pStyle w:val="2"/>
        <w:ind w:firstLine="600" w:firstLineChars="200"/>
        <w:rPr>
          <w:rFonts w:hint="eastAsia"/>
          <w:lang w:val="en-US" w:eastAsia="zh-CN"/>
        </w:rPr>
      </w:pPr>
      <w:r>
        <w:rPr>
          <w:rFonts w:hint="eastAsia"/>
          <w:lang w:val="zh-CN"/>
        </w:rPr>
        <w:t>根据财政预算编制要求，按编制人数的</w:t>
      </w:r>
      <w:r>
        <w:rPr>
          <w:rFonts w:hint="eastAsia"/>
          <w:lang w:val="en-US" w:eastAsia="zh-CN"/>
        </w:rPr>
        <w:t>82人，</w:t>
      </w:r>
      <w:r>
        <w:rPr>
          <w:rFonts w:hint="eastAsia"/>
          <w:lang w:val="zh-CN"/>
        </w:rPr>
        <w:t>申报人员类目标绩效，本年度人员类项目目标实现保工资、保运转、保保险等。项目成本预算经费</w:t>
      </w:r>
      <w:r>
        <w:rPr>
          <w:rFonts w:hint="eastAsia"/>
          <w:lang w:val="zh-CN" w:eastAsia="zh-CN"/>
        </w:rPr>
        <w:t>123</w:t>
      </w:r>
      <w:r>
        <w:rPr>
          <w:rFonts w:hint="eastAsia"/>
          <w:lang w:val="en-US" w:eastAsia="zh-CN"/>
        </w:rPr>
        <w:t>3</w:t>
      </w:r>
      <w:r>
        <w:rPr>
          <w:rFonts w:hint="eastAsia"/>
          <w:lang w:val="zh-CN" w:eastAsia="zh-CN"/>
        </w:rPr>
        <w:t>.</w:t>
      </w:r>
      <w:r>
        <w:rPr>
          <w:rFonts w:hint="eastAsia"/>
          <w:lang w:val="en-US" w:eastAsia="zh-CN"/>
        </w:rPr>
        <w:t>44</w:t>
      </w:r>
      <w:r>
        <w:rPr>
          <w:rFonts w:hint="eastAsia"/>
          <w:lang w:val="zh-CN" w:eastAsia="zh-CN"/>
        </w:rPr>
        <w:t>万元，主要用于：工资福利支出；离退休费；对个人和家庭的补助；职工基本养老保险；职工基本医疗保险；社保；公积金；其他支出等。支出控制在预算范围内，未出现超支超预算的情况。实行绩效目标监控，按照预算执行进度，发现问题苗头及时处置。年终预算完成情况</w:t>
      </w:r>
      <w:r>
        <w:rPr>
          <w:rFonts w:hint="eastAsia"/>
          <w:lang w:val="en-US" w:eastAsia="zh-CN"/>
        </w:rPr>
        <w:t>100%。全年无资金结余率（低效无效率）和违规记录等情况。</w:t>
      </w:r>
    </w:p>
    <w:p>
      <w:pPr>
        <w:pStyle w:val="2"/>
        <w:rPr>
          <w:rFonts w:hint="eastAsia"/>
          <w:lang w:val="en-US" w:eastAsia="zh-CN"/>
        </w:rPr>
      </w:pPr>
      <w:r>
        <w:rPr>
          <w:rFonts w:hint="eastAsia"/>
          <w:lang w:val="en-US" w:eastAsia="zh-CN"/>
        </w:rPr>
        <w:t>2.运转类项目绩效分析</w:t>
      </w:r>
    </w:p>
    <w:p>
      <w:pPr>
        <w:pStyle w:val="2"/>
        <w:ind w:firstLine="600" w:firstLineChars="200"/>
        <w:rPr>
          <w:rFonts w:hint="eastAsia"/>
          <w:lang w:val="en-US" w:eastAsia="zh-CN"/>
        </w:rPr>
      </w:pPr>
      <w:r>
        <w:rPr>
          <w:rFonts w:hint="eastAsia"/>
          <w:lang w:val="en-US" w:eastAsia="zh-CN"/>
        </w:rPr>
        <w:t>无</w:t>
      </w:r>
    </w:p>
    <w:p>
      <w:pPr>
        <w:pStyle w:val="2"/>
        <w:rPr>
          <w:rFonts w:hint="eastAsia"/>
          <w:lang w:val="en-US" w:eastAsia="zh-CN"/>
        </w:rPr>
      </w:pPr>
      <w:r>
        <w:rPr>
          <w:rFonts w:hint="eastAsia"/>
          <w:lang w:val="en-US" w:eastAsia="zh-CN"/>
        </w:rPr>
        <w:t>3.特定目标类项目绩效分析</w:t>
      </w:r>
    </w:p>
    <w:p>
      <w:pPr>
        <w:pStyle w:val="2"/>
        <w:ind w:firstLine="600" w:firstLineChars="200"/>
        <w:rPr>
          <w:rFonts w:hint="eastAsia"/>
          <w:lang w:val="en-US" w:eastAsia="zh-CN"/>
        </w:rPr>
      </w:pPr>
      <w:r>
        <w:rPr>
          <w:rFonts w:hint="eastAsia"/>
          <w:lang w:val="en-US" w:eastAsia="zh-CN"/>
        </w:rPr>
        <w:t>全年编制特定目标类项目绩效16个，项目成本总预算766.77万元。通过该项目保证宪法、法律、行政法规在全市的遵守和执行；讨论、决定市内的政治、经济、教育、科学、文化、卫生、环境和资源保护、民政、民族等工作的重大事项；监督本级人民政府、人民法院和人民检察院的工作，联系本级人民代表大会代表；依照法律规定的权限任免国家机关工作人员。市人大常委会办公室的主要职责是为市人民代表大会、市人大常委会和市人大常委会主任会议行使职权提供服务保障。市人大常委会按照《市人大常委会2022年工作要点》和《市人大常委会2022年立法工作计划》、《市人大常委会2022年监督工作计划》、《市人大常委会2022年调研工作计划》市人大常委会2022年重大事项决定计划》（简称“一要点四计划”），开展立法、调研、审查、监督、执法检查等工作。完成市委安排的其他工作。支出控制在预算范围内，未出现超支超预算的情况。实行绩效目标监控，本年度由于受疫情影响，部分项目工作未能及时开展，预算执行进度略有迟滞情况，但在绩效监控中运用及时反馈，并及时处置。年终预算完成情况达标。全年无资金结余率（低效无效率）和违规记录等情况。</w:t>
      </w:r>
    </w:p>
    <w:p>
      <w:pPr>
        <w:pStyle w:val="2"/>
        <w:rPr>
          <w:rFonts w:hint="eastAsia"/>
          <w:lang w:val="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（二）部门整体履职绩效分析。</w:t>
      </w:r>
    </w:p>
    <w:p>
      <w:pPr>
        <w:pStyle w:val="2"/>
        <w:ind w:firstLine="600" w:firstLineChars="200"/>
        <w:rPr>
          <w:rFonts w:hint="eastAsia"/>
          <w:lang w:val="zh-CN" w:eastAsia="zh-CN"/>
        </w:rPr>
      </w:pPr>
      <w:r>
        <w:rPr>
          <w:rFonts w:hint="eastAsia"/>
          <w:lang w:val="zh-CN" w:eastAsia="zh-CN"/>
        </w:rPr>
        <w:t>按照中央、省、市财政预算绩效管理工作新要求，我单位认真贯彻落实好《广元市财政局关于印发</w:t>
      </w:r>
      <w:r>
        <w:rPr>
          <w:rFonts w:hint="eastAsia"/>
          <w:lang w:val="en-US" w:eastAsia="zh-CN"/>
        </w:rPr>
        <w:t>&lt;广元市市级项目支出绩效评价管理办法&gt;的通知</w:t>
      </w:r>
      <w:r>
        <w:rPr>
          <w:rFonts w:hint="eastAsia"/>
          <w:lang w:val="zh-CN" w:eastAsia="zh-CN"/>
        </w:rPr>
        <w:t>》（广财绩</w:t>
      </w:r>
      <w:r>
        <w:rPr>
          <w:rFonts w:hint="eastAsia"/>
          <w:lang w:val="zh-CN"/>
        </w:rPr>
        <w:t>〔</w:t>
      </w:r>
      <w:r>
        <w:rPr>
          <w:rFonts w:hint="eastAsia"/>
          <w:lang w:val="zh-CN" w:eastAsia="zh-CN"/>
        </w:rPr>
        <w:t>2021</w:t>
      </w:r>
      <w:r>
        <w:rPr>
          <w:rFonts w:hint="eastAsia"/>
          <w:lang w:val="zh-CN"/>
        </w:rPr>
        <w:t>〕</w:t>
      </w:r>
      <w:r>
        <w:rPr>
          <w:rFonts w:hint="eastAsia"/>
          <w:lang w:val="zh-CN" w:eastAsia="zh-CN"/>
        </w:rPr>
        <w:t>1</w:t>
      </w:r>
      <w:r>
        <w:rPr>
          <w:rFonts w:hint="eastAsia"/>
          <w:lang w:val="en-US" w:eastAsia="zh-CN"/>
        </w:rPr>
        <w:t>4</w:t>
      </w:r>
      <w:r>
        <w:rPr>
          <w:rFonts w:hint="eastAsia"/>
          <w:lang w:val="zh-CN"/>
        </w:rPr>
        <w:t>号</w:t>
      </w:r>
      <w:r>
        <w:rPr>
          <w:rFonts w:hint="eastAsia"/>
          <w:lang w:val="zh-CN" w:eastAsia="zh-CN"/>
        </w:rPr>
        <w:t>）、《广元市财政局关于开展2022年度市级部门绩效自评工作的通知》（广财绩〔2023〕5号）等文件精神，扎实推进预算绩效管理工作，着力使绩效管理提档再升级，财政资金使用效益提质再增效。截止目前，我单位预算绩效管理工作顺利开展并取得了一定成效。</w:t>
      </w:r>
    </w:p>
    <w:p>
      <w:pPr>
        <w:pStyle w:val="2"/>
        <w:ind w:firstLine="600" w:firstLineChars="200"/>
        <w:rPr>
          <w:rFonts w:hint="eastAsia"/>
          <w:lang w:val="zh-CN" w:eastAsia="zh-CN"/>
        </w:rPr>
      </w:pPr>
      <w:r>
        <w:rPr>
          <w:rFonts w:hint="eastAsia"/>
          <w:lang w:val="en-US" w:eastAsia="zh-CN"/>
        </w:rPr>
        <w:t>1、</w:t>
      </w:r>
      <w:r>
        <w:rPr>
          <w:rFonts w:hint="eastAsia"/>
          <w:lang w:val="zh-CN" w:eastAsia="zh-CN"/>
        </w:rPr>
        <w:t>开展预算绩效事前评估工作。我单位根据文件指示</w:t>
      </w:r>
      <w:r>
        <w:rPr>
          <w:rFonts w:hint="eastAsia"/>
          <w:lang w:val="zh-CN"/>
        </w:rPr>
        <w:t>对绩效事前评估做到“早谋划、早部署、早落实”，且一并纳入部门预算申报审核</w:t>
      </w:r>
      <w:r>
        <w:rPr>
          <w:rFonts w:hint="eastAsia"/>
          <w:lang w:val="zh-CN" w:eastAsia="zh-CN"/>
        </w:rPr>
        <w:t>，形成了绩效事前评估报告。</w:t>
      </w:r>
    </w:p>
    <w:p>
      <w:pPr>
        <w:pStyle w:val="2"/>
        <w:ind w:firstLine="600" w:firstLineChars="200"/>
        <w:rPr>
          <w:rFonts w:hint="eastAsia"/>
          <w:lang w:val="zh-CN" w:eastAsia="zh-CN"/>
        </w:rPr>
      </w:pPr>
      <w:r>
        <w:rPr>
          <w:rFonts w:hint="eastAsia"/>
          <w:lang w:val="en-US" w:eastAsia="zh-CN"/>
        </w:rPr>
        <w:t>2、</w:t>
      </w:r>
      <w:r>
        <w:rPr>
          <w:rFonts w:hint="eastAsia"/>
          <w:lang w:val="zh-CN" w:eastAsia="zh-CN"/>
        </w:rPr>
        <w:t>建章立制。我单位相继制发《预算绩效管理内部工作制度》等规章制度，以此为根据规范开展预算绩效管理工作。</w:t>
      </w:r>
    </w:p>
    <w:p>
      <w:pPr>
        <w:pStyle w:val="2"/>
        <w:ind w:firstLine="600" w:firstLineChars="200"/>
        <w:rPr>
          <w:rFonts w:hint="eastAsia"/>
          <w:lang w:val="zh-CN"/>
        </w:rPr>
      </w:pPr>
      <w:r>
        <w:rPr>
          <w:rFonts w:hint="eastAsia"/>
          <w:lang w:val="en-US" w:eastAsia="zh-CN"/>
        </w:rPr>
        <w:t>3、</w:t>
      </w:r>
      <w:r>
        <w:rPr>
          <w:rFonts w:hint="eastAsia"/>
          <w:lang w:val="zh-CN" w:eastAsia="zh-CN"/>
        </w:rPr>
        <w:t>积极开展预算绩效目标编制工作。2022年继续坚持实施预算绩效管理全覆盖，纳入部门预算编制的项目支出及部门整体支出全部</w:t>
      </w:r>
      <w:r>
        <w:rPr>
          <w:rFonts w:hint="eastAsia"/>
          <w:lang w:val="zh-CN"/>
        </w:rPr>
        <w:t>编制了绩效目标，绩效目标与预算资金实现“编审同步、上会同步、批复同步、公开同步”</w:t>
      </w:r>
      <w:r>
        <w:rPr>
          <w:rFonts w:hint="eastAsia"/>
          <w:lang w:val="zh-CN" w:eastAsia="zh-CN"/>
        </w:rPr>
        <w:t>，进一步</w:t>
      </w:r>
      <w:r>
        <w:rPr>
          <w:rFonts w:hint="eastAsia"/>
          <w:lang w:val="zh-CN"/>
        </w:rPr>
        <w:t>全面</w:t>
      </w:r>
      <w:r>
        <w:rPr>
          <w:rFonts w:hint="eastAsia"/>
          <w:lang w:val="zh-CN" w:eastAsia="zh-CN"/>
        </w:rPr>
        <w:t>深化</w:t>
      </w:r>
      <w:r>
        <w:rPr>
          <w:rFonts w:hint="eastAsia"/>
          <w:lang w:val="zh-CN"/>
        </w:rPr>
        <w:t>财政预算绩效管理。</w:t>
      </w:r>
    </w:p>
    <w:p>
      <w:pPr>
        <w:pStyle w:val="2"/>
        <w:ind w:firstLine="600" w:firstLineChars="200"/>
        <w:rPr>
          <w:rFonts w:hint="eastAsia"/>
          <w:lang w:val="zh-CN" w:eastAsia="zh-CN"/>
        </w:rPr>
      </w:pPr>
      <w:r>
        <w:rPr>
          <w:rFonts w:hint="eastAsia"/>
          <w:lang w:val="en-US" w:eastAsia="zh-CN"/>
        </w:rPr>
        <w:t>4、</w:t>
      </w:r>
      <w:r>
        <w:rPr>
          <w:rFonts w:hint="eastAsia"/>
          <w:lang w:val="zh-CN" w:eastAsia="zh-CN"/>
        </w:rPr>
        <w:t>深入开展预算绩效评价。</w:t>
      </w:r>
      <w:r>
        <w:rPr>
          <w:rFonts w:hint="eastAsia"/>
          <w:lang w:val="zh-CN"/>
        </w:rPr>
        <w:t>人大常委会办公室积极开展</w:t>
      </w:r>
      <w:r>
        <w:rPr>
          <w:rFonts w:hint="eastAsia"/>
          <w:lang w:val="zh-CN" w:eastAsia="zh-CN"/>
        </w:rPr>
        <w:t>部门整体</w:t>
      </w:r>
      <w:r>
        <w:rPr>
          <w:rFonts w:hint="eastAsia"/>
          <w:lang w:val="zh-CN"/>
        </w:rPr>
        <w:t>绩效评价、评价结果报告，并在决算公开时同时公开。我们将进一步重视预算的编制工作，提高预算编制的精确度，提高财政资金使用效率，尽量减少预算执行调整、结转和结余的情形。预算支出绩效评价工作，</w:t>
      </w:r>
      <w:r>
        <w:rPr>
          <w:rFonts w:hint="eastAsia"/>
          <w:lang w:val="zh-CN" w:eastAsia="zh-CN"/>
        </w:rPr>
        <w:t>及时准确的发现查找问题，使部门在运用中杜绝了违规违纪的现象。</w:t>
      </w:r>
    </w:p>
    <w:p>
      <w:pPr>
        <w:pStyle w:val="2"/>
        <w:numPr>
          <w:ilvl w:val="0"/>
          <w:numId w:val="7"/>
        </w:numPr>
        <w:ind w:firstLine="600" w:firstLineChars="200"/>
        <w:rPr>
          <w:rFonts w:hint="eastAsia"/>
          <w:lang w:val="zh-CN" w:eastAsia="zh-CN"/>
        </w:rPr>
      </w:pPr>
      <w:r>
        <w:rPr>
          <w:rFonts w:hint="eastAsia"/>
          <w:lang w:val="zh-CN" w:eastAsia="zh-CN"/>
        </w:rPr>
        <w:t>做好绩效管理培训工作。2022年我单位多次开展了绩效管理培训，对绩效目标申报、事前评估、事中监控、结果运用等绩效管理业务，通过学考结合、专人授课、专项检查等方式，使绩效管理常态化、专业化、多元化。</w:t>
      </w:r>
    </w:p>
    <w:p>
      <w:pPr>
        <w:pStyle w:val="2"/>
        <w:ind w:firstLine="600" w:firstLineChars="200"/>
        <w:rPr>
          <w:rFonts w:hint="eastAsia"/>
          <w:lang w:val="en-US"/>
        </w:rPr>
      </w:pPr>
      <w:r>
        <w:rPr>
          <w:rFonts w:hint="eastAsia"/>
          <w:lang w:val="en-US" w:eastAsia="zh-CN"/>
        </w:rPr>
        <w:t>6、</w:t>
      </w:r>
      <w:r>
        <w:rPr>
          <w:rFonts w:hint="eastAsia"/>
          <w:lang w:val="zh-CN" w:eastAsia="zh-CN"/>
        </w:rPr>
        <w:t>按质按量完成了财政部门交办的其他各项工作。积极配合财政部门完成各种报表。</w:t>
      </w:r>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（三）结果应用情况。</w:t>
      </w:r>
    </w:p>
    <w:p>
      <w:pPr>
        <w:pStyle w:val="2"/>
        <w:ind w:firstLine="600" w:firstLineChars="200"/>
        <w:rPr>
          <w:rFonts w:hint="eastAsia"/>
          <w:lang w:val="zh-CN" w:eastAsia="zh-CN"/>
        </w:rPr>
      </w:pPr>
      <w:r>
        <w:rPr>
          <w:rFonts w:hint="eastAsia"/>
          <w:lang w:val="zh-CN" w:eastAsia="zh-CN"/>
        </w:rPr>
        <w:t>我单位将事前绩效评估结果用于调整预算项目、资金规模、支出方向，根据绩效目标审核结果，对绩效目标、项目内容等进行整改、优化、调整并提出整改意见；通过绩效监控进行政策优化、改进管理、预算调整、结余处理、项目调整等，对评价结果作为次年政策优化、改进管理、预算调整、项目调整等的重要依据并组织实施；对省级和市级重点绩效评价发现的问题及时全面整改；按要求将绩效目标随同部门年初预算同步公开，按要求将绩效目标完成情况、部门整体支出绩效评价自评报告等绩效信息随同部门年终决算公开。</w:t>
      </w:r>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（四）自评质量。</w:t>
      </w:r>
    </w:p>
    <w:p>
      <w:pPr>
        <w:pStyle w:val="2"/>
        <w:ind w:firstLine="600" w:firstLineChars="200"/>
        <w:rPr>
          <w:rFonts w:hint="eastAsia"/>
          <w:lang w:val="en-US" w:eastAsia="zh-CN"/>
        </w:rPr>
      </w:pPr>
      <w:r>
        <w:rPr>
          <w:rFonts w:hint="eastAsia"/>
          <w:lang w:val="en-US" w:eastAsia="zh-CN"/>
        </w:rPr>
        <w:t>自评等级为优。</w:t>
      </w:r>
    </w:p>
    <w:p>
      <w:pPr>
        <w:pStyle w:val="2"/>
        <w:outlineLvl w:val="1"/>
        <w:rPr>
          <w:rFonts w:hint="eastAsia"/>
        </w:rPr>
      </w:pPr>
      <w:bookmarkStart w:id="81" w:name="_Toc32592"/>
      <w:r>
        <w:rPr>
          <w:rFonts w:hint="eastAsia" w:ascii="黑体" w:hAnsi="宋体" w:eastAsia="黑体" w:cs="宋体"/>
          <w:color w:val="auto"/>
          <w:kern w:val="0"/>
          <w:sz w:val="32"/>
          <w:szCs w:val="32"/>
          <w:highlight w:val="none"/>
          <w:shd w:val="clear" w:color="auto" w:fill="FFFFFF"/>
          <w:lang w:val="zh-CN" w:eastAsia="zh-CN" w:bidi="ar-SA"/>
        </w:rPr>
        <w:t>四、评价结论及建议</w:t>
      </w:r>
      <w:bookmarkEnd w:id="81"/>
    </w:p>
    <w:p>
      <w:pPr>
        <w:pStyle w:val="2"/>
        <w:rPr>
          <w:rFonts w:hint="eastAsia"/>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（一）评价结论。</w:t>
      </w:r>
      <w:r>
        <w:rPr>
          <w:rFonts w:hint="eastAsia"/>
          <w:lang w:val="zh-CN"/>
        </w:rPr>
        <w:t>广元市人民代表大会常务委员会办公室整体评价等级为优。</w:t>
      </w:r>
      <w:r>
        <w:rPr>
          <w:rFonts w:hint="eastAsia"/>
          <w:lang w:val="en-US" w:eastAsia="zh-CN"/>
        </w:rPr>
        <w:t>2022年部门预算编制基础数据真实可靠，按照年度工作计划和支出标准合理编制预算方案，预算数据按要求及时报送。基本支出按时间进度支付，达到执行进度，年终无结余。严格执行“三公经费”预算，严格审批，无超预算、无预算执行的情况。</w:t>
      </w:r>
    </w:p>
    <w:p>
      <w:pPr>
        <w:pStyle w:val="2"/>
        <w:rPr>
          <w:rFonts w:hint="eastAsia"/>
          <w:lang w:val="zh-CN"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bidi="ar-SA"/>
        </w:rPr>
        <w:t>（二）</w:t>
      </w:r>
      <w:r>
        <w:rPr>
          <w:rFonts w:hint="eastAsia" w:ascii="楷体_GB2312" w:hAnsi="楷体_GB2312" w:eastAsia="楷体_GB2312" w:cs="楷体_GB2312"/>
          <w:b/>
          <w:bCs/>
          <w:color w:val="auto"/>
          <w:kern w:val="0"/>
          <w:sz w:val="32"/>
          <w:szCs w:val="32"/>
          <w:highlight w:val="none"/>
          <w:shd w:val="clear" w:color="auto" w:fill="FFFFFF"/>
          <w:lang w:val="zh-CN" w:eastAsia="zh-CN" w:bidi="ar-SA"/>
        </w:rPr>
        <w:t>存在问题。</w:t>
      </w:r>
      <w:r>
        <w:rPr>
          <w:rFonts w:hint="eastAsia"/>
          <w:lang w:val="en-US" w:eastAsia="zh-CN"/>
        </w:rPr>
        <w:t>1、</w:t>
      </w:r>
      <w:r>
        <w:rPr>
          <w:rFonts w:hint="eastAsia"/>
          <w:lang w:val="zh-CN" w:eastAsia="zh-CN"/>
        </w:rPr>
        <w:t>预算绩效管理基础仍然薄弱。一是队伍建设有待加强。预算绩效管理的专业性较强，需要收集大量的基础数据做汇总分析工作，涉及专业领域较广。在预算绩效工作实际开展中仍以财务人员为主，参与项目建设实际负责人和业务人员参与度不高，导致自评分析过程中全面性、深入性、准确性不够。二是指标体系有待完善。绩效评价指标是衡量财政资金产出效果的标准和尺度，评价指标的科学性直接决定着评价结果的质量。由于绩效评价的对象既包括一般性项目、大额专项资金、部门整体支出，又包括各部门、各行业的资金，在科学设置分行业、分类别的评价指标，仍存在较大困难。</w:t>
      </w:r>
    </w:p>
    <w:p>
      <w:pPr>
        <w:pStyle w:val="2"/>
        <w:ind w:firstLine="600" w:firstLineChars="200"/>
        <w:rPr>
          <w:rFonts w:hint="eastAsia"/>
          <w:lang w:val="zh-CN"/>
        </w:rPr>
      </w:pPr>
      <w:r>
        <w:rPr>
          <w:rFonts w:hint="eastAsia"/>
          <w:lang w:val="en-US" w:eastAsia="zh-CN"/>
        </w:rPr>
        <w:t>2、</w:t>
      </w:r>
      <w:r>
        <w:rPr>
          <w:rFonts w:hint="eastAsia"/>
          <w:lang w:val="zh-CN" w:eastAsia="zh-CN"/>
        </w:rPr>
        <w:t>推动预算绩效管理工作合力不足。预算绩效管理工作涉及面广，参与部门众多，从目前情况看，主动参与性不强，新《预算法》“讲求绩效”的原则要求未有效落实。</w:t>
      </w:r>
    </w:p>
    <w:p>
      <w:pPr>
        <w:pStyle w:val="2"/>
        <w:rPr>
          <w:rFonts w:hint="eastAsia" w:ascii="楷体_GB2312" w:hAnsi="楷体_GB2312" w:eastAsia="楷体_GB2312" w:cs="楷体_GB2312"/>
          <w:b/>
          <w:bCs/>
          <w:color w:val="auto"/>
          <w:kern w:val="0"/>
          <w:sz w:val="32"/>
          <w:szCs w:val="32"/>
          <w:highlight w:val="none"/>
          <w:shd w:val="clear" w:color="auto" w:fill="FFFFFF"/>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bidi="ar-SA"/>
        </w:rPr>
        <w:t>（三）改进建议。</w:t>
      </w:r>
    </w:p>
    <w:p>
      <w:pPr>
        <w:pStyle w:val="2"/>
        <w:ind w:firstLine="600" w:firstLineChars="200"/>
        <w:rPr>
          <w:rFonts w:hint="eastAsia"/>
          <w:lang w:val="zh-CN" w:eastAsia="zh-CN"/>
        </w:rPr>
      </w:pPr>
      <w:r>
        <w:rPr>
          <w:rFonts w:hint="eastAsia"/>
          <w:lang w:val="en-US" w:eastAsia="zh-CN"/>
        </w:rPr>
        <w:t>1、</w:t>
      </w:r>
      <w:r>
        <w:rPr>
          <w:rFonts w:hint="eastAsia"/>
          <w:lang w:val="zh-CN" w:eastAsia="zh-CN"/>
        </w:rPr>
        <w:t>加强绩效管理的宣传与培训力度；</w:t>
      </w:r>
    </w:p>
    <w:p>
      <w:pPr>
        <w:pStyle w:val="2"/>
        <w:ind w:firstLine="600" w:firstLineChars="200"/>
        <w:rPr>
          <w:rFonts w:hint="eastAsia"/>
          <w:lang w:val="zh-CN" w:eastAsia="zh-CN"/>
        </w:rPr>
      </w:pPr>
      <w:r>
        <w:rPr>
          <w:rFonts w:hint="eastAsia"/>
          <w:lang w:val="en-US" w:eastAsia="zh-CN"/>
        </w:rPr>
        <w:t>2、</w:t>
      </w:r>
      <w:r>
        <w:rPr>
          <w:rFonts w:hint="eastAsia"/>
          <w:lang w:val="zh-CN" w:eastAsia="zh-CN"/>
        </w:rPr>
        <w:t>加强绩效制度建设。</w:t>
      </w:r>
    </w:p>
    <w:p>
      <w:pPr>
        <w:pStyle w:val="2"/>
        <w:ind w:firstLine="600" w:firstLineChars="200"/>
        <w:rPr>
          <w:rFonts w:hint="eastAsia"/>
          <w:lang w:val="zh-CN" w:eastAsia="zh-CN"/>
        </w:rPr>
      </w:pPr>
      <w:r>
        <w:rPr>
          <w:rFonts w:hint="eastAsia"/>
          <w:lang w:val="en-US" w:eastAsia="zh-CN"/>
        </w:rPr>
        <w:t>3、</w:t>
      </w:r>
      <w:r>
        <w:rPr>
          <w:rFonts w:hint="eastAsia"/>
          <w:lang w:val="zh-CN" w:eastAsia="zh-CN"/>
        </w:rPr>
        <w:t>加强各部门之间的协调配合。</w:t>
      </w:r>
    </w:p>
    <w:p>
      <w:pPr>
        <w:pStyle w:val="2"/>
        <w:rPr>
          <w:rFonts w:hint="eastAsia"/>
          <w:lang w:val="zh-CN"/>
        </w:rPr>
      </w:pPr>
    </w:p>
    <w:p>
      <w:pPr>
        <w:pStyle w:val="2"/>
        <w:rPr>
          <w:rFonts w:hint="eastAsia"/>
          <w:lang w:val="zh-CN"/>
        </w:rPr>
      </w:pPr>
    </w:p>
    <w:p>
      <w:pPr>
        <w:pStyle w:val="2"/>
        <w:rPr>
          <w:rFonts w:hint="eastAsia"/>
          <w:lang w:val="zh-CN"/>
        </w:rPr>
      </w:pPr>
    </w:p>
    <w:p>
      <w:pPr>
        <w:rPr>
          <w:rFonts w:hint="eastAsia"/>
          <w:lang w:val="zh-CN"/>
        </w:rPr>
      </w:pPr>
    </w:p>
    <w:tbl>
      <w:tblPr>
        <w:tblStyle w:val="15"/>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549"/>
        <w:gridCol w:w="793"/>
        <w:gridCol w:w="1254"/>
        <w:gridCol w:w="741"/>
        <w:gridCol w:w="787"/>
        <w:gridCol w:w="1135"/>
        <w:gridCol w:w="648"/>
        <w:gridCol w:w="662"/>
        <w:gridCol w:w="667"/>
        <w:gridCol w:w="667"/>
        <w:gridCol w:w="625"/>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40" w:type="dxa"/>
            <w:gridSpan w:val="13"/>
            <w:tcBorders>
              <w:top w:val="nil"/>
              <w:left w:val="nil"/>
              <w:bottom w:val="nil"/>
              <w:right w:val="nil"/>
            </w:tcBorders>
            <w:shd w:val="clear" w:color="auto" w:fill="auto"/>
            <w:vAlign w:val="center"/>
          </w:tcPr>
          <w:p>
            <w:pPr>
              <w:pStyle w:val="2"/>
              <w:jc w:val="center"/>
              <w:rPr>
                <w:rFonts w:hint="eastAsia"/>
                <w:sz w:val="15"/>
                <w:szCs w:val="15"/>
                <w:lang w:val="zh-CN"/>
              </w:rPr>
            </w:pPr>
            <w:r>
              <w:rPr>
                <w:rFonts w:hint="eastAsia" w:ascii="黑体" w:hAnsi="黑体" w:eastAsia="黑体"/>
                <w:color w:val="auto"/>
                <w:sz w:val="36"/>
                <w:szCs w:val="36"/>
                <w:highlight w:val="none"/>
                <w:lang w:val="zh-CN" w:eastAsia="zh-CN"/>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部门名称</w:t>
            </w:r>
          </w:p>
        </w:tc>
        <w:tc>
          <w:tcPr>
            <w:tcW w:w="79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广元市人民代表大会常务委员会办公室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年度</w:t>
            </w:r>
            <w:r>
              <w:rPr>
                <w:rFonts w:hint="eastAsia"/>
                <w:sz w:val="15"/>
                <w:szCs w:val="15"/>
                <w:lang w:val="zh-CN" w:eastAsia="zh-CN"/>
              </w:rPr>
              <w:br w:type="textWrapping"/>
            </w:r>
            <w:r>
              <w:rPr>
                <w:rFonts w:hint="eastAsia"/>
                <w:sz w:val="15"/>
                <w:szCs w:val="15"/>
                <w:lang w:val="zh-CN" w:eastAsia="zh-CN"/>
              </w:rPr>
              <w:t>主要</w:t>
            </w:r>
            <w:r>
              <w:rPr>
                <w:rFonts w:hint="eastAsia"/>
                <w:sz w:val="15"/>
                <w:szCs w:val="15"/>
                <w:lang w:val="zh-CN" w:eastAsia="zh-CN"/>
              </w:rPr>
              <w:br w:type="textWrapping"/>
            </w:r>
            <w:r>
              <w:rPr>
                <w:rFonts w:hint="eastAsia"/>
                <w:sz w:val="15"/>
                <w:szCs w:val="15"/>
                <w:lang w:val="zh-CN" w:eastAsia="zh-CN"/>
              </w:rPr>
              <w:t>任务</w:t>
            </w:r>
          </w:p>
        </w:tc>
        <w:tc>
          <w:tcPr>
            <w:tcW w:w="1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任务名称</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主要内容</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预算金额（万元）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r>
              <w:rPr>
                <w:rFonts w:hint="eastAsia"/>
                <w:sz w:val="15"/>
                <w:szCs w:val="15"/>
                <w:lang w:val="zh-CN" w:eastAsia="zh-CN"/>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r>
              <w:rPr>
                <w:rFonts w:hint="eastAsia"/>
                <w:sz w:val="15"/>
                <w:szCs w:val="15"/>
                <w:lang w:val="zh-CN" w:eastAsia="zh-CN"/>
              </w:rPr>
              <w:t>财政拨款</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其他资金</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总额</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财政拨款</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人员经费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基本工资、津贴补贴、奖金、绩效工资、缴纳社会保险、公积金等人员经费</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1233.44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1233.44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2059.65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2059.65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公用经费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商品服务支出、其他支出等</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311.77</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311.77</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295.98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295.98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人大立法</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完成市人大常委会2022年立法工作计划一、启动实施《广元市城市市容和环境卫生管理条例》二、完成《广元市红色革命遗址遗迹保护条例》立法工作三、启动《广元市剑门蜀道保护条例》立法工作四、配合全国人大、省人大常委会开展立法调研和法律法规征求意见工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人大监督工作经费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43</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人大信访工作经费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完成对涉法涉诉的信访案件进行督办；全国人大及省市人大重要案件督办督查；召开好季年度信访工作会议。</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4.5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各委室工作经费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通过该项目，各委室依法集体行使职权，负责与省市有关单位的对口工作联系，负责办理市人民代表大会及其常委会职权范围内有关方面的工作事项。按照市人大常委会的“一要点四计划”履职和开展工作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130</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130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130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130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常委会领导班子成员履职经费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通过该项目，在市委坚强领导下常委会班子成员认真谋划制定常委会2022年“一要点四计划”，扎实做好立法、监督、代表等工作全面担负起宪法法律赋予的各项职责，保证人民通过人民代表大会行使国家权力。</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103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103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84.13</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84.13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财经委预决算审查经费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财经（预算）工委在市人大常委会领导下，承担着市人大常委会对本级预算监督的具体工作，在预算审查监督工作、预算联网监督中，认真履行宪法和法律赋予的职责，从调查研究、收集资料、听取汇报、进行初审、提出初审意见到跟踪督查，都严格按照法律规定的程序、时间和内容进行，并积极探索预算审查监督的有效形式，切实改进监督工作，加大监督力度，努力提高监督实效，对充分发挥市人大常委会的职能作用，强化对财政资金监管，实现决策的科学化、民主化，促进经济社会健康协调发展作出了积极贡献。</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30</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常委会组成人员工作经费和供给关系不在人大的委员工作经费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常委会组成人员41人，供给关系不在人大的15人。通过该项目，坚持党的领导、人民当家作主、依法治国有机统一，围绕市委重点、与党委同向，旗帜鲜明讲政治；关注百姓热点、与人民同心，为民代言献实策；盯住政府难点、与政府同力，依法履职促发展，为推动川陕甘结合部现代化中心城市作出了新的贡献。</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88.5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88.5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88.5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88.5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人大代表履职能力提升</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开展组织全国、省、市人大代表培训、学习等活动，更好地激发人大代表的履职热情，充分发挥人大代表主体作用，进一步提高人大代表的履职能力，提升人大工作水平，使人大代表全面担负起宪法和法律赋予的各项职责。全国、省、市代表393人，8批次，共150人。</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27</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27</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27</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27</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乡村振兴工作经费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为贯彻落实中央、国务院、省委、省政府、省纪委、市委、市政府关于实施乡村振兴战略，围绕“产业兴旺、生态宜居、乡风文明、治理有效、生活富裕”的乡村振兴发展总体要求，立足于乡村的产业、生态、文化等资源，注重发挥乡村的主动性，激发乡村发展活力，提高贫困群众的内生动力和发展能力，助力农村高质量脱贫，助推农民致富增收。</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5.46</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5.46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5.46</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5.46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代表工作</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通过该项目，完成202年度代表专题集中调研、开展代表小组活动、联系代表，办理代表建议，征订人大代表一报一刊、知情知政资料。为代表服务，办实事。</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58.81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58.81</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58.81</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58.81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人大会议</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通过该项目，完成202年度代表专题集中调研、开展代表小组活动、联系代表，办理代表建议，征订人大代表一报一刊、知情知政资料。为代表服务，办实事。</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派驻纪检组工作经费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切实履行好“两个责任”，形成正风肃纪合力，推动各监督单位事业发展，服务市委市政府中心工作安排。</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数字人大建设及运行维护费</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通过该项目，在2022年度完成人大信息建设、网络运行及安全建设等，保障机关信息、网络运转正常。</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28.96</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28.96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28.96</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28.96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人大刊物</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　通过该项目，编制《广元人大》全年4期、《广元市人大常委会公报》全年6期、广元人大调研文集（2022年度）500本。</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22.8</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22.8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22.8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22.8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市八届人大二次会议</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通过该项目，召开市八届人民代表大会第二次会议，会期4天，参会代表354人，列席人员71人，会议保障人员390人。</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97.74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97.74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97.74</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97.74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加装电梯</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通过该项目，在办公楼北楼加装电梯一部，经过技术人员初步勘探、设计、材料、施工、监理、土建基础、验收、地面恢复等费用，具体以竣工验收标准为准。</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73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73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53.8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53.8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代管资金（车辆运行经费）及其他代管资金</w:t>
            </w:r>
          </w:p>
        </w:tc>
        <w:tc>
          <w:tcPr>
            <w:tcW w:w="1267" w:type="dxa"/>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本单位平台代管车辆运行经费；其他代管资金</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191</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191</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38.95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626" w:type="dxa"/>
            <w:gridSpan w:val="3"/>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金额合计</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2502.98</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2311.98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191</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3123.28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3084.33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8" w:type="dxa"/>
            <w:vMerge w:val="restart"/>
            <w:tcBorders>
              <w:top w:val="nil"/>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年度</w:t>
            </w:r>
            <w:r>
              <w:rPr>
                <w:rFonts w:hint="eastAsia"/>
                <w:sz w:val="15"/>
                <w:szCs w:val="15"/>
                <w:lang w:val="zh-CN" w:eastAsia="zh-CN"/>
              </w:rPr>
              <w:br w:type="textWrapping"/>
            </w:r>
            <w:r>
              <w:rPr>
                <w:rFonts w:hint="eastAsia"/>
                <w:sz w:val="15"/>
                <w:szCs w:val="15"/>
                <w:lang w:val="zh-CN" w:eastAsia="zh-CN"/>
              </w:rPr>
              <w:t>总体</w:t>
            </w:r>
            <w:r>
              <w:rPr>
                <w:rFonts w:hint="eastAsia"/>
                <w:sz w:val="15"/>
                <w:szCs w:val="15"/>
                <w:lang w:val="zh-CN" w:eastAsia="zh-CN"/>
              </w:rPr>
              <w:br w:type="textWrapping"/>
            </w:r>
            <w:r>
              <w:rPr>
                <w:rFonts w:hint="eastAsia"/>
                <w:sz w:val="15"/>
                <w:szCs w:val="15"/>
                <w:lang w:val="zh-CN" w:eastAsia="zh-CN"/>
              </w:rPr>
              <w:t>目标</w:t>
            </w:r>
          </w:p>
        </w:tc>
        <w:tc>
          <w:tcPr>
            <w:tcW w:w="3278" w:type="dxa"/>
            <w:gridSpan w:val="4"/>
            <w:tcBorders>
              <w:top w:val="single" w:color="000000" w:sz="4" w:space="0"/>
              <w:left w:val="single" w:color="000000" w:sz="4" w:space="0"/>
              <w:bottom w:val="single" w:color="000000" w:sz="4" w:space="0"/>
              <w:right w:val="nil"/>
            </w:tcBorders>
            <w:shd w:val="clear" w:color="auto" w:fill="auto"/>
            <w:vAlign w:val="center"/>
          </w:tcPr>
          <w:p>
            <w:pPr>
              <w:pStyle w:val="2"/>
              <w:rPr>
                <w:rFonts w:hint="eastAsia"/>
                <w:sz w:val="15"/>
                <w:szCs w:val="15"/>
                <w:lang w:val="zh-CN"/>
              </w:rPr>
            </w:pPr>
            <w:r>
              <w:rPr>
                <w:rFonts w:hint="eastAsia"/>
                <w:sz w:val="15"/>
                <w:szCs w:val="15"/>
                <w:lang w:val="zh-CN" w:eastAsia="zh-CN"/>
              </w:rPr>
              <w:t>预期目标</w:t>
            </w:r>
          </w:p>
        </w:tc>
        <w:tc>
          <w:tcPr>
            <w:tcW w:w="60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758" w:type="dxa"/>
            <w:vMerge w:val="continue"/>
            <w:tcBorders>
              <w:top w:val="nil"/>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327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pStyle w:val="2"/>
              <w:rPr>
                <w:rFonts w:hint="eastAsia"/>
                <w:sz w:val="15"/>
                <w:szCs w:val="15"/>
                <w:lang w:val="zh-CN"/>
              </w:rPr>
            </w:pPr>
            <w:r>
              <w:rPr>
                <w:rFonts w:hint="eastAsia"/>
                <w:sz w:val="15"/>
                <w:szCs w:val="15"/>
                <w:lang w:val="zh-CN" w:eastAsia="zh-CN"/>
              </w:rPr>
              <w:br w:type="textWrapping"/>
            </w:r>
            <w:r>
              <w:rPr>
                <w:rFonts w:hint="eastAsia"/>
                <w:sz w:val="15"/>
                <w:szCs w:val="15"/>
                <w:lang w:val="zh-CN" w:eastAsia="zh-CN"/>
              </w:rPr>
              <w:t>通过人大事务行政运行、项目支出的实施，保证宪法、法律、行政法规在全市的遵守和执行；讨论、决定市内的政治、经济、教育、科学、文化、卫生、环境和资源保护、民政、民族等工作的重大事项；监督本级人民政府、人民法院和人民检察院的工作，联系本级人民代表大会代表；依照法律规定的权限任免国家机关工作人员。为市人民代表大会、市人大常委会和市人大常委会主任会议行使职权提供服务保障。市人大常委会按照《市人大常委会2022年工作要点》和《市人大常委会2022年立法工作计划》、《市人大常委会2022年监督工作计划》、《市人大常委会2022年调研工作计划》市人大常委会2022年重大事项决定计划》（简称“一要点四计划”），开展立法、调研、审查、监督、执法检查等工作，依法履职促发展，为推动川陕甘结合部现代化中心城市作出新的贡献。</w:t>
            </w:r>
          </w:p>
        </w:tc>
        <w:tc>
          <w:tcPr>
            <w:tcW w:w="600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2"/>
              <w:rPr>
                <w:rFonts w:hint="eastAsia"/>
                <w:sz w:val="15"/>
                <w:szCs w:val="15"/>
                <w:lang w:val="zh-CN"/>
              </w:rPr>
            </w:pPr>
            <w:r>
              <w:rPr>
                <w:rFonts w:hint="eastAsia"/>
                <w:sz w:val="15"/>
                <w:szCs w:val="15"/>
                <w:lang w:val="zh-CN" w:eastAsia="zh-CN"/>
              </w:rPr>
              <w:t>全年工作完成率达100%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年</w:t>
            </w:r>
            <w:r>
              <w:rPr>
                <w:rFonts w:hint="eastAsia"/>
                <w:sz w:val="15"/>
                <w:szCs w:val="15"/>
                <w:lang w:val="zh-CN" w:eastAsia="zh-CN"/>
              </w:rPr>
              <w:br w:type="textWrapping"/>
            </w:r>
            <w:r>
              <w:rPr>
                <w:rFonts w:hint="eastAsia"/>
                <w:sz w:val="15"/>
                <w:szCs w:val="15"/>
                <w:lang w:val="zh-CN" w:eastAsia="zh-CN"/>
              </w:rPr>
              <w:t>度</w:t>
            </w:r>
            <w:r>
              <w:rPr>
                <w:rFonts w:hint="eastAsia"/>
                <w:sz w:val="15"/>
                <w:szCs w:val="15"/>
                <w:lang w:val="zh-CN" w:eastAsia="zh-CN"/>
              </w:rPr>
              <w:br w:type="textWrapping"/>
            </w:r>
            <w:r>
              <w:rPr>
                <w:rFonts w:hint="eastAsia"/>
                <w:sz w:val="15"/>
                <w:szCs w:val="15"/>
                <w:lang w:val="zh-CN" w:eastAsia="zh-CN"/>
              </w:rPr>
              <w:t>绩</w:t>
            </w:r>
            <w:r>
              <w:rPr>
                <w:rFonts w:hint="eastAsia"/>
                <w:sz w:val="15"/>
                <w:szCs w:val="15"/>
                <w:lang w:val="zh-CN" w:eastAsia="zh-CN"/>
              </w:rPr>
              <w:br w:type="textWrapping"/>
            </w:r>
            <w:r>
              <w:rPr>
                <w:rFonts w:hint="eastAsia"/>
                <w:sz w:val="15"/>
                <w:szCs w:val="15"/>
                <w:lang w:val="zh-CN" w:eastAsia="zh-CN"/>
              </w:rPr>
              <w:t>效</w:t>
            </w:r>
            <w:r>
              <w:rPr>
                <w:rFonts w:hint="eastAsia"/>
                <w:sz w:val="15"/>
                <w:szCs w:val="15"/>
                <w:lang w:val="zh-CN" w:eastAsia="zh-CN"/>
              </w:rPr>
              <w:br w:type="textWrapping"/>
            </w:r>
            <w:r>
              <w:rPr>
                <w:rFonts w:hint="eastAsia"/>
                <w:sz w:val="15"/>
                <w:szCs w:val="15"/>
                <w:lang w:val="zh-CN" w:eastAsia="zh-CN"/>
              </w:rPr>
              <w:t>指</w:t>
            </w:r>
            <w:r>
              <w:rPr>
                <w:rFonts w:hint="eastAsia"/>
                <w:sz w:val="15"/>
                <w:szCs w:val="15"/>
                <w:lang w:val="zh-CN" w:eastAsia="zh-CN"/>
              </w:rPr>
              <w:br w:type="textWrapping"/>
            </w:r>
            <w:r>
              <w:rPr>
                <w:rFonts w:hint="eastAsia"/>
                <w:sz w:val="15"/>
                <w:szCs w:val="15"/>
                <w:lang w:val="zh-CN" w:eastAsia="zh-CN"/>
              </w:rPr>
              <w:t>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一级指标</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二级指标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指标值（包含数字及文字描述）</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实际完成指标值（包含数字及文字描述）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部门自评得分</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财政部门科室复评得分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产出指标</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数量指标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2502.98万元</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质量指标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预算完成率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100%</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时效指标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完成时间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2022年12月前</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成本指标</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成本指标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预算总数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2502.98万元</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效益指标</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经济效益</w:t>
            </w:r>
            <w:r>
              <w:rPr>
                <w:rFonts w:hint="eastAsia"/>
                <w:sz w:val="15"/>
                <w:szCs w:val="15"/>
                <w:lang w:val="zh-CN" w:eastAsia="zh-CN"/>
              </w:rPr>
              <w:br w:type="textWrapping"/>
            </w:r>
            <w:r>
              <w:rPr>
                <w:rFonts w:hint="eastAsia"/>
                <w:sz w:val="15"/>
                <w:szCs w:val="15"/>
                <w:lang w:val="zh-CN" w:eastAsia="zh-CN"/>
              </w:rPr>
              <w:t>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社会效益</w:t>
            </w:r>
            <w:r>
              <w:rPr>
                <w:rFonts w:hint="eastAsia"/>
                <w:sz w:val="15"/>
                <w:szCs w:val="15"/>
                <w:lang w:val="zh-CN" w:eastAsia="zh-CN"/>
              </w:rPr>
              <w:br w:type="textWrapping"/>
            </w:r>
            <w:r>
              <w:rPr>
                <w:rFonts w:hint="eastAsia"/>
                <w:sz w:val="15"/>
                <w:szCs w:val="15"/>
                <w:lang w:val="zh-CN" w:eastAsia="zh-CN"/>
              </w:rPr>
              <w:t>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机关运转及计划实施率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≥98%</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生态效益</w:t>
            </w:r>
            <w:r>
              <w:rPr>
                <w:rFonts w:hint="eastAsia"/>
                <w:sz w:val="15"/>
                <w:szCs w:val="15"/>
                <w:lang w:val="zh-CN" w:eastAsia="zh-CN"/>
              </w:rPr>
              <w:br w:type="textWrapping"/>
            </w:r>
            <w:r>
              <w:rPr>
                <w:rFonts w:hint="eastAsia"/>
                <w:sz w:val="15"/>
                <w:szCs w:val="15"/>
                <w:lang w:val="zh-CN" w:eastAsia="zh-CN"/>
              </w:rPr>
              <w:t>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可持续影响</w:t>
            </w:r>
            <w:r>
              <w:rPr>
                <w:rFonts w:hint="eastAsia"/>
                <w:sz w:val="15"/>
                <w:szCs w:val="15"/>
                <w:lang w:val="zh-CN" w:eastAsia="zh-CN"/>
              </w:rPr>
              <w:br w:type="textWrapping"/>
            </w:r>
            <w:r>
              <w:rPr>
                <w:rFonts w:hint="eastAsia"/>
                <w:sz w:val="15"/>
                <w:szCs w:val="15"/>
                <w:lang w:val="zh-CN" w:eastAsia="zh-CN"/>
              </w:rPr>
              <w:t>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人大工作和决策影响年度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12个月</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满意度</w:t>
            </w:r>
            <w:r>
              <w:rPr>
                <w:rFonts w:hint="eastAsia"/>
                <w:sz w:val="15"/>
                <w:szCs w:val="15"/>
                <w:lang w:val="zh-CN" w:eastAsia="zh-CN"/>
              </w:rPr>
              <w:br w:type="textWrapping"/>
            </w:r>
            <w:r>
              <w:rPr>
                <w:rFonts w:hint="eastAsia"/>
                <w:sz w:val="15"/>
                <w:szCs w:val="15"/>
                <w:lang w:val="zh-CN" w:eastAsia="zh-CN"/>
              </w:rPr>
              <w:t>指标</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满意度指标</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人大工作群众满意度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≥98%</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完成率达100%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部门（单位）自评结论</w:t>
            </w:r>
          </w:p>
        </w:tc>
        <w:tc>
          <w:tcPr>
            <w:tcW w:w="92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广元市人民代表大会常务委员会办公室整体评价分数97分。公用经费执行当年预算有结余，扣2分。项目经费执行支付扣1分。2022年部门预算编制基础数据真实可靠，按照年度工作计划和支出标准合理编制预算方案，预算数据按要求及时报送。基本支出按时间进度支付，达到执行进度，年终无结余。严格执行“三公经费”预算，严格审批，无超预算、无预算执行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部门（单位）自评存在问题</w:t>
            </w:r>
          </w:p>
        </w:tc>
        <w:tc>
          <w:tcPr>
            <w:tcW w:w="92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预算绩效管理基础仍然薄弱。一是队伍建设有待加强。预算绩效管理的专业性较强，需要收集大量的基础数据做汇总分析工作，涉及专业领域较广。在预算绩效工作实际开展中仍以财务人员为主，参与项目建设实际负责人和业务人员参与度不高，导致自评分析过程中全面性、深入性、准确性不够。二是指标体系有待完善。绩效评价指标是衡量财政资金产出效果的标准和尺度，评价指标的科学性直接决定着评价结果的质量。由于绩效评价的对象既包括一般性项目、大额专项资金、部门整体支出，又包括各部门、各行业的资金，在科学设置分行业、分类别的评价指标，仍存在较大困难。</w:t>
            </w:r>
            <w:r>
              <w:rPr>
                <w:rFonts w:hint="eastAsia"/>
                <w:sz w:val="15"/>
                <w:szCs w:val="15"/>
                <w:lang w:val="zh-CN" w:eastAsia="zh-CN"/>
              </w:rPr>
              <w:br w:type="textWrapping"/>
            </w:r>
            <w:r>
              <w:rPr>
                <w:rFonts w:hint="eastAsia"/>
                <w:sz w:val="15"/>
                <w:szCs w:val="15"/>
                <w:lang w:val="zh-CN" w:eastAsia="zh-CN"/>
              </w:rPr>
              <w:t>2、推动预算绩效管理工作合力不足。预算绩效管理工作涉及面广，参与部门众多，从目前情况看，主动参与性不强，新《预算法》“讲求绩效”的原则要求未有效落实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部门（单位）自评改进措施</w:t>
            </w:r>
          </w:p>
        </w:tc>
        <w:tc>
          <w:tcPr>
            <w:tcW w:w="92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1、加强绩效管理的宣传与培训力度；2、加强绩效制度建设。3、加强各部门之间的协调配合。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财政部门对口科室复评结论及整改要求</w:t>
            </w:r>
          </w:p>
        </w:tc>
        <w:tc>
          <w:tcPr>
            <w:tcW w:w="92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单位项目负责人：李开明</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部门项目负责人：李开明</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部门财务负责人：杨红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7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r>
              <w:rPr>
                <w:rFonts w:hint="eastAsia"/>
                <w:sz w:val="15"/>
                <w:szCs w:val="15"/>
                <w:lang w:val="zh-CN" w:eastAsia="zh-CN"/>
              </w:rPr>
              <w:t>财政部门科室负责人：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040" w:type="dxa"/>
            <w:gridSpan w:val="13"/>
            <w:tcBorders>
              <w:top w:val="single" w:color="000000" w:sz="4" w:space="0"/>
              <w:left w:val="nil"/>
              <w:bottom w:val="nil"/>
              <w:right w:val="nil"/>
            </w:tcBorders>
            <w:shd w:val="clear" w:color="auto" w:fill="auto"/>
            <w:vAlign w:val="center"/>
          </w:tcPr>
          <w:p>
            <w:pPr>
              <w:pStyle w:val="2"/>
              <w:rPr>
                <w:rFonts w:hint="eastAsia"/>
                <w:sz w:val="15"/>
                <w:szCs w:val="15"/>
                <w:lang w:val="zh-CN"/>
              </w:rPr>
            </w:pPr>
            <w:r>
              <w:rPr>
                <w:rFonts w:hint="eastAsia"/>
                <w:sz w:val="15"/>
                <w:szCs w:val="15"/>
                <w:lang w:val="zh-CN" w:eastAsia="zh-CN"/>
              </w:rPr>
              <w:t>注：部门整体支出绩效目标自评表在年度预算执行完毕后填报。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c>
          <w:tcPr>
            <w:tcW w:w="0" w:type="auto"/>
            <w:tcBorders>
              <w:top w:val="nil"/>
              <w:left w:val="nil"/>
              <w:bottom w:val="nil"/>
              <w:right w:val="nil"/>
            </w:tcBorders>
            <w:shd w:val="clear" w:color="auto" w:fill="auto"/>
            <w:noWrap/>
            <w:vAlign w:val="center"/>
          </w:tcPr>
          <w:p>
            <w:pPr>
              <w:pStyle w:val="2"/>
              <w:rPr>
                <w:rFonts w:hint="eastAsia"/>
                <w:sz w:val="15"/>
                <w:szCs w:val="15"/>
                <w:lang w:val="zh-CN"/>
              </w:rPr>
            </w:pPr>
          </w:p>
        </w:tc>
      </w:tr>
    </w:tbl>
    <w:p>
      <w:pPr>
        <w:pStyle w:val="2"/>
        <w:rPr>
          <w:rFonts w:hint="eastAsia"/>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p>
    <w:p>
      <w:pPr>
        <w:pStyle w:val="2"/>
        <w:rPr>
          <w:rFonts w:hint="eastAsia"/>
          <w:lang w:val="zh-CN"/>
        </w:rPr>
      </w:pPr>
    </w:p>
    <w:p>
      <w:pPr>
        <w:pStyle w:val="2"/>
        <w:outlineLvl w:val="1"/>
        <w:rPr>
          <w:rFonts w:hint="eastAsia" w:eastAsia="仿宋_GB2312"/>
          <w:color w:val="auto"/>
          <w:sz w:val="32"/>
          <w:szCs w:val="32"/>
          <w:highlight w:val="none"/>
          <w:lang w:val="en-US" w:eastAsia="zh-CN"/>
        </w:rPr>
      </w:pPr>
      <w:bookmarkStart w:id="82" w:name="_Toc14438"/>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2"/>
    </w:p>
    <w:p>
      <w:pPr>
        <w:spacing w:line="600" w:lineRule="exact"/>
        <w:jc w:val="center"/>
        <w:outlineLvl w:val="9"/>
        <w:rPr>
          <w:rFonts w:hint="eastAsia" w:ascii="黑体" w:hAnsi="黑体" w:eastAsia="黑体"/>
          <w:color w:val="auto"/>
          <w:sz w:val="44"/>
          <w:szCs w:val="44"/>
          <w:highlight w:val="none"/>
        </w:rPr>
      </w:pPr>
      <w:bookmarkStart w:id="83" w:name="_Toc15396618"/>
    </w:p>
    <w:p>
      <w:pPr>
        <w:pStyle w:val="2"/>
        <w:jc w:val="center"/>
        <w:rPr>
          <w:rFonts w:hint="eastAsia" w:ascii="方正仿宋_GB2312" w:hAnsi="方正仿宋_GB2312" w:eastAsia="方正仿宋_GB2312" w:cs="方正仿宋_GB2312"/>
          <w:b/>
          <w:bCs/>
          <w:color w:val="auto"/>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bidi="ar-SA"/>
        </w:rPr>
        <w:t>2022年</w:t>
      </w:r>
      <w:r>
        <w:rPr>
          <w:rFonts w:hint="eastAsia" w:ascii="方正小标宋简体" w:hAnsi="方正小标宋简体" w:eastAsia="方正小标宋简体" w:cs="方正小标宋简体"/>
          <w:color w:val="auto"/>
          <w:kern w:val="2"/>
          <w:sz w:val="32"/>
          <w:szCs w:val="32"/>
          <w:highlight w:val="none"/>
          <w:lang w:val="zh-CN" w:eastAsia="zh-CN" w:bidi="ar-SA"/>
        </w:rPr>
        <w:t>人大立法项目支出绩效自评报告</w:t>
      </w:r>
    </w:p>
    <w:p>
      <w:pPr>
        <w:pStyle w:val="2"/>
        <w:ind w:firstLine="640" w:firstLineChars="200"/>
        <w:outlineLvl w:val="1"/>
        <w:rPr>
          <w:rFonts w:hint="eastAsia" w:ascii="黑体" w:hAnsi="宋体" w:eastAsia="黑体" w:cs="Times New Roman"/>
          <w:color w:val="auto"/>
          <w:kern w:val="2"/>
          <w:sz w:val="32"/>
          <w:szCs w:val="32"/>
          <w:highlight w:val="none"/>
          <w:lang w:val="zh-CN" w:eastAsia="zh-CN" w:bidi="ar-SA"/>
        </w:rPr>
      </w:pPr>
      <w:bookmarkStart w:id="84" w:name="_Toc27244"/>
      <w:bookmarkStart w:id="85" w:name="_Toc14238"/>
      <w:r>
        <w:rPr>
          <w:rFonts w:hint="eastAsia" w:ascii="黑体" w:hAnsi="宋体" w:eastAsia="黑体" w:cs="Times New Roman"/>
          <w:color w:val="auto"/>
          <w:kern w:val="2"/>
          <w:sz w:val="32"/>
          <w:szCs w:val="32"/>
          <w:highlight w:val="none"/>
          <w:lang w:val="en-US" w:eastAsia="zh-CN" w:bidi="ar-SA"/>
        </w:rPr>
        <w:t>一、</w:t>
      </w:r>
      <w:r>
        <w:rPr>
          <w:rFonts w:hint="eastAsia" w:ascii="黑体" w:hAnsi="宋体" w:eastAsia="黑体" w:cs="Times New Roman"/>
          <w:color w:val="auto"/>
          <w:kern w:val="2"/>
          <w:sz w:val="32"/>
          <w:szCs w:val="32"/>
          <w:highlight w:val="none"/>
          <w:lang w:val="zh-CN" w:eastAsia="zh-CN" w:bidi="ar-SA"/>
        </w:rPr>
        <w:t>项目概况</w:t>
      </w:r>
      <w:bookmarkEnd w:id="84"/>
      <w:bookmarkEnd w:id="8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1．市人大常委会</w:t>
      </w:r>
      <w:r>
        <w:rPr>
          <w:rFonts w:hint="eastAsia" w:ascii="方正仿宋_GB2312" w:hAnsi="方正仿宋_GB2312" w:eastAsia="方正仿宋_GB2312" w:cs="方正仿宋_GB2312"/>
          <w:color w:val="auto"/>
          <w:sz w:val="32"/>
          <w:szCs w:val="32"/>
          <w:highlight w:val="none"/>
          <w:lang w:val="zh-CN" w:eastAsia="zh-CN"/>
        </w:rPr>
        <w:t>按照宪法法律的规定，依法履行立法、讨论决定重大事项、监督、选举任免国家机关工作人员的职能。</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依据《立法法》、《中共中央关于全面推进依法治国若干重大问题的决定》立项，启动实施《广元市城市市容和环境卫生管理条例》；完成《广元市红色革命遗址遗迹保护条例》立法工作、启动《广元市剑门蜀道保护条例》立法工作；配合全国人大、省人大常委会开展立法调研和法律法规征求意见工作等。</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3．资金管理办法，按照财务制度管理办法执行。资金来源与预算安排，由市财政局在年初预算安排。</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4．所需资金</w:t>
      </w:r>
      <w:r>
        <w:rPr>
          <w:rFonts w:hint="eastAsia" w:ascii="方正仿宋_GB2312" w:hAnsi="方正仿宋_GB2312" w:eastAsia="方正仿宋_GB2312" w:cs="方正仿宋_GB2312"/>
          <w:color w:val="auto"/>
          <w:sz w:val="32"/>
          <w:szCs w:val="32"/>
          <w:highlight w:val="none"/>
          <w:lang w:val="en-US" w:eastAsia="zh-CN"/>
        </w:rPr>
        <w:t>25</w:t>
      </w:r>
      <w:r>
        <w:rPr>
          <w:rFonts w:hint="eastAsia" w:ascii="方正仿宋_GB2312" w:hAnsi="方正仿宋_GB2312" w:eastAsia="方正仿宋_GB2312" w:cs="方正仿宋_GB2312"/>
          <w:color w:val="auto"/>
          <w:sz w:val="32"/>
          <w:szCs w:val="32"/>
          <w:highlight w:val="none"/>
          <w:lang w:val="zh-CN" w:eastAsia="zh-CN"/>
        </w:rPr>
        <w:t>万元，用于</w:t>
      </w:r>
      <w:r>
        <w:rPr>
          <w:rFonts w:hint="eastAsia" w:ascii="方正仿宋_GB2312" w:hAnsi="方正仿宋_GB2312" w:eastAsia="方正仿宋_GB2312" w:cs="方正仿宋_GB2312"/>
          <w:color w:val="auto"/>
          <w:sz w:val="32"/>
          <w:szCs w:val="32"/>
          <w:highlight w:val="none"/>
          <w:lang w:val="zh-CN"/>
        </w:rPr>
        <w:t>开展调研、培训考察、立项、论证、印刷、征求意见、审议、上报批准、颁布实施、宣传等工作。</w:t>
      </w:r>
    </w:p>
    <w:p>
      <w:pPr>
        <w:pStyle w:val="2"/>
        <w:ind w:firstLine="643" w:firstLineChars="2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（二）项目绩效目标。</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1．项目主要内容。完成市人大常委会202</w:t>
      </w: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lang w:val="zh-CN"/>
        </w:rPr>
        <w:t>年立法工作计划；启动《广元市剑门蜀道保护条例》立法工作；配合全国人大、省人大常委会开展立法调研和法律法规征求意见工作。</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2．实现完成</w:t>
      </w:r>
      <w:r>
        <w:rPr>
          <w:rFonts w:hint="eastAsia" w:ascii="方正仿宋_GB2312" w:hAnsi="方正仿宋_GB2312" w:eastAsia="方正仿宋_GB2312" w:cs="方正仿宋_GB2312"/>
          <w:color w:val="auto"/>
          <w:sz w:val="32"/>
          <w:szCs w:val="32"/>
          <w:highlight w:val="none"/>
          <w:lang w:val="zh-CN" w:eastAsia="zh-CN"/>
        </w:rPr>
        <w:t>202</w:t>
      </w: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lang w:val="zh-CN" w:eastAsia="zh-CN"/>
        </w:rPr>
        <w:t>年立法工作计划，</w:t>
      </w:r>
      <w:r>
        <w:rPr>
          <w:rFonts w:hint="eastAsia" w:ascii="方正仿宋_GB2312" w:hAnsi="方正仿宋_GB2312" w:eastAsia="方正仿宋_GB2312" w:cs="方正仿宋_GB2312"/>
          <w:color w:val="auto"/>
          <w:sz w:val="32"/>
          <w:szCs w:val="32"/>
          <w:highlight w:val="none"/>
          <w:lang w:val="zh-CN"/>
        </w:rPr>
        <w:t>全年完成率达</w:t>
      </w:r>
      <w:r>
        <w:rPr>
          <w:rFonts w:hint="eastAsia" w:ascii="方正仿宋_GB2312" w:hAnsi="方正仿宋_GB2312" w:eastAsia="方正仿宋_GB2312" w:cs="方正仿宋_GB2312"/>
          <w:color w:val="auto"/>
          <w:sz w:val="32"/>
          <w:szCs w:val="32"/>
          <w:highlight w:val="none"/>
          <w:lang w:val="zh-CN" w:eastAsia="zh-CN"/>
        </w:rPr>
        <w:t>100%。</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3．分析评价申报内容与实际相符，申报目标合理可行。</w:t>
      </w:r>
    </w:p>
    <w:p>
      <w:pPr>
        <w:pStyle w:val="2"/>
        <w:ind w:firstLine="321" w:firstLineChars="1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（三）项目自评步骤及方法。</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项目绩效自评采用集中组织财务及相关人员成立自评小组，对照部门支出评价指标体系，采用比较法，评分等级依次为：优、良、中、差。</w:t>
      </w:r>
    </w:p>
    <w:p>
      <w:pPr>
        <w:pStyle w:val="2"/>
        <w:ind w:firstLine="640" w:firstLineChars="200"/>
        <w:outlineLvl w:val="1"/>
        <w:rPr>
          <w:rFonts w:hint="eastAsia" w:ascii="方正仿宋_GB2312" w:hAnsi="方正仿宋_GB2312" w:eastAsia="方正仿宋_GB2312" w:cs="方正仿宋_GB2312"/>
          <w:color w:val="auto"/>
          <w:sz w:val="32"/>
          <w:szCs w:val="32"/>
          <w:highlight w:val="none"/>
        </w:rPr>
      </w:pPr>
      <w:bookmarkStart w:id="86" w:name="_Toc14376"/>
      <w:bookmarkStart w:id="87" w:name="_Toc20861"/>
      <w:r>
        <w:rPr>
          <w:rFonts w:hint="eastAsia" w:ascii="黑体" w:hAnsi="宋体" w:eastAsia="黑体" w:cs="Times New Roman"/>
          <w:color w:val="auto"/>
          <w:kern w:val="2"/>
          <w:sz w:val="32"/>
          <w:szCs w:val="32"/>
          <w:highlight w:val="none"/>
          <w:lang w:val="en-US" w:eastAsia="zh-CN" w:bidi="ar-SA"/>
        </w:rPr>
        <w:t>二、项目资金申报及使用情况</w:t>
      </w:r>
      <w:bookmarkEnd w:id="86"/>
      <w:bookmarkEnd w:id="87"/>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（一）项目资金申报及批复情况。</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按照预算编制要求，科学合理的编制项目库表、部门预算项目立项审核表、部门项目绩效申报表，按照广元市财政局财</w:t>
      </w:r>
      <w:r>
        <w:rPr>
          <w:rFonts w:hint="eastAsia" w:ascii="方正仿宋_GB2312" w:hAnsi="方正仿宋_GB2312" w:eastAsia="方正仿宋_GB2312" w:cs="方正仿宋_GB2312"/>
          <w:color w:val="auto"/>
          <w:sz w:val="32"/>
          <w:szCs w:val="32"/>
          <w:highlight w:val="none"/>
          <w:lang w:val="zh-CN" w:eastAsia="zh-CN"/>
        </w:rPr>
        <w:t>预算批复执行预算</w:t>
      </w:r>
      <w:r>
        <w:rPr>
          <w:rFonts w:hint="eastAsia" w:ascii="方正仿宋_GB2312" w:hAnsi="方正仿宋_GB2312" w:eastAsia="方正仿宋_GB2312" w:cs="方正仿宋_GB2312"/>
          <w:color w:val="auto"/>
          <w:sz w:val="32"/>
          <w:szCs w:val="32"/>
          <w:highlight w:val="none"/>
          <w:lang w:val="zh-CN"/>
        </w:rPr>
        <w:t>。</w:t>
      </w:r>
    </w:p>
    <w:p>
      <w:pPr>
        <w:pStyle w:val="2"/>
        <w:ind w:firstLine="643" w:firstLineChars="200"/>
        <w:rPr>
          <w:rFonts w:hint="default" w:ascii="方正仿宋_GB2312" w:hAnsi="方正仿宋_GB2312" w:eastAsia="方正仿宋_GB2312" w:cs="方正仿宋_GB2312"/>
          <w:color w:val="auto"/>
          <w:sz w:val="32"/>
          <w:szCs w:val="32"/>
          <w:highlight w:val="none"/>
        </w:rPr>
      </w:pPr>
      <w:r>
        <w:rPr>
          <w:rFonts w:hint="eastAsia" w:ascii="楷体_GB2312" w:hAnsi="宋体" w:eastAsia="楷体_GB2312" w:cs="Times New Roman"/>
          <w:b/>
          <w:color w:val="auto"/>
          <w:kern w:val="2"/>
          <w:sz w:val="32"/>
          <w:szCs w:val="32"/>
          <w:highlight w:val="none"/>
          <w:u w:val="none"/>
          <w:lang w:val="zh-CN" w:eastAsia="zh-CN" w:bidi="ar-SA"/>
        </w:rPr>
        <w:t>（二）资金计划、到位及使用情况</w:t>
      </w:r>
      <w:r>
        <w:rPr>
          <w:rFonts w:hint="default" w:ascii="楷体_GB2312" w:hAnsi="宋体" w:eastAsia="楷体_GB2312" w:cs="Times New Roman"/>
          <w:b/>
          <w:color w:val="auto"/>
          <w:kern w:val="2"/>
          <w:sz w:val="32"/>
          <w:szCs w:val="32"/>
          <w:highlight w:val="none"/>
          <w:u w:val="none"/>
          <w:lang w:eastAsia="zh-CN" w:bidi="ar-SA"/>
        </w:rPr>
        <w:t>。</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1．资金计划。在一般公共服务支出类人大事务款人大立法项预算计划市财政资金。。</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2．资金到位。汇总统计截止评价时点该项目一般公共服务支出类人大事务款人大立法项。资金到位率、到位及时性等均为优。</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3．资金使用。汇总统计截止评价时点该项目一般公共服务支出类人大事务款人大立法项。资金到位率、到位及时性统计资金支出情况完成率</w:t>
      </w:r>
      <w:r>
        <w:rPr>
          <w:rFonts w:hint="eastAsia" w:ascii="方正仿宋_GB2312" w:hAnsi="方正仿宋_GB2312" w:eastAsia="方正仿宋_GB2312" w:cs="方正仿宋_GB2312"/>
          <w:color w:val="auto"/>
          <w:sz w:val="32"/>
          <w:szCs w:val="32"/>
          <w:highlight w:val="none"/>
          <w:lang w:val="zh-CN" w:eastAsia="zh-CN"/>
        </w:rPr>
        <w:t>100%</w:t>
      </w:r>
      <w:r>
        <w:rPr>
          <w:rFonts w:hint="eastAsia" w:ascii="方正仿宋_GB2312" w:hAnsi="方正仿宋_GB2312" w:eastAsia="方正仿宋_GB2312" w:cs="方正仿宋_GB2312"/>
          <w:color w:val="auto"/>
          <w:sz w:val="32"/>
          <w:szCs w:val="32"/>
          <w:highlight w:val="none"/>
          <w:lang w:val="zh-CN"/>
        </w:rPr>
        <w:t>，资金支付范围、支付标准、支付进度、支付依据等合规合法、与预算相符。</w:t>
      </w:r>
    </w:p>
    <w:p>
      <w:pPr>
        <w:pStyle w:val="2"/>
        <w:ind w:firstLine="643" w:firstLineChars="2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（三）项目财务管理情况。</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该项目实施单位财务管理制度健全，严格执行财务管理制度，账务处理及时，会计核算等评价等级为优。</w:t>
      </w:r>
    </w:p>
    <w:p>
      <w:pPr>
        <w:pStyle w:val="2"/>
        <w:ind w:firstLine="640" w:firstLineChars="200"/>
        <w:outlineLvl w:val="1"/>
        <w:rPr>
          <w:rFonts w:hint="eastAsia" w:ascii="黑体" w:hAnsi="宋体" w:eastAsia="黑体" w:cs="Times New Roman"/>
          <w:color w:val="auto"/>
          <w:kern w:val="2"/>
          <w:sz w:val="32"/>
          <w:szCs w:val="32"/>
          <w:highlight w:val="none"/>
          <w:lang w:val="en-US" w:eastAsia="zh-CN" w:bidi="ar-SA"/>
        </w:rPr>
      </w:pPr>
      <w:bookmarkStart w:id="88" w:name="_Toc973"/>
      <w:bookmarkStart w:id="89" w:name="_Toc14463"/>
      <w:r>
        <w:rPr>
          <w:rFonts w:hint="eastAsia" w:ascii="黑体" w:hAnsi="宋体" w:eastAsia="黑体" w:cs="Times New Roman"/>
          <w:color w:val="auto"/>
          <w:kern w:val="2"/>
          <w:sz w:val="32"/>
          <w:szCs w:val="32"/>
          <w:highlight w:val="none"/>
          <w:lang w:val="en-US" w:eastAsia="zh-CN" w:bidi="ar-SA"/>
        </w:rPr>
        <w:t>三、项目实施及管理情况</w:t>
      </w:r>
      <w:bookmarkEnd w:id="88"/>
      <w:bookmarkEnd w:id="89"/>
    </w:p>
    <w:p>
      <w:pPr>
        <w:pStyle w:val="2"/>
        <w:ind w:firstLine="643" w:firstLineChars="2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（一）项目组织架构及实施流程。</w:t>
      </w:r>
      <w:r>
        <w:rPr>
          <w:rFonts w:hint="eastAsia" w:ascii="方正仿宋_GB2312" w:hAnsi="方正仿宋_GB2312" w:eastAsia="方正仿宋_GB2312" w:cs="方正仿宋_GB2312"/>
          <w:color w:val="auto"/>
          <w:sz w:val="32"/>
          <w:szCs w:val="32"/>
          <w:highlight w:val="none"/>
          <w:lang w:val="zh-CN" w:eastAsia="zh-CN"/>
        </w:rPr>
        <w:t>人大立法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ind w:firstLine="643" w:firstLineChars="2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（二）项目管理情况。</w:t>
      </w:r>
      <w:r>
        <w:rPr>
          <w:rFonts w:hint="eastAsia" w:ascii="方正仿宋_GB2312" w:hAnsi="方正仿宋_GB2312" w:eastAsia="方正仿宋_GB2312" w:cs="方正仿宋_GB2312"/>
          <w:color w:val="auto"/>
          <w:sz w:val="32"/>
          <w:szCs w:val="32"/>
          <w:highlight w:val="none"/>
          <w:lang w:val="zh-CN" w:eastAsia="zh-CN"/>
        </w:rPr>
        <w:t>人大立法项目属运转类涉及人大各委（室），在实施过程中以分管副秘书长牵头、委（室）负责人负责的原则，全体干部职工积极配合，通力协作，重大事项纳入“三重一大”范围，提交党组会审定</w:t>
      </w:r>
      <w:r>
        <w:rPr>
          <w:rFonts w:hint="eastAsia" w:ascii="方正仿宋_GB2312" w:hAnsi="方正仿宋_GB2312" w:eastAsia="方正仿宋_GB2312" w:cs="方正仿宋_GB2312"/>
          <w:color w:val="auto"/>
          <w:sz w:val="32"/>
          <w:szCs w:val="32"/>
          <w:highlight w:val="none"/>
          <w:lang w:val="zh-CN"/>
        </w:rPr>
        <w:t>。</w:t>
      </w:r>
    </w:p>
    <w:p>
      <w:pPr>
        <w:pStyle w:val="2"/>
        <w:ind w:firstLine="643" w:firstLineChars="200"/>
        <w:rPr>
          <w:rFonts w:hint="eastAsia" w:ascii="方正仿宋_GB2312" w:hAnsi="方正仿宋_GB2312" w:eastAsia="方正仿宋_GB2312" w:cs="方正仿宋_GB2312"/>
          <w:color w:val="auto"/>
          <w:sz w:val="32"/>
          <w:szCs w:val="32"/>
          <w:highlight w:val="none"/>
          <w:lang w:val="zh-CN"/>
        </w:rPr>
      </w:pPr>
      <w:r>
        <w:rPr>
          <w:rFonts w:hint="eastAsia" w:ascii="楷体_GB2312" w:hAnsi="宋体" w:eastAsia="楷体_GB2312" w:cs="Times New Roman"/>
          <w:b/>
          <w:color w:val="auto"/>
          <w:kern w:val="2"/>
          <w:sz w:val="32"/>
          <w:szCs w:val="32"/>
          <w:highlight w:val="none"/>
          <w:u w:val="none"/>
          <w:lang w:val="zh-CN" w:eastAsia="zh-CN" w:bidi="ar-SA"/>
        </w:rPr>
        <w:t>（三）项目监管情况。</w:t>
      </w:r>
      <w:r>
        <w:rPr>
          <w:rFonts w:hint="eastAsia" w:ascii="方正仿宋_GB2312" w:hAnsi="方正仿宋_GB2312" w:eastAsia="方正仿宋_GB2312" w:cs="方正仿宋_GB2312"/>
          <w:color w:val="auto"/>
          <w:sz w:val="32"/>
          <w:szCs w:val="32"/>
          <w:highlight w:val="none"/>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ind w:firstLine="640" w:firstLineChars="200"/>
        <w:outlineLvl w:val="1"/>
        <w:rPr>
          <w:rFonts w:hint="eastAsia" w:ascii="方正仿宋_GB2312" w:hAnsi="方正仿宋_GB2312" w:eastAsia="方正仿宋_GB2312" w:cs="方正仿宋_GB2312"/>
          <w:color w:val="auto"/>
          <w:sz w:val="32"/>
          <w:szCs w:val="32"/>
          <w:highlight w:val="none"/>
          <w:lang w:val="zh-CN"/>
        </w:rPr>
      </w:pPr>
      <w:bookmarkStart w:id="90" w:name="_Toc13318"/>
      <w:bookmarkStart w:id="91" w:name="_Toc7809"/>
      <w:r>
        <w:rPr>
          <w:rFonts w:hint="eastAsia" w:ascii="黑体" w:hAnsi="宋体" w:eastAsia="黑体" w:cs="Times New Roman"/>
          <w:color w:val="auto"/>
          <w:kern w:val="2"/>
          <w:sz w:val="32"/>
          <w:szCs w:val="32"/>
          <w:highlight w:val="none"/>
          <w:lang w:val="en-US" w:eastAsia="zh-CN" w:bidi="ar-SA"/>
        </w:rPr>
        <w:t>四、项目绩效情况</w:t>
      </w:r>
      <w:bookmarkEnd w:id="90"/>
      <w:bookmarkEnd w:id="91"/>
      <w:r>
        <w:rPr>
          <w:rFonts w:hint="eastAsia" w:ascii="方正仿宋_GB2312" w:hAnsi="方正仿宋_GB2312" w:eastAsia="方正仿宋_GB2312" w:cs="方正仿宋_GB2312"/>
          <w:color w:val="auto"/>
          <w:sz w:val="32"/>
          <w:szCs w:val="32"/>
          <w:highlight w:val="none"/>
          <w:lang w:val="zh-CN"/>
        </w:rPr>
        <w:tab/>
      </w:r>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（一）项目完成情况。</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截止评价时点的任务量完成、质量标准、进度计划、成本控制目标的实现程度进行评价分析为优。</w:t>
      </w:r>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（二）项目效益情况。</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项目经济效益完成达标、社会效益完成达标、生态效益完成达标、可持续效益完成达标以及服务对象满意度完成达标。</w:t>
      </w:r>
    </w:p>
    <w:p>
      <w:pPr>
        <w:pStyle w:val="2"/>
        <w:ind w:firstLine="640" w:firstLineChars="200"/>
        <w:outlineLvl w:val="1"/>
        <w:rPr>
          <w:rFonts w:hint="eastAsia" w:ascii="方正仿宋_GB2312" w:hAnsi="方正仿宋_GB2312" w:eastAsia="方正仿宋_GB2312" w:cs="方正仿宋_GB2312"/>
          <w:color w:val="auto"/>
          <w:sz w:val="32"/>
          <w:szCs w:val="32"/>
          <w:highlight w:val="none"/>
        </w:rPr>
      </w:pPr>
      <w:bookmarkStart w:id="92" w:name="_Toc1144"/>
      <w:bookmarkStart w:id="93" w:name="_Toc16618"/>
      <w:r>
        <w:rPr>
          <w:rFonts w:hint="eastAsia" w:ascii="黑体" w:hAnsi="宋体" w:eastAsia="黑体" w:cs="Times New Roman"/>
          <w:color w:val="auto"/>
          <w:kern w:val="2"/>
          <w:sz w:val="32"/>
          <w:szCs w:val="32"/>
          <w:highlight w:val="none"/>
          <w:lang w:val="en-US" w:eastAsia="zh-CN" w:bidi="ar-SA"/>
        </w:rPr>
        <w:t>五、评价结论及建议</w:t>
      </w:r>
      <w:bookmarkEnd w:id="92"/>
      <w:bookmarkEnd w:id="93"/>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（一）评价结论。</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人大立法项目按支出绩效评价指标体系总体评价为优。</w:t>
      </w:r>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（二）存在的问题。</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在自评过程和结果未发现问题。</w:t>
      </w:r>
      <w:r>
        <w:rPr>
          <w:rFonts w:hint="eastAsia" w:ascii="方正仿宋_GB2312" w:hAnsi="方正仿宋_GB2312" w:eastAsia="方正仿宋_GB2312" w:cs="方正仿宋_GB2312"/>
          <w:color w:val="auto"/>
          <w:sz w:val="32"/>
          <w:szCs w:val="32"/>
          <w:highlight w:val="none"/>
          <w:lang w:val="zh-CN"/>
        </w:rPr>
        <w:tab/>
      </w:r>
    </w:p>
    <w:p>
      <w:pPr>
        <w:pStyle w:val="2"/>
        <w:ind w:firstLine="643" w:firstLineChars="200"/>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（三）相关建议。</w:t>
      </w:r>
    </w:p>
    <w:p>
      <w:pPr>
        <w:pStyle w:val="2"/>
        <w:ind w:firstLine="640" w:firstLineChars="200"/>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无建议。</w:t>
      </w:r>
    </w:p>
    <w:p>
      <w:pPr>
        <w:pStyle w:val="2"/>
        <w:rPr>
          <w:rFonts w:hint="eastAsia" w:ascii="方正仿宋_GB2312" w:hAnsi="方正仿宋_GB2312" w:eastAsia="方正仿宋_GB2312" w:cs="方正仿宋_GB2312"/>
          <w:color w:val="auto"/>
          <w:sz w:val="32"/>
          <w:szCs w:val="32"/>
          <w:highlight w:val="none"/>
        </w:rPr>
      </w:pPr>
    </w:p>
    <w:p>
      <w:pPr>
        <w:rPr>
          <w:rFonts w:hint="eastAsia" w:ascii="黑体" w:hAnsi="黑体" w:eastAsia="黑体"/>
          <w:color w:val="auto"/>
          <w:sz w:val="44"/>
          <w:szCs w:val="44"/>
          <w:highlight w:val="none"/>
        </w:rPr>
      </w:pPr>
    </w:p>
    <w:tbl>
      <w:tblPr>
        <w:tblStyle w:val="15"/>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1015"/>
        <w:gridCol w:w="831"/>
        <w:gridCol w:w="854"/>
        <w:gridCol w:w="366"/>
        <w:gridCol w:w="723"/>
        <w:gridCol w:w="366"/>
        <w:gridCol w:w="741"/>
        <w:gridCol w:w="460"/>
        <w:gridCol w:w="562"/>
        <w:gridCol w:w="677"/>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760" w:type="dxa"/>
            <w:gridSpan w:val="12"/>
            <w:tcBorders>
              <w:top w:val="nil"/>
              <w:left w:val="nil"/>
              <w:bottom w:val="nil"/>
              <w:right w:val="nil"/>
            </w:tcBorders>
            <w:shd w:val="clear" w:color="auto" w:fill="auto"/>
            <w:vAlign w:val="center"/>
          </w:tcPr>
          <w:p>
            <w:pPr>
              <w:pStyle w:val="2"/>
              <w:jc w:val="center"/>
              <w:rPr>
                <w:rFonts w:hint="eastAsia" w:ascii="黑体" w:hAnsi="黑体" w:eastAsia="黑体"/>
                <w:color w:val="auto"/>
                <w:sz w:val="15"/>
                <w:szCs w:val="15"/>
                <w:highlight w:val="none"/>
              </w:rPr>
            </w:pPr>
            <w:r>
              <w:rPr>
                <w:rFonts w:hint="eastAsia" w:ascii="黑体" w:hAnsi="黑体" w:eastAsia="黑体"/>
                <w:color w:val="auto"/>
                <w:sz w:val="36"/>
                <w:szCs w:val="36"/>
                <w:highlight w:val="none"/>
                <w:lang w:val="en-US" w:eastAsia="zh-CN"/>
              </w:rPr>
              <w:t>人大立法项目支出绩效目标自评表（2022年度）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项目名称</w:t>
            </w:r>
          </w:p>
        </w:tc>
        <w:tc>
          <w:tcPr>
            <w:tcW w:w="77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人大立法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主管部门（盖章）</w:t>
            </w:r>
          </w:p>
        </w:tc>
        <w:tc>
          <w:tcPr>
            <w:tcW w:w="3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实施单位（盖章）</w:t>
            </w:r>
          </w:p>
        </w:tc>
        <w:tc>
          <w:tcPr>
            <w:tcW w:w="3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1.项目年度目标完成情况</w:t>
            </w:r>
          </w:p>
        </w:tc>
        <w:tc>
          <w:tcPr>
            <w:tcW w:w="3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项目年度目标</w:t>
            </w:r>
          </w:p>
        </w:tc>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31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市人大常委会2022年立法工作计划一、启动实施《广元市城市市容和环境卫生管理条例》二、完成《广元市红色革命遗址遗迹保护条例》立法工作三、启动《广元市剑门蜀道保护条例》立法工作四、配合全国人大、省人大常委会开展立法调研和法律法规征求意见工作</w:t>
            </w:r>
          </w:p>
        </w:tc>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市人大常委会2022年立法工作计划一、启动实施《广元市城市市容和环境卫生管理条例》二、完成《广元市红色革命遗址遗迹保护条例》立法工作三、启动《广元市剑门蜀道保护条例》立法工作四、配合全国人大、省人大常委会开展立法调研和法律法规征求意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2.项目实施内容及过程概述</w:t>
            </w:r>
          </w:p>
        </w:tc>
        <w:tc>
          <w:tcPr>
            <w:tcW w:w="77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市人大常委会2022年立法工作计划一、启动实施《广元市城市市容和环境卫生管理条例》二、完成《广元市红色革命遗址遗迹保护条例》立法工作三、启动《广元市剑门蜀道保护条例》立法工作四、配合全国人大、省人大常委会开展立法调研和法律法规征求意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年度预算数（万元）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年初预算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总额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25.00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25.00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其中：财政资金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25.00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25.00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财政专户管理资金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其他资金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一级指标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二级指标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三级指标</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指标性质</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指标值</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度量单位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数量指标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人大立法工作计划涉及条例数量</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3</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质量指标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完成率</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时效指标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完成时间</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成本指标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人大立法经费</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25</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项目效果指标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社会效益</w:t>
            </w:r>
            <w:r>
              <w:rPr>
                <w:rFonts w:hint="eastAsia" w:ascii="黑体" w:hAnsi="黑体" w:eastAsia="黑体"/>
                <w:color w:val="auto"/>
                <w:sz w:val="15"/>
                <w:szCs w:val="15"/>
                <w:highlight w:val="none"/>
                <w:lang w:val="en-US" w:eastAsia="zh-CN"/>
              </w:rPr>
              <w:br w:type="textWrapping"/>
            </w:r>
            <w:r>
              <w:rPr>
                <w:rFonts w:hint="eastAsia" w:ascii="黑体" w:hAnsi="黑体" w:eastAsia="黑体"/>
                <w:color w:val="auto"/>
                <w:sz w:val="15"/>
                <w:szCs w:val="15"/>
                <w:highlight w:val="none"/>
                <w:lang w:val="en-US" w:eastAsia="zh-CN"/>
              </w:rPr>
              <w:t>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《条例》对社会管理、稳定促进率</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95</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人民群众满意度</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95</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合计</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部门（单位）自评结论</w:t>
            </w:r>
          </w:p>
        </w:tc>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依据《市人大常委会2022年立法工作计划》开展工作，支出控制在预算范围内，未出现超支超预算的情况。实行绩效目标监控，绩效监控中运用及时反馈，并及时处置。年终预算完成情况达标。全年无资金结余率（低效无效率）和违规记录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部门（单位）自评存在问题</w:t>
            </w:r>
          </w:p>
        </w:tc>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部门（单位）自评改进措施</w:t>
            </w:r>
          </w:p>
        </w:tc>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财政部门对口科室复评结论及整改要求</w:t>
            </w:r>
          </w:p>
        </w:tc>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单位项目负责人：李开明</w:t>
            </w:r>
          </w:p>
        </w:tc>
        <w:tc>
          <w:tcPr>
            <w:tcW w:w="5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部门项目负责人：李开明</w:t>
            </w:r>
          </w:p>
        </w:tc>
        <w:tc>
          <w:tcPr>
            <w:tcW w:w="5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7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财政部门科室负责人：</w:t>
            </w:r>
          </w:p>
        </w:tc>
      </w:tr>
    </w:tbl>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w:t>
      </w:r>
      <w:r>
        <w:rPr>
          <w:rFonts w:hint="eastAsia" w:ascii="方正小标宋简体" w:hAnsi="方正小标宋简体" w:eastAsia="方正小标宋简体" w:cs="方正小标宋简体"/>
          <w:color w:val="auto"/>
          <w:kern w:val="2"/>
          <w:sz w:val="32"/>
          <w:szCs w:val="32"/>
          <w:highlight w:val="none"/>
          <w:lang w:val="zh-CN" w:eastAsia="zh-CN"/>
        </w:rPr>
        <w:t>代表工作经费项目支出</w:t>
      </w: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32"/>
          <w:szCs w:val="32"/>
          <w:highlight w:val="none"/>
          <w:lang w:val="zh-CN" w:eastAsia="zh-CN"/>
        </w:rPr>
        <w:t>绩效自评报告</w:t>
      </w:r>
    </w:p>
    <w:p>
      <w:pPr>
        <w:pStyle w:val="2"/>
        <w:ind w:firstLine="320" w:firstLineChars="100"/>
        <w:jc w:val="both"/>
        <w:outlineLvl w:val="1"/>
        <w:rPr>
          <w:rFonts w:hint="eastAsia" w:ascii="方正小标宋简体" w:hAnsi="方正小标宋简体" w:eastAsia="方正小标宋简体" w:cs="方正小标宋简体"/>
          <w:color w:val="auto"/>
          <w:kern w:val="2"/>
          <w:sz w:val="32"/>
          <w:szCs w:val="32"/>
          <w:highlight w:val="none"/>
          <w:lang w:val="zh-CN" w:eastAsia="zh-CN" w:bidi="ar-SA"/>
        </w:rPr>
      </w:pPr>
      <w:bookmarkStart w:id="94" w:name="_Toc3067"/>
      <w:bookmarkStart w:id="95" w:name="_Toc32724"/>
      <w:r>
        <w:rPr>
          <w:rFonts w:hint="eastAsia" w:ascii="黑体" w:hAnsi="宋体" w:eastAsia="黑体" w:cs="Times New Roman"/>
          <w:color w:val="auto"/>
          <w:kern w:val="2"/>
          <w:sz w:val="32"/>
          <w:szCs w:val="32"/>
          <w:highlight w:val="none"/>
          <w:lang w:val="zh-CN" w:eastAsia="zh-CN" w:bidi="ar-SA"/>
        </w:rPr>
        <w:t>一、项目概况</w:t>
      </w:r>
      <w:bookmarkEnd w:id="94"/>
      <w:bookmarkEnd w:id="95"/>
    </w:p>
    <w:p>
      <w:pPr>
        <w:pStyle w:val="2"/>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（一）项目基本情况</w:t>
      </w:r>
      <w:r>
        <w:rPr>
          <w:rFonts w:hint="eastAsia" w:ascii="方正小标宋简体" w:hAnsi="方正小标宋简体" w:eastAsia="方正小标宋简体" w:cs="方正小标宋简体"/>
          <w:color w:val="auto"/>
          <w:kern w:val="2"/>
          <w:sz w:val="32"/>
          <w:szCs w:val="32"/>
          <w:highlight w:val="none"/>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1．市人大常委会按照宪法法律的规定，依法履行立法、讨论决定重大事项、监督、选举任免国家机关工作人员的职能。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2．代表工作经费项目属常年执行项目，通过该项目，完成202</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年度全国、省、市人大代表专题集中调研、开展代表小组活动、联系代表，办理代表建议，征订人大代表一报一刊、知情知政资料。为代表服务，办实事。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3．资金管理办法，按照财务制度管理办法执行。资金来源与预算安排，由市财政局在年初预算安排。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4．所需资金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58.81</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万元，用于开展调研、考察、资料、宣传等工作。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kern w:val="2"/>
          <w:sz w:val="32"/>
          <w:szCs w:val="32"/>
          <w:highlight w:val="none"/>
          <w:u w:val="none"/>
          <w:lang w:val="zh-CN" w:eastAsia="zh-CN" w:bidi="ar-SA"/>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1．项目主要内容。加强对全国代表3人，省代表31人，市代表35</w:t>
      </w:r>
      <w:r>
        <w:rPr>
          <w:rFonts w:hint="eastAsia" w:ascii="仿宋_GB2312" w:hAnsi="仿宋_GB2312" w:eastAsia="仿宋_GB2312" w:cs="仿宋_GB2312"/>
          <w:color w:val="auto"/>
          <w:kern w:val="0"/>
          <w:sz w:val="32"/>
          <w:szCs w:val="32"/>
          <w:highlight w:val="none"/>
          <w:u w:val="none"/>
          <w:shd w:val="clear" w:color="auto" w:fill="FFFFFF"/>
          <w:lang w:val="en-US" w:eastAsia="zh-CN"/>
        </w:rPr>
        <w:t>9</w:t>
      </w:r>
      <w:r>
        <w:rPr>
          <w:rFonts w:hint="eastAsia" w:ascii="仿宋_GB2312" w:hAnsi="仿宋_GB2312" w:eastAsia="仿宋_GB2312" w:cs="仿宋_GB2312"/>
          <w:color w:val="auto"/>
          <w:kern w:val="0"/>
          <w:sz w:val="32"/>
          <w:szCs w:val="32"/>
          <w:highlight w:val="none"/>
          <w:u w:val="none"/>
          <w:shd w:val="clear" w:color="auto" w:fill="FFFFFF"/>
          <w:lang w:val="zh-CN" w:eastAsia="zh-CN"/>
        </w:rPr>
        <w:t>人的服务联系，高效完成代表调研、建议等；完成预决算审查工作。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2．代表工作经费项目应实现完成202</w:t>
      </w: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eastAsia="zh-CN"/>
        </w:rPr>
        <w:t>年绩效目标任务，完成率达100%。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3．分析评价申报内容与实际相符，申报目标合理可行。</w:t>
      </w:r>
    </w:p>
    <w:p>
      <w:pPr>
        <w:pStyle w:val="2"/>
        <w:ind w:firstLine="321" w:firstLineChars="100"/>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项目绩效自评采用集中组织财务及相关人员成立自评小组，对照部门支出评价指标体系，采用比较法，评分等级依次为：优、良、中、差。</w:t>
      </w:r>
    </w:p>
    <w:p>
      <w:pPr>
        <w:pStyle w:val="2"/>
        <w:ind w:firstLine="320" w:firstLineChars="100"/>
        <w:jc w:val="both"/>
        <w:outlineLvl w:val="1"/>
        <w:rPr>
          <w:rFonts w:hint="eastAsia" w:ascii="黑体" w:hAnsi="宋体" w:eastAsia="黑体" w:cs="Times New Roman"/>
          <w:color w:val="auto"/>
          <w:kern w:val="2"/>
          <w:sz w:val="32"/>
          <w:szCs w:val="32"/>
          <w:highlight w:val="none"/>
          <w:lang w:val="zh-CN" w:eastAsia="zh-CN" w:bidi="ar-SA"/>
        </w:rPr>
      </w:pPr>
      <w:bookmarkStart w:id="96" w:name="_Toc1304"/>
      <w:bookmarkStart w:id="97" w:name="_Toc6038"/>
      <w:r>
        <w:rPr>
          <w:rFonts w:hint="eastAsia" w:ascii="黑体" w:hAnsi="宋体" w:eastAsia="黑体" w:cs="Times New Roman"/>
          <w:color w:val="auto"/>
          <w:kern w:val="2"/>
          <w:sz w:val="32"/>
          <w:szCs w:val="32"/>
          <w:highlight w:val="none"/>
          <w:lang w:val="zh-CN" w:eastAsia="zh-CN" w:bidi="ar-SA"/>
        </w:rPr>
        <w:t>二、项目资金申报及使用情况</w:t>
      </w:r>
      <w:bookmarkEnd w:id="96"/>
      <w:bookmarkEnd w:id="97"/>
    </w:p>
    <w:p>
      <w:pPr>
        <w:pStyle w:val="2"/>
        <w:ind w:firstLine="321" w:firstLineChars="100"/>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按照预算编制要求，科学合理的编制项目库表、部门预算项目立项审核表、部门项目绩效申报表，按照广元市财政局预算批复执行预算。</w:t>
      </w:r>
    </w:p>
    <w:p>
      <w:pPr>
        <w:pStyle w:val="2"/>
        <w:ind w:firstLine="321" w:firstLineChars="100"/>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1．资金计划。在一般公共服务支出类人大事务款代表工作项预算计划市财政资金。</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2．资金到位。汇总统计截止评价时点该项目一般公共服务支出类人大事务款一般行政管理事务项。资金到位率、到位及时性等均为优。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3．资金使用。汇总统计截止评价时点该项目一般公共服务支出类人大事务款代表工作经费项。资金到位率、到位及时性统计资金支出情况完成率100%，资金支付范围、支付标准、支付进度、支付依据等合规合法、与预算相符。</w:t>
      </w:r>
    </w:p>
    <w:p>
      <w:pPr>
        <w:pStyle w:val="2"/>
        <w:ind w:firstLine="321" w:firstLineChars="100"/>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（三）项目财务管理情况。</w:t>
      </w:r>
    </w:p>
    <w:p>
      <w:pPr>
        <w:pStyle w:val="2"/>
        <w:jc w:val="center"/>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hAnsi="仿宋_GB2312" w:cs="仿宋_GB2312"/>
          <w:color w:val="auto"/>
          <w:kern w:val="0"/>
          <w:sz w:val="32"/>
          <w:szCs w:val="32"/>
          <w:highlight w:val="none"/>
          <w:u w:val="none"/>
          <w:shd w:val="clear" w:color="auto" w:fill="FFFFFF"/>
          <w:lang w:val="en-US" w:eastAsia="zh-CN" w:bidi="ar-SA"/>
        </w:rPr>
        <w:t>代表工作经费</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项目实施单位财务管理制度健全，严格执行财务管理制</w:t>
      </w:r>
      <w:r>
        <w:rPr>
          <w:rFonts w:hint="eastAsia" w:hAnsi="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账务处理及时，会计核算等评价等级为优。</w:t>
      </w:r>
    </w:p>
    <w:p>
      <w:pPr>
        <w:pStyle w:val="2"/>
        <w:ind w:firstLine="320" w:firstLineChars="100"/>
        <w:jc w:val="both"/>
        <w:outlineLvl w:val="1"/>
        <w:rPr>
          <w:rFonts w:hint="eastAsia" w:ascii="黑体" w:hAnsi="宋体" w:eastAsia="黑体" w:cs="Times New Roman"/>
          <w:color w:val="auto"/>
          <w:kern w:val="2"/>
          <w:sz w:val="32"/>
          <w:szCs w:val="32"/>
          <w:highlight w:val="none"/>
          <w:lang w:val="zh-CN" w:eastAsia="zh-CN" w:bidi="ar-SA"/>
        </w:rPr>
      </w:pPr>
      <w:bookmarkStart w:id="98" w:name="_Toc15426"/>
      <w:bookmarkStart w:id="99" w:name="_Toc15868"/>
      <w:r>
        <w:rPr>
          <w:rFonts w:hint="eastAsia" w:ascii="黑体" w:hAnsi="宋体" w:eastAsia="黑体" w:cs="Times New Roman"/>
          <w:color w:val="auto"/>
          <w:kern w:val="2"/>
          <w:sz w:val="32"/>
          <w:szCs w:val="32"/>
          <w:highlight w:val="none"/>
          <w:lang w:val="zh-CN" w:eastAsia="zh-CN" w:bidi="ar-SA"/>
        </w:rPr>
        <w:t>三、项目实施及管理情况</w:t>
      </w:r>
      <w:bookmarkEnd w:id="98"/>
      <w:bookmarkEnd w:id="99"/>
    </w:p>
    <w:p>
      <w:pPr>
        <w:pStyle w:val="2"/>
        <w:jc w:val="center"/>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代表工作经费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jc w:val="center"/>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代表工作经费项目属运转类涉及人大各委（室），在实施过程中以分管副秘书长牵头、委（室）负责人负责的原则，全体干部职工积极配合，通力协作，重大事项纳入“三重一大”范围，提交党组会审定。</w:t>
      </w:r>
    </w:p>
    <w:p>
      <w:pPr>
        <w:pStyle w:val="2"/>
        <w:jc w:val="center"/>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jc w:val="left"/>
        <w:outlineLvl w:val="1"/>
        <w:rPr>
          <w:rFonts w:hint="eastAsia" w:ascii="方正小标宋简体" w:hAnsi="方正小标宋简体" w:eastAsia="方正小标宋简体" w:cs="方正小标宋简体"/>
          <w:color w:val="auto"/>
          <w:kern w:val="2"/>
          <w:sz w:val="32"/>
          <w:szCs w:val="32"/>
          <w:highlight w:val="none"/>
          <w:lang w:val="zh-CN" w:eastAsia="zh-CN" w:bidi="ar-SA"/>
        </w:rPr>
      </w:pPr>
      <w:bookmarkStart w:id="100" w:name="_Toc31478"/>
      <w:bookmarkStart w:id="101" w:name="_Toc53"/>
      <w:r>
        <w:rPr>
          <w:rFonts w:hint="eastAsia" w:ascii="黑体" w:hAnsi="宋体" w:eastAsia="黑体" w:cs="Times New Roman"/>
          <w:color w:val="auto"/>
          <w:kern w:val="2"/>
          <w:sz w:val="32"/>
          <w:szCs w:val="32"/>
          <w:highlight w:val="none"/>
          <w:lang w:val="zh-CN" w:eastAsia="zh-CN" w:bidi="ar-SA"/>
        </w:rPr>
        <w:t>四、项目绩效情况</w:t>
      </w:r>
      <w:bookmarkEnd w:id="100"/>
      <w:bookmarkEnd w:id="101"/>
      <w:r>
        <w:rPr>
          <w:rFonts w:hint="eastAsia" w:ascii="方正小标宋简体" w:hAnsi="方正小标宋简体" w:eastAsia="方正小标宋简体" w:cs="方正小标宋简体"/>
          <w:color w:val="auto"/>
          <w:kern w:val="2"/>
          <w:sz w:val="32"/>
          <w:szCs w:val="32"/>
          <w:highlight w:val="none"/>
          <w:lang w:val="zh-CN" w:eastAsia="zh-CN" w:bidi="ar-SA"/>
        </w:rPr>
        <w:tab/>
      </w:r>
    </w:p>
    <w:p>
      <w:pPr>
        <w:pStyle w:val="2"/>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（一）项目完成情况</w:t>
      </w:r>
      <w:r>
        <w:rPr>
          <w:rFonts w:hint="eastAsia" w:ascii="方正小标宋简体" w:hAnsi="方正小标宋简体" w:eastAsia="方正小标宋简体" w:cs="方正小标宋简体"/>
          <w:color w:val="auto"/>
          <w:kern w:val="2"/>
          <w:sz w:val="32"/>
          <w:szCs w:val="32"/>
          <w:highlight w:val="none"/>
          <w:lang w:val="zh-CN" w:eastAsia="zh-CN" w:bidi="ar-SA"/>
        </w:rPr>
        <w:t>。</w:t>
      </w:r>
    </w:p>
    <w:p>
      <w:pPr>
        <w:pStyle w:val="2"/>
        <w:jc w:val="center"/>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截止评价时点的任务量完成、质量标准、进度计划、成本控制目标的实现程度进行评价分析为优。</w:t>
      </w:r>
    </w:p>
    <w:p>
      <w:pPr>
        <w:pStyle w:val="2"/>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（二）项目效益情况。</w:t>
      </w:r>
    </w:p>
    <w:p>
      <w:pPr>
        <w:pStyle w:val="2"/>
        <w:jc w:val="center"/>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项目经济效益完成达标、社会效益完成达标、生态效益完成达标、可持续效益完成达标以及服务对象满意度完成达标。</w:t>
      </w:r>
    </w:p>
    <w:p>
      <w:pPr>
        <w:pStyle w:val="2"/>
        <w:ind w:firstLine="640" w:firstLineChars="200"/>
        <w:jc w:val="left"/>
        <w:outlineLvl w:val="1"/>
        <w:rPr>
          <w:rFonts w:hint="eastAsia" w:ascii="黑体" w:hAnsi="宋体" w:eastAsia="黑体" w:cs="Times New Roman"/>
          <w:color w:val="auto"/>
          <w:kern w:val="2"/>
          <w:sz w:val="32"/>
          <w:szCs w:val="32"/>
          <w:highlight w:val="none"/>
          <w:lang w:val="zh-CN" w:eastAsia="zh-CN" w:bidi="ar-SA"/>
        </w:rPr>
      </w:pPr>
      <w:bookmarkStart w:id="102" w:name="_Toc24062"/>
      <w:bookmarkStart w:id="103" w:name="_Toc28466"/>
      <w:r>
        <w:rPr>
          <w:rFonts w:hint="eastAsia" w:ascii="黑体" w:hAnsi="宋体" w:eastAsia="黑体" w:cs="Times New Roman"/>
          <w:color w:val="auto"/>
          <w:kern w:val="2"/>
          <w:sz w:val="32"/>
          <w:szCs w:val="32"/>
          <w:highlight w:val="none"/>
          <w:lang w:val="zh-CN" w:eastAsia="zh-CN" w:bidi="ar-SA"/>
        </w:rPr>
        <w:t>五、评价结论及建议</w:t>
      </w:r>
      <w:bookmarkEnd w:id="102"/>
      <w:bookmarkEnd w:id="103"/>
    </w:p>
    <w:p>
      <w:pPr>
        <w:pStyle w:val="2"/>
        <w:ind w:firstLine="321" w:firstLineChars="100"/>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（一）评价结论。</w:t>
      </w:r>
    </w:p>
    <w:p>
      <w:pPr>
        <w:pStyle w:val="2"/>
        <w:jc w:val="center"/>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代表工作经费项目按支出绩效评价指标体系总体评价为优。</w:t>
      </w:r>
    </w:p>
    <w:p>
      <w:pPr>
        <w:pStyle w:val="2"/>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（二）存在的问题。</w:t>
      </w:r>
    </w:p>
    <w:p>
      <w:pPr>
        <w:pStyle w:val="2"/>
        <w:ind w:firstLine="640" w:firstLineChars="200"/>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在自评过程和结果未发现问题。</w:t>
      </w:r>
      <w:r>
        <w:rPr>
          <w:rFonts w:hint="eastAsia" w:ascii="方正小标宋简体" w:hAnsi="方正小标宋简体" w:eastAsia="方正小标宋简体" w:cs="方正小标宋简体"/>
          <w:color w:val="auto"/>
          <w:kern w:val="2"/>
          <w:sz w:val="32"/>
          <w:szCs w:val="32"/>
          <w:highlight w:val="none"/>
          <w:lang w:val="zh-CN" w:eastAsia="zh-CN" w:bidi="ar-SA"/>
        </w:rPr>
        <w:tab/>
      </w:r>
    </w:p>
    <w:p>
      <w:pPr>
        <w:pStyle w:val="2"/>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（三）相关建议。</w:t>
      </w:r>
    </w:p>
    <w:p>
      <w:pPr>
        <w:pStyle w:val="2"/>
        <w:ind w:firstLine="640" w:firstLineChars="200"/>
        <w:jc w:val="both"/>
        <w:rPr>
          <w:rFonts w:hint="eastAsia" w:ascii="方正小标宋简体" w:hAnsi="方正小标宋简体" w:eastAsia="方正小标宋简体" w:cs="方正小标宋简体"/>
          <w:color w:val="auto"/>
          <w:kern w:val="2"/>
          <w:sz w:val="32"/>
          <w:szCs w:val="32"/>
          <w:highlight w:val="none"/>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无建议。</w:t>
      </w:r>
    </w:p>
    <w:p>
      <w:pPr>
        <w:pStyle w:val="2"/>
        <w:jc w:val="center"/>
        <w:rPr>
          <w:rFonts w:hint="eastAsia" w:ascii="方正小标宋简体" w:hAnsi="方正小标宋简体" w:eastAsia="方正小标宋简体" w:cs="方正小标宋简体"/>
          <w:color w:val="auto"/>
          <w:kern w:val="2"/>
          <w:sz w:val="32"/>
          <w:szCs w:val="32"/>
          <w:highlight w:val="none"/>
          <w:lang w:val="en-US" w:eastAsia="zh-CN" w:bidi="ar-SA"/>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rPr>
      </w:pPr>
    </w:p>
    <w:tbl>
      <w:tblPr>
        <w:tblStyle w:val="15"/>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1046"/>
        <w:gridCol w:w="855"/>
        <w:gridCol w:w="879"/>
        <w:gridCol w:w="366"/>
        <w:gridCol w:w="751"/>
        <w:gridCol w:w="366"/>
        <w:gridCol w:w="741"/>
        <w:gridCol w:w="473"/>
        <w:gridCol w:w="579"/>
        <w:gridCol w:w="697"/>
        <w:gridCol w:w="2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pStyle w:val="2"/>
              <w:jc w:val="center"/>
              <w:rPr>
                <w:rFonts w:hint="eastAsia"/>
                <w:sz w:val="15"/>
                <w:szCs w:val="15"/>
              </w:rPr>
            </w:pPr>
            <w:r>
              <w:rPr>
                <w:rFonts w:hint="eastAsia" w:ascii="黑体" w:hAnsi="黑体" w:eastAsia="黑体"/>
                <w:color w:val="auto"/>
                <w:sz w:val="36"/>
                <w:szCs w:val="36"/>
                <w:highlight w:val="none"/>
                <w:lang w:val="en-US" w:eastAsia="zh-CN"/>
              </w:rPr>
              <w:t>代表工作项目支出绩效目标自评表（2022年度）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项目名称</w:t>
            </w:r>
          </w:p>
        </w:tc>
        <w:tc>
          <w:tcPr>
            <w:tcW w:w="79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代表工作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主管部门（盖章）</w:t>
            </w:r>
          </w:p>
        </w:tc>
        <w:tc>
          <w:tcPr>
            <w:tcW w:w="3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广元市人大常委会办公室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实施单位（盖章）</w:t>
            </w:r>
          </w:p>
        </w:tc>
        <w:tc>
          <w:tcPr>
            <w:tcW w:w="40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广元市人大常委会办公室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项目基本情况</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1.项目年度目标完成情况</w:t>
            </w:r>
          </w:p>
        </w:tc>
        <w:tc>
          <w:tcPr>
            <w:tcW w:w="3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项目年度目标</w:t>
            </w:r>
          </w:p>
        </w:tc>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32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　通过该项目，完成202年度代表专题集中调研、开展代表小组活动、联系代表，办理代表建议，征订人大代表一报一刊、知情知政资料。为代表服务，办实事。</w:t>
            </w:r>
          </w:p>
        </w:tc>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　该项目2022年度目标完成率100%。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2.项目实施内容及过程概述</w:t>
            </w:r>
          </w:p>
        </w:tc>
        <w:tc>
          <w:tcPr>
            <w:tcW w:w="79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通过该项目，完成202年度代表专题集中调研、开展代表小组活动、联系代表，办理代表建议，征订人大代表一报一刊、知情知政资料。为代表服务，办实事。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预算执行情况（10分）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年度预算数（万元）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年初预算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调整后预算数</w:t>
            </w: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部门自评得分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财政部门科室复评得分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总额</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58.81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58.81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其中：财政资金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58.81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58.81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财政专户管理资金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其他资金</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绩效指标（90分）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一级指标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二级指标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指标性质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指标值</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度量单位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完成值</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部门自评得分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财政部门科室复评得分</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数量指标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全国、省、市代表人数</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393</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质量指标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代表工作完成率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时效指标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完成时间</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成本指标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代表工作经费</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58.81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万元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效益指标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社会效益指标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发挥人大代表履职监督职能，促进政府工作效果率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90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满意度指标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满意度指标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人民群众满意度</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96</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部门（单位）自评结论</w:t>
            </w:r>
          </w:p>
        </w:tc>
        <w:tc>
          <w:tcPr>
            <w:tcW w:w="90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该项目自评等级为优。按照市人大常委会的“一要点四计划”履职和开展工作。支出控制在预算范围内，未出现超支超预算的情况。实行绩效目标监控，绩效监控中运用及时反馈，并及时处置。年终预算完成情况达标。全年无资金结余率（低效无效率）和违规记录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部门（单位）自评存在问题</w:t>
            </w:r>
          </w:p>
        </w:tc>
        <w:tc>
          <w:tcPr>
            <w:tcW w:w="90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部门（单位）自评改进措施</w:t>
            </w:r>
          </w:p>
        </w:tc>
        <w:tc>
          <w:tcPr>
            <w:tcW w:w="90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财政部门对口科室复评结论及整改要求</w:t>
            </w:r>
          </w:p>
        </w:tc>
        <w:tc>
          <w:tcPr>
            <w:tcW w:w="90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单位项目负责人：李开明</w:t>
            </w:r>
          </w:p>
        </w:tc>
        <w:tc>
          <w:tcPr>
            <w:tcW w:w="58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部门项目负责人：李开明</w:t>
            </w:r>
          </w:p>
        </w:tc>
        <w:tc>
          <w:tcPr>
            <w:tcW w:w="58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财政部门科室负责人：</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lang w:val="en-US" w:eastAsia="zh-CN"/>
        </w:rPr>
      </w:pP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2021年</w:t>
      </w:r>
      <w:r>
        <w:rPr>
          <w:rFonts w:hint="eastAsia" w:ascii="方正小标宋简体" w:hAnsi="方正小标宋简体" w:eastAsia="方正小标宋简体" w:cs="方正小标宋简体"/>
          <w:color w:val="auto"/>
          <w:kern w:val="2"/>
          <w:sz w:val="32"/>
          <w:szCs w:val="32"/>
          <w:highlight w:val="none"/>
          <w:lang w:val="zh-CN" w:eastAsia="zh-CN"/>
        </w:rPr>
        <w:t>人大信访工作项目支出绩效自评报告</w:t>
      </w:r>
    </w:p>
    <w:p>
      <w:pPr>
        <w:pStyle w:val="2"/>
        <w:outlineLvl w:val="1"/>
        <w:rPr>
          <w:rFonts w:hint="eastAsia"/>
          <w:lang w:val="zh-CN" w:eastAsia="zh-CN"/>
        </w:rPr>
      </w:pPr>
      <w:bookmarkStart w:id="104" w:name="_Toc10917"/>
      <w:bookmarkStart w:id="105" w:name="_Toc4494"/>
      <w:r>
        <w:rPr>
          <w:rFonts w:hint="eastAsia" w:ascii="黑体" w:hAnsi="宋体" w:eastAsia="黑体" w:cs="Times New Roman"/>
          <w:color w:val="auto"/>
          <w:kern w:val="2"/>
          <w:sz w:val="32"/>
          <w:szCs w:val="32"/>
          <w:highlight w:val="none"/>
          <w:lang w:val="zh-CN" w:eastAsia="zh-CN" w:bidi="ar-SA"/>
        </w:rPr>
        <w:t>一、项目概况</w:t>
      </w:r>
      <w:bookmarkEnd w:id="104"/>
      <w:bookmarkEnd w:id="105"/>
    </w:p>
    <w:p>
      <w:pPr>
        <w:pStyle w:val="2"/>
        <w:ind w:firstLine="321" w:firstLineChars="100"/>
        <w:jc w:val="both"/>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（一）项目基本情况。</w:t>
      </w:r>
    </w:p>
    <w:p>
      <w:pPr>
        <w:pStyle w:val="2"/>
        <w:rPr>
          <w:rFonts w:hint="eastAsia"/>
          <w:lang w:val="zh-CN"/>
        </w:rPr>
      </w:pPr>
      <w:r>
        <w:rPr>
          <w:rFonts w:hint="eastAsia"/>
          <w:lang w:val="zh-CN"/>
        </w:rPr>
        <w:t>1．市人大常委会</w:t>
      </w:r>
      <w:r>
        <w:rPr>
          <w:rFonts w:hint="eastAsia"/>
          <w:lang w:val="zh-CN" w:eastAsia="zh-CN"/>
        </w:rPr>
        <w:t>按照宪法法律的规定，依法履行立法、讨论决定重大事项、监督、选举任免国家机关工作人员的职能。</w:t>
      </w:r>
    </w:p>
    <w:p>
      <w:pPr>
        <w:pStyle w:val="2"/>
        <w:rPr>
          <w:rFonts w:hint="eastAsia"/>
          <w:lang w:val="zh-CN" w:eastAsia="zh-CN"/>
        </w:rPr>
      </w:pPr>
      <w:r>
        <w:rPr>
          <w:rFonts w:hint="eastAsia"/>
          <w:lang w:val="zh-CN"/>
        </w:rPr>
        <w:t>2．依据</w:t>
      </w:r>
      <w:r>
        <w:rPr>
          <w:rFonts w:hint="eastAsia"/>
          <w:lang w:val="zh-CN" w:eastAsia="zh-CN"/>
        </w:rPr>
        <w:t>《宪法》《地方人大和地方政府组织法》立项。《地方人大和地方政府组织法》第四十四条（六项）规定，县级以上地方各级人大常委会有权“监督本级人民政府、人民法院人民检察院的工作，联系本级人民代表大会代表，受理人民群众对上述机关和国家工作人员的申诉和意见。”</w:t>
      </w:r>
    </w:p>
    <w:p>
      <w:pPr>
        <w:pStyle w:val="2"/>
        <w:rPr>
          <w:rFonts w:hint="eastAsia"/>
          <w:lang w:val="zh-CN"/>
        </w:rPr>
      </w:pPr>
      <w:r>
        <w:rPr>
          <w:rFonts w:hint="eastAsia"/>
          <w:lang w:val="zh-CN"/>
        </w:rPr>
        <w:t>3．资金管理办法，按照财务制度管理办法执行。资金来源与预算安排，由市财政局在年初预算安排。</w:t>
      </w:r>
    </w:p>
    <w:p>
      <w:pPr>
        <w:pStyle w:val="2"/>
        <w:rPr>
          <w:rFonts w:hint="eastAsia"/>
          <w:lang w:val="zh-CN"/>
        </w:rPr>
      </w:pPr>
      <w:r>
        <w:rPr>
          <w:rFonts w:hint="eastAsia"/>
          <w:lang w:val="zh-CN"/>
        </w:rPr>
        <w:t>4．</w:t>
      </w:r>
      <w:r>
        <w:rPr>
          <w:rFonts w:hint="eastAsia"/>
          <w:lang w:val="zh-CN" w:eastAsia="zh-CN"/>
        </w:rPr>
        <w:t>所需资金4.5万元，用于开展对涉法涉诉的信访案件进行督办工作；全国人大及省市人大重要案件督办督查；召开好季、年度信访工作会议等。</w:t>
      </w:r>
    </w:p>
    <w:p>
      <w:pPr>
        <w:pStyle w:val="2"/>
        <w:rPr>
          <w:rFonts w:hint="eastAsia"/>
          <w:lang w:val="zh-CN" w:eastAsia="zh-CN"/>
        </w:rPr>
      </w:pPr>
      <w:r>
        <w:rPr>
          <w:rFonts w:hint="eastAsia" w:ascii="楷体_GB2312" w:hAnsi="宋体" w:eastAsia="楷体_GB2312" w:cs="Times New Roman"/>
          <w:b/>
          <w:color w:val="auto"/>
          <w:kern w:val="2"/>
          <w:sz w:val="32"/>
          <w:szCs w:val="32"/>
          <w:highlight w:val="none"/>
          <w:u w:val="none"/>
          <w:lang w:val="zh-CN" w:eastAsia="zh-CN" w:bidi="ar-SA"/>
        </w:rPr>
        <w:t>（二）项目绩效目标。</w:t>
      </w:r>
    </w:p>
    <w:p>
      <w:pPr>
        <w:pStyle w:val="2"/>
        <w:rPr>
          <w:rFonts w:hint="eastAsia"/>
          <w:lang w:val="zh-CN"/>
        </w:rPr>
      </w:pPr>
      <w:r>
        <w:rPr>
          <w:rFonts w:hint="eastAsia"/>
          <w:lang w:val="zh-CN"/>
        </w:rPr>
        <w:t>1．项目主要内容。</w:t>
      </w:r>
      <w:r>
        <w:rPr>
          <w:rFonts w:hint="eastAsia"/>
          <w:lang w:val="zh-CN" w:eastAsia="zh-CN"/>
        </w:rPr>
        <w:t>人大信访工作经费</w:t>
      </w:r>
    </w:p>
    <w:p>
      <w:pPr>
        <w:pStyle w:val="2"/>
        <w:rPr>
          <w:rFonts w:hint="eastAsia"/>
          <w:lang w:val="zh-CN"/>
        </w:rPr>
      </w:pPr>
      <w:r>
        <w:rPr>
          <w:rFonts w:hint="eastAsia"/>
          <w:lang w:val="zh-CN"/>
        </w:rPr>
        <w:t>2．</w:t>
      </w:r>
      <w:r>
        <w:rPr>
          <w:rFonts w:hint="eastAsia"/>
          <w:lang w:val="zh-CN" w:eastAsia="zh-CN"/>
        </w:rPr>
        <w:t>项目完成年初绩效目标，完成案件督办、参加培训、接待信访群众、调研考察、信访季度会等工作。</w:t>
      </w:r>
    </w:p>
    <w:p>
      <w:pPr>
        <w:pStyle w:val="2"/>
        <w:rPr>
          <w:rFonts w:hint="eastAsia"/>
          <w:lang w:val="zh-CN"/>
        </w:rPr>
      </w:pPr>
      <w:r>
        <w:rPr>
          <w:rFonts w:hint="eastAsia"/>
          <w:lang w:val="zh-CN"/>
        </w:rPr>
        <w:t>3．分析评价申报内容与实际相符，申报目标合理可行。</w:t>
      </w:r>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（三）项目自评步骤及方法。</w:t>
      </w:r>
    </w:p>
    <w:p>
      <w:pPr>
        <w:pStyle w:val="2"/>
        <w:rPr>
          <w:rFonts w:hint="eastAsia"/>
          <w:lang w:val="zh-CN"/>
        </w:rPr>
      </w:pPr>
      <w:r>
        <w:rPr>
          <w:rFonts w:hint="eastAsia"/>
          <w:lang w:val="zh-CN"/>
        </w:rPr>
        <w:t>项目绩效自评采用集中组织财务及相关人员成立自评小组，对照部门支出评价指标体系，采用比较法，评分等级依次为：优、良、中、差。</w:t>
      </w:r>
    </w:p>
    <w:p>
      <w:pPr>
        <w:pStyle w:val="2"/>
        <w:outlineLvl w:val="1"/>
        <w:rPr>
          <w:rFonts w:hint="eastAsia" w:ascii="黑体" w:hAnsi="宋体" w:eastAsia="黑体" w:cs="Times New Roman"/>
          <w:color w:val="auto"/>
          <w:kern w:val="2"/>
          <w:sz w:val="32"/>
          <w:szCs w:val="32"/>
          <w:highlight w:val="none"/>
          <w:lang w:val="zh-CN" w:eastAsia="zh-CN" w:bidi="ar-SA"/>
        </w:rPr>
      </w:pPr>
      <w:bookmarkStart w:id="106" w:name="_Toc29769"/>
      <w:bookmarkStart w:id="107" w:name="_Toc12306"/>
      <w:r>
        <w:rPr>
          <w:rFonts w:hint="eastAsia" w:ascii="黑体" w:hAnsi="宋体" w:eastAsia="黑体" w:cs="Times New Roman"/>
          <w:color w:val="auto"/>
          <w:kern w:val="2"/>
          <w:sz w:val="32"/>
          <w:szCs w:val="32"/>
          <w:highlight w:val="none"/>
          <w:lang w:val="zh-CN" w:eastAsia="zh-CN" w:bidi="ar-SA"/>
        </w:rPr>
        <w:t>二、项目资金申报及使用情况</w:t>
      </w:r>
      <w:bookmarkEnd w:id="106"/>
      <w:bookmarkEnd w:id="107"/>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（一）项目资金申报及批复情况。</w:t>
      </w:r>
    </w:p>
    <w:p>
      <w:pPr>
        <w:pStyle w:val="2"/>
        <w:rPr>
          <w:rFonts w:hint="eastAsia"/>
          <w:lang w:val="zh-CN"/>
        </w:rPr>
      </w:pPr>
      <w:r>
        <w:rPr>
          <w:rFonts w:hint="eastAsia"/>
          <w:lang w:val="zh-CN"/>
        </w:rPr>
        <w:t>按照预算编制要求，科学合理的编制项目库表、部门预算项目立项审核表、部门项目绩效申报表，按照广</w:t>
      </w:r>
      <w:r>
        <w:rPr>
          <w:rFonts w:hint="eastAsia"/>
          <w:lang w:val="zh-CN" w:eastAsia="zh-CN"/>
        </w:rPr>
        <w:t>元市财政局预算批复执行预算</w:t>
      </w:r>
      <w:r>
        <w:rPr>
          <w:rFonts w:hint="eastAsia"/>
          <w:lang w:val="zh-CN"/>
        </w:rPr>
        <w:t>。</w:t>
      </w:r>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（二）资金计划、到位及使用情况。</w:t>
      </w:r>
    </w:p>
    <w:p>
      <w:pPr>
        <w:pStyle w:val="2"/>
        <w:rPr>
          <w:rFonts w:hint="eastAsia"/>
          <w:lang w:val="zh-CN"/>
        </w:rPr>
      </w:pPr>
      <w:r>
        <w:rPr>
          <w:rFonts w:hint="eastAsia"/>
          <w:lang w:val="zh-CN"/>
        </w:rPr>
        <w:t>1．资金计划。在一般公共服务支出类人大事务款人大信访工作项预算计划市财政资金。</w:t>
      </w:r>
    </w:p>
    <w:p>
      <w:pPr>
        <w:pStyle w:val="2"/>
        <w:rPr>
          <w:rFonts w:hint="eastAsia"/>
          <w:lang w:val="zh-CN"/>
        </w:rPr>
      </w:pPr>
      <w:r>
        <w:rPr>
          <w:rFonts w:hint="eastAsia"/>
          <w:lang w:val="zh-CN"/>
        </w:rPr>
        <w:t>2．资金到位。汇总统计截止评价时点该项目一般公共服务支出类人大事务款人大信访工作项。资金到位率、到位及时性等均为优。</w:t>
      </w:r>
    </w:p>
    <w:p>
      <w:pPr>
        <w:pStyle w:val="2"/>
        <w:rPr>
          <w:rFonts w:hint="eastAsia"/>
          <w:lang w:val="zh-CN"/>
        </w:rPr>
      </w:pPr>
      <w:r>
        <w:rPr>
          <w:rFonts w:hint="eastAsia"/>
          <w:lang w:val="zh-CN"/>
        </w:rPr>
        <w:t>3．资金使用。汇总统计截止评价时点该项目一般公共服务支出类人大事务款人大信访工作项。资金到位率、到位及时性统计资金支出情况完成率</w:t>
      </w:r>
      <w:r>
        <w:rPr>
          <w:rFonts w:hint="eastAsia"/>
          <w:lang w:val="zh-CN" w:eastAsia="zh-CN"/>
        </w:rPr>
        <w:t>100%</w:t>
      </w:r>
      <w:r>
        <w:rPr>
          <w:rFonts w:hint="eastAsia"/>
          <w:lang w:val="zh-CN"/>
        </w:rPr>
        <w:t>，资金支付范围、支付标准、支付进度、支付依据等合规合法、与预算相符。</w:t>
      </w:r>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（三）项目财务管理情况。</w:t>
      </w:r>
    </w:p>
    <w:p>
      <w:pPr>
        <w:pStyle w:val="2"/>
        <w:ind w:firstLine="300" w:firstLineChars="100"/>
        <w:rPr>
          <w:rFonts w:hint="eastAsia"/>
          <w:lang w:val="zh-CN"/>
        </w:rPr>
      </w:pPr>
      <w:r>
        <w:rPr>
          <w:rFonts w:hint="eastAsia"/>
          <w:lang w:val="zh-CN"/>
        </w:rPr>
        <w:t>该项目实施单位财务管理制度健全，严格执行财务管理制度，账务处理及时，会计核算等评价等级为优。</w:t>
      </w:r>
    </w:p>
    <w:p>
      <w:pPr>
        <w:pStyle w:val="2"/>
        <w:outlineLvl w:val="1"/>
        <w:rPr>
          <w:rFonts w:hint="eastAsia" w:ascii="黑体" w:hAnsi="宋体" w:eastAsia="黑体" w:cs="Times New Roman"/>
          <w:color w:val="auto"/>
          <w:kern w:val="2"/>
          <w:sz w:val="32"/>
          <w:szCs w:val="32"/>
          <w:highlight w:val="none"/>
          <w:lang w:val="zh-CN" w:eastAsia="zh-CN" w:bidi="ar-SA"/>
        </w:rPr>
      </w:pPr>
      <w:bookmarkStart w:id="108" w:name="_Toc5655"/>
      <w:bookmarkStart w:id="109" w:name="_Toc6493"/>
      <w:r>
        <w:rPr>
          <w:rFonts w:hint="eastAsia" w:ascii="黑体" w:hAnsi="宋体" w:eastAsia="黑体" w:cs="Times New Roman"/>
          <w:color w:val="auto"/>
          <w:kern w:val="2"/>
          <w:sz w:val="32"/>
          <w:szCs w:val="32"/>
          <w:highlight w:val="none"/>
          <w:lang w:val="zh-CN" w:eastAsia="zh-CN" w:bidi="ar-SA"/>
        </w:rPr>
        <w:t>三、项目实施及管理情况</w:t>
      </w:r>
      <w:bookmarkEnd w:id="108"/>
      <w:bookmarkEnd w:id="109"/>
    </w:p>
    <w:p>
      <w:pPr>
        <w:pStyle w:val="2"/>
        <w:rPr>
          <w:rFonts w:hint="eastAsia"/>
          <w:lang w:val="zh-CN"/>
        </w:rPr>
      </w:pPr>
      <w:r>
        <w:rPr>
          <w:rFonts w:hint="eastAsia" w:ascii="楷体_GB2312" w:hAnsi="宋体" w:eastAsia="楷体_GB2312" w:cs="Times New Roman"/>
          <w:b/>
          <w:color w:val="auto"/>
          <w:kern w:val="2"/>
          <w:sz w:val="32"/>
          <w:szCs w:val="32"/>
          <w:highlight w:val="none"/>
          <w:u w:val="none"/>
          <w:lang w:val="zh-CN" w:eastAsia="zh-CN" w:bidi="ar-SA"/>
        </w:rPr>
        <w:t>（一）项目组织架构及实施流程。</w:t>
      </w:r>
      <w:r>
        <w:rPr>
          <w:rFonts w:hint="eastAsia"/>
          <w:lang w:val="zh-CN" w:eastAsia="zh-CN"/>
        </w:rPr>
        <w:t>人大信访工作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pStyle w:val="2"/>
        <w:rPr>
          <w:rFonts w:hint="eastAsia"/>
          <w:lang w:val="zh-CN"/>
        </w:rPr>
      </w:pPr>
      <w:r>
        <w:rPr>
          <w:rFonts w:hint="eastAsia" w:ascii="楷体_GB2312" w:hAnsi="宋体" w:eastAsia="楷体_GB2312" w:cs="Times New Roman"/>
          <w:b/>
          <w:color w:val="auto"/>
          <w:kern w:val="2"/>
          <w:sz w:val="32"/>
          <w:szCs w:val="32"/>
          <w:highlight w:val="none"/>
          <w:u w:val="none"/>
          <w:lang w:val="zh-CN" w:eastAsia="zh-CN" w:bidi="ar-SA"/>
        </w:rPr>
        <w:t>（二）项目管理情况。</w:t>
      </w:r>
      <w:r>
        <w:rPr>
          <w:rFonts w:hint="eastAsia"/>
          <w:lang w:val="zh-CN" w:eastAsia="zh-CN"/>
        </w:rPr>
        <w:t>人大信访工作项目属运转类涉及人大各委（室），在实施过程中以分管副秘书长牵头、委（室）负责人负责的原则，全体干部职工积极配合，通力协作，重大事项纳入“三重一大”范围，提交党组会审定</w:t>
      </w:r>
      <w:r>
        <w:rPr>
          <w:rFonts w:hint="eastAsia"/>
          <w:lang w:val="zh-CN"/>
        </w:rPr>
        <w:t>。</w:t>
      </w:r>
    </w:p>
    <w:p>
      <w:pPr>
        <w:pStyle w:val="2"/>
        <w:rPr>
          <w:rFonts w:hint="eastAsia"/>
          <w:lang w:val="zh-CN"/>
        </w:rPr>
      </w:pPr>
      <w:r>
        <w:rPr>
          <w:rFonts w:hint="eastAsia" w:ascii="楷体_GB2312" w:hAnsi="宋体" w:eastAsia="楷体_GB2312" w:cs="Times New Roman"/>
          <w:b/>
          <w:color w:val="auto"/>
          <w:kern w:val="2"/>
          <w:sz w:val="32"/>
          <w:szCs w:val="32"/>
          <w:highlight w:val="none"/>
          <w:u w:val="none"/>
          <w:lang w:val="zh-CN" w:eastAsia="zh-CN" w:bidi="ar-SA"/>
        </w:rPr>
        <w:t>（三）项目监管情况。</w:t>
      </w:r>
      <w:r>
        <w:rPr>
          <w:rFonts w:hint="eastAsia"/>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pStyle w:val="2"/>
        <w:outlineLvl w:val="1"/>
        <w:rPr>
          <w:rFonts w:hint="eastAsia" w:ascii="黑体" w:hAnsi="宋体" w:eastAsia="黑体" w:cs="Times New Roman"/>
          <w:color w:val="auto"/>
          <w:kern w:val="2"/>
          <w:sz w:val="32"/>
          <w:szCs w:val="32"/>
          <w:highlight w:val="none"/>
          <w:lang w:val="zh-CN" w:eastAsia="zh-CN" w:bidi="ar-SA"/>
        </w:rPr>
      </w:pPr>
      <w:bookmarkStart w:id="110" w:name="_Toc7279"/>
      <w:bookmarkStart w:id="111" w:name="_Toc5668"/>
      <w:r>
        <w:rPr>
          <w:rFonts w:hint="eastAsia" w:ascii="黑体" w:hAnsi="宋体" w:eastAsia="黑体" w:cs="Times New Roman"/>
          <w:color w:val="auto"/>
          <w:kern w:val="2"/>
          <w:sz w:val="32"/>
          <w:szCs w:val="32"/>
          <w:highlight w:val="none"/>
          <w:lang w:val="zh-CN" w:eastAsia="zh-CN" w:bidi="ar-SA"/>
        </w:rPr>
        <w:t>四、项目绩效情况。</w:t>
      </w:r>
      <w:bookmarkEnd w:id="110"/>
      <w:bookmarkEnd w:id="111"/>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（一）项目完成情况。</w:t>
      </w:r>
    </w:p>
    <w:p>
      <w:pPr>
        <w:pStyle w:val="2"/>
        <w:rPr>
          <w:rFonts w:hint="eastAsia"/>
          <w:lang w:val="zh-CN"/>
        </w:rPr>
      </w:pPr>
      <w:r>
        <w:rPr>
          <w:rFonts w:hint="eastAsia"/>
          <w:lang w:val="zh-CN"/>
        </w:rPr>
        <w:t>截止评价时点的任务量完成、质量标准、进度计划、成本控制目标的实现程度进行评价分析为优。</w:t>
      </w:r>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（二）项目效益情况。</w:t>
      </w:r>
    </w:p>
    <w:p>
      <w:pPr>
        <w:pStyle w:val="2"/>
        <w:rPr>
          <w:rFonts w:hint="eastAsia"/>
          <w:lang w:val="zh-CN"/>
        </w:rPr>
      </w:pPr>
      <w:r>
        <w:rPr>
          <w:rFonts w:hint="eastAsia"/>
          <w:lang w:val="zh-CN"/>
        </w:rPr>
        <w:t>项目经济效益完成达标、社会效益完成达标、生态效益完成达标、可持续效益完成达标以及服务对象满意度完成达标。</w:t>
      </w:r>
    </w:p>
    <w:p>
      <w:pPr>
        <w:pStyle w:val="2"/>
        <w:outlineLvl w:val="1"/>
        <w:rPr>
          <w:rFonts w:hint="eastAsia"/>
          <w:lang w:val="zh-CN" w:eastAsia="zh-CN"/>
        </w:rPr>
      </w:pPr>
      <w:bookmarkStart w:id="112" w:name="_Toc20042"/>
      <w:bookmarkStart w:id="113" w:name="_Toc8264"/>
      <w:r>
        <w:rPr>
          <w:rFonts w:hint="eastAsia" w:ascii="黑体" w:hAnsi="宋体" w:eastAsia="黑体" w:cs="Times New Roman"/>
          <w:color w:val="auto"/>
          <w:kern w:val="2"/>
          <w:sz w:val="32"/>
          <w:szCs w:val="32"/>
          <w:highlight w:val="none"/>
          <w:lang w:val="zh-CN" w:eastAsia="zh-CN" w:bidi="ar-SA"/>
        </w:rPr>
        <w:t>五、评价结论及建议</w:t>
      </w:r>
      <w:bookmarkEnd w:id="112"/>
      <w:bookmarkEnd w:id="113"/>
    </w:p>
    <w:p>
      <w:pPr>
        <w:pStyle w:val="2"/>
        <w:rPr>
          <w:rFonts w:hint="eastAsia"/>
          <w:lang w:val="zh-CN" w:eastAsia="zh-CN"/>
        </w:rPr>
      </w:pPr>
      <w:r>
        <w:rPr>
          <w:rFonts w:hint="eastAsia" w:ascii="楷体_GB2312" w:hAnsi="宋体" w:eastAsia="楷体_GB2312" w:cs="Times New Roman"/>
          <w:b/>
          <w:color w:val="auto"/>
          <w:kern w:val="2"/>
          <w:sz w:val="32"/>
          <w:szCs w:val="32"/>
          <w:highlight w:val="none"/>
          <w:u w:val="none"/>
          <w:lang w:val="zh-CN" w:eastAsia="zh-CN" w:bidi="ar-SA"/>
        </w:rPr>
        <w:t>（一）评价结论。</w:t>
      </w:r>
    </w:p>
    <w:p>
      <w:pPr>
        <w:pStyle w:val="2"/>
        <w:rPr>
          <w:rFonts w:hint="eastAsia"/>
          <w:lang w:val="zh-CN"/>
        </w:rPr>
      </w:pPr>
      <w:r>
        <w:rPr>
          <w:rFonts w:hint="eastAsia"/>
          <w:lang w:val="zh-CN"/>
        </w:rPr>
        <w:t>人大信访工作项目按支出绩效评价指标体系总体评价为优。</w:t>
      </w:r>
    </w:p>
    <w:p>
      <w:pPr>
        <w:pStyle w:val="2"/>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（二）存在的问题。</w:t>
      </w:r>
    </w:p>
    <w:p>
      <w:pPr>
        <w:pStyle w:val="2"/>
        <w:rPr>
          <w:rFonts w:hint="eastAsia"/>
          <w:lang w:val="zh-CN"/>
        </w:rPr>
      </w:pPr>
      <w:r>
        <w:rPr>
          <w:rFonts w:hint="eastAsia"/>
          <w:lang w:val="zh-CN"/>
        </w:rPr>
        <w:t>在自评过程和结果未发现问题。</w:t>
      </w:r>
      <w:r>
        <w:rPr>
          <w:rFonts w:hint="eastAsia"/>
          <w:lang w:val="zh-CN"/>
        </w:rPr>
        <w:tab/>
      </w:r>
    </w:p>
    <w:p>
      <w:pPr>
        <w:pStyle w:val="2"/>
        <w:rPr>
          <w:rFonts w:hint="eastAsia"/>
          <w:lang w:val="zh-CN" w:eastAsia="zh-CN"/>
        </w:rPr>
      </w:pPr>
      <w:r>
        <w:rPr>
          <w:rFonts w:hint="eastAsia" w:ascii="楷体_GB2312" w:hAnsi="宋体" w:eastAsia="楷体_GB2312" w:cs="Times New Roman"/>
          <w:b/>
          <w:color w:val="auto"/>
          <w:kern w:val="2"/>
          <w:sz w:val="32"/>
          <w:szCs w:val="32"/>
          <w:highlight w:val="none"/>
          <w:u w:val="none"/>
          <w:lang w:val="zh-CN" w:eastAsia="zh-CN" w:bidi="ar-SA"/>
        </w:rPr>
        <w:t>（三）相关建议。</w:t>
      </w:r>
    </w:p>
    <w:p>
      <w:pPr>
        <w:pStyle w:val="2"/>
        <w:rPr>
          <w:rFonts w:hint="eastAsia"/>
          <w:lang w:val="zh-CN"/>
        </w:rPr>
      </w:pPr>
      <w:r>
        <w:rPr>
          <w:rFonts w:hint="eastAsia"/>
          <w:lang w:val="zh-CN"/>
        </w:rPr>
        <w:t>无建议。</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W w:w="10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052"/>
        <w:gridCol w:w="858"/>
        <w:gridCol w:w="884"/>
        <w:gridCol w:w="366"/>
        <w:gridCol w:w="749"/>
        <w:gridCol w:w="366"/>
        <w:gridCol w:w="741"/>
        <w:gridCol w:w="475"/>
        <w:gridCol w:w="581"/>
        <w:gridCol w:w="702"/>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0060" w:type="dxa"/>
            <w:gridSpan w:val="12"/>
            <w:tcBorders>
              <w:top w:val="nil"/>
              <w:left w:val="nil"/>
              <w:bottom w:val="nil"/>
              <w:right w:val="nil"/>
            </w:tcBorders>
            <w:shd w:val="clear" w:color="auto" w:fill="auto"/>
            <w:vAlign w:val="center"/>
          </w:tcPr>
          <w:p>
            <w:pPr>
              <w:pStyle w:val="2"/>
              <w:jc w:val="center"/>
              <w:rPr>
                <w:rFonts w:hint="eastAsia"/>
                <w:sz w:val="15"/>
                <w:szCs w:val="15"/>
              </w:rPr>
            </w:pPr>
            <w:r>
              <w:rPr>
                <w:rFonts w:hint="eastAsia" w:ascii="黑体" w:hAnsi="黑体" w:eastAsia="黑体"/>
                <w:color w:val="auto"/>
                <w:sz w:val="36"/>
                <w:szCs w:val="36"/>
                <w:highlight w:val="none"/>
                <w:lang w:val="en-US" w:eastAsia="zh-CN"/>
              </w:rPr>
              <w:t>人大信访工作经费项目支出绩效目标自评表（2022年度）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项目名称</w:t>
            </w:r>
          </w:p>
        </w:tc>
        <w:tc>
          <w:tcPr>
            <w:tcW w:w="7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人大信访工作经费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主管部门（盖章）</w:t>
            </w:r>
          </w:p>
        </w:tc>
        <w:tc>
          <w:tcPr>
            <w:tcW w:w="3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广元市人大常委会办公室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实施单位（盖章）</w:t>
            </w:r>
          </w:p>
        </w:tc>
        <w:tc>
          <w:tcPr>
            <w:tcW w:w="4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广元市人大常委会办公室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项目基本情况</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1.项目年度目标完成情况</w:t>
            </w:r>
          </w:p>
        </w:tc>
        <w:tc>
          <w:tcPr>
            <w:tcW w:w="3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项目年度目标</w:t>
            </w:r>
          </w:p>
        </w:tc>
        <w:tc>
          <w:tcPr>
            <w:tcW w:w="4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3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完成对涉法涉诉的信访案件进行督办；全国人大及省市人大重要案件督办督查；召开好季年度信访工作会议。</w:t>
            </w:r>
          </w:p>
        </w:tc>
        <w:tc>
          <w:tcPr>
            <w:tcW w:w="4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完成对涉法涉诉的信访案件进行督办；全国人大及省市人大重要案件督办督查；召开好季年度信访工作会议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2.项目实施内容及过程概述</w:t>
            </w:r>
          </w:p>
        </w:tc>
        <w:tc>
          <w:tcPr>
            <w:tcW w:w="795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通过该项目，完成对涉法涉诉的信访案件进行督办；全国人大及省市人大重要案件督办督查；召开好季年度信访工作会议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预算执行情况（10分）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年度预算数（万元）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调整后预算数</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部门自评得分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财政部门科室复评得分</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总额</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4.50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其中：财政资金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4.50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4.50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财政专户管理资金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其他资金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绩效指标（90分）</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一级指标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三级指标</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指标值</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度量单位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部门自评得分</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财政部门科室复评得分</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数量指标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人大信访工作接待、办理数量</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550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件/人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质量指标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督办督查的完成率</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时效指标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完成时间</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项目完成指标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成本指标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人大信访工作经费</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4.5</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项目效果指标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社会效益</w:t>
            </w:r>
            <w:r>
              <w:rPr>
                <w:rFonts w:hint="eastAsia"/>
                <w:sz w:val="15"/>
                <w:szCs w:val="15"/>
                <w:lang w:val="en-US" w:eastAsia="zh-CN"/>
              </w:rPr>
              <w:br w:type="textWrapping"/>
            </w:r>
            <w:r>
              <w:rPr>
                <w:rFonts w:hint="eastAsia"/>
                <w:sz w:val="15"/>
                <w:szCs w:val="15"/>
                <w:lang w:val="en-US" w:eastAsia="zh-CN"/>
              </w:rPr>
              <w:t>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维护稳定率</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95</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满意度指标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满意度指标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人民群众满意度</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95</w:t>
            </w:r>
          </w:p>
        </w:tc>
        <w:tc>
          <w:tcPr>
            <w:tcW w:w="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部门（单位）自评结论</w:t>
            </w:r>
          </w:p>
        </w:tc>
        <w:tc>
          <w:tcPr>
            <w:tcW w:w="90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依据“市人大常委会2022年‘一要点四计划’”开展工作，支出控制在预算范围内，未出现超支超预算的情况。实行绩效目标监控，绩效监控中运用及时反馈，并及时处置。年终预算完成情况达标。全年无资金结余率（低效无效率）和违规记录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部门（单位）自评存在问题</w:t>
            </w:r>
          </w:p>
        </w:tc>
        <w:tc>
          <w:tcPr>
            <w:tcW w:w="90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部门（单位）自评改进措施</w:t>
            </w:r>
          </w:p>
        </w:tc>
        <w:tc>
          <w:tcPr>
            <w:tcW w:w="90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财政部门对口科室复评结论及整改要求</w:t>
            </w:r>
          </w:p>
        </w:tc>
        <w:tc>
          <w:tcPr>
            <w:tcW w:w="90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单位项目负责人：李开明</w:t>
            </w:r>
          </w:p>
        </w:tc>
        <w:tc>
          <w:tcPr>
            <w:tcW w:w="58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部门项目负责人：李开明</w:t>
            </w:r>
          </w:p>
        </w:tc>
        <w:tc>
          <w:tcPr>
            <w:tcW w:w="58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sz w:val="15"/>
                <w:szCs w:val="15"/>
              </w:rPr>
            </w:pPr>
            <w:r>
              <w:rPr>
                <w:rFonts w:hint="eastAsia"/>
                <w:sz w:val="15"/>
                <w:szCs w:val="15"/>
                <w:lang w:val="en-US" w:eastAsia="zh-CN"/>
              </w:rPr>
              <w:t>部门财务负责人：杨红</w:t>
            </w:r>
          </w:p>
        </w:tc>
      </w:tr>
    </w:tbl>
    <w:p>
      <w:pPr>
        <w:pStyle w:val="2"/>
        <w:rPr>
          <w:rFonts w:hint="eastAsi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2021年</w:t>
      </w:r>
      <w:r>
        <w:rPr>
          <w:rFonts w:hint="eastAsia" w:ascii="方正小标宋简体" w:hAnsi="方正小标宋简体" w:eastAsia="方正小标宋简体" w:cs="方正小标宋简体"/>
          <w:color w:val="auto"/>
          <w:kern w:val="2"/>
          <w:sz w:val="32"/>
          <w:szCs w:val="32"/>
          <w:highlight w:val="none"/>
          <w:lang w:val="zh-CN" w:eastAsia="zh-CN"/>
        </w:rPr>
        <w:t>人大刊物项目支出绩效自评报告</w:t>
      </w:r>
    </w:p>
    <w:p>
      <w:pPr>
        <w:outlineLvl w:val="1"/>
        <w:rPr>
          <w:rFonts w:hint="eastAsia"/>
          <w:lang w:val="zh-CN" w:eastAsia="zh-CN"/>
        </w:rPr>
      </w:pPr>
      <w:bookmarkStart w:id="114" w:name="_Toc4482"/>
      <w:r>
        <w:rPr>
          <w:rFonts w:hint="eastAsia" w:ascii="黑体" w:hAnsi="宋体" w:eastAsia="黑体"/>
          <w:color w:val="auto"/>
          <w:sz w:val="32"/>
          <w:szCs w:val="32"/>
          <w:highlight w:val="none"/>
          <w:lang w:val="zh-CN" w:eastAsia="zh-CN"/>
        </w:rPr>
        <w:t>一、项目概况</w:t>
      </w:r>
      <w:bookmarkEnd w:id="114"/>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黑体" w:hAnsi="宋体" w:eastAsia="黑体"/>
          <w:color w:val="auto"/>
          <w:sz w:val="32"/>
          <w:szCs w:val="32"/>
          <w:highlight w:val="none"/>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1．市人大常委会</w:t>
      </w:r>
      <w:r>
        <w:rPr>
          <w:rFonts w:hint="eastAsia" w:ascii="仿宋_GB2312" w:hAnsi="仿宋_GB2312" w:eastAsia="仿宋_GB2312" w:cs="仿宋_GB2312"/>
          <w:color w:val="auto"/>
          <w:kern w:val="0"/>
          <w:sz w:val="32"/>
          <w:szCs w:val="32"/>
          <w:highlight w:val="none"/>
          <w:u w:val="none"/>
          <w:shd w:val="clear" w:color="auto" w:fill="FFFFFF"/>
          <w:lang w:val="zh-CN" w:eastAsia="zh-CN"/>
        </w:rPr>
        <w:t>按照宪法法律的规定，依法履行立法、讨论决定重大事项、监督、选举任免国家机关工作人员的职</w:t>
      </w:r>
      <w:r>
        <w:rPr>
          <w:rFonts w:hint="eastAsia" w:ascii="黑体" w:hAnsi="宋体" w:eastAsia="黑体"/>
          <w:color w:val="auto"/>
          <w:sz w:val="32"/>
          <w:szCs w:val="32"/>
          <w:highlight w:val="none"/>
          <w:lang w:val="zh-CN" w:eastAsia="zh-CN"/>
        </w:rPr>
        <w:t>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本项目根据工作需要编制《广元人大》全年4期、《广元市人大常委会公报》全年6期、广元人大调研文集等立项。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3．资金管理办法，按照财务制度管理办法执行。资金来源与预算安排，由市财政局在年初预算安排。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4．</w:t>
      </w:r>
      <w:r>
        <w:rPr>
          <w:rFonts w:hint="eastAsia" w:ascii="仿宋_GB2312" w:hAnsi="仿宋_GB2312" w:eastAsia="仿宋_GB2312" w:cs="仿宋_GB2312"/>
          <w:color w:val="auto"/>
          <w:kern w:val="0"/>
          <w:sz w:val="32"/>
          <w:szCs w:val="32"/>
          <w:highlight w:val="none"/>
          <w:u w:val="none"/>
          <w:shd w:val="clear" w:color="auto" w:fill="FFFFFF"/>
          <w:lang w:val="zh-CN" w:eastAsia="zh-CN"/>
        </w:rPr>
        <w:t>所需资金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22.8</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万元，用于开展对涉法涉诉的信访案件进行督办工作；全国人大及省市人大重要案件督办督查；召开好季、年度信访工作会议等。</w:t>
      </w:r>
    </w:p>
    <w:p>
      <w:pPr>
        <w:rPr>
          <w:rFonts w:hint="eastAsia"/>
          <w:lang w:val="zh-CN" w:eastAsia="zh-CN"/>
        </w:rPr>
      </w:pPr>
      <w:r>
        <w:rPr>
          <w:rFonts w:hint="eastAsia" w:ascii="楷体_GB2312" w:hAnsi="宋体" w:eastAsia="楷体_GB2312"/>
          <w:b/>
          <w:color w:val="auto"/>
          <w:sz w:val="32"/>
          <w:szCs w:val="32"/>
          <w:highlight w:val="none"/>
          <w:u w:val="none"/>
          <w:lang w:val="zh-CN" w:eastAsia="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color w:val="auto"/>
          <w:kern w:val="0"/>
          <w:sz w:val="32"/>
          <w:szCs w:val="32"/>
          <w:highlight w:val="none"/>
          <w:u w:val="none"/>
          <w:shd w:val="clear" w:color="auto" w:fill="FFFFFF"/>
          <w:lang w:val="zh-CN" w:eastAsia="zh-CN"/>
        </w:rPr>
        <w:t>编制《广元人大》全年4期、《广元市人大常委会公报》全年6期、广元人大调研文集等。</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完成年初绩效目标，编制《广元人大》全年4期、《广元市人大常委会公报》全年6期、广元人大调研文集（2023年度）500本。宣传先进代表人物，搭建服务保障平台，做好人民代表大会制度及人大代表宣传等工作，围绕人大代表职责，提升代表履职能力，拓宽代表视野，发挥代表作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3．分析评价申报内容与实际相符，申报目标合理可行。</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项目绩效自评采用集中组织财务及相关人员成立自评小组，对照部门支出评价指标体系，采用比较法，评分等级依次为：优、良、中、差。</w:t>
      </w:r>
    </w:p>
    <w:p>
      <w:pPr>
        <w:outlineLvl w:val="1"/>
        <w:rPr>
          <w:rFonts w:hint="eastAsia" w:ascii="黑体" w:hAnsi="宋体" w:eastAsia="黑体"/>
          <w:color w:val="auto"/>
          <w:sz w:val="32"/>
          <w:szCs w:val="32"/>
          <w:highlight w:val="none"/>
          <w:lang w:val="zh-CN" w:eastAsia="zh-CN"/>
        </w:rPr>
      </w:pPr>
      <w:bookmarkStart w:id="115" w:name="_Toc1846"/>
      <w:r>
        <w:rPr>
          <w:rFonts w:hint="eastAsia" w:ascii="黑体" w:hAnsi="宋体" w:eastAsia="黑体"/>
          <w:color w:val="auto"/>
          <w:sz w:val="32"/>
          <w:szCs w:val="32"/>
          <w:highlight w:val="none"/>
          <w:lang w:val="zh-CN" w:eastAsia="zh-CN"/>
        </w:rPr>
        <w:t>二、项目资金申报及使用情况</w:t>
      </w:r>
      <w:bookmarkEnd w:id="115"/>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（一）项目资金申报及批复情况。</w:t>
      </w:r>
    </w:p>
    <w:p>
      <w:pPr>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按照预算编制要求，科学合理的编制项目库表、部门预算项目立项审核表、部门项目绩效申报表，按照广元市财政局预算批复执行预算。</w:t>
      </w:r>
    </w:p>
    <w:p>
      <w:pPr>
        <w:rPr>
          <w:rFonts w:hint="eastAsia"/>
          <w:lang w:val="zh-CN" w:eastAsia="zh-CN"/>
        </w:rPr>
      </w:pPr>
      <w:r>
        <w:rPr>
          <w:rFonts w:hint="eastAsia" w:ascii="楷体_GB2312" w:hAnsi="宋体" w:eastAsia="楷体_GB2312"/>
          <w:b/>
          <w:color w:val="auto"/>
          <w:sz w:val="32"/>
          <w:szCs w:val="32"/>
          <w:highlight w:val="none"/>
          <w:u w:val="none"/>
          <w:lang w:val="zh-CN" w:eastAsia="zh-CN"/>
        </w:rPr>
        <w:t>（二）资金计划、到位及使用情况。</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1．资金计划。在一般公共服务支出类人大事务款一般行政管理事务项预算计划市财政资金。</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2．资金到位。汇总统计截止评价时点该项目一般公共服务支出类人大事务款一般行政管理事务项。资金到位率、到位及时性等均为优。</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3．资金使用。汇总统计截止评价时点该项目一般公共服务支出类人大事务款一般行政管理事务项。资金到位率、到位及时性统计资金支出情况完成率100%，资金支付范围、支付标准、支付进度、支付依据等合规合法、与预算相符。</w:t>
      </w:r>
    </w:p>
    <w:p>
      <w:pPr>
        <w:rPr>
          <w:rFonts w:hint="eastAsia"/>
          <w:lang w:val="zh-CN" w:eastAsia="zh-CN"/>
        </w:rPr>
      </w:pPr>
      <w:r>
        <w:rPr>
          <w:rFonts w:hint="eastAsia" w:ascii="楷体_GB2312" w:hAnsi="宋体" w:eastAsia="楷体_GB2312"/>
          <w:b/>
          <w:color w:val="auto"/>
          <w:sz w:val="32"/>
          <w:szCs w:val="32"/>
          <w:highlight w:val="none"/>
          <w:u w:val="none"/>
          <w:lang w:val="zh-CN" w:eastAsia="zh-CN"/>
        </w:rPr>
        <w:t>（三）项目财务管理情况。</w:t>
      </w:r>
    </w:p>
    <w:p>
      <w:pPr>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该项目实施单位财务管理制度健全，严格执行财务管理制度，账务处理及时，会计核算等评价等级为优。</w:t>
      </w:r>
    </w:p>
    <w:p>
      <w:pPr>
        <w:outlineLvl w:val="1"/>
        <w:rPr>
          <w:rFonts w:hint="eastAsia" w:ascii="黑体" w:hAnsi="宋体" w:eastAsia="黑体"/>
          <w:color w:val="auto"/>
          <w:sz w:val="32"/>
          <w:szCs w:val="32"/>
          <w:highlight w:val="none"/>
          <w:lang w:val="zh-CN" w:eastAsia="zh-CN"/>
        </w:rPr>
      </w:pPr>
      <w:bookmarkStart w:id="116" w:name="_Toc19188"/>
      <w:r>
        <w:rPr>
          <w:rFonts w:hint="eastAsia" w:ascii="黑体" w:hAnsi="宋体" w:eastAsia="黑体"/>
          <w:color w:val="auto"/>
          <w:sz w:val="32"/>
          <w:szCs w:val="32"/>
          <w:highlight w:val="none"/>
          <w:lang w:val="zh-CN" w:eastAsia="zh-CN"/>
        </w:rPr>
        <w:t>三、项目实施及管理情况</w:t>
      </w:r>
      <w:bookmarkEnd w:id="116"/>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eastAsia="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eastAsia="zh-CN"/>
        </w:rPr>
        <w:t>人大刊物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eastAsia="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eastAsia="zh-CN"/>
        </w:rPr>
        <w:t>人大刊物项目属运转类涉及人大各委（室），在实施过程中以分管副秘书长牵头、委（室）负责人负责的原则，全体干部职工积极配合，通力协作，重大事项纳入“三重一大”范围，提交党组会审定。</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eastAsia="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outlineLvl w:val="1"/>
        <w:rPr>
          <w:rFonts w:hint="eastAsia" w:ascii="黑体" w:hAnsi="宋体" w:eastAsia="黑体"/>
          <w:color w:val="auto"/>
          <w:sz w:val="32"/>
          <w:szCs w:val="32"/>
          <w:highlight w:val="none"/>
          <w:lang w:val="zh-CN" w:eastAsia="zh-CN"/>
        </w:rPr>
      </w:pPr>
      <w:bookmarkStart w:id="117" w:name="_Toc10325"/>
      <w:r>
        <w:rPr>
          <w:rFonts w:hint="eastAsia" w:ascii="黑体" w:hAnsi="宋体" w:eastAsia="黑体"/>
          <w:color w:val="auto"/>
          <w:sz w:val="32"/>
          <w:szCs w:val="32"/>
          <w:highlight w:val="none"/>
          <w:lang w:val="zh-CN" w:eastAsia="zh-CN"/>
        </w:rPr>
        <w:t>四、项目绩效情况</w:t>
      </w:r>
      <w:bookmarkEnd w:id="117"/>
    </w:p>
    <w:p>
      <w:pPr>
        <w:rPr>
          <w:rFonts w:hint="eastAsia"/>
          <w:lang w:val="zh-CN" w:eastAsia="zh-CN"/>
        </w:rPr>
      </w:pPr>
      <w:r>
        <w:rPr>
          <w:rFonts w:hint="eastAsia" w:ascii="楷体_GB2312" w:hAnsi="宋体" w:eastAsia="楷体_GB2312"/>
          <w:b/>
          <w:color w:val="auto"/>
          <w:sz w:val="32"/>
          <w:szCs w:val="32"/>
          <w:highlight w:val="none"/>
          <w:u w:val="none"/>
          <w:lang w:val="zh-CN" w:eastAsia="zh-CN"/>
        </w:rPr>
        <w:t>（一）项目完成情况。</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截止评价时点的任务量完成、质量标准、进度计划、成本控制目标的实现程度进行评价分析为优。</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（二）项目效益情况。</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项目经济效益完成达标、社会效益完成达标、生态效益完成达标、可持续效益完成达标以及服务对象满意度完成达标。</w:t>
      </w:r>
    </w:p>
    <w:p>
      <w:pPr>
        <w:outlineLvl w:val="1"/>
        <w:rPr>
          <w:rFonts w:hint="eastAsia" w:ascii="黑体" w:hAnsi="宋体" w:eastAsia="黑体"/>
          <w:color w:val="auto"/>
          <w:sz w:val="32"/>
          <w:szCs w:val="32"/>
          <w:highlight w:val="none"/>
          <w:lang w:val="zh-CN" w:eastAsia="zh-CN"/>
        </w:rPr>
      </w:pPr>
      <w:bookmarkStart w:id="118" w:name="_Toc4303"/>
      <w:r>
        <w:rPr>
          <w:rFonts w:hint="eastAsia" w:ascii="黑体" w:hAnsi="宋体" w:eastAsia="黑体"/>
          <w:color w:val="auto"/>
          <w:sz w:val="32"/>
          <w:szCs w:val="32"/>
          <w:highlight w:val="none"/>
          <w:lang w:val="zh-CN" w:eastAsia="zh-CN"/>
        </w:rPr>
        <w:t>五、评价结论及建议</w:t>
      </w:r>
      <w:bookmarkEnd w:id="118"/>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（一）评价结论。</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人大刊物项目按支出绩效评价指标体系总体评价为优。</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（二）存在的问题。</w:t>
      </w:r>
    </w:p>
    <w:p>
      <w:pPr>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在自评过程和结果未发现问题。</w:t>
      </w:r>
      <w:r>
        <w:rPr>
          <w:rFonts w:hint="eastAsia"/>
          <w:lang w:val="zh-CN"/>
        </w:rPr>
        <w:tab/>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（三）相关建议。</w:t>
      </w:r>
    </w:p>
    <w:p>
      <w:pPr>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无建议。</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tbl>
      <w:tblPr>
        <w:tblStyle w:val="15"/>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55"/>
        <w:gridCol w:w="862"/>
        <w:gridCol w:w="886"/>
        <w:gridCol w:w="366"/>
        <w:gridCol w:w="753"/>
        <w:gridCol w:w="366"/>
        <w:gridCol w:w="741"/>
        <w:gridCol w:w="476"/>
        <w:gridCol w:w="583"/>
        <w:gridCol w:w="703"/>
        <w:gridCol w:w="2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080" w:type="dxa"/>
            <w:gridSpan w:val="12"/>
            <w:tcBorders>
              <w:top w:val="nil"/>
              <w:left w:val="nil"/>
              <w:bottom w:val="nil"/>
              <w:right w:val="nil"/>
            </w:tcBorders>
            <w:shd w:val="clear" w:color="auto" w:fill="auto"/>
            <w:vAlign w:val="center"/>
          </w:tcPr>
          <w:p>
            <w:pPr>
              <w:pStyle w:val="2"/>
              <w:jc w:val="center"/>
              <w:rPr>
                <w:rFonts w:hint="eastAsia" w:ascii="黑体" w:hAnsi="黑体" w:eastAsia="黑体"/>
                <w:color w:val="auto"/>
                <w:sz w:val="15"/>
                <w:szCs w:val="15"/>
                <w:highlight w:val="none"/>
              </w:rPr>
            </w:pPr>
            <w:r>
              <w:rPr>
                <w:rFonts w:hint="eastAsia" w:ascii="黑体" w:hAnsi="黑体" w:eastAsia="黑体"/>
                <w:color w:val="auto"/>
                <w:sz w:val="36"/>
                <w:szCs w:val="36"/>
                <w:highlight w:val="none"/>
                <w:lang w:val="en-US" w:eastAsia="zh-CN"/>
              </w:rPr>
              <w:t>人大刊物项目支出绩效目标自评表（2022年度）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项目名称</w:t>
            </w:r>
          </w:p>
        </w:tc>
        <w:tc>
          <w:tcPr>
            <w:tcW w:w="79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人大刊物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主管部门（盖章）</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实施单位（盖章）</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项目基本情况</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项目年度目标</w:t>
            </w:r>
          </w:p>
        </w:tc>
        <w:tc>
          <w:tcPr>
            <w:tcW w:w="4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　通过该项目，编制《广元人大》全年4期、《广元市人大常委会公报》全年6期、广元人大调研文集（2022年度）500本。</w:t>
            </w:r>
          </w:p>
        </w:tc>
        <w:tc>
          <w:tcPr>
            <w:tcW w:w="4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　该项目2022年度目标完成率100%。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2.项目实施内容及过程概述</w:t>
            </w:r>
          </w:p>
        </w:tc>
        <w:tc>
          <w:tcPr>
            <w:tcW w:w="79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通过该项目，在2022年度编制《广元人大》全年4期、《广元市人大常委会公报》全年6期、广元人大调研文集（2022年度）500本。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预算执行情况（10分）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年度预算数（万元）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年初预算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调整后预算数</w:t>
            </w: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总额</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22.80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22.80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其中：财政资金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22.80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22.80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财政专户管理资金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单位资金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其他资金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绩效指标（90分）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一级指标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二级指标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三级指标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指标值</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度量单位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数量指标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编制《广元人大》全年4期《广元市人大常委会公报》全年6期</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期/年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质量指标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编制完成率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时效指标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完成时间</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人大刊物</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22.8</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万元</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效益指标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社会效益指标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人大刊物能发挥人大代表履职监督职能，促进政府工作效率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人民群众满意度</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96</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9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合计</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部门（单位）自评结论</w:t>
            </w:r>
          </w:p>
        </w:tc>
        <w:tc>
          <w:tcPr>
            <w:tcW w:w="9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该项目自评等级为优。按照市人大常委会的“一要点四计划”履职和开展工作。支出控制在预算范围内，未出现超支超预算的情况。实行绩效目标监控，绩效监控中运用及时反馈，并及时处置。年终预算完成情况达标。全年无资金结余率（低效无效率）和违规记录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部门（单位）自评存在问题</w:t>
            </w:r>
          </w:p>
        </w:tc>
        <w:tc>
          <w:tcPr>
            <w:tcW w:w="9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部门（单位）自评改进措施</w:t>
            </w:r>
          </w:p>
        </w:tc>
        <w:tc>
          <w:tcPr>
            <w:tcW w:w="9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财政部门对口科室复评结论及整改要求</w:t>
            </w:r>
          </w:p>
        </w:tc>
        <w:tc>
          <w:tcPr>
            <w:tcW w:w="90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2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单位项目负责人：李开明</w:t>
            </w:r>
          </w:p>
        </w:tc>
        <w:tc>
          <w:tcPr>
            <w:tcW w:w="58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2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部门项目负责人：李开明</w:t>
            </w:r>
          </w:p>
        </w:tc>
        <w:tc>
          <w:tcPr>
            <w:tcW w:w="58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00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财政部门科室负责人：</w:t>
            </w:r>
          </w:p>
        </w:tc>
      </w:tr>
    </w:tbl>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zh-CN" w:eastAsia="zh-CN"/>
        </w:rPr>
      </w:pPr>
      <w:r>
        <w:rPr>
          <w:rFonts w:hint="eastAsia" w:ascii="方正小标宋简体" w:hAnsi="方正小标宋简体" w:eastAsia="方正小标宋简体" w:cs="方正小标宋简体"/>
          <w:color w:val="auto"/>
          <w:kern w:val="2"/>
          <w:sz w:val="32"/>
          <w:szCs w:val="32"/>
          <w:highlight w:val="none"/>
          <w:lang w:val="en-US" w:eastAsia="zh-CN"/>
        </w:rPr>
        <w:t>2021年</w:t>
      </w:r>
      <w:r>
        <w:rPr>
          <w:rFonts w:hint="eastAsia" w:ascii="方正小标宋简体" w:hAnsi="方正小标宋简体" w:eastAsia="方正小标宋简体" w:cs="方正小标宋简体"/>
          <w:color w:val="auto"/>
          <w:kern w:val="2"/>
          <w:sz w:val="32"/>
          <w:szCs w:val="32"/>
          <w:highlight w:val="none"/>
          <w:lang w:val="zh-CN" w:eastAsia="zh-CN"/>
        </w:rPr>
        <w:t>人大监督工作经费项目支出绩效自评报告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eastAsia="zh-CN"/>
        </w:rPr>
      </w:pPr>
      <w:bookmarkStart w:id="119" w:name="_Toc9788"/>
      <w:r>
        <w:rPr>
          <w:rFonts w:hint="eastAsia" w:ascii="黑体" w:hAnsi="宋体" w:eastAsia="黑体"/>
          <w:color w:val="auto"/>
          <w:sz w:val="32"/>
          <w:szCs w:val="32"/>
          <w:highlight w:val="none"/>
          <w:lang w:val="zh-CN" w:eastAsia="zh-CN"/>
        </w:rPr>
        <w:t>一、项目概况</w:t>
      </w:r>
      <w:bookmarkEnd w:id="119"/>
    </w:p>
    <w:p>
      <w:pPr>
        <w:rPr>
          <w:rFonts w:hint="eastAsia" w:ascii="方正楷体_GB2312" w:hAnsi="方正楷体_GB2312" w:eastAsia="方正楷体_GB2312" w:cs="方正楷体_GB2312"/>
          <w:color w:val="auto"/>
          <w:sz w:val="32"/>
          <w:szCs w:val="32"/>
          <w:highlight w:val="none"/>
          <w:lang w:val="zh-CN" w:eastAsia="zh-CN"/>
        </w:rPr>
      </w:pPr>
      <w:r>
        <w:rPr>
          <w:rFonts w:hint="eastAsia" w:ascii="楷体_GB2312" w:hAnsi="宋体" w:eastAsia="楷体_GB2312"/>
          <w:b/>
          <w:color w:val="auto"/>
          <w:sz w:val="32"/>
          <w:szCs w:val="32"/>
          <w:highlight w:val="none"/>
          <w:u w:val="none"/>
          <w:lang w:val="zh-CN" w:eastAsia="zh-CN"/>
        </w:rPr>
        <w:t>（一）项目基本情况。</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rPr>
        <w:t>1．市人大常委会</w:t>
      </w:r>
      <w:r>
        <w:rPr>
          <w:rFonts w:hint="eastAsia" w:ascii="方正楷体_GB2312" w:hAnsi="方正楷体_GB2312" w:eastAsia="方正楷体_GB2312" w:cs="方正楷体_GB2312"/>
          <w:color w:val="auto"/>
          <w:sz w:val="32"/>
          <w:szCs w:val="32"/>
          <w:highlight w:val="none"/>
          <w:lang w:val="zh-CN" w:eastAsia="zh-CN"/>
        </w:rPr>
        <w:t>按照宪法法律的规定，依法履行立法、讨论决定重大事项、监督、选举任免国家机关工作人员的职能。</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rPr>
        <w:t>2．</w:t>
      </w:r>
      <w:r>
        <w:rPr>
          <w:rFonts w:hint="eastAsia" w:ascii="方正楷体_GB2312" w:hAnsi="方正楷体_GB2312" w:eastAsia="方正楷体_GB2312" w:cs="方正楷体_GB2312"/>
          <w:color w:val="auto"/>
          <w:sz w:val="32"/>
          <w:szCs w:val="32"/>
          <w:highlight w:val="none"/>
          <w:lang w:val="zh-CN" w:eastAsia="zh-CN"/>
        </w:rPr>
        <w:t>本项目依据《全国人大及其常务委员会监督法》立项。</w:t>
      </w:r>
    </w:p>
    <w:p>
      <w:pPr>
        <w:rPr>
          <w:rFonts w:hint="eastAsia"/>
          <w:lang w:val="zh-CN" w:eastAsia="zh-CN"/>
        </w:rPr>
      </w:pPr>
      <w:r>
        <w:rPr>
          <w:rFonts w:hint="eastAsia" w:ascii="方正楷体_GB2312" w:hAnsi="方正楷体_GB2312" w:eastAsia="方正楷体_GB2312" w:cs="方正楷体_GB2312"/>
          <w:color w:val="auto"/>
          <w:sz w:val="32"/>
          <w:szCs w:val="32"/>
          <w:highlight w:val="none"/>
          <w:lang w:val="zh-CN" w:eastAsia="zh-CN"/>
        </w:rPr>
        <w:t>3．资金管理办法，按照财务制度管理办法执行。资金来源与预算安排，由市财政局在年初预算安排。</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rPr>
        <w:t>4．</w:t>
      </w:r>
      <w:r>
        <w:rPr>
          <w:rFonts w:hint="eastAsia" w:ascii="方正楷体_GB2312" w:hAnsi="方正楷体_GB2312" w:eastAsia="方正楷体_GB2312" w:cs="方正楷体_GB2312"/>
          <w:color w:val="auto"/>
          <w:sz w:val="32"/>
          <w:szCs w:val="32"/>
          <w:highlight w:val="none"/>
          <w:lang w:val="zh-CN" w:eastAsia="zh-CN"/>
        </w:rPr>
        <w:t>所需资金</w:t>
      </w:r>
      <w:r>
        <w:rPr>
          <w:rFonts w:hint="eastAsia" w:ascii="方正楷体_GB2312" w:hAnsi="方正楷体_GB2312" w:eastAsia="方正楷体_GB2312" w:cs="方正楷体_GB2312"/>
          <w:color w:val="auto"/>
          <w:sz w:val="32"/>
          <w:szCs w:val="32"/>
          <w:highlight w:val="none"/>
          <w:lang w:val="en-US" w:eastAsia="zh-CN"/>
        </w:rPr>
        <w:t>43</w:t>
      </w:r>
      <w:r>
        <w:rPr>
          <w:rFonts w:hint="eastAsia" w:ascii="方正楷体_GB2312" w:hAnsi="方正楷体_GB2312" w:eastAsia="方正楷体_GB2312" w:cs="方正楷体_GB2312"/>
          <w:color w:val="auto"/>
          <w:sz w:val="32"/>
          <w:szCs w:val="32"/>
          <w:highlight w:val="none"/>
          <w:lang w:val="zh-CN" w:eastAsia="zh-CN"/>
        </w:rPr>
        <w:t>万元，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（二）项目绩效目标。</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rPr>
        <w:t>1．项目主要内容。</w:t>
      </w:r>
      <w:r>
        <w:rPr>
          <w:rFonts w:hint="eastAsia" w:ascii="方正楷体_GB2312" w:hAnsi="方正楷体_GB2312" w:eastAsia="方正楷体_GB2312" w:cs="方正楷体_GB2312"/>
          <w:color w:val="auto"/>
          <w:sz w:val="32"/>
          <w:szCs w:val="32"/>
          <w:highlight w:val="none"/>
          <w:lang w:val="zh-CN" w:eastAsia="zh-CN"/>
        </w:rPr>
        <w:t>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rPr>
        <w:t>2．</w:t>
      </w:r>
      <w:r>
        <w:rPr>
          <w:rFonts w:hint="eastAsia" w:ascii="方正楷体_GB2312" w:hAnsi="方正楷体_GB2312" w:eastAsia="方正楷体_GB2312" w:cs="方正楷体_GB2312"/>
          <w:color w:val="auto"/>
          <w:sz w:val="32"/>
          <w:szCs w:val="32"/>
          <w:highlight w:val="none"/>
          <w:lang w:val="zh-CN" w:eastAsia="zh-CN"/>
        </w:rPr>
        <w:t>项目完成年初绩效目标，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p>
      <w:pPr>
        <w:rPr>
          <w:rFonts w:hint="eastAsia" w:ascii="方正楷体_GB2312" w:hAnsi="方正楷体_GB2312" w:eastAsia="方正楷体_GB2312" w:cs="方正楷体_GB2312"/>
          <w:color w:val="auto"/>
          <w:sz w:val="32"/>
          <w:szCs w:val="32"/>
          <w:highlight w:val="none"/>
          <w:lang w:val="zh-CN"/>
        </w:rPr>
      </w:pPr>
      <w:r>
        <w:rPr>
          <w:rFonts w:hint="eastAsia" w:ascii="方正楷体_GB2312" w:hAnsi="方正楷体_GB2312" w:eastAsia="方正楷体_GB2312" w:cs="方正楷体_GB2312"/>
          <w:color w:val="auto"/>
          <w:sz w:val="32"/>
          <w:szCs w:val="32"/>
          <w:highlight w:val="none"/>
          <w:lang w:val="zh-CN"/>
        </w:rPr>
        <w:t>3．分析评价申报内容与实际相符，申报目标合理可行。</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（三）项目自评步骤及方法。</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项目绩效自评采用集中组织财务及相关人员成立自评小组，对照部门支出评价指标体系，采用比较法，评分等级依次为：优、良、中、差。</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eastAsia="zh-CN"/>
        </w:rPr>
      </w:pPr>
      <w:bookmarkStart w:id="120" w:name="_Toc18262"/>
      <w:r>
        <w:rPr>
          <w:rFonts w:hint="eastAsia" w:ascii="黑体" w:hAnsi="宋体" w:eastAsia="黑体"/>
          <w:color w:val="auto"/>
          <w:sz w:val="32"/>
          <w:szCs w:val="32"/>
          <w:highlight w:val="none"/>
          <w:lang w:val="zh-CN" w:eastAsia="zh-CN"/>
        </w:rPr>
        <w:t>二、项目资金申报及使用情况</w:t>
      </w:r>
      <w:bookmarkEnd w:id="120"/>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（一）项目资金申报及批复情况。</w:t>
      </w:r>
    </w:p>
    <w:p>
      <w:pPr>
        <w:rPr>
          <w:rFonts w:hint="eastAsia" w:ascii="方正楷体_GB2312" w:hAnsi="方正楷体_GB2312" w:eastAsia="方正楷体_GB2312" w:cs="方正楷体_GB2312"/>
          <w:color w:val="auto"/>
          <w:sz w:val="32"/>
          <w:szCs w:val="32"/>
          <w:highlight w:val="none"/>
          <w:lang w:val="zh-CN"/>
        </w:rPr>
      </w:pPr>
      <w:r>
        <w:rPr>
          <w:rFonts w:hint="eastAsia" w:ascii="方正楷体_GB2312" w:hAnsi="方正楷体_GB2312" w:eastAsia="方正楷体_GB2312" w:cs="方正楷体_GB2312"/>
          <w:color w:val="auto"/>
          <w:sz w:val="32"/>
          <w:szCs w:val="32"/>
          <w:highlight w:val="none"/>
          <w:lang w:val="zh-CN" w:eastAsia="zh-CN"/>
        </w:rPr>
        <w:t>按照预算编制要求，科学合理的编制项目库表、部门预算项目立项审核表、部门项目绩效申报表，按照广元市财政局预算批复执行预算。</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（二）资金计划、到位及使用情况。</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1．资金计划。在一般公共服务支出类人大事务款人大监督项预算计划市财政资金。</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2．资金到位。汇总统计截止评价时点该项目一般公共服务支出类人大事务款人大监督项。资金到位率、到位及时性等均为优。</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3．资金使用。汇总统计截止评价时点该项目一般公共服务支出类人大事务款人大监督项。资金到位率、到位及时性统计资金支出情况完成率100%，资金支付范围、支付标准、支付进度、支付依据等合规合法、与预算相符。</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（三）项目财务管理情况。</w:t>
      </w:r>
    </w:p>
    <w:p>
      <w:pPr>
        <w:rPr>
          <w:rFonts w:hint="eastAsia" w:ascii="方正楷体_GB2312" w:hAnsi="方正楷体_GB2312" w:eastAsia="方正楷体_GB2312" w:cs="方正楷体_GB2312"/>
          <w:color w:val="auto"/>
          <w:sz w:val="32"/>
          <w:szCs w:val="32"/>
          <w:highlight w:val="none"/>
          <w:lang w:val="zh-CN"/>
        </w:rPr>
      </w:pPr>
      <w:r>
        <w:rPr>
          <w:rFonts w:hint="eastAsia" w:ascii="方正楷体_GB2312" w:hAnsi="方正楷体_GB2312" w:eastAsia="方正楷体_GB2312" w:cs="方正楷体_GB2312"/>
          <w:color w:val="auto"/>
          <w:sz w:val="32"/>
          <w:szCs w:val="32"/>
          <w:highlight w:val="none"/>
          <w:lang w:val="zh-CN" w:eastAsia="zh-CN"/>
        </w:rPr>
        <w:t>该项目实施单位财务管理制度健全，严格执行财务管理制度，账务处理及时，会计核算等评价等级为优。</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eastAsia="zh-CN"/>
        </w:rPr>
      </w:pPr>
      <w:bookmarkStart w:id="121" w:name="_Toc20756"/>
      <w:r>
        <w:rPr>
          <w:rFonts w:hint="eastAsia" w:ascii="黑体" w:hAnsi="宋体" w:eastAsia="黑体"/>
          <w:color w:val="auto"/>
          <w:sz w:val="32"/>
          <w:szCs w:val="32"/>
          <w:highlight w:val="none"/>
          <w:lang w:val="zh-CN" w:eastAsia="zh-CN"/>
        </w:rPr>
        <w:t>三、项目实施及管理情况</w:t>
      </w:r>
      <w:bookmarkEnd w:id="121"/>
    </w:p>
    <w:p>
      <w:pPr>
        <w:rPr>
          <w:rFonts w:hint="eastAsia" w:ascii="方正楷体_GB2312" w:hAnsi="方正楷体_GB2312" w:eastAsia="方正楷体_GB2312" w:cs="方正楷体_GB2312"/>
          <w:color w:val="auto"/>
          <w:sz w:val="32"/>
          <w:szCs w:val="32"/>
          <w:highlight w:val="none"/>
          <w:lang w:val="zh-CN" w:eastAsia="zh-CN"/>
        </w:rPr>
      </w:pPr>
      <w:r>
        <w:rPr>
          <w:rFonts w:hint="eastAsia" w:ascii="楷体_GB2312" w:hAnsi="宋体" w:eastAsia="楷体_GB2312"/>
          <w:b/>
          <w:color w:val="auto"/>
          <w:sz w:val="32"/>
          <w:szCs w:val="32"/>
          <w:highlight w:val="none"/>
          <w:u w:val="none"/>
          <w:lang w:val="zh-CN" w:eastAsia="zh-CN"/>
        </w:rPr>
        <w:t>（一）项目组织架构及实施流程。</w:t>
      </w:r>
      <w:r>
        <w:rPr>
          <w:rFonts w:hint="eastAsia" w:ascii="方正楷体_GB2312" w:hAnsi="方正楷体_GB2312" w:eastAsia="方正楷体_GB2312" w:cs="方正楷体_GB2312"/>
          <w:color w:val="auto"/>
          <w:sz w:val="32"/>
          <w:szCs w:val="32"/>
          <w:highlight w:val="none"/>
          <w:lang w:val="zh-CN" w:eastAsia="zh-CN"/>
        </w:rPr>
        <w:t>人大刊物项目涉及各委（室），在实施过程中以分管副秘书长牵头、各委（室）负责组织实施。在项目实施过程中，制订项目方案并编制项目预算，（方案需经分管领导和主要领导审签，经费在5万元以上上党组会研究）——组织项目实施（签订合同）——项目实施完毕后报账结算（经费在5万元以上上党组会研究）。</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楷体_GB2312" w:hAnsi="宋体" w:eastAsia="楷体_GB2312"/>
          <w:b/>
          <w:color w:val="auto"/>
          <w:sz w:val="32"/>
          <w:szCs w:val="32"/>
          <w:highlight w:val="none"/>
          <w:u w:val="none"/>
          <w:lang w:val="zh-CN" w:eastAsia="zh-CN"/>
        </w:rPr>
        <w:t>（二）项目管理情况。</w:t>
      </w:r>
      <w:r>
        <w:rPr>
          <w:rFonts w:hint="eastAsia" w:ascii="方正楷体_GB2312" w:hAnsi="方正楷体_GB2312" w:eastAsia="方正楷体_GB2312" w:cs="方正楷体_GB2312"/>
          <w:color w:val="auto"/>
          <w:sz w:val="32"/>
          <w:szCs w:val="32"/>
          <w:highlight w:val="none"/>
          <w:lang w:val="zh-CN" w:eastAsia="zh-CN"/>
        </w:rPr>
        <w:t>人大监督工作经费项目属运转类涉及人大各委（室），在实施过程中以分管副秘书长牵头、委（室）负责人负责的原则，全体干部职工积极配合，通力协作，重大事项纳入“三重一大”范围，提交党组会审定。</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楷体_GB2312" w:hAnsi="宋体" w:eastAsia="楷体_GB2312"/>
          <w:b/>
          <w:color w:val="auto"/>
          <w:sz w:val="32"/>
          <w:szCs w:val="32"/>
          <w:highlight w:val="none"/>
          <w:u w:val="none"/>
          <w:lang w:val="zh-CN" w:eastAsia="zh-CN"/>
        </w:rPr>
        <w:t>（三）项目监管情况。</w:t>
      </w:r>
      <w:r>
        <w:rPr>
          <w:rFonts w:hint="eastAsia" w:ascii="方正楷体_GB2312" w:hAnsi="方正楷体_GB2312" w:eastAsia="方正楷体_GB2312" w:cs="方正楷体_GB2312"/>
          <w:color w:val="auto"/>
          <w:sz w:val="32"/>
          <w:szCs w:val="32"/>
          <w:highlight w:val="none"/>
          <w:lang w:val="zh-CN" w:eastAsia="zh-CN"/>
        </w:rPr>
        <w:t>市人大严格按照项目管理有关规定对项目经费进行管理，在支付经费前对项目实施效果进行评估，依据评估结果支付经费。主动邀请单位主要领导、相关委室进行业务指导，经费管理主动接受市纪委监委驻人大纪检组、市委巡察组以及上级主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eastAsia="zh-CN"/>
        </w:rPr>
      </w:pPr>
      <w:bookmarkStart w:id="122" w:name="_Toc12819"/>
      <w:r>
        <w:rPr>
          <w:rFonts w:hint="eastAsia" w:ascii="黑体" w:hAnsi="宋体" w:eastAsia="黑体"/>
          <w:color w:val="auto"/>
          <w:sz w:val="32"/>
          <w:szCs w:val="32"/>
          <w:highlight w:val="none"/>
          <w:lang w:val="zh-CN" w:eastAsia="zh-CN"/>
        </w:rPr>
        <w:t>四、项目绩效情况</w:t>
      </w:r>
      <w:bookmarkEnd w:id="122"/>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（一）项目完成情况。</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截止评价时点的任务量完成、质量标准、进度计划、成本控制目标的实现程度进行评价分析为优。</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楷体_GB2312" w:hAnsi="宋体" w:eastAsia="楷体_GB2312"/>
          <w:b/>
          <w:color w:val="auto"/>
          <w:sz w:val="32"/>
          <w:szCs w:val="32"/>
          <w:highlight w:val="none"/>
          <w:u w:val="none"/>
          <w:lang w:val="zh-CN" w:eastAsia="zh-CN"/>
        </w:rPr>
        <w:t>（二）项目效益情况。</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项目经济效益完成达标、社会效益完成达标、生态效益完成达标、可持续效益完成达标以及服务对象满意度完成达标。</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lang w:val="zh-CN" w:eastAsia="zh-CN"/>
        </w:rPr>
      </w:pPr>
      <w:bookmarkStart w:id="123" w:name="_Toc548"/>
      <w:r>
        <w:rPr>
          <w:rFonts w:hint="eastAsia" w:ascii="黑体" w:hAnsi="宋体" w:eastAsia="黑体"/>
          <w:color w:val="auto"/>
          <w:sz w:val="32"/>
          <w:szCs w:val="32"/>
          <w:highlight w:val="none"/>
          <w:lang w:val="zh-CN" w:eastAsia="zh-CN"/>
        </w:rPr>
        <w:t>五、评价结论及建议</w:t>
      </w:r>
      <w:bookmarkEnd w:id="123"/>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（一）评价结论。</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人大监督工作经费项目按支出绩效评价指标体系总体评价为优。</w:t>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（二）存在的问题。</w:t>
      </w:r>
    </w:p>
    <w:p>
      <w:pPr>
        <w:rPr>
          <w:rFonts w:hint="eastAsia" w:ascii="方正楷体_GB2312" w:hAnsi="方正楷体_GB2312" w:eastAsia="方正楷体_GB2312" w:cs="方正楷体_GB2312"/>
          <w:color w:val="auto"/>
          <w:sz w:val="32"/>
          <w:szCs w:val="32"/>
          <w:highlight w:val="none"/>
          <w:lang w:val="zh-CN"/>
        </w:rPr>
      </w:pPr>
      <w:r>
        <w:rPr>
          <w:rFonts w:hint="eastAsia" w:ascii="方正楷体_GB2312" w:hAnsi="方正楷体_GB2312" w:eastAsia="方正楷体_GB2312" w:cs="方正楷体_GB2312"/>
          <w:color w:val="auto"/>
          <w:sz w:val="32"/>
          <w:szCs w:val="32"/>
          <w:highlight w:val="none"/>
          <w:lang w:val="zh-CN" w:eastAsia="zh-CN"/>
        </w:rPr>
        <w:t>在自评过程和结果未发现问题。</w:t>
      </w:r>
      <w:r>
        <w:rPr>
          <w:rFonts w:hint="eastAsia" w:ascii="方正楷体_GB2312" w:hAnsi="方正楷体_GB2312" w:eastAsia="方正楷体_GB2312" w:cs="方正楷体_GB2312"/>
          <w:color w:val="auto"/>
          <w:sz w:val="32"/>
          <w:szCs w:val="32"/>
          <w:highlight w:val="none"/>
          <w:lang w:val="zh-CN"/>
        </w:rPr>
        <w:tab/>
      </w:r>
    </w:p>
    <w:p>
      <w:pPr>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（三）相关建议。</w:t>
      </w:r>
    </w:p>
    <w:p>
      <w:pPr>
        <w:rPr>
          <w:rFonts w:hint="eastAsia" w:ascii="方正楷体_GB2312" w:hAnsi="方正楷体_GB2312" w:eastAsia="方正楷体_GB2312" w:cs="方正楷体_GB2312"/>
          <w:color w:val="auto"/>
          <w:sz w:val="32"/>
          <w:szCs w:val="32"/>
          <w:highlight w:val="none"/>
          <w:lang w:val="zh-CN" w:eastAsia="zh-CN"/>
        </w:rPr>
      </w:pPr>
      <w:r>
        <w:rPr>
          <w:rFonts w:hint="eastAsia" w:ascii="方正楷体_GB2312" w:hAnsi="方正楷体_GB2312" w:eastAsia="方正楷体_GB2312" w:cs="方正楷体_GB2312"/>
          <w:color w:val="auto"/>
          <w:sz w:val="32"/>
          <w:szCs w:val="32"/>
          <w:highlight w:val="none"/>
          <w:lang w:val="zh-CN" w:eastAsia="zh-CN"/>
        </w:rPr>
        <w:t>无建议。</w:t>
      </w:r>
    </w:p>
    <w:p>
      <w:pPr>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tbl>
      <w:tblPr>
        <w:tblStyle w:val="15"/>
        <w:tblW w:w="10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1057"/>
        <w:gridCol w:w="864"/>
        <w:gridCol w:w="888"/>
        <w:gridCol w:w="366"/>
        <w:gridCol w:w="752"/>
        <w:gridCol w:w="366"/>
        <w:gridCol w:w="741"/>
        <w:gridCol w:w="477"/>
        <w:gridCol w:w="584"/>
        <w:gridCol w:w="705"/>
        <w:gridCol w:w="2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0100" w:type="dxa"/>
            <w:gridSpan w:val="12"/>
            <w:tcBorders>
              <w:top w:val="nil"/>
              <w:left w:val="nil"/>
              <w:bottom w:val="nil"/>
              <w:right w:val="nil"/>
            </w:tcBorders>
            <w:shd w:val="clear" w:color="auto" w:fill="auto"/>
            <w:vAlign w:val="center"/>
          </w:tcPr>
          <w:p>
            <w:pPr>
              <w:pStyle w:val="2"/>
              <w:jc w:val="center"/>
              <w:rPr>
                <w:rFonts w:hint="eastAsia" w:ascii="黑体" w:hAnsi="黑体" w:eastAsia="黑体"/>
                <w:color w:val="auto"/>
                <w:sz w:val="15"/>
                <w:szCs w:val="15"/>
                <w:highlight w:val="none"/>
              </w:rPr>
            </w:pPr>
            <w:r>
              <w:rPr>
                <w:rFonts w:hint="eastAsia" w:ascii="黑体" w:hAnsi="黑体" w:eastAsia="黑体"/>
                <w:color w:val="auto"/>
                <w:sz w:val="36"/>
                <w:szCs w:val="36"/>
                <w:highlight w:val="none"/>
                <w:lang w:val="en-US" w:eastAsia="zh-CN"/>
              </w:rPr>
              <w:t>人大监督工作经费项目支出绩效目标自评表（2022年度）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项目名称</w:t>
            </w:r>
          </w:p>
        </w:tc>
        <w:tc>
          <w:tcPr>
            <w:tcW w:w="79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人大监督工作经费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主管部门（盖章）</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实施单位（盖章）</w:t>
            </w:r>
          </w:p>
        </w:tc>
        <w:tc>
          <w:tcPr>
            <w:tcW w:w="4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广元市人大常委会办公室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项目基本情况</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1.项目年度目标完成情况</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项目年度目标</w:t>
            </w: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通过该项目，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通过该项目，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2.项目实施内容及过程概述</w:t>
            </w:r>
          </w:p>
        </w:tc>
        <w:tc>
          <w:tcPr>
            <w:tcW w:w="798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通过该项目，完成市人大常委会“一要点四计划”中的《市人大常委会2022年监督工作计划》工作；听取和审议专项工作报告；审查和批准决算，听取审议计划、预算的执行情况报告，听取审议审计工作报告；对法律法规实施情况进行检查；规范性文件备案审查；质询和询问；特定问题调查；撤职。让人大监督工作，取得实效，最终使人大的监督工作取得党和人民群众满意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预算执行情况（10分）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年度预算数（万元）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年初预算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调整后预算数</w:t>
            </w: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总额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43.00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43.00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其中：财政资金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43.00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43.00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财政专户管理资金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绩效指标（90分）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二级指标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三级指标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指标性质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指标值</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度量单位</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部门自评得分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财政部门科室复评得分</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数量指标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听取、审议、任免、调研、监督检查件、人次</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30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件/人</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质量指标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时效指标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完成时间</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项目完成指标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成本指标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人大监督工作经费</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43</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万元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项目效果指标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社会效益</w:t>
            </w:r>
            <w:r>
              <w:rPr>
                <w:rFonts w:hint="eastAsia" w:ascii="黑体" w:hAnsi="黑体" w:eastAsia="黑体"/>
                <w:color w:val="auto"/>
                <w:sz w:val="15"/>
                <w:szCs w:val="15"/>
                <w:highlight w:val="none"/>
                <w:lang w:val="en-US" w:eastAsia="zh-CN"/>
              </w:rPr>
              <w:br w:type="textWrapping"/>
            </w:r>
            <w:r>
              <w:rPr>
                <w:rFonts w:hint="eastAsia" w:ascii="黑体" w:hAnsi="黑体" w:eastAsia="黑体"/>
                <w:color w:val="auto"/>
                <w:sz w:val="15"/>
                <w:szCs w:val="15"/>
                <w:highlight w:val="none"/>
                <w:lang w:val="en-US" w:eastAsia="zh-CN"/>
              </w:rPr>
              <w:t>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促进一府一委两院依法履职和行权，监督率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90</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满意度指标</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人民群众满意度</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95</w:t>
            </w:r>
          </w:p>
        </w:tc>
        <w:tc>
          <w:tcPr>
            <w:tcW w:w="3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部门（单位）自评结论</w:t>
            </w:r>
          </w:p>
        </w:tc>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依据《市人大常委会2022年监督工作计划》开展工作，支出控制在预算范围内，未出现超支超预算的情况。实行绩效目标监控，绩效监控中运用及时反馈，并及时处置。年终预算完成情况达标。全年无资金结余率（低效无效率）和违规记录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部门（单位）自评存在问题</w:t>
            </w:r>
          </w:p>
        </w:tc>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部门（单位）自评改进措施</w:t>
            </w:r>
          </w:p>
        </w:tc>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财政部门对口科室复评结论及整改要求</w:t>
            </w:r>
          </w:p>
        </w:tc>
        <w:tc>
          <w:tcPr>
            <w:tcW w:w="90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单位项目负责人：李开明</w:t>
            </w:r>
          </w:p>
        </w:tc>
        <w:tc>
          <w:tcPr>
            <w:tcW w:w="5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单位财务负责人：杨红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部门项目负责人：李开明</w:t>
            </w:r>
          </w:p>
        </w:tc>
        <w:tc>
          <w:tcPr>
            <w:tcW w:w="5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部门财务负责人：杨红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黑体" w:hAnsi="黑体" w:eastAsia="黑体"/>
                <w:color w:val="auto"/>
                <w:sz w:val="15"/>
                <w:szCs w:val="15"/>
                <w:highlight w:val="none"/>
              </w:rPr>
            </w:pPr>
            <w:r>
              <w:rPr>
                <w:rFonts w:hint="eastAsia" w:ascii="黑体" w:hAnsi="黑体" w:eastAsia="黑体"/>
                <w:color w:val="auto"/>
                <w:sz w:val="15"/>
                <w:szCs w:val="15"/>
                <w:highlight w:val="none"/>
                <w:lang w:val="en-US" w:eastAsia="zh-CN"/>
              </w:rPr>
              <w:t>财政部门科室负责人：</w:t>
            </w:r>
          </w:p>
        </w:tc>
      </w:tr>
    </w:tbl>
    <w:p>
      <w:pPr>
        <w:pStyle w:val="2"/>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仿宋" w:hAnsi="仿宋" w:eastAsia="仿宋"/>
          <w:b w:val="0"/>
          <w:color w:val="auto"/>
          <w:highlight w:val="none"/>
        </w:rPr>
      </w:pPr>
      <w:bookmarkStart w:id="124" w:name="_Toc32243"/>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五部分附表</w:t>
      </w:r>
      <w:bookmarkEnd w:id="75"/>
      <w:bookmarkEnd w:id="83"/>
      <w:bookmarkEnd w:id="124"/>
    </w:p>
    <w:p>
      <w:pPr>
        <w:pStyle w:val="4"/>
        <w:rPr>
          <w:rFonts w:hint="eastAsia" w:ascii="仿宋" w:hAnsi="仿宋" w:eastAsia="仿宋"/>
          <w:b w:val="0"/>
          <w:color w:val="auto"/>
          <w:highlight w:val="none"/>
        </w:rPr>
      </w:pPr>
      <w:bookmarkStart w:id="125" w:name="_Toc14067"/>
      <w:r>
        <w:rPr>
          <w:rFonts w:hint="eastAsia" w:ascii="仿宋" w:hAnsi="仿宋" w:eastAsia="仿宋"/>
          <w:b w:val="0"/>
          <w:color w:val="auto"/>
          <w:highlight w:val="none"/>
        </w:rPr>
        <w:t>一、收入支出决算总表</w:t>
      </w:r>
      <w:bookmarkEnd w:id="125"/>
    </w:p>
    <w:p>
      <w:pPr>
        <w:pStyle w:val="4"/>
        <w:rPr>
          <w:rFonts w:hint="eastAsia" w:ascii="仿宋" w:hAnsi="仿宋" w:eastAsia="仿宋"/>
          <w:b w:val="0"/>
          <w:color w:val="auto"/>
          <w:highlight w:val="none"/>
        </w:rPr>
      </w:pPr>
      <w:bookmarkStart w:id="126" w:name="_Toc30046"/>
      <w:bookmarkStart w:id="127" w:name="_Toc15396620"/>
      <w:r>
        <w:rPr>
          <w:rFonts w:hint="eastAsia" w:ascii="仿宋" w:hAnsi="仿宋" w:eastAsia="仿宋"/>
          <w:b w:val="0"/>
          <w:color w:val="auto"/>
          <w:highlight w:val="none"/>
        </w:rPr>
        <w:t>二、收入决算表</w:t>
      </w:r>
      <w:bookmarkEnd w:id="126"/>
      <w:bookmarkEnd w:id="127"/>
    </w:p>
    <w:p>
      <w:pPr>
        <w:pStyle w:val="4"/>
        <w:rPr>
          <w:rFonts w:hint="eastAsia" w:ascii="仿宋" w:hAnsi="仿宋" w:eastAsia="仿宋"/>
          <w:b w:val="0"/>
          <w:color w:val="auto"/>
          <w:highlight w:val="none"/>
        </w:rPr>
      </w:pPr>
      <w:bookmarkStart w:id="128" w:name="_Toc29129"/>
      <w:bookmarkStart w:id="129" w:name="_Toc15396621"/>
      <w:r>
        <w:rPr>
          <w:rFonts w:hint="eastAsia" w:ascii="仿宋" w:hAnsi="仿宋" w:eastAsia="仿宋"/>
          <w:b w:val="0"/>
          <w:color w:val="auto"/>
          <w:highlight w:val="none"/>
        </w:rPr>
        <w:t>三、支出决算表</w:t>
      </w:r>
      <w:bookmarkEnd w:id="128"/>
      <w:bookmarkEnd w:id="129"/>
    </w:p>
    <w:p>
      <w:pPr>
        <w:pStyle w:val="4"/>
        <w:rPr>
          <w:rFonts w:hint="eastAsia" w:ascii="仿宋" w:hAnsi="仿宋" w:eastAsia="仿宋"/>
          <w:b w:val="0"/>
          <w:color w:val="auto"/>
          <w:highlight w:val="none"/>
        </w:rPr>
      </w:pPr>
      <w:bookmarkStart w:id="130" w:name="_Toc14772"/>
      <w:bookmarkStart w:id="131" w:name="_Toc15396622"/>
      <w:r>
        <w:rPr>
          <w:rFonts w:hint="eastAsia" w:ascii="仿宋" w:hAnsi="仿宋" w:eastAsia="仿宋"/>
          <w:b w:val="0"/>
          <w:color w:val="auto"/>
          <w:highlight w:val="none"/>
        </w:rPr>
        <w:t>四、财政拨款收入支出决算总表</w:t>
      </w:r>
      <w:bookmarkEnd w:id="130"/>
      <w:bookmarkEnd w:id="131"/>
    </w:p>
    <w:p>
      <w:pPr>
        <w:pStyle w:val="4"/>
        <w:rPr>
          <w:rFonts w:hint="eastAsia" w:ascii="仿宋" w:hAnsi="仿宋" w:eastAsia="仿宋"/>
          <w:b w:val="0"/>
          <w:color w:val="auto"/>
          <w:highlight w:val="none"/>
        </w:rPr>
      </w:pPr>
      <w:bookmarkStart w:id="132" w:name="_Toc15396623"/>
      <w:bookmarkStart w:id="133" w:name="_Toc15834"/>
      <w:r>
        <w:rPr>
          <w:rFonts w:hint="eastAsia" w:ascii="仿宋" w:hAnsi="仿宋" w:eastAsia="仿宋"/>
          <w:b w:val="0"/>
          <w:color w:val="auto"/>
          <w:highlight w:val="none"/>
        </w:rPr>
        <w:t>五、财政拨款支出决算明细表</w:t>
      </w:r>
      <w:bookmarkEnd w:id="132"/>
      <w:bookmarkEnd w:id="133"/>
      <w:bookmarkStart w:id="134" w:name="_Toc15396624"/>
    </w:p>
    <w:p>
      <w:pPr>
        <w:pStyle w:val="4"/>
        <w:rPr>
          <w:rFonts w:hint="eastAsia" w:ascii="仿宋" w:hAnsi="仿宋" w:eastAsia="仿宋"/>
          <w:b w:val="0"/>
          <w:color w:val="auto"/>
          <w:highlight w:val="none"/>
        </w:rPr>
      </w:pPr>
      <w:bookmarkStart w:id="135" w:name="_Toc9063"/>
      <w:r>
        <w:rPr>
          <w:rFonts w:hint="eastAsia" w:ascii="仿宋" w:hAnsi="仿宋" w:eastAsia="仿宋"/>
          <w:b w:val="0"/>
          <w:color w:val="auto"/>
          <w:highlight w:val="none"/>
        </w:rPr>
        <w:t>六、一般公共预算财政拨款支出决算表</w:t>
      </w:r>
      <w:bookmarkEnd w:id="134"/>
      <w:bookmarkEnd w:id="135"/>
    </w:p>
    <w:p>
      <w:pPr>
        <w:pStyle w:val="4"/>
        <w:rPr>
          <w:rFonts w:hint="eastAsia" w:ascii="仿宋" w:hAnsi="仿宋" w:eastAsia="仿宋"/>
          <w:b w:val="0"/>
          <w:color w:val="auto"/>
          <w:highlight w:val="none"/>
        </w:rPr>
      </w:pPr>
      <w:bookmarkStart w:id="136" w:name="_Toc19380"/>
      <w:bookmarkStart w:id="137" w:name="_Toc15396625"/>
      <w:r>
        <w:rPr>
          <w:rFonts w:hint="eastAsia" w:ascii="仿宋" w:hAnsi="仿宋" w:eastAsia="仿宋"/>
          <w:b w:val="0"/>
          <w:color w:val="auto"/>
          <w:highlight w:val="none"/>
        </w:rPr>
        <w:t>七、一般公共预算财政拨款支出决算明细表</w:t>
      </w:r>
      <w:bookmarkEnd w:id="136"/>
      <w:bookmarkEnd w:id="137"/>
    </w:p>
    <w:p>
      <w:pPr>
        <w:pStyle w:val="4"/>
        <w:rPr>
          <w:rFonts w:hint="eastAsia" w:ascii="仿宋" w:hAnsi="仿宋" w:eastAsia="仿宋"/>
          <w:b w:val="0"/>
          <w:color w:val="auto"/>
          <w:highlight w:val="none"/>
        </w:rPr>
      </w:pPr>
      <w:bookmarkStart w:id="138" w:name="_Toc15396626"/>
      <w:bookmarkStart w:id="139" w:name="_Toc31523"/>
      <w:r>
        <w:rPr>
          <w:rFonts w:hint="eastAsia" w:ascii="仿宋" w:hAnsi="仿宋" w:eastAsia="仿宋"/>
          <w:b w:val="0"/>
          <w:color w:val="auto"/>
          <w:highlight w:val="none"/>
        </w:rPr>
        <w:t>八、一般公共预算财政拨款基本支出决算表</w:t>
      </w:r>
      <w:bookmarkEnd w:id="138"/>
      <w:bookmarkEnd w:id="139"/>
    </w:p>
    <w:p>
      <w:pPr>
        <w:pStyle w:val="4"/>
        <w:rPr>
          <w:rFonts w:hint="eastAsia" w:ascii="仿宋" w:hAnsi="仿宋" w:eastAsia="仿宋"/>
          <w:b w:val="0"/>
          <w:color w:val="auto"/>
          <w:highlight w:val="none"/>
        </w:rPr>
      </w:pPr>
      <w:bookmarkStart w:id="140" w:name="_Toc15396627"/>
      <w:bookmarkStart w:id="141" w:name="_Toc6720"/>
      <w:r>
        <w:rPr>
          <w:rFonts w:hint="eastAsia" w:ascii="仿宋" w:hAnsi="仿宋" w:eastAsia="仿宋"/>
          <w:b w:val="0"/>
          <w:color w:val="auto"/>
          <w:highlight w:val="none"/>
        </w:rPr>
        <w:t>九、一般公共预算财政拨款项目支出决算表</w:t>
      </w:r>
      <w:bookmarkEnd w:id="140"/>
      <w:bookmarkEnd w:id="141"/>
    </w:p>
    <w:p>
      <w:pPr>
        <w:pStyle w:val="4"/>
        <w:rPr>
          <w:rFonts w:hint="eastAsia" w:ascii="仿宋" w:hAnsi="仿宋" w:eastAsia="仿宋"/>
          <w:b w:val="0"/>
          <w:color w:val="auto"/>
          <w:highlight w:val="none"/>
          <w:lang w:eastAsia="zh-CN"/>
        </w:rPr>
      </w:pPr>
      <w:bookmarkStart w:id="142" w:name="_Toc15396628"/>
      <w:bookmarkStart w:id="143" w:name="_Toc344"/>
      <w:r>
        <w:rPr>
          <w:rFonts w:hint="eastAsia" w:ascii="仿宋" w:hAnsi="仿宋" w:eastAsia="仿宋"/>
          <w:b w:val="0"/>
          <w:color w:val="auto"/>
          <w:highlight w:val="none"/>
        </w:rPr>
        <w:t>十、</w:t>
      </w:r>
      <w:bookmarkEnd w:id="142"/>
      <w:r>
        <w:rPr>
          <w:rFonts w:hint="eastAsia" w:ascii="仿宋" w:hAnsi="仿宋" w:eastAsia="仿宋"/>
          <w:b w:val="0"/>
          <w:color w:val="auto"/>
          <w:highlight w:val="none"/>
        </w:rPr>
        <w:t>政府性基金预算财政拨款收入支出决算表</w:t>
      </w:r>
      <w:r>
        <w:rPr>
          <w:rFonts w:hint="eastAsia" w:ascii="仿宋" w:hAnsi="仿宋" w:eastAsia="仿宋"/>
          <w:b w:val="0"/>
          <w:color w:val="auto"/>
          <w:highlight w:val="none"/>
          <w:lang w:eastAsia="zh-CN"/>
        </w:rPr>
        <w:t>。本表无数据</w:t>
      </w:r>
      <w:bookmarkEnd w:id="143"/>
    </w:p>
    <w:p>
      <w:pPr>
        <w:pStyle w:val="4"/>
        <w:rPr>
          <w:rFonts w:hint="eastAsia" w:ascii="仿宋" w:hAnsi="仿宋" w:eastAsia="仿宋"/>
          <w:b w:val="0"/>
          <w:color w:val="auto"/>
          <w:highlight w:val="none"/>
        </w:rPr>
      </w:pPr>
      <w:bookmarkStart w:id="144" w:name="_Toc15396629"/>
      <w:bookmarkStart w:id="145" w:name="_Toc22710"/>
      <w:r>
        <w:rPr>
          <w:rFonts w:hint="eastAsia" w:ascii="仿宋" w:hAnsi="仿宋" w:eastAsia="仿宋"/>
          <w:b w:val="0"/>
          <w:color w:val="auto"/>
          <w:highlight w:val="none"/>
        </w:rPr>
        <w:t>十一、</w:t>
      </w:r>
      <w:bookmarkEnd w:id="144"/>
      <w:r>
        <w:rPr>
          <w:rFonts w:hint="eastAsia" w:ascii="仿宋" w:hAnsi="仿宋" w:eastAsia="仿宋"/>
          <w:b w:val="0"/>
          <w:color w:val="auto"/>
          <w:highlight w:val="none"/>
        </w:rPr>
        <w:t>国有资本经营预算</w:t>
      </w:r>
      <w:r>
        <w:rPr>
          <w:rFonts w:hint="eastAsia" w:ascii="仿宋" w:hAnsi="仿宋" w:eastAsia="仿宋"/>
          <w:b w:val="0"/>
          <w:color w:val="auto"/>
          <w:highlight w:val="none"/>
          <w:lang w:eastAsia="zh-CN"/>
        </w:rPr>
        <w:t>财政拨款收入</w:t>
      </w:r>
      <w:r>
        <w:rPr>
          <w:rFonts w:hint="eastAsia" w:ascii="仿宋" w:hAnsi="仿宋" w:eastAsia="仿宋"/>
          <w:b w:val="0"/>
          <w:color w:val="auto"/>
          <w:highlight w:val="none"/>
        </w:rPr>
        <w:t>支出决算表</w:t>
      </w:r>
      <w:r>
        <w:rPr>
          <w:rFonts w:hint="eastAsia" w:ascii="仿宋" w:hAnsi="仿宋" w:eastAsia="仿宋"/>
          <w:b w:val="0"/>
          <w:color w:val="auto"/>
          <w:highlight w:val="none"/>
          <w:lang w:eastAsia="zh-CN"/>
        </w:rPr>
        <w:t>。本表无数据</w:t>
      </w:r>
      <w:bookmarkEnd w:id="145"/>
    </w:p>
    <w:p>
      <w:pPr>
        <w:pStyle w:val="4"/>
        <w:rPr>
          <w:rFonts w:hint="eastAsia" w:ascii="仿宋" w:hAnsi="仿宋" w:eastAsia="仿宋"/>
          <w:b w:val="0"/>
          <w:color w:val="auto"/>
          <w:highlight w:val="none"/>
        </w:rPr>
      </w:pPr>
      <w:bookmarkStart w:id="146" w:name="_Toc15396630"/>
      <w:bookmarkStart w:id="147" w:name="_Toc24282"/>
      <w:r>
        <w:rPr>
          <w:rFonts w:hint="eastAsia" w:ascii="仿宋" w:hAnsi="仿宋" w:eastAsia="仿宋"/>
          <w:b w:val="0"/>
          <w:color w:val="auto"/>
          <w:highlight w:val="none"/>
        </w:rPr>
        <w:t>十二、</w:t>
      </w:r>
      <w:bookmarkEnd w:id="146"/>
      <w:r>
        <w:rPr>
          <w:rFonts w:hint="eastAsia" w:ascii="仿宋" w:hAnsi="仿宋" w:eastAsia="仿宋"/>
          <w:b w:val="0"/>
          <w:color w:val="auto"/>
          <w:highlight w:val="none"/>
          <w:lang w:eastAsia="zh-CN"/>
        </w:rPr>
        <w:t>国有资本经营预算财政拨款支出决算表。本表无数据</w:t>
      </w:r>
      <w:bookmarkEnd w:id="147"/>
    </w:p>
    <w:p>
      <w:pPr>
        <w:pStyle w:val="4"/>
        <w:rPr>
          <w:rFonts w:hint="eastAsia" w:ascii="仿宋" w:hAnsi="仿宋" w:eastAsia="仿宋"/>
          <w:b w:val="0"/>
          <w:color w:val="auto"/>
          <w:highlight w:val="none"/>
          <w:lang w:eastAsia="zh-CN"/>
        </w:rPr>
      </w:pPr>
      <w:bookmarkStart w:id="148" w:name="_Toc15396631"/>
      <w:bookmarkStart w:id="149" w:name="_Toc20779"/>
      <w:r>
        <w:rPr>
          <w:rFonts w:hint="eastAsia" w:ascii="仿宋" w:hAnsi="仿宋" w:eastAsia="仿宋"/>
          <w:b w:val="0"/>
          <w:color w:val="auto"/>
          <w:highlight w:val="none"/>
        </w:rPr>
        <w:t>十三、</w:t>
      </w:r>
      <w:bookmarkEnd w:id="148"/>
      <w:r>
        <w:rPr>
          <w:rFonts w:hint="eastAsia" w:ascii="仿宋" w:hAnsi="仿宋" w:eastAsia="仿宋"/>
          <w:b w:val="0"/>
          <w:color w:val="auto"/>
          <w:highlight w:val="none"/>
          <w:lang w:eastAsia="zh-CN"/>
        </w:rPr>
        <w:t>财政拨款“三公”经费支出决算表</w:t>
      </w:r>
      <w:bookmarkEnd w:id="149"/>
    </w:p>
    <w:p>
      <w:pPr>
        <w:pStyle w:val="4"/>
        <w:outlineLvl w:val="9"/>
        <w:rPr>
          <w:rFonts w:hint="eastAsia" w:ascii="仿宋" w:hAnsi="仿宋" w:eastAsia="仿宋"/>
          <w:b w:val="0"/>
          <w:color w:val="auto"/>
          <w:highlight w:val="none"/>
          <w:lang w:eastAsia="zh-CN"/>
        </w:rPr>
      </w:pPr>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20A81"/>
    <w:multiLevelType w:val="singleLevel"/>
    <w:tmpl w:val="B2020A81"/>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0BC19D3"/>
    <w:multiLevelType w:val="singleLevel"/>
    <w:tmpl w:val="F0BC19D3"/>
    <w:lvl w:ilvl="0" w:tentative="0">
      <w:start w:val="1"/>
      <w:numFmt w:val="decimal"/>
      <w:suff w:val="nothing"/>
      <w:lvlText w:val="%1．"/>
      <w:lvlJc w:val="left"/>
      <w:pPr>
        <w:ind w:left="0" w:firstLine="400"/>
      </w:pPr>
      <w:rPr>
        <w:rFonts w:hint="default"/>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5F215BE"/>
    <w:multiLevelType w:val="singleLevel"/>
    <w:tmpl w:val="15F215BE"/>
    <w:lvl w:ilvl="0" w:tentative="0">
      <w:start w:val="5"/>
      <w:numFmt w:val="decimal"/>
      <w:suff w:val="nothing"/>
      <w:lvlText w:val="%1、"/>
      <w:lvlJc w:val="left"/>
    </w:lvl>
  </w:abstractNum>
  <w:abstractNum w:abstractNumId="6">
    <w:nsid w:val="5E20AAB6"/>
    <w:multiLevelType w:val="singleLevel"/>
    <w:tmpl w:val="5E20AAB6"/>
    <w:lvl w:ilvl="0" w:tentative="0">
      <w:start w:val="1"/>
      <w:numFmt w:val="chineseCounting"/>
      <w:suff w:val="nothing"/>
      <w:lvlText w:val="%1、"/>
      <w:lvlJc w:val="left"/>
      <w:rPr>
        <w:rFonts w:hint="eastAsia"/>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ZjE4OTM4OWRlMjdjZWI3NmUwNTZkNzc4YWQ5OD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58580D"/>
    <w:rsid w:val="055E6E53"/>
    <w:rsid w:val="066E0107"/>
    <w:rsid w:val="07996F6E"/>
    <w:rsid w:val="0831446C"/>
    <w:rsid w:val="095945EF"/>
    <w:rsid w:val="0A2032A3"/>
    <w:rsid w:val="0CE21C77"/>
    <w:rsid w:val="0E016F15"/>
    <w:rsid w:val="0ECC12D1"/>
    <w:rsid w:val="0F98263C"/>
    <w:rsid w:val="101860EC"/>
    <w:rsid w:val="108F5D13"/>
    <w:rsid w:val="10C055FF"/>
    <w:rsid w:val="115D0314"/>
    <w:rsid w:val="118107EC"/>
    <w:rsid w:val="12BC340B"/>
    <w:rsid w:val="13AD4A7F"/>
    <w:rsid w:val="13D50BC4"/>
    <w:rsid w:val="158D1D41"/>
    <w:rsid w:val="16BB723D"/>
    <w:rsid w:val="17A81A71"/>
    <w:rsid w:val="18291B93"/>
    <w:rsid w:val="18795D56"/>
    <w:rsid w:val="18B1084A"/>
    <w:rsid w:val="19DD0CF1"/>
    <w:rsid w:val="1B6651C2"/>
    <w:rsid w:val="1BE8440E"/>
    <w:rsid w:val="1D155CEE"/>
    <w:rsid w:val="1FF35744"/>
    <w:rsid w:val="23860B96"/>
    <w:rsid w:val="240371BF"/>
    <w:rsid w:val="26C26CF7"/>
    <w:rsid w:val="29145B4B"/>
    <w:rsid w:val="29FD04D3"/>
    <w:rsid w:val="2C1D1E81"/>
    <w:rsid w:val="2C8A61B5"/>
    <w:rsid w:val="2D616C31"/>
    <w:rsid w:val="2DF04E50"/>
    <w:rsid w:val="2F040D46"/>
    <w:rsid w:val="2F77273B"/>
    <w:rsid w:val="306D4B10"/>
    <w:rsid w:val="319F7F4E"/>
    <w:rsid w:val="32A9493D"/>
    <w:rsid w:val="3304709D"/>
    <w:rsid w:val="33A57791"/>
    <w:rsid w:val="36AA5135"/>
    <w:rsid w:val="37214499"/>
    <w:rsid w:val="376D39B2"/>
    <w:rsid w:val="37E16F03"/>
    <w:rsid w:val="38D469F0"/>
    <w:rsid w:val="38D46F5C"/>
    <w:rsid w:val="39D72754"/>
    <w:rsid w:val="3AFE38F2"/>
    <w:rsid w:val="3CFE26EE"/>
    <w:rsid w:val="3D98207C"/>
    <w:rsid w:val="3E78745D"/>
    <w:rsid w:val="40C3506B"/>
    <w:rsid w:val="42613503"/>
    <w:rsid w:val="44E268DA"/>
    <w:rsid w:val="45AC0F39"/>
    <w:rsid w:val="464A15D8"/>
    <w:rsid w:val="471D19C3"/>
    <w:rsid w:val="489F24E0"/>
    <w:rsid w:val="4A627F82"/>
    <w:rsid w:val="4AE43C37"/>
    <w:rsid w:val="4B0E749A"/>
    <w:rsid w:val="4B4F25DA"/>
    <w:rsid w:val="4BDC6EAE"/>
    <w:rsid w:val="4BE068DB"/>
    <w:rsid w:val="4CEC0C42"/>
    <w:rsid w:val="4D577224"/>
    <w:rsid w:val="4D891B60"/>
    <w:rsid w:val="4EAB630A"/>
    <w:rsid w:val="4ECE2238"/>
    <w:rsid w:val="4F62784E"/>
    <w:rsid w:val="537E6D0A"/>
    <w:rsid w:val="54A86D6F"/>
    <w:rsid w:val="58E00C2E"/>
    <w:rsid w:val="5903310E"/>
    <w:rsid w:val="5952205C"/>
    <w:rsid w:val="5ADA3D99"/>
    <w:rsid w:val="5AF92295"/>
    <w:rsid w:val="5CD71FC4"/>
    <w:rsid w:val="5F8F6C0B"/>
    <w:rsid w:val="5FB16998"/>
    <w:rsid w:val="63802E5A"/>
    <w:rsid w:val="650E0E71"/>
    <w:rsid w:val="691B1DAE"/>
    <w:rsid w:val="69B10E15"/>
    <w:rsid w:val="6C4A05C8"/>
    <w:rsid w:val="6CAF143D"/>
    <w:rsid w:val="6E7E3605"/>
    <w:rsid w:val="6FF5CC65"/>
    <w:rsid w:val="715C0E4B"/>
    <w:rsid w:val="72734D90"/>
    <w:rsid w:val="72C232B3"/>
    <w:rsid w:val="73AD73D5"/>
    <w:rsid w:val="73B6EB34"/>
    <w:rsid w:val="744731E5"/>
    <w:rsid w:val="76E3355F"/>
    <w:rsid w:val="777FC7B5"/>
    <w:rsid w:val="778769C8"/>
    <w:rsid w:val="785B6C5B"/>
    <w:rsid w:val="78A43B6E"/>
    <w:rsid w:val="78B04987"/>
    <w:rsid w:val="78E29EA5"/>
    <w:rsid w:val="79EE5BA4"/>
    <w:rsid w:val="7A894339"/>
    <w:rsid w:val="7C722DF5"/>
    <w:rsid w:val="7CF30167"/>
    <w:rsid w:val="7EEF11D3"/>
    <w:rsid w:val="7F160BF6"/>
    <w:rsid w:val="7F6D27E0"/>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30"/>
    </w:rPr>
  </w:style>
  <w:style w:type="paragraph" w:styleId="6">
    <w:name w:val="Salutation"/>
    <w:basedOn w:val="1"/>
    <w:next w:val="1"/>
    <w:qFormat/>
    <w:uiPriority w:val="0"/>
    <w:rPr>
      <w:rFonts w:ascii="Times New Roman" w:hAnsi="Times New Roman"/>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67</Pages>
  <Words>25277</Words>
  <Characters>26782</Characters>
  <Lines>61</Lines>
  <Paragraphs>17</Paragraphs>
  <TotalTime>82</TotalTime>
  <ScaleCrop>false</ScaleCrop>
  <LinksUpToDate>false</LinksUpToDate>
  <CharactersWithSpaces>26827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波</cp:lastModifiedBy>
  <cp:lastPrinted>2023-07-31T10:35:00Z</cp:lastPrinted>
  <dcterms:modified xsi:type="dcterms:W3CDTF">2023-09-28T02:25:05Z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1BF328E4FCBC46E183310AF8D9815CC9</vt:lpwstr>
  </property>
</Properties>
</file>