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193"/>
      <w:bookmarkStart w:id="1" w:name="_Toc15378441"/>
      <w:bookmarkStart w:id="2" w:name="_Toc15396475"/>
      <w:bookmarkStart w:id="3" w:name="_Toc15377425"/>
      <w:bookmarkStart w:id="4" w:name="_Toc15396597"/>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747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adjustRightInd w:val="0"/>
        <w:snapToGrid w:val="0"/>
        <w:spacing w:line="360" w:lineRule="auto"/>
        <w:ind w:left="-199" w:leftChars="-95" w:firstLine="0" w:firstLineChars="0"/>
        <w:jc w:val="center"/>
        <w:outlineLvl w:val="0"/>
        <w:rPr>
          <w:rFonts w:hint="eastAsia" w:ascii="方正小标宋简体" w:hAnsi="宋体" w:eastAsia="方正小标宋简体" w:cs="Times New Roman"/>
          <w:color w:val="000000"/>
          <w:sz w:val="72"/>
          <w:szCs w:val="72"/>
          <w:lang w:eastAsia="zh-CN"/>
        </w:rPr>
      </w:pPr>
      <w:bookmarkStart w:id="7" w:name="_Toc27566"/>
      <w:bookmarkStart w:id="8" w:name="_Toc15377426"/>
      <w:bookmarkStart w:id="9" w:name="_Toc15306268"/>
      <w:bookmarkStart w:id="10" w:name="_Toc15378442"/>
      <w:bookmarkStart w:id="11" w:name="_Toc15396598"/>
      <w:bookmarkStart w:id="12" w:name="_Toc15396476"/>
      <w:bookmarkStart w:id="13" w:name="_Toc15377194"/>
      <w:r>
        <w:rPr>
          <w:rFonts w:hint="eastAsia" w:ascii="方正小标宋简体" w:hAnsi="宋体" w:eastAsia="方正小标宋简体" w:cs="Times New Roman"/>
          <w:color w:val="000000"/>
          <w:sz w:val="72"/>
          <w:szCs w:val="72"/>
          <w:lang w:eastAsia="zh-CN"/>
        </w:rPr>
        <w:t>中共广元市纪律检查委员会</w:t>
      </w:r>
      <w:bookmarkEnd w:id="7"/>
    </w:p>
    <w:p>
      <w:pPr>
        <w:adjustRightInd w:val="0"/>
        <w:snapToGrid w:val="0"/>
        <w:spacing w:line="360" w:lineRule="auto"/>
        <w:ind w:left="-199" w:leftChars="-95" w:firstLine="0" w:firstLineChars="0"/>
        <w:jc w:val="center"/>
        <w:outlineLvl w:val="0"/>
        <w:rPr>
          <w:rFonts w:hint="eastAsia" w:ascii="方正小标宋简体" w:hAnsi="方正小标宋简体" w:eastAsia="方正小标宋简体" w:cs="方正小标宋简体"/>
          <w:color w:val="auto"/>
          <w:sz w:val="72"/>
          <w:szCs w:val="72"/>
          <w:highlight w:val="none"/>
        </w:rPr>
      </w:pPr>
      <w:bookmarkStart w:id="14" w:name="_Toc25909"/>
      <w:r>
        <w:rPr>
          <w:rFonts w:hint="eastAsia" w:ascii="方正小标宋简体" w:hAnsi="方正小标宋简体" w:eastAsia="方正小标宋简体" w:cs="方正小标宋简体"/>
          <w:color w:val="auto"/>
          <w:sz w:val="72"/>
          <w:szCs w:val="72"/>
          <w:highlight w:val="none"/>
        </w:rPr>
        <w:t>部门决算</w:t>
      </w:r>
      <w:bookmarkEnd w:id="8"/>
      <w:bookmarkEnd w:id="9"/>
      <w:bookmarkEnd w:id="10"/>
      <w:bookmarkEnd w:id="11"/>
      <w:bookmarkEnd w:id="12"/>
      <w:bookmarkEnd w:id="13"/>
      <w:bookmarkEnd w:id="14"/>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64485"/>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40"/>
            <w:tabs>
              <w:tab w:val="right" w:pos="5200"/>
              <w:tab w:val="right" w:leader="dot" w:pos="9460"/>
            </w:tabs>
            <w:rPr>
              <w:b/>
            </w:rPr>
          </w:pPr>
          <w:bookmarkStart w:id="143" w:name="_GoBack"/>
          <w:bookmarkEnd w:id="143"/>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40"/>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rPr>
              <w:b/>
            </w:rPr>
          </w:pPr>
          <w:r>
            <w:rPr>
              <w:b/>
              <w:color w:val="auto"/>
              <w:highlight w:val="none"/>
            </w:rPr>
            <w:fldChar w:fldCharType="begin"/>
          </w:r>
          <w:r>
            <w:rPr>
              <w:b/>
              <w:highlight w:val="none"/>
            </w:rPr>
            <w:instrText xml:space="preserve"> HYPERLINK \l _Toc7787 </w:instrText>
          </w:r>
          <w:r>
            <w:rPr>
              <w:b/>
              <w:highlight w:val="none"/>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_Toc7787 \h </w:instrText>
          </w:r>
          <w:r>
            <w:rPr>
              <w:b/>
            </w:rPr>
            <w:fldChar w:fldCharType="separate"/>
          </w:r>
          <w:r>
            <w:rPr>
              <w:b/>
            </w:rPr>
            <w:t>1</w:t>
          </w:r>
          <w:r>
            <w:rPr>
              <w:b/>
            </w:rPr>
            <w:fldChar w:fldCharType="end"/>
          </w:r>
          <w:r>
            <w:rPr>
              <w:b/>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_Toc14486 </w:instrText>
          </w:r>
          <w:r>
            <w:rPr>
              <w:highlight w:val="none"/>
            </w:rP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tab/>
          </w:r>
          <w:r>
            <w:fldChar w:fldCharType="begin"/>
          </w:r>
          <w:r>
            <w:instrText xml:space="preserve"> PAGEREF _Toc14486 \h </w:instrText>
          </w:r>
          <w:r>
            <w:fldChar w:fldCharType="separate"/>
          </w:r>
          <w:r>
            <w:t>1</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_Toc21198 </w:instrText>
          </w:r>
          <w:r>
            <w:rPr>
              <w:highlight w:val="none"/>
            </w:rPr>
            <w:fldChar w:fldCharType="separate"/>
          </w:r>
          <w:r>
            <w:rPr>
              <w:rFonts w:hint="eastAsia" w:ascii="黑体" w:hAnsi="黑体" w:eastAsia="黑体"/>
              <w:highlight w:val="none"/>
            </w:rPr>
            <w:t>二、机构设置</w:t>
          </w:r>
          <w:r>
            <w:tab/>
          </w:r>
          <w:r>
            <w:fldChar w:fldCharType="begin"/>
          </w:r>
          <w:r>
            <w:instrText xml:space="preserve"> PAGEREF _Toc21198 \h </w:instrText>
          </w:r>
          <w:r>
            <w:fldChar w:fldCharType="separate"/>
          </w:r>
          <w:r>
            <w:t>2</w:t>
          </w:r>
          <w:r>
            <w:fldChar w:fldCharType="end"/>
          </w:r>
          <w:r>
            <w:rPr>
              <w:color w:val="auto"/>
              <w:highlight w:val="none"/>
            </w:rPr>
            <w:fldChar w:fldCharType="end"/>
          </w:r>
        </w:p>
        <w:p>
          <w:pPr>
            <w:pStyle w:val="40"/>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rPr>
              <w:b/>
            </w:rPr>
          </w:pPr>
          <w:r>
            <w:rPr>
              <w:b/>
              <w:color w:val="auto"/>
              <w:highlight w:val="none"/>
            </w:rPr>
            <w:fldChar w:fldCharType="begin"/>
          </w:r>
          <w:r>
            <w:rPr>
              <w:b/>
              <w:highlight w:val="none"/>
            </w:rPr>
            <w:instrText xml:space="preserve"> HYPERLINK \l _Toc4076 </w:instrText>
          </w:r>
          <w:r>
            <w:rPr>
              <w:b/>
              <w:highlight w:val="none"/>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_Toc4076 \h </w:instrText>
          </w:r>
          <w:r>
            <w:rPr>
              <w:b/>
            </w:rPr>
            <w:fldChar w:fldCharType="separate"/>
          </w:r>
          <w:r>
            <w:rPr>
              <w:b/>
            </w:rPr>
            <w:t>3</w:t>
          </w:r>
          <w:r>
            <w:rPr>
              <w:b/>
            </w:rPr>
            <w:fldChar w:fldCharType="end"/>
          </w:r>
          <w:r>
            <w:rPr>
              <w:b/>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_Toc9071 </w:instrText>
          </w:r>
          <w:r>
            <w:rPr>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_Toc9071 \h </w:instrText>
          </w:r>
          <w:r>
            <w:fldChar w:fldCharType="separate"/>
          </w:r>
          <w:r>
            <w:t>3</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_Toc32187 </w:instrText>
          </w:r>
          <w:r>
            <w:rPr>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_Toc32187 \h </w:instrText>
          </w:r>
          <w:r>
            <w:fldChar w:fldCharType="separate"/>
          </w:r>
          <w:r>
            <w:t>3</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_Toc5742 </w:instrText>
          </w:r>
          <w:r>
            <w:rPr>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_Toc5742 \h </w:instrText>
          </w:r>
          <w:r>
            <w:fldChar w:fldCharType="separate"/>
          </w:r>
          <w:r>
            <w:t>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_Toc10361 </w:instrText>
          </w:r>
          <w:r>
            <w:rPr>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_Toc10361 \h </w:instrText>
          </w:r>
          <w:r>
            <w:fldChar w:fldCharType="separate"/>
          </w:r>
          <w:r>
            <w:t>5</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_Toc11065 </w:instrText>
          </w:r>
          <w:r>
            <w:rPr>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_Toc11065 \h </w:instrText>
          </w:r>
          <w:r>
            <w:fldChar w:fldCharType="separate"/>
          </w:r>
          <w:r>
            <w:t>5</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_Toc7034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_Toc7034 \h </w:instrText>
          </w:r>
          <w:r>
            <w:fldChar w:fldCharType="separate"/>
          </w:r>
          <w:r>
            <w:t>8</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_Toc15053 </w:instrText>
          </w:r>
          <w:r>
            <w:rPr>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_Toc15053 \h </w:instrText>
          </w:r>
          <w:r>
            <w:fldChar w:fldCharType="separate"/>
          </w:r>
          <w:r>
            <w:t>8</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_Toc2576 </w:instrText>
          </w:r>
          <w:r>
            <w:rPr>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_Toc2576 \h </w:instrText>
          </w:r>
          <w:r>
            <w:fldChar w:fldCharType="separate"/>
          </w:r>
          <w:r>
            <w:t>10</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_Toc29252 </w:instrText>
          </w:r>
          <w:r>
            <w:rPr>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_Toc29252 \h </w:instrText>
          </w:r>
          <w:r>
            <w:fldChar w:fldCharType="separate"/>
          </w:r>
          <w:r>
            <w:t>10</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_Toc24225 </w:instrText>
          </w:r>
          <w:r>
            <w:rPr>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_Toc24225 \h </w:instrText>
          </w:r>
          <w:r>
            <w:fldChar w:fldCharType="separate"/>
          </w:r>
          <w:r>
            <w:t>10</w:t>
          </w:r>
          <w:r>
            <w:fldChar w:fldCharType="end"/>
          </w:r>
          <w:r>
            <w:rPr>
              <w:color w:val="auto"/>
              <w:highlight w:val="none"/>
            </w:rPr>
            <w:fldChar w:fldCharType="end"/>
          </w:r>
        </w:p>
        <w:p>
          <w:pPr>
            <w:pStyle w:val="40"/>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rPr>
              <w:b/>
            </w:rPr>
          </w:pPr>
          <w:r>
            <w:rPr>
              <w:b/>
              <w:color w:val="auto"/>
              <w:highlight w:val="none"/>
            </w:rPr>
            <w:fldChar w:fldCharType="begin"/>
          </w:r>
          <w:r>
            <w:rPr>
              <w:b/>
              <w:highlight w:val="none"/>
            </w:rPr>
            <w:instrText xml:space="preserve"> HYPERLINK \l _Toc30158 </w:instrText>
          </w:r>
          <w:r>
            <w:rPr>
              <w:b/>
              <w:highlight w:val="none"/>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_Toc30158 \h </w:instrText>
          </w:r>
          <w:r>
            <w:rPr>
              <w:b/>
            </w:rPr>
            <w:fldChar w:fldCharType="separate"/>
          </w:r>
          <w:r>
            <w:rPr>
              <w:b/>
            </w:rPr>
            <w:t>12</w:t>
          </w:r>
          <w:r>
            <w:rPr>
              <w:b/>
            </w:rPr>
            <w:fldChar w:fldCharType="end"/>
          </w:r>
          <w:r>
            <w:rPr>
              <w:b/>
              <w:color w:val="auto"/>
              <w:highlight w:val="none"/>
            </w:rPr>
            <w:fldChar w:fldCharType="end"/>
          </w:r>
        </w:p>
        <w:p>
          <w:pPr>
            <w:pStyle w:val="40"/>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rPr>
              <w:b/>
            </w:rPr>
          </w:pPr>
          <w:r>
            <w:rPr>
              <w:b/>
              <w:color w:val="auto"/>
              <w:highlight w:val="none"/>
            </w:rPr>
            <w:fldChar w:fldCharType="begin"/>
          </w:r>
          <w:r>
            <w:rPr>
              <w:b/>
              <w:highlight w:val="none"/>
            </w:rPr>
            <w:instrText xml:space="preserve"> HYPERLINK \l _Toc31208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_Toc31208 \h </w:instrText>
          </w:r>
          <w:r>
            <w:rPr>
              <w:b/>
            </w:rPr>
            <w:fldChar w:fldCharType="separate"/>
          </w:r>
          <w:r>
            <w:rPr>
              <w:b/>
            </w:rPr>
            <w:t>15</w:t>
          </w:r>
          <w:r>
            <w:rPr>
              <w:b/>
            </w:rPr>
            <w:fldChar w:fldCharType="end"/>
          </w:r>
          <w:r>
            <w:rPr>
              <w:b/>
              <w:color w:val="auto"/>
              <w:highlight w:val="none"/>
            </w:rPr>
            <w:fldChar w:fldCharType="end"/>
          </w:r>
        </w:p>
        <w:p>
          <w:pPr>
            <w:pStyle w:val="40"/>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rPr>
              <w:b/>
            </w:rPr>
          </w:pPr>
          <w:r>
            <w:rPr>
              <w:b/>
              <w:color w:val="auto"/>
              <w:highlight w:val="none"/>
            </w:rPr>
            <w:fldChar w:fldCharType="begin"/>
          </w:r>
          <w:r>
            <w:rPr>
              <w:b/>
              <w:highlight w:val="none"/>
            </w:rPr>
            <w:instrText xml:space="preserve"> HYPERLINK \l _Toc398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_Toc398 \h </w:instrText>
          </w:r>
          <w:r>
            <w:rPr>
              <w:b/>
            </w:rPr>
            <w:fldChar w:fldCharType="separate"/>
          </w:r>
          <w:r>
            <w:rPr>
              <w:b/>
            </w:rPr>
            <w:t>54</w:t>
          </w:r>
          <w:r>
            <w:rPr>
              <w:b/>
            </w:rPr>
            <w:fldChar w:fldCharType="end"/>
          </w:r>
          <w:r>
            <w:rPr>
              <w:b/>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_Toc19221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_Toc19221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_Toc1288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_Toc1288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_Toc9164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_Toc9164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_Toc28952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_Toc28952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_Toc7707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_Toc7707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_Toc25424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_Toc25424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_Toc20007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_Toc20007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_Toc16561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_Toc16561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_Toc26775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_Toc26775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_Toc26695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_Toc26695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_Toc24898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_Toc24898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_Toc13217 </w:instrText>
          </w:r>
          <w:r>
            <w:rPr>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_Toc13217 \h </w:instrText>
          </w:r>
          <w:r>
            <w:fldChar w:fldCharType="separate"/>
          </w:r>
          <w:r>
            <w:t>54</w:t>
          </w:r>
          <w:r>
            <w:fldChar w:fldCharType="end"/>
          </w:r>
          <w:r>
            <w:rPr>
              <w:color w:val="auto"/>
              <w:highlight w:val="none"/>
            </w:rPr>
            <w:fldChar w:fldCharType="end"/>
          </w:r>
        </w:p>
        <w:p>
          <w:pPr>
            <w:pStyle w:val="41"/>
            <w:keepNext w:val="0"/>
            <w:keepLines w:val="0"/>
            <w:pageBreakBefore w:val="0"/>
            <w:widowControl/>
            <w:tabs>
              <w:tab w:val="right" w:leader="dot" w:pos="9460"/>
            </w:tabs>
            <w:kinsoku/>
            <w:wordWrap/>
            <w:overflowPunct/>
            <w:topLinePunct w:val="0"/>
            <w:autoSpaceDE/>
            <w:autoSpaceDN/>
            <w:bidi w:val="0"/>
            <w:adjustRightInd/>
            <w:snapToGrid/>
            <w:spacing w:line="360" w:lineRule="exact"/>
            <w:textAlignment w:val="auto"/>
          </w:pPr>
          <w:r>
            <w:rPr>
              <w:color w:val="auto"/>
              <w:highlight w:val="none"/>
            </w:rPr>
            <w:fldChar w:fldCharType="begin"/>
          </w:r>
          <w:r>
            <w:rPr>
              <w:highlight w:val="none"/>
            </w:rPr>
            <w:instrText xml:space="preserve"> HYPERLINK \l _Toc21570 </w:instrText>
          </w:r>
          <w:r>
            <w:rPr>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_Toc21570 \h </w:instrText>
          </w:r>
          <w:r>
            <w:fldChar w:fldCharType="separate"/>
          </w:r>
          <w:r>
            <w:t>54</w:t>
          </w:r>
          <w:r>
            <w:fldChar w:fldCharType="end"/>
          </w:r>
          <w:r>
            <w:rPr>
              <w:color w:val="auto"/>
              <w:highlight w:val="none"/>
            </w:rPr>
            <w:fldChar w:fldCharType="end"/>
          </w:r>
        </w:p>
        <w:p>
          <w:pPr>
            <w:rPr>
              <w:color w:val="auto"/>
              <w:highlight w:val="none"/>
            </w:rPr>
          </w:pPr>
          <w:r>
            <w:rPr>
              <w:b/>
              <w:color w:val="auto"/>
              <w:highlight w:val="none"/>
            </w:rPr>
            <w:fldChar w:fldCharType="end"/>
          </w:r>
        </w:p>
      </w:sdtContent>
    </w:sdt>
    <w:p>
      <w:pPr>
        <w:pStyle w:val="3"/>
        <w:jc w:val="center"/>
        <w:rPr>
          <w:rFonts w:hint="eastAsia" w:ascii="黑体" w:hAnsi="黑体" w:eastAsia="黑体"/>
          <w:b w:val="0"/>
          <w:color w:val="auto"/>
          <w:highlight w:val="none"/>
        </w:rPr>
        <w:sectPr>
          <w:headerReference r:id="rId3" w:type="default"/>
          <w:pgSz w:w="11906" w:h="16838"/>
          <w:pgMar w:top="1440" w:right="1066" w:bottom="1440" w:left="1380" w:header="851" w:footer="992" w:gutter="0"/>
          <w:pgNumType w:start="1"/>
          <w:cols w:space="425" w:num="1"/>
          <w:titlePg/>
          <w:docGrid w:type="lines" w:linePitch="312" w:charSpace="0"/>
        </w:sectPr>
      </w:pPr>
      <w:bookmarkStart w:id="15" w:name="_Toc15396599"/>
      <w:bookmarkStart w:id="16" w:name="_Toc7787"/>
      <w:bookmarkStart w:id="17" w:name="_Toc15377196"/>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15"/>
      <w:bookmarkEnd w:id="16"/>
      <w:bookmarkEnd w:id="17"/>
    </w:p>
    <w:p>
      <w:pPr>
        <w:pStyle w:val="4"/>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b w:val="0"/>
          <w:color w:val="auto"/>
          <w:highlight w:val="none"/>
          <w:lang w:eastAsia="zh-CN"/>
        </w:rPr>
      </w:pPr>
      <w:bookmarkStart w:id="18" w:name="_Toc15396600"/>
      <w:bookmarkStart w:id="19" w:name="_Toc15377197"/>
      <w:bookmarkStart w:id="20" w:name="_Toc14486"/>
      <w:r>
        <w:rPr>
          <w:rFonts w:hint="eastAsia" w:ascii="黑体" w:hAnsi="黑体" w:eastAsia="黑体"/>
          <w:b w:val="0"/>
          <w:color w:val="auto"/>
          <w:highlight w:val="none"/>
        </w:rPr>
        <w:t>一、</w:t>
      </w:r>
      <w:bookmarkEnd w:id="18"/>
      <w:bookmarkEnd w:id="19"/>
      <w:r>
        <w:rPr>
          <w:rFonts w:hint="eastAsia" w:ascii="黑体" w:hAnsi="黑体" w:eastAsia="黑体"/>
          <w:b w:val="0"/>
          <w:color w:val="auto"/>
          <w:highlight w:val="none"/>
          <w:lang w:eastAsia="zh-CN"/>
        </w:rPr>
        <w:t>部门职责</w:t>
      </w:r>
      <w:bookmarkEnd w:id="20"/>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一是负责党的纪律检查工作。贯彻落实党中央关于纪律检查工作的决定，维护党的章程和其他党内法规，检查党的路线方针政策和决议的执行情况，协助市委推进全面从严治党、加强党风建设和组织协调反腐败工作。</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二是依照党的章程和其他党内法规履行监督、执纪、问责职责。负责经常对党员进行遵守纪律的教育，作出关于维护党纪的决定。对市委工作机关、市委批准设立的党组织（党委），各县（区）党委、纪委等党的组织和市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三是负责全市监察工作。贯彻落实党中央关于监察工作的决定，维护宪法法律，依法对市委管理的行使公权力的公职人员进行监察，调查职务违法和职务犯罪，开展廉政建设和反腐败工作。</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四是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五是负责组织协调全面从严治党、党风廉政建设和反腐败宣传教育工作。</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六是负责综合分析全面从严治党、党风廉政建设和反腐败工作情况，对纪检监察工作重要理论及实践问题进行调查研究。制定或者修改全市纪检监察规范性文件，参与起草制定相关法规和规范性文件。</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七是在省纪委监委的领导下，加强对反腐败国际追逃追赃和防逃工作的组织协调，督促有关单位做好相关工作。</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八是根据干部管理权限，负责纪检监察系统领导班子建设、干部队伍建设和组织建设的综合规划、政策研究、制度建设和业务指导。会同有关方面做好市纪委监委派驻（出）机构、县（区）纪委监委机关、市管企业和市属学校医院等事业单位纪检监察机构领导班子建设有关工作。组织和指导全市纪检监察系统教育培训工作等。</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九是完成市委和省纪委监委交办的其他任务。</w:t>
      </w:r>
    </w:p>
    <w:p>
      <w:pPr>
        <w:pStyle w:val="4"/>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b w:val="0"/>
          <w:color w:val="auto"/>
          <w:highlight w:val="none"/>
        </w:rPr>
      </w:pPr>
      <w:bookmarkStart w:id="21" w:name="_Toc15396601"/>
      <w:bookmarkStart w:id="22" w:name="_Toc15377200"/>
      <w:bookmarkStart w:id="23" w:name="_Toc21198"/>
      <w:r>
        <w:rPr>
          <w:rFonts w:hint="eastAsia" w:ascii="黑体" w:hAnsi="黑体" w:eastAsia="黑体"/>
          <w:b w:val="0"/>
          <w:color w:val="auto"/>
          <w:highlight w:val="none"/>
        </w:rPr>
        <w:t>二、机构设置</w:t>
      </w:r>
      <w:bookmarkEnd w:id="21"/>
      <w:bookmarkEnd w:id="22"/>
      <w:bookmarkEnd w:id="23"/>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广元市纪委监委下属二级预算单位2个，其中行政单位1个，其他事业单位1个。</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纳入广元市纪委监委2022年度部门决算编制范围的二级预算单位包括：</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1.中共广元市纪律检查委员会（本级）</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2.广元市党风廉政教育中心</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0"/>
          <w:rFonts w:ascii="黑体" w:hAnsi="黑体" w:eastAsia="黑体"/>
          <w:b w:val="0"/>
          <w:bCs/>
          <w:color w:val="auto"/>
          <w:highlight w:val="none"/>
        </w:rPr>
      </w:pPr>
      <w:bookmarkStart w:id="24" w:name="_Toc15377204"/>
      <w:bookmarkStart w:id="25" w:name="_Toc15396602"/>
      <w:bookmarkStart w:id="26" w:name="_Toc407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24"/>
      <w:bookmarkEnd w:id="25"/>
      <w:bookmarkEnd w:id="26"/>
    </w:p>
    <w:p>
      <w:pPr>
        <w:rPr>
          <w:color w:val="auto"/>
          <w:highlight w:val="none"/>
        </w:rPr>
      </w:pPr>
    </w:p>
    <w:p>
      <w:pPr>
        <w:pStyle w:val="32"/>
        <w:numPr>
          <w:ilvl w:val="0"/>
          <w:numId w:val="1"/>
        </w:numPr>
        <w:spacing w:line="600" w:lineRule="exact"/>
        <w:ind w:firstLineChars="0"/>
        <w:outlineLvl w:val="1"/>
        <w:rPr>
          <w:rStyle w:val="21"/>
          <w:rFonts w:ascii="黑体" w:hAnsi="黑体" w:eastAsia="黑体"/>
          <w:b w:val="0"/>
          <w:color w:val="auto"/>
          <w:highlight w:val="none"/>
        </w:rPr>
      </w:pPr>
      <w:bookmarkStart w:id="27" w:name="_Toc9071"/>
      <w:bookmarkStart w:id="28" w:name="_Toc15396603"/>
      <w:bookmarkStart w:id="29" w:name="_Toc15377205"/>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7"/>
      <w:bookmarkEnd w:id="28"/>
      <w:bookmarkEnd w:id="29"/>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度收、支总计5683.49万元。与2021年相比，收、支总计各减少1266.67万元，下降18.23%。主要变动原因：一是纪委监委业务用房及办公场所维修改造项目资金较2021年减少542.96万元；二是2022年市党风廉政教育中心减少纪律审查业务用房改扩建项目资金883.63万元。</w:t>
      </w:r>
    </w:p>
    <w:p>
      <w:pPr>
        <w:pStyle w:val="6"/>
        <w:ind w:left="638" w:leftChars="304" w:firstLine="0" w:firstLineChars="0"/>
        <w:rPr>
          <w:rFonts w:hint="eastAsia" w:eastAsia="仿宋_GB2312"/>
          <w:lang w:eastAsia="zh-CN"/>
        </w:rPr>
      </w:pPr>
      <w:r>
        <w:rPr>
          <w:rFonts w:hint="eastAsia" w:eastAsia="仿宋_GB2312"/>
          <w:lang w:eastAsia="zh-CN"/>
        </w:rPr>
        <w:drawing>
          <wp:inline distT="0" distB="0" distL="114300" distR="114300">
            <wp:extent cx="4860290" cy="2371090"/>
            <wp:effectExtent l="4445" t="4445" r="12065"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（图1：收、支决算总计变动情况图）（柱状图）</w:t>
      </w:r>
    </w:p>
    <w:p>
      <w:pPr>
        <w:pStyle w:val="6"/>
      </w:pPr>
    </w:p>
    <w:p>
      <w:pPr>
        <w:pStyle w:val="32"/>
        <w:numPr>
          <w:ilvl w:val="0"/>
          <w:numId w:val="1"/>
        </w:numPr>
        <w:spacing w:line="600" w:lineRule="exact"/>
        <w:ind w:firstLineChars="0"/>
        <w:outlineLvl w:val="1"/>
        <w:rPr>
          <w:rStyle w:val="21"/>
          <w:rFonts w:ascii="黑体" w:hAnsi="黑体" w:eastAsia="黑体"/>
          <w:b w:val="0"/>
          <w:color w:val="auto"/>
          <w:highlight w:val="none"/>
        </w:rPr>
      </w:pPr>
      <w:bookmarkStart w:id="30" w:name="_Toc15396604"/>
      <w:bookmarkStart w:id="31" w:name="_Toc15377206"/>
      <w:bookmarkStart w:id="32" w:name="_Toc32187"/>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30"/>
      <w:bookmarkEnd w:id="31"/>
      <w:bookmarkEnd w:id="32"/>
    </w:p>
    <w:p>
      <w:pPr>
        <w:spacing w:line="600" w:lineRule="exact"/>
        <w:ind w:firstLine="640" w:firstLineChars="200"/>
        <w:outlineLvl w:val="1"/>
        <w:rPr>
          <w:rFonts w:hint="eastAsia" w:ascii="仿宋" w:hAnsi="仿宋" w:eastAsia="仿宋"/>
          <w:color w:val="auto"/>
          <w:sz w:val="32"/>
          <w:szCs w:val="32"/>
          <w:highlight w:val="none"/>
        </w:rPr>
      </w:pPr>
      <w:bookmarkStart w:id="33" w:name="_Toc4108"/>
      <w:r>
        <w:rPr>
          <w:rFonts w:hint="eastAsia" w:ascii="仿宋_GB2312" w:hAnsi="Times New Roman" w:eastAsia="仿宋_GB2312" w:cs="Times New Roman"/>
          <w:color w:val="000000"/>
          <w:kern w:val="2"/>
          <w:sz w:val="32"/>
          <w:szCs w:val="32"/>
          <w:lang w:val="en-US" w:eastAsia="zh-CN" w:bidi="ar-SA"/>
        </w:rPr>
        <w:t>2022年本年收入合计5290.16万元，其中：一般公共预算财政拨款收入4222.52万元，占79.82%；其他收入1067.64万元，占20.18%。</w:t>
      </w:r>
      <w:bookmarkEnd w:id="33"/>
    </w:p>
    <w:p>
      <w:pPr>
        <w:spacing w:line="600" w:lineRule="exact"/>
        <w:outlineLvl w:val="9"/>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319905" cy="2879725"/>
            <wp:effectExtent l="4445" t="4445" r="19050"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（图2：收入决算结构图）（饼状图）</w:t>
      </w:r>
    </w:p>
    <w:p>
      <w:pPr>
        <w:spacing w:line="600" w:lineRule="exact"/>
        <w:ind w:firstLine="640" w:firstLineChars="200"/>
        <w:rPr>
          <w:rFonts w:ascii="仿宋_GB2312" w:eastAsia="仿宋_GB2312"/>
          <w:color w:val="auto"/>
          <w:sz w:val="32"/>
          <w:szCs w:val="32"/>
          <w:highlight w:val="none"/>
        </w:rPr>
      </w:pPr>
    </w:p>
    <w:p>
      <w:pPr>
        <w:pStyle w:val="32"/>
        <w:numPr>
          <w:ilvl w:val="0"/>
          <w:numId w:val="1"/>
        </w:numPr>
        <w:spacing w:line="600" w:lineRule="exact"/>
        <w:ind w:firstLineChars="0"/>
        <w:outlineLvl w:val="1"/>
        <w:rPr>
          <w:rStyle w:val="21"/>
          <w:rFonts w:ascii="黑体" w:hAnsi="黑体" w:eastAsia="黑体"/>
          <w:b w:val="0"/>
          <w:color w:val="auto"/>
          <w:highlight w:val="none"/>
        </w:rPr>
      </w:pPr>
      <w:bookmarkStart w:id="34" w:name="_Toc5742"/>
      <w:bookmarkStart w:id="35" w:name="_Toc15396605"/>
      <w:bookmarkStart w:id="36" w:name="_Toc15377207"/>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34"/>
      <w:bookmarkEnd w:id="35"/>
      <w:bookmarkEnd w:id="36"/>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2022年本年支出合计5467.93万元，其中：基本支出2574.76万元，占47.09%；项目支出2893.17万元，占52.91%。</w:t>
      </w:r>
    </w:p>
    <w:p>
      <w:pPr>
        <w:pStyle w:val="6"/>
      </w:pPr>
      <w:r>
        <w:rPr>
          <w:rFonts w:hint="eastAsia" w:ascii="仿宋" w:hAnsi="仿宋" w:eastAsia="仿宋"/>
          <w:color w:val="auto"/>
          <w:sz w:val="32"/>
          <w:szCs w:val="32"/>
          <w:highlight w:val="none"/>
          <w:lang w:eastAsia="zh-CN"/>
        </w:rPr>
        <w:drawing>
          <wp:inline distT="0" distB="0" distL="114935" distR="114935">
            <wp:extent cx="4319905" cy="2879725"/>
            <wp:effectExtent l="4445" t="4445" r="19050"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（图3：支出决算结构图）（饼状图）</w:t>
      </w:r>
    </w:p>
    <w:p>
      <w:pPr>
        <w:spacing w:line="600" w:lineRule="exact"/>
        <w:ind w:firstLine="640" w:firstLineChars="200"/>
        <w:outlineLvl w:val="9"/>
        <w:rPr>
          <w:rFonts w:hint="eastAsia" w:ascii="黑体" w:hAnsi="黑体" w:eastAsia="黑体"/>
          <w:color w:val="auto"/>
          <w:sz w:val="32"/>
          <w:szCs w:val="32"/>
          <w:highlight w:val="none"/>
        </w:rPr>
      </w:pPr>
      <w:bookmarkStart w:id="37" w:name="_Toc15396606"/>
      <w:bookmarkStart w:id="38" w:name="_Toc15377208"/>
    </w:p>
    <w:p>
      <w:pPr>
        <w:spacing w:line="600" w:lineRule="exact"/>
        <w:ind w:firstLine="640" w:firstLineChars="200"/>
        <w:outlineLvl w:val="1"/>
        <w:rPr>
          <w:rStyle w:val="21"/>
          <w:rFonts w:ascii="黑体" w:hAnsi="黑体" w:eastAsia="黑体"/>
          <w:b w:val="0"/>
          <w:color w:val="auto"/>
          <w:highlight w:val="none"/>
        </w:rPr>
      </w:pPr>
      <w:bookmarkStart w:id="39" w:name="_Toc10361"/>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7"/>
      <w:bookmarkEnd w:id="38"/>
      <w:bookmarkEnd w:id="39"/>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财政拨款收、支总计4615.85万元。与2021年相比，财政拨款收、支总计各减少1485.39万元，下降24.35%。主要变动原因：一是纪委监委业务用房及办公场所维修改造项目资金较2021年减少542.96万元；二是2022年市党风廉政教育中心减少纪律审查业务用房改扩建项目资金883.63万元。</w:t>
      </w:r>
    </w:p>
    <w:p>
      <w:pPr>
        <w:spacing w:line="600" w:lineRule="exact"/>
        <w:ind w:firstLine="640"/>
        <w:rPr>
          <w:rFonts w:ascii="仿宋" w:hAnsi="仿宋" w:eastAsia="仿宋"/>
          <w:b/>
          <w:color w:val="auto"/>
          <w:sz w:val="32"/>
          <w:szCs w:val="32"/>
          <w:highlight w:val="none"/>
        </w:rPr>
      </w:pPr>
      <w:r>
        <w:rPr>
          <w:rFonts w:hint="eastAsia" w:eastAsia="仿宋_GB2312"/>
          <w:lang w:eastAsia="zh-CN"/>
        </w:rPr>
        <w:drawing>
          <wp:anchor distT="0" distB="0" distL="114300" distR="114300" simplePos="0" relativeHeight="251660288" behindDoc="0" locked="0" layoutInCell="1" allowOverlap="1">
            <wp:simplePos x="0" y="0"/>
            <wp:positionH relativeFrom="column">
              <wp:posOffset>306070</wp:posOffset>
            </wp:positionH>
            <wp:positionV relativeFrom="paragraph">
              <wp:posOffset>137795</wp:posOffset>
            </wp:positionV>
            <wp:extent cx="4860290" cy="2371090"/>
            <wp:effectExtent l="4445" t="4445" r="12065"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b/>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1"/>
          <w:rFonts w:ascii="黑体" w:hAnsi="黑体" w:eastAsia="黑体"/>
          <w:b w:val="0"/>
          <w:color w:val="auto"/>
          <w:highlight w:val="none"/>
        </w:rPr>
      </w:pPr>
      <w:bookmarkStart w:id="40" w:name="_Toc11065"/>
      <w:bookmarkStart w:id="41" w:name="_Toc15396607"/>
      <w:bookmarkStart w:id="42"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40"/>
      <w:bookmarkEnd w:id="41"/>
      <w:bookmarkEnd w:id="42"/>
    </w:p>
    <w:p>
      <w:pPr>
        <w:spacing w:line="600" w:lineRule="exact"/>
        <w:ind w:firstLine="642" w:firstLineChars="200"/>
        <w:outlineLvl w:val="2"/>
        <w:rPr>
          <w:rFonts w:ascii="仿宋" w:hAnsi="仿宋" w:eastAsia="仿宋"/>
          <w:b/>
          <w:color w:val="auto"/>
          <w:sz w:val="32"/>
          <w:szCs w:val="32"/>
          <w:highlight w:val="none"/>
        </w:rPr>
      </w:pPr>
      <w:bookmarkStart w:id="43" w:name="_Toc15377210"/>
      <w:r>
        <w:rPr>
          <w:rFonts w:hint="eastAsia" w:ascii="仿宋" w:hAnsi="仿宋" w:eastAsia="仿宋"/>
          <w:b/>
          <w:color w:val="auto"/>
          <w:sz w:val="32"/>
          <w:szCs w:val="32"/>
          <w:highlight w:val="none"/>
        </w:rPr>
        <w:t>（一）一般公共预算财政拨款支出决算总体情况</w:t>
      </w:r>
      <w:bookmarkEnd w:id="43"/>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一般公共预算财政拨款支出4400.3万元，占本年支出合计的80.47%。与2021年相比，一般公共预算财政拨款支出减少1305.79万元，下降22.88%。主要变动原因：一是纪委监委业务用房及办公场所维修改造项目资金较2021年减少542.96万元；二是2022年市党风廉政教育中心减少纪律审查业务用房改扩建项目资金883.63万元。</w:t>
      </w:r>
    </w:p>
    <w:p>
      <w:pPr>
        <w:pStyle w:val="6"/>
        <w:rPr>
          <w:rFonts w:hint="eastAsia" w:ascii="仿宋" w:hAnsi="仿宋" w:eastAsia="仿宋"/>
          <w:color w:val="auto"/>
          <w:sz w:val="32"/>
          <w:szCs w:val="32"/>
          <w:highlight w:val="none"/>
          <w:lang w:val="en-US" w:eastAsia="zh-CN"/>
        </w:rPr>
      </w:pPr>
      <w:r>
        <w:rPr>
          <w:rFonts w:hint="eastAsia" w:eastAsia="仿宋_GB2312"/>
          <w:lang w:eastAsia="zh-CN"/>
        </w:rPr>
        <w:drawing>
          <wp:anchor distT="0" distB="0" distL="114300" distR="114300" simplePos="0" relativeHeight="251661312" behindDoc="0" locked="0" layoutInCell="1" allowOverlap="1">
            <wp:simplePos x="0" y="0"/>
            <wp:positionH relativeFrom="column">
              <wp:posOffset>309245</wp:posOffset>
            </wp:positionH>
            <wp:positionV relativeFrom="paragraph">
              <wp:posOffset>52070</wp:posOffset>
            </wp:positionV>
            <wp:extent cx="4860290" cy="2371090"/>
            <wp:effectExtent l="4445" t="4445" r="12065" b="571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6"/>
        <w:rPr>
          <w:rFonts w:hint="eastAsia" w:ascii="仿宋" w:hAnsi="仿宋" w:eastAsia="仿宋"/>
          <w:color w:val="auto"/>
          <w:sz w:val="32"/>
          <w:szCs w:val="32"/>
          <w:highlight w:val="none"/>
          <w:lang w:val="en-US" w:eastAsia="zh-CN"/>
        </w:rPr>
      </w:pPr>
    </w:p>
    <w:p>
      <w:pPr>
        <w:pStyle w:val="6"/>
        <w:rPr>
          <w:rFonts w:hint="eastAsia" w:ascii="仿宋" w:hAnsi="仿宋" w:eastAsia="仿宋"/>
          <w:color w:val="auto"/>
          <w:sz w:val="32"/>
          <w:szCs w:val="32"/>
          <w:highlight w:val="none"/>
          <w:lang w:val="en-US" w:eastAsia="zh-CN"/>
        </w:rPr>
      </w:pPr>
    </w:p>
    <w:p>
      <w:pPr>
        <w:pStyle w:val="6"/>
        <w:rPr>
          <w:rFonts w:hint="eastAsia" w:ascii="仿宋" w:hAnsi="仿宋" w:eastAsia="仿宋"/>
          <w:color w:val="auto"/>
          <w:sz w:val="32"/>
          <w:szCs w:val="32"/>
          <w:highlight w:val="none"/>
          <w:lang w:val="en-US"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（图5：一般公共预算财政拨款支出决算变动情况）（柱状图）</w:t>
      </w:r>
    </w:p>
    <w:p>
      <w:pPr>
        <w:spacing w:line="600" w:lineRule="exact"/>
        <w:ind w:firstLine="642" w:firstLineChars="200"/>
        <w:outlineLvl w:val="2"/>
        <w:rPr>
          <w:rFonts w:ascii="仿宋" w:hAnsi="仿宋" w:eastAsia="仿宋"/>
          <w:b/>
          <w:color w:val="auto"/>
          <w:sz w:val="32"/>
          <w:szCs w:val="32"/>
          <w:highlight w:val="none"/>
        </w:rPr>
      </w:pPr>
      <w:bookmarkStart w:id="44" w:name="_Toc15377211"/>
      <w:r>
        <w:rPr>
          <w:rFonts w:hint="eastAsia" w:ascii="仿宋" w:hAnsi="仿宋" w:eastAsia="仿宋"/>
          <w:b/>
          <w:color w:val="auto"/>
          <w:sz w:val="32"/>
          <w:szCs w:val="32"/>
          <w:highlight w:val="none"/>
        </w:rPr>
        <w:t>（二）一般公共预算财政拨款支出决算结构情况</w:t>
      </w:r>
      <w:bookmarkEnd w:id="44"/>
    </w:p>
    <w:p>
      <w:pPr>
        <w:spacing w:line="600" w:lineRule="exact"/>
        <w:ind w:firstLine="64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2022年一般公共预算财政拨款支出4400.3万元，主要用于以下方面</w:t>
      </w:r>
      <w:r>
        <w:rPr>
          <w:rFonts w:hint="eastAsia" w:ascii="仿宋_GB2312" w:eastAsia="仿宋_GB2312" w:cs="Times New Roman"/>
          <w:color w:val="000000"/>
          <w:kern w:val="2"/>
          <w:sz w:val="32"/>
          <w:szCs w:val="32"/>
          <w:lang w:val="en-US" w:eastAsia="zh-CN" w:bidi="ar-SA"/>
        </w:rPr>
        <w:t>：</w:t>
      </w:r>
      <w:r>
        <w:rPr>
          <w:rFonts w:hint="eastAsia" w:ascii="仿宋_GB2312" w:hAnsi="Times New Roman" w:eastAsia="仿宋_GB2312" w:cs="Times New Roman"/>
          <w:b/>
          <w:bCs/>
          <w:color w:val="000000"/>
          <w:kern w:val="2"/>
          <w:sz w:val="32"/>
          <w:szCs w:val="32"/>
          <w:lang w:val="en-US" w:eastAsia="zh-CN" w:bidi="ar-SA"/>
        </w:rPr>
        <w:t>一般公共服务支出</w:t>
      </w:r>
      <w:r>
        <w:rPr>
          <w:rFonts w:hint="eastAsia" w:ascii="仿宋_GB2312" w:hAnsi="Times New Roman" w:eastAsia="仿宋_GB2312" w:cs="Times New Roman"/>
          <w:color w:val="000000"/>
          <w:kern w:val="2"/>
          <w:sz w:val="32"/>
          <w:szCs w:val="32"/>
          <w:lang w:val="en-US" w:eastAsia="zh-CN" w:bidi="ar-SA"/>
        </w:rPr>
        <w:t>3954.97万元，占89.88%；</w:t>
      </w:r>
      <w:r>
        <w:rPr>
          <w:rFonts w:hint="eastAsia" w:ascii="仿宋_GB2312" w:hAnsi="Times New Roman" w:eastAsia="仿宋_GB2312" w:cs="Times New Roman"/>
          <w:b/>
          <w:bCs/>
          <w:color w:val="000000"/>
          <w:kern w:val="2"/>
          <w:sz w:val="32"/>
          <w:szCs w:val="32"/>
          <w:lang w:val="en-US" w:eastAsia="zh-CN" w:bidi="ar-SA"/>
        </w:rPr>
        <w:t>社会保障和就业支出</w:t>
      </w:r>
      <w:r>
        <w:rPr>
          <w:rFonts w:hint="eastAsia" w:ascii="仿宋_GB2312" w:hAnsi="Times New Roman" w:eastAsia="仿宋_GB2312" w:cs="Times New Roman"/>
          <w:color w:val="000000"/>
          <w:kern w:val="2"/>
          <w:sz w:val="32"/>
          <w:szCs w:val="32"/>
          <w:lang w:val="en-US" w:eastAsia="zh-CN" w:bidi="ar-SA"/>
        </w:rPr>
        <w:t>176.75万元，占4.02%；</w:t>
      </w:r>
      <w:r>
        <w:rPr>
          <w:rFonts w:hint="eastAsia" w:ascii="仿宋_GB2312" w:hAnsi="Times New Roman" w:eastAsia="仿宋_GB2312" w:cs="Times New Roman"/>
          <w:b/>
          <w:bCs/>
          <w:color w:val="000000"/>
          <w:kern w:val="2"/>
          <w:sz w:val="32"/>
          <w:szCs w:val="32"/>
          <w:lang w:val="en-US" w:eastAsia="zh-CN" w:bidi="ar-SA"/>
        </w:rPr>
        <w:t>卫生健康支出</w:t>
      </w:r>
      <w:r>
        <w:rPr>
          <w:rFonts w:hint="eastAsia" w:ascii="仿宋_GB2312" w:hAnsi="Times New Roman" w:eastAsia="仿宋_GB2312" w:cs="Times New Roman"/>
          <w:color w:val="000000"/>
          <w:kern w:val="2"/>
          <w:sz w:val="32"/>
          <w:szCs w:val="32"/>
          <w:lang w:val="en-US" w:eastAsia="zh-CN" w:bidi="ar-SA"/>
        </w:rPr>
        <w:t>82.21万元，占1.87%；</w:t>
      </w:r>
      <w:r>
        <w:rPr>
          <w:rFonts w:hint="eastAsia" w:ascii="仿宋_GB2312" w:hAnsi="Times New Roman" w:eastAsia="仿宋_GB2312" w:cs="Times New Roman"/>
          <w:b/>
          <w:bCs/>
          <w:color w:val="000000"/>
          <w:kern w:val="2"/>
          <w:sz w:val="32"/>
          <w:szCs w:val="32"/>
          <w:lang w:val="en-US" w:eastAsia="zh-CN" w:bidi="ar-SA"/>
        </w:rPr>
        <w:t>住房保障支出</w:t>
      </w:r>
      <w:r>
        <w:rPr>
          <w:rFonts w:hint="eastAsia" w:ascii="仿宋_GB2312" w:hAnsi="Times New Roman" w:eastAsia="仿宋_GB2312" w:cs="Times New Roman"/>
          <w:color w:val="000000"/>
          <w:kern w:val="2"/>
          <w:sz w:val="32"/>
          <w:szCs w:val="32"/>
          <w:lang w:val="en-US" w:eastAsia="zh-CN" w:bidi="ar-SA"/>
        </w:rPr>
        <w:t>186.37万元，占4.23%。</w:t>
      </w:r>
    </w:p>
    <w:p>
      <w:pPr>
        <w:spacing w:line="600" w:lineRule="exact"/>
        <w:ind w:firstLine="640"/>
        <w:rPr>
          <w:rFonts w:ascii="仿宋" w:hAnsi="仿宋" w:eastAsia="仿宋"/>
          <w:color w:val="auto"/>
          <w:sz w:val="32"/>
          <w:szCs w:val="32"/>
          <w:highlight w:val="none"/>
        </w:rPr>
      </w:pPr>
      <w:r>
        <w:rPr>
          <w:rFonts w:hint="eastAsia"/>
        </w:rPr>
        <w:pict>
          <v:shape id="_x0000_s1026" o:spid="_x0000_s1026" o:spt="75" alt="olechartimg_1695639184369435_541671424" type="#_x0000_t75" style="position:absolute;left:0pt;margin-left:40.25pt;margin-top:12.9pt;height:197.05pt;width:369.75pt;z-index:251662336;mso-width-relative:page;mso-height-relative:page;" o:ole="t" filled="f" o:preferrelative="t" stroked="f" coordsize="21600,21600">
            <v:path/>
            <v:fill on="f" focussize="0,0"/>
            <v:stroke on="f"/>
            <v:imagedata r:id="rId13" o:title="olechartimg_1695887442948408_147021824"/>
            <o:lock v:ext="edit" aspectratio="t"/>
          </v:shape>
          <o:OLEObject Type="Embed" ProgID="Excel.Chart.8" ShapeID="_x0000_s1026" DrawAspect="Content" ObjectID="_1468075725" r:id="rId12">
            <o:LockedField>false</o:LockedField>
          </o:OLEObject>
        </w:pict>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_GB2312" w:hAnsi="Times New Roman" w:eastAsia="仿宋_GB2312" w:cs="Times New Roman"/>
          <w:color w:val="000000"/>
          <w:kern w:val="2"/>
          <w:sz w:val="32"/>
          <w:szCs w:val="32"/>
          <w:lang w:val="en-US" w:eastAsia="zh-CN" w:bidi="ar-SA"/>
        </w:rPr>
        <w:t>（图6：一般公共预算财政拨款支出决算结构）（饼状图）</w:t>
      </w:r>
    </w:p>
    <w:p>
      <w:pPr>
        <w:spacing w:line="600" w:lineRule="exact"/>
        <w:ind w:firstLine="642" w:firstLineChars="200"/>
        <w:outlineLvl w:val="2"/>
        <w:rPr>
          <w:rFonts w:ascii="仿宋" w:hAnsi="仿宋" w:eastAsia="仿宋"/>
          <w:b/>
          <w:color w:val="auto"/>
          <w:sz w:val="32"/>
          <w:szCs w:val="32"/>
          <w:highlight w:val="none"/>
        </w:rPr>
      </w:pPr>
      <w:bookmarkStart w:id="45" w:name="_Toc15377212"/>
      <w:r>
        <w:rPr>
          <w:rFonts w:hint="eastAsia" w:ascii="仿宋" w:hAnsi="仿宋" w:eastAsia="仿宋"/>
          <w:b/>
          <w:color w:val="auto"/>
          <w:sz w:val="32"/>
          <w:szCs w:val="32"/>
          <w:highlight w:val="none"/>
        </w:rPr>
        <w:t>（三）一般公共预算财政拨款支出决算具体情况</w:t>
      </w:r>
      <w:bookmarkEnd w:id="45"/>
    </w:p>
    <w:p>
      <w:pPr>
        <w:spacing w:line="600" w:lineRule="exact"/>
        <w:ind w:firstLine="642" w:firstLineChars="200"/>
        <w:outlineLvl w:val="1"/>
        <w:rPr>
          <w:rFonts w:ascii="仿宋" w:hAnsi="仿宋" w:eastAsia="仿宋"/>
          <w:color w:val="auto"/>
          <w:sz w:val="32"/>
          <w:szCs w:val="32"/>
          <w:highlight w:val="none"/>
        </w:rPr>
      </w:pPr>
      <w:bookmarkStart w:id="46" w:name="_Toc15377213"/>
      <w:bookmarkStart w:id="47" w:name="_Toc15377444"/>
      <w:bookmarkStart w:id="48" w:name="_Toc16130"/>
      <w:bookmarkStart w:id="49"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4400.3万元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95.33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6"/>
      <w:bookmarkEnd w:id="47"/>
      <w:bookmarkEnd w:id="48"/>
      <w:bookmarkEnd w:id="49"/>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w:t>
      </w:r>
      <w:r>
        <w:rPr>
          <w:rFonts w:hint="eastAsia" w:ascii="仿宋_GB2312" w:hAnsi="Times New Roman" w:eastAsia="仿宋_GB2312" w:cs="Times New Roman"/>
          <w:b/>
          <w:bCs/>
          <w:color w:val="000000"/>
          <w:kern w:val="2"/>
          <w:sz w:val="32"/>
          <w:szCs w:val="32"/>
          <w:lang w:val="en-US" w:eastAsia="zh-CN" w:bidi="ar-SA"/>
        </w:rPr>
        <w:t>一般公共服务（类）纪检监察事务（款）</w:t>
      </w:r>
      <w:r>
        <w:rPr>
          <w:rFonts w:hint="eastAsia" w:ascii="仿宋_GB2312" w:hAnsi="Times New Roman" w:eastAsia="仿宋_GB2312" w:cs="Times New Roman"/>
          <w:color w:val="000000"/>
          <w:kern w:val="2"/>
          <w:sz w:val="32"/>
          <w:szCs w:val="32"/>
          <w:lang w:val="en-US" w:eastAsia="zh-CN" w:bidi="ar-SA"/>
        </w:rPr>
        <w:t>：</w:t>
      </w:r>
      <w:r>
        <w:rPr>
          <w:rFonts w:hint="eastAsia" w:ascii="仿宋_GB2312" w:hAnsi="Times New Roman" w:eastAsia="仿宋_GB2312" w:cs="Times New Roman"/>
          <w:b/>
          <w:bCs/>
          <w:color w:val="000000"/>
          <w:kern w:val="2"/>
          <w:sz w:val="32"/>
          <w:szCs w:val="32"/>
          <w:lang w:val="en-US" w:eastAsia="zh-CN" w:bidi="ar-SA"/>
        </w:rPr>
        <w:t>行政运行（项）</w:t>
      </w:r>
      <w:r>
        <w:rPr>
          <w:rFonts w:hint="eastAsia" w:ascii="仿宋_GB2312" w:hAnsi="Times New Roman" w:eastAsia="仿宋_GB2312" w:cs="Times New Roman"/>
          <w:color w:val="000000"/>
          <w:kern w:val="2"/>
          <w:sz w:val="32"/>
          <w:szCs w:val="32"/>
          <w:lang w:val="en-US" w:eastAsia="zh-CN" w:bidi="ar-SA"/>
        </w:rPr>
        <w:t xml:space="preserve"> 支出决算为1964.18万元，完成预算100%，与预算数持平。</w:t>
      </w:r>
      <w:r>
        <w:rPr>
          <w:rFonts w:hint="eastAsia" w:ascii="仿宋_GB2312" w:hAnsi="Times New Roman" w:eastAsia="仿宋_GB2312" w:cs="Times New Roman"/>
          <w:b/>
          <w:bCs/>
          <w:color w:val="000000"/>
          <w:kern w:val="2"/>
          <w:sz w:val="32"/>
          <w:szCs w:val="32"/>
          <w:lang w:val="en-US" w:eastAsia="zh-CN" w:bidi="ar-SA"/>
        </w:rPr>
        <w:t>一般行政管理事务（项）</w:t>
      </w:r>
      <w:r>
        <w:rPr>
          <w:rFonts w:hint="eastAsia" w:ascii="仿宋_GB2312" w:hAnsi="Times New Roman" w:eastAsia="仿宋_GB2312" w:cs="Times New Roman"/>
          <w:color w:val="000000"/>
          <w:kern w:val="2"/>
          <w:sz w:val="32"/>
          <w:szCs w:val="32"/>
          <w:lang w:val="en-US" w:eastAsia="zh-CN" w:bidi="ar-SA"/>
        </w:rPr>
        <w:t>支出决算为391.71万元，完成预算100%，与预算数持平。</w:t>
      </w:r>
      <w:r>
        <w:rPr>
          <w:rFonts w:hint="eastAsia" w:ascii="仿宋_GB2312" w:hAnsi="Times New Roman" w:eastAsia="仿宋_GB2312" w:cs="Times New Roman"/>
          <w:b/>
          <w:bCs/>
          <w:color w:val="000000"/>
          <w:kern w:val="2"/>
          <w:sz w:val="32"/>
          <w:szCs w:val="32"/>
          <w:lang w:val="en-US" w:eastAsia="zh-CN" w:bidi="ar-SA"/>
        </w:rPr>
        <w:t>大案要案查处（项）</w:t>
      </w:r>
      <w:r>
        <w:rPr>
          <w:rFonts w:hint="eastAsia" w:ascii="仿宋_GB2312" w:hAnsi="Times New Roman" w:eastAsia="仿宋_GB2312" w:cs="Times New Roman"/>
          <w:color w:val="000000"/>
          <w:kern w:val="2"/>
          <w:sz w:val="32"/>
          <w:szCs w:val="32"/>
          <w:lang w:val="en-US" w:eastAsia="zh-CN" w:bidi="ar-SA"/>
        </w:rPr>
        <w:t>支出决算为1084.28万元，完成预算100%，与预算数持平。</w:t>
      </w:r>
      <w:r>
        <w:rPr>
          <w:rFonts w:hint="eastAsia" w:ascii="仿宋_GB2312" w:hAnsi="Times New Roman" w:eastAsia="仿宋_GB2312" w:cs="Times New Roman"/>
          <w:b/>
          <w:bCs/>
          <w:color w:val="000000"/>
          <w:kern w:val="2"/>
          <w:sz w:val="32"/>
          <w:szCs w:val="32"/>
          <w:lang w:val="en-US" w:eastAsia="zh-CN" w:bidi="ar-SA"/>
        </w:rPr>
        <w:t>巡视工作（项）</w:t>
      </w:r>
      <w:r>
        <w:rPr>
          <w:rFonts w:hint="eastAsia" w:ascii="仿宋_GB2312" w:hAnsi="Times New Roman" w:eastAsia="仿宋_GB2312" w:cs="Times New Roman"/>
          <w:color w:val="000000"/>
          <w:kern w:val="2"/>
          <w:sz w:val="32"/>
          <w:szCs w:val="32"/>
          <w:lang w:val="en-US" w:eastAsia="zh-CN" w:bidi="ar-SA"/>
        </w:rPr>
        <w:t>支出决算为154.07万元，完成预算100%，与预算数持平。</w:t>
      </w:r>
      <w:r>
        <w:rPr>
          <w:rFonts w:hint="eastAsia" w:ascii="仿宋_GB2312" w:hAnsi="Times New Roman" w:eastAsia="仿宋_GB2312" w:cs="Times New Roman"/>
          <w:b/>
          <w:bCs/>
          <w:color w:val="000000"/>
          <w:kern w:val="2"/>
          <w:sz w:val="32"/>
          <w:szCs w:val="32"/>
          <w:lang w:val="en-US" w:eastAsia="zh-CN" w:bidi="ar-SA"/>
        </w:rPr>
        <w:t>事业运行（项）</w:t>
      </w:r>
      <w:r>
        <w:rPr>
          <w:rFonts w:hint="eastAsia" w:ascii="仿宋_GB2312" w:hAnsi="Times New Roman" w:eastAsia="仿宋_GB2312" w:cs="Times New Roman"/>
          <w:color w:val="000000"/>
          <w:kern w:val="2"/>
          <w:sz w:val="32"/>
          <w:szCs w:val="32"/>
          <w:lang w:val="en-US" w:eastAsia="zh-CN" w:bidi="ar-SA"/>
        </w:rPr>
        <w:t>支出决算为165.25万元，完成预算100%，与预算数持平。</w:t>
      </w:r>
      <w:r>
        <w:rPr>
          <w:rFonts w:hint="eastAsia" w:ascii="仿宋_GB2312" w:hAnsi="Times New Roman" w:eastAsia="仿宋_GB2312" w:cs="Times New Roman"/>
          <w:b/>
          <w:bCs/>
          <w:color w:val="000000"/>
          <w:kern w:val="2"/>
          <w:sz w:val="32"/>
          <w:szCs w:val="32"/>
          <w:lang w:val="en-US" w:eastAsia="zh-CN" w:bidi="ar-SA"/>
        </w:rPr>
        <w:t>其他纪检监察事务支出（项）</w:t>
      </w:r>
      <w:r>
        <w:rPr>
          <w:rFonts w:hint="eastAsia" w:ascii="仿宋_GB2312" w:hAnsi="Times New Roman" w:eastAsia="仿宋_GB2312" w:cs="Times New Roman"/>
          <w:color w:val="000000"/>
          <w:kern w:val="2"/>
          <w:sz w:val="32"/>
          <w:szCs w:val="32"/>
          <w:lang w:val="en-US" w:eastAsia="zh-CN" w:bidi="ar-SA"/>
        </w:rPr>
        <w:t>支出决算为195.48万元，完成预算47.56%，决算数小于预算数的主要原因是纪委监委业务用房及办公场所维修改造项目已完工未结算，当年未完成项目经费支出。</w:t>
      </w:r>
    </w:p>
    <w:p>
      <w:pPr>
        <w:spacing w:line="600" w:lineRule="exact"/>
        <w:ind w:firstLine="642" w:firstLineChars="200"/>
        <w:rPr>
          <w:rFonts w:hint="eastAsia" w:ascii="仿宋_GB2312" w:hAnsi="Times New Roman" w:eastAsia="仿宋_GB2312" w:cs="Times New Roman"/>
          <w:color w:val="000000"/>
          <w:kern w:val="2"/>
          <w:sz w:val="32"/>
          <w:szCs w:val="32"/>
          <w:lang w:val="en-US" w:eastAsia="zh-CN" w:bidi="ar-SA"/>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社会保障和就业（类）人力资源和社会保障管理事务（款）其他人力资源和社会保障管理事务支出（项）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Fonts w:hint="eastAsia" w:ascii="仿宋_GB2312" w:hAnsi="Times New Roman" w:eastAsia="仿宋_GB2312" w:cs="Times New Roman"/>
          <w:color w:val="000000"/>
          <w:kern w:val="2"/>
          <w:sz w:val="32"/>
          <w:szCs w:val="32"/>
          <w:lang w:val="en-US" w:eastAsia="zh-CN" w:bidi="ar-SA"/>
        </w:rPr>
        <w:t>支出决算为4万元，完成预算100%，与预算数持平。</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cstheme="minorBidi"/>
          <w:bCs/>
          <w:color w:val="auto"/>
          <w:sz w:val="32"/>
          <w:szCs w:val="32"/>
          <w:highlight w:val="none"/>
        </w:rPr>
        <w:t>类）行政事业单位养老支出（款） 机关事业单位基本养老保险缴费支出（项）</w:t>
      </w:r>
      <w:r>
        <w:rPr>
          <w:rStyle w:val="18"/>
          <w:rFonts w:hint="eastAsia" w:ascii="仿宋" w:hAnsi="仿宋" w:eastAsia="仿宋" w:cstheme="minorBidi"/>
          <w:bCs/>
          <w:color w:val="auto"/>
          <w:sz w:val="32"/>
          <w:szCs w:val="32"/>
          <w:highlight w:val="none"/>
          <w:lang w:eastAsia="zh-CN"/>
        </w:rPr>
        <w:t>：</w:t>
      </w:r>
      <w:r>
        <w:rPr>
          <w:rFonts w:hint="eastAsia" w:ascii="仿宋_GB2312" w:hAnsi="Times New Roman" w:eastAsia="仿宋_GB2312" w:cs="Times New Roman"/>
          <w:color w:val="000000"/>
          <w:kern w:val="2"/>
          <w:sz w:val="32"/>
          <w:szCs w:val="32"/>
          <w:lang w:val="en-US" w:eastAsia="zh-CN" w:bidi="ar-SA"/>
        </w:rPr>
        <w:t>支出决算为145.13万元，完成预算100%，与预算数持平。</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cstheme="minorBidi"/>
          <w:bCs/>
          <w:color w:val="auto"/>
          <w:sz w:val="32"/>
          <w:szCs w:val="32"/>
          <w:highlight w:val="none"/>
        </w:rPr>
        <w:t>类）行政事业单位养老支出（款）机关事业单位职业年金缴费支出</w:t>
      </w:r>
      <w:r>
        <w:rPr>
          <w:rStyle w:val="18"/>
          <w:rFonts w:hint="eastAsia" w:ascii="仿宋" w:hAnsi="仿宋" w:eastAsia="仿宋" w:cstheme="minorBidi"/>
          <w:bCs/>
          <w:color w:val="auto"/>
          <w:sz w:val="32"/>
          <w:szCs w:val="32"/>
          <w:highlight w:val="none"/>
          <w:lang w:eastAsia="zh-CN"/>
        </w:rPr>
        <w:t>（项）：</w:t>
      </w:r>
      <w:r>
        <w:rPr>
          <w:rFonts w:hint="eastAsia" w:ascii="仿宋_GB2312" w:hAnsi="Times New Roman" w:eastAsia="仿宋_GB2312" w:cs="Times New Roman"/>
          <w:color w:val="000000"/>
          <w:kern w:val="2"/>
          <w:sz w:val="32"/>
          <w:szCs w:val="32"/>
          <w:lang w:val="en-US" w:eastAsia="zh-CN" w:bidi="ar-SA"/>
        </w:rPr>
        <w:t>支出决算为19.92万元，完成预算100%，与预算数持平。</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cstheme="minorBidi"/>
          <w:bCs/>
          <w:color w:val="auto"/>
          <w:sz w:val="32"/>
          <w:szCs w:val="32"/>
          <w:highlight w:val="none"/>
        </w:rPr>
        <w:t>类）其他社会保障和就业支出（款）其他社会保障和就业支出</w:t>
      </w:r>
      <w:r>
        <w:rPr>
          <w:rStyle w:val="18"/>
          <w:rFonts w:hint="eastAsia" w:ascii="仿宋" w:hAnsi="仿宋" w:eastAsia="仿宋" w:cstheme="minorBidi"/>
          <w:bCs/>
          <w:color w:val="auto"/>
          <w:sz w:val="32"/>
          <w:szCs w:val="32"/>
          <w:highlight w:val="none"/>
          <w:lang w:eastAsia="zh-CN"/>
        </w:rPr>
        <w:t>（项）：</w:t>
      </w:r>
      <w:r>
        <w:rPr>
          <w:rFonts w:hint="eastAsia" w:ascii="仿宋_GB2312" w:hAnsi="Times New Roman" w:eastAsia="仿宋_GB2312" w:cs="Times New Roman"/>
          <w:color w:val="000000"/>
          <w:kern w:val="2"/>
          <w:sz w:val="32"/>
          <w:szCs w:val="32"/>
          <w:lang w:val="en-US" w:eastAsia="zh-CN" w:bidi="ar-SA"/>
        </w:rPr>
        <w:t>支出决算为7.7万元，完成预算100%，与预算数持平。</w:t>
      </w:r>
    </w:p>
    <w:p>
      <w:pPr>
        <w:spacing w:line="600" w:lineRule="exact"/>
        <w:ind w:firstLine="642" w:firstLineChars="200"/>
        <w:rPr>
          <w:rFonts w:hint="eastAsia" w:ascii="仿宋_GB2312" w:hAnsi="Times New Roman" w:eastAsia="仿宋_GB2312" w:cs="Times New Roman"/>
          <w:color w:val="000000"/>
          <w:kern w:val="2"/>
          <w:sz w:val="32"/>
          <w:szCs w:val="32"/>
          <w:lang w:val="en-US" w:eastAsia="zh-CN" w:bidi="ar-SA"/>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行政单位医疗（项）</w:t>
      </w:r>
      <w:r>
        <w:rPr>
          <w:rFonts w:hint="eastAsia" w:ascii="仿宋_GB2312" w:hAnsi="Times New Roman" w:eastAsia="仿宋_GB2312" w:cs="Times New Roman"/>
          <w:color w:val="000000"/>
          <w:kern w:val="2"/>
          <w:sz w:val="32"/>
          <w:szCs w:val="32"/>
          <w:lang w:val="en-US" w:eastAsia="zh-CN" w:bidi="ar-SA"/>
        </w:rPr>
        <w:t>支出决算为77.65万元，完成预算100%，与预算数持平。</w:t>
      </w:r>
      <w:r>
        <w:rPr>
          <w:rStyle w:val="18"/>
          <w:rFonts w:hint="eastAsia" w:ascii="仿宋" w:hAnsi="仿宋" w:eastAsia="仿宋"/>
          <w:bCs/>
          <w:color w:val="auto"/>
          <w:sz w:val="32"/>
          <w:szCs w:val="32"/>
          <w:highlight w:val="none"/>
          <w:lang w:eastAsia="zh-CN"/>
        </w:rPr>
        <w:t>事业</w:t>
      </w:r>
      <w:r>
        <w:rPr>
          <w:rStyle w:val="18"/>
          <w:rFonts w:hint="eastAsia" w:ascii="仿宋" w:hAnsi="仿宋" w:eastAsia="仿宋"/>
          <w:bCs/>
          <w:color w:val="auto"/>
          <w:sz w:val="32"/>
          <w:szCs w:val="32"/>
          <w:highlight w:val="none"/>
        </w:rPr>
        <w:t>单位医疗（项）</w:t>
      </w:r>
      <w:r>
        <w:rPr>
          <w:rStyle w:val="18"/>
          <w:rFonts w:hint="eastAsia" w:ascii="仿宋" w:hAnsi="仿宋" w:eastAsia="仿宋"/>
          <w:bCs/>
          <w:color w:val="auto"/>
          <w:sz w:val="32"/>
          <w:szCs w:val="32"/>
          <w:highlight w:val="none"/>
          <w:lang w:eastAsia="zh-CN"/>
        </w:rPr>
        <w:t>：</w:t>
      </w:r>
      <w:r>
        <w:rPr>
          <w:rFonts w:hint="eastAsia" w:ascii="仿宋_GB2312" w:hAnsi="Times New Roman" w:eastAsia="仿宋_GB2312" w:cs="Times New Roman"/>
          <w:color w:val="000000"/>
          <w:kern w:val="2"/>
          <w:sz w:val="32"/>
          <w:szCs w:val="32"/>
          <w:lang w:val="en-US" w:eastAsia="zh-CN" w:bidi="ar-SA"/>
        </w:rPr>
        <w:t>支出决算为4.56万元，完成预算100%，与预算数持平。</w:t>
      </w:r>
    </w:p>
    <w:p>
      <w:pPr>
        <w:spacing w:line="600" w:lineRule="exact"/>
        <w:ind w:firstLine="642" w:firstLineChars="200"/>
        <w:rPr>
          <w:rFonts w:hint="eastAsia" w:ascii="仿宋_GB2312" w:hAnsi="仿宋_GB2312" w:eastAsia="仿宋_GB2312" w:cs="仿宋_GB2312"/>
          <w:bCs/>
          <w:color w:val="000000"/>
          <w:kern w:val="0"/>
          <w:sz w:val="32"/>
          <w:szCs w:val="32"/>
          <w:lang w:val="en-US" w:eastAsia="zh-CN" w:bidi="ar-SA"/>
        </w:rPr>
      </w:pPr>
      <w:bookmarkStart w:id="50" w:name="_Toc15396608"/>
      <w:bookmarkStart w:id="51" w:name="_Toc15377214"/>
      <w:r>
        <w:rPr>
          <w:rFonts w:hint="eastAsia" w:ascii="仿宋" w:hAnsi="仿宋" w:eastAsia="仿宋"/>
          <w:b/>
          <w:color w:val="000000"/>
          <w:sz w:val="32"/>
          <w:szCs w:val="32"/>
        </w:rPr>
        <w:t>4.住房保障支出（类）住房改革支出（款）：住房公积金（项）</w:t>
      </w:r>
      <w:r>
        <w:rPr>
          <w:rFonts w:hint="eastAsia" w:ascii="仿宋_GB2312" w:hAnsi="Times New Roman" w:eastAsia="仿宋_GB2312" w:cs="Times New Roman"/>
          <w:color w:val="000000"/>
          <w:kern w:val="2"/>
          <w:sz w:val="32"/>
          <w:szCs w:val="32"/>
          <w:lang w:val="en-US" w:eastAsia="zh-CN" w:bidi="ar-SA"/>
        </w:rPr>
        <w:t>支出决算186.37万元，完成预算100%，与预算数持平。</w:t>
      </w:r>
    </w:p>
    <w:p>
      <w:pPr>
        <w:tabs>
          <w:tab w:val="right" w:pos="8306"/>
        </w:tabs>
        <w:spacing w:line="600" w:lineRule="exact"/>
        <w:ind w:firstLine="640"/>
        <w:outlineLvl w:val="1"/>
        <w:rPr>
          <w:rStyle w:val="21"/>
          <w:color w:val="auto"/>
          <w:highlight w:val="none"/>
        </w:rPr>
      </w:pPr>
      <w:bookmarkStart w:id="52" w:name="_Toc703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50"/>
      <w:bookmarkEnd w:id="51"/>
      <w:bookmarkEnd w:id="52"/>
      <w:r>
        <w:rPr>
          <w:rStyle w:val="21"/>
          <w:rFonts w:ascii="黑体" w:hAnsi="黑体" w:eastAsia="黑体"/>
          <w:b w:val="0"/>
          <w:color w:val="auto"/>
          <w:highlight w:val="none"/>
        </w:rPr>
        <w:tab/>
      </w:r>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2022年一般公共预算财政拨款基本支出2574.76万元，其中：</w:t>
      </w:r>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人员经费2245.06万元，主要包括：基本工资、津贴补贴、奖金、绩效工资、机关事业单位基本养老保险缴费、职业年金缴费、职工基本医疗保险缴费、其他社会保障缴费、住房公积金、其他工资福利支出、生活补助、其他对个人和家庭的补助支出等。</w:t>
      </w:r>
      <w:r>
        <w:rPr>
          <w:rFonts w:hint="eastAsia" w:ascii="仿宋_GB2312" w:hAnsi="Times New Roman" w:eastAsia="仿宋_GB2312" w:cs="Times New Roman"/>
          <w:color w:val="000000"/>
          <w:kern w:val="2"/>
          <w:sz w:val="32"/>
          <w:szCs w:val="32"/>
          <w:lang w:val="en-US" w:eastAsia="zh-CN" w:bidi="ar-SA"/>
        </w:rPr>
        <w:br w:type="textWrapping"/>
      </w:r>
      <w:r>
        <w:rPr>
          <w:rFonts w:hint="eastAsia" w:ascii="仿宋_GB2312" w:hAnsi="Times New Roman" w:eastAsia="仿宋_GB2312" w:cs="Times New Roman"/>
          <w:color w:val="000000"/>
          <w:kern w:val="2"/>
          <w:sz w:val="32"/>
          <w:szCs w:val="32"/>
          <w:lang w:val="en-US" w:eastAsia="zh-CN" w:bidi="ar-SA"/>
        </w:rPr>
        <w:t>　　公用经费329.7万元，主要包括：办公费、印刷费、水费、电费、邮电费、物业管理费、差旅费、维修（护）费、租赁费、会议费、培训费、公务接待费、劳务费、工会经费、福利费、公务用车运行维护费、其他交通费</w:t>
      </w:r>
      <w:r>
        <w:rPr>
          <w:rFonts w:hint="eastAsia" w:ascii="仿宋_GB2312" w:eastAsia="仿宋_GB2312" w:cs="Times New Roman"/>
          <w:color w:val="000000"/>
          <w:kern w:val="2"/>
          <w:sz w:val="32"/>
          <w:szCs w:val="32"/>
          <w:lang w:val="en-US" w:eastAsia="zh-CN" w:bidi="ar-SA"/>
        </w:rPr>
        <w:t>用</w:t>
      </w:r>
      <w:r>
        <w:rPr>
          <w:rFonts w:hint="eastAsia" w:ascii="仿宋_GB2312" w:hAnsi="Times New Roman" w:eastAsia="仿宋_GB2312" w:cs="Times New Roman"/>
          <w:color w:val="000000"/>
          <w:kern w:val="2"/>
          <w:sz w:val="32"/>
          <w:szCs w:val="32"/>
          <w:lang w:val="en-US" w:eastAsia="zh-CN" w:bidi="ar-SA"/>
        </w:rPr>
        <w:t>、其他商品和服务支出。</w:t>
      </w:r>
    </w:p>
    <w:p>
      <w:pPr>
        <w:spacing w:line="600" w:lineRule="exact"/>
        <w:ind w:firstLine="640"/>
        <w:outlineLvl w:val="1"/>
        <w:rPr>
          <w:rStyle w:val="21"/>
          <w:rFonts w:ascii="黑体" w:hAnsi="黑体" w:eastAsia="黑体"/>
          <w:b w:val="0"/>
          <w:color w:val="auto"/>
          <w:highlight w:val="none"/>
        </w:rPr>
      </w:pPr>
      <w:bookmarkStart w:id="53" w:name="_Toc15053"/>
      <w:bookmarkStart w:id="54" w:name="_Toc15396609"/>
      <w:bookmarkStart w:id="55" w:name="_Toc15377215"/>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53"/>
      <w:bookmarkEnd w:id="54"/>
      <w:bookmarkEnd w:id="55"/>
    </w:p>
    <w:p>
      <w:pPr>
        <w:spacing w:line="600" w:lineRule="exact"/>
        <w:ind w:firstLine="640"/>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2022年“三公”经费财政拨款支出决算为49.2万元，完成预算80.66%，较上年减少2.13万元，下降4.15%。决算数小于预算数的主要原因是贯彻落实中央、省、市关于厉行节约的各项要求，从严控制“三公”经费开支。</w:t>
      </w:r>
    </w:p>
    <w:p>
      <w:pPr>
        <w:spacing w:line="600" w:lineRule="exact"/>
        <w:ind w:firstLine="640"/>
        <w:outlineLvl w:val="2"/>
        <w:rPr>
          <w:rFonts w:ascii="仿宋" w:hAnsi="仿宋" w:eastAsia="仿宋"/>
          <w:b/>
          <w:color w:val="auto"/>
          <w:sz w:val="32"/>
          <w:szCs w:val="32"/>
          <w:highlight w:val="none"/>
        </w:rPr>
      </w:pPr>
      <w:bookmarkStart w:id="57" w:name="_Toc15377217"/>
      <w:r>
        <w:rPr>
          <w:rFonts w:hint="eastAsia" w:ascii="仿宋" w:hAnsi="仿宋" w:eastAsia="仿宋"/>
          <w:b/>
          <w:color w:val="auto"/>
          <w:sz w:val="32"/>
          <w:szCs w:val="32"/>
          <w:highlight w:val="none"/>
        </w:rPr>
        <w:t>（二）“三公”经费财政拨款支出决算具体情况说明</w:t>
      </w:r>
      <w:bookmarkEnd w:id="57"/>
    </w:p>
    <w:p>
      <w:pPr>
        <w:spacing w:line="600" w:lineRule="exact"/>
        <w:ind w:firstLine="640"/>
        <w:rPr>
          <w:rFonts w:hint="eastAsia" w:ascii="仿宋" w:hAnsi="仿宋" w:eastAsia="仿宋"/>
          <w:color w:val="auto"/>
          <w:sz w:val="32"/>
          <w:szCs w:val="32"/>
          <w:highlight w:val="none"/>
        </w:rPr>
      </w:pPr>
      <w:r>
        <w:rPr>
          <w:rFonts w:hint="eastAsia" w:ascii="仿宋_GB2312" w:hAnsi="Times New Roman" w:eastAsia="仿宋_GB2312" w:cs="Times New Roman"/>
          <w:color w:val="000000"/>
          <w:kern w:val="2"/>
          <w:sz w:val="32"/>
          <w:szCs w:val="32"/>
          <w:lang w:val="en-US" w:eastAsia="zh-CN" w:bidi="ar-SA"/>
        </w:rPr>
        <w:t>2022年“三公”经费财政拨款支出决算中，因公出国（境）费支出决算0万元，占0%；公务用车购置及运行维护费支出决算44.81万元，占91.08%；公务接待费支出决算4.39万元，占8.92%。具体情况如下：</w:t>
      </w:r>
    </w:p>
    <w:p>
      <w:pPr>
        <w:pStyle w:val="6"/>
        <w:ind w:left="638" w:leftChars="304" w:firstLine="0" w:firstLineChars="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168265" cy="2661920"/>
            <wp:effectExtent l="4445" t="4445" r="8890"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（图7：“三公”经费财政拨款支出结构）（饼状图）</w:t>
      </w:r>
    </w:p>
    <w:p>
      <w:pPr>
        <w:pStyle w:val="23"/>
        <w:ind w:left="0" w:leftChars="0" w:firstLine="642" w:firstLineChars="200"/>
        <w:jc w:val="left"/>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hAnsi="Times New Roman" w:eastAsia="仿宋_GB2312" w:cs="Times New Roman"/>
          <w:color w:val="000000"/>
          <w:kern w:val="2"/>
          <w:sz w:val="32"/>
          <w:szCs w:val="32"/>
          <w:lang w:val="en-US" w:eastAsia="zh-CN" w:bidi="ar-SA"/>
        </w:rPr>
        <w:t>0万元，年初未安排预算，因公出国（境）支出决算较2021年无变化。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Times New Roman" w:eastAsia="仿宋_GB2312" w:cs="Times New Roman"/>
          <w:color w:val="000000"/>
          <w:kern w:val="2"/>
          <w:sz w:val="32"/>
          <w:szCs w:val="32"/>
          <w:lang w:val="en-US" w:eastAsia="zh-CN" w:bidi="ar-SA"/>
        </w:rPr>
        <w:t>44.81万元</w:t>
      </w:r>
      <w:r>
        <w:rPr>
          <w:rFonts w:hint="eastAsia" w:ascii="仿宋_GB2312" w:eastAsia="仿宋_GB2312" w:cs="Times New Roman"/>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完成预算84.55%。公务用车购置及运行维护费支出决算比2021年减少2.62万元，下降5.49%。主要原因是：一是贯彻落实中央、省、市关于厉行节约的各项要求，从严控制“三公”经费开支；二是部分“三公”经费于年底发生，当年未完成支付。</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000000"/>
          <w:sz w:val="32"/>
          <w:szCs w:val="32"/>
        </w:rPr>
        <w:t>0</w:t>
      </w:r>
      <w:r>
        <w:rPr>
          <w:rFonts w:hint="eastAsia" w:ascii="仿宋_GB2312" w:hAnsi="仿宋_GB2312" w:eastAsia="仿宋_GB2312" w:cs="仿宋_GB2312"/>
          <w:bCs/>
          <w:color w:val="000000"/>
          <w:kern w:val="0"/>
          <w:sz w:val="32"/>
          <w:szCs w:val="32"/>
          <w:lang w:val="en-US" w:eastAsia="zh-CN" w:bidi="ar-SA"/>
        </w:rPr>
        <w:t>万元。</w:t>
      </w:r>
      <w:r>
        <w:rPr>
          <w:rFonts w:hint="eastAsia" w:ascii="仿宋_GB2312" w:hAnsi="仿宋_GB2312" w:eastAsia="仿宋_GB2312" w:cs="仿宋_GB2312"/>
          <w:bCs/>
          <w:color w:val="000000"/>
          <w:kern w:val="0"/>
          <w:sz w:val="32"/>
          <w:szCs w:val="32"/>
          <w:highlight w:val="none"/>
          <w:lang w:val="en-US" w:eastAsia="zh-CN" w:bidi="ar-SA"/>
        </w:rPr>
        <w:t>全年按规定更新购置公务用车0辆，截至2022年12月底，单位共有公务用车9辆，其中：</w:t>
      </w:r>
      <w:r>
        <w:rPr>
          <w:rFonts w:hint="eastAsia" w:ascii="仿宋_GB2312" w:eastAsia="仿宋_GB2312"/>
          <w:color w:val="auto"/>
          <w:sz w:val="32"/>
          <w:szCs w:val="32"/>
          <w:highlight w:val="none"/>
        </w:rPr>
        <w:t>轿车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hAnsi="Times New Roman" w:eastAsia="仿宋_GB2312" w:cs="Times New Roman"/>
          <w:color w:val="000000"/>
          <w:kern w:val="2"/>
          <w:sz w:val="32"/>
          <w:szCs w:val="32"/>
          <w:lang w:val="en-US" w:eastAsia="zh-CN" w:bidi="ar-SA"/>
        </w:rPr>
        <w:t>44.81万元。主要用于监督检查、审查调查所需的公务用车燃料费、维修费、过路过桥费、保险费等支出。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hAnsi="Times New Roman" w:eastAsia="仿宋_GB2312" w:cs="Times New Roman"/>
          <w:color w:val="000000"/>
          <w:kern w:val="2"/>
          <w:sz w:val="32"/>
          <w:szCs w:val="32"/>
          <w:lang w:val="en-US" w:eastAsia="zh-CN" w:bidi="ar-SA"/>
        </w:rPr>
        <w:t>4.39万元，完成预算54.88%。公务接待费支出决算比2021年增加0.49万元，增长12.56%。</w:t>
      </w:r>
      <w:r>
        <w:rPr>
          <w:rFonts w:hint="eastAsia" w:ascii="仿宋_GB2312" w:hAnsi="Times New Roman" w:eastAsia="仿宋_GB2312" w:cs="Times New Roman"/>
          <w:color w:val="000000"/>
          <w:kern w:val="2"/>
          <w:sz w:val="32"/>
          <w:szCs w:val="32"/>
          <w:highlight w:val="none"/>
          <w:lang w:val="en-US" w:eastAsia="zh-CN" w:bidi="ar-SA"/>
        </w:rPr>
        <w:t>主要原因是接受上级指导检查增多。</w:t>
      </w:r>
      <w:r>
        <w:rPr>
          <w:rFonts w:hint="eastAsia" w:ascii="仿宋_GB2312" w:hAnsi="Times New Roman" w:eastAsia="仿宋_GB2312" w:cs="Times New Roman"/>
          <w:color w:val="000000"/>
          <w:kern w:val="2"/>
          <w:sz w:val="32"/>
          <w:szCs w:val="32"/>
          <w:lang w:val="en-US" w:eastAsia="zh-CN" w:bidi="ar-SA"/>
        </w:rPr>
        <w:t>其中：</w:t>
      </w:r>
    </w:p>
    <w:p>
      <w:pPr>
        <w:spacing w:line="600" w:lineRule="exact"/>
        <w:ind w:firstLine="642"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hAnsi="Times New Roman" w:eastAsia="仿宋_GB2312" w:cs="Times New Roman"/>
          <w:color w:val="000000"/>
          <w:kern w:val="2"/>
          <w:sz w:val="32"/>
          <w:szCs w:val="32"/>
          <w:lang w:val="en-US" w:eastAsia="zh-CN" w:bidi="ar-SA"/>
        </w:rPr>
        <w:t>4.39万元，主要用于本部门执行公务、开展业务活动开支的交通费、住宿费、用餐费等。国内公务接待57批次，399人次（不包括陪同人员），共计支出4.39万元，具体内容包括：接受上级检查、工作交流等。</w:t>
      </w:r>
    </w:p>
    <w:p>
      <w:pPr>
        <w:spacing w:line="600" w:lineRule="exact"/>
        <w:ind w:firstLine="642"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_GB2312" w:hAnsi="Times New Roman" w:eastAsia="仿宋_GB2312" w:cs="Times New Roman"/>
          <w:color w:val="000000"/>
          <w:kern w:val="2"/>
          <w:sz w:val="32"/>
          <w:szCs w:val="32"/>
          <w:lang w:val="en-US" w:eastAsia="zh-CN" w:bidi="ar-SA"/>
        </w:rPr>
        <w:t>0万元。</w:t>
      </w:r>
      <w:bookmarkStart w:id="58" w:name="_Toc15377218"/>
      <w:bookmarkStart w:id="59" w:name="_Toc15396610"/>
    </w:p>
    <w:p>
      <w:pPr>
        <w:spacing w:line="600" w:lineRule="exact"/>
        <w:ind w:firstLine="640"/>
        <w:outlineLvl w:val="1"/>
        <w:rPr>
          <w:rStyle w:val="21"/>
          <w:rFonts w:ascii="黑体" w:hAnsi="黑体" w:eastAsia="黑体"/>
          <w:color w:val="auto"/>
          <w:highlight w:val="none"/>
        </w:rPr>
      </w:pPr>
      <w:bookmarkStart w:id="60" w:name="_Toc2576"/>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8"/>
      <w:bookmarkEnd w:id="59"/>
      <w:bookmarkEnd w:id="60"/>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2022年政府性基金预算财政拨款支出0万元。2022年本部门未在政府性基金预算拨款安排“三公经费”支出。</w:t>
      </w:r>
    </w:p>
    <w:p>
      <w:pPr>
        <w:numPr>
          <w:ilvl w:val="0"/>
          <w:numId w:val="2"/>
        </w:numPr>
        <w:spacing w:line="600" w:lineRule="exact"/>
        <w:ind w:firstLine="640"/>
        <w:outlineLvl w:val="1"/>
        <w:rPr>
          <w:rStyle w:val="21"/>
          <w:rFonts w:ascii="黑体" w:hAnsi="黑体" w:eastAsia="黑体"/>
          <w:b w:val="0"/>
          <w:color w:val="auto"/>
          <w:highlight w:val="none"/>
        </w:rPr>
      </w:pPr>
      <w:bookmarkStart w:id="61" w:name="_Toc15396611"/>
      <w:bookmarkStart w:id="62" w:name="_Toc15377219"/>
      <w:bookmarkStart w:id="63" w:name="_Toc29252"/>
      <w:r>
        <w:rPr>
          <w:rStyle w:val="21"/>
          <w:rFonts w:hint="eastAsia" w:ascii="黑体" w:hAnsi="黑体" w:eastAsia="黑体"/>
          <w:b w:val="0"/>
          <w:color w:val="auto"/>
          <w:highlight w:val="none"/>
        </w:rPr>
        <w:t>国有资本经营预算支出决算情况说明</w:t>
      </w:r>
      <w:bookmarkEnd w:id="61"/>
      <w:bookmarkEnd w:id="62"/>
      <w:bookmarkEnd w:id="63"/>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2022年国有资本经营预算财政拨款支出0万元。</w:t>
      </w:r>
    </w:p>
    <w:p>
      <w:pPr>
        <w:numPr>
          <w:ilvl w:val="0"/>
          <w:numId w:val="2"/>
        </w:numPr>
        <w:spacing w:line="600" w:lineRule="exact"/>
        <w:ind w:firstLine="640"/>
        <w:outlineLvl w:val="1"/>
        <w:rPr>
          <w:rStyle w:val="21"/>
          <w:rFonts w:hint="eastAsia" w:ascii="黑体" w:hAnsi="黑体" w:eastAsia="黑体"/>
          <w:b w:val="0"/>
          <w:color w:val="auto"/>
          <w:highlight w:val="none"/>
        </w:rPr>
      </w:pPr>
      <w:bookmarkStart w:id="64" w:name="_Toc24225"/>
      <w:bookmarkStart w:id="65" w:name="_Toc15377221"/>
      <w:bookmarkStart w:id="66" w:name="_Toc15396612"/>
      <w:r>
        <w:rPr>
          <w:rStyle w:val="21"/>
          <w:rFonts w:hint="eastAsia" w:ascii="黑体" w:hAnsi="黑体" w:eastAsia="黑体"/>
          <w:b w:val="0"/>
          <w:color w:val="auto"/>
          <w:highlight w:val="none"/>
        </w:rPr>
        <w:t>其他重要事项的情况说明</w:t>
      </w:r>
      <w:bookmarkEnd w:id="64"/>
      <w:bookmarkEnd w:id="65"/>
      <w:bookmarkEnd w:id="66"/>
    </w:p>
    <w:p>
      <w:pPr>
        <w:spacing w:line="600" w:lineRule="exact"/>
        <w:ind w:firstLine="642" w:firstLineChars="200"/>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_GB2312" w:hAnsi="Times New Roman" w:eastAsia="仿宋_GB2312" w:cs="Times New Roman"/>
          <w:color w:val="000000"/>
          <w:kern w:val="2"/>
          <w:sz w:val="32"/>
          <w:szCs w:val="32"/>
          <w:lang w:val="en-US" w:eastAsia="zh-CN" w:bidi="ar-SA"/>
        </w:rPr>
        <w:t>2022年，市纪委机关运行经费支出314.65万元，比2021年增加73.54万元，增长30.5%，主要原因是受疫情影响，防疫支出增加。</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8" w:name="_Toc15377223"/>
      <w:r>
        <w:rPr>
          <w:rFonts w:hint="eastAsia" w:ascii="仿宋" w:hAnsi="仿宋" w:eastAsia="仿宋"/>
          <w:b/>
          <w:color w:val="auto"/>
          <w:sz w:val="32"/>
          <w:szCs w:val="32"/>
          <w:highlight w:val="none"/>
        </w:rPr>
        <w:t>（二）政府采购支出情况</w:t>
      </w:r>
      <w:bookmarkEnd w:id="68"/>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_GB2312" w:hAnsi="Times New Roman" w:eastAsia="仿宋_GB2312" w:cs="Times New Roman"/>
          <w:color w:val="000000"/>
          <w:kern w:val="2"/>
          <w:sz w:val="32"/>
          <w:szCs w:val="32"/>
          <w:lang w:val="en-US" w:eastAsia="zh-CN" w:bidi="ar-SA"/>
        </w:rPr>
        <w:t>2022年，本部门政府采购支出总额621.82万元，其中：政府采购货物支出277.79万元、政府采购工程支出0万元、政府采购服务支出344.03万元。主要用于市党风廉政教育中心食堂物资采购和后勤保障管理服务费用。授予中小企业合同金额1.85万元，占政府采购支出总额的0.3%，其中：授予小微企业合同金额1.85万元，占政府采购支出总额的0.3%。</w:t>
      </w:r>
    </w:p>
    <w:p>
      <w:pPr>
        <w:spacing w:line="600" w:lineRule="exact"/>
        <w:ind w:firstLine="642" w:firstLineChars="200"/>
        <w:rPr>
          <w:rFonts w:hint="eastAsia" w:ascii="仿宋" w:hAnsi="仿宋" w:eastAsia="仿宋"/>
          <w:color w:val="auto"/>
          <w:sz w:val="32"/>
          <w:szCs w:val="32"/>
          <w:highlight w:val="none"/>
          <w:lang w:val="en-US" w:eastAsia="zh-CN"/>
        </w:rPr>
      </w:pPr>
      <w:bookmarkStart w:id="69" w:name="_Toc15377224"/>
      <w:r>
        <w:rPr>
          <w:rFonts w:hint="eastAsia" w:ascii="仿宋" w:hAnsi="仿宋" w:eastAsia="仿宋"/>
          <w:b/>
          <w:color w:val="auto"/>
          <w:sz w:val="32"/>
          <w:szCs w:val="32"/>
          <w:highlight w:val="none"/>
        </w:rPr>
        <w:t>（三）国有资产占有使用</w:t>
      </w:r>
      <w:r>
        <w:rPr>
          <w:rFonts w:hint="eastAsia" w:ascii="仿宋" w:hAnsi="仿宋" w:eastAsia="仿宋"/>
          <w:b/>
          <w:color w:val="auto"/>
          <w:sz w:val="32"/>
          <w:szCs w:val="32"/>
          <w:highlight w:val="none"/>
          <w:lang w:val="en-US" w:eastAsia="zh-CN"/>
        </w:rPr>
        <w:t>情况</w:t>
      </w:r>
      <w:bookmarkEnd w:id="69"/>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截至2022年12月31日，本部门共有车辆9辆，其中：执法执勤车8辆、应急保障用车1辆，主要是用于审查调查业务工作。单价100万元以上专用设备0台（套）。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60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根据预算绩效管理要求，本部门在2022年度预算编制阶段，组织对党风廉政建设宣传及警示教育工作经费项目开展了预算事前绩效评估，对所有项目编制了绩效目标，预算执行过程中，开展了项目绩效监控。</w:t>
      </w:r>
    </w:p>
    <w:p>
      <w:pPr>
        <w:spacing w:line="600" w:lineRule="exact"/>
        <w:ind w:firstLine="640" w:firstLineChars="200"/>
        <w:rPr>
          <w:rFonts w:ascii="仿宋_GB2312" w:eastAsia="仿宋_GB2312"/>
          <w:b/>
          <w:color w:val="auto"/>
          <w:sz w:val="32"/>
          <w:szCs w:val="32"/>
          <w:highlight w:val="yellow"/>
        </w:rPr>
      </w:pPr>
      <w:r>
        <w:rPr>
          <w:rFonts w:hint="eastAsia" w:ascii="仿宋_GB2312" w:hAnsi="Times New Roman" w:eastAsia="仿宋_GB2312" w:cs="Times New Roman"/>
          <w:color w:val="000000"/>
          <w:kern w:val="2"/>
          <w:sz w:val="32"/>
          <w:szCs w:val="32"/>
          <w:lang w:val="en-US" w:eastAsia="zh-CN" w:bidi="ar-SA"/>
        </w:rPr>
        <w:t>组织对本部门2022年度一般公共预算资金等全面开展绩效自评，形成本部门整体（含部门预算项目）绩效自评报告、党风廉政建设宣传及警示教育工作经费、“阳光问政（廉）”节目经费等专项预算项目绩效自评报告，其中，本部门整体（含部门预算项目）绩效自评得分为100分，本部门专项预算项目绩效自评综合得分为98分，绩效自评综述：</w:t>
      </w:r>
      <w:r>
        <w:rPr>
          <w:rFonts w:hint="eastAsia" w:ascii="仿宋_GB2312" w:hAnsi="Times New Roman" w:eastAsia="仿宋_GB2312" w:cs="Times New Roman"/>
          <w:color w:val="000000"/>
          <w:kern w:val="2"/>
          <w:sz w:val="32"/>
          <w:szCs w:val="32"/>
          <w:lang w:val="zh-CN" w:eastAsia="zh-CN" w:bidi="ar-SA"/>
        </w:rPr>
        <w:t>本部门在预算编制方面，依据基本充分、资金分配合理，报送及时，预算编制科学合理；在资金管理方面，资金到位及时、资金支出的依据、使用范围、开支标准符合规定，财务制度、会计核算健全规范；在项目完成方面，实现计划目标；在项目效果方面，项目开展取得了良好效果。通过对该项目三级指标的分析考评，综合评价结果为优级。</w:t>
      </w:r>
      <w:r>
        <w:rPr>
          <w:rFonts w:hint="eastAsia" w:ascii="仿宋_GB2312" w:hAnsi="Times New Roman" w:eastAsia="仿宋_GB2312" w:cs="Times New Roman"/>
          <w:color w:val="000000"/>
          <w:kern w:val="2"/>
          <w:sz w:val="32"/>
          <w:szCs w:val="32"/>
          <w:lang w:val="en-US" w:eastAsia="zh-CN" w:bidi="ar-SA"/>
        </w:rPr>
        <w:t>绩效自评报告详见附件（第四部分）。</w:t>
      </w:r>
      <w:r>
        <w:rPr>
          <w:rFonts w:ascii="仿宋_GB2312" w:eastAsia="仿宋_GB2312"/>
          <w:b/>
          <w:color w:val="auto"/>
          <w:sz w:val="32"/>
          <w:szCs w:val="32"/>
          <w:highlight w:val="yellow"/>
        </w:rPr>
        <w:br w:type="page"/>
      </w:r>
    </w:p>
    <w:p>
      <w:pPr>
        <w:numPr>
          <w:ilvl w:val="0"/>
          <w:numId w:val="3"/>
        </w:numPr>
        <w:spacing w:line="600" w:lineRule="exact"/>
        <w:ind w:firstLine="660" w:firstLineChars="150"/>
        <w:jc w:val="center"/>
        <w:outlineLvl w:val="0"/>
        <w:rPr>
          <w:rStyle w:val="20"/>
          <w:rFonts w:ascii="黑体" w:hAnsi="黑体" w:eastAsia="黑体"/>
          <w:b w:val="0"/>
          <w:color w:val="auto"/>
          <w:highlight w:val="none"/>
        </w:rPr>
      </w:pPr>
      <w:bookmarkStart w:id="70" w:name="_Toc15377225"/>
      <w:bookmarkStart w:id="71" w:name="_Toc30158"/>
      <w:bookmarkStart w:id="72" w:name="_Toc15396613"/>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70"/>
      <w:bookmarkEnd w:id="71"/>
      <w:bookmarkEnd w:id="72"/>
    </w:p>
    <w:p>
      <w:pPr>
        <w:spacing w:line="600" w:lineRule="exact"/>
        <w:jc w:val="left"/>
        <w:rPr>
          <w:rFonts w:ascii="宋体"/>
          <w:b/>
          <w:color w:val="auto"/>
          <w:sz w:val="44"/>
          <w:szCs w:val="44"/>
          <w:highlight w:val="none"/>
        </w:rPr>
      </w:pP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1.财政拨款收入：指部门从同级财政部门取得的财政预算资金。</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 xml:space="preserve">2.其他收入：指部门取得的除上述收入以外的各项收入。主要是市党风廉政教育中心办案场所收入等。 </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 xml:space="preserve">3.年初结转和结余：指以前年度尚未完成、结转到本年按有关规定继续使用的资金。 </w:t>
      </w:r>
    </w:p>
    <w:p>
      <w:pPr>
        <w:pStyle w:val="31"/>
        <w:spacing w:line="56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4.年末结转和结余：指部门按有关规定结转到下年或以后年度继续使用的资金。</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5.一般公共服务支出（类）纪检监察事务（款）行政运行（项）：反映行政单位的基本支出。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6.一般公共服务支出（类）纪检监察事务（款）一般行政管理事务（项）：反映行政单位未单独设置项级科目的其他项目支出。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7.一般公共服务支出（类）纪检监察事务（款）大案要案查处（项）：反映查处大要（专）案的支出。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8.一般公共服务支出（类）纪检监察事务（款）巡视工作（项）：反映巡视巡察工作的支出。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9.一般公共服务支出（类）纪检监察事务（款）事业运行（项）：反映事业单位的基本支出。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10.一般公共服务支出（类）纪检监察事务（款）其他纪检监察事务支出（项）：反映纪委监委业务用房及办公场所维修改造项目支出。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11.社会保障和就业（类）人力资源和社会保障管理事务（款）其他人力资源和社会保障管理事务支出（项）：反映本部门引进人才安家补助支出。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12.社会保障和就业（类）行政事业单位养老支出（款）机关事业单位基本养老保险缴费支出（项）：反映机关事业单位实施养老保险制度由单位缴纳的基本养老保险费支出。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13.社会保障和就业（类）行政事业单位养老支出（款）机关事业单位职业年金缴费支出（项）：反映机关事业单位实施养老保险制度由部门实际缴纳的职业年金支出。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14.社会保障和就业（类）其他社会保障和就业支出（款）其他社会保障和就业支出（项）：反映由部门实际缴纳的其他社会保障和就业支出。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15.卫生健康（类）行政事业单位医疗（款）行政单位医疗（项）</w:t>
      </w:r>
      <w:r>
        <w:rPr>
          <w:rFonts w:hint="eastAsia" w:ascii="仿宋_GB2312" w:eastAsia="仿宋_GB2312" w:cs="Times New Roman"/>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指反映财政部门集中安排的行政单位基本医疗保险缴费经费，未参加医疗保险的行政单位的公费医疗经费，按国家规定享受离休人员、红军老战士待遇人员的医疗经费。</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16.卫生健康（类）行政事业单位医疗（款）事业单位医疗（项）：反映财政部门安排的事业单位基本医疗保险缴费经费，未参加医疗保险的事业单位的公费医疗经费，按国家规定享受离休人员待遇的医疗经费。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17.住房保障（类）住房改革支出（款）住房公积金（项）：指反映行政事业单位按人力资源和社会保障部、财政部规定的基本工资和津贴补贴以及规定比例为职工缴纳的住房公积金。</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18.基本支出：指为保障机构正常运转、完成日常工作任务而发生的人员支出和公用支出。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 xml:space="preserve">19.项目支出：指在基本支出之外为完成特定行政任务和事业发展目标所发生的支出。 </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31"/>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0"/>
          <w:rFonts w:hint="eastAsia" w:ascii="黑体" w:hAnsi="黑体" w:eastAsia="黑体"/>
          <w:b w:val="0"/>
          <w:color w:val="auto"/>
          <w:highlight w:val="none"/>
          <w:lang w:eastAsia="zh-CN"/>
        </w:rPr>
      </w:pPr>
      <w:bookmarkStart w:id="73" w:name="_Toc15377226"/>
      <w:r>
        <w:rPr>
          <w:rFonts w:ascii="宋体"/>
          <w:b/>
          <w:color w:val="auto"/>
          <w:sz w:val="44"/>
          <w:szCs w:val="44"/>
          <w:highlight w:val="none"/>
        </w:rPr>
        <w:br w:type="page"/>
      </w:r>
      <w:bookmarkStart w:id="74" w:name="_Toc15396614"/>
      <w:bookmarkStart w:id="75" w:name="_Toc31208"/>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74"/>
      <w:bookmarkEnd w:id="75"/>
    </w:p>
    <w:p>
      <w:pPr>
        <w:spacing w:line="600" w:lineRule="exact"/>
        <w:jc w:val="left"/>
        <w:outlineLvl w:val="1"/>
        <w:rPr>
          <w:rFonts w:hint="eastAsia" w:ascii="宋体" w:hAnsi="宋体" w:eastAsia="宋体"/>
          <w:b/>
          <w:color w:val="auto"/>
          <w:sz w:val="32"/>
          <w:szCs w:val="32"/>
          <w:highlight w:val="none"/>
          <w:shd w:val="clear" w:color="auto" w:fill="FFFFFF"/>
        </w:rPr>
      </w:pPr>
      <w:bookmarkStart w:id="76" w:name="_Toc13671"/>
      <w:r>
        <w:rPr>
          <w:rFonts w:hint="eastAsia" w:ascii="黑体" w:hAnsi="黑体" w:eastAsia="黑体" w:cs="黑体"/>
          <w:sz w:val="32"/>
          <w:szCs w:val="32"/>
        </w:rPr>
        <w:t>附件</w:t>
      </w:r>
      <w:r>
        <w:rPr>
          <w:rFonts w:ascii="黑体" w:hAnsi="黑体" w:eastAsia="黑体" w:cs="黑体"/>
          <w:sz w:val="32"/>
          <w:szCs w:val="32"/>
        </w:rPr>
        <w:t>1</w:t>
      </w:r>
      <w:bookmarkEnd w:id="76"/>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22</w:t>
      </w:r>
      <w:r>
        <w:rPr>
          <w:rFonts w:hint="eastAsia" w:ascii="宋体" w:hAnsi="宋体" w:eastAsia="宋体"/>
          <w:b/>
          <w:color w:val="auto"/>
          <w:sz w:val="32"/>
          <w:szCs w:val="32"/>
          <w:highlight w:val="none"/>
          <w:shd w:val="clear" w:color="auto" w:fill="FFFFFF"/>
        </w:rPr>
        <w:t>年</w:t>
      </w:r>
      <w:r>
        <w:rPr>
          <w:rFonts w:hint="eastAsia" w:ascii="宋体" w:hAnsi="宋体" w:eastAsia="宋体"/>
          <w:b/>
          <w:color w:val="auto"/>
          <w:sz w:val="32"/>
          <w:szCs w:val="32"/>
          <w:highlight w:val="none"/>
          <w:shd w:val="clear" w:color="auto" w:fill="FFFFFF"/>
          <w:lang w:eastAsia="zh-CN"/>
        </w:rPr>
        <w:t>市纪委</w:t>
      </w:r>
      <w:r>
        <w:rPr>
          <w:rFonts w:hint="eastAsia" w:ascii="宋体" w:hAnsi="宋体" w:eastAsia="宋体"/>
          <w:b/>
          <w:color w:val="auto"/>
          <w:sz w:val="32"/>
          <w:szCs w:val="32"/>
          <w:highlight w:val="none"/>
          <w:shd w:val="clear" w:color="auto" w:fill="FFFFFF"/>
        </w:rPr>
        <w:t>部门整体</w:t>
      </w:r>
      <w:r>
        <w:rPr>
          <w:rFonts w:hint="eastAsia" w:ascii="宋体" w:hAnsi="宋体" w:eastAsia="宋体"/>
          <w:b/>
          <w:color w:val="auto"/>
          <w:sz w:val="32"/>
          <w:szCs w:val="32"/>
          <w:highlight w:val="none"/>
          <w:shd w:val="clear" w:color="auto" w:fill="FFFFFF"/>
          <w:lang w:eastAsia="zh-CN"/>
        </w:rPr>
        <w:t>支出</w:t>
      </w:r>
      <w:r>
        <w:rPr>
          <w:rFonts w:hint="eastAsia" w:ascii="宋体" w:hAnsi="宋体" w:eastAsia="宋体"/>
          <w:b/>
          <w:color w:val="auto"/>
          <w:sz w:val="32"/>
          <w:szCs w:val="32"/>
          <w:highlight w:val="none"/>
          <w:shd w:val="clear" w:color="auto" w:fill="FFFFFF"/>
        </w:rPr>
        <w:t>绩效</w:t>
      </w:r>
      <w:r>
        <w:rPr>
          <w:rFonts w:hint="eastAsia" w:ascii="宋体" w:hAnsi="宋体" w:eastAsia="宋体"/>
          <w:b/>
          <w:color w:val="auto"/>
          <w:sz w:val="32"/>
          <w:szCs w:val="32"/>
          <w:highlight w:val="none"/>
          <w:shd w:val="clear" w:color="auto" w:fill="FFFFFF"/>
          <w:lang w:eastAsia="zh-CN"/>
        </w:rPr>
        <w:t>自评</w:t>
      </w:r>
      <w:r>
        <w:rPr>
          <w:rFonts w:hint="eastAsia" w:ascii="宋体" w:hAnsi="宋体" w:eastAsia="宋体"/>
          <w:b/>
          <w:color w:val="auto"/>
          <w:sz w:val="32"/>
          <w:szCs w:val="32"/>
          <w:highlight w:val="none"/>
          <w:shd w:val="clear" w:color="auto" w:fill="FFFFFF"/>
        </w:rPr>
        <w:t>报告</w:t>
      </w:r>
    </w:p>
    <w:p>
      <w:pPr>
        <w:pStyle w:val="2"/>
      </w:pP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7" w:name="_Toc32119"/>
      <w:r>
        <w:rPr>
          <w:rFonts w:hint="eastAsia" w:ascii="黑体" w:hAnsi="宋体" w:eastAsia="黑体" w:cs="宋体"/>
          <w:color w:val="auto"/>
          <w:kern w:val="0"/>
          <w:sz w:val="32"/>
          <w:szCs w:val="32"/>
          <w:highlight w:val="none"/>
          <w:shd w:val="clear" w:color="auto" w:fill="FFFFFF"/>
          <w:lang w:val="zh-CN"/>
        </w:rPr>
        <w:t>部门（单位）基本情况</w:t>
      </w:r>
      <w:bookmarkEnd w:id="77"/>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（一）机构组成。</w:t>
      </w:r>
      <w:r>
        <w:rPr>
          <w:rFonts w:hint="eastAsia" w:ascii="仿宋_GB2312" w:hAnsi="Times New Roman" w:eastAsia="仿宋_GB2312" w:cs="Times New Roman"/>
          <w:color w:val="000000"/>
          <w:kern w:val="2"/>
          <w:sz w:val="32"/>
          <w:szCs w:val="32"/>
          <w:lang w:val="en-US" w:eastAsia="zh-CN" w:bidi="ar-SA"/>
        </w:rPr>
        <w:t>市纪委监委下设20个内设机构、机关党委、2个事业单位和21个派驻（出）纪检监察机构。</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（二）机构职能和人员概况。</w:t>
      </w:r>
      <w:r>
        <w:rPr>
          <w:rFonts w:hint="eastAsia" w:ascii="仿宋_GB2312" w:hAnsi="Times New Roman" w:eastAsia="仿宋_GB2312" w:cs="Times New Roman"/>
          <w:color w:val="000000"/>
          <w:kern w:val="2"/>
          <w:sz w:val="32"/>
          <w:szCs w:val="32"/>
          <w:lang w:val="en-US" w:eastAsia="zh-CN" w:bidi="ar-SA"/>
        </w:rPr>
        <w:t>2022年末，市纪委监委总编制131个（含市委巡察办16个），其中行政编制106个，事业编制19个（党风廉政教育中心9个，信息中心10个），工勤6个。在职人员总数117人，其中行政人员100人（委机关82人，巡察办18人），事业人员13人，工勤人员4人；退休人员33人；长期聘用人员7人。</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r>
        <w:rPr>
          <w:rFonts w:hint="eastAsia" w:ascii="仿宋_GB2312" w:hAnsi="仿宋_GB2312" w:eastAsia="仿宋_GB2312" w:cs="仿宋_GB2312"/>
          <w:sz w:val="32"/>
          <w:szCs w:val="32"/>
          <w:lang w:val="zh-CN"/>
        </w:rPr>
        <w:t>一是</w:t>
      </w:r>
      <w:r>
        <w:rPr>
          <w:rFonts w:hint="eastAsia" w:ascii="仿宋_GB2312" w:hAnsi="仿宋_GB2312" w:eastAsia="仿宋_GB2312" w:cs="仿宋_GB2312"/>
          <w:sz w:val="32"/>
          <w:szCs w:val="32"/>
        </w:rPr>
        <w:t>聚焦发展大局，深入开展营商环境专项监督。</w:t>
      </w:r>
      <w:r>
        <w:rPr>
          <w:rFonts w:hint="eastAsia" w:ascii="仿宋_GB2312" w:hAnsi="仿宋_GB2312" w:eastAsia="仿宋_GB2312" w:cs="仿宋_GB2312"/>
          <w:sz w:val="32"/>
          <w:szCs w:val="32"/>
          <w:lang w:val="en-US" w:eastAsia="zh-CN"/>
        </w:rPr>
        <w:t>围绕“打造最优营商环境”，研制出台《护航创建最优营商环境专项监督五年行动方案和《2022年护航创建最优营商环境专项监督重点任务清单》，探索“双建四联”工作模式，市县分层组建工作专班，有序建立营商环境投诉举报中心，“一站式”受理各类市场主体涉及营商环境投诉举报53件，督促协调解决滨江国际酒店、四川中方制药有限公司等一批市场主体生产经营困难问题；创新“纪巡审”“室组地”“查改治”“百千万”联动举措</w:t>
      </w:r>
      <w:r>
        <w:rPr>
          <w:rFonts w:hint="eastAsia" w:ascii="仿宋_GB2312" w:hAnsi="仿宋_GB2312" w:cs="仿宋_GB2312"/>
          <w:sz w:val="32"/>
          <w:szCs w:val="32"/>
          <w:lang w:val="en-US" w:eastAsia="zh-CN"/>
        </w:rPr>
        <w:t>。二是</w:t>
      </w:r>
      <w:r>
        <w:rPr>
          <w:rFonts w:hint="eastAsia" w:ascii="仿宋_GB2312" w:hAnsi="仿宋_GB2312" w:eastAsia="仿宋_GB2312" w:cs="仿宋_GB2312"/>
          <w:sz w:val="32"/>
          <w:szCs w:val="32"/>
          <w:lang w:val="en-US" w:eastAsia="zh-CN"/>
        </w:rPr>
        <w:t>聚焦夯基筑底，全面加强基层党风廉政建设。坚持把加强基层党风廉政建设作为推动纪检监察工作高质量发展的基础性工作，推动基层监督与基层治理同频共振、同向发力。强化组织，在县（区）实行“室组合力”、乡镇（街道）探索“片乡联动”、村（社区）推行“四职合一”，县（区）纪委监委机关以及派驻纪检监察组干部动态配备率平均达93.3%，乡镇（街道）纪检监察人员全面实现“两专三兼”。三是聚焦源头治本，综合发力以案促改以廉正心。做深以案促改，探索建立重大典型案件“3223”和一般案件“六个一”以案促改模式，先后在全市政法、国资国企等系统开展以案促改，制作警示教育片13部，召开全市性警示教育大会5场，督促案发单位、行业系统健全完善全面从严管党治警“四责协同”责任清单、国资监管责任约谈工作规则、粮食收购管理办法等一系列制度机制，实现“查改治”贯通融合、“惩治防”协同发力。</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r>
        <w:rPr>
          <w:rFonts w:hint="eastAsia" w:ascii="仿宋_GB2312" w:hAnsi="仿宋_GB2312" w:eastAsia="仿宋_GB2312" w:cs="仿宋_GB2312"/>
          <w:sz w:val="32"/>
          <w:szCs w:val="32"/>
        </w:rPr>
        <w:t>在省纪委监委和市委坚强领导下，全市纪检监察机关紧紧围绕迎接党的二十大胜利召开，学习宣传贯彻党的二十大精神、省第十二次党代会精神和市委八届五次全会精神这条主线，深入贯彻党的自我革命战略部署和全面从严治党战略方针，忠实履行党章和宪法赋予的职责，贯通正风肃纪反腐与促进治理、推动发展，为加快广元现代化建设步伐提供了坚强纪律作风保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8" w:name="_Toc32719"/>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8"/>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1.部门总体收入情况。部门总体</w:t>
      </w:r>
      <w:r>
        <w:rPr>
          <w:rFonts w:hint="eastAsia" w:ascii="仿宋_GB2312" w:hAnsi="仿宋_GB2312" w:eastAsia="仿宋_GB2312" w:cs="仿宋_GB2312"/>
          <w:kern w:val="2"/>
          <w:sz w:val="32"/>
          <w:szCs w:val="32"/>
          <w:lang w:val="en-US" w:eastAsia="zh-CN" w:bidi="ar-SA"/>
        </w:rPr>
        <w:t>收入决算总额为5683.49万元，其中</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财政拨款收入4222.52万元，其他收入1067.64万元，年初结转和结余393.33万元。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kern w:val="2"/>
          <w:sz w:val="32"/>
          <w:szCs w:val="32"/>
          <w:lang w:val="en-US" w:eastAsia="zh-CN" w:bidi="ar-SA"/>
        </w:rPr>
        <w:t>部门总体支出情况。部门本年支出决算数为5467.93万元，其中：一般公共服务支出5022.6万元，社会保障和就业支</w:t>
      </w:r>
      <w:r>
        <w:rPr>
          <w:rFonts w:hint="eastAsia" w:ascii="仿宋_GB2312" w:hAnsi="仿宋_GB2312" w:cs="仿宋_GB2312"/>
          <w:color w:val="000000"/>
          <w:sz w:val="32"/>
          <w:szCs w:val="32"/>
          <w:lang w:val="en-US" w:eastAsia="zh-CN"/>
        </w:rPr>
        <w:t>176.75</w:t>
      </w:r>
      <w:r>
        <w:rPr>
          <w:rFonts w:hint="eastAsia" w:ascii="仿宋_GB2312" w:hAnsi="仿宋_GB2312" w:eastAsia="仿宋_GB2312" w:cs="仿宋_GB2312"/>
          <w:color w:val="000000"/>
          <w:sz w:val="32"/>
          <w:szCs w:val="32"/>
        </w:rPr>
        <w:t>万元，卫生健康支出</w:t>
      </w:r>
      <w:r>
        <w:rPr>
          <w:rFonts w:hint="eastAsia" w:ascii="仿宋_GB2312" w:hAnsi="仿宋_GB2312" w:cs="仿宋_GB2312"/>
          <w:color w:val="000000"/>
          <w:sz w:val="32"/>
          <w:szCs w:val="32"/>
          <w:lang w:val="en-US" w:eastAsia="zh-CN"/>
        </w:rPr>
        <w:t>82.21</w:t>
      </w:r>
      <w:r>
        <w:rPr>
          <w:rFonts w:hint="eastAsia" w:ascii="仿宋_GB2312" w:hAnsi="仿宋_GB2312" w:eastAsia="仿宋_GB2312" w:cs="仿宋_GB2312"/>
          <w:color w:val="000000"/>
          <w:sz w:val="32"/>
          <w:szCs w:val="32"/>
        </w:rPr>
        <w:t>万元，住房保障支出</w:t>
      </w:r>
      <w:r>
        <w:rPr>
          <w:rFonts w:hint="eastAsia" w:ascii="仿宋_GB2312" w:hAnsi="仿宋_GB2312" w:cs="仿宋_GB2312"/>
          <w:color w:val="000000"/>
          <w:sz w:val="32"/>
          <w:szCs w:val="32"/>
          <w:lang w:val="en-US" w:eastAsia="zh-CN"/>
        </w:rPr>
        <w:t>186.37</w:t>
      </w:r>
      <w:r>
        <w:rPr>
          <w:rFonts w:hint="eastAsia" w:ascii="仿宋_GB2312" w:hAnsi="仿宋_GB2312" w:eastAsia="仿宋_GB2312" w:cs="仿宋_GB2312"/>
          <w:color w:val="000000"/>
          <w:sz w:val="32"/>
          <w:szCs w:val="32"/>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3.部门总体结转结余情况。部门年末结转和结余215.56万元，主要为</w:t>
      </w:r>
      <w:r>
        <w:rPr>
          <w:rFonts w:hint="eastAsia" w:ascii="仿宋_GB2312" w:hAnsi="仿宋_GB2312" w:eastAsia="仿宋_GB2312" w:cs="仿宋_GB2312"/>
          <w:bCs/>
          <w:color w:val="000000"/>
          <w:kern w:val="0"/>
          <w:sz w:val="32"/>
          <w:szCs w:val="32"/>
          <w:lang w:val="en-US" w:eastAsia="zh-CN" w:bidi="ar-SA"/>
        </w:rPr>
        <w:t>纪委监委业务用房及办公场所维修改造项目。</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r>
        <w:rPr>
          <w:rFonts w:hint="eastAsia" w:ascii="仿宋_GB2312" w:hAnsi="仿宋_GB2312" w:eastAsia="仿宋_GB2312" w:cs="仿宋_GB2312"/>
          <w:kern w:val="2"/>
          <w:sz w:val="32"/>
          <w:szCs w:val="32"/>
          <w:lang w:val="en-US" w:eastAsia="zh-CN" w:bidi="ar-SA"/>
        </w:rPr>
        <w:t>财政拨款收入4615.85万元，其中一般公共预算财政拨款收入4222.52万元，年初财政拨款结转和结余393.33万元。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2.部门财政拨款支出情况。财政拨款本年支出4400.3万元，其中</w:t>
      </w:r>
      <w:r>
        <w:rPr>
          <w:rFonts w:hint="eastAsia" w:ascii="仿宋_GB2312" w:hAnsi="仿宋_GB2312" w:eastAsia="仿宋_GB2312" w:cs="仿宋_GB2312"/>
          <w:kern w:val="2"/>
          <w:sz w:val="32"/>
          <w:szCs w:val="32"/>
          <w:lang w:val="en-US" w:eastAsia="zh-CN" w:bidi="ar-SA"/>
        </w:rPr>
        <w:t>一般公共服务支出3954.96万元，社会保障和就业支176.75万元，卫生健康支出82.21万元，住房保障支出186.37万元。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3.部门财政拨款结转结余情况。年末财政拨款结转和结余215.56万元，主要为纪委监委业务用房及办公场所维修改造项目。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9" w:name="_Toc19098"/>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79"/>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人员类项目保障了本部门财政供养</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人员的基本工资、津贴补贴、奖金、绩效工资、社会保障缴费、住房公积金及其他工资福利等支出的正常发放和缴纳，全年预算执行达到序时进度，满足干部职工正常办公。人员类项目无结余，依据本年度审计监督、财政检查结果，未出现部门预算管理方面违纪违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运转类项目保障了部门办公费、邮电费、水费、电费、差旅费、公务用车运行费、福利费、工会经费、劳务费等支出，全年预算执行达到序时进度，满足机关日常正常运转。运转类项目无结余，依据本年度审计监督、财政检查结果，未出现部门预算管理方面违纪违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cs="宋体"/>
          <w:b w:val="0"/>
          <w:bCs w:val="0"/>
          <w:color w:val="000000"/>
          <w:kern w:val="0"/>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2022年本部门特定目标类项目分别为：办案专项、市委巡察办专项经费、党风廉政建设宣传及警示教育工作专项经费、深化“三项改革”工作专项经费、纪检监察信息化建设及标准化谈话室运维专项经费、“阳光问政（廉）”节目经费、纪委监委专项工作经费、纪检监察内部督查专项经费、巡察机要系统及视频会商系统建设项目、省委巡视巡察督导工作经费、乡村振兴部门工作经费、一二办电梯运行维护费、设备采购费、管理团队经费。</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按照《预算法》及市财政局的部署要求，结合本部门实际情况，制定了特定目标类项目绩效目标，绩效目标编制要素完整，绩效指标细化量化，绩效目标实际实现程度达到了预期效果，</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通过以上特定目标类项目的实施，支持了本部门事业发展。特定目标类项目无结余，依据本年度审计监督、财政检查结果，未出现部门预算管理方面违纪违规问题。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是持续深化政治建设，确保全市步调一致奋勇前进。坚持把党的政治建设摆在首位，坚定履行“两个维护”使命任务，聚焦习近平新时代中国特色社会主义思想和党的二十大精神，特别是习近平总书记来川视察重要指示精神，以“清单制+责任制”精准监督，坚决确保各项决策部署在广元一贯到底、终端见效。紧扣“三新一高”、统筹疫情防控和经济社会发展、推动“四化同步、城乡融合、五区共兴”、拼经济搞建设等“国之大者”“省之大计”“市之至要”落实落地跟进监督。全面压实管党治党政治责任，深化落实全面从严治党“三张清单”，健全完善“四责协同”工作格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是持续深化惩贪治腐，巩固反腐败斗争压倒性胜利。牢固树立以查办案件贯穿联通“三不腐”一体推进工作理念，一刻不停歇地推进反腐败斗争。坚持治重化积与减存遏增并重，市纪委监委机关被省委省政府表彰为“信访工作先进集体”，始终保持惩治腐败高压态势，坚持质量与安全并重，全市案件查办实现“零退查”“零不诉”“零申诉”“零事故（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是持续深化正风肃纪，狠刹纪律作风方面顽瘴痼疾。坚持把作风建设作为永恒主题，纵深推进干部纪律作风整顿，开展“纪律作风整顿深化年”活动，持续纠治12个方面突出问题，重拳整治违规收送礼品礼金、违规吃喝、干预插手工程项目建设、损害营商环境4类突出问题表现，推动全市干部队伍纪律作风有效改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是持续深化系统治理，整饬重点行业领域突出问题。坚持把重点领域突出问题治理作为持续优化政治生态的重要抓手，深入推进乡村振兴专项监督，紧盯“书记的职、部门的责、县里的权、乡里的情、村里的点、群众的利”六项重点，严查村（社区）集体“三资”管理领域腐败和作风问题，以有力有效监督推动乡村振兴提质增效。深入推进粮食购销领域腐败问题专项整治，深化“纪委书记盯粮库”，助力守好粮食安全“生命线”。深入推进“一卡通”专项治理，确保每一分惠民惠农资金都用到群众身上。深入推进“5+2”重点行业领域系统治理，推动政风行风持续向善向好。深入推进教育医疗、养老社保、生态环保等民生领域突出问题专项治理，人民群众的安全感持续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是持续深化政治巡察，推动巡察监督联动融合贯通。深入落实中央巡视工作方针，高质量开展八届市委第二轮、第三轮对15个市级部门党组织常规巡察，创新开展优化营商环境机动巡察。坚持抓源抓总、清单化推进对村（社区）党组织巡察，各县（区）共巡察村（社区）党组织375个，发现并推动解决一批群众急难愁盼问题，经验做法在全省交流发言。推动巡视巡察上下联动，积极配合省委第七巡视组对4个县常规巡视并开展巡察工作专项检查，统筹开展对旺苍县、剑阁县纪检监察机关、组织部门提级巡察，组织开展市自然资源系统联动、交叉、延伸巡察，指导督导利州区委巡察工作。全面加强巡察工作规范化建设，压实巡察整改主体责任和监督责任，研究制定《巡察整改和成果运用工作流程导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是持续深化自我革命，锻造忠诚干净担当蜀道铁军。坚持管工作就要管干部、抓工作就要抓队伍，努力建设政治强、业务精、作风硬的纪检监察干部队伍。持续擦亮“蜀道铁军”机关党建品牌，3个集体、7名个人受到省级表彰，1名个人受到中央纪委国家监委嘉奖。市、县（区）监委均有序向同级人大常委会报告专项工作。创新制定“见红旗就扛、见先进就争”亮榜晒绩办法，推动全市纪检监察工作创先争优、上档升位。强化培训提能，持续深化“四高四专”系列培训，创新开展说案、观案、跟案、晒案“四案”活动提升办案能力，广泛开展“思想大练兵、文稿大比武”淬炼系统思维。</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本部门将绩效自评</w:t>
      </w:r>
      <w:r>
        <w:rPr>
          <w:rFonts w:hint="eastAsia" w:ascii="仿宋_GB2312" w:eastAsia="仿宋_GB2312"/>
          <w:sz w:val="32"/>
          <w:szCs w:val="32"/>
          <w:lang w:val="en-US" w:eastAsia="zh-CN"/>
        </w:rPr>
        <w:t>结果作为次年政策优化、改进管理、预算调整、项目调整等的重要依据，对于低绩效或无绩效的项目，下一年度不再安排预算。按要求将绩效目标随同部门年初预算同步公开，并将绩效目标完成情况、部门整体支出绩效评价自评报告等绩效信息随同部门年终决算公开。</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依据相关资金管理办法和现行财务制度，按照绩效评价指标体系内容，通过自查和抽查方式，使用成本效益比较法和因素分析法等方法，完成了年度预期绩效目标情况，达到了一定的效益。通过自评，部门整体支出自评结果为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0" w:name="_Toc4208"/>
      <w:r>
        <w:rPr>
          <w:rFonts w:hint="eastAsia" w:ascii="黑体" w:hAnsi="宋体" w:eastAsia="黑体" w:cs="宋体"/>
          <w:color w:val="auto"/>
          <w:kern w:val="0"/>
          <w:sz w:val="32"/>
          <w:szCs w:val="32"/>
          <w:highlight w:val="none"/>
          <w:shd w:val="clear" w:color="auto" w:fill="FFFFFF"/>
        </w:rPr>
        <w:t>四、评价结论及建议</w:t>
      </w:r>
      <w:bookmarkEnd w:id="80"/>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eastAsia="仿宋_GB2312"/>
          <w:sz w:val="32"/>
          <w:szCs w:val="32"/>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仿宋_GB2312" w:eastAsia="仿宋_GB2312"/>
          <w:sz w:val="32"/>
          <w:szCs w:val="32"/>
          <w:lang w:val="zh-CN" w:eastAsia="zh-CN"/>
        </w:rPr>
        <w:t>本部门在预算编制方面，依据基本充分、资金分配合理，报送及时，预算编制科学合理；在资金管理方面，资金到位及时、资金支出的依据、使用范围、开支标准符合规定，财务制度、会计核算健全规范；在项目完成方面，实现计划目标；在项目效果方面，项目开展取得了良好效果。通过对该项目三级指标的分析考评，综合评价结果为优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eastAsia="仿宋_GB2312"/>
          <w:sz w:val="32"/>
          <w:szCs w:val="32"/>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r>
        <w:rPr>
          <w:rFonts w:hint="eastAsia" w:ascii="仿宋_GB2312" w:eastAsia="仿宋_GB2312"/>
          <w:sz w:val="32"/>
          <w:szCs w:val="32"/>
          <w:lang w:val="zh-CN" w:eastAsia="zh-CN"/>
        </w:rPr>
        <w:t>预算绩效管理体制还需进一步完善，本部门在预算绩效管理方面虽做了一定工作，但与构建“全方位、全过程、全覆盖的预算绩效管理体系”还有一定差距，特别是预算绩效管理制度建设方面，如岗位设置、岗位职责、绩效事前评估、绩效目标体系建设等还有待进一步加强。</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eastAsia="仿宋_GB2312"/>
          <w:sz w:val="32"/>
          <w:szCs w:val="32"/>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r>
        <w:rPr>
          <w:rFonts w:hint="eastAsia" w:ascii="仿宋_GB2312" w:eastAsia="仿宋_GB2312"/>
          <w:sz w:val="32"/>
          <w:szCs w:val="32"/>
          <w:lang w:val="zh-CN" w:eastAsia="zh-CN"/>
        </w:rPr>
        <w:t>落实各资金使用单位的预算绩效管理主体责任，进一步完善预算绩效管理制度，规范预算绩效管理过程控制，加强机关各单位的预算管理意识，严格按照预算编制的相关制度和要求进行预算编制；全面编制预算项目，优先保障固定性的、相对刚性的费用支出项目，进一步提高预算编制的科学性、严谨性和可控性，切实提高资金的使用效益。</w:t>
      </w:r>
    </w:p>
    <w:p>
      <w:pPr>
        <w:pStyle w:val="2"/>
        <w:rPr>
          <w:rFonts w:hint="eastAsia"/>
          <w:lang w:val="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部门整体支出绩效目标自评表（2022年度）</w:t>
      </w:r>
    </w:p>
    <w:tbl>
      <w:tblPr>
        <w:tblStyle w:val="16"/>
        <w:tblW w:w="9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1469"/>
        <w:gridCol w:w="1371"/>
        <w:gridCol w:w="2661"/>
        <w:gridCol w:w="121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主管部门</w:t>
            </w:r>
          </w:p>
        </w:tc>
        <w:tc>
          <w:tcPr>
            <w:tcW w:w="8051" w:type="dxa"/>
            <w:gridSpan w:val="5"/>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中共广元市纪律检查委员会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总体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5501" w:type="dxa"/>
            <w:gridSpan w:val="3"/>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55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325" w:type="dxa"/>
            <w:vMerge w:val="continue"/>
            <w:tcBorders>
              <w:top w:val="nil"/>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01"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保障单位职工工资、社会保障缴费、住房公积金、退休人员补助等正常发放和缴纳；2、保障了部门办公费、邮电费、水费、电费、差旅费、公务用车运行费、福利费、工会经费、劳务费等支出，满足机关日常正常运转；3、一是聚焦发展大局，深入开展营商环境专项监督。围绕“打造最优营商环境”，研制出台《护航创建最优营商环境专项监督五年行动方案和《2022年护航创建最优营商环境专项监督重点任务清单》，探索“双建四联”工作模式，市县分层组建工作专班，有序建立营商环境投诉举报中心，“一站式”受理各类市场主体涉及营商环境投诉举报53件，督促协调解决滨江国际酒店、四川中方制药有限公司等一批市场主体生产经营困难问题；创新“纪巡审”“室组地”“查改治”“百千万”联动举措。二是聚焦夯基筑底，全面加强基层党风廉政建设。坚持把加强基层党风廉政建设作为推动纪检监察工作高质量发展的基础性工作，推动基层监督与基层治理同频共振、同向发力。强化组织，在县（区）实行“室组合力”、乡镇（街道）探索“片乡联动”、村（社区）推行“四职合一”，县（区）纪委监委机关以及派驻纪检监察组干部动态配备率平均达93.3%，乡镇（街道）纪检监察人员全面实现“两专三兼”。三是聚焦源头治本，综合发力以案促改以廉正心。做深以案促改，探索建立重大典型案件“3223”和一般案件“六个一”以案促改模式，先后在全市政法、国资国企等系统开展以案促改，制作警示教育片13部，召开全市性警示教育大会5场，督促案发单位、行业系统健全完善全面从严管党治警“四责协同”责任清单、国资监管责任约谈工作规则、粮食收购管理办法等一系列制度机制，实现“查改治”贯通融合、“惩治防”协同发力。</w:t>
            </w:r>
          </w:p>
        </w:tc>
        <w:tc>
          <w:tcPr>
            <w:tcW w:w="2550" w:type="dxa"/>
            <w:gridSpan w:val="2"/>
            <w:tcBorders>
              <w:top w:val="single" w:color="000000"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了保工资、保运转，所有项目达到了预期效果，支持了本部门事业发展。在省纪委监委和市委坚强领导下，全市纪检监察机关紧紧围绕迎接党的二十大胜利召开，学习宣传贯彻党的二十大精神、省第十二次党代会精神和市委八届五次全会精神这条主线，深入贯彻党的自我革命战略部署和全面从严治党战略方针，忠实履行党章和宪法赋予的职责，贯通正风肃纪反腐与促进治理、推动发展，为加快广元现代化建设步伐提供了坚强纪律作风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2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4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指标值（包含数字及文字描述）</w:t>
            </w:r>
          </w:p>
        </w:tc>
        <w:tc>
          <w:tcPr>
            <w:tcW w:w="13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保障单位个数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保障职工人数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完成项目实施个数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案件办理完成率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反馈问题整改率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线索查办率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安全保障率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2022年12月31日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成本控制率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追缴违纪款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color w:val="000000"/>
                <w:sz w:val="20"/>
                <w:szCs w:val="20"/>
                <w:u w:val="none"/>
              </w:rPr>
            </w:pPr>
            <w:r>
              <w:rPr>
                <w:rFonts w:hint="default" w:ascii="东文宋体" w:hAnsi="东文宋体" w:eastAsia="东文宋体" w:cs="东文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1000万元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非税收入完成情况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法纪意识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社会稳定性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树立廉洁意识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纪检监察工作效率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部门（单位）自评结论</w:t>
            </w:r>
          </w:p>
        </w:tc>
        <w:tc>
          <w:tcPr>
            <w:tcW w:w="80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部门所有支出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部门（单位）自评存在问题</w:t>
            </w:r>
          </w:p>
        </w:tc>
        <w:tc>
          <w:tcPr>
            <w:tcW w:w="80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绩效管理体制还需进一步完善，本部门在预算绩效管理方面虽做了一定工作，但与构建“全方位、全过程、全覆盖的预算绩效管理体系”还有一定差距，特别是预算绩效管理制度建设方面，如岗位设置、岗位职责、绩效事前评估、绩效目标体系建设等还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部门（单位）自评改进措施</w:t>
            </w:r>
          </w:p>
        </w:tc>
        <w:tc>
          <w:tcPr>
            <w:tcW w:w="80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落实各资金使用单位的预算绩效管理主体责任，进一步完善预算绩效管理制度，规范预算绩效管理过程控制，加强机关各单位的预算管理意识，严格按照预算编制的相关制度和要求进行预算编制；全面编制预算项目，优先保障固定性的、相对刚性的费用支出项目，进一步提高预算编制的科学性、严谨性和可控性，切实提高资金的使用效益。</w:t>
            </w:r>
          </w:p>
        </w:tc>
      </w:tr>
    </w:tbl>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6"/>
        <w:rPr>
          <w:rFonts w:hint="eastAsia" w:hAnsi="宋体" w:cs="宋体"/>
          <w:color w:val="auto"/>
          <w:kern w:val="0"/>
          <w:sz w:val="32"/>
          <w:szCs w:val="32"/>
          <w:highlight w:val="none"/>
          <w:shd w:val="clear" w:color="auto" w:fill="FFFFFF"/>
          <w:lang w:val="zh-CN"/>
        </w:rPr>
      </w:pPr>
    </w:p>
    <w:p>
      <w:pPr>
        <w:pStyle w:val="6"/>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2022年党风廉政建设宣传及警示教育工作经费</w:t>
      </w:r>
    </w:p>
    <w:p>
      <w:pPr>
        <w:spacing w:line="600" w:lineRule="exact"/>
        <w:jc w:val="center"/>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lang w:val="zh-CN" w:eastAsia="zh-CN"/>
        </w:rPr>
        <w:t>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lang w:val="zh-CN"/>
        </w:rPr>
      </w:pPr>
      <w:bookmarkStart w:id="81" w:name="_Toc14650"/>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bookmarkEnd w:id="81"/>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本项目主要是市纪委机关用于党风廉政建设宣传及警示教育工作经费，通过开展全市党风廉政建设成果图片展，开办“蜀道清风”周刊，编制教育读本、摄制警示教育片，从而教育引导党员干部树立廉洁意识，提高党员干部拒腐防变能力。</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本项目纳入财政年初预算，财政批复下达资金，用于党风廉政建设宣传及警示教育工作相关费用支出。该经费在市纪委机关统筹核算，严格按照机关财务管理制度，对经济活动事项进行财务控制，实行专项管理，严格审批制度，做到专款专用，确保项目工作经费有效的利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该项目设置绩效目标为党风廉政建设成果图片展1次，警示教育片2部等。截止绩效评价日，项目完成制作警示教育片13部，召开全市性警示教育大会5场，项目实施进度完成率100%。该申报内容与实际相符合，申报绩效目标合理可行，达到预期效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一是明确细化职责职能，宣传部为项目实施主体单位，办公室主要负责绩效评价检查、督促、验收工作。二是依据相关专项资金管理办法和现行财务制度，按照项目支出绩效评价指标体系要求，列出了预算绩效评价的项目清单，从预算编制、预算执行、预算绩效三个方面，分别对项目进行绩效评价。三是通过自查和抽查，项目实施单位能够按照项目规划组织实施，较好地实现了预期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2" w:name="_Toc18727"/>
      <w:r>
        <w:rPr>
          <w:rFonts w:hint="eastAsia" w:ascii="黑体" w:hAnsi="宋体" w:eastAsia="黑体"/>
          <w:color w:val="auto"/>
          <w:sz w:val="32"/>
          <w:szCs w:val="32"/>
          <w:highlight w:val="none"/>
          <w:u w:val="none"/>
        </w:rPr>
        <w:t>二、项目资金申报及使用情况</w:t>
      </w:r>
      <w:bookmarkEnd w:id="82"/>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经市人大次会议审查批准及市财政局批复，年初预算党风廉政建设宣传及警示教育工作经费30万元。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截止到评价日，该项目资金到位30万元，资金到位率100%，为本级财政拨款资金，预算支出未发现无预算、超预算支出，资金使用安全、规范及有效，资金支付范围、支付标准、支付进度、支付依据等合规合法、与预算相符，未发现虚列支出、挤占、挪用、转移财政资金行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建立了基本健全的内部控制制度，内部控制管理运行有效。同时制定相关专项资金的财务管理制度，设置项目管理机构，会计核算及账务处理专账核算，专款专用。按照项目资金管理办法，项目执行了财务管理制度，财务处理及时，会计核算基本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3" w:name="_Toc20210"/>
      <w:r>
        <w:rPr>
          <w:rFonts w:hint="eastAsia" w:ascii="黑体" w:hAnsi="宋体" w:eastAsia="黑体"/>
          <w:color w:val="auto"/>
          <w:sz w:val="32"/>
          <w:szCs w:val="32"/>
          <w:highlight w:val="none"/>
          <w:u w:val="none"/>
        </w:rPr>
        <w:t>三、项目实施及管理情况</w:t>
      </w:r>
      <w:bookmarkEnd w:id="83"/>
    </w:p>
    <w:p>
      <w:pPr>
        <w:adjustRightInd w:val="0"/>
        <w:snapToGrid w:val="0"/>
        <w:spacing w:line="600" w:lineRule="exact"/>
        <w:ind w:firstLine="72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r>
        <w:rPr>
          <w:rFonts w:hint="eastAsia" w:ascii="仿宋_GB2312" w:hAnsi="仿宋_GB2312" w:eastAsia="仿宋_GB2312" w:cs="仿宋_GB2312"/>
          <w:color w:val="auto"/>
          <w:kern w:val="0"/>
          <w:sz w:val="32"/>
          <w:szCs w:val="32"/>
          <w:highlight w:val="none"/>
          <w:u w:val="none"/>
          <w:shd w:val="clear" w:color="auto" w:fill="FFFFFF"/>
          <w:lang w:val="zh-CN"/>
        </w:rPr>
        <w:t>截止评价日，基本完成了资金的申报、审核、支付流程。</w:t>
      </w:r>
    </w:p>
    <w:p>
      <w:pPr>
        <w:adjustRightInd w:val="0"/>
        <w:snapToGrid w:val="0"/>
        <w:spacing w:line="600" w:lineRule="exact"/>
        <w:ind w:firstLine="72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项目实施单位严格执行相关法律法规及项目管理制度，通过项目实施，基本达到预期效果，绩效结果评定为优。</w:t>
      </w:r>
    </w:p>
    <w:p>
      <w:pPr>
        <w:adjustRightInd w:val="0"/>
        <w:snapToGrid w:val="0"/>
        <w:spacing w:line="600" w:lineRule="exact"/>
        <w:ind w:firstLine="72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rPr>
        <w:t>在工作中，相关室对项目建设程序、实施进度、项目质量、资金使用及财务管理等进行全程监管，确保项目管理规范、按期保质保量完成任务。</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仿宋_GB2312" w:hAnsi="宋体"/>
          <w:color w:val="auto"/>
          <w:sz w:val="32"/>
          <w:szCs w:val="32"/>
          <w:highlight w:val="none"/>
          <w:u w:val="none"/>
          <w:lang w:val="zh-CN"/>
        </w:rPr>
      </w:pPr>
      <w:bookmarkStart w:id="84" w:name="_Toc24461"/>
      <w:r>
        <w:rPr>
          <w:rFonts w:hint="eastAsia" w:ascii="黑体" w:hAnsi="宋体" w:eastAsia="黑体"/>
          <w:color w:val="auto"/>
          <w:sz w:val="32"/>
          <w:szCs w:val="32"/>
          <w:highlight w:val="none"/>
          <w:u w:val="none"/>
        </w:rPr>
        <w:t>四、项目绩效情况</w:t>
      </w:r>
      <w:bookmarkEnd w:id="84"/>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adjustRightInd w:val="0"/>
        <w:snapToGrid w:val="0"/>
        <w:spacing w:line="600" w:lineRule="exact"/>
        <w:ind w:firstLine="72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截止绩效评价日，制作警示教育片13部，召开全市性警示教育大会5场，创新开展党风廉政建设巡展、巡讲、巡演、巡访“四巡”活动，组织市县党员干部参观党风廉政建设图片展，市委书记带头为市级部门“一把手”上廉政党课，分层分类举办廉政文艺汇演，市县纪委监委联动开展“带案下访”解民忧、化民怨。坚持以“大宣传观、大作品观、大协调观”引领推动党风廉政建设宣传教育工作，全年在中央、省级核心媒体及平台上稿实现“双增长”，相关做法在全省党风廉政建设宣传工作会做案例分享。项目实施进度完成率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adjustRightInd w:val="0"/>
        <w:snapToGrid w:val="0"/>
        <w:spacing w:line="600" w:lineRule="exact"/>
        <w:ind w:firstLine="72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通过开展全市党风廉政建设成果图片展，开展“蜀道清风”廉洁文化书法美术摄影作品展，编制教育读本，摄制警示教育片，制作家风教育地图并融入旅游地图，组织5300余名领导干部参加全面从严治党应知应会知识在线学习测试，坚持定期发送廉政短信，《我的父亲许大勇》微电影被评为全国党员教育电视片优秀作品，从而教育引导党员干部，树立廉洁意识，提高党员干部拒腐防变能力。</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5" w:name="_Toc16309"/>
      <w:r>
        <w:rPr>
          <w:rFonts w:hint="eastAsia" w:ascii="黑体" w:hAnsi="宋体" w:eastAsia="黑体"/>
          <w:color w:val="auto"/>
          <w:sz w:val="32"/>
          <w:szCs w:val="32"/>
          <w:highlight w:val="none"/>
          <w:u w:val="none"/>
        </w:rPr>
        <w:t>五、评价结论及建议</w:t>
      </w:r>
      <w:bookmarkEnd w:id="85"/>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良好级。</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重点宣传工作进一步强化，宣传队伍业务素质进一步提升，创新意识有待加强。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一是持续强化正面宣传，唱响主旋律；二是持续发挥协调作用，奏响大合唱；三是持续做好纪法教育，筑牢内防线；四是持续推进廉政文化建设，提升影响力；五是要加强对绩效评价实施主体的培训，提高业务水平及预算绩效管理意识。</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w:t>
      </w:r>
      <w:r>
        <w:rPr>
          <w:rFonts w:hint="eastAsia" w:hAnsi="仿宋_GB2312" w:eastAsia="仿宋_GB2312" w:cs="仿宋_GB2312"/>
          <w:color w:val="auto"/>
          <w:sz w:val="32"/>
          <w:szCs w:val="32"/>
          <w:highlight w:val="none"/>
          <w:lang w:val="en-US" w:eastAsia="zh-CN"/>
        </w:rPr>
        <w:t>预算项目</w:t>
      </w:r>
      <w:r>
        <w:rPr>
          <w:rFonts w:hint="eastAsia" w:ascii="仿宋_GB2312" w:hAnsi="仿宋_GB2312" w:eastAsia="仿宋_GB2312" w:cs="仿宋_GB2312"/>
          <w:color w:val="auto"/>
          <w:sz w:val="32"/>
          <w:szCs w:val="32"/>
          <w:highlight w:val="none"/>
          <w:lang w:val="en-US" w:eastAsia="zh-CN"/>
        </w:rPr>
        <w:t>绩效目标自评表（2022年度）</w:t>
      </w:r>
    </w:p>
    <w:tbl>
      <w:tblPr>
        <w:tblStyle w:val="16"/>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1"/>
        <w:gridCol w:w="1374"/>
        <w:gridCol w:w="1581"/>
        <w:gridCol w:w="1395"/>
        <w:gridCol w:w="815"/>
        <w:gridCol w:w="944"/>
        <w:gridCol w:w="585"/>
        <w:gridCol w:w="1091"/>
        <w:gridCol w:w="780"/>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党风廉政建设宣传及警示教育工作专项经费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5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5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5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通过开展全市党风廉政建设成果图片展，开办“蜀道清风”周刊，编制教育读本、摄制警示教育片，从而教育引导党员干部树立廉洁意识，提高党员干部拒腐防变能力。</w:t>
            </w:r>
          </w:p>
        </w:tc>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开展全市党风廉政建设成果图片展，开展“蜀道清风”廉洁文化书法美术摄影作品展，编制教育读本，摄制警示教育片，制作家风教育地图并融入旅游地图，组织5300余名领导干部参加全面从严治党应知应会知识在线学习测试，坚持定期发送廉政短信，《我的父亲许大勇》微电影被评为全国党员教育电视片优秀作品，从而教育引导党员干部，树立廉洁意识，提高党员干部拒腐防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制作警示教育片13部，召开全市性警示教育大会5场</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创新开展党风廉政建设巡展、巡讲、巡演、巡访“四巡”活动，组织市县党员干部参观党风廉政建设图片展，市委书记带头为市级部门“一把手”上廉政党课，分层分类举办廉政文艺汇演，市县纪委监委联动开展“带案下访”解民忧、化民怨。坚持以“大宣传观、大作品观、大协调观”引领推动党风廉政建设宣传教育工作，全年在中央、省级核心媒体及平台上稿实现“双增长”，相关做法在全省党风廉政建设宣传工作会做案例分享。项目实施进度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警示教育片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党风廉政建设成果图片展</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警示教育读本</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完成项目时间</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树立廉洁意识</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干部满意度</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94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94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重点宣传工作进一步强化，宣传队伍业务素质进一步提升，创新意识有待加强。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94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是持续强化正面宣传，唱响主旋律；二是持续发挥协调作用，奏响大合唱；三是持续做好纪法教育，筑牢内防线；四是持续推进廉政文化建设，提升影响力；五是要加强对绩效评价实施主体的培训，提高业务水平及预算绩效管理意识。</w:t>
            </w:r>
          </w:p>
        </w:tc>
      </w:tr>
    </w:tbl>
    <w:p>
      <w:pPr>
        <w:adjustRightInd w:val="0"/>
        <w:snapToGrid w:val="0"/>
        <w:spacing w:line="600" w:lineRule="exact"/>
        <w:ind w:firstLine="720"/>
        <w:rPr>
          <w:rStyle w:val="20"/>
          <w:rFonts w:ascii="黑体" w:hAnsi="黑体" w:eastAsia="黑体"/>
          <w:b w:val="0"/>
          <w:color w:val="auto"/>
          <w:highlight w:val="none"/>
        </w:rPr>
      </w:pPr>
      <w:r>
        <w:rPr>
          <w:rStyle w:val="20"/>
          <w:rFonts w:ascii="黑体" w:hAnsi="黑体" w:eastAsia="黑体"/>
          <w:b w:val="0"/>
          <w:color w:val="auto"/>
          <w:highlight w:val="none"/>
        </w:rPr>
        <w:br w:type="page"/>
      </w:r>
    </w:p>
    <w:p>
      <w:pPr>
        <w:pStyle w:val="6"/>
        <w:outlineLvl w:val="1"/>
        <w:rPr>
          <w:rFonts w:hint="default" w:hAnsi="宋体" w:cs="宋体"/>
          <w:color w:val="auto"/>
          <w:kern w:val="0"/>
          <w:sz w:val="32"/>
          <w:szCs w:val="32"/>
          <w:highlight w:val="none"/>
          <w:shd w:val="clear" w:color="auto" w:fill="FFFFFF"/>
          <w:lang w:val="en-US" w:eastAsia="zh-CN"/>
        </w:rPr>
      </w:pPr>
      <w:bookmarkStart w:id="86" w:name="_Toc16771"/>
      <w:bookmarkStart w:id="87" w:name="_Toc15396618"/>
      <w:r>
        <w:rPr>
          <w:rFonts w:hint="eastAsia" w:hAnsi="宋体" w:cs="宋体"/>
          <w:color w:val="auto"/>
          <w:kern w:val="0"/>
          <w:sz w:val="32"/>
          <w:szCs w:val="32"/>
          <w:highlight w:val="none"/>
          <w:shd w:val="clear" w:color="auto" w:fill="FFFFFF"/>
          <w:lang w:val="zh-CN" w:eastAsia="zh-CN"/>
        </w:rPr>
        <w:t>附件</w:t>
      </w:r>
      <w:r>
        <w:rPr>
          <w:rFonts w:hint="eastAsia" w:hAnsi="宋体" w:cs="宋体"/>
          <w:color w:val="auto"/>
          <w:kern w:val="0"/>
          <w:sz w:val="32"/>
          <w:szCs w:val="32"/>
          <w:highlight w:val="none"/>
          <w:shd w:val="clear" w:color="auto" w:fill="FFFFFF"/>
          <w:lang w:val="en-US" w:eastAsia="zh-CN"/>
        </w:rPr>
        <w:t>3</w:t>
      </w:r>
      <w:bookmarkEnd w:id="86"/>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2022年纪检监察信息化建设及标准化谈话室运维专项经费</w:t>
      </w:r>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zh-CN" w:eastAsia="zh-CN"/>
        </w:rPr>
        <w:t>绩效自评报告</w:t>
      </w:r>
    </w:p>
    <w:p>
      <w:pPr>
        <w:spacing w:line="600" w:lineRule="exact"/>
        <w:jc w:val="center"/>
        <w:outlineLvl w:val="9"/>
        <w:rPr>
          <w:rFonts w:hint="eastAsia" w:ascii="黑体" w:hAnsi="黑体" w:eastAsia="黑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lang w:val="zh-CN"/>
        </w:rPr>
      </w:pPr>
      <w:bookmarkStart w:id="88" w:name="_Toc3252"/>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bookmarkEnd w:id="88"/>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1．本项目主要是市纪委机关用于纪检监察信息化建设经费，完成全市纪检监察涉密信息系统安可替代，网络升级等运维服务，完成全省纪检监察信息查询平台、检举举报等平台建设。</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本项目纳入财政年初预算，财政批复下达资金，用于纪检监察信息化建设相关费用支出。该经费在市纪委机关统筹核算，严格按照机关财务管理制度，对经济活动事项进行财务控制，实行专项管理，严格审批制度，做到专款专用，确保项目工作经费有效的利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该项目设置绩效目标为建设全省纪检监察信息查询平台终端</w:t>
      </w:r>
      <w:r>
        <w:rPr>
          <w:rFonts w:hint="eastAsia" w:ascii="仿宋_GB2312" w:hAnsi="仿宋_GB2312" w:eastAsia="仿宋_GB2312" w:cs="仿宋_GB2312"/>
          <w:color w:val="auto"/>
          <w:kern w:val="0"/>
          <w:sz w:val="32"/>
          <w:szCs w:val="32"/>
          <w:highlight w:val="none"/>
          <w:u w:val="none"/>
          <w:shd w:val="clear" w:color="auto" w:fill="FFFFFF"/>
          <w:lang w:val="en-US" w:eastAsia="zh-CN"/>
        </w:rPr>
        <w:t>1个，建成纪检监察涉密信息系统，新增终端接入点位，同时，纪检监察涉密信息系统将完成向电子政务内网迁移，确保网络和平台运行规范安全。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仿宋_GB2312" w:eastAsia="仿宋_GB2312" w:cs="仿宋_GB2312"/>
          <w:color w:val="auto"/>
          <w:kern w:val="0"/>
          <w:sz w:val="32"/>
          <w:szCs w:val="32"/>
          <w:highlight w:val="none"/>
          <w:u w:val="none"/>
          <w:shd w:val="clear" w:color="auto" w:fill="FFFFFF"/>
          <w:lang w:val="zh-CN"/>
        </w:rPr>
        <w:t>一是明确细化职责职能，宣传部为项目实施主体单位，办公室主要负责绩效评价检查、督促、验收工作。二是依据相关专项资金管理办法和现行财务制度，按照项目支出绩效评价指标体系要求，列出了预算绩效评价的项目清单，从预算编制、预算执行、预算绩效三个方面，分别对项目进行绩效评价。三是通过自查和抽查，项目实施单位能够按照项目规划组织实施，较好地实现了预期绩效目标。</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rPr>
      </w:pPr>
      <w:bookmarkStart w:id="89" w:name="_Toc21251"/>
      <w:r>
        <w:rPr>
          <w:rFonts w:hint="eastAsia" w:ascii="黑体" w:hAnsi="宋体" w:eastAsia="黑体"/>
          <w:color w:val="auto"/>
          <w:sz w:val="32"/>
          <w:szCs w:val="32"/>
          <w:highlight w:val="none"/>
        </w:rPr>
        <w:t>二、项目资金申报及使用情况</w:t>
      </w:r>
      <w:bookmarkEnd w:id="89"/>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经市人大次会议审查批准及市财政局批复，年初预算纪检监察信息化建设及标准化谈话室运维专项经费</w:t>
      </w:r>
      <w:r>
        <w:rPr>
          <w:rFonts w:hint="eastAsia" w:ascii="仿宋_GB2312" w:hAnsi="仿宋_GB2312" w:eastAsia="仿宋_GB2312" w:cs="仿宋_GB2312"/>
          <w:color w:val="auto"/>
          <w:kern w:val="0"/>
          <w:sz w:val="32"/>
          <w:szCs w:val="32"/>
          <w:highlight w:val="none"/>
          <w:u w:val="none"/>
          <w:shd w:val="clear" w:color="auto" w:fill="FFFFFF"/>
          <w:lang w:val="en-US" w:eastAsia="zh-CN"/>
        </w:rPr>
        <w:t>100万元</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截止到评价日，该项目资金到位</w:t>
      </w:r>
      <w:r>
        <w:rPr>
          <w:rFonts w:hint="eastAsia" w:ascii="仿宋_GB2312" w:hAnsi="仿宋_GB2312" w:eastAsia="仿宋_GB2312" w:cs="仿宋_GB2312"/>
          <w:color w:val="auto"/>
          <w:kern w:val="0"/>
          <w:sz w:val="32"/>
          <w:szCs w:val="32"/>
          <w:highlight w:val="none"/>
          <w:u w:val="none"/>
          <w:shd w:val="clear" w:color="auto" w:fill="FFFFFF"/>
          <w:lang w:val="en-US" w:eastAsia="zh-CN"/>
        </w:rPr>
        <w:t>100</w:t>
      </w:r>
      <w:r>
        <w:rPr>
          <w:rFonts w:hint="eastAsia" w:ascii="仿宋_GB2312" w:hAnsi="仿宋_GB2312" w:eastAsia="仿宋_GB2312" w:cs="仿宋_GB2312"/>
          <w:color w:val="auto"/>
          <w:kern w:val="0"/>
          <w:sz w:val="32"/>
          <w:szCs w:val="32"/>
          <w:highlight w:val="none"/>
          <w:u w:val="none"/>
          <w:shd w:val="clear" w:color="auto" w:fill="FFFFFF"/>
          <w:lang w:val="zh-CN"/>
        </w:rPr>
        <w:t>万元，资金到位率100%，为本级财政拨款资金，预算支出未发现无预算、超预算支出，资金使用安全、规范及有效，资金支付范围、支付标准、支付进度、支付依据等合规合法、与预算相符，未发现虚列支出、挤占、挪用、转移财政资金行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建立了基本健全的内部控制制度，内部控制管理运行有效。同时制定相关专项资金的财务管理制度，设置项目管理机构，会计核算及账务处理专账核算，专款专用。按照项目资金管理办法，项目执行了财务管理制度，财务处理及时，会计核算基本规范。</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rPr>
      </w:pPr>
      <w:bookmarkStart w:id="90" w:name="_Toc31588"/>
      <w:r>
        <w:rPr>
          <w:rFonts w:hint="eastAsia" w:ascii="黑体" w:hAnsi="宋体" w:eastAsia="黑体"/>
          <w:color w:val="auto"/>
          <w:sz w:val="32"/>
          <w:szCs w:val="32"/>
          <w:highlight w:val="none"/>
        </w:rPr>
        <w:t>三、项目实施及管理情况</w:t>
      </w:r>
      <w:bookmarkEnd w:id="90"/>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截止评价日，基本完成了资金的申报、审核、支付流程。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项目实施单位严格执行相关法律法规及项目管理制度，通过项目实施，基本达到预期效果，绩效结果评定为良好级。</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在工作中，相关室对项目建设程序、实施进度、项目质量、资金使用及财务管理等进行全程监管，确保项目管理规范、按期保质保量完成任务。</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lang w:val="zh-CN"/>
        </w:rPr>
      </w:pPr>
      <w:bookmarkStart w:id="91" w:name="_Toc30593"/>
      <w:r>
        <w:rPr>
          <w:rFonts w:hint="eastAsia" w:ascii="黑体" w:hAnsi="宋体" w:eastAsia="黑体"/>
          <w:color w:val="auto"/>
          <w:sz w:val="32"/>
          <w:szCs w:val="32"/>
          <w:highlight w:val="none"/>
        </w:rPr>
        <w:t>四、项目绩效情况</w:t>
      </w:r>
      <w:bookmarkEnd w:id="91"/>
      <w:r>
        <w:rPr>
          <w:rFonts w:hint="eastAsia" w:ascii="黑体" w:hAnsi="宋体" w:eastAsia="黑体"/>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截止绩效评价日，项目完成建设全省纪检监察信息查询平台终端</w:t>
      </w:r>
      <w:r>
        <w:rPr>
          <w:rFonts w:hint="eastAsia" w:ascii="仿宋_GB2312" w:hAnsi="仿宋_GB2312" w:eastAsia="仿宋_GB2312" w:cs="仿宋_GB2312"/>
          <w:color w:val="auto"/>
          <w:kern w:val="0"/>
          <w:sz w:val="32"/>
          <w:szCs w:val="32"/>
          <w:highlight w:val="none"/>
          <w:u w:val="none"/>
          <w:shd w:val="clear" w:color="auto" w:fill="FFFFFF"/>
          <w:lang w:val="en-US" w:eastAsia="zh-CN"/>
        </w:rPr>
        <w:t>1个，建成纪检监察涉密信息系统，新增终端接入点位，完成纪检监察涉密信息系统向电子政务内网迁移，确保网络和平台运行规范安全</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通过项目实施，平台查询效率大幅度提升，工作效率大幅度提高，以公开促公正、以透明保廉洁，提升监督质效，在一定程度上减少了腐败的机会，起到了从源头上预防和治理腐败的作用。</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rPr>
      </w:pPr>
      <w:bookmarkStart w:id="92" w:name="_Toc11740"/>
      <w:r>
        <w:rPr>
          <w:rFonts w:hint="eastAsia" w:ascii="黑体" w:hAnsi="宋体" w:eastAsia="黑体"/>
          <w:color w:val="auto"/>
          <w:sz w:val="32"/>
          <w:szCs w:val="32"/>
          <w:highlight w:val="none"/>
        </w:rPr>
        <w:t>五、评价结论及建议</w:t>
      </w:r>
      <w:bookmarkEnd w:id="92"/>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信息化建设工作力量较弱，系统管理员由宣传部纪检干部兼任，没有专职从事信息系统管理的机构和人员。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一是要强化单位信息化系统建设和纪检监察干部队伍建设，提升干部的综合素质和业务水平。二是要加强对绩效评价实施主体的培训，提高</w:t>
      </w:r>
      <w:r>
        <w:rPr>
          <w:rFonts w:hint="eastAsia" w:ascii="仿宋_GB2312" w:hAnsi="仿宋_GB2312" w:eastAsia="仿宋_GB2312" w:cs="仿宋_GB2312"/>
          <w:color w:val="auto"/>
          <w:kern w:val="0"/>
          <w:sz w:val="32"/>
          <w:szCs w:val="32"/>
          <w:highlight w:val="none"/>
          <w:u w:val="none"/>
          <w:shd w:val="clear" w:color="auto" w:fill="FFFFFF"/>
          <w:lang w:val="zh-CN" w:eastAsia="zh-CN"/>
        </w:rPr>
        <w:t>绩效</w:t>
      </w:r>
      <w:r>
        <w:rPr>
          <w:rFonts w:hint="eastAsia" w:ascii="仿宋_GB2312" w:hAnsi="仿宋_GB2312" w:eastAsia="仿宋_GB2312" w:cs="仿宋_GB2312"/>
          <w:color w:val="auto"/>
          <w:kern w:val="0"/>
          <w:sz w:val="32"/>
          <w:szCs w:val="32"/>
          <w:highlight w:val="none"/>
          <w:u w:val="none"/>
          <w:shd w:val="clear" w:color="auto" w:fill="FFFFFF"/>
          <w:lang w:val="zh-CN"/>
        </w:rPr>
        <w:t>业务水平及预算绩效管理意识。</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w:t>
      </w:r>
      <w:r>
        <w:rPr>
          <w:rFonts w:hint="eastAsia" w:hAnsi="仿宋_GB2312" w:eastAsia="仿宋_GB2312" w:cs="仿宋_GB2312"/>
          <w:color w:val="auto"/>
          <w:sz w:val="32"/>
          <w:szCs w:val="32"/>
          <w:highlight w:val="none"/>
          <w:lang w:val="en-US" w:eastAsia="zh-CN"/>
        </w:rPr>
        <w:t>预算项目</w:t>
      </w:r>
      <w:r>
        <w:rPr>
          <w:rFonts w:hint="eastAsia" w:ascii="仿宋_GB2312" w:hAnsi="仿宋_GB2312" w:eastAsia="仿宋_GB2312" w:cs="仿宋_GB2312"/>
          <w:color w:val="auto"/>
          <w:sz w:val="32"/>
          <w:szCs w:val="32"/>
          <w:highlight w:val="none"/>
          <w:lang w:val="en-US" w:eastAsia="zh-CN"/>
        </w:rPr>
        <w:t>绩效目标自评表（2022年度）</w:t>
      </w:r>
    </w:p>
    <w:tbl>
      <w:tblPr>
        <w:tblStyle w:val="16"/>
        <w:tblW w:w="101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1199"/>
        <w:gridCol w:w="1083"/>
        <w:gridCol w:w="1230"/>
        <w:gridCol w:w="975"/>
        <w:gridCol w:w="885"/>
        <w:gridCol w:w="600"/>
        <w:gridCol w:w="675"/>
        <w:gridCol w:w="750"/>
        <w:gridCol w:w="79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纪检监察信息化建设及标准化谈话室运维专项经费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4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4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人手一机”要求，开展全市纪检监察内网安可替代及分级保护建设工作；加强纪检监察高清视频会议系统建设、运维和线路租用；做好蜀道清风网站等级保护建设及微信公众号运营维护；加强廉政短信平台运行维护等。</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开展全市纪检监察内网安可替代及分级保护建设工作，建设全省纪检监察信息查询平台终端1个，建成纪检监察涉密信息系统，新增终端接入点位，同时，纪检监察涉密信息系统将完成向电子政务内网迁移，蜀道清风网站等级保护建设及微信公众号运营维护和廉政短信平台运行维护，确保网络和平台运行规范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开展全市纪检监察内网安可替代及分级保护建设工作，建设全省纪检监察信息查询平台终端1个，建成纪检监察涉密信息系统，新增终端接入点位，同时，纪检监察涉密信息系统将完成向电子政务内网迁移，蜀道清风网站等级保护建设及微信公众号运营维护和廉政短信平台运行维护，平台查询效率大幅度提升，工作效率大幅度提高，以公开促公正、以透明保廉洁，提升监督质效，在一定程度上减少了腐败的机会，起到了从源头上预防和治理腐败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受疫情影响，年底项目待验收，因而预算执行进度较慢。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涉密专网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等级保护测评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网络平台安全运行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可操作性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软硬件购置成本及运行维护成本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工作效率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涉密信息系统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90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90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信息化建设工作力量较弱，系统管理员由宣传部纪检干部兼任，没有专职从事信息系统管理的人员。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90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一是要强化单位信息化系统建设和纪检监察干部队伍建设，提升干部的综合素质和业务水平。二是要加强对绩效评价实施主体的培训，提高绩效业务水平及预算绩效管理意识。</w:t>
            </w:r>
          </w:p>
        </w:tc>
      </w:tr>
    </w:tbl>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23"/>
        <w:rPr>
          <w:rFonts w:hint="eastAsia"/>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pStyle w:val="6"/>
        <w:outlineLvl w:val="1"/>
        <w:rPr>
          <w:rFonts w:hint="default" w:hAnsi="宋体" w:cs="宋体"/>
          <w:color w:val="auto"/>
          <w:kern w:val="0"/>
          <w:sz w:val="32"/>
          <w:szCs w:val="32"/>
          <w:highlight w:val="none"/>
          <w:shd w:val="clear" w:color="auto" w:fill="FFFFFF"/>
          <w:lang w:val="en-US" w:eastAsia="zh-CN"/>
        </w:rPr>
      </w:pPr>
      <w:bookmarkStart w:id="93" w:name="_Toc11112"/>
      <w:r>
        <w:rPr>
          <w:rFonts w:hint="eastAsia" w:hAnsi="宋体" w:cs="宋体"/>
          <w:color w:val="auto"/>
          <w:kern w:val="0"/>
          <w:sz w:val="32"/>
          <w:szCs w:val="32"/>
          <w:highlight w:val="none"/>
          <w:shd w:val="clear" w:color="auto" w:fill="FFFFFF"/>
          <w:lang w:val="zh-CN" w:eastAsia="zh-CN"/>
        </w:rPr>
        <w:t>附件</w:t>
      </w:r>
      <w:r>
        <w:rPr>
          <w:rFonts w:hint="eastAsia" w:hAnsi="宋体" w:cs="宋体"/>
          <w:color w:val="auto"/>
          <w:kern w:val="0"/>
          <w:sz w:val="32"/>
          <w:szCs w:val="32"/>
          <w:highlight w:val="none"/>
          <w:shd w:val="clear" w:color="auto" w:fill="FFFFFF"/>
          <w:lang w:val="en-US" w:eastAsia="zh-CN"/>
        </w:rPr>
        <w:t>4</w:t>
      </w:r>
      <w:bookmarkEnd w:id="93"/>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2022年深化“三项改革”工作专项经费</w:t>
      </w:r>
      <w:r>
        <w:rPr>
          <w:rFonts w:hint="eastAsia" w:ascii="方正小标宋简体" w:hAnsi="方正小标宋简体" w:eastAsia="方正小标宋简体" w:cs="方正小标宋简体"/>
          <w:color w:val="auto"/>
          <w:kern w:val="2"/>
          <w:sz w:val="32"/>
          <w:szCs w:val="32"/>
          <w:highlight w:val="none"/>
          <w:lang w:val="zh-CN" w:eastAsia="zh-CN"/>
        </w:rPr>
        <w:t>绩效自评报告</w:t>
      </w:r>
    </w:p>
    <w:p>
      <w:pPr>
        <w:spacing w:line="600" w:lineRule="exact"/>
        <w:jc w:val="center"/>
        <w:outlineLvl w:val="9"/>
        <w:rPr>
          <w:rFonts w:hint="eastAsia" w:ascii="黑体" w:hAnsi="黑体" w:eastAsia="黑体"/>
          <w:color w:val="000000"/>
          <w:sz w:val="44"/>
          <w:szCs w:val="44"/>
        </w:rPr>
      </w:pPr>
    </w:p>
    <w:p>
      <w:pPr>
        <w:adjustRightInd w:val="0"/>
        <w:snapToGrid w:val="0"/>
        <w:spacing w:line="600" w:lineRule="exact"/>
        <w:ind w:firstLine="720"/>
        <w:outlineLvl w:val="1"/>
        <w:rPr>
          <w:rFonts w:ascii="黑体" w:hAnsi="宋体" w:eastAsia="黑体"/>
          <w:sz w:val="32"/>
          <w:szCs w:val="32"/>
          <w:lang w:val="zh-CN"/>
        </w:rPr>
      </w:pPr>
      <w:bookmarkStart w:id="94" w:name="_Toc11993"/>
      <w:r>
        <w:rPr>
          <w:rFonts w:hint="eastAsia" w:ascii="黑体" w:hAnsi="宋体" w:eastAsia="黑体"/>
          <w:sz w:val="32"/>
          <w:szCs w:val="32"/>
        </w:rPr>
        <w:t>一、</w:t>
      </w:r>
      <w:r>
        <w:rPr>
          <w:rFonts w:hint="eastAsia" w:ascii="黑体" w:hAnsi="宋体" w:eastAsia="黑体"/>
          <w:sz w:val="32"/>
          <w:szCs w:val="32"/>
          <w:lang w:val="zh-CN"/>
        </w:rPr>
        <w:t>项目概况</w:t>
      </w:r>
      <w:bookmarkEnd w:id="9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1．本项目主要是市纪委机关用于深化“三项改革”工作专项经费，探索纪律检查体制改革、国家监察体制改革、纪检监察机构改革相关工作，促进纪检监察工作稳健发展。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本项目纳入财政年初预算，财政批复下达资金，用于深化“三项改革”工作专项经费支出。该经费在市纪委机关统筹核算，严格按照机关财务管理制度，对经济活动事项进行财务控制，实行专项管理，严格审批制度，做到专款专用，确保项目工作经费有效的利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该项目设置绩效目标为开展市级派驻机构第二轮优化调整，推进乡镇纪委规范化建设，探索纪律检查体制改革、国家监察体制改革、纪检监察机构改革相关工作，促进纪检监察工作稳健发展。项目实施进度完成率100%。该申报内容与实际相符合，申报绩效目标合理可行，达到预期效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依据相关专项资金管理办法和现行财务制度，按照项目支出绩效评价指标体系内容，通过自查和抽查方式，使用成本效益比较法和因素分析法，考评项目年度预期绩效目标完成情况及年度达到的效益。通过自评，该项目按照前期规划组织实施，较好地实现了预期绩效目标及年度效益。</w:t>
      </w:r>
    </w:p>
    <w:p>
      <w:pPr>
        <w:adjustRightInd w:val="0"/>
        <w:snapToGrid w:val="0"/>
        <w:spacing w:line="600" w:lineRule="exact"/>
        <w:ind w:firstLine="720"/>
        <w:outlineLvl w:val="1"/>
        <w:rPr>
          <w:rFonts w:ascii="黑体" w:hAnsi="宋体" w:eastAsia="黑体"/>
          <w:sz w:val="32"/>
          <w:szCs w:val="32"/>
        </w:rPr>
      </w:pPr>
      <w:bookmarkStart w:id="95" w:name="_Toc22138"/>
      <w:r>
        <w:rPr>
          <w:rFonts w:hint="eastAsia" w:ascii="黑体" w:hAnsi="宋体" w:eastAsia="黑体"/>
          <w:sz w:val="32"/>
          <w:szCs w:val="32"/>
        </w:rPr>
        <w:t>二、项目资金申报及使用情况</w:t>
      </w:r>
      <w:bookmarkEnd w:id="95"/>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经市人大会议审查批准及市财政局批复，年初预算深化“三项改革”工作专项经费</w:t>
      </w:r>
      <w:r>
        <w:rPr>
          <w:rFonts w:hint="eastAsia" w:ascii="仿宋_GB2312" w:hAnsi="仿宋_GB2312" w:eastAsia="仿宋_GB2312" w:cs="仿宋_GB2312"/>
          <w:color w:val="auto"/>
          <w:kern w:val="0"/>
          <w:sz w:val="32"/>
          <w:szCs w:val="32"/>
          <w:highlight w:val="none"/>
          <w:u w:val="none"/>
          <w:shd w:val="clear" w:color="auto" w:fill="FFFFFF"/>
          <w:lang w:val="en-US" w:eastAsia="zh-CN"/>
        </w:rPr>
        <w:t>20</w:t>
      </w:r>
      <w:r>
        <w:rPr>
          <w:rFonts w:hint="eastAsia" w:ascii="仿宋_GB2312" w:hAnsi="仿宋_GB2312" w:eastAsia="仿宋_GB2312" w:cs="仿宋_GB2312"/>
          <w:color w:val="auto"/>
          <w:kern w:val="0"/>
          <w:sz w:val="32"/>
          <w:szCs w:val="32"/>
          <w:highlight w:val="none"/>
          <w:u w:val="none"/>
          <w:shd w:val="clear" w:color="auto" w:fill="FFFFFF"/>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截止到评价日，该项目资金到位</w:t>
      </w:r>
      <w:r>
        <w:rPr>
          <w:rFonts w:hint="eastAsia" w:ascii="仿宋_GB2312" w:hAnsi="仿宋_GB2312" w:eastAsia="仿宋_GB2312" w:cs="仿宋_GB2312"/>
          <w:color w:val="auto"/>
          <w:kern w:val="0"/>
          <w:sz w:val="32"/>
          <w:szCs w:val="32"/>
          <w:highlight w:val="none"/>
          <w:u w:val="none"/>
          <w:shd w:val="clear" w:color="auto" w:fill="FFFFFF"/>
          <w:lang w:val="en-US" w:eastAsia="zh-CN"/>
        </w:rPr>
        <w:t>20</w:t>
      </w:r>
      <w:r>
        <w:rPr>
          <w:rFonts w:hint="eastAsia" w:ascii="仿宋_GB2312" w:hAnsi="仿宋_GB2312" w:eastAsia="仿宋_GB2312" w:cs="仿宋_GB2312"/>
          <w:color w:val="auto"/>
          <w:kern w:val="0"/>
          <w:sz w:val="32"/>
          <w:szCs w:val="32"/>
          <w:highlight w:val="none"/>
          <w:u w:val="none"/>
          <w:shd w:val="clear" w:color="auto" w:fill="FFFFFF"/>
          <w:lang w:val="zh-CN"/>
        </w:rPr>
        <w:t>万元，资金到位率100%，为本级财政拨款资金，预算支出未发现无预算、超预算支出，资金使用安全、规范及有效，资金支付范围、支付标准、支付进度、支付依据等合规合法、与预算相符，未发现虚列支出、挤占、挪用、转移财政资金行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建立了基本健全的内部控制制度，内部控制管理运行有效。同时制定相关专项资金的财务管理制度，设置项目管理机构，会计核算及账务处理专账核算，专款专用。按照项目资金管理办法，项目执行了财务管理制度，财务处理及时，会计核算基本规范。</w:t>
      </w:r>
    </w:p>
    <w:p>
      <w:pPr>
        <w:adjustRightInd w:val="0"/>
        <w:snapToGrid w:val="0"/>
        <w:spacing w:line="600" w:lineRule="exact"/>
        <w:ind w:firstLine="720"/>
        <w:outlineLvl w:val="1"/>
        <w:rPr>
          <w:rFonts w:ascii="黑体" w:hAnsi="宋体" w:eastAsia="黑体"/>
          <w:sz w:val="32"/>
          <w:szCs w:val="32"/>
        </w:rPr>
      </w:pPr>
      <w:bookmarkStart w:id="96" w:name="_Toc5930"/>
      <w:r>
        <w:rPr>
          <w:rFonts w:hint="eastAsia" w:ascii="黑体" w:hAnsi="宋体" w:eastAsia="黑体"/>
          <w:sz w:val="32"/>
          <w:szCs w:val="32"/>
        </w:rPr>
        <w:t>三、项目实施及管理情况</w:t>
      </w:r>
      <w:bookmarkEnd w:id="96"/>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截止评价日，基本完成了资金的申报、审核、支付流程。</w:t>
      </w:r>
    </w:p>
    <w:p>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项目实施单位严格执行相关法律法规及项目管理制度，通过项目实施，基本达到预期效果，绩效结果评定为优。</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在工作中，相关室对项目建设程序、实施进度、项目质量、资金使用及财务管理等进行全程监管，确保项目管理规范、按期保质保量完成任务。</w:t>
      </w:r>
    </w:p>
    <w:p>
      <w:pPr>
        <w:adjustRightInd w:val="0"/>
        <w:snapToGrid w:val="0"/>
        <w:spacing w:line="600" w:lineRule="exact"/>
        <w:ind w:firstLine="720"/>
        <w:outlineLvl w:val="1"/>
        <w:rPr>
          <w:rFonts w:ascii="仿宋_GB2312" w:hAnsi="宋体" w:eastAsia="仿宋_GB2312"/>
          <w:sz w:val="32"/>
          <w:szCs w:val="32"/>
          <w:lang w:val="zh-CN"/>
        </w:rPr>
      </w:pPr>
      <w:bookmarkStart w:id="97" w:name="_Toc1554"/>
      <w:r>
        <w:rPr>
          <w:rFonts w:hint="eastAsia" w:ascii="黑体" w:hAnsi="宋体" w:eastAsia="黑体"/>
          <w:sz w:val="32"/>
          <w:szCs w:val="32"/>
        </w:rPr>
        <w:t>四、项目绩效情况</w:t>
      </w:r>
      <w:bookmarkEnd w:id="97"/>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截止评价日，持续</w:t>
      </w:r>
      <w:r>
        <w:rPr>
          <w:rFonts w:hint="eastAsia" w:ascii="仿宋_GB2312" w:hAnsi="仿宋_GB2312" w:eastAsia="仿宋_GB2312" w:cs="仿宋_GB2312"/>
          <w:color w:val="auto"/>
          <w:kern w:val="0"/>
          <w:sz w:val="32"/>
          <w:szCs w:val="32"/>
          <w:highlight w:val="none"/>
          <w:u w:val="none"/>
          <w:shd w:val="clear" w:color="auto" w:fill="FFFFFF"/>
          <w:lang w:val="zh-CN"/>
        </w:rPr>
        <w:t>开展市级派驻机构优化调整，加大市县纪委监委机关、巡察机构、派驻（出）机构之间的干部交流，基本实现乡镇纪委书记专职，全面推行村党组织副书记、村级纪检委员（纪委书记）、监察工作信息员、村务监督委员会主任“四职合一”。</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通过市级派驻机构优化调整、创新建立“4321”精准监督模式，建立联动提级交叉巡察机制，构建统筹疫情防控和经济社会发展“大督战”机制等，在绩效目标完成方面，取得了一定的社会效益，促进纪检监察工作稳健发展。</w:t>
      </w:r>
    </w:p>
    <w:p>
      <w:pPr>
        <w:adjustRightInd w:val="0"/>
        <w:snapToGrid w:val="0"/>
        <w:spacing w:line="600" w:lineRule="exact"/>
        <w:ind w:firstLine="720"/>
        <w:outlineLvl w:val="1"/>
        <w:rPr>
          <w:rFonts w:ascii="黑体" w:hAnsi="宋体" w:eastAsia="黑体"/>
          <w:sz w:val="32"/>
          <w:szCs w:val="32"/>
        </w:rPr>
      </w:pPr>
      <w:bookmarkStart w:id="98" w:name="_Toc24414"/>
      <w:r>
        <w:rPr>
          <w:rFonts w:hint="eastAsia" w:ascii="黑体" w:hAnsi="宋体" w:eastAsia="黑体"/>
          <w:sz w:val="32"/>
          <w:szCs w:val="32"/>
        </w:rPr>
        <w:t>五、评价结论及建议</w:t>
      </w:r>
      <w:bookmarkEnd w:id="98"/>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思想认识不足，基层落实“三转”工作存在困难和问题，职能定位不够准确，工作方式上面存在缺位。</w:t>
      </w:r>
    </w:p>
    <w:p>
      <w:pPr>
        <w:adjustRightInd w:val="0"/>
        <w:snapToGrid w:val="0"/>
        <w:spacing w:line="600" w:lineRule="exact"/>
        <w:ind w:firstLine="720"/>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加强和深入推进</w:t>
      </w:r>
      <w:r>
        <w:rPr>
          <w:rFonts w:hint="eastAsia" w:ascii="仿宋_GB2312" w:hAnsi="仿宋_GB2312" w:eastAsia="仿宋_GB2312" w:cs="仿宋_GB2312"/>
          <w:color w:val="auto"/>
          <w:kern w:val="0"/>
          <w:sz w:val="32"/>
          <w:szCs w:val="32"/>
          <w:highlight w:val="none"/>
          <w:u w:val="none"/>
          <w:shd w:val="clear" w:color="auto" w:fill="FFFFFF"/>
          <w:lang w:val="zh-CN"/>
        </w:rPr>
        <w:t>推进乡镇纪委规范化建设</w:t>
      </w:r>
      <w:r>
        <w:rPr>
          <w:rFonts w:hint="eastAsia" w:ascii="仿宋_GB2312" w:hAnsi="仿宋_GB2312" w:eastAsia="仿宋_GB2312" w:cs="仿宋_GB2312"/>
          <w:color w:val="auto"/>
          <w:kern w:val="0"/>
          <w:sz w:val="32"/>
          <w:szCs w:val="32"/>
          <w:highlight w:val="none"/>
          <w:u w:val="none"/>
          <w:shd w:val="clear" w:color="auto" w:fill="FFFFFF"/>
          <w:lang w:val="zh-CN" w:eastAsia="zh-CN"/>
        </w:rPr>
        <w:t>，切实提高政治站位，全面提高履职能力，增强执纪监督的能力。</w:t>
      </w:r>
    </w:p>
    <w:p>
      <w:pPr>
        <w:pStyle w:val="23"/>
        <w:rPr>
          <w:rFonts w:hint="eastAsia"/>
          <w:lang w:val="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w:t>
      </w:r>
      <w:r>
        <w:rPr>
          <w:rFonts w:hint="eastAsia" w:hAnsi="仿宋_GB2312" w:eastAsia="仿宋_GB2312" w:cs="仿宋_GB2312"/>
          <w:color w:val="auto"/>
          <w:sz w:val="32"/>
          <w:szCs w:val="32"/>
          <w:highlight w:val="none"/>
          <w:lang w:val="en-US" w:eastAsia="zh-CN"/>
        </w:rPr>
        <w:t>预算项目</w:t>
      </w:r>
      <w:r>
        <w:rPr>
          <w:rFonts w:hint="eastAsia" w:ascii="仿宋_GB2312" w:hAnsi="仿宋_GB2312" w:eastAsia="仿宋_GB2312" w:cs="仿宋_GB2312"/>
          <w:color w:val="auto"/>
          <w:sz w:val="32"/>
          <w:szCs w:val="32"/>
          <w:highlight w:val="none"/>
          <w:lang w:val="en-US" w:eastAsia="zh-CN"/>
        </w:rPr>
        <w:t>绩效目标自评表（2022年度）</w:t>
      </w:r>
    </w:p>
    <w:tbl>
      <w:tblPr>
        <w:tblStyle w:val="16"/>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272"/>
        <w:gridCol w:w="1081"/>
        <w:gridCol w:w="1258"/>
        <w:gridCol w:w="631"/>
        <w:gridCol w:w="804"/>
        <w:gridCol w:w="711"/>
        <w:gridCol w:w="885"/>
        <w:gridCol w:w="96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深化“三项改革”工作专项经费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通过探索纪律检查体制改革、国家监察体制改革、纪检监察机构改革相关工作，促进纪检监察工作稳健发展。</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市级派驻机构优化调整、创新建立“4321”精准监督模式，建立联动提级交叉巡察机制，构建统筹疫情防控和经济社会发展“大督战”机制等，在绩效目标完成方面，取得了一定的社会效益，促进纪检监察工作稳健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开展市级派驻机构优化调整，加大市县纪委监委机关、巡察机构、派驻（出）机构之间的干部交流，基本实现乡镇纪委书记专职，全面推行村党组织副书记、村级纪检委员（纪委书记）、监察工作信息员、村务监督委员会主任“四职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机构改革调研次数</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改革任务完成度</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完成项目时间</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工作经费成本支出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机制建设</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推动纪检监察工作</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5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5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思想认识不足，基层落实“三转”工作存在困难和问题，职能定位不够准确，工作方式上面存在缺位。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5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加强和深入推进推进乡镇纪委规范化建设，切实提高政治站位，全面提高履职能力，增强执纪监督的能力。</w:t>
            </w:r>
          </w:p>
        </w:tc>
      </w:tr>
    </w:tbl>
    <w:p>
      <w:pPr>
        <w:pStyle w:val="23"/>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6"/>
        <w:outlineLvl w:val="1"/>
        <w:rPr>
          <w:rFonts w:hint="default" w:hAnsi="宋体" w:cs="宋体"/>
          <w:color w:val="auto"/>
          <w:kern w:val="0"/>
          <w:sz w:val="32"/>
          <w:szCs w:val="32"/>
          <w:highlight w:val="none"/>
          <w:shd w:val="clear" w:color="auto" w:fill="FFFFFF"/>
          <w:lang w:val="en-US" w:eastAsia="zh-CN"/>
        </w:rPr>
      </w:pPr>
      <w:bookmarkStart w:id="99" w:name="_Toc30366"/>
      <w:r>
        <w:rPr>
          <w:rFonts w:hint="eastAsia" w:hAnsi="宋体" w:cs="宋体"/>
          <w:color w:val="auto"/>
          <w:kern w:val="0"/>
          <w:sz w:val="32"/>
          <w:szCs w:val="32"/>
          <w:highlight w:val="none"/>
          <w:shd w:val="clear" w:color="auto" w:fill="FFFFFF"/>
          <w:lang w:val="zh-CN" w:eastAsia="zh-CN"/>
        </w:rPr>
        <w:t>附件</w:t>
      </w:r>
      <w:r>
        <w:rPr>
          <w:rFonts w:hint="eastAsia" w:hAnsi="宋体" w:cs="宋体"/>
          <w:color w:val="auto"/>
          <w:kern w:val="0"/>
          <w:sz w:val="32"/>
          <w:szCs w:val="32"/>
          <w:highlight w:val="none"/>
          <w:shd w:val="clear" w:color="auto" w:fill="FFFFFF"/>
          <w:lang w:val="en-US" w:eastAsia="zh-CN"/>
        </w:rPr>
        <w:t>5</w:t>
      </w:r>
      <w:bookmarkEnd w:id="99"/>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2022年中共广元市委巡察办关于工作经费</w:t>
      </w:r>
      <w:r>
        <w:rPr>
          <w:rFonts w:hint="eastAsia" w:ascii="方正小标宋简体" w:hAnsi="方正小标宋简体" w:eastAsia="方正小标宋简体" w:cs="方正小标宋简体"/>
          <w:color w:val="auto"/>
          <w:kern w:val="2"/>
          <w:sz w:val="32"/>
          <w:szCs w:val="32"/>
          <w:highlight w:val="none"/>
          <w:lang w:val="zh-CN" w:eastAsia="zh-CN"/>
        </w:rPr>
        <w:t>项目</w:t>
      </w:r>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zh-CN" w:eastAsia="zh-CN"/>
        </w:rPr>
        <w:t>绩效自评报告</w:t>
      </w:r>
    </w:p>
    <w:p>
      <w:pPr>
        <w:spacing w:line="600" w:lineRule="exact"/>
        <w:jc w:val="center"/>
        <w:rPr>
          <w:rStyle w:val="39"/>
          <w:rFonts w:ascii="宋体" w:hAnsi="Calibri"/>
          <w:sz w:val="32"/>
          <w:szCs w:val="32"/>
          <w:lang w:val="zh-CN"/>
        </w:rPr>
      </w:pPr>
    </w:p>
    <w:p>
      <w:pPr>
        <w:snapToGrid w:val="0"/>
        <w:spacing w:line="576" w:lineRule="exact"/>
        <w:ind w:firstLine="640" w:firstLineChars="200"/>
        <w:textAlignment w:val="baseline"/>
        <w:outlineLvl w:val="1"/>
        <w:rPr>
          <w:rStyle w:val="39"/>
          <w:rFonts w:ascii="黑体" w:hAnsi="宋体" w:eastAsia="黑体"/>
          <w:sz w:val="32"/>
          <w:szCs w:val="32"/>
          <w:lang w:val="zh-CN"/>
        </w:rPr>
      </w:pPr>
      <w:bookmarkStart w:id="100" w:name="_Toc18398"/>
      <w:r>
        <w:rPr>
          <w:rStyle w:val="39"/>
          <w:rFonts w:ascii="黑体" w:hAnsi="宋体" w:eastAsia="黑体"/>
          <w:sz w:val="32"/>
          <w:szCs w:val="32"/>
        </w:rPr>
        <w:t>一、</w:t>
      </w:r>
      <w:r>
        <w:rPr>
          <w:rStyle w:val="39"/>
          <w:rFonts w:ascii="黑体" w:hAnsi="宋体" w:eastAsia="黑体"/>
          <w:sz w:val="32"/>
          <w:szCs w:val="32"/>
          <w:lang w:val="zh-CN"/>
        </w:rPr>
        <w:t>项目概况</w:t>
      </w:r>
      <w:bookmarkEnd w:id="100"/>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1．该经费项目主要是用于保障市委巡察机构工作运转，包括保障巡察办履行统筹协调、督导指导、服务保障职责，贯彻落实中央省委和市委巡察工作和部署，完成市委和巡察工作领导小组决定事项；保障市委各巡察组、省委联动巡视巡察组、广元市帮扶壤塘县委巡察、壤塘县委巡察组来广跟班学习、提级交叉联动巡察，保障了信息建设工作顺利推进。</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2．按照省委办印发的《四川省市（州）、县（市、区）党委巡察工作办法》规定，优化和明确市县巡察工作职能职责，相关工作经费由市纪委监委机关以巡察工作专项经费，纳入年度部门预算。该经费项目支出由市委巡察办核实票据，市纪委监委机关审核报销。严格按照财务管理制度实行专项管理，杜绝资金沉淀闲置，做到专款专用，确保项目工作经费有效利用。</w:t>
      </w:r>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（二）项目绩效目标。</w:t>
      </w:r>
    </w:p>
    <w:p>
      <w:pPr>
        <w:snapToGrid w:val="0"/>
        <w:spacing w:line="576" w:lineRule="exact"/>
        <w:ind w:firstLine="640" w:firstLineChars="200"/>
        <w:textAlignment w:val="baseline"/>
        <w:rPr>
          <w:rStyle w:val="39"/>
          <w:rFonts w:ascii="仿宋_GB2312" w:hAnsi="宋体" w:eastAsia="仿宋_GB2312"/>
          <w:sz w:val="32"/>
          <w:szCs w:val="32"/>
        </w:rPr>
      </w:pPr>
      <w:r>
        <w:rPr>
          <w:rFonts w:hint="eastAsia" w:ascii="仿宋_GB2312" w:hAnsi="仿宋_GB2312" w:eastAsia="仿宋_GB2312" w:cs="仿宋_GB2312"/>
          <w:color w:val="auto"/>
          <w:kern w:val="0"/>
          <w:sz w:val="32"/>
          <w:szCs w:val="32"/>
          <w:highlight w:val="none"/>
          <w:u w:val="none"/>
          <w:shd w:val="clear" w:color="auto" w:fill="FFFFFF"/>
          <w:lang w:val="zh-CN" w:eastAsia="zh-CN"/>
        </w:rPr>
        <w:t>该项工作经费保障了市委巡察机构有序运转和工作正常开展。高质量推进巡察全覆盖，板块轮动组织开展八届市委第四轮、第五轮常规巡察，穿插安排提级交叉巡察。进一步发挥市委巡察机构在上下联动中的作用，健全完善市县巡察会商研判机制，常态化灵活机动对县（区）巡察开展指导督导。深化巡察监督与相关职能部门协调协作，探索巡察监督与群众监督、舆论监督贯通融合机制。</w:t>
      </w:r>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一是明确细化职责职能，市委巡察办为项目实施主体单位，巡察办主要负责绩效评价方案的制定、组织实施和检查、督促、验收工作。二是依据相关专项资金管理办法和现行财务制度，按照项目支出绩效评价指标体系要求，列出了预算绩效评价的项目清单，从预算编制、预算执行、预算绩效三个方面，分别对项目进行绩效评价。三是通过自查和抽查，项目实施单位能够按照项目规划组织实施，较好地实现了预期绩效目标。</w:t>
      </w:r>
    </w:p>
    <w:p>
      <w:pPr>
        <w:snapToGrid w:val="0"/>
        <w:spacing w:line="576" w:lineRule="exact"/>
        <w:ind w:firstLine="640" w:firstLineChars="200"/>
        <w:textAlignment w:val="baseline"/>
        <w:outlineLvl w:val="1"/>
        <w:rPr>
          <w:rStyle w:val="39"/>
          <w:rFonts w:ascii="黑体" w:hAnsi="宋体" w:eastAsia="黑体"/>
          <w:sz w:val="32"/>
          <w:szCs w:val="32"/>
        </w:rPr>
      </w:pPr>
      <w:bookmarkStart w:id="101" w:name="_Toc19919"/>
      <w:r>
        <w:rPr>
          <w:rStyle w:val="39"/>
          <w:rFonts w:ascii="黑体" w:hAnsi="宋体" w:eastAsia="黑体"/>
          <w:sz w:val="32"/>
          <w:szCs w:val="32"/>
        </w:rPr>
        <w:t>二、项目资金申报及使用情况</w:t>
      </w:r>
      <w:bookmarkEnd w:id="101"/>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经市人大会议审查批准及市财政局批复，年初预算市委巡察办巡察工作经费</w:t>
      </w:r>
      <w:r>
        <w:rPr>
          <w:rFonts w:hint="eastAsia" w:ascii="仿宋_GB2312" w:hAnsi="仿宋_GB2312" w:eastAsia="仿宋_GB2312" w:cs="仿宋_GB2312"/>
          <w:color w:val="auto"/>
          <w:kern w:val="0"/>
          <w:sz w:val="32"/>
          <w:szCs w:val="32"/>
          <w:highlight w:val="none"/>
          <w:u w:val="none"/>
          <w:shd w:val="clear" w:color="auto" w:fill="FFFFFF"/>
          <w:lang w:val="en-US" w:eastAsia="zh-CN"/>
        </w:rPr>
        <w:t>130</w:t>
      </w:r>
      <w:r>
        <w:rPr>
          <w:rFonts w:hint="eastAsia" w:ascii="仿宋_GB2312" w:hAnsi="仿宋_GB2312" w:eastAsia="仿宋_GB2312" w:cs="仿宋_GB2312"/>
          <w:color w:val="auto"/>
          <w:kern w:val="0"/>
          <w:sz w:val="32"/>
          <w:szCs w:val="32"/>
          <w:highlight w:val="none"/>
          <w:u w:val="none"/>
          <w:shd w:val="clear" w:color="auto" w:fill="FFFFFF"/>
          <w:lang w:val="zh-CN" w:eastAsia="zh-CN"/>
        </w:rPr>
        <w:t>万元。</w:t>
      </w:r>
    </w:p>
    <w:p>
      <w:pPr>
        <w:snapToGrid w:val="0"/>
        <w:spacing w:line="576" w:lineRule="exact"/>
        <w:ind w:firstLine="640" w:firstLineChars="200"/>
        <w:textAlignment w:val="baseline"/>
        <w:rPr>
          <w:rStyle w:val="39"/>
          <w:rFonts w:ascii="仿宋_GB2312" w:hAnsi="宋体" w:eastAsia="仿宋_GB2312"/>
          <w:bCs/>
          <w:sz w:val="32"/>
          <w:szCs w:val="32"/>
          <w:lang w:val="zh-CN"/>
        </w:rPr>
      </w:pPr>
      <w:r>
        <w:rPr>
          <w:rStyle w:val="39"/>
          <w:rFonts w:ascii="楷体_GB2312" w:hAnsi="宋体" w:eastAsia="楷体_GB2312"/>
          <w:bCs/>
          <w:sz w:val="32"/>
          <w:szCs w:val="32"/>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截止到评价日，该项目资金到位</w:t>
      </w:r>
      <w:r>
        <w:rPr>
          <w:rFonts w:hint="eastAsia" w:ascii="仿宋_GB2312" w:hAnsi="仿宋_GB2312" w:eastAsia="仿宋_GB2312" w:cs="仿宋_GB2312"/>
          <w:color w:val="auto"/>
          <w:kern w:val="0"/>
          <w:sz w:val="32"/>
          <w:szCs w:val="32"/>
          <w:highlight w:val="none"/>
          <w:u w:val="none"/>
          <w:shd w:val="clear" w:color="auto" w:fill="FFFFFF"/>
          <w:lang w:val="en-US" w:eastAsia="zh-CN"/>
        </w:rPr>
        <w:t>130</w:t>
      </w:r>
      <w:r>
        <w:rPr>
          <w:rFonts w:hint="eastAsia" w:ascii="仿宋_GB2312" w:hAnsi="仿宋_GB2312" w:eastAsia="仿宋_GB2312" w:cs="仿宋_GB2312"/>
          <w:color w:val="auto"/>
          <w:kern w:val="0"/>
          <w:sz w:val="32"/>
          <w:szCs w:val="32"/>
          <w:highlight w:val="none"/>
          <w:u w:val="none"/>
          <w:shd w:val="clear" w:color="auto" w:fill="FFFFFF"/>
          <w:lang w:val="zh-CN" w:eastAsia="zh-CN"/>
        </w:rPr>
        <w:t>万元，资金到位率100%，为本级财政拨款资金，预算支出未发现无预算、超预算支出，资金使用安全、规范及有效，资金支付范围、支付标准、支付进度、支付依据等合规合法、与预算相符，未发现虚列支出、挤占、挪用、转移财政资金行为。</w:t>
      </w:r>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作为经费报账制单位，市委巡察办积极配合市纪委监委机关做好财务管理工作，建立健全的内部控制制度，制定专项资金的财务管理制度，设置项目管理机构，会计核算及账务处理专账核算，专款专用。积极配合市纪委监委机关按照项目资金管理办法、项目执行财务管理制度，财务处理及时，会计核算规范。</w:t>
      </w:r>
    </w:p>
    <w:p>
      <w:pPr>
        <w:snapToGrid w:val="0"/>
        <w:spacing w:line="576" w:lineRule="exact"/>
        <w:ind w:firstLine="640" w:firstLineChars="200"/>
        <w:textAlignment w:val="baseline"/>
        <w:outlineLvl w:val="1"/>
        <w:rPr>
          <w:rStyle w:val="39"/>
          <w:rFonts w:ascii="黑体" w:hAnsi="宋体" w:eastAsia="黑体"/>
          <w:sz w:val="32"/>
          <w:szCs w:val="32"/>
        </w:rPr>
      </w:pPr>
      <w:bookmarkStart w:id="102" w:name="_Toc21212"/>
      <w:r>
        <w:rPr>
          <w:rStyle w:val="39"/>
          <w:rFonts w:ascii="黑体" w:hAnsi="宋体" w:eastAsia="黑体"/>
          <w:sz w:val="32"/>
          <w:szCs w:val="32"/>
        </w:rPr>
        <w:t>三、项目实施及管理情况</w:t>
      </w:r>
      <w:bookmarkEnd w:id="102"/>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截止评价日，基本完成了资金的申报、审核、支付流程。</w:t>
      </w:r>
    </w:p>
    <w:p>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项目实施单位严格执行相关法律法规及项目管理制度，通过项目实施，基本达到预期效果，绩效结果评定为优。</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hint="eastAsia"/>
          <w:lang w:val="zh-CN"/>
        </w:rPr>
      </w:pPr>
      <w:r>
        <w:rPr>
          <w:rFonts w:hint="eastAsia" w:ascii="仿宋_GB2312" w:hAnsi="宋体" w:eastAsia="仿宋_GB2312"/>
          <w:sz w:val="32"/>
          <w:szCs w:val="28"/>
        </w:rPr>
        <w:t>在工作中，相关室对项目建设程序、实施进度、项目质量、资金使用及财务管理等进行全程监管，确保项目管理规范、按期保质保量完成任务。</w:t>
      </w:r>
    </w:p>
    <w:p>
      <w:pPr>
        <w:snapToGrid w:val="0"/>
        <w:spacing w:line="576" w:lineRule="exact"/>
        <w:ind w:firstLine="640" w:firstLineChars="200"/>
        <w:textAlignment w:val="baseline"/>
        <w:outlineLvl w:val="1"/>
        <w:rPr>
          <w:rStyle w:val="39"/>
          <w:rFonts w:ascii="仿宋_GB2312" w:hAnsi="宋体" w:eastAsia="仿宋_GB2312"/>
          <w:sz w:val="32"/>
          <w:szCs w:val="32"/>
          <w:lang w:val="zh-CN"/>
        </w:rPr>
      </w:pPr>
      <w:bookmarkStart w:id="103" w:name="_Toc13127"/>
      <w:r>
        <w:rPr>
          <w:rStyle w:val="39"/>
          <w:rFonts w:ascii="黑体" w:hAnsi="宋体" w:eastAsia="黑体"/>
          <w:sz w:val="32"/>
          <w:szCs w:val="32"/>
        </w:rPr>
        <w:t>四、项目绩效情况</w:t>
      </w:r>
      <w:bookmarkEnd w:id="103"/>
      <w:r>
        <w:rPr>
          <w:rStyle w:val="39"/>
          <w:rFonts w:ascii="仿宋_GB2312" w:hAnsi="宋体" w:eastAsia="仿宋_GB2312"/>
          <w:sz w:val="32"/>
          <w:szCs w:val="32"/>
          <w:lang w:val="zh-CN"/>
        </w:rPr>
        <w:tab/>
      </w:r>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全面完成本年度各项目标任务，完开展八届市委第四轮、第五轮常规巡察，全面贯彻巡视工作方针，把“两个维护”作为根本任务，紧紧围绕履行好党的领导职能责任强化监督，重点发现和推动解决学习贯彻党的二十大精神、实施“十四五”规划、贯彻新发展理念、落实管党治党政治责任等方面突出问题，确保党中央和省委、市委各项决策部署落地见效，提升了群众的获得感幸福感安全感。</w:t>
      </w:r>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（二）项目效益情况。</w:t>
      </w:r>
    </w:p>
    <w:p>
      <w:pPr>
        <w:snapToGrid w:val="0"/>
        <w:spacing w:line="576" w:lineRule="exact"/>
        <w:ind w:firstLine="640" w:firstLineChars="200"/>
        <w:textAlignment w:val="baseline"/>
        <w:rPr>
          <w:rStyle w:val="39"/>
          <w:rFonts w:ascii="仿宋_GB2312" w:hAnsi="宋体" w:eastAsia="仿宋_GB2312"/>
          <w:sz w:val="32"/>
          <w:szCs w:val="32"/>
          <w:lang w:val="zh-CN"/>
        </w:rPr>
      </w:pPr>
      <w:r>
        <w:rPr>
          <w:rStyle w:val="39"/>
          <w:rFonts w:ascii="仿宋_GB2312" w:hAnsi="宋体" w:eastAsia="仿宋_GB2312"/>
          <w:sz w:val="32"/>
          <w:szCs w:val="32"/>
          <w:lang w:val="zh-CN"/>
        </w:rPr>
        <w:t>全市党委巡察工作在省委巡视工作领导小组和市委的坚强领导下，坚持以习近平新时代中国特色社会主义思想为指导，认真贯彻巡视工作方针，全面落实中央和省委、市委关于巡察工作决策部署，坚持以高质量推进七届市委巡察全覆盖为目标，以深化政治巡察强化政治监督为主线，以健全完善广元特色“1+4+N”巡察制度体系为支撑，以推动巡察监督与其他监督贯通融合为路径，提高政治站位，强化政治担当，做深做细做实巡察工作，全面完成本年度各项目标任务，为决战决胜整体连片贫困到同步全面小康跨越。</w:t>
      </w:r>
    </w:p>
    <w:p>
      <w:pPr>
        <w:snapToGrid w:val="0"/>
        <w:spacing w:line="576" w:lineRule="exact"/>
        <w:ind w:firstLine="640" w:firstLineChars="200"/>
        <w:textAlignment w:val="baseline"/>
        <w:outlineLvl w:val="1"/>
        <w:rPr>
          <w:rStyle w:val="39"/>
          <w:rFonts w:ascii="黑体" w:hAnsi="宋体" w:eastAsia="黑体"/>
          <w:sz w:val="32"/>
          <w:szCs w:val="32"/>
        </w:rPr>
      </w:pPr>
      <w:bookmarkStart w:id="104" w:name="_Toc26305"/>
      <w:r>
        <w:rPr>
          <w:rStyle w:val="39"/>
          <w:rFonts w:ascii="黑体" w:hAnsi="宋体" w:eastAsia="黑体"/>
          <w:sz w:val="32"/>
          <w:szCs w:val="32"/>
        </w:rPr>
        <w:t>五、评价结论及建议</w:t>
      </w:r>
      <w:bookmarkEnd w:id="104"/>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该项目在决策方面，决策依据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优级。</w:t>
      </w:r>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（二）存在的问题。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巡察工作任务重，工作量大，资金保障不足。</w:t>
      </w:r>
    </w:p>
    <w:p>
      <w:pPr>
        <w:snapToGrid w:val="0"/>
        <w:spacing w:line="576" w:lineRule="exact"/>
        <w:ind w:firstLine="640" w:firstLineChars="200"/>
        <w:textAlignment w:val="baseline"/>
        <w:rPr>
          <w:rStyle w:val="39"/>
          <w:rFonts w:ascii="楷体_GB2312" w:hAnsi="宋体" w:eastAsia="楷体_GB2312"/>
          <w:bCs/>
          <w:sz w:val="32"/>
          <w:szCs w:val="32"/>
          <w:lang w:val="zh-CN"/>
        </w:rPr>
      </w:pPr>
      <w:r>
        <w:rPr>
          <w:rStyle w:val="39"/>
          <w:rFonts w:ascii="楷体_GB2312" w:hAnsi="宋体" w:eastAsia="楷体_GB2312"/>
          <w:bCs/>
          <w:sz w:val="32"/>
          <w:szCs w:val="32"/>
          <w:lang w:val="zh-CN"/>
        </w:rPr>
        <w:t>（三）下一步工作打算</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今后项目实施时，在项目实施方案、实施计划、项目申报中，将进一步明细绩效指标，便于争取更大资金保障。</w:t>
      </w:r>
    </w:p>
    <w:p>
      <w:pPr>
        <w:pStyle w:val="23"/>
        <w:ind w:left="1059" w:leftChars="352" w:hanging="320" w:hangingChars="100"/>
        <w:rPr>
          <w:rFonts w:hint="eastAsia"/>
          <w:lang w:val="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w:t>
      </w:r>
      <w:r>
        <w:rPr>
          <w:rFonts w:hint="eastAsia" w:hAnsi="仿宋_GB2312" w:eastAsia="仿宋_GB2312" w:cs="仿宋_GB2312"/>
          <w:color w:val="auto"/>
          <w:sz w:val="32"/>
          <w:szCs w:val="32"/>
          <w:highlight w:val="none"/>
          <w:lang w:val="en-US" w:eastAsia="zh-CN"/>
        </w:rPr>
        <w:t>预算项目</w:t>
      </w:r>
      <w:r>
        <w:rPr>
          <w:rFonts w:hint="eastAsia" w:ascii="仿宋_GB2312" w:hAnsi="仿宋_GB2312" w:eastAsia="仿宋_GB2312" w:cs="仿宋_GB2312"/>
          <w:color w:val="auto"/>
          <w:sz w:val="32"/>
          <w:szCs w:val="32"/>
          <w:highlight w:val="none"/>
          <w:lang w:val="en-US" w:eastAsia="zh-CN"/>
        </w:rPr>
        <w:t>绩效目标自评表（2022年度）</w:t>
      </w:r>
    </w:p>
    <w:tbl>
      <w:tblPr>
        <w:tblStyle w:val="16"/>
        <w:tblW w:w="95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1206"/>
        <w:gridCol w:w="1415"/>
        <w:gridCol w:w="1026"/>
        <w:gridCol w:w="948"/>
        <w:gridCol w:w="791"/>
        <w:gridCol w:w="519"/>
        <w:gridCol w:w="771"/>
        <w:gridCol w:w="548"/>
        <w:gridCol w:w="1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2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市委巡察办专项经费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4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4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保障巡察办履行统筹协调、督导指导、服务保障职责，贯彻落实中央省委和市委巡察工作和部署，完成市委和巡察工作领导小组决定事项；保障市委各巡察组、省委联动巡视巡察组、广元市帮扶壤塘县委巡察、壤塘县委巡察组来广跟班学习、提级交叉联动巡察，保障了信息建设工作顺利推进。</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完成本年度各项目标任务，完开展八届市委第四轮、第五轮常规巡察，全面贯彻巡视工作方针，把“两个维护”作为根本任务，紧紧围绕履行好党的领导职能责任强化监督，重点发现和推动解决学习贯彻党的二十大精神、实施“十四五”规划、贯彻新发展理念、落实管党治党政治责任等方面突出问题，确保党中央和省委、市委各项决策部署落地见效，提升了群众的获得感幸福感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2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省委办印发的《四川省市（州）、县（市、区）党委巡察工作办法》规定，优化和明确市县巡察工作职能职责，保障了市委巡察机构有序运转和工作正常开展。高质量推进巡察全覆盖，板块轮动组织开展八届市委第四轮、第五轮常规巡察，穿插安排提级交叉巡察。进一步发挥市委巡察机构在上下联动中的作用，健全完善市县巡察会商研判机制，常态化灵活机动对县（区）巡察开展指导督导。深化巡察监督与相关职能部门协调协作，探索巡察监督与群众监督、舆论监督贯通融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124.07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95.44%</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124.07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95.44%</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巡察工作次数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轮次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巡察本级党组织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市级党组织覆盖率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完成项目时间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巡察工作经费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124.07</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党内政治生态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4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决策方面，决策依据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4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巡察工作任务重，工作量大，资金保障不足。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4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今后项目实施时，在项目实施方案、实施计划、项目申报中，将进一步明细绩效指标，便于争取更大资金保障。</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880" w:firstLineChars="200"/>
        <w:contextualSpacing/>
        <w:jc w:val="left"/>
        <w:textAlignment w:val="auto"/>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pStyle w:val="6"/>
        <w:outlineLvl w:val="1"/>
        <w:rPr>
          <w:rFonts w:hint="default" w:hAnsi="宋体" w:cs="宋体"/>
          <w:color w:val="auto"/>
          <w:kern w:val="0"/>
          <w:sz w:val="32"/>
          <w:szCs w:val="32"/>
          <w:highlight w:val="none"/>
          <w:shd w:val="clear" w:color="auto" w:fill="FFFFFF"/>
          <w:lang w:val="en-US" w:eastAsia="zh-CN"/>
        </w:rPr>
      </w:pPr>
      <w:bookmarkStart w:id="105" w:name="_Toc9174"/>
      <w:r>
        <w:rPr>
          <w:rFonts w:hint="eastAsia" w:hAnsi="宋体" w:cs="宋体"/>
          <w:color w:val="auto"/>
          <w:kern w:val="0"/>
          <w:sz w:val="32"/>
          <w:szCs w:val="32"/>
          <w:highlight w:val="none"/>
          <w:shd w:val="clear" w:color="auto" w:fill="FFFFFF"/>
          <w:lang w:val="zh-CN" w:eastAsia="zh-CN"/>
        </w:rPr>
        <w:t>附件</w:t>
      </w:r>
      <w:r>
        <w:rPr>
          <w:rFonts w:hint="eastAsia" w:hAnsi="宋体" w:cs="宋体"/>
          <w:color w:val="auto"/>
          <w:kern w:val="0"/>
          <w:sz w:val="32"/>
          <w:szCs w:val="32"/>
          <w:highlight w:val="none"/>
          <w:shd w:val="clear" w:color="auto" w:fill="FFFFFF"/>
          <w:lang w:val="en-US" w:eastAsia="zh-CN"/>
        </w:rPr>
        <w:t>6</w:t>
      </w:r>
      <w:bookmarkEnd w:id="105"/>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zh-CN" w:eastAsia="zh-CN"/>
        </w:rPr>
        <w:t>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eastAsia" w:ascii="方正小标宋简体" w:hAnsi="方正小标宋简体" w:eastAsia="方正小标宋简体" w:cs="方正小标宋简体"/>
          <w:color w:val="auto"/>
          <w:kern w:val="2"/>
          <w:sz w:val="32"/>
          <w:szCs w:val="32"/>
          <w:highlight w:val="none"/>
          <w:lang w:val="zh-CN" w:eastAsia="zh-CN"/>
        </w:rPr>
        <w:t>年“阳光问政（廉）”节目经费项目绩效自评报告</w:t>
      </w:r>
    </w:p>
    <w:p>
      <w:pPr>
        <w:spacing w:line="600" w:lineRule="exact"/>
        <w:jc w:val="center"/>
        <w:outlineLvl w:val="9"/>
        <w:rPr>
          <w:rFonts w:hint="eastAsia" w:ascii="黑体" w:hAnsi="黑体" w:eastAsia="黑体"/>
          <w:color w:val="000000"/>
          <w:sz w:val="44"/>
          <w:szCs w:val="44"/>
        </w:rPr>
      </w:pPr>
    </w:p>
    <w:p>
      <w:pPr>
        <w:adjustRightInd w:val="0"/>
        <w:snapToGrid w:val="0"/>
        <w:spacing w:line="600" w:lineRule="exact"/>
        <w:ind w:firstLine="720"/>
        <w:outlineLvl w:val="1"/>
        <w:rPr>
          <w:rFonts w:ascii="黑体" w:hAnsi="宋体" w:eastAsia="黑体"/>
          <w:sz w:val="32"/>
          <w:szCs w:val="32"/>
          <w:lang w:val="zh-CN"/>
        </w:rPr>
      </w:pPr>
      <w:bookmarkStart w:id="106" w:name="_Toc9468"/>
      <w:r>
        <w:rPr>
          <w:rFonts w:hint="eastAsia" w:ascii="黑体" w:hAnsi="宋体" w:eastAsia="黑体"/>
          <w:sz w:val="32"/>
          <w:szCs w:val="32"/>
        </w:rPr>
        <w:t>一、</w:t>
      </w:r>
      <w:r>
        <w:rPr>
          <w:rFonts w:hint="eastAsia" w:ascii="黑体" w:hAnsi="宋体" w:eastAsia="黑体"/>
          <w:sz w:val="32"/>
          <w:szCs w:val="32"/>
          <w:lang w:val="zh-CN"/>
        </w:rPr>
        <w:t>项目概况</w:t>
      </w:r>
      <w:bookmarkEnd w:id="106"/>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napToGrid w:val="0"/>
        <w:spacing w:line="576" w:lineRule="exact"/>
        <w:ind w:firstLine="640" w:firstLineChars="200"/>
        <w:textAlignment w:val="baseline"/>
        <w:rPr>
          <w:rStyle w:val="39"/>
          <w:rFonts w:ascii="仿宋_GB2312" w:hAnsi="宋体" w:eastAsia="仿宋_GB2312"/>
          <w:sz w:val="32"/>
          <w:szCs w:val="32"/>
          <w:lang w:val="zh-CN"/>
        </w:rPr>
      </w:pPr>
      <w:r>
        <w:rPr>
          <w:rStyle w:val="39"/>
          <w:rFonts w:ascii="仿宋_GB2312" w:hAnsi="宋体" w:eastAsia="仿宋_GB2312"/>
          <w:sz w:val="32"/>
          <w:szCs w:val="32"/>
          <w:lang w:val="zh-CN"/>
        </w:rPr>
        <w:t>1</w:t>
      </w:r>
      <w:r>
        <w:rPr>
          <w:rStyle w:val="39"/>
          <w:rFonts w:hint="eastAsia" w:ascii="仿宋_GB2312" w:hAnsi="宋体" w:eastAsia="仿宋_GB2312"/>
          <w:sz w:val="32"/>
          <w:szCs w:val="32"/>
          <w:lang w:val="zh-CN"/>
        </w:rPr>
        <w:t>．本项目主要是市纪委机关用于</w:t>
      </w:r>
      <w:r>
        <w:rPr>
          <w:rStyle w:val="39"/>
          <w:rFonts w:hint="eastAsia" w:ascii="仿宋_GB2312" w:hAnsi="宋体" w:eastAsia="仿宋_GB2312"/>
          <w:sz w:val="32"/>
          <w:szCs w:val="32"/>
          <w:lang w:val="zh-CN" w:eastAsia="zh-CN"/>
        </w:rPr>
        <w:t>“阳光问政（廉）”</w:t>
      </w:r>
      <w:r>
        <w:rPr>
          <w:rStyle w:val="39"/>
          <w:rFonts w:hint="eastAsia" w:ascii="仿宋_GB2312" w:hAnsi="宋体" w:eastAsia="仿宋_GB2312"/>
          <w:sz w:val="32"/>
          <w:szCs w:val="32"/>
          <w:lang w:val="zh-CN"/>
        </w:rPr>
        <w:t>节目经费，目的是问出责任与担当，从而转变干部作风，用实际行动提升群众满意度。把权力放在阳光下、把问题摆在媒体前、把“拷问”设在问答中。曝光只是手段，解决问题才是根本，对于曝光的问题将责成相关部门进行整改，不断提升群众满意度、增强群众幸福感、获得感。</w:t>
      </w:r>
    </w:p>
    <w:p>
      <w:pPr>
        <w:snapToGrid w:val="0"/>
        <w:spacing w:line="576" w:lineRule="exact"/>
        <w:ind w:firstLine="640" w:firstLineChars="200"/>
        <w:textAlignment w:val="baseline"/>
        <w:rPr>
          <w:rStyle w:val="39"/>
          <w:rFonts w:ascii="仿宋_GB2312" w:hAnsi="宋体" w:eastAsia="仿宋_GB2312"/>
          <w:sz w:val="32"/>
          <w:szCs w:val="32"/>
          <w:lang w:val="zh-CN"/>
        </w:rPr>
      </w:pPr>
      <w:r>
        <w:rPr>
          <w:rStyle w:val="39"/>
          <w:rFonts w:ascii="仿宋_GB2312" w:hAnsi="宋体" w:eastAsia="仿宋_GB2312"/>
          <w:sz w:val="32"/>
          <w:szCs w:val="32"/>
          <w:lang w:val="zh-CN"/>
        </w:rPr>
        <w:t>2</w:t>
      </w:r>
      <w:r>
        <w:rPr>
          <w:rStyle w:val="39"/>
          <w:rFonts w:hint="eastAsia" w:ascii="仿宋_GB2312" w:hAnsi="宋体" w:eastAsia="仿宋_GB2312"/>
          <w:sz w:val="32"/>
          <w:szCs w:val="32"/>
          <w:lang w:val="zh-CN"/>
        </w:rPr>
        <w:t>．本项目纳入财政年初预算，财政批复下达资金，用于节目制作成本及相关费用支出。该经费在市纪委机关统筹核算，严格按照机关财务管理制度，对经济活动事项进行财务控制，实行专项管理，严格审批制度，做到专款专用，确保项目经费有效的利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napToGrid w:val="0"/>
        <w:spacing w:line="576" w:lineRule="exact"/>
        <w:ind w:firstLine="640" w:firstLineChars="200"/>
        <w:textAlignment w:val="baseline"/>
        <w:rPr>
          <w:rStyle w:val="39"/>
          <w:rFonts w:ascii="仿宋_GB2312" w:hAnsi="宋体" w:eastAsia="仿宋_GB2312"/>
          <w:sz w:val="32"/>
          <w:szCs w:val="32"/>
          <w:lang w:val="zh-CN"/>
        </w:rPr>
      </w:pPr>
      <w:r>
        <w:rPr>
          <w:rStyle w:val="39"/>
          <w:rFonts w:hint="eastAsia" w:ascii="仿宋_GB2312" w:hAnsi="宋体" w:eastAsia="仿宋_GB2312"/>
          <w:sz w:val="32"/>
          <w:szCs w:val="32"/>
          <w:lang w:val="zh-CN" w:eastAsia="zh-CN"/>
        </w:rPr>
        <w:t>“阳光问政（廉）”</w:t>
      </w:r>
      <w:r>
        <w:rPr>
          <w:rStyle w:val="39"/>
          <w:rFonts w:hint="eastAsia" w:ascii="仿宋_GB2312" w:hAnsi="宋体" w:eastAsia="仿宋_GB2312"/>
          <w:sz w:val="32"/>
          <w:szCs w:val="32"/>
          <w:lang w:val="zh-CN"/>
        </w:rPr>
        <w:t>节目预计开播1期，问题曝光个数不少于3个项目，电视直播完成率100%。截止绩效评价日，项目完成开播期数</w:t>
      </w:r>
      <w:r>
        <w:rPr>
          <w:rStyle w:val="39"/>
          <w:rFonts w:hint="eastAsia" w:ascii="仿宋_GB2312" w:hAnsi="宋体" w:eastAsia="仿宋_GB2312"/>
          <w:sz w:val="32"/>
          <w:szCs w:val="32"/>
          <w:lang w:val="en-US" w:eastAsia="zh-CN"/>
        </w:rPr>
        <w:t>4</w:t>
      </w:r>
      <w:r>
        <w:rPr>
          <w:rStyle w:val="39"/>
          <w:rFonts w:hint="eastAsia" w:ascii="仿宋_GB2312" w:hAnsi="宋体" w:eastAsia="仿宋_GB2312"/>
          <w:sz w:val="32"/>
          <w:szCs w:val="32"/>
          <w:lang w:val="zh-CN"/>
        </w:rPr>
        <w:t>期，项目实施进度完成率100%。该申报内容与实际相符合，申报绩效目标合理可行，达到预期效果。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rPr>
      </w:pPr>
      <w:r>
        <w:rPr>
          <w:rStyle w:val="39"/>
          <w:rFonts w:hint="eastAsia" w:ascii="仿宋_GB2312" w:hAnsi="宋体" w:eastAsia="仿宋_GB2312"/>
          <w:sz w:val="32"/>
          <w:szCs w:val="32"/>
          <w:lang w:val="zh-CN"/>
        </w:rPr>
        <w:t>一是明确细化职责职能，党风政风监督室为项目实施主体单位，机关办公室主要负责绩效评价检查、督促、验收工作。二是依据相关专项资金管理办法和现行财务制度，按照项目支出绩效评价指标体系要求，列出了预算绩效评价的项目清单，从预算编制、预算执行、预算绩效三个方面，分别对项目进行绩效评价。三是通过自查和抽查，项目实施单位能够按照项目规划组织实施，较好地实现了预期绩效目标。</w:t>
      </w:r>
    </w:p>
    <w:p>
      <w:pPr>
        <w:adjustRightInd w:val="0"/>
        <w:snapToGrid w:val="0"/>
        <w:spacing w:line="600" w:lineRule="exact"/>
        <w:ind w:firstLine="720"/>
        <w:outlineLvl w:val="1"/>
        <w:rPr>
          <w:rFonts w:ascii="黑体" w:hAnsi="宋体" w:eastAsia="黑体"/>
          <w:sz w:val="32"/>
          <w:szCs w:val="32"/>
        </w:rPr>
      </w:pPr>
      <w:bookmarkStart w:id="107" w:name="_Toc31623"/>
      <w:r>
        <w:rPr>
          <w:rFonts w:hint="eastAsia" w:ascii="黑体" w:hAnsi="宋体" w:eastAsia="黑体"/>
          <w:sz w:val="32"/>
          <w:szCs w:val="32"/>
        </w:rPr>
        <w:t>二、项目资金申报及使用情况</w:t>
      </w:r>
      <w:bookmarkEnd w:id="10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napToGrid w:val="0"/>
        <w:spacing w:line="576" w:lineRule="exact"/>
        <w:ind w:firstLine="640" w:firstLineChars="200"/>
        <w:textAlignment w:val="baseline"/>
        <w:rPr>
          <w:rStyle w:val="39"/>
          <w:rFonts w:ascii="仿宋_GB2312" w:hAnsi="宋体" w:eastAsia="仿宋_GB2312"/>
          <w:sz w:val="32"/>
          <w:szCs w:val="32"/>
          <w:lang w:val="zh-CN"/>
        </w:rPr>
      </w:pPr>
      <w:r>
        <w:rPr>
          <w:rStyle w:val="39"/>
          <w:rFonts w:hint="eastAsia" w:ascii="仿宋_GB2312" w:hAnsi="宋体" w:eastAsia="仿宋_GB2312"/>
          <w:sz w:val="32"/>
          <w:szCs w:val="32"/>
          <w:lang w:val="zh-CN"/>
        </w:rPr>
        <w:t>经市人大会议审查批准及市财政局批复，年初预算</w:t>
      </w:r>
      <w:r>
        <w:rPr>
          <w:rStyle w:val="39"/>
          <w:rFonts w:hint="eastAsia" w:ascii="仿宋_GB2312" w:hAnsi="宋体" w:eastAsia="仿宋_GB2312"/>
          <w:sz w:val="32"/>
          <w:szCs w:val="32"/>
          <w:lang w:val="zh-CN" w:eastAsia="zh-CN"/>
        </w:rPr>
        <w:t>“阳光问政（廉）”</w:t>
      </w:r>
      <w:r>
        <w:rPr>
          <w:rStyle w:val="39"/>
          <w:rFonts w:hint="eastAsia" w:ascii="仿宋_GB2312" w:hAnsi="宋体" w:eastAsia="仿宋_GB2312"/>
          <w:sz w:val="32"/>
          <w:szCs w:val="32"/>
          <w:lang w:val="zh-CN"/>
        </w:rPr>
        <w:t>节目经费15万元。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snapToGrid w:val="0"/>
        <w:spacing w:line="576" w:lineRule="exact"/>
        <w:ind w:firstLine="640" w:firstLineChars="200"/>
        <w:textAlignment w:val="baseline"/>
        <w:rPr>
          <w:rStyle w:val="39"/>
          <w:rFonts w:ascii="仿宋_GB2312" w:hAnsi="宋体" w:eastAsia="仿宋_GB2312"/>
          <w:sz w:val="32"/>
          <w:szCs w:val="32"/>
          <w:lang w:val="zh-CN"/>
        </w:rPr>
      </w:pPr>
      <w:r>
        <w:rPr>
          <w:rStyle w:val="39"/>
          <w:rFonts w:hint="eastAsia" w:ascii="仿宋_GB2312" w:hAnsi="宋体" w:eastAsia="仿宋_GB2312"/>
          <w:sz w:val="32"/>
          <w:szCs w:val="32"/>
          <w:lang w:val="zh-CN"/>
        </w:rPr>
        <w:t>截止到评价日，该项目资金到位15万元，资金到位率100%，为本级财政拨款资金，预算支出未发现无预算、超预算支出，资金使用安全、规范及有效，资金支付范围、支付标准、支付进度、支付依据等合规合法、与预算相符，未发现虚列支出、挤占、挪用、转移财政资金行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rPr>
        <w:t>建立了基本健全的内部控制制度，内部控制管理运行有效。同时制定相关专项资金的财务管理制度，设置项目管理机构，会计核算及账务处理专账核算，专款专用。按照项目资金管理办法，项目执行了财务管理制度，财务处理及时，会计核算基本规范。</w:t>
      </w:r>
    </w:p>
    <w:p>
      <w:pPr>
        <w:adjustRightInd w:val="0"/>
        <w:snapToGrid w:val="0"/>
        <w:spacing w:line="600" w:lineRule="exact"/>
        <w:ind w:firstLine="720"/>
        <w:outlineLvl w:val="1"/>
        <w:rPr>
          <w:rFonts w:ascii="黑体" w:hAnsi="宋体" w:eastAsia="黑体"/>
          <w:sz w:val="32"/>
          <w:szCs w:val="32"/>
        </w:rPr>
      </w:pPr>
      <w:bookmarkStart w:id="108" w:name="_Toc8292"/>
      <w:r>
        <w:rPr>
          <w:rFonts w:hint="eastAsia" w:ascii="黑体" w:hAnsi="宋体" w:eastAsia="黑体"/>
          <w:sz w:val="32"/>
          <w:szCs w:val="32"/>
        </w:rPr>
        <w:t>三、项目实施及管理情况</w:t>
      </w:r>
      <w:bookmarkEnd w:id="108"/>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rPr>
        <w:t>截止评价日，基本完成了资金的申报、审核、支付流程。</w:t>
      </w:r>
    </w:p>
    <w:p>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项目实施单位严格执行相关法律法规及项目管理制度，通过项目实施，基本达到预期效果，绩效结果评定为优。</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rPr>
        <w:t>在工作中，相关室对项目建设程序、实施进度、项目质量、资金使用及财务管理等进行全程监管，确保项目管理规范、按期保质保量完成任务。</w:t>
      </w:r>
    </w:p>
    <w:p>
      <w:pPr>
        <w:adjustRightInd w:val="0"/>
        <w:snapToGrid w:val="0"/>
        <w:spacing w:line="600" w:lineRule="exact"/>
        <w:ind w:firstLine="720"/>
        <w:outlineLvl w:val="1"/>
        <w:rPr>
          <w:rFonts w:ascii="仿宋_GB2312" w:hAnsi="宋体" w:eastAsia="仿宋_GB2312"/>
          <w:sz w:val="32"/>
          <w:szCs w:val="32"/>
          <w:lang w:val="zh-CN"/>
        </w:rPr>
      </w:pPr>
      <w:bookmarkStart w:id="109" w:name="_Toc21758"/>
      <w:r>
        <w:rPr>
          <w:rFonts w:hint="eastAsia" w:ascii="黑体" w:hAnsi="宋体" w:eastAsia="黑体"/>
          <w:sz w:val="32"/>
          <w:szCs w:val="32"/>
        </w:rPr>
        <w:t>四、项目绩效情况</w:t>
      </w:r>
      <w:bookmarkEnd w:id="109"/>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eastAsia="zh-CN"/>
        </w:rPr>
        <w:t>“阳光问政（廉）”</w:t>
      </w:r>
      <w:r>
        <w:rPr>
          <w:rStyle w:val="39"/>
          <w:rFonts w:hint="eastAsia" w:ascii="仿宋_GB2312" w:hAnsi="宋体" w:eastAsia="仿宋_GB2312"/>
          <w:sz w:val="32"/>
          <w:szCs w:val="32"/>
          <w:lang w:val="zh-CN"/>
        </w:rPr>
        <w:t>节目开播</w:t>
      </w:r>
      <w:r>
        <w:rPr>
          <w:rStyle w:val="39"/>
          <w:rFonts w:hint="eastAsia" w:ascii="仿宋_GB2312" w:hAnsi="宋体" w:eastAsia="仿宋_GB2312"/>
          <w:sz w:val="32"/>
          <w:szCs w:val="32"/>
          <w:lang w:val="en-US" w:eastAsia="zh-CN"/>
        </w:rPr>
        <w:t>4</w:t>
      </w:r>
      <w:r>
        <w:rPr>
          <w:rStyle w:val="39"/>
          <w:rFonts w:hint="eastAsia" w:ascii="仿宋_GB2312" w:hAnsi="宋体" w:eastAsia="仿宋_GB2312"/>
          <w:sz w:val="32"/>
          <w:szCs w:val="32"/>
          <w:lang w:val="zh-CN"/>
        </w:rPr>
        <w:t>期，问题曝光个数不少于3个项目，电视直播完成率100%。截止绩效评价日，项目完成开播期数</w:t>
      </w:r>
      <w:r>
        <w:rPr>
          <w:rStyle w:val="39"/>
          <w:rFonts w:hint="eastAsia" w:ascii="仿宋_GB2312" w:hAnsi="宋体" w:eastAsia="仿宋_GB2312"/>
          <w:sz w:val="32"/>
          <w:szCs w:val="32"/>
          <w:lang w:val="en-US" w:eastAsia="zh-CN"/>
        </w:rPr>
        <w:t>4</w:t>
      </w:r>
      <w:r>
        <w:rPr>
          <w:rStyle w:val="39"/>
          <w:rFonts w:hint="eastAsia" w:ascii="仿宋_GB2312" w:hAnsi="宋体" w:eastAsia="仿宋_GB2312"/>
          <w:sz w:val="32"/>
          <w:szCs w:val="32"/>
          <w:lang w:val="zh-CN"/>
        </w:rPr>
        <w:t>期，项目实施进度完成率100%。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rPr>
        <w:t>贯彻落实党中央全面从严治党方针、加强党风廉政建设、深度融合纪检监督、媒体监督、群众监督的全媒体直播节目，推动我市经济社会健康发展，营造风清气正的良好环境。转变干部作风，用实际行动提升群众满意度，增强了群众幸福感、获得感。</w:t>
      </w:r>
    </w:p>
    <w:p>
      <w:pPr>
        <w:adjustRightInd w:val="0"/>
        <w:snapToGrid w:val="0"/>
        <w:spacing w:line="600" w:lineRule="exact"/>
        <w:ind w:firstLine="720"/>
        <w:outlineLvl w:val="1"/>
        <w:rPr>
          <w:rFonts w:ascii="黑体" w:hAnsi="宋体" w:eastAsia="黑体"/>
          <w:sz w:val="32"/>
          <w:szCs w:val="32"/>
        </w:rPr>
      </w:pPr>
      <w:bookmarkStart w:id="110" w:name="_Toc14219"/>
      <w:r>
        <w:rPr>
          <w:rFonts w:hint="eastAsia" w:ascii="黑体" w:hAnsi="宋体" w:eastAsia="黑体"/>
          <w:sz w:val="32"/>
          <w:szCs w:val="32"/>
        </w:rPr>
        <w:t>五、评价结论及建议</w:t>
      </w:r>
      <w:bookmarkEnd w:id="11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良好级。</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rPr>
        <w:t>“阳光问政（廉）”涉及范围广，开播前期准备的工作量大，经费不足。</w:t>
      </w:r>
      <w:r>
        <w:rPr>
          <w:rStyle w:val="39"/>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rPr>
        <w:t>在下一年度项目绩效目标编制时，做好项目事前绩效评估，及时与财政沟通，足额保障项目经费。</w:t>
      </w:r>
    </w:p>
    <w:p>
      <w:pPr>
        <w:pStyle w:val="23"/>
        <w:ind w:left="1059" w:leftChars="352" w:hanging="320" w:hangingChars="100"/>
        <w:rPr>
          <w:rFonts w:hint="eastAsia"/>
          <w:lang w:val="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w:t>
      </w:r>
      <w:r>
        <w:rPr>
          <w:rFonts w:hint="eastAsia" w:hAnsi="仿宋_GB2312" w:eastAsia="仿宋_GB2312" w:cs="仿宋_GB2312"/>
          <w:color w:val="auto"/>
          <w:sz w:val="32"/>
          <w:szCs w:val="32"/>
          <w:highlight w:val="none"/>
          <w:lang w:val="en-US" w:eastAsia="zh-CN"/>
        </w:rPr>
        <w:t>预算项目</w:t>
      </w:r>
      <w:r>
        <w:rPr>
          <w:rFonts w:hint="eastAsia" w:ascii="仿宋_GB2312" w:hAnsi="仿宋_GB2312" w:eastAsia="仿宋_GB2312" w:cs="仿宋_GB2312"/>
          <w:color w:val="auto"/>
          <w:sz w:val="32"/>
          <w:szCs w:val="32"/>
          <w:highlight w:val="none"/>
          <w:lang w:val="en-US" w:eastAsia="zh-CN"/>
        </w:rPr>
        <w:t>绩效目标自评表（2022年度）</w:t>
      </w:r>
    </w:p>
    <w:tbl>
      <w:tblPr>
        <w:tblStyle w:val="16"/>
        <w:tblW w:w="97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1270"/>
        <w:gridCol w:w="1143"/>
        <w:gridCol w:w="1147"/>
        <w:gridCol w:w="515"/>
        <w:gridCol w:w="804"/>
        <w:gridCol w:w="515"/>
        <w:gridCol w:w="861"/>
        <w:gridCol w:w="769"/>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3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“阳光问政（廉）”节目经费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 （盖章）</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中共广元市纪委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贯彻落实党中央全面从严治党方针、加强党风廉政建设、深度融合纪检监督、媒体监督、群众监督的全媒体直播节目，推动我市经济社会健康发展，营造风清气正的良好环境。</w:t>
            </w:r>
          </w:p>
        </w:tc>
        <w:tc>
          <w:tcPr>
            <w:tcW w:w="3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阳光问政（廉）”节目经费的实施，目的是问出责任与担当，从而转变干部作风，用实际行动提升群众满意度。把权力放在阳光下、把问题摆在媒体前、把“拷问”设在问答中。曝光只是手段，解决问题才是根本，对于曝光的问题将责成相关部门进行整改，提升了群众满意度、增强群众幸福感、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3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“阳光问政（廉）”节目开播4期，问题曝光个数不少于3个项目，电视直播完成率100%。截止绩效评价日，项目完成开播期数4期，项目实施进度完成率100%。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制播总期数</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自办期数</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完成项目时间</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制作成本</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万元/每期</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行政效能</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社会反响力</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color w:val="000000"/>
                <w:sz w:val="18"/>
                <w:szCs w:val="18"/>
                <w:u w:val="none"/>
              </w:rPr>
            </w:pPr>
            <w:r>
              <w:rPr>
                <w:rFonts w:hint="default" w:ascii="东文宋体" w:hAnsi="东文宋体" w:eastAsia="东文宋体" w:cs="东文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6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对该项目三级指标的分析考评，综合评价结果为良好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6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“阳光问政（廉）”涉及范围广，开播前期准备的工作量大，全年整体节目制作经费不足。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6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在下一年度项目绩效目标编制时，做好项目事前绩效评估，及时与财政沟通，足额保障项目经费。</w:t>
            </w:r>
          </w:p>
        </w:tc>
      </w:tr>
    </w:tbl>
    <w:p>
      <w:pPr>
        <w:pStyle w:val="23"/>
        <w:rPr>
          <w:rFonts w:hint="eastAsia"/>
          <w:lang w:val="zh-CN"/>
        </w:rPr>
      </w:pPr>
    </w:p>
    <w:p>
      <w:pPr>
        <w:pStyle w:val="23"/>
        <w:ind w:left="0" w:leftChars="0" w:firstLine="0" w:firstLineChars="0"/>
        <w:rPr>
          <w:rFonts w:hint="eastAsia" w:ascii="黑体" w:hAnsi="黑体" w:eastAsia="黑体"/>
          <w:color w:val="auto"/>
          <w:sz w:val="44"/>
          <w:szCs w:val="44"/>
          <w:highlight w:val="none"/>
        </w:rPr>
      </w:pPr>
    </w:p>
    <w:p>
      <w:pPr>
        <w:rPr>
          <w:rFonts w:hint="eastAsia"/>
        </w:rPr>
      </w:pPr>
    </w:p>
    <w:p>
      <w:pPr>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rPr>
      </w:pPr>
    </w:p>
    <w:p>
      <w:pPr>
        <w:spacing w:line="600" w:lineRule="exact"/>
        <w:jc w:val="center"/>
        <w:outlineLvl w:val="9"/>
        <w:rPr>
          <w:rFonts w:hint="eastAsia" w:ascii="黑体" w:hAnsi="黑体" w:eastAsia="黑体"/>
          <w:color w:val="auto"/>
          <w:sz w:val="44"/>
          <w:szCs w:val="44"/>
          <w:highlight w:val="none"/>
        </w:rPr>
      </w:pPr>
    </w:p>
    <w:p>
      <w:pPr>
        <w:pStyle w:val="6"/>
        <w:outlineLvl w:val="1"/>
        <w:rPr>
          <w:rFonts w:hint="default" w:hAnsi="宋体" w:cs="宋体"/>
          <w:color w:val="auto"/>
          <w:kern w:val="0"/>
          <w:sz w:val="32"/>
          <w:szCs w:val="32"/>
          <w:highlight w:val="none"/>
          <w:shd w:val="clear" w:color="auto" w:fill="FFFFFF"/>
          <w:lang w:val="en-US" w:eastAsia="zh-CN"/>
        </w:rPr>
      </w:pPr>
      <w:bookmarkStart w:id="111" w:name="_Toc4355"/>
      <w:r>
        <w:rPr>
          <w:rFonts w:hint="eastAsia" w:hAnsi="宋体" w:cs="宋体"/>
          <w:color w:val="auto"/>
          <w:kern w:val="0"/>
          <w:sz w:val="32"/>
          <w:szCs w:val="32"/>
          <w:highlight w:val="none"/>
          <w:shd w:val="clear" w:color="auto" w:fill="FFFFFF"/>
          <w:lang w:val="zh-CN" w:eastAsia="zh-CN"/>
        </w:rPr>
        <w:t>附件</w:t>
      </w:r>
      <w:r>
        <w:rPr>
          <w:rFonts w:hint="eastAsia" w:hAnsi="宋体" w:cs="宋体"/>
          <w:color w:val="auto"/>
          <w:kern w:val="0"/>
          <w:sz w:val="32"/>
          <w:szCs w:val="32"/>
          <w:highlight w:val="none"/>
          <w:shd w:val="clear" w:color="auto" w:fill="FFFFFF"/>
          <w:lang w:val="en-US" w:eastAsia="zh-CN"/>
        </w:rPr>
        <w:t>7</w:t>
      </w:r>
      <w:bookmarkEnd w:id="111"/>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zh-CN" w:eastAsia="zh-CN"/>
        </w:rPr>
        <w:t>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eastAsia" w:ascii="方正小标宋简体" w:hAnsi="方正小标宋简体" w:eastAsia="方正小标宋简体" w:cs="方正小标宋简体"/>
          <w:color w:val="auto"/>
          <w:kern w:val="2"/>
          <w:sz w:val="32"/>
          <w:szCs w:val="32"/>
          <w:highlight w:val="none"/>
          <w:lang w:val="zh-CN" w:eastAsia="zh-CN"/>
        </w:rPr>
        <w:t>年度关于市党风廉政教育中心后勤保障管理服务项目</w:t>
      </w:r>
    </w:p>
    <w:p>
      <w:pPr>
        <w:spacing w:line="600" w:lineRule="exact"/>
        <w:jc w:val="center"/>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zh-CN" w:eastAsia="zh-CN"/>
        </w:rPr>
        <w:t>绩效自评报告</w:t>
      </w:r>
    </w:p>
    <w:p>
      <w:pPr>
        <w:adjustRightInd w:val="0"/>
        <w:snapToGrid w:val="0"/>
        <w:spacing w:line="600" w:lineRule="exact"/>
        <w:ind w:firstLine="720"/>
        <w:outlineLvl w:val="1"/>
        <w:rPr>
          <w:rFonts w:hint="eastAsia" w:ascii="黑体" w:hAnsi="宋体" w:eastAsia="黑体"/>
          <w:sz w:val="32"/>
          <w:szCs w:val="32"/>
        </w:rPr>
      </w:pPr>
      <w:bookmarkStart w:id="112" w:name="_Toc15020"/>
      <w:r>
        <w:rPr>
          <w:rFonts w:hint="eastAsia" w:ascii="黑体" w:hAnsi="宋体" w:eastAsia="黑体"/>
          <w:sz w:val="32"/>
          <w:szCs w:val="32"/>
        </w:rPr>
        <w:t>一、项目概况</w:t>
      </w:r>
      <w:bookmarkEnd w:id="112"/>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Style w:val="39"/>
          <w:rFonts w:hint="eastAsia" w:ascii="仿宋_GB2312" w:hAnsi="宋体" w:eastAsia="仿宋_GB2312"/>
          <w:sz w:val="32"/>
          <w:szCs w:val="32"/>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我单位后勤保障管理服务项目资金共计</w:t>
      </w:r>
      <w:r>
        <w:rPr>
          <w:rFonts w:hint="eastAsia" w:ascii="仿宋_GB2312" w:hAnsi="仿宋_GB2312" w:eastAsia="仿宋_GB2312" w:cs="仿宋_GB2312"/>
          <w:color w:val="auto"/>
          <w:kern w:val="0"/>
          <w:sz w:val="32"/>
          <w:szCs w:val="32"/>
          <w:highlight w:val="none"/>
          <w:u w:val="none"/>
          <w:shd w:val="clear" w:color="auto" w:fill="FFFFFF"/>
          <w:lang w:val="en-US"/>
        </w:rPr>
        <w:t>275.94万元</w:t>
      </w:r>
      <w:r>
        <w:rPr>
          <w:rFonts w:hint="eastAsia" w:ascii="仿宋_GB2312" w:hAnsi="仿宋_GB2312" w:eastAsia="仿宋_GB2312" w:cs="仿宋_GB2312"/>
          <w:color w:val="auto"/>
          <w:kern w:val="0"/>
          <w:sz w:val="32"/>
          <w:szCs w:val="32"/>
          <w:highlight w:val="none"/>
          <w:u w:val="none"/>
          <w:shd w:val="clear" w:color="auto" w:fill="FFFFFF"/>
          <w:lang w:val="zh-CN"/>
        </w:rPr>
        <w:t>，其中</w:t>
      </w:r>
      <w:r>
        <w:rPr>
          <w:rFonts w:hint="eastAsia" w:ascii="仿宋_GB2312" w:hAnsi="仿宋_GB2312" w:eastAsia="仿宋_GB2312" w:cs="仿宋_GB2312"/>
          <w:color w:val="auto"/>
          <w:kern w:val="0"/>
          <w:sz w:val="32"/>
          <w:szCs w:val="32"/>
          <w:highlight w:val="none"/>
          <w:u w:val="none"/>
          <w:shd w:val="clear" w:color="auto" w:fill="FFFFFF"/>
          <w:lang w:val="en-US"/>
        </w:rPr>
        <w:t>20万</w:t>
      </w:r>
      <w:r>
        <w:rPr>
          <w:rFonts w:hint="eastAsia" w:ascii="仿宋_GB2312" w:hAnsi="仿宋_GB2312" w:eastAsia="仿宋_GB2312" w:cs="仿宋_GB2312"/>
          <w:color w:val="auto"/>
          <w:kern w:val="0"/>
          <w:sz w:val="32"/>
          <w:szCs w:val="32"/>
          <w:highlight w:val="none"/>
          <w:u w:val="none"/>
          <w:shd w:val="clear" w:color="auto" w:fill="FFFFFF"/>
          <w:lang w:val="zh-CN"/>
        </w:rPr>
        <w:t>元为财政一般公共预算资金，</w:t>
      </w:r>
      <w:r>
        <w:rPr>
          <w:rFonts w:hint="eastAsia" w:ascii="仿宋_GB2312" w:hAnsi="仿宋_GB2312" w:eastAsia="仿宋_GB2312" w:cs="仿宋_GB2312"/>
          <w:color w:val="auto"/>
          <w:kern w:val="0"/>
          <w:sz w:val="32"/>
          <w:szCs w:val="32"/>
          <w:highlight w:val="none"/>
          <w:u w:val="none"/>
          <w:shd w:val="clear" w:color="auto" w:fill="FFFFFF"/>
          <w:lang w:val="en-US"/>
        </w:rPr>
        <w:t>255.94万元</w:t>
      </w:r>
      <w:r>
        <w:rPr>
          <w:rFonts w:hint="eastAsia" w:ascii="仿宋_GB2312" w:hAnsi="仿宋_GB2312" w:eastAsia="仿宋_GB2312" w:cs="仿宋_GB2312"/>
          <w:color w:val="auto"/>
          <w:kern w:val="0"/>
          <w:sz w:val="32"/>
          <w:szCs w:val="32"/>
          <w:highlight w:val="none"/>
          <w:u w:val="none"/>
          <w:shd w:val="clear" w:color="auto" w:fill="FFFFFF"/>
          <w:lang w:val="zh-CN"/>
        </w:rPr>
        <w:t>为我单位自有资金（财政代管）。财政资金</w:t>
      </w:r>
      <w:r>
        <w:rPr>
          <w:rFonts w:hint="eastAsia" w:ascii="仿宋_GB2312" w:hAnsi="仿宋_GB2312" w:eastAsia="仿宋_GB2312" w:cs="仿宋_GB2312"/>
          <w:color w:val="auto"/>
          <w:kern w:val="0"/>
          <w:sz w:val="32"/>
          <w:szCs w:val="32"/>
          <w:highlight w:val="none"/>
          <w:u w:val="none"/>
          <w:shd w:val="clear" w:color="auto" w:fill="FFFFFF"/>
          <w:lang w:val="en-US"/>
        </w:rPr>
        <w:t>20万</w:t>
      </w:r>
      <w:r>
        <w:rPr>
          <w:rFonts w:hint="eastAsia" w:ascii="仿宋_GB2312" w:hAnsi="仿宋_GB2312" w:eastAsia="仿宋_GB2312" w:cs="仿宋_GB2312"/>
          <w:color w:val="auto"/>
          <w:kern w:val="0"/>
          <w:sz w:val="32"/>
          <w:szCs w:val="32"/>
          <w:highlight w:val="none"/>
          <w:u w:val="none"/>
          <w:shd w:val="clear" w:color="auto" w:fill="FFFFFF"/>
          <w:lang w:val="zh-CN"/>
        </w:rPr>
        <w:t>元为采购计划资金，由两部分组成，</w:t>
      </w:r>
      <w:r>
        <w:rPr>
          <w:rFonts w:hint="eastAsia" w:ascii="仿宋_GB2312" w:hAnsi="仿宋_GB2312" w:eastAsia="仿宋_GB2312" w:cs="仿宋_GB2312"/>
          <w:color w:val="auto"/>
          <w:kern w:val="0"/>
          <w:sz w:val="32"/>
          <w:szCs w:val="32"/>
          <w:highlight w:val="none"/>
          <w:u w:val="none"/>
          <w:shd w:val="clear" w:color="auto" w:fill="FFFFFF"/>
          <w:lang w:val="en-US"/>
        </w:rPr>
        <w:t>20</w:t>
      </w:r>
      <w:r>
        <w:rPr>
          <w:rFonts w:hint="eastAsia" w:ascii="仿宋_GB2312" w:hAnsi="仿宋_GB2312" w:eastAsia="仿宋_GB2312" w:cs="仿宋_GB2312"/>
          <w:color w:val="auto"/>
          <w:kern w:val="0"/>
          <w:sz w:val="32"/>
          <w:szCs w:val="32"/>
          <w:highlight w:val="none"/>
          <w:u w:val="none"/>
          <w:shd w:val="clear" w:color="auto" w:fill="FFFFFF"/>
          <w:lang w:val="en-US" w:eastAsia="zh-CN"/>
        </w:rPr>
        <w:t>万</w:t>
      </w:r>
      <w:r>
        <w:rPr>
          <w:rFonts w:hint="eastAsia" w:ascii="仿宋_GB2312" w:hAnsi="仿宋_GB2312" w:eastAsia="仿宋_GB2312" w:cs="仿宋_GB2312"/>
          <w:color w:val="auto"/>
          <w:kern w:val="0"/>
          <w:sz w:val="32"/>
          <w:szCs w:val="32"/>
          <w:highlight w:val="none"/>
          <w:u w:val="none"/>
          <w:shd w:val="clear" w:color="auto" w:fill="FFFFFF"/>
          <w:lang w:val="zh-CN"/>
        </w:rPr>
        <w:t>元为本年预算申报并批复。相关程序符合资金管理办法。</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中心职能之一是负责全市纪检监察机关查办重大违纪案件的后勤保障和服务管理工作。后勤保障管理服务项目是为切实保障办案工作而实施的重要项目，通过该项目聘请到专业的服务人员进行保障，具体分为综合部、客房部、餐饮部、工程部、安保部五个职能板块，全面保障后勤服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绩效量化指标主要有五项。一是数量指标，目标是招聘一支不少于49人的专业化服务队伍，做好办案服务工作。二是质量指标，目标是办案服务水准的提升。三是时效指标，目标是提供全年365天的服务保障。四是社会效益指标，目标是保障案件查办工作高效推进。五是满意度指标，目标是办案人员的满意度达到95%及以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目前项目仍持续开展中，2022年度已完成且各项指标均达标。</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项目申报内容与具体实施内容相符。申报目标合理可行。</w:t>
      </w:r>
    </w:p>
    <w:p>
      <w:pPr>
        <w:adjustRightInd w:val="0"/>
        <w:snapToGrid w:val="0"/>
        <w:spacing w:line="600" w:lineRule="exact"/>
        <w:ind w:firstLine="720"/>
        <w:outlineLvl w:val="1"/>
        <w:rPr>
          <w:rFonts w:hint="eastAsia" w:ascii="黑体" w:hAnsi="宋体" w:eastAsia="黑体"/>
          <w:sz w:val="32"/>
          <w:szCs w:val="32"/>
        </w:rPr>
      </w:pPr>
      <w:bookmarkStart w:id="113" w:name="_Toc12078"/>
      <w:r>
        <w:rPr>
          <w:rFonts w:hint="eastAsia" w:ascii="黑体" w:hAnsi="宋体" w:eastAsia="黑体"/>
          <w:sz w:val="32"/>
          <w:szCs w:val="32"/>
        </w:rPr>
        <w:t>二、项目实施及管理情况</w:t>
      </w:r>
      <w:bookmarkEnd w:id="113"/>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 xml:space="preserve"> （一）资金计划、到位及使用情况。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1.资金计划及到位。该项目各类资金计划均按时到位。资金到位率100%、到位及时性100%。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2.资金使用。该项目资金</w:t>
      </w:r>
      <w:r>
        <w:rPr>
          <w:rFonts w:hint="eastAsia" w:ascii="仿宋_GB2312" w:hAnsi="仿宋_GB2312" w:eastAsia="仿宋_GB2312" w:cs="仿宋_GB2312"/>
          <w:color w:val="auto"/>
          <w:kern w:val="0"/>
          <w:sz w:val="32"/>
          <w:szCs w:val="32"/>
          <w:highlight w:val="none"/>
          <w:u w:val="none"/>
          <w:shd w:val="clear" w:color="auto" w:fill="FFFFFF"/>
          <w:lang w:val="en-US"/>
        </w:rPr>
        <w:t>275.94万</w:t>
      </w:r>
      <w:r>
        <w:rPr>
          <w:rFonts w:hint="eastAsia" w:ascii="仿宋_GB2312" w:hAnsi="仿宋_GB2312" w:eastAsia="仿宋_GB2312" w:cs="仿宋_GB2312"/>
          <w:color w:val="auto"/>
          <w:kern w:val="0"/>
          <w:sz w:val="32"/>
          <w:szCs w:val="32"/>
          <w:highlight w:val="none"/>
          <w:u w:val="none"/>
          <w:shd w:val="clear" w:color="auto" w:fill="FFFFFF"/>
          <w:lang w:val="zh-CN"/>
        </w:rPr>
        <w:t>元在本年度已全额拨付，用于支付团队工资。按合同每月支付当月工资，结算及时，支付进度100%。资金支付与预算相符。</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该项目严格按照《会计法》、《预算法》及单位财务制度等有关规定，规范支出管理，严格审批流程。支付后及时账务处理，会计核算规范。</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后勤保障管理服务项目于2019年通过政府采购相关程序（项目编号：5108012019000310）招标采购确认当前中标服务公司，甲乙双方依据《采购法》、《合同法》等法律规定订立合同，合同期限为2019年11月10日至2022年11月9日。合同期间，服务团队人员在中心履行相应职责，在我单位人员监管下工作。履约完成后，我单位按合同约定及时支付费用。</w:t>
      </w:r>
    </w:p>
    <w:p>
      <w:pPr>
        <w:adjustRightInd w:val="0"/>
        <w:snapToGrid w:val="0"/>
        <w:spacing w:line="600" w:lineRule="exact"/>
        <w:ind w:firstLine="720"/>
        <w:outlineLvl w:val="1"/>
        <w:rPr>
          <w:rFonts w:hint="eastAsia" w:ascii="黑体" w:hAnsi="宋体" w:eastAsia="黑体"/>
          <w:sz w:val="32"/>
          <w:szCs w:val="32"/>
        </w:rPr>
      </w:pPr>
      <w:bookmarkStart w:id="114" w:name="_Toc547"/>
      <w:r>
        <w:rPr>
          <w:rFonts w:hint="eastAsia" w:ascii="黑体" w:hAnsi="宋体" w:eastAsia="黑体"/>
          <w:sz w:val="32"/>
          <w:szCs w:val="32"/>
        </w:rPr>
        <w:t>三、项目绩效情况</w:t>
      </w:r>
      <w:bookmarkEnd w:id="114"/>
      <w:r>
        <w:rPr>
          <w:rFonts w:hint="eastAsia" w:ascii="黑体" w:hAnsi="宋体" w:eastAsia="黑体"/>
          <w:sz w:val="32"/>
          <w:szCs w:val="32"/>
        </w:rPr>
        <w:t xml:space="preserve"> </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黑体" w:hAnsi="黑体" w:eastAsia="黑体"/>
          <w:color w:val="auto"/>
          <w:sz w:val="44"/>
          <w:szCs w:val="44"/>
          <w:highlight w:val="none"/>
        </w:rPr>
      </w:pPr>
      <w:r>
        <w:rPr>
          <w:rStyle w:val="39"/>
          <w:rFonts w:hint="eastAsia" w:ascii="仿宋_GB2312" w:hAnsi="宋体" w:eastAsia="仿宋_GB2312"/>
          <w:sz w:val="32"/>
          <w:szCs w:val="32"/>
          <w:lang w:val="en-US"/>
        </w:rPr>
        <w:t xml:space="preserve">  </w:t>
      </w:r>
      <w:r>
        <w:rPr>
          <w:rFonts w:hint="eastAsia" w:ascii="仿宋_GB2312" w:hAnsi="仿宋_GB2312" w:eastAsia="仿宋_GB2312" w:cs="仿宋_GB2312"/>
          <w:color w:val="auto"/>
          <w:kern w:val="0"/>
          <w:sz w:val="32"/>
          <w:szCs w:val="32"/>
          <w:highlight w:val="none"/>
          <w:u w:val="none"/>
          <w:shd w:val="clear" w:color="auto" w:fill="FFFFFF"/>
          <w:lang w:val="zh-CN"/>
        </w:rPr>
        <w:t>该项目2022年部分已完成，各项指标均达标。其中，数量指标完成，一支49人的专业化服务队伍在我单位做好了办案服务工作；质量指标完成，全年办案服务水准有所提升；时效指标完成，提供了全年365天的服务保障。</w:t>
      </w:r>
    </w:p>
    <w:p>
      <w:pPr>
        <w:adjustRightInd w:val="0"/>
        <w:snapToGrid w:val="0"/>
        <w:spacing w:line="600" w:lineRule="exact"/>
        <w:ind w:firstLine="72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sz w:val="32"/>
          <w:szCs w:val="32"/>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黑体" w:hAnsi="黑体" w:eastAsia="黑体"/>
          <w:color w:val="auto"/>
          <w:sz w:val="44"/>
          <w:szCs w:val="44"/>
          <w:highlight w:val="none"/>
        </w:rPr>
      </w:pPr>
      <w:r>
        <w:rPr>
          <w:rFonts w:hint="eastAsia" w:ascii="仿宋_GB2312" w:hAnsi="仿宋_GB2312" w:eastAsia="仿宋_GB2312" w:cs="仿宋_GB2312"/>
          <w:color w:val="auto"/>
          <w:kern w:val="0"/>
          <w:sz w:val="32"/>
          <w:szCs w:val="32"/>
          <w:highlight w:val="none"/>
          <w:u w:val="none"/>
          <w:shd w:val="clear" w:color="auto" w:fill="FFFFFF"/>
          <w:lang w:val="zh-CN"/>
        </w:rPr>
        <w:t>项目具有可持续性效益。从当前进行情况来看，社会效益指标完成，保障了案件查办工作高效推进；满意度指标完成，办案人员满意度95%。</w:t>
      </w:r>
    </w:p>
    <w:p>
      <w:pPr>
        <w:adjustRightInd w:val="0"/>
        <w:snapToGrid w:val="0"/>
        <w:spacing w:line="600" w:lineRule="exact"/>
        <w:ind w:firstLine="720"/>
        <w:outlineLvl w:val="1"/>
        <w:rPr>
          <w:rFonts w:hint="eastAsia" w:ascii="黑体" w:hAnsi="宋体" w:eastAsia="黑体"/>
          <w:sz w:val="32"/>
          <w:szCs w:val="32"/>
        </w:rPr>
      </w:pPr>
      <w:bookmarkStart w:id="115" w:name="_Toc10501"/>
      <w:r>
        <w:rPr>
          <w:rFonts w:hint="eastAsia" w:ascii="黑体" w:hAnsi="宋体" w:eastAsia="黑体"/>
          <w:sz w:val="32"/>
          <w:szCs w:val="32"/>
        </w:rPr>
        <w:t>四、问题及建议</w:t>
      </w:r>
      <w:bookmarkEnd w:id="115"/>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我中心近年来，服务对象人数增多，现有服务团队力量保障吃力，在人员配置方面，下一步考虑做出更加规范科学的调整。</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（二）相关建议。</w:t>
      </w:r>
    </w:p>
    <w:p>
      <w:pPr>
        <w:snapToGrid w:val="0"/>
        <w:spacing w:line="576" w:lineRule="exact"/>
        <w:ind w:firstLine="640" w:firstLineChars="200"/>
        <w:textAlignment w:val="baseline"/>
        <w:rPr>
          <w:rStyle w:val="39"/>
          <w:rFonts w:hint="eastAsia" w:ascii="仿宋_GB2312" w:hAnsi="宋体" w:eastAsia="仿宋_GB2312"/>
          <w:sz w:val="32"/>
          <w:szCs w:val="32"/>
          <w:lang w:val="zh-CN"/>
        </w:rPr>
      </w:pPr>
      <w:r>
        <w:rPr>
          <w:rStyle w:val="39"/>
          <w:rFonts w:hint="eastAsia" w:ascii="仿宋_GB2312" w:hAnsi="宋体" w:eastAsia="仿宋_GB2312"/>
          <w:sz w:val="32"/>
          <w:szCs w:val="32"/>
          <w:lang w:val="zh-CN"/>
        </w:rPr>
        <w:t>无。</w:t>
      </w:r>
    </w:p>
    <w:p>
      <w:pPr>
        <w:pStyle w:val="23"/>
        <w:ind w:left="1059" w:leftChars="352" w:hanging="320" w:hangingChars="100"/>
        <w:rPr>
          <w:rFonts w:hint="eastAsia"/>
          <w:lang w:val="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w:t>
      </w:r>
      <w:r>
        <w:rPr>
          <w:rFonts w:hint="eastAsia" w:hAnsi="仿宋_GB2312" w:eastAsia="仿宋_GB2312" w:cs="仿宋_GB2312"/>
          <w:color w:val="auto"/>
          <w:sz w:val="32"/>
          <w:szCs w:val="32"/>
          <w:highlight w:val="none"/>
          <w:lang w:val="en-US" w:eastAsia="zh-CN"/>
        </w:rPr>
        <w:t>预算项目</w:t>
      </w:r>
      <w:r>
        <w:rPr>
          <w:rFonts w:hint="eastAsia" w:ascii="仿宋_GB2312" w:hAnsi="仿宋_GB2312" w:eastAsia="仿宋_GB2312" w:cs="仿宋_GB2312"/>
          <w:color w:val="auto"/>
          <w:sz w:val="32"/>
          <w:szCs w:val="32"/>
          <w:highlight w:val="none"/>
          <w:lang w:val="en-US" w:eastAsia="zh-CN"/>
        </w:rPr>
        <w:t>绩效目标自评表（2022年度）</w:t>
      </w:r>
    </w:p>
    <w:tbl>
      <w:tblPr>
        <w:tblStyle w:val="16"/>
        <w:tblpPr w:leftFromText="180" w:rightFromText="180" w:vertAnchor="text" w:horzAnchor="page" w:tblpX="1406" w:tblpY="20"/>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1350"/>
        <w:gridCol w:w="1412"/>
        <w:gridCol w:w="1457"/>
        <w:gridCol w:w="519"/>
        <w:gridCol w:w="833"/>
        <w:gridCol w:w="519"/>
        <w:gridCol w:w="846"/>
        <w:gridCol w:w="613"/>
        <w:gridCol w:w="758"/>
        <w:gridCol w:w="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6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后勤保障管理服务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中共广元市纪委</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广元市党风廉政教育中心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招聘一支</w:t>
            </w:r>
            <w:r>
              <w:rPr>
                <w:rFonts w:hint="eastAsia" w:ascii="宋体" w:hAnsi="宋体" w:cs="宋体"/>
                <w:i w:val="0"/>
                <w:iCs w:val="0"/>
                <w:color w:val="000000"/>
                <w:kern w:val="0"/>
                <w:sz w:val="18"/>
                <w:szCs w:val="18"/>
                <w:u w:val="none"/>
                <w:lang w:val="en-US" w:eastAsia="zh-CN" w:bidi="ar"/>
              </w:rPr>
              <w:t>49</w:t>
            </w:r>
            <w:r>
              <w:rPr>
                <w:rFonts w:hint="eastAsia" w:ascii="宋体" w:hAnsi="宋体" w:eastAsia="宋体" w:cs="宋体"/>
                <w:i w:val="0"/>
                <w:iCs w:val="0"/>
                <w:color w:val="000000"/>
                <w:kern w:val="0"/>
                <w:sz w:val="18"/>
                <w:szCs w:val="18"/>
                <w:u w:val="none"/>
                <w:lang w:val="en-US" w:eastAsia="zh-CN" w:bidi="ar"/>
              </w:rPr>
              <w:t>人的服务团队，保障审查调查场所人员的住宿、饮食、生活等日常后勤服务。</w:t>
            </w:r>
          </w:p>
        </w:tc>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通过政府采购服务招聘了一支</w:t>
            </w:r>
            <w:r>
              <w:rPr>
                <w:rFonts w:hint="eastAsia" w:ascii="宋体" w:hAnsi="宋体" w:cs="宋体"/>
                <w:i w:val="0"/>
                <w:iCs w:val="0"/>
                <w:color w:val="000000"/>
                <w:kern w:val="0"/>
                <w:sz w:val="18"/>
                <w:szCs w:val="18"/>
                <w:u w:val="none"/>
                <w:lang w:val="en-US" w:eastAsia="zh-CN" w:bidi="ar"/>
              </w:rPr>
              <w:t>49</w:t>
            </w:r>
            <w:r>
              <w:rPr>
                <w:rFonts w:hint="eastAsia" w:ascii="宋体" w:hAnsi="宋体" w:eastAsia="宋体" w:cs="宋体"/>
                <w:i w:val="0"/>
                <w:iCs w:val="0"/>
                <w:color w:val="000000"/>
                <w:kern w:val="0"/>
                <w:sz w:val="18"/>
                <w:szCs w:val="18"/>
                <w:u w:val="none"/>
                <w:lang w:val="en-US" w:eastAsia="zh-CN" w:bidi="ar"/>
              </w:rPr>
              <w:t>人的服务团队，保障了审查调查人员的饮食、住宿、生活，为审查调查工作提供优质的环境及坚实的后勤保障。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76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该项目分为综合部、客房部、餐饮部、工程部、安保部五个职能模块，服务人员需身体健康，具有相应岗位的业务知识和技能，为中心提供全年365天的住宿、餐饮、安保等保障。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275.94</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275.94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255.94</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255.94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办案场所服务水准的提升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团队服务成本</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专业化服务团队人数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完成项目时间</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保障案件查办工作高效推进</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办案场所人员满意度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89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中心职能之一是负责全市纪检监察机关查办重大违纪案件的后勤保障和服务管理工作。招聘管理团队是为切实保障办案工作而实施的重要项目，通过该项目聘请到专业的服务人员进行保障，具体分为综合部、客房部、餐饮部、工程部、安保部五个职能板块，全面保障后勤服务。通过该项目的实施，我中心的住宿餐饮及环境得到了办案人员的好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89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89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bl>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3"/>
        <w:rPr>
          <w:rFonts w:hint="eastAsia" w:ascii="黑体" w:hAnsi="黑体" w:eastAsia="黑体"/>
          <w:color w:val="auto"/>
          <w:sz w:val="44"/>
          <w:szCs w:val="44"/>
          <w:highlight w:val="none"/>
        </w:rPr>
      </w:pPr>
    </w:p>
    <w:p>
      <w:pPr>
        <w:rPr>
          <w:rFonts w:hint="eastAsia"/>
        </w:rPr>
      </w:pPr>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16" w:name="_Toc398"/>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73"/>
      <w:bookmarkEnd w:id="87"/>
      <w:bookmarkEnd w:id="116"/>
      <w:bookmarkStart w:id="117" w:name="_Toc15396619"/>
    </w:p>
    <w:p>
      <w:pPr>
        <w:pStyle w:val="4"/>
        <w:rPr>
          <w:rFonts w:ascii="仿宋" w:hAnsi="仿宋" w:eastAsia="仿宋"/>
          <w:color w:val="auto"/>
          <w:highlight w:val="none"/>
        </w:rPr>
      </w:pPr>
      <w:bookmarkStart w:id="118" w:name="_Toc19221"/>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117"/>
      <w:bookmarkEnd w:id="118"/>
    </w:p>
    <w:p>
      <w:pPr>
        <w:pStyle w:val="4"/>
        <w:rPr>
          <w:rFonts w:ascii="仿宋" w:hAnsi="仿宋" w:eastAsia="仿宋"/>
          <w:color w:val="auto"/>
          <w:highlight w:val="none"/>
        </w:rPr>
      </w:pPr>
      <w:bookmarkStart w:id="119" w:name="_Toc1288"/>
      <w:bookmarkStart w:id="120" w:name="_Toc15396620"/>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119"/>
      <w:bookmarkEnd w:id="120"/>
    </w:p>
    <w:p>
      <w:pPr>
        <w:pStyle w:val="4"/>
        <w:rPr>
          <w:rFonts w:ascii="仿宋" w:hAnsi="仿宋" w:eastAsia="仿宋"/>
          <w:color w:val="auto"/>
          <w:highlight w:val="none"/>
        </w:rPr>
      </w:pPr>
      <w:bookmarkStart w:id="121" w:name="_Toc15396621"/>
      <w:bookmarkStart w:id="122" w:name="_Toc9164"/>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121"/>
      <w:bookmarkEnd w:id="122"/>
    </w:p>
    <w:p>
      <w:pPr>
        <w:pStyle w:val="4"/>
        <w:rPr>
          <w:rFonts w:ascii="仿宋" w:hAnsi="仿宋" w:eastAsia="仿宋"/>
          <w:b w:val="0"/>
          <w:color w:val="auto"/>
          <w:highlight w:val="none"/>
        </w:rPr>
      </w:pPr>
      <w:bookmarkStart w:id="123" w:name="_Toc15396622"/>
      <w:bookmarkStart w:id="124" w:name="_Toc28952"/>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123"/>
      <w:bookmarkEnd w:id="124"/>
    </w:p>
    <w:p>
      <w:pPr>
        <w:pStyle w:val="4"/>
        <w:rPr>
          <w:rStyle w:val="21"/>
          <w:rFonts w:ascii="仿宋" w:hAnsi="仿宋" w:eastAsia="仿宋"/>
          <w:b w:val="0"/>
          <w:bCs w:val="0"/>
          <w:color w:val="auto"/>
          <w:highlight w:val="none"/>
        </w:rPr>
      </w:pPr>
      <w:bookmarkStart w:id="125" w:name="_Toc15396623"/>
      <w:bookmarkStart w:id="126" w:name="_Toc7707"/>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125"/>
      <w:bookmarkEnd w:id="126"/>
      <w:bookmarkStart w:id="127" w:name="_Toc15396624"/>
    </w:p>
    <w:p>
      <w:pPr>
        <w:pStyle w:val="4"/>
        <w:rPr>
          <w:rFonts w:ascii="仿宋" w:hAnsi="仿宋" w:eastAsia="仿宋"/>
          <w:color w:val="auto"/>
          <w:highlight w:val="none"/>
        </w:rPr>
      </w:pPr>
      <w:bookmarkStart w:id="128" w:name="_Toc25424"/>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127"/>
      <w:bookmarkEnd w:id="128"/>
    </w:p>
    <w:p>
      <w:pPr>
        <w:pStyle w:val="4"/>
        <w:rPr>
          <w:rFonts w:ascii="仿宋" w:hAnsi="仿宋" w:eastAsia="仿宋"/>
          <w:color w:val="auto"/>
          <w:highlight w:val="none"/>
        </w:rPr>
      </w:pPr>
      <w:bookmarkStart w:id="129" w:name="_Toc15396625"/>
      <w:bookmarkStart w:id="130" w:name="_Toc20007"/>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129"/>
      <w:bookmarkEnd w:id="130"/>
    </w:p>
    <w:p>
      <w:pPr>
        <w:pStyle w:val="4"/>
        <w:rPr>
          <w:rFonts w:ascii="仿宋" w:hAnsi="仿宋" w:eastAsia="仿宋"/>
          <w:color w:val="auto"/>
          <w:highlight w:val="none"/>
        </w:rPr>
      </w:pPr>
      <w:bookmarkStart w:id="131" w:name="_Toc15396626"/>
      <w:bookmarkStart w:id="132" w:name="_Toc16561"/>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31"/>
      <w:bookmarkEnd w:id="132"/>
    </w:p>
    <w:p>
      <w:pPr>
        <w:pStyle w:val="4"/>
        <w:rPr>
          <w:rFonts w:ascii="仿宋" w:hAnsi="仿宋" w:eastAsia="仿宋"/>
          <w:color w:val="auto"/>
          <w:highlight w:val="none"/>
        </w:rPr>
      </w:pPr>
      <w:bookmarkStart w:id="133" w:name="_Toc26775"/>
      <w:bookmarkStart w:id="134" w:name="_Toc153966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33"/>
      <w:bookmarkEnd w:id="134"/>
    </w:p>
    <w:p>
      <w:pPr>
        <w:pStyle w:val="4"/>
        <w:rPr>
          <w:rFonts w:ascii="仿宋" w:hAnsi="仿宋" w:eastAsia="仿宋"/>
          <w:color w:val="auto"/>
          <w:highlight w:val="none"/>
        </w:rPr>
      </w:pPr>
      <w:bookmarkStart w:id="135" w:name="_Toc15396628"/>
      <w:bookmarkStart w:id="136" w:name="_Toc26695"/>
      <w:r>
        <w:rPr>
          <w:rStyle w:val="21"/>
          <w:rFonts w:hint="eastAsia" w:ascii="仿宋" w:hAnsi="仿宋" w:eastAsia="仿宋"/>
          <w:b w:val="0"/>
          <w:bCs w:val="0"/>
          <w:color w:val="auto"/>
          <w:highlight w:val="none"/>
        </w:rPr>
        <w:t>十、</w:t>
      </w:r>
      <w:bookmarkEnd w:id="135"/>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36"/>
    </w:p>
    <w:p>
      <w:pPr>
        <w:pStyle w:val="4"/>
        <w:rPr>
          <w:rFonts w:ascii="仿宋" w:hAnsi="仿宋" w:eastAsia="仿宋"/>
          <w:color w:val="auto"/>
          <w:highlight w:val="none"/>
        </w:rPr>
      </w:pPr>
      <w:bookmarkStart w:id="137" w:name="_Toc15396629"/>
      <w:bookmarkStart w:id="138" w:name="_Toc24898"/>
      <w:r>
        <w:rPr>
          <w:rStyle w:val="21"/>
          <w:rFonts w:hint="eastAsia" w:ascii="仿宋" w:hAnsi="仿宋" w:eastAsia="仿宋"/>
          <w:b w:val="0"/>
          <w:bCs w:val="0"/>
          <w:color w:val="auto"/>
          <w:highlight w:val="none"/>
        </w:rPr>
        <w:t>十一、</w:t>
      </w:r>
      <w:bookmarkEnd w:id="137"/>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38"/>
    </w:p>
    <w:p>
      <w:pPr>
        <w:pStyle w:val="4"/>
        <w:rPr>
          <w:rFonts w:ascii="仿宋" w:hAnsi="仿宋" w:eastAsia="仿宋"/>
          <w:color w:val="auto"/>
          <w:highlight w:val="none"/>
        </w:rPr>
      </w:pPr>
      <w:bookmarkStart w:id="139" w:name="_Toc15396630"/>
      <w:bookmarkStart w:id="140" w:name="_Toc13217"/>
      <w:r>
        <w:rPr>
          <w:rStyle w:val="21"/>
          <w:rFonts w:hint="eastAsia" w:ascii="仿宋" w:hAnsi="仿宋" w:eastAsia="仿宋"/>
          <w:b w:val="0"/>
          <w:bCs w:val="0"/>
          <w:color w:val="auto"/>
          <w:highlight w:val="none"/>
        </w:rPr>
        <w:t>十二、</w:t>
      </w:r>
      <w:bookmarkEnd w:id="139"/>
      <w:r>
        <w:rPr>
          <w:rStyle w:val="21"/>
          <w:rFonts w:hint="eastAsia" w:ascii="仿宋" w:hAnsi="仿宋" w:eastAsia="仿宋"/>
          <w:b w:val="0"/>
          <w:bCs w:val="0"/>
          <w:color w:val="auto"/>
          <w:highlight w:val="none"/>
          <w:lang w:eastAsia="zh-CN"/>
        </w:rPr>
        <w:t>国有资本经营预算财政拨款支出决算表</w:t>
      </w:r>
      <w:bookmarkEnd w:id="140"/>
    </w:p>
    <w:p>
      <w:pPr>
        <w:pStyle w:val="4"/>
        <w:rPr>
          <w:rFonts w:hint="eastAsia" w:eastAsia="仿宋"/>
          <w:color w:val="auto"/>
          <w:highlight w:val="none"/>
          <w:lang w:eastAsia="zh-CN"/>
        </w:rPr>
      </w:pPr>
      <w:bookmarkStart w:id="141" w:name="_Toc15396631"/>
      <w:bookmarkStart w:id="142" w:name="_Toc21570"/>
      <w:r>
        <w:rPr>
          <w:rStyle w:val="21"/>
          <w:rFonts w:hint="eastAsia" w:ascii="仿宋" w:hAnsi="仿宋" w:eastAsia="仿宋"/>
          <w:b w:val="0"/>
          <w:bCs w:val="0"/>
          <w:color w:val="auto"/>
          <w:highlight w:val="none"/>
        </w:rPr>
        <w:t>十三、</w:t>
      </w:r>
      <w:bookmarkEnd w:id="141"/>
      <w:r>
        <w:rPr>
          <w:rStyle w:val="21"/>
          <w:rFonts w:hint="eastAsia" w:ascii="仿宋" w:hAnsi="仿宋" w:eastAsia="仿宋"/>
          <w:b w:val="0"/>
          <w:bCs w:val="0"/>
          <w:color w:val="auto"/>
          <w:highlight w:val="none"/>
          <w:lang w:eastAsia="zh-CN"/>
        </w:rPr>
        <w:t>财政拨款“三公”经费支出决算表</w:t>
      </w:r>
      <w:bookmarkEnd w:id="142"/>
    </w:p>
    <w:sectPr>
      <w:footerReference r:id="rId5" w:type="first"/>
      <w:footerReference r:id="rId4" w:type="default"/>
      <w:pgSz w:w="11906" w:h="16838"/>
      <w:pgMar w:top="1440" w:right="1066" w:bottom="1440" w:left="138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东文宋体">
    <w:altName w:val="方正书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C32C7F"/>
    <w:rsid w:val="066E0107"/>
    <w:rsid w:val="07996F6E"/>
    <w:rsid w:val="07FC6D5A"/>
    <w:rsid w:val="0A2032A3"/>
    <w:rsid w:val="0F98263C"/>
    <w:rsid w:val="101860EC"/>
    <w:rsid w:val="108F5D13"/>
    <w:rsid w:val="10C055FF"/>
    <w:rsid w:val="118107EC"/>
    <w:rsid w:val="13D50BC4"/>
    <w:rsid w:val="16BB723D"/>
    <w:rsid w:val="171FEE2E"/>
    <w:rsid w:val="17BD1AF4"/>
    <w:rsid w:val="1BE8440E"/>
    <w:rsid w:val="1D155CEE"/>
    <w:rsid w:val="1FF35744"/>
    <w:rsid w:val="1FFFCA37"/>
    <w:rsid w:val="23860B96"/>
    <w:rsid w:val="240371BF"/>
    <w:rsid w:val="26C26CF7"/>
    <w:rsid w:val="2875A41C"/>
    <w:rsid w:val="2875E0C8"/>
    <w:rsid w:val="29FD04D3"/>
    <w:rsid w:val="2C8A61B5"/>
    <w:rsid w:val="2D7B8434"/>
    <w:rsid w:val="2DF04E50"/>
    <w:rsid w:val="2DF94682"/>
    <w:rsid w:val="2DFD98E5"/>
    <w:rsid w:val="2F040D46"/>
    <w:rsid w:val="2FCF1F9F"/>
    <w:rsid w:val="306D4B10"/>
    <w:rsid w:val="319F7F4E"/>
    <w:rsid w:val="31DF4109"/>
    <w:rsid w:val="32A9493D"/>
    <w:rsid w:val="3304709D"/>
    <w:rsid w:val="3366B738"/>
    <w:rsid w:val="33D755E3"/>
    <w:rsid w:val="369B2075"/>
    <w:rsid w:val="36AA5135"/>
    <w:rsid w:val="36F5BD50"/>
    <w:rsid w:val="376D39B2"/>
    <w:rsid w:val="37E16F03"/>
    <w:rsid w:val="38D469F0"/>
    <w:rsid w:val="3B1EF100"/>
    <w:rsid w:val="3B3F178D"/>
    <w:rsid w:val="3BD636B3"/>
    <w:rsid w:val="3D98207C"/>
    <w:rsid w:val="3D9EA05E"/>
    <w:rsid w:val="3DBFD4D1"/>
    <w:rsid w:val="3DF763BF"/>
    <w:rsid w:val="3E78745D"/>
    <w:rsid w:val="3FCF2869"/>
    <w:rsid w:val="3FDF3546"/>
    <w:rsid w:val="3FDF8DF8"/>
    <w:rsid w:val="3FFF6E94"/>
    <w:rsid w:val="44E268DA"/>
    <w:rsid w:val="475FE1E3"/>
    <w:rsid w:val="4A3CFCEF"/>
    <w:rsid w:val="4A627F82"/>
    <w:rsid w:val="4B0E749A"/>
    <w:rsid w:val="4B4F25DA"/>
    <w:rsid w:val="4BE068DB"/>
    <w:rsid w:val="4BFCC6A3"/>
    <w:rsid w:val="4D577224"/>
    <w:rsid w:val="4EAB630A"/>
    <w:rsid w:val="4ECE2238"/>
    <w:rsid w:val="4FAFBF8C"/>
    <w:rsid w:val="4FC56290"/>
    <w:rsid w:val="4FF68C2C"/>
    <w:rsid w:val="5336114A"/>
    <w:rsid w:val="537E6D0A"/>
    <w:rsid w:val="56F71FCF"/>
    <w:rsid w:val="579A5A6A"/>
    <w:rsid w:val="59FF5DAE"/>
    <w:rsid w:val="5AF92295"/>
    <w:rsid w:val="5BEE876A"/>
    <w:rsid w:val="5CD71FC4"/>
    <w:rsid w:val="5CFFF8DB"/>
    <w:rsid w:val="5D9B02AE"/>
    <w:rsid w:val="5DDA97A2"/>
    <w:rsid w:val="5DDF5A9D"/>
    <w:rsid w:val="5EA764A8"/>
    <w:rsid w:val="5EFFCB9C"/>
    <w:rsid w:val="5F3EBC8A"/>
    <w:rsid w:val="5F3FAF46"/>
    <w:rsid w:val="5F7E7C98"/>
    <w:rsid w:val="5FA343C6"/>
    <w:rsid w:val="5FBFD0B6"/>
    <w:rsid w:val="5FEAE5B6"/>
    <w:rsid w:val="5FF7A193"/>
    <w:rsid w:val="5FFA94FF"/>
    <w:rsid w:val="5FFAB7CD"/>
    <w:rsid w:val="5FFDFE3C"/>
    <w:rsid w:val="63BBC9CE"/>
    <w:rsid w:val="66D780C9"/>
    <w:rsid w:val="67BCF1FF"/>
    <w:rsid w:val="67FE2ABC"/>
    <w:rsid w:val="69976BC1"/>
    <w:rsid w:val="6AFDF318"/>
    <w:rsid w:val="6BBFE3A2"/>
    <w:rsid w:val="6BEF2E72"/>
    <w:rsid w:val="6BF4A03C"/>
    <w:rsid w:val="6C4A05C8"/>
    <w:rsid w:val="6CBF9B85"/>
    <w:rsid w:val="6E7E3605"/>
    <w:rsid w:val="6E9C98C6"/>
    <w:rsid w:val="6EB74111"/>
    <w:rsid w:val="6F3FF4E3"/>
    <w:rsid w:val="6F72C18C"/>
    <w:rsid w:val="6FF5CC65"/>
    <w:rsid w:val="6FFDEF3A"/>
    <w:rsid w:val="6FFF7950"/>
    <w:rsid w:val="715C0E4B"/>
    <w:rsid w:val="72734D90"/>
    <w:rsid w:val="72C232B3"/>
    <w:rsid w:val="733B032A"/>
    <w:rsid w:val="737F2252"/>
    <w:rsid w:val="73AD73D5"/>
    <w:rsid w:val="73B6EB34"/>
    <w:rsid w:val="744731E5"/>
    <w:rsid w:val="7577966D"/>
    <w:rsid w:val="757FA207"/>
    <w:rsid w:val="75FFE84C"/>
    <w:rsid w:val="76E3355F"/>
    <w:rsid w:val="76FF62DE"/>
    <w:rsid w:val="770E8026"/>
    <w:rsid w:val="77750B10"/>
    <w:rsid w:val="777F7AB1"/>
    <w:rsid w:val="778769C8"/>
    <w:rsid w:val="77EE95C7"/>
    <w:rsid w:val="77FCC7DA"/>
    <w:rsid w:val="77FE3457"/>
    <w:rsid w:val="7847FFCA"/>
    <w:rsid w:val="79777D90"/>
    <w:rsid w:val="79AFB6F7"/>
    <w:rsid w:val="79BFA1C2"/>
    <w:rsid w:val="79EE5BA4"/>
    <w:rsid w:val="79F35AEF"/>
    <w:rsid w:val="7A894339"/>
    <w:rsid w:val="7ADF5D80"/>
    <w:rsid w:val="7AEA85B1"/>
    <w:rsid w:val="7AEB3A98"/>
    <w:rsid w:val="7AFFFF16"/>
    <w:rsid w:val="7B6F7159"/>
    <w:rsid w:val="7BEBA39D"/>
    <w:rsid w:val="7BF57815"/>
    <w:rsid w:val="7BFE00C9"/>
    <w:rsid w:val="7BFF79AE"/>
    <w:rsid w:val="7C5FA944"/>
    <w:rsid w:val="7D7722EA"/>
    <w:rsid w:val="7D7C505B"/>
    <w:rsid w:val="7DF6C8CC"/>
    <w:rsid w:val="7EB3F894"/>
    <w:rsid w:val="7ECFF8F8"/>
    <w:rsid w:val="7EDB516F"/>
    <w:rsid w:val="7EEF11D3"/>
    <w:rsid w:val="7EFFC344"/>
    <w:rsid w:val="7EFFE6ED"/>
    <w:rsid w:val="7EFFF174"/>
    <w:rsid w:val="7F3EF8A3"/>
    <w:rsid w:val="7F57047E"/>
    <w:rsid w:val="7F5AAEB5"/>
    <w:rsid w:val="7F6B0A1C"/>
    <w:rsid w:val="7F736E1F"/>
    <w:rsid w:val="7F79B58A"/>
    <w:rsid w:val="7F9F0B39"/>
    <w:rsid w:val="7FA30C79"/>
    <w:rsid w:val="7FAF1F3F"/>
    <w:rsid w:val="7FAFF284"/>
    <w:rsid w:val="7FB148A4"/>
    <w:rsid w:val="7FB7269E"/>
    <w:rsid w:val="7FC96657"/>
    <w:rsid w:val="7FDF7842"/>
    <w:rsid w:val="7FEE47B7"/>
    <w:rsid w:val="7FEF12C8"/>
    <w:rsid w:val="7FF51D83"/>
    <w:rsid w:val="7FFB5B4B"/>
    <w:rsid w:val="7FFEC290"/>
    <w:rsid w:val="7FFF4CB3"/>
    <w:rsid w:val="7FFF5D6E"/>
    <w:rsid w:val="7FFFF3D5"/>
    <w:rsid w:val="93797539"/>
    <w:rsid w:val="95F80132"/>
    <w:rsid w:val="96FFD49A"/>
    <w:rsid w:val="9BFF7A8D"/>
    <w:rsid w:val="9ECB0B47"/>
    <w:rsid w:val="9FFF938E"/>
    <w:rsid w:val="9FFFE783"/>
    <w:rsid w:val="A4E439CB"/>
    <w:rsid w:val="A55F4642"/>
    <w:rsid w:val="A5FEBF84"/>
    <w:rsid w:val="ACD6586E"/>
    <w:rsid w:val="ACFCDFF0"/>
    <w:rsid w:val="AD73E55A"/>
    <w:rsid w:val="ADBF10D9"/>
    <w:rsid w:val="AE5FDC9E"/>
    <w:rsid w:val="AFBDE040"/>
    <w:rsid w:val="AFFF9FC5"/>
    <w:rsid w:val="B3FF11EE"/>
    <w:rsid w:val="B76787B0"/>
    <w:rsid w:val="B7BD492D"/>
    <w:rsid w:val="B7DFFB44"/>
    <w:rsid w:val="B7FF5C5C"/>
    <w:rsid w:val="B8E3AAC1"/>
    <w:rsid w:val="BABF6D96"/>
    <w:rsid w:val="BBDFC05B"/>
    <w:rsid w:val="BBF83CCE"/>
    <w:rsid w:val="BEEF7C97"/>
    <w:rsid w:val="BEFF0733"/>
    <w:rsid w:val="BEFFED39"/>
    <w:rsid w:val="BFFCD1CB"/>
    <w:rsid w:val="BFFF7B6A"/>
    <w:rsid w:val="C279D24B"/>
    <w:rsid w:val="C3FE33D9"/>
    <w:rsid w:val="CDFD9E34"/>
    <w:rsid w:val="CEFFBB51"/>
    <w:rsid w:val="CF7A0C48"/>
    <w:rsid w:val="CF7F9715"/>
    <w:rsid w:val="CFAF1195"/>
    <w:rsid w:val="CFBB8CAF"/>
    <w:rsid w:val="CFCF5B19"/>
    <w:rsid w:val="D19FE6D9"/>
    <w:rsid w:val="D657498C"/>
    <w:rsid w:val="D76BF129"/>
    <w:rsid w:val="D7B658EB"/>
    <w:rsid w:val="D8D6DB89"/>
    <w:rsid w:val="DB6F4CAB"/>
    <w:rsid w:val="DBB8EAE7"/>
    <w:rsid w:val="DBE9FA8E"/>
    <w:rsid w:val="DDFC292B"/>
    <w:rsid w:val="DDFE5E66"/>
    <w:rsid w:val="DF6F0321"/>
    <w:rsid w:val="DF6F9789"/>
    <w:rsid w:val="DF7B16E7"/>
    <w:rsid w:val="DF93F9A2"/>
    <w:rsid w:val="DFB63628"/>
    <w:rsid w:val="DFBF61B3"/>
    <w:rsid w:val="DFFF1021"/>
    <w:rsid w:val="E357D605"/>
    <w:rsid w:val="E5852FBE"/>
    <w:rsid w:val="E5F7EBBD"/>
    <w:rsid w:val="E7FBDE4F"/>
    <w:rsid w:val="E7FE8AB1"/>
    <w:rsid w:val="E83EFA69"/>
    <w:rsid w:val="EDFEA4E0"/>
    <w:rsid w:val="EEADA697"/>
    <w:rsid w:val="EF7C80AA"/>
    <w:rsid w:val="EF9F8E2F"/>
    <w:rsid w:val="EFBB1C3E"/>
    <w:rsid w:val="EFBB34AD"/>
    <w:rsid w:val="EFE6DD36"/>
    <w:rsid w:val="EFFACB36"/>
    <w:rsid w:val="F27FB8F7"/>
    <w:rsid w:val="F6ABFE5B"/>
    <w:rsid w:val="F6FFB0E7"/>
    <w:rsid w:val="F76FEDFC"/>
    <w:rsid w:val="F7EDFFA2"/>
    <w:rsid w:val="F7F52E4E"/>
    <w:rsid w:val="F7FFF035"/>
    <w:rsid w:val="F972DB92"/>
    <w:rsid w:val="F9EFC7D4"/>
    <w:rsid w:val="FB77379C"/>
    <w:rsid w:val="FB7D918F"/>
    <w:rsid w:val="FBCFE4ED"/>
    <w:rsid w:val="FBF7488E"/>
    <w:rsid w:val="FBFD0F0F"/>
    <w:rsid w:val="FC7C3D43"/>
    <w:rsid w:val="FD536AA2"/>
    <w:rsid w:val="FD7F3643"/>
    <w:rsid w:val="FDD315C3"/>
    <w:rsid w:val="FDE2CF71"/>
    <w:rsid w:val="FDF41B75"/>
    <w:rsid w:val="FE5CFB85"/>
    <w:rsid w:val="FEAE3C8A"/>
    <w:rsid w:val="FEFFE587"/>
    <w:rsid w:val="FF550C87"/>
    <w:rsid w:val="FF756F8E"/>
    <w:rsid w:val="FF9E6D54"/>
    <w:rsid w:val="FFAE2875"/>
    <w:rsid w:val="FFAF1965"/>
    <w:rsid w:val="FFD7D3F5"/>
    <w:rsid w:val="FFDD7BDA"/>
    <w:rsid w:val="FFF3AD52"/>
    <w:rsid w:val="FFFF237A"/>
    <w:rsid w:val="FFFF945D"/>
    <w:rsid w:val="FFFFBE4B"/>
    <w:rsid w:val="FFFFF0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style>
  <w:style w:type="paragraph" w:styleId="6">
    <w:name w:val="Body Text"/>
    <w:basedOn w:val="1"/>
    <w:link w:val="30"/>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ToCaption"/>
    <w:basedOn w:val="1"/>
    <w:next w:val="1"/>
    <w:qFormat/>
    <w:uiPriority w:val="0"/>
    <w:pPr>
      <w:suppressAutoHyphens/>
      <w:ind w:leftChars="200" w:hanging="200" w:hangingChars="200"/>
      <w:jc w:val="both"/>
      <w:textAlignment w:val="baseline"/>
    </w:p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7"/>
    <w:semiHidden/>
    <w:qFormat/>
    <w:uiPriority w:val="99"/>
    <w:rPr>
      <w:rFonts w:ascii="Times New Roman" w:hAnsi="Times New Roman"/>
      <w:sz w:val="18"/>
      <w:szCs w:val="18"/>
    </w:rPr>
  </w:style>
  <w:style w:type="character" w:customStyle="1" w:styleId="26">
    <w:name w:val="页眉 Char"/>
    <w:link w:val="11"/>
    <w:semiHidden/>
    <w:qFormat/>
    <w:locked/>
    <w:uiPriority w:val="99"/>
    <w:rPr>
      <w:sz w:val="18"/>
    </w:rPr>
  </w:style>
  <w:style w:type="character" w:customStyle="1" w:styleId="27">
    <w:name w:val="Footer Char"/>
    <w:basedOn w:val="17"/>
    <w:semiHidden/>
    <w:qFormat/>
    <w:uiPriority w:val="99"/>
    <w:rPr>
      <w:rFonts w:ascii="Times New Roman" w:hAnsi="Times New Roman"/>
      <w:sz w:val="18"/>
      <w:szCs w:val="18"/>
    </w:rPr>
  </w:style>
  <w:style w:type="character" w:customStyle="1" w:styleId="28">
    <w:name w:val="页脚 Char"/>
    <w:link w:val="10"/>
    <w:qFormat/>
    <w:locked/>
    <w:uiPriority w:val="99"/>
    <w:rPr>
      <w:sz w:val="18"/>
    </w:rPr>
  </w:style>
  <w:style w:type="character" w:customStyle="1" w:styleId="29">
    <w:name w:val="Body Text Char"/>
    <w:basedOn w:val="17"/>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9"/>
    <w:semiHidden/>
    <w:qFormat/>
    <w:uiPriority w:val="99"/>
    <w:rPr>
      <w:rFonts w:ascii="Times New Roman" w:hAnsi="Times New Roman"/>
      <w:kern w:val="2"/>
      <w:sz w:val="18"/>
      <w:szCs w:val="18"/>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11"/>
    <w:basedOn w:val="17"/>
    <w:qFormat/>
    <w:uiPriority w:val="0"/>
    <w:rPr>
      <w:rFonts w:hint="default" w:ascii="东文宋体" w:hAnsi="东文宋体" w:eastAsia="东文宋体" w:cs="东文宋体"/>
      <w:color w:val="000000"/>
      <w:sz w:val="20"/>
      <w:szCs w:val="20"/>
      <w:u w:val="none"/>
    </w:rPr>
  </w:style>
  <w:style w:type="character" w:customStyle="1" w:styleId="38">
    <w:name w:val="font31"/>
    <w:basedOn w:val="17"/>
    <w:qFormat/>
    <w:uiPriority w:val="0"/>
    <w:rPr>
      <w:rFonts w:hint="eastAsia" w:ascii="宋体" w:hAnsi="宋体" w:eastAsia="宋体" w:cs="宋体"/>
      <w:color w:val="000000"/>
      <w:sz w:val="20"/>
      <w:szCs w:val="20"/>
      <w:u w:val="none"/>
    </w:rPr>
  </w:style>
  <w:style w:type="character" w:customStyle="1" w:styleId="39">
    <w:name w:val="NormalCharacter"/>
    <w:qFormat/>
    <w:uiPriority w:val="0"/>
    <w:rPr>
      <w:rFonts w:ascii="Times New Roman" w:hAnsi="Times New Roman"/>
      <w:kern w:val="2"/>
      <w:sz w:val="21"/>
      <w:szCs w:val="24"/>
      <w:lang w:val="en-US" w:eastAsia="zh-CN" w:bidi="ar-SA"/>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image" Target="media/image1.png"/><Relationship Id="rId12" Type="http://schemas.openxmlformats.org/officeDocument/2006/relationships/oleObject" Target="embeddings/oleObject1.bin"/><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0120895727435"/>
          <c:y val="0.04544202698981"/>
        </c:manualLayout>
      </c:layout>
      <c:overlay val="false"/>
      <c:spPr>
        <a:noFill/>
        <a:ln>
          <a:noFill/>
        </a:ln>
        <a:effectLst/>
      </c:spPr>
    </c:title>
    <c:autoTitleDeleted val="false"/>
    <c:plotArea>
      <c:layout>
        <c:manualLayout>
          <c:layoutTarget val="inner"/>
          <c:xMode val="edge"/>
          <c:yMode val="edge"/>
          <c:x val="0.147713613796708"/>
          <c:y val="0.078468130690948"/>
          <c:w val="0.809041024301019"/>
          <c:h val="0.751312265666845"/>
        </c:manualLayout>
      </c:layout>
      <c:barChart>
        <c:barDir val="col"/>
        <c:grouping val="clustered"/>
        <c:varyColors val="false"/>
        <c:ser>
          <c:idx val="0"/>
          <c:order val="0"/>
          <c:tx>
            <c:strRef>
              <c:f>Sheet1!$A$1</c:f>
              <c:strCache>
                <c:ptCount val="1"/>
                <c:pt idx="0">
                  <c:v>2021年</c:v>
                </c:pt>
              </c:strCache>
            </c:strRef>
          </c:tx>
          <c:spPr>
            <a:solidFill>
              <a:schemeClr val="accent5">
                <a:lumMod val="60000"/>
                <a:lumOff val="4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6950.16</c:v>
                </c:pt>
              </c:numCache>
            </c:numRef>
          </c:val>
        </c:ser>
        <c:ser>
          <c:idx val="1"/>
          <c:order val="1"/>
          <c:tx>
            <c:strRef>
              <c:f>Sheet1!$B$1</c:f>
              <c:strCache>
                <c:ptCount val="1"/>
                <c:pt idx="0">
                  <c:v>2022年</c:v>
                </c:pt>
              </c:strCache>
            </c:strRef>
          </c:tx>
          <c:spPr>
            <a:solidFill>
              <a:schemeClr val="accent6">
                <a:lumMod val="40000"/>
                <a:lumOff val="6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5683.49</c:v>
                </c:pt>
              </c:numCache>
            </c:numRef>
          </c:val>
        </c:ser>
        <c:dLbls>
          <c:showLegendKey val="false"/>
          <c:showVal val="true"/>
          <c:showCatName val="false"/>
          <c:showSerName val="false"/>
          <c:showPercent val="false"/>
          <c:showBubbleSize val="false"/>
        </c:dLbls>
        <c:gapWidth val="219"/>
        <c:overlap val="-27"/>
        <c:axId val="431465481"/>
        <c:axId val="11803957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Sheet1!#REF!</c15:sqref>
                        </c15:formulaRef>
                      </c:ext>
                    </c:extLst>
                    <c:numCache>
                      <c:ptCount val="0"/>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3146548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8039578"/>
        <c:crosses val="autoZero"/>
        <c:auto val="true"/>
        <c:lblAlgn val="ctr"/>
        <c:lblOffset val="100"/>
        <c:noMultiLvlLbl val="false"/>
      </c:catAx>
      <c:valAx>
        <c:axId val="11803957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31465481"/>
        <c:crosses val="autoZero"/>
        <c:crossBetween val="between"/>
      </c:valAx>
      <c:spPr>
        <a:noFill/>
        <a:ln>
          <a:noFill/>
        </a:ln>
        <a:effectLst/>
      </c:spPr>
    </c:plotArea>
    <c:legend>
      <c:legendPos val="b"/>
      <c:layout>
        <c:manualLayout>
          <c:xMode val="edge"/>
          <c:yMode val="edge"/>
          <c:x val="0.35965848452508"/>
          <c:y val="0.879145873061141"/>
          <c:w val="0.214395825921973"/>
          <c:h val="0.096292481977342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14348515511789"/>
          <c:y val="0.0751251105109051"/>
        </c:manualLayout>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5">
                  <a:lumMod val="60000"/>
                  <a:lumOff val="40000"/>
                </a:schemeClr>
              </a:solidFill>
              <a:ln w="19050">
                <a:solidFill>
                  <a:schemeClr val="lt1"/>
                </a:solidFill>
              </a:ln>
              <a:effectLst/>
            </c:spPr>
          </c:dPt>
          <c:dPt>
            <c:idx val="1"/>
            <c:bubble3D val="false"/>
            <c:spPr>
              <a:solidFill>
                <a:schemeClr val="accent6">
                  <a:lumMod val="40000"/>
                  <a:lumOff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4222.52</c:v>
                </c:pt>
                <c:pt idx="1">
                  <c:v>1067.64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14348515511789"/>
          <c:y val="0.0751251105109051"/>
        </c:manualLayout>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5">
                  <a:lumMod val="60000"/>
                  <a:lumOff val="40000"/>
                </a:schemeClr>
              </a:solidFill>
              <a:ln w="19050">
                <a:solidFill>
                  <a:schemeClr val="lt1"/>
                </a:solidFill>
              </a:ln>
              <a:effectLst/>
            </c:spPr>
          </c:dPt>
          <c:dPt>
            <c:idx val="1"/>
            <c:bubble3D val="false"/>
            <c:spPr>
              <a:solidFill>
                <a:schemeClr val="accent6">
                  <a:lumMod val="40000"/>
                  <a:lumOff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2574.76</c:v>
                </c:pt>
                <c:pt idx="1">
                  <c:v>2893.17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0120895727435"/>
          <c:y val="0.04544202698981"/>
        </c:manualLayout>
      </c:layout>
      <c:overlay val="false"/>
      <c:spPr>
        <a:noFill/>
        <a:ln>
          <a:noFill/>
        </a:ln>
        <a:effectLst/>
      </c:spPr>
    </c:title>
    <c:autoTitleDeleted val="false"/>
    <c:plotArea>
      <c:layout>
        <c:manualLayout>
          <c:layoutTarget val="inner"/>
          <c:xMode val="edge"/>
          <c:yMode val="edge"/>
          <c:x val="0.147713613796708"/>
          <c:y val="0.078468130690948"/>
          <c:w val="0.809041024301019"/>
          <c:h val="0.751312265666845"/>
        </c:manualLayout>
      </c:layout>
      <c:barChart>
        <c:barDir val="col"/>
        <c:grouping val="clustered"/>
        <c:varyColors val="false"/>
        <c:ser>
          <c:idx val="0"/>
          <c:order val="0"/>
          <c:tx>
            <c:strRef>
              <c:f>Sheet1!$A$1</c:f>
              <c:strCache>
                <c:ptCount val="1"/>
                <c:pt idx="0">
                  <c:v>2021年</c:v>
                </c:pt>
              </c:strCache>
            </c:strRef>
          </c:tx>
          <c:spPr>
            <a:solidFill>
              <a:schemeClr val="accent5">
                <a:lumMod val="60000"/>
                <a:lumOff val="4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6101.24</c:v>
                </c:pt>
              </c:numCache>
            </c:numRef>
          </c:val>
        </c:ser>
        <c:ser>
          <c:idx val="1"/>
          <c:order val="1"/>
          <c:tx>
            <c:strRef>
              <c:f>Sheet1!$B$1</c:f>
              <c:strCache>
                <c:ptCount val="1"/>
                <c:pt idx="0">
                  <c:v>2022年</c:v>
                </c:pt>
              </c:strCache>
            </c:strRef>
          </c:tx>
          <c:spPr>
            <a:solidFill>
              <a:schemeClr val="accent6">
                <a:lumMod val="40000"/>
                <a:lumOff val="6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4615.85</c:v>
                </c:pt>
              </c:numCache>
            </c:numRef>
          </c:val>
        </c:ser>
        <c:dLbls>
          <c:showLegendKey val="false"/>
          <c:showVal val="true"/>
          <c:showCatName val="false"/>
          <c:showSerName val="false"/>
          <c:showPercent val="false"/>
          <c:showBubbleSize val="false"/>
        </c:dLbls>
        <c:gapWidth val="219"/>
        <c:overlap val="-27"/>
        <c:axId val="431465481"/>
        <c:axId val="11803957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Sheet1!#REF!</c15:sqref>
                        </c15:formulaRef>
                      </c:ext>
                    </c:extLst>
                    <c:numCache>
                      <c:ptCount val="0"/>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3146548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8039578"/>
        <c:crosses val="autoZero"/>
        <c:auto val="true"/>
        <c:lblAlgn val="ctr"/>
        <c:lblOffset val="100"/>
        <c:noMultiLvlLbl val="false"/>
      </c:catAx>
      <c:valAx>
        <c:axId val="11803957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31465481"/>
        <c:crosses val="autoZero"/>
        <c:crossBetween val="between"/>
      </c:valAx>
      <c:spPr>
        <a:noFill/>
        <a:ln>
          <a:noFill/>
        </a:ln>
        <a:effectLst/>
      </c:spPr>
    </c:plotArea>
    <c:legend>
      <c:legendPos val="b"/>
      <c:layout>
        <c:manualLayout>
          <c:xMode val="edge"/>
          <c:yMode val="edge"/>
          <c:x val="0.35965848452508"/>
          <c:y val="0.879145873061141"/>
          <c:w val="0.214395825921973"/>
          <c:h val="0.096292481977342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0120895727435"/>
          <c:y val="0.04544202698981"/>
        </c:manualLayout>
      </c:layout>
      <c:overlay val="false"/>
      <c:spPr>
        <a:noFill/>
        <a:ln>
          <a:noFill/>
        </a:ln>
        <a:effectLst/>
      </c:spPr>
    </c:title>
    <c:autoTitleDeleted val="false"/>
    <c:plotArea>
      <c:layout>
        <c:manualLayout>
          <c:layoutTarget val="inner"/>
          <c:xMode val="edge"/>
          <c:yMode val="edge"/>
          <c:x val="0.147713613796708"/>
          <c:y val="0.078468130690948"/>
          <c:w val="0.809041024301019"/>
          <c:h val="0.751312265666845"/>
        </c:manualLayout>
      </c:layout>
      <c:barChart>
        <c:barDir val="col"/>
        <c:grouping val="clustered"/>
        <c:varyColors val="false"/>
        <c:ser>
          <c:idx val="0"/>
          <c:order val="0"/>
          <c:tx>
            <c:strRef>
              <c:f>Sheet1!$A$1</c:f>
              <c:strCache>
                <c:ptCount val="1"/>
                <c:pt idx="0">
                  <c:v>2021年</c:v>
                </c:pt>
              </c:strCache>
            </c:strRef>
          </c:tx>
          <c:spPr>
            <a:solidFill>
              <a:schemeClr val="accent5">
                <a:lumMod val="60000"/>
                <a:lumOff val="4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5706.09</c:v>
                </c:pt>
              </c:numCache>
            </c:numRef>
          </c:val>
        </c:ser>
        <c:ser>
          <c:idx val="1"/>
          <c:order val="1"/>
          <c:tx>
            <c:strRef>
              <c:f>Sheet1!$B$1</c:f>
              <c:strCache>
                <c:ptCount val="1"/>
                <c:pt idx="0">
                  <c:v>2022年</c:v>
                </c:pt>
              </c:strCache>
            </c:strRef>
          </c:tx>
          <c:spPr>
            <a:solidFill>
              <a:schemeClr val="accent6">
                <a:lumMod val="40000"/>
                <a:lumOff val="6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4400.3</c:v>
                </c:pt>
              </c:numCache>
            </c:numRef>
          </c:val>
        </c:ser>
        <c:dLbls>
          <c:showLegendKey val="false"/>
          <c:showVal val="true"/>
          <c:showCatName val="false"/>
          <c:showSerName val="false"/>
          <c:showPercent val="false"/>
          <c:showBubbleSize val="false"/>
        </c:dLbls>
        <c:gapWidth val="219"/>
        <c:overlap val="-27"/>
        <c:axId val="431465481"/>
        <c:axId val="11803957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Sheet1!#REF!</c15:sqref>
                        </c15:formulaRef>
                      </c:ext>
                    </c:extLst>
                    <c:numCache>
                      <c:ptCount val="0"/>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3146548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8039578"/>
        <c:crosses val="autoZero"/>
        <c:auto val="true"/>
        <c:lblAlgn val="ctr"/>
        <c:lblOffset val="100"/>
        <c:noMultiLvlLbl val="false"/>
      </c:catAx>
      <c:valAx>
        <c:axId val="11803957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31465481"/>
        <c:crosses val="autoZero"/>
        <c:crossBetween val="between"/>
      </c:valAx>
      <c:spPr>
        <a:noFill/>
        <a:ln>
          <a:noFill/>
        </a:ln>
        <a:effectLst/>
      </c:spPr>
    </c:plotArea>
    <c:legend>
      <c:legendPos val="b"/>
      <c:layout>
        <c:manualLayout>
          <c:xMode val="edge"/>
          <c:yMode val="edge"/>
          <c:x val="0.35965848452508"/>
          <c:y val="0.879145873061141"/>
          <c:w val="0.214395825921973"/>
          <c:h val="0.096292481977342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14348515511789"/>
          <c:y val="0.0751251105109051"/>
        </c:manualLayout>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5">
                  <a:lumMod val="60000"/>
                  <a:lumOff val="40000"/>
                </a:schemeClr>
              </a:solidFill>
              <a:ln w="19050">
                <a:solidFill>
                  <a:schemeClr val="lt1"/>
                </a:solidFill>
              </a:ln>
              <a:effectLst/>
            </c:spPr>
          </c:dPt>
          <c:dPt>
            <c:idx val="1"/>
            <c:bubble3D val="false"/>
            <c:spPr>
              <a:solidFill>
                <a:schemeClr val="accent6">
                  <a:lumMod val="40000"/>
                  <a:lumOff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公务用车购置及运行维护费支出91.08%</c:v>
                </c:pt>
                <c:pt idx="1">
                  <c:v>公务接待费支出8.92%</c:v>
                </c:pt>
              </c:strCache>
            </c:strRef>
          </c:cat>
          <c:val>
            <c:numRef>
              <c:f>Sheet1!$B$2:$B$3</c:f>
              <c:numCache>
                <c:formatCode>General</c:formatCode>
                <c:ptCount val="2"/>
                <c:pt idx="0">
                  <c:v>44.81</c:v>
                </c:pt>
                <c:pt idx="1">
                  <c:v>4.39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9</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 </cp:lastModifiedBy>
  <cp:lastPrinted>2023-08-03T10:35:00Z</cp:lastPrinted>
  <dcterms:modified xsi:type="dcterms:W3CDTF">2023-10-07T19:37:50Z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