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pacing w:line="560" w:lineRule="exact"/>
        <w:jc w:val="center"/>
        <w:rPr>
          <w:rFonts w:ascii="方正小标宋_GBK" w:hAnsi="方正小标宋_GBK" w:eastAsia="方正小标宋_GBK" w:cs="方正小标宋_GBK"/>
          <w:kern w:val="2"/>
          <w:sz w:val="44"/>
          <w:szCs w:val="44"/>
          <w:lang w:val="zh-CN"/>
        </w:rPr>
      </w:pPr>
    </w:p>
    <w:p>
      <w:pPr>
        <w:topLinePunct/>
        <w:spacing w:line="560" w:lineRule="exact"/>
        <w:jc w:val="center"/>
        <w:rPr>
          <w:rFonts w:ascii="方正小标宋_GBK" w:hAnsi="方正小标宋_GBK" w:eastAsia="方正小标宋_GBK" w:cs="方正小标宋_GBK"/>
          <w:kern w:val="2"/>
          <w:sz w:val="44"/>
          <w:szCs w:val="44"/>
          <w:lang w:val="zh-CN"/>
        </w:rPr>
      </w:pPr>
    </w:p>
    <w:p>
      <w:pPr>
        <w:topLinePunct/>
        <w:spacing w:line="560" w:lineRule="exact"/>
        <w:jc w:val="center"/>
        <w:rPr>
          <w:rFonts w:ascii="方正小标宋_GBK" w:hAnsi="方正小标宋_GBK" w:eastAsia="方正小标宋_GBK" w:cs="方正小标宋_GBK"/>
          <w:kern w:val="2"/>
          <w:sz w:val="44"/>
          <w:szCs w:val="44"/>
          <w:lang w:val="zh-CN"/>
        </w:rPr>
      </w:pPr>
    </w:p>
    <w:p>
      <w:pPr>
        <w:topLinePunct/>
        <w:spacing w:line="700" w:lineRule="exact"/>
        <w:jc w:val="center"/>
        <w:rPr>
          <w:rFonts w:hint="eastAsia" w:ascii="方正小标宋_GBK" w:hAnsi="方正小标宋_GBK" w:eastAsia="方正小标宋_GBK" w:cs="方正小标宋_GBK"/>
          <w:kern w:val="2"/>
          <w:sz w:val="52"/>
          <w:szCs w:val="52"/>
          <w:lang w:val="zh-CN"/>
        </w:rPr>
      </w:pPr>
      <w:r>
        <w:rPr>
          <w:rFonts w:ascii="方正小标宋_GBK" w:hAnsi="方正小标宋_GBK" w:eastAsia="方正小标宋_GBK" w:cs="方正小标宋_GBK"/>
          <w:kern w:val="2"/>
          <w:sz w:val="52"/>
          <w:szCs w:val="52"/>
          <w:lang w:val="zh-CN"/>
        </w:rPr>
        <w:t>2022</w:t>
      </w:r>
      <w:r>
        <w:rPr>
          <w:rFonts w:hint="eastAsia" w:ascii="方正小标宋_GBK" w:hAnsi="方正小标宋_GBK" w:eastAsia="方正小标宋_GBK" w:cs="方正小标宋_GBK"/>
          <w:kern w:val="2"/>
          <w:sz w:val="52"/>
          <w:szCs w:val="52"/>
          <w:lang w:val="zh-CN"/>
        </w:rPr>
        <w:t>年度</w:t>
      </w:r>
    </w:p>
    <w:p>
      <w:pPr>
        <w:topLinePunct/>
        <w:spacing w:line="700" w:lineRule="exact"/>
        <w:jc w:val="center"/>
        <w:rPr>
          <w:rFonts w:ascii="方正小标宋_GBK" w:hAnsi="方正小标宋_GBK" w:eastAsia="方正小标宋_GBK" w:cs="方正小标宋_GBK"/>
          <w:kern w:val="2"/>
          <w:sz w:val="52"/>
          <w:szCs w:val="52"/>
          <w:lang w:val="zh-CN"/>
        </w:rPr>
      </w:pPr>
      <w:r>
        <w:rPr>
          <w:rFonts w:hint="eastAsia" w:ascii="方正小标宋_GBK" w:hAnsi="方正小标宋_GBK" w:eastAsia="方正小标宋_GBK" w:cs="方正小标宋_GBK"/>
          <w:kern w:val="2"/>
          <w:sz w:val="52"/>
          <w:szCs w:val="52"/>
          <w:lang w:val="zh-CN"/>
        </w:rPr>
        <w:t>广元市人民政府办公室</w:t>
      </w:r>
    </w:p>
    <w:p>
      <w:pPr>
        <w:topLinePunct/>
        <w:spacing w:line="700" w:lineRule="exact"/>
        <w:jc w:val="center"/>
        <w:rPr>
          <w:rFonts w:ascii="方正小标宋_GBK" w:hAnsi="方正小标宋_GBK" w:eastAsia="方正小标宋_GBK" w:cs="方正小标宋_GBK"/>
          <w:kern w:val="2"/>
          <w:sz w:val="52"/>
          <w:szCs w:val="52"/>
          <w:lang w:val="zh-CN"/>
        </w:rPr>
      </w:pPr>
      <w:r>
        <w:rPr>
          <w:rFonts w:hint="eastAsia" w:ascii="方正小标宋_GBK" w:hAnsi="方正小标宋_GBK" w:eastAsia="方正小标宋_GBK" w:cs="方正小标宋_GBK"/>
          <w:kern w:val="2"/>
          <w:sz w:val="52"/>
          <w:szCs w:val="52"/>
          <w:lang w:val="zh-CN"/>
        </w:rPr>
        <w:t>部门决算</w:t>
      </w:r>
    </w:p>
    <w:p>
      <w:pPr>
        <w:keepNext/>
        <w:keepLines/>
        <w:tabs>
          <w:tab w:val="right" w:leader="dot" w:pos="8296"/>
        </w:tabs>
        <w:topLinePunct/>
        <w:spacing w:line="560" w:lineRule="exact"/>
        <w:rPr>
          <w:rFonts w:ascii="黑体" w:eastAsia="黑体" w:cs="黑体"/>
          <w:b/>
          <w:color w:val="FF0000"/>
          <w:kern w:val="2"/>
          <w:sz w:val="48"/>
          <w:szCs w:val="48"/>
          <w:lang w:val="zh-CN"/>
        </w:rPr>
      </w:pPr>
    </w:p>
    <w:p>
      <w:pPr>
        <w:topLinePunct/>
        <w:spacing w:line="560" w:lineRule="exact"/>
        <w:jc w:val="center"/>
        <w:rPr>
          <w:rFonts w:ascii="黑体" w:eastAsia="黑体" w:cs="黑体"/>
          <w:kern w:val="2"/>
          <w:sz w:val="48"/>
          <w:szCs w:val="48"/>
          <w:lang w:val="zh-CN"/>
        </w:rPr>
      </w:pPr>
    </w:p>
    <w:p>
      <w:pPr>
        <w:topLinePunct/>
        <w:spacing w:line="560" w:lineRule="exact"/>
        <w:jc w:val="center"/>
        <w:rPr>
          <w:rFonts w:ascii="黑体" w:eastAsia="黑体" w:cs="黑体"/>
          <w:kern w:val="2"/>
          <w:sz w:val="48"/>
          <w:szCs w:val="48"/>
          <w:lang w:val="zh-CN"/>
        </w:rPr>
      </w:pPr>
    </w:p>
    <w:p>
      <w:pPr>
        <w:topLinePunct/>
        <w:spacing w:line="560" w:lineRule="exact"/>
        <w:jc w:val="center"/>
        <w:rPr>
          <w:rFonts w:ascii="黑体" w:eastAsia="黑体" w:cs="黑体"/>
          <w:kern w:val="2"/>
          <w:sz w:val="48"/>
          <w:szCs w:val="48"/>
          <w:lang w:val="zh-CN"/>
        </w:rPr>
      </w:pPr>
    </w:p>
    <w:p>
      <w:pPr>
        <w:topLinePunct/>
        <w:spacing w:line="560" w:lineRule="exact"/>
        <w:jc w:val="center"/>
        <w:rPr>
          <w:rFonts w:ascii="黑体" w:eastAsia="黑体" w:cs="黑体"/>
          <w:kern w:val="2"/>
          <w:sz w:val="48"/>
          <w:szCs w:val="48"/>
          <w:lang w:val="zh-CN"/>
        </w:rPr>
      </w:pPr>
    </w:p>
    <w:p>
      <w:pPr>
        <w:topLinePunct/>
        <w:spacing w:line="560" w:lineRule="exact"/>
        <w:jc w:val="center"/>
        <w:rPr>
          <w:rFonts w:ascii="黑体" w:eastAsia="黑体" w:cs="黑体"/>
          <w:kern w:val="2"/>
          <w:sz w:val="48"/>
          <w:szCs w:val="48"/>
          <w:lang w:val="zh-CN"/>
        </w:rPr>
      </w:pPr>
    </w:p>
    <w:p>
      <w:pPr>
        <w:topLinePunct/>
        <w:spacing w:line="560" w:lineRule="exact"/>
        <w:jc w:val="center"/>
        <w:rPr>
          <w:rFonts w:ascii="黑体" w:eastAsia="黑体" w:cs="黑体"/>
          <w:kern w:val="2"/>
          <w:sz w:val="48"/>
          <w:szCs w:val="48"/>
          <w:lang w:val="zh-CN"/>
        </w:rPr>
      </w:pPr>
    </w:p>
    <w:p>
      <w:pPr>
        <w:topLinePunct/>
        <w:spacing w:line="560" w:lineRule="exact"/>
        <w:jc w:val="center"/>
        <w:rPr>
          <w:rFonts w:ascii="黑体" w:eastAsia="黑体" w:cs="黑体"/>
          <w:kern w:val="2"/>
          <w:sz w:val="48"/>
          <w:szCs w:val="48"/>
          <w:lang w:val="zh-CN"/>
        </w:rPr>
      </w:pPr>
    </w:p>
    <w:p>
      <w:pPr>
        <w:topLinePunct/>
        <w:spacing w:line="560" w:lineRule="exact"/>
        <w:jc w:val="center"/>
        <w:rPr>
          <w:rFonts w:ascii="黑体" w:eastAsia="黑体" w:cs="黑体"/>
          <w:kern w:val="2"/>
          <w:sz w:val="48"/>
          <w:szCs w:val="48"/>
          <w:lang w:val="zh-CN"/>
        </w:rPr>
      </w:pPr>
    </w:p>
    <w:p>
      <w:pPr>
        <w:topLinePunct/>
        <w:spacing w:line="560" w:lineRule="exact"/>
        <w:jc w:val="center"/>
        <w:rPr>
          <w:rFonts w:ascii="黑体" w:eastAsia="黑体" w:cs="黑体"/>
          <w:kern w:val="2"/>
          <w:sz w:val="48"/>
          <w:szCs w:val="48"/>
          <w:lang w:val="zh-CN"/>
        </w:rPr>
      </w:pPr>
    </w:p>
    <w:p>
      <w:pPr>
        <w:topLinePunct/>
        <w:spacing w:line="560" w:lineRule="exact"/>
        <w:jc w:val="center"/>
        <w:rPr>
          <w:rFonts w:ascii="黑体" w:eastAsia="黑体" w:cs="黑体"/>
          <w:kern w:val="2"/>
          <w:sz w:val="48"/>
          <w:szCs w:val="48"/>
          <w:lang w:val="zh-CN"/>
        </w:rPr>
      </w:pPr>
    </w:p>
    <w:p>
      <w:pPr>
        <w:topLinePunct/>
        <w:spacing w:line="560" w:lineRule="exact"/>
        <w:jc w:val="center"/>
        <w:rPr>
          <w:rFonts w:ascii="黑体" w:eastAsia="黑体" w:cs="黑体"/>
          <w:kern w:val="2"/>
          <w:sz w:val="48"/>
          <w:szCs w:val="48"/>
          <w:lang w:val="zh-CN"/>
        </w:rPr>
      </w:pPr>
    </w:p>
    <w:p>
      <w:pPr>
        <w:topLinePunct/>
        <w:spacing w:line="560" w:lineRule="exact"/>
        <w:jc w:val="center"/>
        <w:rPr>
          <w:rFonts w:ascii="黑体" w:eastAsia="黑体" w:cs="黑体"/>
          <w:kern w:val="2"/>
          <w:sz w:val="48"/>
          <w:szCs w:val="48"/>
          <w:lang w:val="zh-CN"/>
        </w:rPr>
      </w:pPr>
    </w:p>
    <w:p>
      <w:pPr>
        <w:topLinePunct/>
        <w:spacing w:line="560" w:lineRule="exact"/>
        <w:jc w:val="center"/>
        <w:rPr>
          <w:rFonts w:ascii="黑体" w:eastAsia="黑体" w:cs="黑体"/>
          <w:kern w:val="2"/>
          <w:sz w:val="48"/>
          <w:szCs w:val="48"/>
          <w:lang w:val="zh-CN"/>
        </w:rPr>
      </w:pPr>
    </w:p>
    <w:p>
      <w:pPr>
        <w:topLinePunct/>
        <w:spacing w:line="560" w:lineRule="exact"/>
        <w:jc w:val="center"/>
        <w:rPr>
          <w:rFonts w:ascii="黑体" w:eastAsia="黑体" w:cs="黑体"/>
          <w:kern w:val="2"/>
          <w:sz w:val="48"/>
          <w:szCs w:val="48"/>
          <w:lang w:val="zh-CN"/>
        </w:rPr>
      </w:pPr>
    </w:p>
    <w:p>
      <w:pPr>
        <w:topLinePunct/>
        <w:spacing w:line="560" w:lineRule="exact"/>
        <w:jc w:val="center"/>
        <w:rPr>
          <w:rFonts w:ascii="黑体" w:eastAsia="黑体" w:cs="黑体"/>
          <w:kern w:val="2"/>
          <w:sz w:val="48"/>
          <w:szCs w:val="48"/>
          <w:lang w:val="zh-CN"/>
        </w:rPr>
        <w:sectPr>
          <w:footerReference r:id="rId3" w:type="default"/>
          <w:footerReference r:id="rId4" w:type="even"/>
          <w:pgSz w:w="12240" w:h="15840"/>
          <w:pgMar w:top="1440" w:right="1800" w:bottom="1440" w:left="1800" w:header="720" w:footer="720" w:gutter="0"/>
          <w:cols w:space="720" w:num="1"/>
          <w:titlePg/>
          <w:docGrid w:linePitch="326" w:charSpace="0"/>
        </w:sectPr>
      </w:pPr>
    </w:p>
    <w:p>
      <w:pPr>
        <w:pStyle w:val="2"/>
        <w:ind w:left="480" w:firstLine="480"/>
        <w:rPr>
          <w:lang w:val="zh-CN"/>
        </w:rPr>
      </w:pPr>
    </w:p>
    <w:p>
      <w:pPr>
        <w:topLinePunct/>
        <w:spacing w:line="560" w:lineRule="exact"/>
        <w:jc w:val="center"/>
        <w:rPr>
          <w:rFonts w:ascii="黑体" w:eastAsia="黑体" w:cs="黑体"/>
          <w:kern w:val="2"/>
          <w:sz w:val="48"/>
          <w:szCs w:val="48"/>
          <w:lang w:val="zh-CN"/>
        </w:rPr>
      </w:pPr>
      <w:r>
        <w:rPr>
          <w:rFonts w:hint="eastAsia" w:ascii="黑体" w:eastAsia="黑体" w:cs="黑体"/>
          <w:kern w:val="2"/>
          <w:sz w:val="48"/>
          <w:szCs w:val="48"/>
          <w:lang w:val="zh-CN"/>
        </w:rPr>
        <w:t>目录</w:t>
      </w:r>
    </w:p>
    <w:p>
      <w:pPr>
        <w:tabs>
          <w:tab w:val="right" w:leader="dot" w:pos="8296"/>
        </w:tabs>
        <w:topLinePunct/>
        <w:spacing w:before="93" w:line="560" w:lineRule="exact"/>
        <w:jc w:val="center"/>
        <w:rPr>
          <w:rFonts w:ascii="仿宋" w:eastAsia="仿宋" w:cs="仿宋"/>
          <w:kern w:val="2"/>
          <w:sz w:val="28"/>
          <w:szCs w:val="28"/>
          <w:lang w:val="zh-CN"/>
        </w:rPr>
      </w:pPr>
      <w:r>
        <w:rPr>
          <w:rFonts w:hint="eastAsia" w:ascii="仿宋" w:eastAsia="仿宋" w:cs="仿宋"/>
          <w:kern w:val="2"/>
          <w:sz w:val="28"/>
          <w:szCs w:val="28"/>
          <w:lang w:val="zh-CN"/>
        </w:rPr>
        <w:t>公开时间：</w:t>
      </w:r>
      <w:r>
        <w:rPr>
          <w:rFonts w:ascii="仿宋" w:eastAsia="仿宋" w:cs="仿宋"/>
          <w:kern w:val="2"/>
          <w:sz w:val="28"/>
          <w:szCs w:val="28"/>
          <w:lang w:val="zh-CN"/>
        </w:rPr>
        <w:t>2023</w:t>
      </w:r>
      <w:r>
        <w:rPr>
          <w:rFonts w:hint="eastAsia" w:ascii="仿宋" w:eastAsia="仿宋" w:cs="仿宋"/>
          <w:kern w:val="2"/>
          <w:sz w:val="28"/>
          <w:szCs w:val="28"/>
          <w:lang w:val="zh-CN"/>
        </w:rPr>
        <w:t>年</w:t>
      </w:r>
      <w:r>
        <w:rPr>
          <w:rFonts w:ascii="仿宋" w:eastAsia="仿宋" w:cs="仿宋"/>
          <w:kern w:val="2"/>
          <w:sz w:val="28"/>
          <w:szCs w:val="28"/>
        </w:rPr>
        <w:t>10</w:t>
      </w:r>
      <w:r>
        <w:rPr>
          <w:rFonts w:hint="eastAsia" w:ascii="仿宋" w:eastAsia="仿宋" w:cs="仿宋"/>
          <w:kern w:val="2"/>
          <w:sz w:val="28"/>
          <w:szCs w:val="28"/>
          <w:lang w:val="zh-CN"/>
        </w:rPr>
        <w:t>月</w:t>
      </w:r>
      <w:r>
        <w:rPr>
          <w:rFonts w:ascii="仿宋" w:eastAsia="仿宋" w:cs="仿宋"/>
          <w:kern w:val="2"/>
          <w:sz w:val="28"/>
          <w:szCs w:val="28"/>
        </w:rPr>
        <w:t>7</w:t>
      </w:r>
      <w:r>
        <w:rPr>
          <w:rFonts w:hint="eastAsia" w:ascii="仿宋" w:eastAsia="仿宋" w:cs="仿宋"/>
          <w:kern w:val="2"/>
          <w:sz w:val="28"/>
          <w:szCs w:val="28"/>
          <w:lang w:val="zh-CN"/>
        </w:rPr>
        <w:t>日</w:t>
      </w:r>
    </w:p>
    <w:sdt>
      <w:sdtPr>
        <w:rPr>
          <w:rFonts w:ascii="宋体" w:hAnsi="宋体" w:eastAsia="宋体"/>
          <w:sz w:val="21"/>
        </w:rPr>
        <w:id w:val="525775272"/>
        <w:docPartObj>
          <w:docPartGallery w:val="Table of Contents"/>
          <w:docPartUnique/>
        </w:docPartObj>
      </w:sdtPr>
      <w:sdtEndPr>
        <w:rPr>
          <w:rFonts w:hint="eastAsia" w:ascii="仿宋" w:hAnsi="Cambria" w:eastAsia="仿宋" w:cs="仿宋"/>
          <w:kern w:val="2"/>
          <w:sz w:val="24"/>
          <w:szCs w:val="32"/>
          <w:lang w:val="zh-CN"/>
        </w:rPr>
      </w:sdtEndPr>
      <w:sdtContent>
        <w:p>
          <w:pPr>
            <w:jc w:val="center"/>
          </w:pPr>
        </w:p>
        <w:p>
          <w:pPr>
            <w:pStyle w:val="13"/>
            <w:keepNext w:val="0"/>
            <w:keepLines w:val="0"/>
            <w:pageBreakBefore w:val="0"/>
            <w:widowControl w:val="0"/>
            <w:tabs>
              <w:tab w:val="right" w:leader="dot" w:pos="8630"/>
            </w:tabs>
            <w:kinsoku/>
            <w:wordWrap/>
            <w:overflowPunct/>
            <w:topLinePunct w:val="0"/>
            <w:autoSpaceDE w:val="0"/>
            <w:autoSpaceDN w:val="0"/>
            <w:bidi w:val="0"/>
            <w:adjustRightInd w:val="0"/>
            <w:snapToGrid/>
            <w:spacing w:line="420" w:lineRule="exact"/>
            <w:textAlignment w:val="auto"/>
            <w:rPr>
              <w:rFonts w:asciiTheme="minorHAnsi" w:hAnsiTheme="minorHAnsi" w:eastAsiaTheme="minorEastAsia" w:cstheme="minorBidi"/>
              <w:kern w:val="2"/>
              <w:sz w:val="28"/>
              <w:szCs w:val="28"/>
              <w:u w:val="none"/>
            </w:rPr>
          </w:pPr>
          <w:r>
            <w:rPr>
              <w:rFonts w:hint="eastAsia" w:ascii="Times New Roman" w:hAnsi="Times New Roman" w:eastAsia="仿宋"/>
              <w:kern w:val="2"/>
              <w:sz w:val="28"/>
              <w:szCs w:val="28"/>
              <w:lang w:val="zh-CN"/>
            </w:rPr>
            <w:fldChar w:fldCharType="begin"/>
          </w:r>
          <w:r>
            <w:rPr>
              <w:rFonts w:hint="eastAsia" w:ascii="Times New Roman" w:hAnsi="Times New Roman" w:eastAsia="仿宋"/>
              <w:kern w:val="2"/>
              <w:sz w:val="28"/>
              <w:szCs w:val="28"/>
              <w:lang w:val="zh-CN"/>
            </w:rPr>
            <w:instrText xml:space="preserve">TOC \o "1-9" \h \u </w:instrText>
          </w:r>
          <w:r>
            <w:rPr>
              <w:rFonts w:hint="eastAsia" w:ascii="Times New Roman" w:hAnsi="Times New Roman" w:eastAsia="仿宋"/>
              <w:kern w:val="2"/>
              <w:sz w:val="28"/>
              <w:szCs w:val="28"/>
              <w:lang w:val="zh-CN"/>
            </w:rPr>
            <w:fldChar w:fldCharType="separate"/>
          </w:r>
          <w:r>
            <w:rPr>
              <w:sz w:val="28"/>
              <w:szCs w:val="28"/>
              <w:u w:val="none"/>
            </w:rPr>
            <w:fldChar w:fldCharType="begin"/>
          </w:r>
          <w:r>
            <w:rPr>
              <w:sz w:val="28"/>
              <w:szCs w:val="28"/>
              <w:u w:val="none"/>
            </w:rPr>
            <w:instrText xml:space="preserve"> HYPERLINK \l "_Toc146701542" </w:instrText>
          </w:r>
          <w:r>
            <w:rPr>
              <w:sz w:val="28"/>
              <w:szCs w:val="28"/>
              <w:u w:val="none"/>
            </w:rPr>
            <w:fldChar w:fldCharType="separate"/>
          </w:r>
          <w:r>
            <w:rPr>
              <w:rStyle w:val="22"/>
              <w:rFonts w:hint="eastAsia" w:ascii="黑体" w:hAnsi="Times New Roman" w:eastAsia="黑体" w:cs="黑体"/>
              <w:kern w:val="44"/>
              <w:sz w:val="28"/>
              <w:szCs w:val="28"/>
              <w:u w:val="none"/>
              <w:lang w:val="zh-CN"/>
            </w:rPr>
            <w:t>第一部分</w:t>
          </w:r>
          <w:r>
            <w:rPr>
              <w:rStyle w:val="22"/>
              <w:rFonts w:ascii="黑体" w:hAnsi="Times New Roman" w:eastAsia="黑体" w:cs="黑体"/>
              <w:kern w:val="44"/>
              <w:sz w:val="28"/>
              <w:szCs w:val="28"/>
              <w:u w:val="none"/>
              <w:lang w:val="zh-CN"/>
            </w:rPr>
            <w:t xml:space="preserve"> </w:t>
          </w:r>
          <w:r>
            <w:rPr>
              <w:rStyle w:val="22"/>
              <w:rFonts w:hint="eastAsia" w:ascii="黑体" w:hAnsi="Times New Roman" w:eastAsia="黑体" w:cs="黑体"/>
              <w:kern w:val="44"/>
              <w:sz w:val="28"/>
              <w:szCs w:val="28"/>
              <w:u w:val="none"/>
              <w:lang w:val="zh-CN"/>
            </w:rPr>
            <w:t>部门概况</w:t>
          </w:r>
          <w:r>
            <w:rPr>
              <w:sz w:val="28"/>
              <w:szCs w:val="28"/>
              <w:u w:val="none"/>
            </w:rPr>
            <w:tab/>
          </w:r>
          <w:r>
            <w:rPr>
              <w:sz w:val="28"/>
              <w:szCs w:val="28"/>
              <w:u w:val="none"/>
            </w:rPr>
            <w:fldChar w:fldCharType="begin"/>
          </w:r>
          <w:r>
            <w:rPr>
              <w:sz w:val="28"/>
              <w:szCs w:val="28"/>
              <w:u w:val="none"/>
            </w:rPr>
            <w:instrText xml:space="preserve"> PAGEREF _Toc146701542 \h </w:instrText>
          </w:r>
          <w:r>
            <w:rPr>
              <w:sz w:val="28"/>
              <w:szCs w:val="28"/>
              <w:u w:val="none"/>
            </w:rPr>
            <w:fldChar w:fldCharType="separate"/>
          </w:r>
          <w:r>
            <w:rPr>
              <w:sz w:val="28"/>
              <w:szCs w:val="28"/>
              <w:u w:val="none"/>
            </w:rPr>
            <w:t>1</w:t>
          </w:r>
          <w:r>
            <w:rPr>
              <w:sz w:val="28"/>
              <w:szCs w:val="28"/>
              <w:u w:val="none"/>
            </w:rPr>
            <w:fldChar w:fldCharType="end"/>
          </w:r>
          <w:r>
            <w:rPr>
              <w:sz w:val="28"/>
              <w:szCs w:val="28"/>
              <w:u w:val="none"/>
            </w:rPr>
            <w:fldChar w:fldCharType="end"/>
          </w:r>
        </w:p>
        <w:p>
          <w:pPr>
            <w:pStyle w:val="15"/>
            <w:keepNext w:val="0"/>
            <w:keepLines w:val="0"/>
            <w:pageBreakBefore w:val="0"/>
            <w:widowControl w:val="0"/>
            <w:tabs>
              <w:tab w:val="right" w:leader="dot" w:pos="8630"/>
            </w:tabs>
            <w:kinsoku/>
            <w:wordWrap/>
            <w:overflowPunct/>
            <w:topLinePunct w:val="0"/>
            <w:autoSpaceDE w:val="0"/>
            <w:autoSpaceDN w:val="0"/>
            <w:bidi w:val="0"/>
            <w:adjustRightInd w:val="0"/>
            <w:snapToGrid/>
            <w:spacing w:line="420" w:lineRule="exact"/>
            <w:ind w:left="480"/>
            <w:textAlignment w:val="auto"/>
            <w:rPr>
              <w:rFonts w:asciiTheme="minorHAnsi" w:hAnsiTheme="minorHAnsi" w:eastAsiaTheme="minorEastAsia" w:cstheme="minorBidi"/>
              <w:b w:val="0"/>
              <w:bCs w:val="0"/>
              <w:kern w:val="2"/>
              <w:sz w:val="28"/>
              <w:szCs w:val="28"/>
              <w:u w:val="none"/>
            </w:rPr>
          </w:pPr>
          <w:r>
            <w:rPr>
              <w:b w:val="0"/>
              <w:bCs w:val="0"/>
              <w:sz w:val="28"/>
              <w:szCs w:val="28"/>
              <w:u w:val="none"/>
            </w:rPr>
            <w:fldChar w:fldCharType="begin"/>
          </w:r>
          <w:r>
            <w:rPr>
              <w:b w:val="0"/>
              <w:bCs w:val="0"/>
              <w:sz w:val="28"/>
              <w:szCs w:val="28"/>
              <w:u w:val="none"/>
            </w:rPr>
            <w:instrText xml:space="preserve"> HYPERLINK \l "_Toc146701543" </w:instrText>
          </w:r>
          <w:r>
            <w:rPr>
              <w:b w:val="0"/>
              <w:bCs w:val="0"/>
              <w:sz w:val="28"/>
              <w:szCs w:val="28"/>
              <w:u w:val="none"/>
            </w:rPr>
            <w:fldChar w:fldCharType="separate"/>
          </w:r>
          <w:r>
            <w:rPr>
              <w:rStyle w:val="22"/>
              <w:rFonts w:hint="eastAsia" w:ascii="黑体" w:hAnsi="黑体" w:eastAsia="黑体" w:cs="黑体"/>
              <w:b w:val="0"/>
              <w:bCs w:val="0"/>
              <w:sz w:val="28"/>
              <w:szCs w:val="28"/>
              <w:u w:val="none"/>
              <w:lang w:val="zh-CN"/>
            </w:rPr>
            <w:t>一、部门职责</w:t>
          </w:r>
          <w:r>
            <w:rPr>
              <w:b w:val="0"/>
              <w:bCs w:val="0"/>
              <w:sz w:val="28"/>
              <w:szCs w:val="28"/>
              <w:u w:val="none"/>
            </w:rPr>
            <w:tab/>
          </w:r>
          <w:r>
            <w:rPr>
              <w:b w:val="0"/>
              <w:bCs w:val="0"/>
              <w:sz w:val="28"/>
              <w:szCs w:val="28"/>
              <w:u w:val="none"/>
            </w:rPr>
            <w:fldChar w:fldCharType="begin"/>
          </w:r>
          <w:r>
            <w:rPr>
              <w:b w:val="0"/>
              <w:bCs w:val="0"/>
              <w:sz w:val="28"/>
              <w:szCs w:val="28"/>
              <w:u w:val="none"/>
            </w:rPr>
            <w:instrText xml:space="preserve"> PAGEREF _Toc146701543 \h </w:instrText>
          </w:r>
          <w:r>
            <w:rPr>
              <w:b w:val="0"/>
              <w:bCs w:val="0"/>
              <w:sz w:val="28"/>
              <w:szCs w:val="28"/>
              <w:u w:val="none"/>
            </w:rPr>
            <w:fldChar w:fldCharType="separate"/>
          </w:r>
          <w:r>
            <w:rPr>
              <w:b w:val="0"/>
              <w:bCs w:val="0"/>
              <w:sz w:val="28"/>
              <w:szCs w:val="28"/>
              <w:u w:val="none"/>
            </w:rPr>
            <w:t>1</w:t>
          </w:r>
          <w:r>
            <w:rPr>
              <w:b w:val="0"/>
              <w:bCs w:val="0"/>
              <w:sz w:val="28"/>
              <w:szCs w:val="28"/>
              <w:u w:val="none"/>
            </w:rPr>
            <w:fldChar w:fldCharType="end"/>
          </w:r>
          <w:r>
            <w:rPr>
              <w:b w:val="0"/>
              <w:bCs w:val="0"/>
              <w:sz w:val="28"/>
              <w:szCs w:val="28"/>
              <w:u w:val="none"/>
            </w:rPr>
            <w:fldChar w:fldCharType="end"/>
          </w:r>
        </w:p>
        <w:p>
          <w:pPr>
            <w:pStyle w:val="15"/>
            <w:keepNext w:val="0"/>
            <w:keepLines w:val="0"/>
            <w:pageBreakBefore w:val="0"/>
            <w:widowControl w:val="0"/>
            <w:tabs>
              <w:tab w:val="right" w:leader="dot" w:pos="8630"/>
            </w:tabs>
            <w:kinsoku/>
            <w:wordWrap/>
            <w:overflowPunct/>
            <w:topLinePunct w:val="0"/>
            <w:autoSpaceDE w:val="0"/>
            <w:autoSpaceDN w:val="0"/>
            <w:bidi w:val="0"/>
            <w:adjustRightInd w:val="0"/>
            <w:snapToGrid/>
            <w:spacing w:line="420" w:lineRule="exact"/>
            <w:ind w:left="480"/>
            <w:textAlignment w:val="auto"/>
            <w:rPr>
              <w:rFonts w:asciiTheme="minorHAnsi" w:hAnsiTheme="minorHAnsi" w:eastAsiaTheme="minorEastAsia" w:cstheme="minorBidi"/>
              <w:kern w:val="2"/>
              <w:sz w:val="28"/>
              <w:szCs w:val="28"/>
              <w:u w:val="none"/>
            </w:rPr>
          </w:pPr>
          <w:r>
            <w:rPr>
              <w:b w:val="0"/>
              <w:bCs w:val="0"/>
              <w:sz w:val="28"/>
              <w:szCs w:val="28"/>
              <w:u w:val="none"/>
            </w:rPr>
            <w:fldChar w:fldCharType="begin"/>
          </w:r>
          <w:r>
            <w:rPr>
              <w:b w:val="0"/>
              <w:bCs w:val="0"/>
              <w:sz w:val="28"/>
              <w:szCs w:val="28"/>
              <w:u w:val="none"/>
            </w:rPr>
            <w:instrText xml:space="preserve"> HYPERLINK \l "_Toc146701544" </w:instrText>
          </w:r>
          <w:r>
            <w:rPr>
              <w:b w:val="0"/>
              <w:bCs w:val="0"/>
              <w:sz w:val="28"/>
              <w:szCs w:val="28"/>
              <w:u w:val="none"/>
            </w:rPr>
            <w:fldChar w:fldCharType="separate"/>
          </w:r>
          <w:r>
            <w:rPr>
              <w:rStyle w:val="22"/>
              <w:rFonts w:hint="eastAsia" w:ascii="黑体" w:hAnsi="Times New Roman" w:eastAsia="黑体" w:cs="黑体"/>
              <w:b w:val="0"/>
              <w:bCs w:val="0"/>
              <w:sz w:val="28"/>
              <w:szCs w:val="28"/>
              <w:u w:val="none"/>
              <w:lang w:val="zh-CN"/>
            </w:rPr>
            <w:t>二、机构设置</w:t>
          </w:r>
          <w:r>
            <w:rPr>
              <w:b w:val="0"/>
              <w:bCs w:val="0"/>
              <w:sz w:val="28"/>
              <w:szCs w:val="28"/>
              <w:u w:val="none"/>
            </w:rPr>
            <w:tab/>
          </w:r>
          <w:r>
            <w:rPr>
              <w:b w:val="0"/>
              <w:bCs w:val="0"/>
              <w:sz w:val="28"/>
              <w:szCs w:val="28"/>
              <w:u w:val="none"/>
            </w:rPr>
            <w:fldChar w:fldCharType="begin"/>
          </w:r>
          <w:r>
            <w:rPr>
              <w:b w:val="0"/>
              <w:bCs w:val="0"/>
              <w:sz w:val="28"/>
              <w:szCs w:val="28"/>
              <w:u w:val="none"/>
            </w:rPr>
            <w:instrText xml:space="preserve"> PAGEREF _Toc146701544 \h </w:instrText>
          </w:r>
          <w:r>
            <w:rPr>
              <w:b w:val="0"/>
              <w:bCs w:val="0"/>
              <w:sz w:val="28"/>
              <w:szCs w:val="28"/>
              <w:u w:val="none"/>
            </w:rPr>
            <w:fldChar w:fldCharType="separate"/>
          </w:r>
          <w:r>
            <w:rPr>
              <w:b w:val="0"/>
              <w:bCs w:val="0"/>
              <w:sz w:val="28"/>
              <w:szCs w:val="28"/>
              <w:u w:val="none"/>
            </w:rPr>
            <w:t>2</w:t>
          </w:r>
          <w:r>
            <w:rPr>
              <w:b w:val="0"/>
              <w:bCs w:val="0"/>
              <w:sz w:val="28"/>
              <w:szCs w:val="28"/>
              <w:u w:val="none"/>
            </w:rPr>
            <w:fldChar w:fldCharType="end"/>
          </w:r>
          <w:r>
            <w:rPr>
              <w:b w:val="0"/>
              <w:bCs w:val="0"/>
              <w:sz w:val="28"/>
              <w:szCs w:val="28"/>
              <w:u w:val="none"/>
            </w:rPr>
            <w:fldChar w:fldCharType="end"/>
          </w:r>
        </w:p>
        <w:p>
          <w:pPr>
            <w:pStyle w:val="13"/>
            <w:keepNext w:val="0"/>
            <w:keepLines w:val="0"/>
            <w:pageBreakBefore w:val="0"/>
            <w:widowControl w:val="0"/>
            <w:tabs>
              <w:tab w:val="right" w:leader="dot" w:pos="8630"/>
            </w:tabs>
            <w:kinsoku/>
            <w:wordWrap/>
            <w:overflowPunct/>
            <w:topLinePunct w:val="0"/>
            <w:autoSpaceDE w:val="0"/>
            <w:autoSpaceDN w:val="0"/>
            <w:bidi w:val="0"/>
            <w:adjustRightInd w:val="0"/>
            <w:snapToGrid/>
            <w:spacing w:line="420" w:lineRule="exact"/>
            <w:textAlignment w:val="auto"/>
            <w:rPr>
              <w:rFonts w:asciiTheme="minorHAnsi" w:hAnsiTheme="minorHAnsi" w:eastAsiaTheme="minorEastAsia" w:cstheme="minorBidi"/>
              <w:kern w:val="2"/>
              <w:sz w:val="28"/>
              <w:szCs w:val="28"/>
              <w:u w:val="none"/>
            </w:rPr>
          </w:pPr>
          <w:r>
            <w:rPr>
              <w:sz w:val="28"/>
              <w:szCs w:val="28"/>
              <w:u w:val="none"/>
            </w:rPr>
            <w:fldChar w:fldCharType="begin"/>
          </w:r>
          <w:r>
            <w:rPr>
              <w:sz w:val="28"/>
              <w:szCs w:val="28"/>
              <w:u w:val="none"/>
            </w:rPr>
            <w:instrText xml:space="preserve"> HYPERLINK \l "_Toc146701545" </w:instrText>
          </w:r>
          <w:r>
            <w:rPr>
              <w:sz w:val="28"/>
              <w:szCs w:val="28"/>
              <w:u w:val="none"/>
            </w:rPr>
            <w:fldChar w:fldCharType="separate"/>
          </w:r>
          <w:r>
            <w:rPr>
              <w:rStyle w:val="22"/>
              <w:rFonts w:hint="eastAsia" w:ascii="黑体" w:hAnsi="Cambria" w:eastAsia="黑体" w:cs="黑体"/>
              <w:kern w:val="44"/>
              <w:sz w:val="28"/>
              <w:szCs w:val="28"/>
              <w:u w:val="none"/>
              <w:lang w:val="zh-CN"/>
            </w:rPr>
            <w:t>第二部分</w:t>
          </w:r>
          <w:r>
            <w:rPr>
              <w:rStyle w:val="22"/>
              <w:rFonts w:ascii="黑体" w:hAnsi="Cambria" w:eastAsia="黑体" w:cs="黑体"/>
              <w:b/>
              <w:kern w:val="44"/>
              <w:sz w:val="28"/>
              <w:szCs w:val="28"/>
              <w:u w:val="none"/>
              <w:lang w:val="zh-CN"/>
            </w:rPr>
            <w:t xml:space="preserve"> </w:t>
          </w:r>
          <w:r>
            <w:rPr>
              <w:rStyle w:val="22"/>
              <w:rFonts w:ascii="黑体" w:hAnsi="Cambria" w:eastAsia="黑体" w:cs="黑体"/>
              <w:kern w:val="44"/>
              <w:sz w:val="28"/>
              <w:szCs w:val="28"/>
              <w:u w:val="none"/>
              <w:lang w:val="zh-CN"/>
            </w:rPr>
            <w:t>2022</w:t>
          </w:r>
          <w:r>
            <w:rPr>
              <w:rStyle w:val="22"/>
              <w:rFonts w:hint="eastAsia" w:ascii="黑体" w:hAnsi="Cambria" w:eastAsia="黑体" w:cs="黑体"/>
              <w:kern w:val="44"/>
              <w:sz w:val="28"/>
              <w:szCs w:val="28"/>
              <w:u w:val="none"/>
              <w:lang w:val="zh-CN"/>
            </w:rPr>
            <w:t>年度部门决算情况说明</w:t>
          </w:r>
          <w:r>
            <w:rPr>
              <w:sz w:val="28"/>
              <w:szCs w:val="28"/>
              <w:u w:val="none"/>
            </w:rPr>
            <w:tab/>
          </w:r>
          <w:r>
            <w:rPr>
              <w:sz w:val="28"/>
              <w:szCs w:val="28"/>
              <w:u w:val="none"/>
            </w:rPr>
            <w:fldChar w:fldCharType="begin"/>
          </w:r>
          <w:r>
            <w:rPr>
              <w:sz w:val="28"/>
              <w:szCs w:val="28"/>
              <w:u w:val="none"/>
            </w:rPr>
            <w:instrText xml:space="preserve"> PAGEREF _Toc146701545 \h </w:instrText>
          </w:r>
          <w:r>
            <w:rPr>
              <w:sz w:val="28"/>
              <w:szCs w:val="28"/>
              <w:u w:val="none"/>
            </w:rPr>
            <w:fldChar w:fldCharType="separate"/>
          </w:r>
          <w:r>
            <w:rPr>
              <w:sz w:val="28"/>
              <w:szCs w:val="28"/>
              <w:u w:val="none"/>
            </w:rPr>
            <w:t>4</w:t>
          </w:r>
          <w:r>
            <w:rPr>
              <w:sz w:val="28"/>
              <w:szCs w:val="28"/>
              <w:u w:val="none"/>
            </w:rPr>
            <w:fldChar w:fldCharType="end"/>
          </w:r>
          <w:r>
            <w:rPr>
              <w:sz w:val="28"/>
              <w:szCs w:val="28"/>
              <w:u w:val="none"/>
            </w:rPr>
            <w:fldChar w:fldCharType="end"/>
          </w:r>
        </w:p>
        <w:p>
          <w:pPr>
            <w:pStyle w:val="15"/>
            <w:keepNext w:val="0"/>
            <w:keepLines w:val="0"/>
            <w:pageBreakBefore w:val="0"/>
            <w:widowControl w:val="0"/>
            <w:tabs>
              <w:tab w:val="right" w:leader="dot" w:pos="8630"/>
            </w:tabs>
            <w:kinsoku/>
            <w:wordWrap/>
            <w:overflowPunct/>
            <w:topLinePunct w:val="0"/>
            <w:autoSpaceDE w:val="0"/>
            <w:autoSpaceDN w:val="0"/>
            <w:bidi w:val="0"/>
            <w:adjustRightInd w:val="0"/>
            <w:snapToGrid/>
            <w:spacing w:line="420" w:lineRule="exact"/>
            <w:ind w:left="480"/>
            <w:textAlignment w:val="auto"/>
            <w:rPr>
              <w:rFonts w:asciiTheme="minorHAnsi" w:hAnsiTheme="minorHAnsi" w:eastAsiaTheme="minorEastAsia" w:cstheme="minorBidi"/>
              <w:kern w:val="2"/>
              <w:sz w:val="28"/>
              <w:szCs w:val="28"/>
              <w:u w:val="none"/>
            </w:rPr>
          </w:pPr>
          <w:r>
            <w:rPr>
              <w:sz w:val="28"/>
              <w:szCs w:val="28"/>
              <w:u w:val="none"/>
            </w:rPr>
            <w:fldChar w:fldCharType="begin"/>
          </w:r>
          <w:r>
            <w:rPr>
              <w:sz w:val="28"/>
              <w:szCs w:val="28"/>
              <w:u w:val="none"/>
            </w:rPr>
            <w:instrText xml:space="preserve"> HYPERLINK \l "_Toc146701546" </w:instrText>
          </w:r>
          <w:r>
            <w:rPr>
              <w:sz w:val="28"/>
              <w:szCs w:val="28"/>
              <w:u w:val="none"/>
            </w:rPr>
            <w:fldChar w:fldCharType="separate"/>
          </w:r>
          <w:r>
            <w:rPr>
              <w:rStyle w:val="22"/>
              <w:rFonts w:hint="eastAsia" w:ascii="仿宋_GB2312" w:hAnsi="Cambria" w:eastAsia="仿宋_GB2312" w:cs="仿宋"/>
              <w:sz w:val="28"/>
              <w:szCs w:val="28"/>
              <w:u w:val="none"/>
            </w:rPr>
            <w:t>一、收入支出决算</w:t>
          </w:r>
          <w:r>
            <w:rPr>
              <w:rStyle w:val="22"/>
              <w:rFonts w:hint="eastAsia" w:ascii="仿宋_GB2312" w:hAnsi="Cambria" w:eastAsia="仿宋_GB2312" w:cs="仿宋"/>
              <w:sz w:val="28"/>
              <w:szCs w:val="28"/>
              <w:u w:val="none"/>
              <w:lang w:eastAsia="zh-CN"/>
            </w:rPr>
            <w:t>总体情况说明</w:t>
          </w:r>
          <w:r>
            <w:rPr>
              <w:sz w:val="28"/>
              <w:szCs w:val="28"/>
              <w:u w:val="none"/>
            </w:rPr>
            <w:tab/>
          </w:r>
          <w:r>
            <w:rPr>
              <w:rFonts w:hint="eastAsia"/>
              <w:sz w:val="28"/>
              <w:szCs w:val="28"/>
              <w:u w:val="none"/>
              <w:lang w:val="en-US" w:eastAsia="zh-CN"/>
            </w:rPr>
            <w:t>4</w:t>
          </w:r>
          <w:r>
            <w:rPr>
              <w:sz w:val="28"/>
              <w:szCs w:val="28"/>
              <w:u w:val="none"/>
            </w:rPr>
            <w:fldChar w:fldCharType="end"/>
          </w:r>
        </w:p>
        <w:p>
          <w:pPr>
            <w:pStyle w:val="15"/>
            <w:keepNext w:val="0"/>
            <w:keepLines w:val="0"/>
            <w:pageBreakBefore w:val="0"/>
            <w:widowControl w:val="0"/>
            <w:tabs>
              <w:tab w:val="right" w:leader="dot" w:pos="8630"/>
            </w:tabs>
            <w:kinsoku/>
            <w:wordWrap/>
            <w:overflowPunct/>
            <w:topLinePunct w:val="0"/>
            <w:autoSpaceDE w:val="0"/>
            <w:autoSpaceDN w:val="0"/>
            <w:bidi w:val="0"/>
            <w:adjustRightInd w:val="0"/>
            <w:snapToGrid/>
            <w:spacing w:line="420" w:lineRule="exact"/>
            <w:ind w:left="480"/>
            <w:textAlignment w:val="auto"/>
            <w:rPr>
              <w:rFonts w:asciiTheme="minorHAnsi" w:hAnsiTheme="minorHAnsi" w:eastAsiaTheme="minorEastAsia" w:cstheme="minorBidi"/>
              <w:kern w:val="2"/>
              <w:sz w:val="28"/>
              <w:szCs w:val="28"/>
              <w:u w:val="none"/>
            </w:rPr>
          </w:pPr>
          <w:r>
            <w:rPr>
              <w:sz w:val="28"/>
              <w:szCs w:val="28"/>
              <w:u w:val="none"/>
            </w:rPr>
            <w:fldChar w:fldCharType="begin"/>
          </w:r>
          <w:r>
            <w:rPr>
              <w:sz w:val="28"/>
              <w:szCs w:val="28"/>
              <w:u w:val="none"/>
            </w:rPr>
            <w:instrText xml:space="preserve"> HYPERLINK \l "_Toc146701547" </w:instrText>
          </w:r>
          <w:r>
            <w:rPr>
              <w:sz w:val="28"/>
              <w:szCs w:val="28"/>
              <w:u w:val="none"/>
            </w:rPr>
            <w:fldChar w:fldCharType="separate"/>
          </w:r>
          <w:r>
            <w:rPr>
              <w:rStyle w:val="22"/>
              <w:rFonts w:hint="eastAsia" w:ascii="仿宋_GB2312" w:hAnsi="Cambria" w:eastAsia="仿宋_GB2312" w:cs="仿宋"/>
              <w:sz w:val="28"/>
              <w:szCs w:val="28"/>
              <w:u w:val="none"/>
            </w:rPr>
            <w:t>二、收入决算</w:t>
          </w:r>
          <w:r>
            <w:rPr>
              <w:rStyle w:val="22"/>
              <w:rFonts w:hint="eastAsia" w:ascii="仿宋_GB2312" w:hAnsi="Cambria" w:eastAsia="仿宋_GB2312" w:cs="仿宋"/>
              <w:sz w:val="28"/>
              <w:szCs w:val="28"/>
              <w:u w:val="none"/>
              <w:lang w:eastAsia="zh-CN"/>
            </w:rPr>
            <w:t>情况说明</w:t>
          </w:r>
          <w:r>
            <w:rPr>
              <w:sz w:val="28"/>
              <w:szCs w:val="28"/>
              <w:u w:val="none"/>
            </w:rPr>
            <w:tab/>
          </w:r>
          <w:r>
            <w:rPr>
              <w:rFonts w:hint="eastAsia"/>
              <w:sz w:val="28"/>
              <w:szCs w:val="28"/>
              <w:u w:val="none"/>
              <w:lang w:val="en-US" w:eastAsia="zh-CN"/>
            </w:rPr>
            <w:t>4</w:t>
          </w:r>
          <w:r>
            <w:rPr>
              <w:sz w:val="28"/>
              <w:szCs w:val="28"/>
              <w:u w:val="none"/>
            </w:rPr>
            <w:fldChar w:fldCharType="end"/>
          </w:r>
        </w:p>
        <w:p>
          <w:pPr>
            <w:pStyle w:val="15"/>
            <w:keepNext w:val="0"/>
            <w:keepLines w:val="0"/>
            <w:pageBreakBefore w:val="0"/>
            <w:widowControl w:val="0"/>
            <w:tabs>
              <w:tab w:val="right" w:leader="dot" w:pos="8630"/>
            </w:tabs>
            <w:kinsoku/>
            <w:wordWrap/>
            <w:overflowPunct/>
            <w:topLinePunct w:val="0"/>
            <w:autoSpaceDE w:val="0"/>
            <w:autoSpaceDN w:val="0"/>
            <w:bidi w:val="0"/>
            <w:adjustRightInd w:val="0"/>
            <w:snapToGrid/>
            <w:spacing w:line="420" w:lineRule="exact"/>
            <w:ind w:left="480"/>
            <w:textAlignment w:val="auto"/>
            <w:rPr>
              <w:rFonts w:asciiTheme="minorHAnsi" w:hAnsiTheme="minorHAnsi" w:eastAsiaTheme="minorEastAsia" w:cstheme="minorBidi"/>
              <w:kern w:val="2"/>
              <w:sz w:val="28"/>
              <w:szCs w:val="28"/>
              <w:u w:val="none"/>
            </w:rPr>
          </w:pPr>
          <w:r>
            <w:rPr>
              <w:sz w:val="28"/>
              <w:szCs w:val="28"/>
              <w:u w:val="none"/>
            </w:rPr>
            <w:fldChar w:fldCharType="begin"/>
          </w:r>
          <w:r>
            <w:rPr>
              <w:sz w:val="28"/>
              <w:szCs w:val="28"/>
              <w:u w:val="none"/>
            </w:rPr>
            <w:instrText xml:space="preserve"> HYPERLINK \l "_Toc146701548" </w:instrText>
          </w:r>
          <w:r>
            <w:rPr>
              <w:sz w:val="28"/>
              <w:szCs w:val="28"/>
              <w:u w:val="none"/>
            </w:rPr>
            <w:fldChar w:fldCharType="separate"/>
          </w:r>
          <w:r>
            <w:rPr>
              <w:rStyle w:val="22"/>
              <w:rFonts w:hint="eastAsia" w:ascii="仿宋_GB2312" w:hAnsi="Cambria" w:eastAsia="仿宋_GB2312" w:cs="仿宋"/>
              <w:sz w:val="28"/>
              <w:szCs w:val="28"/>
              <w:u w:val="none"/>
            </w:rPr>
            <w:t>三、支出决算</w:t>
          </w:r>
          <w:r>
            <w:rPr>
              <w:rStyle w:val="22"/>
              <w:rFonts w:hint="eastAsia" w:ascii="仿宋_GB2312" w:hAnsi="Cambria" w:eastAsia="仿宋_GB2312" w:cs="仿宋"/>
              <w:sz w:val="28"/>
              <w:szCs w:val="28"/>
              <w:u w:val="none"/>
              <w:lang w:eastAsia="zh-CN"/>
            </w:rPr>
            <w:t>情况说明</w:t>
          </w:r>
          <w:r>
            <w:rPr>
              <w:sz w:val="28"/>
              <w:szCs w:val="28"/>
              <w:u w:val="none"/>
            </w:rPr>
            <w:tab/>
          </w:r>
          <w:r>
            <w:rPr>
              <w:rFonts w:hint="eastAsia"/>
              <w:sz w:val="28"/>
              <w:szCs w:val="28"/>
              <w:u w:val="none"/>
              <w:lang w:val="en-US" w:eastAsia="zh-CN"/>
            </w:rPr>
            <w:t>5</w:t>
          </w:r>
          <w:r>
            <w:rPr>
              <w:sz w:val="28"/>
              <w:szCs w:val="28"/>
              <w:u w:val="none"/>
            </w:rPr>
            <w:fldChar w:fldCharType="end"/>
          </w:r>
        </w:p>
        <w:p>
          <w:pPr>
            <w:pStyle w:val="15"/>
            <w:keepNext w:val="0"/>
            <w:keepLines w:val="0"/>
            <w:pageBreakBefore w:val="0"/>
            <w:widowControl w:val="0"/>
            <w:tabs>
              <w:tab w:val="right" w:leader="dot" w:pos="8630"/>
            </w:tabs>
            <w:kinsoku/>
            <w:wordWrap/>
            <w:overflowPunct/>
            <w:topLinePunct w:val="0"/>
            <w:autoSpaceDE w:val="0"/>
            <w:autoSpaceDN w:val="0"/>
            <w:bidi w:val="0"/>
            <w:adjustRightInd w:val="0"/>
            <w:snapToGrid/>
            <w:spacing w:line="420" w:lineRule="exact"/>
            <w:ind w:left="480"/>
            <w:textAlignment w:val="auto"/>
            <w:rPr>
              <w:rFonts w:hint="default" w:asciiTheme="minorHAnsi" w:hAnsiTheme="minorHAnsi" w:eastAsiaTheme="minorEastAsia" w:cstheme="minorBidi"/>
              <w:kern w:val="2"/>
              <w:sz w:val="28"/>
              <w:szCs w:val="28"/>
              <w:u w:val="none"/>
            </w:rPr>
          </w:pPr>
          <w:r>
            <w:rPr>
              <w:sz w:val="28"/>
              <w:szCs w:val="28"/>
              <w:u w:val="none"/>
            </w:rPr>
            <w:fldChar w:fldCharType="begin"/>
          </w:r>
          <w:r>
            <w:rPr>
              <w:sz w:val="28"/>
              <w:szCs w:val="28"/>
              <w:u w:val="none"/>
            </w:rPr>
            <w:instrText xml:space="preserve"> HYPERLINK \l "_Toc146701549" </w:instrText>
          </w:r>
          <w:r>
            <w:rPr>
              <w:sz w:val="28"/>
              <w:szCs w:val="28"/>
              <w:u w:val="none"/>
            </w:rPr>
            <w:fldChar w:fldCharType="separate"/>
          </w:r>
          <w:r>
            <w:rPr>
              <w:rStyle w:val="22"/>
              <w:rFonts w:hint="eastAsia" w:ascii="仿宋_GB2312" w:hAnsi="Cambria" w:eastAsia="仿宋_GB2312" w:cs="仿宋"/>
              <w:sz w:val="28"/>
              <w:szCs w:val="28"/>
              <w:u w:val="none"/>
            </w:rPr>
            <w:t>四、财政拨款收入支出决算</w:t>
          </w:r>
          <w:r>
            <w:rPr>
              <w:rStyle w:val="22"/>
              <w:rFonts w:hint="eastAsia" w:ascii="仿宋_GB2312" w:hAnsi="Cambria" w:eastAsia="仿宋_GB2312" w:cs="仿宋"/>
              <w:sz w:val="28"/>
              <w:szCs w:val="28"/>
              <w:u w:val="none"/>
              <w:lang w:eastAsia="zh-CN"/>
            </w:rPr>
            <w:t>总体情况说明</w:t>
          </w:r>
          <w:r>
            <w:rPr>
              <w:sz w:val="28"/>
              <w:szCs w:val="28"/>
              <w:u w:val="none"/>
            </w:rPr>
            <w:tab/>
          </w:r>
          <w:r>
            <w:rPr>
              <w:sz w:val="28"/>
              <w:szCs w:val="28"/>
              <w:u w:val="none"/>
            </w:rPr>
            <w:fldChar w:fldCharType="end"/>
          </w:r>
          <w:r>
            <w:rPr>
              <w:sz w:val="28"/>
              <w:szCs w:val="28"/>
              <w:u w:val="none"/>
            </w:rPr>
            <w:t>6</w:t>
          </w:r>
        </w:p>
        <w:p>
          <w:pPr>
            <w:pStyle w:val="15"/>
            <w:keepNext w:val="0"/>
            <w:keepLines w:val="0"/>
            <w:pageBreakBefore w:val="0"/>
            <w:widowControl w:val="0"/>
            <w:tabs>
              <w:tab w:val="right" w:leader="dot" w:pos="8630"/>
            </w:tabs>
            <w:kinsoku/>
            <w:wordWrap/>
            <w:overflowPunct/>
            <w:topLinePunct w:val="0"/>
            <w:autoSpaceDE w:val="0"/>
            <w:autoSpaceDN w:val="0"/>
            <w:bidi w:val="0"/>
            <w:adjustRightInd w:val="0"/>
            <w:snapToGrid/>
            <w:spacing w:line="420" w:lineRule="exact"/>
            <w:ind w:left="480"/>
            <w:textAlignment w:val="auto"/>
            <w:rPr>
              <w:rFonts w:asciiTheme="minorHAnsi" w:hAnsiTheme="minorHAnsi" w:eastAsiaTheme="minorEastAsia" w:cstheme="minorBidi"/>
              <w:kern w:val="2"/>
              <w:sz w:val="28"/>
              <w:szCs w:val="28"/>
              <w:u w:val="none"/>
            </w:rPr>
          </w:pPr>
          <w:r>
            <w:rPr>
              <w:sz w:val="28"/>
              <w:szCs w:val="28"/>
              <w:u w:val="none"/>
            </w:rPr>
            <w:fldChar w:fldCharType="begin"/>
          </w:r>
          <w:r>
            <w:rPr>
              <w:sz w:val="28"/>
              <w:szCs w:val="28"/>
              <w:u w:val="none"/>
            </w:rPr>
            <w:instrText xml:space="preserve"> HYPERLINK \l "_Toc146701550" </w:instrText>
          </w:r>
          <w:r>
            <w:rPr>
              <w:sz w:val="28"/>
              <w:szCs w:val="28"/>
              <w:u w:val="none"/>
            </w:rPr>
            <w:fldChar w:fldCharType="separate"/>
          </w:r>
          <w:r>
            <w:rPr>
              <w:rStyle w:val="22"/>
              <w:rFonts w:hint="eastAsia" w:ascii="仿宋_GB2312" w:hAnsi="Cambria" w:eastAsia="仿宋_GB2312" w:cs="仿宋"/>
              <w:sz w:val="28"/>
              <w:szCs w:val="28"/>
              <w:u w:val="none"/>
            </w:rPr>
            <w:t>五、</w:t>
          </w:r>
          <w:r>
            <w:rPr>
              <w:rStyle w:val="22"/>
              <w:rFonts w:hint="eastAsia" w:ascii="仿宋_GB2312" w:hAnsi="Cambria" w:eastAsia="仿宋_GB2312" w:cs="仿宋"/>
              <w:sz w:val="28"/>
              <w:szCs w:val="28"/>
              <w:u w:val="none"/>
              <w:lang w:eastAsia="zh-CN"/>
            </w:rPr>
            <w:t>一般公共预算财政拨款支出决算情况说明</w:t>
          </w:r>
          <w:r>
            <w:rPr>
              <w:sz w:val="28"/>
              <w:szCs w:val="28"/>
              <w:u w:val="none"/>
            </w:rPr>
            <w:tab/>
          </w:r>
          <w:r>
            <w:rPr>
              <w:rFonts w:hint="eastAsia"/>
              <w:sz w:val="28"/>
              <w:szCs w:val="28"/>
              <w:u w:val="none"/>
              <w:lang w:val="en-US" w:eastAsia="zh-CN"/>
            </w:rPr>
            <w:t>6</w:t>
          </w:r>
          <w:r>
            <w:rPr>
              <w:sz w:val="28"/>
              <w:szCs w:val="28"/>
              <w:u w:val="none"/>
            </w:rPr>
            <w:fldChar w:fldCharType="end"/>
          </w:r>
        </w:p>
        <w:p>
          <w:pPr>
            <w:pStyle w:val="15"/>
            <w:keepNext w:val="0"/>
            <w:keepLines w:val="0"/>
            <w:pageBreakBefore w:val="0"/>
            <w:widowControl w:val="0"/>
            <w:tabs>
              <w:tab w:val="right" w:leader="dot" w:pos="8630"/>
            </w:tabs>
            <w:kinsoku/>
            <w:wordWrap/>
            <w:overflowPunct/>
            <w:topLinePunct w:val="0"/>
            <w:autoSpaceDE w:val="0"/>
            <w:autoSpaceDN w:val="0"/>
            <w:bidi w:val="0"/>
            <w:adjustRightInd w:val="0"/>
            <w:snapToGrid/>
            <w:spacing w:line="420" w:lineRule="exact"/>
            <w:ind w:left="480"/>
            <w:textAlignment w:val="auto"/>
            <w:rPr>
              <w:rFonts w:asciiTheme="minorHAnsi" w:hAnsiTheme="minorHAnsi" w:eastAsiaTheme="minorEastAsia" w:cstheme="minorBidi"/>
              <w:kern w:val="2"/>
              <w:sz w:val="28"/>
              <w:szCs w:val="28"/>
              <w:u w:val="none"/>
            </w:rPr>
          </w:pPr>
          <w:r>
            <w:rPr>
              <w:sz w:val="28"/>
              <w:szCs w:val="28"/>
              <w:u w:val="none"/>
            </w:rPr>
            <w:fldChar w:fldCharType="begin"/>
          </w:r>
          <w:r>
            <w:rPr>
              <w:sz w:val="28"/>
              <w:szCs w:val="28"/>
              <w:u w:val="none"/>
            </w:rPr>
            <w:instrText xml:space="preserve"> HYPERLINK \l "_Toc146701551" </w:instrText>
          </w:r>
          <w:r>
            <w:rPr>
              <w:sz w:val="28"/>
              <w:szCs w:val="28"/>
              <w:u w:val="none"/>
            </w:rPr>
            <w:fldChar w:fldCharType="separate"/>
          </w:r>
          <w:r>
            <w:rPr>
              <w:rStyle w:val="22"/>
              <w:rFonts w:hint="eastAsia" w:ascii="仿宋_GB2312" w:hAnsi="Cambria" w:eastAsia="仿宋_GB2312" w:cs="仿宋"/>
              <w:sz w:val="28"/>
              <w:szCs w:val="28"/>
              <w:u w:val="none"/>
            </w:rPr>
            <w:t>六、一般公共预算财政拨款</w:t>
          </w:r>
          <w:r>
            <w:rPr>
              <w:rStyle w:val="22"/>
              <w:rFonts w:hint="eastAsia" w:ascii="仿宋_GB2312" w:hAnsi="Cambria" w:eastAsia="仿宋_GB2312" w:cs="仿宋"/>
              <w:sz w:val="28"/>
              <w:szCs w:val="28"/>
              <w:u w:val="none"/>
              <w:lang w:eastAsia="zh-CN"/>
            </w:rPr>
            <w:t>基本</w:t>
          </w:r>
          <w:r>
            <w:rPr>
              <w:rStyle w:val="22"/>
              <w:rFonts w:hint="eastAsia" w:ascii="仿宋_GB2312" w:hAnsi="Cambria" w:eastAsia="仿宋_GB2312" w:cs="仿宋"/>
              <w:sz w:val="28"/>
              <w:szCs w:val="28"/>
              <w:u w:val="none"/>
            </w:rPr>
            <w:t>支出决算</w:t>
          </w:r>
          <w:r>
            <w:rPr>
              <w:rStyle w:val="22"/>
              <w:rFonts w:hint="eastAsia" w:ascii="仿宋_GB2312" w:hAnsi="Cambria" w:eastAsia="仿宋_GB2312" w:cs="仿宋"/>
              <w:sz w:val="28"/>
              <w:szCs w:val="28"/>
              <w:u w:val="none"/>
              <w:lang w:eastAsia="zh-CN"/>
            </w:rPr>
            <w:t>情况说明</w:t>
          </w:r>
          <w:r>
            <w:rPr>
              <w:sz w:val="28"/>
              <w:szCs w:val="28"/>
              <w:u w:val="none"/>
            </w:rPr>
            <w:tab/>
          </w:r>
          <w:r>
            <w:rPr>
              <w:rFonts w:hint="eastAsia"/>
              <w:sz w:val="28"/>
              <w:szCs w:val="28"/>
              <w:u w:val="none"/>
              <w:lang w:val="en-US" w:eastAsia="zh-CN"/>
            </w:rPr>
            <w:t>9</w:t>
          </w:r>
          <w:r>
            <w:rPr>
              <w:sz w:val="28"/>
              <w:szCs w:val="28"/>
              <w:u w:val="none"/>
            </w:rPr>
            <w:fldChar w:fldCharType="end"/>
          </w:r>
        </w:p>
        <w:p>
          <w:pPr>
            <w:pStyle w:val="15"/>
            <w:keepNext w:val="0"/>
            <w:keepLines w:val="0"/>
            <w:pageBreakBefore w:val="0"/>
            <w:widowControl w:val="0"/>
            <w:tabs>
              <w:tab w:val="right" w:leader="dot" w:pos="8630"/>
            </w:tabs>
            <w:kinsoku/>
            <w:wordWrap/>
            <w:overflowPunct/>
            <w:topLinePunct w:val="0"/>
            <w:autoSpaceDE w:val="0"/>
            <w:autoSpaceDN w:val="0"/>
            <w:bidi w:val="0"/>
            <w:adjustRightInd w:val="0"/>
            <w:snapToGrid/>
            <w:spacing w:line="420" w:lineRule="exact"/>
            <w:ind w:left="480"/>
            <w:textAlignment w:val="auto"/>
            <w:rPr>
              <w:rFonts w:hint="default" w:asciiTheme="minorHAnsi" w:hAnsiTheme="minorHAnsi" w:eastAsiaTheme="minorEastAsia" w:cstheme="minorBidi"/>
              <w:kern w:val="2"/>
              <w:sz w:val="28"/>
              <w:szCs w:val="28"/>
              <w:u w:val="none"/>
            </w:rPr>
          </w:pPr>
          <w:r>
            <w:rPr>
              <w:sz w:val="28"/>
              <w:szCs w:val="28"/>
              <w:u w:val="none"/>
            </w:rPr>
            <w:fldChar w:fldCharType="begin"/>
          </w:r>
          <w:r>
            <w:rPr>
              <w:sz w:val="28"/>
              <w:szCs w:val="28"/>
              <w:u w:val="none"/>
            </w:rPr>
            <w:instrText xml:space="preserve"> HYPERLINK \l "_Toc146701552" </w:instrText>
          </w:r>
          <w:r>
            <w:rPr>
              <w:sz w:val="28"/>
              <w:szCs w:val="28"/>
              <w:u w:val="none"/>
            </w:rPr>
            <w:fldChar w:fldCharType="separate"/>
          </w:r>
          <w:r>
            <w:rPr>
              <w:rStyle w:val="22"/>
              <w:rFonts w:hint="eastAsia" w:ascii="仿宋_GB2312" w:hAnsi="Cambria" w:eastAsia="仿宋_GB2312" w:cs="仿宋"/>
              <w:sz w:val="28"/>
              <w:szCs w:val="28"/>
              <w:u w:val="none"/>
            </w:rPr>
            <w:t>七、</w:t>
          </w:r>
          <w:r>
            <w:rPr>
              <w:rStyle w:val="22"/>
              <w:rFonts w:hint="eastAsia" w:ascii="仿宋_GB2312" w:hAnsi="Cambria" w:eastAsia="仿宋_GB2312" w:cs="仿宋"/>
              <w:sz w:val="28"/>
              <w:szCs w:val="28"/>
              <w:u w:val="none"/>
              <w:lang w:eastAsia="zh-CN"/>
            </w:rPr>
            <w:t>财政拨款“三公”经费支出决算情况说明</w:t>
          </w:r>
          <w:r>
            <w:rPr>
              <w:sz w:val="28"/>
              <w:szCs w:val="28"/>
              <w:u w:val="none"/>
            </w:rPr>
            <w:tab/>
          </w:r>
          <w:r>
            <w:rPr>
              <w:sz w:val="28"/>
              <w:szCs w:val="28"/>
              <w:u w:val="none"/>
            </w:rPr>
            <w:fldChar w:fldCharType="end"/>
          </w:r>
          <w:r>
            <w:rPr>
              <w:sz w:val="28"/>
              <w:szCs w:val="28"/>
              <w:u w:val="none"/>
            </w:rPr>
            <w:t>10</w:t>
          </w:r>
        </w:p>
        <w:p>
          <w:pPr>
            <w:pStyle w:val="15"/>
            <w:keepNext w:val="0"/>
            <w:keepLines w:val="0"/>
            <w:pageBreakBefore w:val="0"/>
            <w:widowControl w:val="0"/>
            <w:tabs>
              <w:tab w:val="right" w:leader="dot" w:pos="8630"/>
            </w:tabs>
            <w:kinsoku/>
            <w:wordWrap/>
            <w:overflowPunct/>
            <w:topLinePunct w:val="0"/>
            <w:autoSpaceDE w:val="0"/>
            <w:autoSpaceDN w:val="0"/>
            <w:bidi w:val="0"/>
            <w:adjustRightInd w:val="0"/>
            <w:snapToGrid/>
            <w:spacing w:line="420" w:lineRule="exact"/>
            <w:ind w:left="480"/>
            <w:textAlignment w:val="auto"/>
            <w:rPr>
              <w:rFonts w:hint="default" w:eastAsia="方正小标宋简体" w:asciiTheme="minorHAnsi" w:hAnsiTheme="minorHAnsi" w:cstheme="minorBidi"/>
              <w:kern w:val="2"/>
              <w:sz w:val="28"/>
              <w:szCs w:val="28"/>
              <w:u w:val="none"/>
              <w:lang w:eastAsia="zh-CN"/>
            </w:rPr>
          </w:pPr>
          <w:r>
            <w:rPr>
              <w:sz w:val="28"/>
              <w:szCs w:val="28"/>
              <w:u w:val="none"/>
            </w:rPr>
            <w:fldChar w:fldCharType="begin"/>
          </w:r>
          <w:r>
            <w:rPr>
              <w:sz w:val="28"/>
              <w:szCs w:val="28"/>
              <w:u w:val="none"/>
            </w:rPr>
            <w:instrText xml:space="preserve"> HYPERLINK \l "_Toc146701553" </w:instrText>
          </w:r>
          <w:r>
            <w:rPr>
              <w:sz w:val="28"/>
              <w:szCs w:val="28"/>
              <w:u w:val="none"/>
            </w:rPr>
            <w:fldChar w:fldCharType="separate"/>
          </w:r>
          <w:r>
            <w:rPr>
              <w:rStyle w:val="22"/>
              <w:rFonts w:hint="eastAsia" w:ascii="仿宋_GB2312" w:hAnsi="Cambria" w:eastAsia="仿宋_GB2312" w:cs="仿宋"/>
              <w:sz w:val="28"/>
              <w:szCs w:val="28"/>
              <w:u w:val="none"/>
            </w:rPr>
            <w:t>八、</w:t>
          </w:r>
          <w:r>
            <w:rPr>
              <w:rStyle w:val="22"/>
              <w:rFonts w:hint="eastAsia" w:ascii="仿宋_GB2312" w:hAnsi="Cambria" w:eastAsia="仿宋_GB2312" w:cs="仿宋"/>
              <w:sz w:val="28"/>
              <w:szCs w:val="28"/>
              <w:u w:val="none"/>
              <w:lang w:eastAsia="zh-CN"/>
            </w:rPr>
            <w:t>政府性基金预算支出决算情况说明</w:t>
          </w:r>
          <w:r>
            <w:rPr>
              <w:sz w:val="28"/>
              <w:szCs w:val="28"/>
              <w:u w:val="none"/>
            </w:rPr>
            <w:tab/>
          </w:r>
          <w:r>
            <w:rPr>
              <w:rFonts w:hint="eastAsia"/>
              <w:sz w:val="28"/>
              <w:szCs w:val="28"/>
              <w:u w:val="none"/>
              <w:lang w:val="en-US" w:eastAsia="zh-CN"/>
            </w:rPr>
            <w:t>1</w:t>
          </w:r>
          <w:r>
            <w:rPr>
              <w:sz w:val="28"/>
              <w:szCs w:val="28"/>
              <w:u w:val="none"/>
            </w:rPr>
            <w:fldChar w:fldCharType="end"/>
          </w:r>
          <w:r>
            <w:rPr>
              <w:sz w:val="28"/>
              <w:szCs w:val="28"/>
              <w:u w:val="none"/>
            </w:rPr>
            <w:t>2</w:t>
          </w:r>
        </w:p>
        <w:p>
          <w:pPr>
            <w:pStyle w:val="15"/>
            <w:keepNext w:val="0"/>
            <w:keepLines w:val="0"/>
            <w:pageBreakBefore w:val="0"/>
            <w:widowControl w:val="0"/>
            <w:tabs>
              <w:tab w:val="right" w:leader="dot" w:pos="8630"/>
            </w:tabs>
            <w:kinsoku/>
            <w:wordWrap/>
            <w:overflowPunct/>
            <w:topLinePunct w:val="0"/>
            <w:autoSpaceDE w:val="0"/>
            <w:autoSpaceDN w:val="0"/>
            <w:bidi w:val="0"/>
            <w:adjustRightInd w:val="0"/>
            <w:snapToGrid/>
            <w:spacing w:line="420" w:lineRule="exact"/>
            <w:ind w:left="480"/>
            <w:textAlignment w:val="auto"/>
            <w:rPr>
              <w:rFonts w:hint="default" w:eastAsia="方正小标宋简体" w:asciiTheme="minorHAnsi" w:hAnsiTheme="minorHAnsi" w:cstheme="minorBidi"/>
              <w:kern w:val="2"/>
              <w:sz w:val="28"/>
              <w:szCs w:val="28"/>
              <w:u w:val="none"/>
              <w:lang w:eastAsia="zh-CN"/>
            </w:rPr>
          </w:pPr>
          <w:r>
            <w:rPr>
              <w:sz w:val="28"/>
              <w:szCs w:val="28"/>
              <w:u w:val="none"/>
            </w:rPr>
            <w:fldChar w:fldCharType="begin"/>
          </w:r>
          <w:r>
            <w:rPr>
              <w:sz w:val="28"/>
              <w:szCs w:val="28"/>
              <w:u w:val="none"/>
            </w:rPr>
            <w:instrText xml:space="preserve"> HYPERLINK \l "_Toc146701554" </w:instrText>
          </w:r>
          <w:r>
            <w:rPr>
              <w:sz w:val="28"/>
              <w:szCs w:val="28"/>
              <w:u w:val="none"/>
            </w:rPr>
            <w:fldChar w:fldCharType="separate"/>
          </w:r>
          <w:r>
            <w:rPr>
              <w:rStyle w:val="22"/>
              <w:rFonts w:hint="eastAsia" w:ascii="仿宋_GB2312" w:hAnsi="Cambria" w:eastAsia="仿宋_GB2312" w:cs="仿宋"/>
              <w:sz w:val="28"/>
              <w:szCs w:val="28"/>
              <w:u w:val="none"/>
            </w:rPr>
            <w:t>九、</w:t>
          </w:r>
          <w:r>
            <w:rPr>
              <w:rStyle w:val="22"/>
              <w:rFonts w:hint="eastAsia" w:ascii="仿宋_GB2312" w:hAnsi="Cambria" w:eastAsia="仿宋_GB2312" w:cs="仿宋"/>
              <w:sz w:val="28"/>
              <w:szCs w:val="28"/>
              <w:u w:val="none"/>
              <w:lang w:eastAsia="zh-CN"/>
            </w:rPr>
            <w:t>国有资本经营预算支出决算情况说明</w:t>
          </w:r>
          <w:r>
            <w:rPr>
              <w:sz w:val="28"/>
              <w:szCs w:val="28"/>
              <w:u w:val="none"/>
            </w:rPr>
            <w:tab/>
          </w:r>
          <w:r>
            <w:rPr>
              <w:rFonts w:hint="eastAsia"/>
              <w:sz w:val="28"/>
              <w:szCs w:val="28"/>
              <w:u w:val="none"/>
              <w:lang w:val="en-US" w:eastAsia="zh-CN"/>
            </w:rPr>
            <w:t>1</w:t>
          </w:r>
          <w:r>
            <w:rPr>
              <w:sz w:val="28"/>
              <w:szCs w:val="28"/>
              <w:u w:val="none"/>
            </w:rPr>
            <w:fldChar w:fldCharType="end"/>
          </w:r>
          <w:r>
            <w:rPr>
              <w:sz w:val="28"/>
              <w:szCs w:val="28"/>
              <w:u w:val="none"/>
            </w:rPr>
            <w:t>2</w:t>
          </w:r>
        </w:p>
        <w:p>
          <w:pPr>
            <w:pStyle w:val="15"/>
            <w:keepNext w:val="0"/>
            <w:keepLines w:val="0"/>
            <w:pageBreakBefore w:val="0"/>
            <w:widowControl w:val="0"/>
            <w:tabs>
              <w:tab w:val="right" w:leader="dot" w:pos="8630"/>
            </w:tabs>
            <w:kinsoku/>
            <w:wordWrap/>
            <w:overflowPunct/>
            <w:topLinePunct w:val="0"/>
            <w:autoSpaceDE w:val="0"/>
            <w:autoSpaceDN w:val="0"/>
            <w:bidi w:val="0"/>
            <w:adjustRightInd w:val="0"/>
            <w:snapToGrid/>
            <w:spacing w:line="420" w:lineRule="exact"/>
            <w:ind w:left="480"/>
            <w:textAlignment w:val="auto"/>
            <w:rPr>
              <w:rFonts w:hint="default" w:eastAsia="方正小标宋简体" w:asciiTheme="minorHAnsi" w:hAnsiTheme="minorHAnsi" w:cstheme="minorBidi"/>
              <w:kern w:val="2"/>
              <w:sz w:val="28"/>
              <w:szCs w:val="28"/>
              <w:lang w:eastAsia="zh-CN"/>
            </w:rPr>
          </w:pPr>
          <w:r>
            <w:rPr>
              <w:sz w:val="28"/>
              <w:szCs w:val="28"/>
              <w:u w:val="none"/>
            </w:rPr>
            <w:fldChar w:fldCharType="begin"/>
          </w:r>
          <w:r>
            <w:rPr>
              <w:sz w:val="28"/>
              <w:szCs w:val="28"/>
              <w:u w:val="none"/>
            </w:rPr>
            <w:instrText xml:space="preserve"> HYPERLINK \l "_Toc146701555" </w:instrText>
          </w:r>
          <w:r>
            <w:rPr>
              <w:sz w:val="28"/>
              <w:szCs w:val="28"/>
              <w:u w:val="none"/>
            </w:rPr>
            <w:fldChar w:fldCharType="separate"/>
          </w:r>
          <w:r>
            <w:rPr>
              <w:rStyle w:val="22"/>
              <w:rFonts w:hint="eastAsia" w:ascii="仿宋_GB2312" w:hAnsi="Cambria" w:eastAsia="仿宋_GB2312" w:cs="仿宋"/>
              <w:sz w:val="28"/>
              <w:szCs w:val="28"/>
              <w:u w:val="none"/>
            </w:rPr>
            <w:t>十、</w:t>
          </w:r>
          <w:r>
            <w:rPr>
              <w:rStyle w:val="22"/>
              <w:rFonts w:hint="eastAsia" w:ascii="仿宋_GB2312" w:hAnsi="Cambria" w:eastAsia="仿宋_GB2312" w:cs="仿宋"/>
              <w:sz w:val="28"/>
              <w:szCs w:val="28"/>
              <w:u w:val="none"/>
              <w:lang w:eastAsia="zh-CN"/>
            </w:rPr>
            <w:t>其他重要事项情况说明</w:t>
          </w:r>
          <w:r>
            <w:rPr>
              <w:sz w:val="28"/>
              <w:szCs w:val="28"/>
              <w:u w:val="none"/>
            </w:rPr>
            <w:tab/>
          </w:r>
          <w:r>
            <w:rPr>
              <w:rFonts w:hint="eastAsia"/>
              <w:sz w:val="28"/>
              <w:szCs w:val="28"/>
              <w:u w:val="none"/>
              <w:lang w:val="en-US" w:eastAsia="zh-CN"/>
            </w:rPr>
            <w:t>1</w:t>
          </w:r>
          <w:r>
            <w:rPr>
              <w:sz w:val="28"/>
              <w:szCs w:val="28"/>
              <w:u w:val="none"/>
            </w:rPr>
            <w:fldChar w:fldCharType="end"/>
          </w:r>
          <w:r>
            <w:rPr>
              <w:sz w:val="28"/>
              <w:szCs w:val="28"/>
            </w:rPr>
            <w:t>2</w:t>
          </w:r>
        </w:p>
        <w:p>
          <w:pPr>
            <w:pStyle w:val="15"/>
            <w:keepNext w:val="0"/>
            <w:keepLines w:val="0"/>
            <w:pageBreakBefore w:val="0"/>
            <w:widowControl w:val="0"/>
            <w:tabs>
              <w:tab w:val="right" w:leader="dot" w:pos="8640"/>
            </w:tabs>
            <w:kinsoku/>
            <w:wordWrap/>
            <w:overflowPunct/>
            <w:topLinePunct w:val="0"/>
            <w:autoSpaceDE w:val="0"/>
            <w:autoSpaceDN w:val="0"/>
            <w:bidi w:val="0"/>
            <w:adjustRightInd w:val="0"/>
            <w:snapToGrid/>
            <w:spacing w:line="420" w:lineRule="exact"/>
            <w:ind w:left="0" w:leftChars="0"/>
            <w:textAlignment w:val="auto"/>
            <w:rPr>
              <w:rFonts w:hint="default" w:ascii="Times New Roman" w:hAnsi="Times New Roman" w:eastAsia="仿宋"/>
              <w:b/>
              <w:bCs/>
              <w:kern w:val="2"/>
              <w:sz w:val="28"/>
              <w:szCs w:val="28"/>
            </w:rPr>
          </w:pPr>
          <w:r>
            <w:rPr>
              <w:rFonts w:hint="eastAsia" w:ascii="Times New Roman" w:hAnsi="Times New Roman" w:eastAsia="仿宋"/>
              <w:kern w:val="2"/>
              <w:sz w:val="28"/>
              <w:szCs w:val="28"/>
              <w:lang w:val="zh-CN"/>
            </w:rPr>
            <w:fldChar w:fldCharType="end"/>
          </w:r>
          <w:r>
            <w:rPr>
              <w:rFonts w:hint="eastAsia" w:ascii="Times New Roman" w:hAnsi="Times New Roman" w:eastAsia="仿宋"/>
              <w:b/>
              <w:bCs/>
              <w:kern w:val="2"/>
              <w:sz w:val="28"/>
              <w:szCs w:val="28"/>
              <w:lang w:val="zh-CN"/>
            </w:rPr>
            <w:t>第三部分 名词解释</w:t>
          </w:r>
          <w:r>
            <w:rPr>
              <w:rFonts w:hint="eastAsia" w:ascii="Times New Roman" w:hAnsi="Times New Roman" w:eastAsia="仿宋"/>
              <w:b/>
              <w:bCs/>
              <w:kern w:val="2"/>
              <w:sz w:val="28"/>
              <w:szCs w:val="28"/>
              <w:lang w:val="zh-CN"/>
            </w:rPr>
            <w:tab/>
          </w:r>
          <w:r>
            <w:rPr>
              <w:rFonts w:ascii="Times New Roman" w:hAnsi="Times New Roman" w:eastAsia="仿宋"/>
              <w:b/>
              <w:bCs/>
              <w:kern w:val="2"/>
              <w:sz w:val="28"/>
              <w:szCs w:val="28"/>
            </w:rPr>
            <w:t>14</w:t>
          </w:r>
        </w:p>
        <w:p>
          <w:pPr>
            <w:pStyle w:val="15"/>
            <w:keepNext w:val="0"/>
            <w:keepLines w:val="0"/>
            <w:pageBreakBefore w:val="0"/>
            <w:widowControl w:val="0"/>
            <w:tabs>
              <w:tab w:val="right" w:leader="dot" w:pos="8640"/>
            </w:tabs>
            <w:kinsoku/>
            <w:wordWrap/>
            <w:overflowPunct/>
            <w:topLinePunct w:val="0"/>
            <w:autoSpaceDE w:val="0"/>
            <w:autoSpaceDN w:val="0"/>
            <w:bidi w:val="0"/>
            <w:adjustRightInd w:val="0"/>
            <w:snapToGrid/>
            <w:spacing w:line="420" w:lineRule="exact"/>
            <w:ind w:left="0" w:leftChars="0"/>
            <w:textAlignment w:val="auto"/>
            <w:rPr>
              <w:rFonts w:hint="default" w:ascii="Times New Roman" w:hAnsi="Times New Roman" w:eastAsia="仿宋"/>
              <w:b/>
              <w:bCs/>
              <w:kern w:val="2"/>
              <w:sz w:val="28"/>
              <w:szCs w:val="28"/>
            </w:rPr>
          </w:pPr>
          <w:r>
            <w:rPr>
              <w:rFonts w:hint="eastAsia" w:ascii="Times New Roman" w:hAnsi="Times New Roman" w:eastAsia="仿宋"/>
              <w:b/>
              <w:bCs/>
              <w:kern w:val="2"/>
              <w:sz w:val="28"/>
              <w:szCs w:val="28"/>
              <w:lang w:val="zh-CN"/>
            </w:rPr>
            <w:t>第四部分 附件</w:t>
          </w:r>
          <w:r>
            <w:rPr>
              <w:rFonts w:hint="eastAsia" w:ascii="Times New Roman" w:hAnsi="Times New Roman" w:eastAsia="仿宋"/>
              <w:b/>
              <w:bCs/>
              <w:kern w:val="2"/>
              <w:sz w:val="28"/>
              <w:szCs w:val="28"/>
              <w:lang w:val="zh-CN"/>
            </w:rPr>
            <w:tab/>
          </w:r>
          <w:r>
            <w:rPr>
              <w:rFonts w:ascii="Times New Roman" w:hAnsi="Times New Roman" w:eastAsia="仿宋"/>
              <w:b/>
              <w:bCs/>
              <w:kern w:val="2"/>
              <w:sz w:val="28"/>
              <w:szCs w:val="28"/>
            </w:rPr>
            <w:t>17</w:t>
          </w:r>
        </w:p>
        <w:p>
          <w:pPr>
            <w:pStyle w:val="15"/>
            <w:keepNext w:val="0"/>
            <w:keepLines w:val="0"/>
            <w:pageBreakBefore w:val="0"/>
            <w:widowControl w:val="0"/>
            <w:tabs>
              <w:tab w:val="right" w:leader="dot" w:pos="8640"/>
            </w:tabs>
            <w:kinsoku/>
            <w:wordWrap/>
            <w:overflowPunct/>
            <w:topLinePunct w:val="0"/>
            <w:autoSpaceDE w:val="0"/>
            <w:autoSpaceDN w:val="0"/>
            <w:bidi w:val="0"/>
            <w:adjustRightInd w:val="0"/>
            <w:snapToGrid/>
            <w:spacing w:line="420" w:lineRule="exact"/>
            <w:ind w:left="0" w:leftChars="0"/>
            <w:textAlignment w:val="auto"/>
            <w:rPr>
              <w:rFonts w:hint="default" w:ascii="Times New Roman" w:hAnsi="Times New Roman" w:eastAsia="仿宋"/>
              <w:kern w:val="2"/>
              <w:sz w:val="28"/>
              <w:szCs w:val="28"/>
              <w:lang w:eastAsia="zh-CN"/>
            </w:rPr>
          </w:pPr>
          <w:r>
            <w:rPr>
              <w:rFonts w:hint="eastAsia" w:ascii="Times New Roman" w:hAnsi="Times New Roman" w:eastAsia="仿宋"/>
              <w:b/>
              <w:bCs/>
              <w:kern w:val="2"/>
              <w:sz w:val="28"/>
              <w:szCs w:val="28"/>
              <w:lang w:val="zh-CN"/>
            </w:rPr>
            <w:t>第五部分 附表</w:t>
          </w:r>
          <w:r>
            <w:rPr>
              <w:rFonts w:hint="eastAsia" w:ascii="Times New Roman" w:hAnsi="Times New Roman" w:eastAsia="仿宋"/>
              <w:b/>
              <w:bCs/>
              <w:kern w:val="2"/>
              <w:sz w:val="28"/>
              <w:szCs w:val="28"/>
              <w:lang w:val="zh-CN"/>
            </w:rPr>
            <w:tab/>
          </w:r>
          <w:r>
            <w:rPr>
              <w:rFonts w:hint="eastAsia" w:ascii="Times New Roman" w:hAnsi="Times New Roman" w:eastAsia="仿宋"/>
              <w:b/>
              <w:bCs/>
              <w:kern w:val="2"/>
              <w:sz w:val="28"/>
              <w:szCs w:val="28"/>
            </w:rPr>
            <w:t>5</w:t>
          </w:r>
          <w:r>
            <w:rPr>
              <w:rFonts w:hint="default" w:ascii="Times New Roman" w:hAnsi="Times New Roman" w:eastAsia="仿宋"/>
              <w:b/>
              <w:bCs/>
              <w:kern w:val="2"/>
              <w:sz w:val="28"/>
              <w:szCs w:val="28"/>
            </w:rPr>
            <w:t>3</w:t>
          </w:r>
        </w:p>
        <w:p>
          <w:pPr>
            <w:pStyle w:val="15"/>
            <w:keepNext w:val="0"/>
            <w:keepLines w:val="0"/>
            <w:pageBreakBefore w:val="0"/>
            <w:widowControl w:val="0"/>
            <w:tabs>
              <w:tab w:val="right" w:leader="dot" w:pos="8640"/>
            </w:tabs>
            <w:kinsoku/>
            <w:wordWrap/>
            <w:overflowPunct/>
            <w:topLinePunct w:val="0"/>
            <w:autoSpaceDE w:val="0"/>
            <w:autoSpaceDN w:val="0"/>
            <w:bidi w:val="0"/>
            <w:adjustRightInd w:val="0"/>
            <w:snapToGrid/>
            <w:spacing w:line="420" w:lineRule="exact"/>
            <w:ind w:left="480"/>
            <w:textAlignment w:val="auto"/>
            <w:rPr>
              <w:rFonts w:hint="default" w:ascii="Times New Roman" w:hAnsi="Times New Roman" w:eastAsia="仿宋"/>
              <w:kern w:val="2"/>
              <w:sz w:val="28"/>
              <w:szCs w:val="28"/>
              <w:lang w:eastAsia="zh-CN"/>
            </w:rPr>
          </w:pPr>
          <w:r>
            <w:rPr>
              <w:rFonts w:hint="eastAsia" w:ascii="Times New Roman" w:hAnsi="Times New Roman" w:eastAsia="仿宋"/>
              <w:kern w:val="2"/>
              <w:sz w:val="28"/>
              <w:szCs w:val="28"/>
              <w:lang w:val="zh-CN"/>
            </w:rPr>
            <w:t>一、收入支出决算总表</w:t>
          </w:r>
          <w:r>
            <w:rPr>
              <w:rFonts w:hint="eastAsia" w:ascii="Times New Roman" w:hAnsi="Times New Roman" w:eastAsia="仿宋"/>
              <w:kern w:val="2"/>
              <w:sz w:val="28"/>
              <w:szCs w:val="28"/>
              <w:lang w:val="zh-CN"/>
            </w:rPr>
            <w:tab/>
          </w:r>
          <w:r>
            <w:rPr>
              <w:rFonts w:hint="eastAsia" w:ascii="Times New Roman" w:hAnsi="Times New Roman" w:eastAsia="仿宋"/>
              <w:kern w:val="2"/>
              <w:sz w:val="28"/>
              <w:szCs w:val="28"/>
            </w:rPr>
            <w:t>5</w:t>
          </w:r>
          <w:r>
            <w:rPr>
              <w:rFonts w:hint="default" w:ascii="Times New Roman" w:hAnsi="Times New Roman" w:eastAsia="仿宋"/>
              <w:kern w:val="2"/>
              <w:sz w:val="28"/>
              <w:szCs w:val="28"/>
            </w:rPr>
            <w:t>3</w:t>
          </w:r>
        </w:p>
        <w:p>
          <w:pPr>
            <w:pStyle w:val="15"/>
            <w:keepNext w:val="0"/>
            <w:keepLines w:val="0"/>
            <w:pageBreakBefore w:val="0"/>
            <w:widowControl w:val="0"/>
            <w:tabs>
              <w:tab w:val="right" w:leader="dot" w:pos="8640"/>
            </w:tabs>
            <w:kinsoku/>
            <w:wordWrap/>
            <w:overflowPunct/>
            <w:topLinePunct w:val="0"/>
            <w:autoSpaceDE w:val="0"/>
            <w:autoSpaceDN w:val="0"/>
            <w:bidi w:val="0"/>
            <w:adjustRightInd w:val="0"/>
            <w:snapToGrid/>
            <w:spacing w:line="420" w:lineRule="exact"/>
            <w:ind w:left="480"/>
            <w:textAlignment w:val="auto"/>
            <w:rPr>
              <w:rFonts w:hint="default" w:ascii="Times New Roman" w:hAnsi="Times New Roman" w:eastAsia="仿宋"/>
              <w:kern w:val="2"/>
              <w:sz w:val="28"/>
              <w:szCs w:val="28"/>
              <w:lang w:eastAsia="zh-CN"/>
            </w:rPr>
          </w:pPr>
          <w:r>
            <w:rPr>
              <w:rFonts w:hint="eastAsia" w:ascii="Times New Roman" w:hAnsi="Times New Roman" w:eastAsia="仿宋"/>
              <w:kern w:val="2"/>
              <w:sz w:val="28"/>
              <w:szCs w:val="28"/>
              <w:lang w:val="zh-CN"/>
            </w:rPr>
            <w:t>二、收入决算表</w:t>
          </w:r>
          <w:r>
            <w:rPr>
              <w:rFonts w:hint="eastAsia" w:ascii="Times New Roman" w:hAnsi="Times New Roman" w:eastAsia="仿宋"/>
              <w:kern w:val="2"/>
              <w:sz w:val="28"/>
              <w:szCs w:val="28"/>
              <w:lang w:val="zh-CN"/>
            </w:rPr>
            <w:tab/>
          </w:r>
          <w:r>
            <w:rPr>
              <w:rFonts w:hint="eastAsia" w:ascii="Times New Roman" w:hAnsi="Times New Roman" w:eastAsia="仿宋"/>
              <w:kern w:val="2"/>
              <w:sz w:val="28"/>
              <w:szCs w:val="28"/>
            </w:rPr>
            <w:t>5</w:t>
          </w:r>
          <w:r>
            <w:rPr>
              <w:rFonts w:hint="default" w:ascii="Times New Roman" w:hAnsi="Times New Roman" w:eastAsia="仿宋"/>
              <w:kern w:val="2"/>
              <w:sz w:val="28"/>
              <w:szCs w:val="28"/>
            </w:rPr>
            <w:t>3</w:t>
          </w:r>
        </w:p>
        <w:p>
          <w:pPr>
            <w:pStyle w:val="15"/>
            <w:keepNext w:val="0"/>
            <w:keepLines w:val="0"/>
            <w:pageBreakBefore w:val="0"/>
            <w:widowControl w:val="0"/>
            <w:tabs>
              <w:tab w:val="right" w:leader="dot" w:pos="8640"/>
            </w:tabs>
            <w:kinsoku/>
            <w:wordWrap/>
            <w:overflowPunct/>
            <w:topLinePunct w:val="0"/>
            <w:autoSpaceDE w:val="0"/>
            <w:autoSpaceDN w:val="0"/>
            <w:bidi w:val="0"/>
            <w:adjustRightInd w:val="0"/>
            <w:snapToGrid/>
            <w:spacing w:line="420" w:lineRule="exact"/>
            <w:ind w:left="480"/>
            <w:textAlignment w:val="auto"/>
            <w:rPr>
              <w:rFonts w:hint="default" w:ascii="Times New Roman" w:hAnsi="Times New Roman" w:eastAsia="仿宋"/>
              <w:kern w:val="2"/>
              <w:sz w:val="28"/>
              <w:szCs w:val="28"/>
              <w:lang w:eastAsia="zh-CN"/>
            </w:rPr>
          </w:pPr>
          <w:r>
            <w:rPr>
              <w:rFonts w:hint="eastAsia" w:ascii="Times New Roman" w:hAnsi="Times New Roman" w:eastAsia="仿宋"/>
              <w:kern w:val="2"/>
              <w:sz w:val="28"/>
              <w:szCs w:val="28"/>
              <w:lang w:val="zh-CN"/>
            </w:rPr>
            <w:t>三、支出决算表</w:t>
          </w:r>
          <w:r>
            <w:rPr>
              <w:rFonts w:hint="eastAsia" w:ascii="Times New Roman" w:hAnsi="Times New Roman" w:eastAsia="仿宋"/>
              <w:kern w:val="2"/>
              <w:sz w:val="28"/>
              <w:szCs w:val="28"/>
              <w:lang w:val="zh-CN"/>
            </w:rPr>
            <w:tab/>
          </w:r>
          <w:r>
            <w:rPr>
              <w:rFonts w:hint="eastAsia" w:ascii="Times New Roman" w:hAnsi="Times New Roman" w:eastAsia="仿宋"/>
              <w:kern w:val="2"/>
              <w:sz w:val="28"/>
              <w:szCs w:val="28"/>
            </w:rPr>
            <w:t>5</w:t>
          </w:r>
          <w:r>
            <w:rPr>
              <w:rFonts w:hint="default" w:ascii="Times New Roman" w:hAnsi="Times New Roman" w:eastAsia="仿宋"/>
              <w:kern w:val="2"/>
              <w:sz w:val="28"/>
              <w:szCs w:val="28"/>
            </w:rPr>
            <w:t>3</w:t>
          </w:r>
        </w:p>
        <w:p>
          <w:pPr>
            <w:pStyle w:val="15"/>
            <w:keepNext w:val="0"/>
            <w:keepLines w:val="0"/>
            <w:pageBreakBefore w:val="0"/>
            <w:widowControl w:val="0"/>
            <w:tabs>
              <w:tab w:val="right" w:leader="dot" w:pos="8640"/>
            </w:tabs>
            <w:kinsoku/>
            <w:wordWrap/>
            <w:overflowPunct/>
            <w:topLinePunct w:val="0"/>
            <w:autoSpaceDE w:val="0"/>
            <w:autoSpaceDN w:val="0"/>
            <w:bidi w:val="0"/>
            <w:adjustRightInd w:val="0"/>
            <w:snapToGrid/>
            <w:spacing w:line="420" w:lineRule="exact"/>
            <w:ind w:left="480"/>
            <w:textAlignment w:val="auto"/>
            <w:rPr>
              <w:rFonts w:hint="default" w:ascii="Times New Roman" w:hAnsi="Times New Roman" w:eastAsia="仿宋"/>
              <w:kern w:val="2"/>
              <w:sz w:val="28"/>
              <w:szCs w:val="28"/>
              <w:lang w:eastAsia="zh-CN"/>
            </w:rPr>
          </w:pPr>
          <w:r>
            <w:rPr>
              <w:rFonts w:hint="eastAsia" w:ascii="Times New Roman" w:hAnsi="Times New Roman" w:eastAsia="仿宋"/>
              <w:kern w:val="2"/>
              <w:sz w:val="28"/>
              <w:szCs w:val="28"/>
              <w:lang w:val="zh-CN"/>
            </w:rPr>
            <w:t>四、财政拨款收入支出决算总表</w:t>
          </w:r>
          <w:r>
            <w:rPr>
              <w:rFonts w:hint="eastAsia" w:ascii="Times New Roman" w:hAnsi="Times New Roman" w:eastAsia="仿宋"/>
              <w:kern w:val="2"/>
              <w:sz w:val="28"/>
              <w:szCs w:val="28"/>
              <w:lang w:val="zh-CN"/>
            </w:rPr>
            <w:tab/>
          </w:r>
          <w:r>
            <w:rPr>
              <w:rFonts w:hint="eastAsia" w:ascii="Times New Roman" w:hAnsi="Times New Roman" w:eastAsia="仿宋"/>
              <w:kern w:val="2"/>
              <w:sz w:val="28"/>
              <w:szCs w:val="28"/>
            </w:rPr>
            <w:t>5</w:t>
          </w:r>
          <w:r>
            <w:rPr>
              <w:rFonts w:hint="default" w:ascii="Times New Roman" w:hAnsi="Times New Roman" w:eastAsia="仿宋"/>
              <w:kern w:val="2"/>
              <w:sz w:val="28"/>
              <w:szCs w:val="28"/>
            </w:rPr>
            <w:t>3</w:t>
          </w:r>
        </w:p>
        <w:p>
          <w:pPr>
            <w:pStyle w:val="15"/>
            <w:keepNext w:val="0"/>
            <w:keepLines w:val="0"/>
            <w:pageBreakBefore w:val="0"/>
            <w:widowControl w:val="0"/>
            <w:tabs>
              <w:tab w:val="right" w:leader="dot" w:pos="8640"/>
            </w:tabs>
            <w:kinsoku/>
            <w:wordWrap/>
            <w:overflowPunct/>
            <w:topLinePunct w:val="0"/>
            <w:autoSpaceDE w:val="0"/>
            <w:autoSpaceDN w:val="0"/>
            <w:bidi w:val="0"/>
            <w:adjustRightInd w:val="0"/>
            <w:snapToGrid/>
            <w:spacing w:line="420" w:lineRule="exact"/>
            <w:ind w:left="480"/>
            <w:textAlignment w:val="auto"/>
            <w:rPr>
              <w:rFonts w:hint="default" w:ascii="Times New Roman" w:hAnsi="Times New Roman" w:eastAsia="仿宋"/>
              <w:kern w:val="2"/>
              <w:sz w:val="28"/>
              <w:szCs w:val="28"/>
              <w:lang w:eastAsia="zh-CN"/>
            </w:rPr>
          </w:pPr>
          <w:r>
            <w:rPr>
              <w:rFonts w:hint="eastAsia" w:ascii="Times New Roman" w:hAnsi="Times New Roman" w:eastAsia="仿宋"/>
              <w:kern w:val="2"/>
              <w:sz w:val="28"/>
              <w:szCs w:val="28"/>
              <w:lang w:val="zh-CN"/>
            </w:rPr>
            <w:t>五、财政拨款支出决算明细表</w:t>
          </w:r>
          <w:r>
            <w:rPr>
              <w:rFonts w:hint="eastAsia" w:ascii="Times New Roman" w:hAnsi="Times New Roman" w:eastAsia="仿宋"/>
              <w:kern w:val="2"/>
              <w:sz w:val="28"/>
              <w:szCs w:val="28"/>
              <w:lang w:val="zh-CN"/>
            </w:rPr>
            <w:tab/>
          </w:r>
          <w:r>
            <w:rPr>
              <w:rFonts w:hint="eastAsia" w:ascii="Times New Roman" w:hAnsi="Times New Roman" w:eastAsia="仿宋"/>
              <w:kern w:val="2"/>
              <w:sz w:val="28"/>
              <w:szCs w:val="28"/>
            </w:rPr>
            <w:t>5</w:t>
          </w:r>
          <w:r>
            <w:rPr>
              <w:rFonts w:hint="default" w:ascii="Times New Roman" w:hAnsi="Times New Roman" w:eastAsia="仿宋"/>
              <w:kern w:val="2"/>
              <w:sz w:val="28"/>
              <w:szCs w:val="28"/>
            </w:rPr>
            <w:t>3</w:t>
          </w:r>
        </w:p>
        <w:p>
          <w:pPr>
            <w:pStyle w:val="15"/>
            <w:keepNext w:val="0"/>
            <w:keepLines w:val="0"/>
            <w:pageBreakBefore w:val="0"/>
            <w:widowControl w:val="0"/>
            <w:tabs>
              <w:tab w:val="right" w:leader="dot" w:pos="8640"/>
            </w:tabs>
            <w:kinsoku/>
            <w:wordWrap/>
            <w:overflowPunct/>
            <w:topLinePunct w:val="0"/>
            <w:autoSpaceDE w:val="0"/>
            <w:autoSpaceDN w:val="0"/>
            <w:bidi w:val="0"/>
            <w:adjustRightInd w:val="0"/>
            <w:snapToGrid/>
            <w:spacing w:line="420" w:lineRule="exact"/>
            <w:ind w:left="480"/>
            <w:textAlignment w:val="auto"/>
            <w:rPr>
              <w:rFonts w:hint="default" w:ascii="Times New Roman" w:hAnsi="Times New Roman" w:eastAsia="仿宋"/>
              <w:kern w:val="2"/>
              <w:sz w:val="28"/>
              <w:szCs w:val="28"/>
              <w:lang w:eastAsia="zh-CN"/>
            </w:rPr>
          </w:pPr>
          <w:r>
            <w:rPr>
              <w:rFonts w:hint="eastAsia" w:ascii="Times New Roman" w:hAnsi="Times New Roman" w:eastAsia="仿宋"/>
              <w:kern w:val="2"/>
              <w:sz w:val="28"/>
              <w:szCs w:val="28"/>
              <w:lang w:val="zh-CN"/>
            </w:rPr>
            <w:t>六、一般公共预算财政拨款支出决算表</w:t>
          </w:r>
          <w:r>
            <w:rPr>
              <w:rFonts w:ascii="Times New Roman" w:hAnsi="Times New Roman" w:eastAsia="仿宋"/>
              <w:kern w:val="2"/>
              <w:sz w:val="28"/>
              <w:szCs w:val="28"/>
              <w:lang w:val="zh-CN"/>
            </w:rPr>
            <w:tab/>
          </w:r>
          <w:r>
            <w:rPr>
              <w:rFonts w:ascii="Times New Roman" w:hAnsi="Times New Roman" w:eastAsia="仿宋"/>
              <w:kern w:val="2"/>
              <w:sz w:val="28"/>
              <w:szCs w:val="28"/>
            </w:rPr>
            <w:t>53</w:t>
          </w:r>
        </w:p>
        <w:p>
          <w:pPr>
            <w:pStyle w:val="15"/>
            <w:keepNext w:val="0"/>
            <w:keepLines w:val="0"/>
            <w:pageBreakBefore w:val="0"/>
            <w:widowControl w:val="0"/>
            <w:tabs>
              <w:tab w:val="right" w:leader="dot" w:pos="8640"/>
            </w:tabs>
            <w:kinsoku/>
            <w:wordWrap/>
            <w:overflowPunct/>
            <w:topLinePunct w:val="0"/>
            <w:autoSpaceDE w:val="0"/>
            <w:autoSpaceDN w:val="0"/>
            <w:bidi w:val="0"/>
            <w:adjustRightInd w:val="0"/>
            <w:snapToGrid/>
            <w:spacing w:line="420" w:lineRule="exact"/>
            <w:ind w:left="480"/>
            <w:textAlignment w:val="auto"/>
            <w:rPr>
              <w:rFonts w:hint="default" w:ascii="Times New Roman" w:hAnsi="Times New Roman" w:eastAsia="仿宋"/>
              <w:kern w:val="2"/>
              <w:sz w:val="28"/>
              <w:szCs w:val="28"/>
              <w:lang w:eastAsia="zh-CN"/>
            </w:rPr>
          </w:pPr>
          <w:r>
            <w:rPr>
              <w:rFonts w:hint="eastAsia" w:ascii="Times New Roman" w:hAnsi="Times New Roman" w:eastAsia="仿宋"/>
              <w:kern w:val="2"/>
              <w:sz w:val="28"/>
              <w:szCs w:val="28"/>
              <w:lang w:val="zh-CN"/>
            </w:rPr>
            <w:t>七、一般公共预算财政拨款支出决算明细表</w:t>
          </w:r>
          <w:r>
            <w:rPr>
              <w:rFonts w:ascii="Times New Roman" w:hAnsi="Times New Roman" w:eastAsia="仿宋"/>
              <w:kern w:val="2"/>
              <w:sz w:val="28"/>
              <w:szCs w:val="28"/>
              <w:lang w:val="zh-CN"/>
            </w:rPr>
            <w:tab/>
          </w:r>
          <w:r>
            <w:rPr>
              <w:rFonts w:ascii="Times New Roman" w:hAnsi="Times New Roman" w:eastAsia="仿宋"/>
              <w:kern w:val="2"/>
              <w:sz w:val="28"/>
              <w:szCs w:val="28"/>
            </w:rPr>
            <w:t>53</w:t>
          </w:r>
        </w:p>
        <w:p>
          <w:pPr>
            <w:pStyle w:val="15"/>
            <w:keepNext w:val="0"/>
            <w:keepLines w:val="0"/>
            <w:pageBreakBefore w:val="0"/>
            <w:widowControl w:val="0"/>
            <w:tabs>
              <w:tab w:val="right" w:leader="dot" w:pos="8640"/>
            </w:tabs>
            <w:kinsoku/>
            <w:wordWrap/>
            <w:overflowPunct/>
            <w:topLinePunct w:val="0"/>
            <w:autoSpaceDE w:val="0"/>
            <w:autoSpaceDN w:val="0"/>
            <w:bidi w:val="0"/>
            <w:adjustRightInd w:val="0"/>
            <w:snapToGrid/>
            <w:spacing w:line="420" w:lineRule="exact"/>
            <w:ind w:left="480"/>
            <w:textAlignment w:val="auto"/>
            <w:rPr>
              <w:rFonts w:hint="default" w:ascii="Times New Roman" w:hAnsi="Times New Roman" w:eastAsia="仿宋"/>
              <w:kern w:val="2"/>
              <w:sz w:val="28"/>
              <w:szCs w:val="28"/>
              <w:lang w:eastAsia="zh-CN"/>
            </w:rPr>
          </w:pPr>
          <w:r>
            <w:rPr>
              <w:rFonts w:hint="eastAsia" w:ascii="Times New Roman" w:hAnsi="Times New Roman" w:eastAsia="仿宋"/>
              <w:kern w:val="2"/>
              <w:sz w:val="28"/>
              <w:szCs w:val="28"/>
              <w:lang w:val="zh-CN"/>
            </w:rPr>
            <w:t>八、一般公共预算财政拨款基本支出决算明细表</w:t>
          </w:r>
          <w:r>
            <w:rPr>
              <w:rFonts w:ascii="Times New Roman" w:hAnsi="Times New Roman" w:eastAsia="仿宋"/>
              <w:kern w:val="2"/>
              <w:sz w:val="28"/>
              <w:szCs w:val="28"/>
              <w:lang w:val="zh-CN"/>
            </w:rPr>
            <w:tab/>
          </w:r>
          <w:r>
            <w:rPr>
              <w:rFonts w:ascii="Times New Roman" w:hAnsi="Times New Roman" w:eastAsia="仿宋"/>
              <w:kern w:val="2"/>
              <w:sz w:val="28"/>
              <w:szCs w:val="28"/>
            </w:rPr>
            <w:t>53</w:t>
          </w:r>
        </w:p>
        <w:p>
          <w:pPr>
            <w:pStyle w:val="15"/>
            <w:keepNext w:val="0"/>
            <w:keepLines w:val="0"/>
            <w:pageBreakBefore w:val="0"/>
            <w:widowControl w:val="0"/>
            <w:tabs>
              <w:tab w:val="right" w:leader="dot" w:pos="8640"/>
            </w:tabs>
            <w:kinsoku/>
            <w:wordWrap/>
            <w:overflowPunct/>
            <w:topLinePunct w:val="0"/>
            <w:autoSpaceDE w:val="0"/>
            <w:autoSpaceDN w:val="0"/>
            <w:bidi w:val="0"/>
            <w:adjustRightInd w:val="0"/>
            <w:snapToGrid/>
            <w:spacing w:line="420" w:lineRule="exact"/>
            <w:ind w:left="480"/>
            <w:textAlignment w:val="auto"/>
            <w:rPr>
              <w:rFonts w:ascii="Times New Roman" w:hAnsi="Times New Roman" w:eastAsia="仿宋"/>
              <w:kern w:val="2"/>
              <w:sz w:val="28"/>
              <w:szCs w:val="28"/>
            </w:rPr>
          </w:pPr>
          <w:r>
            <w:rPr>
              <w:rFonts w:hint="eastAsia" w:ascii="Times New Roman" w:hAnsi="Times New Roman" w:eastAsia="仿宋"/>
              <w:kern w:val="2"/>
              <w:sz w:val="28"/>
              <w:szCs w:val="28"/>
              <w:lang w:val="zh-CN"/>
            </w:rPr>
            <w:t>九、一般公共预算财政拨款项目支出决算表</w:t>
          </w:r>
          <w:r>
            <w:rPr>
              <w:rFonts w:ascii="Times New Roman" w:hAnsi="Times New Roman" w:eastAsia="仿宋"/>
              <w:kern w:val="2"/>
              <w:sz w:val="28"/>
              <w:szCs w:val="28"/>
              <w:lang w:val="zh-CN"/>
            </w:rPr>
            <w:tab/>
          </w:r>
          <w:r>
            <w:rPr>
              <w:rFonts w:ascii="Times New Roman" w:hAnsi="Times New Roman" w:eastAsia="仿宋"/>
              <w:kern w:val="2"/>
              <w:sz w:val="28"/>
              <w:szCs w:val="28"/>
            </w:rPr>
            <w:t>55</w:t>
          </w:r>
        </w:p>
        <w:p>
          <w:pPr>
            <w:pStyle w:val="15"/>
            <w:keepNext w:val="0"/>
            <w:keepLines w:val="0"/>
            <w:pageBreakBefore w:val="0"/>
            <w:widowControl w:val="0"/>
            <w:tabs>
              <w:tab w:val="right" w:leader="dot" w:pos="8640"/>
            </w:tabs>
            <w:kinsoku/>
            <w:wordWrap/>
            <w:overflowPunct/>
            <w:topLinePunct w:val="0"/>
            <w:autoSpaceDE w:val="0"/>
            <w:autoSpaceDN w:val="0"/>
            <w:bidi w:val="0"/>
            <w:adjustRightInd w:val="0"/>
            <w:snapToGrid/>
            <w:spacing w:line="420" w:lineRule="exact"/>
            <w:ind w:left="480"/>
            <w:textAlignment w:val="auto"/>
            <w:rPr>
              <w:rFonts w:ascii="Times New Roman" w:hAnsi="Times New Roman" w:eastAsia="仿宋"/>
              <w:kern w:val="2"/>
              <w:sz w:val="28"/>
              <w:szCs w:val="28"/>
            </w:rPr>
          </w:pPr>
          <w:r>
            <w:rPr>
              <w:rFonts w:hint="eastAsia" w:ascii="Times New Roman" w:hAnsi="Times New Roman" w:eastAsia="仿宋"/>
              <w:kern w:val="2"/>
              <w:sz w:val="28"/>
              <w:szCs w:val="28"/>
              <w:lang w:val="zh-CN"/>
            </w:rPr>
            <w:t>十、政府性基金预算财政拨款收入支出决算表</w:t>
          </w:r>
          <w:r>
            <w:rPr>
              <w:rFonts w:ascii="Times New Roman" w:hAnsi="Times New Roman" w:eastAsia="仿宋"/>
              <w:kern w:val="2"/>
              <w:sz w:val="28"/>
              <w:szCs w:val="28"/>
              <w:lang w:val="zh-CN"/>
            </w:rPr>
            <w:tab/>
          </w:r>
          <w:r>
            <w:rPr>
              <w:rFonts w:ascii="Times New Roman" w:hAnsi="Times New Roman" w:eastAsia="仿宋"/>
              <w:kern w:val="2"/>
              <w:sz w:val="28"/>
              <w:szCs w:val="28"/>
            </w:rPr>
            <w:t>55</w:t>
          </w:r>
        </w:p>
        <w:p>
          <w:pPr>
            <w:pStyle w:val="15"/>
            <w:keepNext w:val="0"/>
            <w:keepLines w:val="0"/>
            <w:pageBreakBefore w:val="0"/>
            <w:widowControl w:val="0"/>
            <w:tabs>
              <w:tab w:val="right" w:leader="dot" w:pos="8640"/>
            </w:tabs>
            <w:kinsoku/>
            <w:wordWrap/>
            <w:overflowPunct/>
            <w:topLinePunct w:val="0"/>
            <w:autoSpaceDE w:val="0"/>
            <w:autoSpaceDN w:val="0"/>
            <w:bidi w:val="0"/>
            <w:adjustRightInd w:val="0"/>
            <w:snapToGrid/>
            <w:spacing w:line="420" w:lineRule="exact"/>
            <w:ind w:left="480"/>
            <w:textAlignment w:val="auto"/>
            <w:rPr>
              <w:rFonts w:ascii="Times New Roman" w:hAnsi="Times New Roman" w:eastAsia="仿宋"/>
              <w:kern w:val="2"/>
              <w:sz w:val="28"/>
              <w:szCs w:val="28"/>
            </w:rPr>
          </w:pPr>
          <w:r>
            <w:rPr>
              <w:rFonts w:hint="eastAsia" w:ascii="Times New Roman" w:hAnsi="Times New Roman" w:eastAsia="仿宋"/>
              <w:kern w:val="2"/>
              <w:sz w:val="28"/>
              <w:szCs w:val="28"/>
              <w:lang w:val="zh-CN"/>
            </w:rPr>
            <w:t>十一、国有资本经营预算财政拨款收入支出决算表</w:t>
          </w:r>
          <w:r>
            <w:rPr>
              <w:rFonts w:ascii="Times New Roman" w:hAnsi="Times New Roman" w:eastAsia="仿宋"/>
              <w:kern w:val="2"/>
              <w:sz w:val="28"/>
              <w:szCs w:val="28"/>
              <w:lang w:val="zh-CN"/>
            </w:rPr>
            <w:tab/>
          </w:r>
          <w:r>
            <w:rPr>
              <w:rFonts w:ascii="Times New Roman" w:hAnsi="Times New Roman" w:eastAsia="仿宋"/>
              <w:kern w:val="2"/>
              <w:sz w:val="28"/>
              <w:szCs w:val="28"/>
            </w:rPr>
            <w:t>55</w:t>
          </w:r>
        </w:p>
        <w:p>
          <w:pPr>
            <w:pStyle w:val="15"/>
            <w:keepNext w:val="0"/>
            <w:keepLines w:val="0"/>
            <w:pageBreakBefore w:val="0"/>
            <w:widowControl w:val="0"/>
            <w:tabs>
              <w:tab w:val="right" w:leader="dot" w:pos="8640"/>
            </w:tabs>
            <w:kinsoku/>
            <w:wordWrap/>
            <w:overflowPunct/>
            <w:topLinePunct w:val="0"/>
            <w:autoSpaceDE w:val="0"/>
            <w:autoSpaceDN w:val="0"/>
            <w:bidi w:val="0"/>
            <w:adjustRightInd w:val="0"/>
            <w:snapToGrid/>
            <w:spacing w:line="420" w:lineRule="exact"/>
            <w:ind w:left="480"/>
            <w:textAlignment w:val="auto"/>
            <w:rPr>
              <w:rFonts w:ascii="Times New Roman" w:hAnsi="Times New Roman" w:eastAsia="仿宋"/>
              <w:kern w:val="2"/>
              <w:sz w:val="28"/>
              <w:szCs w:val="28"/>
            </w:rPr>
          </w:pPr>
          <w:r>
            <w:rPr>
              <w:rFonts w:hint="eastAsia" w:ascii="Times New Roman" w:hAnsi="Times New Roman" w:eastAsia="仿宋"/>
              <w:kern w:val="2"/>
              <w:sz w:val="28"/>
              <w:szCs w:val="28"/>
              <w:lang w:val="zh-CN"/>
            </w:rPr>
            <w:t>十二、国有资本经营预算财政拨款支出决算表</w:t>
          </w:r>
          <w:r>
            <w:rPr>
              <w:rFonts w:ascii="Times New Roman" w:hAnsi="Times New Roman" w:eastAsia="仿宋"/>
              <w:kern w:val="2"/>
              <w:sz w:val="28"/>
              <w:szCs w:val="28"/>
              <w:lang w:val="zh-CN"/>
            </w:rPr>
            <w:tab/>
          </w:r>
          <w:r>
            <w:rPr>
              <w:rFonts w:ascii="Times New Roman" w:hAnsi="Times New Roman" w:eastAsia="仿宋"/>
              <w:kern w:val="2"/>
              <w:sz w:val="28"/>
              <w:szCs w:val="28"/>
            </w:rPr>
            <w:t>55</w:t>
          </w:r>
        </w:p>
        <w:p>
          <w:pPr>
            <w:pStyle w:val="15"/>
            <w:keepNext w:val="0"/>
            <w:keepLines w:val="0"/>
            <w:pageBreakBefore w:val="0"/>
            <w:widowControl w:val="0"/>
            <w:tabs>
              <w:tab w:val="right" w:leader="dot" w:pos="8640"/>
            </w:tabs>
            <w:kinsoku/>
            <w:wordWrap/>
            <w:overflowPunct/>
            <w:topLinePunct w:val="0"/>
            <w:autoSpaceDE w:val="0"/>
            <w:autoSpaceDN w:val="0"/>
            <w:bidi w:val="0"/>
            <w:adjustRightInd w:val="0"/>
            <w:snapToGrid/>
            <w:spacing w:line="420" w:lineRule="exact"/>
            <w:ind w:left="480"/>
            <w:textAlignment w:val="auto"/>
            <w:rPr>
              <w:rFonts w:ascii="仿宋" w:hAnsi="Cambria" w:eastAsia="仿宋" w:cs="仿宋"/>
              <w:kern w:val="2"/>
              <w:sz w:val="28"/>
              <w:szCs w:val="28"/>
            </w:rPr>
          </w:pPr>
          <w:r>
            <w:rPr>
              <w:rFonts w:hint="eastAsia" w:ascii="Times New Roman" w:hAnsi="Times New Roman" w:eastAsia="仿宋"/>
              <w:kern w:val="2"/>
              <w:sz w:val="28"/>
              <w:szCs w:val="28"/>
              <w:lang w:val="zh-CN"/>
            </w:rPr>
            <w:t>十三、财政拨款“三公”经费支出决算表</w:t>
          </w:r>
          <w:r>
            <w:rPr>
              <w:rFonts w:ascii="Times New Roman" w:hAnsi="Times New Roman" w:eastAsia="仿宋"/>
              <w:kern w:val="2"/>
              <w:sz w:val="28"/>
              <w:szCs w:val="28"/>
              <w:lang w:val="zh-CN"/>
            </w:rPr>
            <w:tab/>
          </w:r>
          <w:r>
            <w:rPr>
              <w:rFonts w:ascii="Times New Roman" w:hAnsi="Times New Roman" w:eastAsia="仿宋"/>
              <w:kern w:val="2"/>
              <w:sz w:val="28"/>
              <w:szCs w:val="28"/>
            </w:rPr>
            <w:t>55</w:t>
          </w:r>
        </w:p>
        <w:p>
          <w:pPr>
            <w:topLinePunct/>
            <w:spacing w:line="560" w:lineRule="exact"/>
            <w:jc w:val="both"/>
            <w:rPr>
              <w:rFonts w:ascii="黑体" w:hAnsi="Times New Roman" w:eastAsia="黑体" w:cs="黑体"/>
              <w:kern w:val="44"/>
              <w:sz w:val="44"/>
              <w:szCs w:val="44"/>
              <w:lang w:val="zh-CN"/>
            </w:rPr>
            <w:sectPr>
              <w:footerReference r:id="rId5" w:type="default"/>
              <w:pgSz w:w="12240" w:h="15840"/>
              <w:pgMar w:top="1440" w:right="1800" w:bottom="1440" w:left="1800" w:header="720" w:footer="720" w:gutter="0"/>
              <w:pgNumType w:start="1"/>
              <w:cols w:space="720" w:num="1"/>
            </w:sectPr>
          </w:pPr>
          <w:bookmarkStart w:id="0" w:name="_Toc2106641760"/>
        </w:p>
      </w:sdtContent>
    </w:sdt>
    <w:p>
      <w:pPr>
        <w:pStyle w:val="4"/>
        <w:keepNext/>
        <w:keepLines/>
        <w:topLinePunct/>
        <w:spacing w:line="576" w:lineRule="exact"/>
        <w:jc w:val="center"/>
        <w:rPr>
          <w:rFonts w:hint="eastAsia" w:ascii="黑体" w:hAnsi="Times New Roman" w:eastAsia="黑体" w:cs="黑体"/>
          <w:kern w:val="44"/>
          <w:sz w:val="44"/>
          <w:szCs w:val="44"/>
          <w:lang w:val="zh-CN"/>
        </w:rPr>
      </w:pPr>
      <w:bookmarkStart w:id="1" w:name="_Toc146701542"/>
      <w:r>
        <w:rPr>
          <w:rFonts w:hint="eastAsia" w:ascii="黑体" w:hAnsi="Times New Roman" w:eastAsia="黑体" w:cs="黑体"/>
          <w:kern w:val="44"/>
          <w:sz w:val="44"/>
          <w:szCs w:val="44"/>
          <w:lang w:val="zh-CN"/>
        </w:rPr>
        <w:t>第一部分</w:t>
      </w:r>
      <w:r>
        <w:rPr>
          <w:rFonts w:ascii="黑体" w:hAnsi="Times New Roman" w:eastAsia="黑体" w:cs="黑体"/>
          <w:kern w:val="44"/>
          <w:sz w:val="44"/>
          <w:szCs w:val="44"/>
          <w:lang w:val="zh-CN"/>
        </w:rPr>
        <w:t xml:space="preserve"> </w:t>
      </w:r>
      <w:r>
        <w:rPr>
          <w:rFonts w:hint="eastAsia" w:ascii="黑体" w:hAnsi="Times New Roman" w:eastAsia="黑体" w:cs="黑体"/>
          <w:kern w:val="44"/>
          <w:sz w:val="44"/>
          <w:szCs w:val="44"/>
          <w:lang w:val="zh-CN"/>
        </w:rPr>
        <w:t>部门概况</w:t>
      </w:r>
      <w:bookmarkEnd w:id="0"/>
      <w:bookmarkEnd w:id="1"/>
    </w:p>
    <w:p>
      <w:pPr>
        <w:rPr>
          <w:lang w:val="zh-CN"/>
        </w:rPr>
      </w:pPr>
    </w:p>
    <w:p>
      <w:pPr>
        <w:pStyle w:val="5"/>
        <w:keepNext/>
        <w:keepLines/>
        <w:topLinePunct/>
        <w:spacing w:line="576" w:lineRule="exact"/>
        <w:ind w:firstLine="640" w:firstLineChars="200"/>
        <w:jc w:val="both"/>
        <w:rPr>
          <w:rFonts w:ascii="黑体" w:hAnsi="黑体" w:eastAsia="黑体" w:cs="黑体"/>
          <w:kern w:val="2"/>
          <w:sz w:val="32"/>
          <w:szCs w:val="32"/>
          <w:lang w:val="zh-CN"/>
        </w:rPr>
      </w:pPr>
      <w:bookmarkStart w:id="2" w:name="_Toc1503999118"/>
      <w:bookmarkStart w:id="3" w:name="_Toc146701543"/>
      <w:r>
        <w:rPr>
          <w:rFonts w:hint="eastAsia" w:ascii="黑体" w:hAnsi="黑体" w:eastAsia="黑体" w:cs="黑体"/>
          <w:color w:val="000000"/>
          <w:kern w:val="2"/>
          <w:sz w:val="32"/>
          <w:szCs w:val="32"/>
          <w:lang w:val="zh-CN"/>
        </w:rPr>
        <w:t>一、部门</w:t>
      </w:r>
      <w:r>
        <w:rPr>
          <w:rFonts w:hint="eastAsia" w:ascii="黑体" w:hAnsi="黑体" w:eastAsia="黑体" w:cs="黑体"/>
          <w:kern w:val="2"/>
          <w:sz w:val="32"/>
          <w:szCs w:val="32"/>
          <w:lang w:val="zh-CN"/>
        </w:rPr>
        <w:t>职责</w:t>
      </w:r>
      <w:bookmarkEnd w:id="2"/>
      <w:bookmarkEnd w:id="3"/>
    </w:p>
    <w:p>
      <w:pPr>
        <w:topLinePunct/>
        <w:spacing w:line="576" w:lineRule="exact"/>
        <w:ind w:firstLine="640" w:firstLineChars="200"/>
        <w:jc w:val="both"/>
        <w:rPr>
          <w:rFonts w:ascii="仿宋_GB2312" w:hAnsi="仿宋" w:eastAsia="仿宋_GB2312" w:cs="仿宋"/>
          <w:sz w:val="32"/>
          <w:szCs w:val="32"/>
          <w:lang w:val="zh-CN"/>
        </w:rPr>
      </w:pPr>
      <w:r>
        <w:rPr>
          <w:rFonts w:hint="eastAsia" w:ascii="仿宋_GB2312" w:hAnsi="仿宋" w:eastAsia="仿宋_GB2312" w:cs="仿宋"/>
          <w:sz w:val="32"/>
          <w:szCs w:val="32"/>
          <w:lang w:val="zh-CN"/>
        </w:rPr>
        <w:t>广元市人民政府办公室是市人民政府的综合办事机构，主要是参与政务、管理事务和搞好服务。主要职责是：</w:t>
      </w:r>
    </w:p>
    <w:p>
      <w:pPr>
        <w:topLinePunct/>
        <w:spacing w:line="576" w:lineRule="exact"/>
        <w:ind w:firstLine="640" w:firstLineChars="200"/>
        <w:jc w:val="both"/>
        <w:rPr>
          <w:rFonts w:ascii="仿宋_GB2312" w:hAnsi="仿宋" w:eastAsia="仿宋_GB2312" w:cs="仿宋"/>
          <w:sz w:val="32"/>
          <w:szCs w:val="32"/>
          <w:lang w:val="zh-CN"/>
        </w:rPr>
      </w:pPr>
      <w:r>
        <w:rPr>
          <w:rFonts w:hint="eastAsia" w:ascii="仿宋_GB2312" w:hAnsi="仿宋" w:eastAsia="仿宋_GB2312" w:cs="仿宋"/>
          <w:sz w:val="32"/>
          <w:szCs w:val="32"/>
          <w:lang w:val="zh-CN"/>
        </w:rPr>
        <w:t>（一）负责承办市政府公文处理。起草或审核以市政府、市政府办公室名义发布的公文；办理国务院、国务院办公厅及各部委和省政府、省政府办公厅及各厅局发送市政府的文电；指导全市行政机关公文处理工作；研究市政府部门和县区政府请示市政府的事项，提出拟办意见，报市政府领导同志审批。</w:t>
      </w:r>
    </w:p>
    <w:p>
      <w:pPr>
        <w:topLinePunct/>
        <w:spacing w:line="576" w:lineRule="exact"/>
        <w:ind w:firstLine="640" w:firstLineChars="200"/>
        <w:jc w:val="both"/>
        <w:rPr>
          <w:rFonts w:ascii="仿宋_GB2312" w:hAnsi="仿宋" w:eastAsia="仿宋_GB2312" w:cs="仿宋"/>
          <w:sz w:val="32"/>
          <w:szCs w:val="32"/>
          <w:lang w:val="zh-CN"/>
        </w:rPr>
      </w:pPr>
      <w:r>
        <w:rPr>
          <w:rFonts w:hint="eastAsia" w:ascii="仿宋_GB2312" w:hAnsi="仿宋" w:eastAsia="仿宋_GB2312" w:cs="仿宋"/>
          <w:sz w:val="32"/>
          <w:szCs w:val="32"/>
          <w:lang w:val="zh-CN"/>
        </w:rPr>
        <w:t>（二）负责市政府会议的会务办理工作，协助市政府领导同志组织实施会议决定事项。</w:t>
      </w:r>
    </w:p>
    <w:p>
      <w:pPr>
        <w:topLinePunct/>
        <w:spacing w:line="576" w:lineRule="exact"/>
        <w:ind w:firstLine="640" w:firstLineChars="200"/>
        <w:jc w:val="both"/>
        <w:rPr>
          <w:rFonts w:ascii="仿宋_GB2312" w:hAnsi="仿宋" w:eastAsia="仿宋_GB2312" w:cs="仿宋"/>
          <w:sz w:val="32"/>
          <w:szCs w:val="32"/>
          <w:lang w:val="zh-CN"/>
        </w:rPr>
      </w:pPr>
      <w:r>
        <w:rPr>
          <w:rFonts w:hint="eastAsia" w:ascii="仿宋_GB2312" w:hAnsi="仿宋" w:eastAsia="仿宋_GB2312" w:cs="仿宋"/>
          <w:sz w:val="32"/>
          <w:szCs w:val="32"/>
          <w:lang w:val="zh-CN"/>
        </w:rPr>
        <w:t>（三）督促检查市政府部门和县区人民政府对市政府决定事项及市政府领导同志指示的贯彻落实情况，及时向市政府领导同志报告。</w:t>
      </w:r>
    </w:p>
    <w:p>
      <w:pPr>
        <w:topLinePunct/>
        <w:spacing w:line="576" w:lineRule="exact"/>
        <w:ind w:firstLine="640" w:firstLineChars="200"/>
        <w:jc w:val="both"/>
        <w:rPr>
          <w:rFonts w:ascii="仿宋_GB2312" w:hAnsi="仿宋" w:eastAsia="仿宋_GB2312" w:cs="仿宋"/>
          <w:sz w:val="32"/>
          <w:szCs w:val="32"/>
          <w:lang w:val="zh-CN"/>
        </w:rPr>
      </w:pPr>
      <w:r>
        <w:rPr>
          <w:rFonts w:hint="eastAsia" w:ascii="仿宋_GB2312" w:hAnsi="仿宋" w:eastAsia="仿宋_GB2312" w:cs="仿宋"/>
          <w:sz w:val="32"/>
          <w:szCs w:val="32"/>
          <w:lang w:val="zh-CN"/>
        </w:rPr>
        <w:t>（四）根据市政府领导同志的指示，对市政府部门间争议问题提出处理意见和建议，报市政府领导同志决定。</w:t>
      </w:r>
    </w:p>
    <w:p>
      <w:pPr>
        <w:topLinePunct/>
        <w:spacing w:line="576" w:lineRule="exact"/>
        <w:ind w:firstLine="640" w:firstLineChars="200"/>
        <w:jc w:val="both"/>
        <w:rPr>
          <w:rFonts w:ascii="仿宋_GB2312" w:hAnsi="仿宋" w:eastAsia="仿宋_GB2312" w:cs="仿宋"/>
          <w:sz w:val="32"/>
          <w:szCs w:val="32"/>
          <w:lang w:val="zh-CN"/>
        </w:rPr>
      </w:pPr>
      <w:r>
        <w:rPr>
          <w:rFonts w:hint="eastAsia" w:ascii="仿宋_GB2312" w:hAnsi="仿宋" w:eastAsia="仿宋_GB2312" w:cs="仿宋"/>
          <w:sz w:val="32"/>
          <w:szCs w:val="32"/>
          <w:lang w:val="zh-CN"/>
        </w:rPr>
        <w:t>（五）负责机关行政效能建设工作；负责推进、指导、督促全市政务公开、政府信息公开具体工作；负责全市政务信息采编和向国务院办公厅、省政府办公厅信息报送工作；负责政府系统电子政务外网工作和政府网站建设。</w:t>
      </w:r>
    </w:p>
    <w:p>
      <w:pPr>
        <w:topLinePunct/>
        <w:spacing w:line="576" w:lineRule="exact"/>
        <w:ind w:firstLine="640" w:firstLineChars="200"/>
        <w:jc w:val="both"/>
        <w:rPr>
          <w:rFonts w:ascii="仿宋_GB2312" w:hAnsi="仿宋" w:eastAsia="仿宋_GB2312" w:cs="仿宋"/>
          <w:sz w:val="32"/>
          <w:szCs w:val="32"/>
          <w:lang w:val="zh-CN"/>
        </w:rPr>
      </w:pPr>
      <w:r>
        <w:rPr>
          <w:rFonts w:hint="eastAsia" w:ascii="仿宋_GB2312" w:hAnsi="仿宋" w:eastAsia="仿宋_GB2312" w:cs="仿宋"/>
          <w:sz w:val="32"/>
          <w:szCs w:val="32"/>
          <w:lang w:val="zh-CN"/>
        </w:rPr>
        <w:t>（六）组织协调办理涉及市政府工作的人大代表议案、批评、建议和政协委员提案、建议案工作。</w:t>
      </w:r>
    </w:p>
    <w:p>
      <w:pPr>
        <w:topLinePunct/>
        <w:spacing w:line="576" w:lineRule="exact"/>
        <w:ind w:firstLine="640" w:firstLineChars="200"/>
        <w:jc w:val="both"/>
        <w:rPr>
          <w:rFonts w:ascii="仿宋_GB2312" w:hAnsi="仿宋" w:eastAsia="仿宋_GB2312" w:cs="仿宋"/>
          <w:sz w:val="32"/>
          <w:szCs w:val="32"/>
          <w:lang w:val="zh-CN"/>
        </w:rPr>
      </w:pPr>
      <w:r>
        <w:rPr>
          <w:rFonts w:hint="eastAsia" w:ascii="仿宋_GB2312" w:hAnsi="仿宋" w:eastAsia="仿宋_GB2312" w:cs="仿宋"/>
          <w:sz w:val="32"/>
          <w:szCs w:val="32"/>
          <w:lang w:val="zh-CN"/>
        </w:rPr>
        <w:t>（七）围绕市政府中心工作和市政府领导同志的指示，组织专题调查研究，及时反映情况，提出政策性建议。</w:t>
      </w:r>
    </w:p>
    <w:p>
      <w:pPr>
        <w:topLinePunct/>
        <w:spacing w:line="576" w:lineRule="exact"/>
        <w:ind w:firstLine="640" w:firstLineChars="200"/>
        <w:jc w:val="both"/>
        <w:rPr>
          <w:rFonts w:ascii="仿宋_GB2312" w:hAnsi="仿宋" w:eastAsia="仿宋_GB2312" w:cs="仿宋"/>
          <w:sz w:val="32"/>
          <w:szCs w:val="32"/>
          <w:lang w:val="zh-CN"/>
        </w:rPr>
      </w:pPr>
      <w:r>
        <w:rPr>
          <w:rFonts w:hint="eastAsia" w:ascii="仿宋_GB2312" w:hAnsi="仿宋" w:eastAsia="仿宋_GB2312" w:cs="仿宋"/>
          <w:sz w:val="32"/>
          <w:szCs w:val="32"/>
          <w:lang w:val="zh-CN"/>
        </w:rPr>
        <w:t>（八）负责公共机构节约能源资源、公务用车、后勤服务等机关事务行政管理工作。</w:t>
      </w:r>
    </w:p>
    <w:p>
      <w:pPr>
        <w:topLinePunct/>
        <w:spacing w:line="576" w:lineRule="exact"/>
        <w:ind w:firstLine="640" w:firstLineChars="200"/>
        <w:jc w:val="both"/>
        <w:rPr>
          <w:rFonts w:ascii="仿宋_GB2312" w:hAnsi="仿宋" w:eastAsia="仿宋_GB2312" w:cs="仿宋"/>
          <w:sz w:val="32"/>
          <w:szCs w:val="32"/>
          <w:lang w:val="zh-CN"/>
        </w:rPr>
      </w:pPr>
      <w:r>
        <w:rPr>
          <w:rFonts w:hint="eastAsia" w:ascii="仿宋_GB2312" w:hAnsi="仿宋" w:eastAsia="仿宋_GB2312" w:cs="仿宋"/>
          <w:sz w:val="32"/>
          <w:szCs w:val="32"/>
          <w:lang w:val="zh-CN"/>
        </w:rPr>
        <w:t>（九）贯彻执行金融工作方针政策和法律法规；制定全市金融业发展规划和政策措施；承担地方金融组织的行政管理工作，协助办理防范金融风险、维护地方金融秩序方面的行政事务。</w:t>
      </w:r>
    </w:p>
    <w:p>
      <w:pPr>
        <w:topLinePunct/>
        <w:spacing w:line="576" w:lineRule="exact"/>
        <w:ind w:firstLine="640" w:firstLineChars="200"/>
        <w:jc w:val="both"/>
        <w:rPr>
          <w:rFonts w:ascii="仿宋_GB2312" w:hAnsi="仿宋" w:eastAsia="仿宋_GB2312" w:cs="仿宋"/>
          <w:sz w:val="32"/>
          <w:szCs w:val="32"/>
          <w:lang w:val="zh-CN"/>
        </w:rPr>
      </w:pPr>
      <w:r>
        <w:rPr>
          <w:rFonts w:hint="eastAsia" w:ascii="仿宋_GB2312" w:hAnsi="仿宋" w:eastAsia="仿宋_GB2312" w:cs="仿宋"/>
          <w:sz w:val="32"/>
          <w:szCs w:val="32"/>
          <w:lang w:val="zh-CN"/>
        </w:rPr>
        <w:t>（十）贯彻执行国家有关民营经济发展的方针政策和法律法规，制定全市民营经济发展工作目标，指导县区民营经济发展。</w:t>
      </w:r>
    </w:p>
    <w:p>
      <w:pPr>
        <w:topLinePunct/>
        <w:spacing w:line="576" w:lineRule="exact"/>
        <w:ind w:firstLine="640" w:firstLineChars="200"/>
        <w:jc w:val="both"/>
        <w:rPr>
          <w:rFonts w:ascii="仿宋_GB2312" w:hAnsi="仿宋" w:eastAsia="仿宋_GB2312" w:cs="仿宋"/>
          <w:sz w:val="32"/>
          <w:szCs w:val="32"/>
          <w:lang w:val="zh-CN"/>
        </w:rPr>
      </w:pPr>
      <w:r>
        <w:rPr>
          <w:rFonts w:hint="eastAsia" w:ascii="仿宋_GB2312" w:hAnsi="仿宋" w:eastAsia="仿宋_GB2312" w:cs="仿宋"/>
          <w:sz w:val="32"/>
          <w:szCs w:val="32"/>
          <w:lang w:val="zh-CN"/>
        </w:rPr>
        <w:t>（十一）负责“放管服”改革、行政权力依法规范公开运行、公共资源交易管理等工作的统筹指导，负责指导、协调、监督并推进深化行政审批制度改革工作。</w:t>
      </w:r>
    </w:p>
    <w:p>
      <w:pPr>
        <w:topLinePunct/>
        <w:spacing w:line="576" w:lineRule="exact"/>
        <w:ind w:firstLine="640" w:firstLineChars="200"/>
        <w:jc w:val="both"/>
        <w:rPr>
          <w:rFonts w:ascii="仿宋_GB2312" w:hAnsi="仿宋" w:eastAsia="仿宋_GB2312" w:cs="仿宋"/>
          <w:sz w:val="32"/>
          <w:szCs w:val="32"/>
          <w:lang w:val="zh-CN"/>
        </w:rPr>
      </w:pPr>
      <w:r>
        <w:rPr>
          <w:rFonts w:hint="eastAsia" w:ascii="仿宋_GB2312" w:hAnsi="仿宋" w:eastAsia="仿宋_GB2312" w:cs="仿宋"/>
          <w:sz w:val="32"/>
          <w:szCs w:val="32"/>
          <w:lang w:val="zh-CN"/>
        </w:rPr>
        <w:t>（十二）负责市政府值班工作，指导县区政府和市政府部门政务值班值守工作，及时报告重要情况。</w:t>
      </w:r>
    </w:p>
    <w:p>
      <w:pPr>
        <w:topLinePunct/>
        <w:spacing w:line="576" w:lineRule="exact"/>
        <w:ind w:firstLine="640" w:firstLineChars="200"/>
        <w:jc w:val="both"/>
        <w:rPr>
          <w:rFonts w:ascii="仿宋_GB2312" w:hAnsi="仿宋" w:eastAsia="仿宋_GB2312" w:cs="仿宋"/>
          <w:sz w:val="32"/>
          <w:szCs w:val="32"/>
          <w:lang w:val="zh-CN"/>
        </w:rPr>
      </w:pPr>
      <w:r>
        <w:rPr>
          <w:rFonts w:hint="eastAsia" w:ascii="仿宋_GB2312" w:hAnsi="仿宋" w:eastAsia="仿宋_GB2312" w:cs="仿宋"/>
          <w:sz w:val="32"/>
          <w:szCs w:val="32"/>
          <w:lang w:val="zh-CN"/>
        </w:rPr>
        <w:t>（十三）管理市政府办公室直属单位。</w:t>
      </w:r>
    </w:p>
    <w:p>
      <w:pPr>
        <w:topLinePunct/>
        <w:spacing w:line="576" w:lineRule="exact"/>
        <w:ind w:firstLine="640" w:firstLineChars="200"/>
        <w:jc w:val="both"/>
        <w:rPr>
          <w:rFonts w:ascii="仿宋_GB2312" w:hAnsi="仿宋" w:eastAsia="仿宋_GB2312" w:cs="仿宋"/>
          <w:sz w:val="32"/>
          <w:szCs w:val="32"/>
          <w:lang w:val="zh-CN"/>
        </w:rPr>
      </w:pPr>
      <w:r>
        <w:rPr>
          <w:rFonts w:hint="eastAsia" w:ascii="仿宋_GB2312" w:hAnsi="仿宋" w:eastAsia="仿宋_GB2312" w:cs="仿宋"/>
          <w:sz w:val="32"/>
          <w:szCs w:val="32"/>
          <w:lang w:val="zh-CN"/>
        </w:rPr>
        <w:t>（十四）办理市委市政府交办的其他事项。</w:t>
      </w:r>
    </w:p>
    <w:p>
      <w:pPr>
        <w:pStyle w:val="5"/>
        <w:keepNext/>
        <w:keepLines/>
        <w:topLinePunct/>
        <w:spacing w:line="576" w:lineRule="exact"/>
        <w:ind w:firstLine="640" w:firstLineChars="200"/>
        <w:jc w:val="both"/>
        <w:rPr>
          <w:rFonts w:ascii="Cambria" w:hAnsi="Cambria" w:eastAsia="黑体" w:cs="Cambria"/>
          <w:kern w:val="2"/>
          <w:sz w:val="32"/>
          <w:szCs w:val="32"/>
          <w:lang w:val="zh-CN"/>
        </w:rPr>
      </w:pPr>
      <w:bookmarkStart w:id="4" w:name="_Toc146701544"/>
      <w:bookmarkStart w:id="5" w:name="_Toc162947960"/>
      <w:r>
        <w:rPr>
          <w:rFonts w:hint="eastAsia" w:ascii="黑体" w:hAnsi="Times New Roman" w:eastAsia="黑体" w:cs="黑体"/>
          <w:color w:val="000000"/>
          <w:kern w:val="2"/>
          <w:sz w:val="32"/>
          <w:szCs w:val="32"/>
          <w:lang w:val="zh-CN"/>
        </w:rPr>
        <w:t>二、机</w:t>
      </w:r>
      <w:r>
        <w:rPr>
          <w:rFonts w:hint="eastAsia" w:ascii="黑体" w:hAnsi="Times New Roman" w:eastAsia="黑体" w:cs="黑体"/>
          <w:kern w:val="2"/>
          <w:sz w:val="32"/>
          <w:szCs w:val="32"/>
          <w:lang w:val="zh-CN"/>
        </w:rPr>
        <w:t>构设置</w:t>
      </w:r>
      <w:bookmarkEnd w:id="4"/>
      <w:bookmarkEnd w:id="5"/>
    </w:p>
    <w:p>
      <w:pPr>
        <w:spacing w:line="576"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广元市人民政府办公室部门决算包括：广元市人民政府办公室本级决算（行政单位）、代管二级决算单位</w:t>
      </w:r>
      <w:r>
        <w:rPr>
          <w:rFonts w:ascii="仿宋_GB2312" w:eastAsia="仿宋_GB2312"/>
          <w:color w:val="000000"/>
          <w:sz w:val="32"/>
          <w:szCs w:val="32"/>
        </w:rPr>
        <w:t>2</w:t>
      </w:r>
      <w:r>
        <w:rPr>
          <w:rFonts w:hint="eastAsia" w:ascii="仿宋_GB2312" w:eastAsia="仿宋_GB2312"/>
          <w:color w:val="000000"/>
          <w:sz w:val="32"/>
          <w:szCs w:val="32"/>
        </w:rPr>
        <w:t>个（参公事业单位）。</w:t>
      </w:r>
    </w:p>
    <w:p>
      <w:pPr>
        <w:spacing w:line="576"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纳入广元市人民政府办公室</w:t>
      </w:r>
      <w:r>
        <w:rPr>
          <w:rFonts w:ascii="仿宋_GB2312" w:eastAsia="仿宋_GB2312"/>
          <w:color w:val="000000"/>
          <w:sz w:val="32"/>
          <w:szCs w:val="32"/>
        </w:rPr>
        <w:t>2022</w:t>
      </w:r>
      <w:r>
        <w:rPr>
          <w:rFonts w:hint="eastAsia" w:ascii="仿宋_GB2312" w:eastAsia="仿宋_GB2312"/>
          <w:color w:val="000000"/>
          <w:sz w:val="32"/>
          <w:szCs w:val="32"/>
        </w:rPr>
        <w:t>年度部门决算编制范围的二级预算单位包括：</w:t>
      </w:r>
    </w:p>
    <w:p>
      <w:pPr>
        <w:spacing w:line="576" w:lineRule="exact"/>
        <w:ind w:firstLine="640" w:firstLineChars="200"/>
        <w:jc w:val="both"/>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广元市人民政府办公室</w:t>
      </w:r>
      <w:r>
        <w:rPr>
          <w:rFonts w:hint="eastAsia" w:hAnsi="仿宋"/>
          <w:color w:val="000000"/>
          <w:sz w:val="32"/>
          <w:szCs w:val="32"/>
        </w:rPr>
        <w:t>；</w:t>
      </w:r>
    </w:p>
    <w:p>
      <w:pPr>
        <w:pStyle w:val="8"/>
        <w:overflowPunct w:val="0"/>
        <w:snapToGrid w:val="0"/>
        <w:spacing w:beforeLines="0" w:line="576" w:lineRule="exact"/>
        <w:ind w:firstLine="640" w:firstLineChars="200"/>
        <w:jc w:val="both"/>
        <w:rPr>
          <w:rFonts w:hAnsi="仿宋"/>
          <w:color w:val="000000"/>
          <w:sz w:val="32"/>
          <w:szCs w:val="32"/>
        </w:rPr>
      </w:pPr>
      <w:r>
        <w:rPr>
          <w:rFonts w:hAnsi="Tahoma" w:cs="Tahoma"/>
          <w:color w:val="000000"/>
          <w:sz w:val="32"/>
          <w:szCs w:val="32"/>
        </w:rPr>
        <w:t>2.</w:t>
      </w:r>
      <w:r>
        <w:rPr>
          <w:rFonts w:hint="eastAsia" w:hAnsi="Tahoma" w:cs="Tahoma"/>
          <w:color w:val="000000"/>
          <w:sz w:val="32"/>
          <w:szCs w:val="32"/>
        </w:rPr>
        <w:t>广元市人民政府驻北京联络处</w:t>
      </w:r>
      <w:r>
        <w:rPr>
          <w:rFonts w:hint="eastAsia" w:hAnsi="仿宋"/>
          <w:color w:val="000000"/>
          <w:sz w:val="32"/>
          <w:szCs w:val="32"/>
        </w:rPr>
        <w:t>；</w:t>
      </w:r>
    </w:p>
    <w:p>
      <w:pPr>
        <w:pStyle w:val="8"/>
        <w:overflowPunct w:val="0"/>
        <w:snapToGrid w:val="0"/>
        <w:spacing w:beforeLines="0" w:line="576" w:lineRule="exact"/>
        <w:ind w:firstLine="640" w:firstLineChars="200"/>
        <w:jc w:val="both"/>
        <w:rPr>
          <w:rFonts w:hint="eastAsia" w:hAnsi="Tahoma" w:cs="Tahoma"/>
          <w:color w:val="000000"/>
          <w:sz w:val="32"/>
          <w:szCs w:val="32"/>
        </w:rPr>
      </w:pPr>
      <w:r>
        <w:rPr>
          <w:rFonts w:hAnsi="Tahoma" w:cs="Tahoma"/>
          <w:color w:val="000000"/>
          <w:sz w:val="32"/>
          <w:szCs w:val="32"/>
        </w:rPr>
        <w:t>3.</w:t>
      </w:r>
      <w:r>
        <w:rPr>
          <w:rFonts w:hint="eastAsia" w:hAnsi="Tahoma" w:cs="Tahoma"/>
          <w:color w:val="000000"/>
          <w:sz w:val="32"/>
          <w:szCs w:val="32"/>
        </w:rPr>
        <w:t>广元市人民政府驻成都办事处。</w:t>
      </w:r>
    </w:p>
    <w:p>
      <w:pPr>
        <w:pStyle w:val="8"/>
        <w:overflowPunct w:val="0"/>
        <w:snapToGrid w:val="0"/>
        <w:spacing w:beforeLines="0" w:line="576" w:lineRule="exact"/>
        <w:ind w:firstLine="880" w:firstLineChars="200"/>
        <w:rPr>
          <w:rFonts w:ascii="黑体" w:hAnsi="Cambria" w:eastAsia="黑体" w:cs="黑体"/>
          <w:color w:val="000000"/>
          <w:kern w:val="44"/>
          <w:sz w:val="44"/>
          <w:szCs w:val="44"/>
          <w:lang w:val="zh-CN"/>
        </w:rPr>
        <w:sectPr>
          <w:footerReference r:id="rId6" w:type="default"/>
          <w:pgSz w:w="12240" w:h="15840"/>
          <w:pgMar w:top="1928" w:right="1531" w:bottom="1701" w:left="1531" w:header="720" w:footer="1418" w:gutter="0"/>
          <w:pgNumType w:start="1"/>
          <w:cols w:space="720" w:num="1"/>
          <w:docGrid w:type="lines" w:linePitch="312" w:charSpace="0"/>
        </w:sectPr>
      </w:pPr>
    </w:p>
    <w:p>
      <w:pPr>
        <w:pStyle w:val="4"/>
        <w:keepNext/>
        <w:keepLines/>
        <w:topLinePunct/>
        <w:spacing w:line="576" w:lineRule="exact"/>
        <w:jc w:val="center"/>
        <w:rPr>
          <w:rFonts w:hint="eastAsia" w:ascii="黑体" w:hAnsi="Cambria" w:eastAsia="黑体" w:cs="黑体"/>
          <w:color w:val="000000"/>
          <w:kern w:val="44"/>
          <w:sz w:val="44"/>
          <w:szCs w:val="44"/>
          <w:lang w:val="zh-CN"/>
        </w:rPr>
      </w:pPr>
      <w:bookmarkStart w:id="6" w:name="_Toc146701545"/>
      <w:bookmarkStart w:id="7" w:name="_Toc668683585"/>
    </w:p>
    <w:p>
      <w:pPr>
        <w:pStyle w:val="4"/>
        <w:keepNext/>
        <w:keepLines/>
        <w:topLinePunct/>
        <w:spacing w:line="576" w:lineRule="exact"/>
        <w:jc w:val="center"/>
        <w:rPr>
          <w:rFonts w:hint="eastAsia" w:ascii="黑体" w:hAnsi="Cambria" w:eastAsia="黑体" w:cs="黑体"/>
          <w:kern w:val="44"/>
          <w:sz w:val="44"/>
          <w:szCs w:val="44"/>
          <w:lang w:val="zh-CN"/>
        </w:rPr>
      </w:pPr>
      <w:r>
        <w:rPr>
          <w:rFonts w:hint="eastAsia" w:ascii="黑体" w:hAnsi="Cambria" w:eastAsia="黑体" w:cs="黑体"/>
          <w:color w:val="000000"/>
          <w:kern w:val="44"/>
          <w:sz w:val="44"/>
          <w:szCs w:val="44"/>
          <w:lang w:val="zh-CN"/>
        </w:rPr>
        <w:t>第二部分</w:t>
      </w:r>
      <w:r>
        <w:rPr>
          <w:rFonts w:ascii="黑体" w:hAnsi="Cambria" w:eastAsia="黑体" w:cs="黑体"/>
          <w:b/>
          <w:color w:val="000000"/>
          <w:kern w:val="44"/>
          <w:sz w:val="44"/>
          <w:szCs w:val="44"/>
          <w:lang w:val="zh-CN"/>
        </w:rPr>
        <w:t xml:space="preserve"> </w:t>
      </w:r>
      <w:r>
        <w:rPr>
          <w:rFonts w:ascii="黑体" w:hAnsi="Cambria" w:eastAsia="黑体" w:cs="黑体"/>
          <w:kern w:val="44"/>
          <w:sz w:val="44"/>
          <w:szCs w:val="44"/>
          <w:lang w:val="zh-CN"/>
        </w:rPr>
        <w:t>2022</w:t>
      </w:r>
      <w:r>
        <w:rPr>
          <w:rFonts w:hint="eastAsia" w:ascii="黑体" w:hAnsi="Cambria" w:eastAsia="黑体" w:cs="黑体"/>
          <w:kern w:val="44"/>
          <w:sz w:val="44"/>
          <w:szCs w:val="44"/>
          <w:lang w:val="zh-CN"/>
        </w:rPr>
        <w:t>年度部门决算情况说明</w:t>
      </w:r>
      <w:bookmarkEnd w:id="6"/>
      <w:bookmarkEnd w:id="7"/>
    </w:p>
    <w:p>
      <w:pPr>
        <w:rPr>
          <w:lang w:val="zh-CN"/>
        </w:rPr>
      </w:pPr>
    </w:p>
    <w:p>
      <w:pPr>
        <w:keepNext/>
        <w:keepLines/>
        <w:topLinePunct/>
        <w:spacing w:line="576" w:lineRule="exact"/>
        <w:jc w:val="both"/>
        <w:rPr>
          <w:rFonts w:ascii="黑体" w:hAnsi="Times New Roman" w:eastAsia="黑体" w:cs="黑体"/>
          <w:kern w:val="2"/>
          <w:sz w:val="32"/>
          <w:szCs w:val="32"/>
          <w:lang w:val="zh-CN"/>
        </w:rPr>
      </w:pPr>
      <w:r>
        <w:rPr>
          <w:rFonts w:ascii="黑体" w:hAnsi="Times New Roman" w:eastAsia="黑体" w:cs="黑体"/>
          <w:color w:val="000000"/>
          <w:kern w:val="2"/>
          <w:sz w:val="32"/>
          <w:szCs w:val="32"/>
          <w:lang w:val="zh-CN"/>
        </w:rPr>
        <w:t xml:space="preserve">    </w:t>
      </w:r>
      <w:r>
        <w:rPr>
          <w:rFonts w:hint="eastAsia" w:ascii="黑体" w:hAnsi="Times New Roman" w:eastAsia="黑体" w:cs="黑体"/>
          <w:color w:val="000000"/>
          <w:kern w:val="2"/>
          <w:sz w:val="32"/>
          <w:szCs w:val="32"/>
          <w:lang w:val="zh-CN"/>
        </w:rPr>
        <w:t>一、收</w:t>
      </w:r>
      <w:r>
        <w:rPr>
          <w:rFonts w:hint="eastAsia" w:ascii="黑体" w:hAnsi="Times New Roman" w:eastAsia="黑体" w:cs="黑体"/>
          <w:kern w:val="2"/>
          <w:sz w:val="32"/>
          <w:szCs w:val="32"/>
          <w:lang w:val="zh-CN"/>
        </w:rPr>
        <w:t>入支出决算总体情况说明</w:t>
      </w:r>
    </w:p>
    <w:p>
      <w:pPr>
        <w:keepNext/>
        <w:keepLines/>
        <w:topLinePunct/>
        <w:spacing w:line="576" w:lineRule="exact"/>
        <w:ind w:firstLine="640"/>
        <w:jc w:val="both"/>
        <w:rPr>
          <w:rFonts w:hint="eastAsia" w:ascii="仿宋_GB2312" w:hAnsi="Times New Roman" w:eastAsia="仿宋_GB2312" w:cs="仿宋_GB2312"/>
          <w:color w:val="000000"/>
          <w:kern w:val="2"/>
          <w:sz w:val="32"/>
          <w:szCs w:val="32"/>
          <w:lang w:val="zh-CN"/>
        </w:rPr>
      </w:pPr>
      <w:r>
        <w:rPr>
          <w:rFonts w:hint="eastAsia" w:ascii="仿宋_GB2312" w:hAnsi="Times New Roman" w:eastAsia="仿宋_GB2312" w:cs="仿宋_GB2312"/>
          <w:color w:val="000000"/>
          <w:kern w:val="2"/>
          <w:sz w:val="32"/>
          <w:szCs w:val="32"/>
          <w:lang w:val="zh-CN"/>
        </w:rPr>
        <w:t>2022年度收、支总计5,607.23万元。与2021年相比，收、支总计各增加470.38万元，增长9.2%。主要变动原因是</w:t>
      </w:r>
      <w:r>
        <w:rPr>
          <w:rFonts w:hint="eastAsia" w:ascii="仿宋_GB2312" w:hAnsi="仿宋" w:eastAsia="仿宋_GB2312"/>
          <w:sz w:val="32"/>
          <w:szCs w:val="32"/>
        </w:rPr>
        <w:t>人员增加，招商力度加大</w:t>
      </w:r>
      <w:r>
        <w:rPr>
          <w:rFonts w:hint="eastAsia" w:ascii="仿宋_GB2312" w:hAnsi="Times New Roman" w:eastAsia="仿宋_GB2312" w:cs="仿宋_GB2312"/>
          <w:color w:val="000000"/>
          <w:kern w:val="2"/>
          <w:sz w:val="32"/>
          <w:szCs w:val="32"/>
          <w:lang w:val="zh-CN"/>
        </w:rPr>
        <w:t>。</w:t>
      </w:r>
    </w:p>
    <w:p>
      <w:pPr>
        <w:pStyle w:val="2"/>
        <w:ind w:left="480" w:firstLine="480"/>
        <w:rPr>
          <w:lang w:val="zh-CN"/>
        </w:rPr>
      </w:pPr>
    </w:p>
    <w:p>
      <w:pPr>
        <w:jc w:val="center"/>
      </w:pPr>
      <w:r>
        <w:object>
          <v:shape id="_x0000_i1025" o:spt="75" type="#_x0000_t75" style="height:169.8pt;width:363.2pt;" o:ole="t" filled="f" o:preferrelative="t" stroked="f" coordsize="21600,21600">
            <v:path/>
            <v:fill on="f" focussize="0,0"/>
            <v:stroke on="f" joinstyle="miter"/>
            <v:imagedata r:id="rId9" o:title=""/>
            <o:lock v:ext="edit" aspectratio="t"/>
            <w10:wrap type="none"/>
            <w10:anchorlock/>
          </v:shape>
          <o:OLEObject Type="Embed" ProgID="MSGraph.Chart.8" ShapeID="_x0000_i1025" DrawAspect="Content" ObjectID="_1468075725" r:id="rId8">
            <o:LockedField>false</o:LockedField>
          </o:OLEObject>
        </w:object>
      </w:r>
    </w:p>
    <w:p>
      <w:pPr>
        <w:jc w:val="center"/>
        <w:rPr>
          <w:rFonts w:hint="eastAsia" w:ascii="仿宋_GB2312" w:hAnsi="Times New Roman" w:eastAsia="仿宋_GB2312" w:cs="仿宋"/>
          <w:kern w:val="2"/>
          <w:sz w:val="32"/>
          <w:szCs w:val="32"/>
        </w:rPr>
      </w:pPr>
      <w:r>
        <w:rPr>
          <w:rFonts w:hint="eastAsia" w:ascii="仿宋_GB2312" w:hAnsi="Times New Roman" w:eastAsia="仿宋_GB2312" w:cs="仿宋"/>
          <w:kern w:val="2"/>
          <w:sz w:val="32"/>
          <w:szCs w:val="32"/>
        </w:rPr>
        <w:t>（图1：收、支决算总计变动情况图）</w:t>
      </w:r>
    </w:p>
    <w:p>
      <w:pPr>
        <w:keepNext/>
        <w:topLinePunct/>
        <w:spacing w:line="500" w:lineRule="exact"/>
        <w:ind w:firstLine="641"/>
        <w:jc w:val="both"/>
        <w:rPr>
          <w:rFonts w:hint="eastAsia" w:ascii="黑体" w:hAnsi="Times New Roman" w:eastAsia="黑体" w:cs="黑体"/>
          <w:color w:val="000000"/>
          <w:kern w:val="2"/>
          <w:sz w:val="32"/>
          <w:szCs w:val="32"/>
          <w:lang w:val="zh-CN"/>
        </w:rPr>
      </w:pPr>
    </w:p>
    <w:p>
      <w:pPr>
        <w:keepNext/>
        <w:topLinePunct/>
        <w:spacing w:line="500" w:lineRule="exact"/>
        <w:ind w:firstLine="641"/>
        <w:jc w:val="both"/>
        <w:rPr>
          <w:rFonts w:ascii="黑体" w:hAnsi="Times New Roman" w:eastAsia="黑体" w:cs="黑体"/>
          <w:kern w:val="2"/>
          <w:sz w:val="32"/>
          <w:szCs w:val="32"/>
          <w:lang w:val="zh-CN"/>
        </w:rPr>
      </w:pPr>
      <w:r>
        <w:rPr>
          <w:rFonts w:hint="eastAsia" w:ascii="黑体" w:hAnsi="Times New Roman" w:eastAsia="黑体" w:cs="黑体"/>
          <w:color w:val="000000"/>
          <w:kern w:val="2"/>
          <w:sz w:val="32"/>
          <w:szCs w:val="32"/>
          <w:lang w:val="zh-CN"/>
        </w:rPr>
        <w:t>二、收</w:t>
      </w:r>
      <w:r>
        <w:rPr>
          <w:rFonts w:hint="eastAsia" w:ascii="黑体" w:hAnsi="Times New Roman" w:eastAsia="黑体" w:cs="黑体"/>
          <w:kern w:val="2"/>
          <w:sz w:val="32"/>
          <w:szCs w:val="32"/>
          <w:lang w:val="zh-CN"/>
        </w:rPr>
        <w:t>入决算情况说明</w:t>
      </w:r>
    </w:p>
    <w:p>
      <w:pPr>
        <w:keepNext/>
        <w:topLinePunct/>
        <w:spacing w:line="500" w:lineRule="exact"/>
        <w:ind w:firstLine="641"/>
        <w:jc w:val="both"/>
        <w:rPr>
          <w:rFonts w:ascii="仿宋_GB2312" w:hAnsi="Times New Roman" w:eastAsia="仿宋_GB2312" w:cs="仿宋_GB2312"/>
          <w:color w:val="000000"/>
          <w:kern w:val="2"/>
          <w:sz w:val="32"/>
          <w:szCs w:val="32"/>
          <w:lang w:val="zh-CN"/>
        </w:rPr>
      </w:pPr>
      <w:r>
        <w:rPr>
          <w:rFonts w:ascii="仿宋_GB2312" w:hAnsi="Times New Roman" w:eastAsia="仿宋_GB2312" w:cs="仿宋_GB2312"/>
          <w:color w:val="000000"/>
          <w:kern w:val="2"/>
          <w:sz w:val="32"/>
          <w:szCs w:val="32"/>
          <w:lang w:val="zh-CN"/>
        </w:rPr>
        <w:t>2022</w:t>
      </w:r>
      <w:r>
        <w:rPr>
          <w:rFonts w:hint="eastAsia" w:ascii="仿宋_GB2312" w:hAnsi="Times New Roman" w:eastAsia="仿宋_GB2312" w:cs="仿宋_GB2312"/>
          <w:color w:val="000000"/>
          <w:kern w:val="2"/>
          <w:sz w:val="32"/>
          <w:szCs w:val="32"/>
          <w:lang w:val="zh-CN"/>
        </w:rPr>
        <w:t>年本年收入合计</w:t>
      </w:r>
      <w:r>
        <w:rPr>
          <w:rFonts w:ascii="仿宋_GB2312" w:hAnsi="Times New Roman" w:eastAsia="仿宋_GB2312" w:cs="仿宋_GB2312"/>
          <w:color w:val="000000"/>
          <w:kern w:val="2"/>
          <w:sz w:val="32"/>
          <w:szCs w:val="32"/>
          <w:lang w:val="zh-CN"/>
        </w:rPr>
        <w:t>5,512.79</w:t>
      </w:r>
      <w:r>
        <w:rPr>
          <w:rFonts w:hint="eastAsia" w:ascii="仿宋_GB2312" w:hAnsi="Times New Roman" w:eastAsia="仿宋_GB2312" w:cs="仿宋_GB2312"/>
          <w:color w:val="000000"/>
          <w:kern w:val="2"/>
          <w:sz w:val="32"/>
          <w:szCs w:val="32"/>
          <w:lang w:val="zh-CN"/>
        </w:rPr>
        <w:t>万元，其中：一般公共预算财政拨款收入</w:t>
      </w:r>
      <w:r>
        <w:rPr>
          <w:rFonts w:ascii="仿宋_GB2312" w:hAnsi="Times New Roman" w:eastAsia="仿宋_GB2312" w:cs="仿宋_GB2312"/>
          <w:color w:val="000000"/>
          <w:kern w:val="2"/>
          <w:sz w:val="32"/>
          <w:szCs w:val="32"/>
          <w:lang w:val="zh-CN"/>
        </w:rPr>
        <w:t>5,504.79</w:t>
      </w:r>
      <w:r>
        <w:rPr>
          <w:rFonts w:hint="eastAsia" w:ascii="仿宋_GB2312" w:hAnsi="Times New Roman" w:eastAsia="仿宋_GB2312" w:cs="仿宋_GB2312"/>
          <w:color w:val="000000"/>
          <w:kern w:val="2"/>
          <w:sz w:val="32"/>
          <w:szCs w:val="32"/>
          <w:lang w:val="zh-CN"/>
        </w:rPr>
        <w:t>万元，占</w:t>
      </w:r>
      <w:r>
        <w:rPr>
          <w:rFonts w:ascii="仿宋_GB2312" w:hAnsi="Times New Roman" w:eastAsia="仿宋_GB2312" w:cs="仿宋_GB2312"/>
          <w:color w:val="000000"/>
          <w:kern w:val="2"/>
          <w:sz w:val="32"/>
          <w:szCs w:val="32"/>
          <w:lang w:val="zh-CN"/>
        </w:rPr>
        <w:t>99.9%</w:t>
      </w:r>
      <w:r>
        <w:rPr>
          <w:rFonts w:hint="eastAsia" w:ascii="仿宋_GB2312" w:hAnsi="Times New Roman" w:eastAsia="仿宋_GB2312" w:cs="仿宋_GB2312"/>
          <w:color w:val="000000"/>
          <w:kern w:val="2"/>
          <w:sz w:val="32"/>
          <w:szCs w:val="32"/>
          <w:lang w:val="zh-CN"/>
        </w:rPr>
        <w:t>；其他收入</w:t>
      </w:r>
      <w:r>
        <w:rPr>
          <w:rFonts w:ascii="仿宋_GB2312" w:hAnsi="Times New Roman" w:eastAsia="仿宋_GB2312" w:cs="仿宋_GB2312"/>
          <w:color w:val="000000"/>
          <w:kern w:val="2"/>
          <w:sz w:val="32"/>
          <w:szCs w:val="32"/>
          <w:lang w:val="zh-CN"/>
        </w:rPr>
        <w:t>8</w:t>
      </w:r>
      <w:r>
        <w:rPr>
          <w:rFonts w:hint="eastAsia" w:ascii="仿宋_GB2312" w:hAnsi="Times New Roman" w:eastAsia="仿宋_GB2312" w:cs="仿宋_GB2312"/>
          <w:color w:val="000000"/>
          <w:kern w:val="2"/>
          <w:sz w:val="32"/>
          <w:szCs w:val="32"/>
          <w:lang w:val="zh-CN"/>
        </w:rPr>
        <w:t>万元，占</w:t>
      </w:r>
      <w:r>
        <w:rPr>
          <w:rFonts w:ascii="仿宋_GB2312" w:hAnsi="Times New Roman" w:eastAsia="仿宋_GB2312" w:cs="仿宋_GB2312"/>
          <w:color w:val="000000"/>
          <w:kern w:val="2"/>
          <w:sz w:val="32"/>
          <w:szCs w:val="32"/>
          <w:lang w:val="zh-CN"/>
        </w:rPr>
        <w:t>0.1%</w:t>
      </w:r>
      <w:r>
        <w:rPr>
          <w:rFonts w:hint="eastAsia" w:ascii="仿宋_GB2312" w:hAnsi="Times New Roman" w:eastAsia="仿宋_GB2312" w:cs="仿宋_GB2312"/>
          <w:color w:val="000000"/>
          <w:kern w:val="2"/>
          <w:sz w:val="32"/>
          <w:szCs w:val="32"/>
          <w:lang w:val="zh-CN"/>
        </w:rPr>
        <w:t>。</w:t>
      </w:r>
    </w:p>
    <w:p>
      <w:pPr>
        <w:topLinePunct/>
        <w:spacing w:line="560" w:lineRule="exact"/>
        <w:ind w:firstLine="643"/>
        <w:jc w:val="both"/>
        <w:rPr>
          <w:rFonts w:ascii="仿宋" w:hAnsi="Times New Roman" w:eastAsia="仿宋" w:cs="仿宋"/>
          <w:b/>
          <w:kern w:val="2"/>
          <w:sz w:val="32"/>
          <w:szCs w:val="32"/>
        </w:rPr>
      </w:pPr>
    </w:p>
    <w:p>
      <w:pPr>
        <w:topLinePunct/>
        <w:spacing w:line="560" w:lineRule="exact"/>
        <w:ind w:firstLine="643"/>
        <w:jc w:val="both"/>
        <w:rPr>
          <w:rFonts w:ascii="仿宋" w:hAnsi="Times New Roman" w:eastAsia="仿宋" w:cs="仿宋"/>
          <w:b/>
          <w:kern w:val="2"/>
          <w:sz w:val="32"/>
          <w:szCs w:val="32"/>
        </w:rPr>
      </w:pPr>
    </w:p>
    <w:p>
      <w:pPr>
        <w:jc w:val="center"/>
        <w:rPr>
          <w:rFonts w:hint="default"/>
        </w:rPr>
      </w:pPr>
      <w:r>
        <w:rPr>
          <w:rFonts w:hint="default"/>
        </w:rPr>
        <w:drawing>
          <wp:inline distT="0" distB="0" distL="114300" distR="114300">
            <wp:extent cx="4448175" cy="2371725"/>
            <wp:effectExtent l="0" t="0" r="9525"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0"/>
                    <a:stretch>
                      <a:fillRect/>
                    </a:stretch>
                  </pic:blipFill>
                  <pic:spPr>
                    <a:xfrm>
                      <a:off x="0" y="0"/>
                      <a:ext cx="4448175" cy="2371725"/>
                    </a:xfrm>
                    <a:prstGeom prst="rect">
                      <a:avLst/>
                    </a:prstGeom>
                  </pic:spPr>
                </pic:pic>
              </a:graphicData>
            </a:graphic>
          </wp:inline>
        </w:drawing>
      </w:r>
    </w:p>
    <w:p>
      <w:pPr>
        <w:topLinePunct/>
        <w:spacing w:line="560" w:lineRule="exact"/>
        <w:ind w:firstLine="640"/>
        <w:jc w:val="center"/>
        <w:rPr>
          <w:rFonts w:hint="eastAsia" w:ascii="仿宋_GB2312" w:hAnsi="Times New Roman" w:eastAsia="仿宋_GB2312" w:cs="仿宋"/>
          <w:kern w:val="2"/>
          <w:sz w:val="32"/>
          <w:szCs w:val="32"/>
        </w:rPr>
      </w:pPr>
      <w:r>
        <w:rPr>
          <w:rFonts w:hint="eastAsia" w:ascii="仿宋_GB2312" w:hAnsi="Times New Roman" w:eastAsia="仿宋_GB2312" w:cs="仿宋"/>
          <w:kern w:val="2"/>
          <w:sz w:val="32"/>
          <w:szCs w:val="32"/>
        </w:rPr>
        <w:t>（图2：收入决算结构图）</w:t>
      </w:r>
    </w:p>
    <w:p>
      <w:pPr>
        <w:keepNext/>
        <w:keepLines/>
        <w:tabs>
          <w:tab w:val="right" w:pos="8640"/>
        </w:tabs>
        <w:topLinePunct/>
        <w:spacing w:line="560" w:lineRule="exact"/>
        <w:ind w:firstLine="640"/>
        <w:jc w:val="both"/>
        <w:rPr>
          <w:rFonts w:ascii="黑体" w:hAnsi="Times New Roman" w:eastAsia="黑体" w:cs="黑体"/>
          <w:color w:val="000000"/>
          <w:kern w:val="2"/>
          <w:sz w:val="32"/>
          <w:szCs w:val="32"/>
          <w:lang w:val="zh-CN"/>
        </w:rPr>
      </w:pPr>
    </w:p>
    <w:p>
      <w:pPr>
        <w:keepNext/>
        <w:keepLines/>
        <w:tabs>
          <w:tab w:val="right" w:pos="8640"/>
        </w:tabs>
        <w:topLinePunct/>
        <w:spacing w:line="520" w:lineRule="exact"/>
        <w:ind w:firstLine="641"/>
        <w:jc w:val="both"/>
        <w:rPr>
          <w:rFonts w:ascii="黑体" w:hAnsi="Times New Roman" w:eastAsia="黑体" w:cs="黑体"/>
          <w:kern w:val="2"/>
          <w:sz w:val="32"/>
          <w:szCs w:val="32"/>
          <w:lang w:val="zh-CN"/>
        </w:rPr>
      </w:pPr>
      <w:r>
        <w:rPr>
          <w:rFonts w:hint="eastAsia" w:ascii="黑体" w:hAnsi="Times New Roman" w:eastAsia="黑体" w:cs="黑体"/>
          <w:color w:val="000000"/>
          <w:kern w:val="2"/>
          <w:sz w:val="32"/>
          <w:szCs w:val="32"/>
          <w:lang w:val="zh-CN"/>
        </w:rPr>
        <w:t>三、支</w:t>
      </w:r>
      <w:r>
        <w:rPr>
          <w:rFonts w:hint="eastAsia" w:ascii="黑体" w:hAnsi="Times New Roman" w:eastAsia="黑体" w:cs="黑体"/>
          <w:kern w:val="2"/>
          <w:sz w:val="32"/>
          <w:szCs w:val="32"/>
          <w:lang w:val="zh-CN"/>
        </w:rPr>
        <w:t>出决算情况说明</w:t>
      </w:r>
      <w:r>
        <w:rPr>
          <w:rFonts w:ascii="黑体" w:hAnsi="Times New Roman" w:eastAsia="黑体" w:cs="黑体"/>
          <w:kern w:val="2"/>
          <w:sz w:val="32"/>
          <w:szCs w:val="32"/>
          <w:lang w:val="zh-CN"/>
        </w:rPr>
        <w:tab/>
      </w:r>
    </w:p>
    <w:p>
      <w:pPr>
        <w:keepNext/>
        <w:keepLines/>
        <w:topLinePunct/>
        <w:spacing w:line="520" w:lineRule="exact"/>
        <w:ind w:firstLine="641"/>
        <w:jc w:val="both"/>
        <w:rPr>
          <w:rFonts w:ascii="仿宋_GB2312" w:hAnsi="Times New Roman" w:eastAsia="仿宋_GB2312" w:cs="仿宋_GB2312"/>
          <w:color w:val="000000"/>
          <w:kern w:val="2"/>
          <w:sz w:val="32"/>
          <w:szCs w:val="32"/>
          <w:lang w:val="zh-CN"/>
        </w:rPr>
      </w:pPr>
      <w:r>
        <w:rPr>
          <w:rFonts w:ascii="仿宋_GB2312" w:hAnsi="Times New Roman" w:eastAsia="仿宋_GB2312" w:cs="仿宋_GB2312"/>
          <w:color w:val="000000"/>
          <w:kern w:val="2"/>
          <w:sz w:val="32"/>
          <w:szCs w:val="32"/>
          <w:lang w:val="zh-CN"/>
        </w:rPr>
        <w:t>2022</w:t>
      </w:r>
      <w:r>
        <w:rPr>
          <w:rFonts w:hint="eastAsia" w:ascii="仿宋_GB2312" w:hAnsi="Times New Roman" w:eastAsia="仿宋_GB2312" w:cs="仿宋_GB2312"/>
          <w:color w:val="000000"/>
          <w:kern w:val="2"/>
          <w:sz w:val="32"/>
          <w:szCs w:val="32"/>
          <w:lang w:val="zh-CN"/>
        </w:rPr>
        <w:t>年本年支出合计</w:t>
      </w:r>
      <w:r>
        <w:rPr>
          <w:rFonts w:ascii="仿宋_GB2312" w:hAnsi="Times New Roman" w:eastAsia="仿宋_GB2312" w:cs="仿宋_GB2312"/>
          <w:color w:val="000000"/>
          <w:kern w:val="2"/>
          <w:sz w:val="32"/>
          <w:szCs w:val="32"/>
          <w:lang w:val="zh-CN"/>
        </w:rPr>
        <w:t>5,601.93</w:t>
      </w:r>
      <w:r>
        <w:rPr>
          <w:rFonts w:hint="eastAsia" w:ascii="仿宋_GB2312" w:hAnsi="Times New Roman" w:eastAsia="仿宋_GB2312" w:cs="仿宋_GB2312"/>
          <w:color w:val="000000"/>
          <w:kern w:val="2"/>
          <w:sz w:val="32"/>
          <w:szCs w:val="32"/>
          <w:lang w:val="zh-CN"/>
        </w:rPr>
        <w:t>万元，其中：基本支出</w:t>
      </w:r>
      <w:r>
        <w:rPr>
          <w:rFonts w:ascii="仿宋_GB2312" w:hAnsi="Times New Roman" w:eastAsia="仿宋_GB2312" w:cs="仿宋_GB2312"/>
          <w:color w:val="000000"/>
          <w:kern w:val="2"/>
          <w:sz w:val="32"/>
          <w:szCs w:val="32"/>
          <w:lang w:val="zh-CN"/>
        </w:rPr>
        <w:t>3,461.69</w:t>
      </w:r>
      <w:r>
        <w:rPr>
          <w:rFonts w:hint="eastAsia" w:ascii="仿宋_GB2312" w:hAnsi="Times New Roman" w:eastAsia="仿宋_GB2312" w:cs="仿宋_GB2312"/>
          <w:color w:val="000000"/>
          <w:kern w:val="2"/>
          <w:sz w:val="32"/>
          <w:szCs w:val="32"/>
          <w:lang w:val="zh-CN"/>
        </w:rPr>
        <w:t>万元，占</w:t>
      </w:r>
      <w:r>
        <w:rPr>
          <w:rFonts w:ascii="仿宋_GB2312" w:hAnsi="Times New Roman" w:eastAsia="仿宋_GB2312" w:cs="仿宋_GB2312"/>
          <w:color w:val="000000"/>
          <w:kern w:val="2"/>
          <w:sz w:val="32"/>
          <w:szCs w:val="32"/>
          <w:lang w:val="zh-CN"/>
        </w:rPr>
        <w:t>61.8%</w:t>
      </w:r>
      <w:r>
        <w:rPr>
          <w:rFonts w:hint="eastAsia" w:ascii="仿宋_GB2312" w:hAnsi="Times New Roman" w:eastAsia="仿宋_GB2312" w:cs="仿宋_GB2312"/>
          <w:color w:val="000000"/>
          <w:kern w:val="2"/>
          <w:sz w:val="32"/>
          <w:szCs w:val="32"/>
          <w:lang w:val="zh-CN"/>
        </w:rPr>
        <w:t>；项目支出</w:t>
      </w:r>
      <w:r>
        <w:rPr>
          <w:rFonts w:ascii="仿宋_GB2312" w:hAnsi="Times New Roman" w:eastAsia="仿宋_GB2312" w:cs="仿宋_GB2312"/>
          <w:color w:val="000000"/>
          <w:kern w:val="2"/>
          <w:sz w:val="32"/>
          <w:szCs w:val="32"/>
          <w:lang w:val="zh-CN"/>
        </w:rPr>
        <w:t>2,140.24</w:t>
      </w:r>
      <w:r>
        <w:rPr>
          <w:rFonts w:hint="eastAsia" w:ascii="仿宋_GB2312" w:hAnsi="Times New Roman" w:eastAsia="仿宋_GB2312" w:cs="仿宋_GB2312"/>
          <w:color w:val="000000"/>
          <w:kern w:val="2"/>
          <w:sz w:val="32"/>
          <w:szCs w:val="32"/>
          <w:lang w:val="zh-CN"/>
        </w:rPr>
        <w:t>万元，占</w:t>
      </w:r>
      <w:r>
        <w:rPr>
          <w:rFonts w:ascii="仿宋_GB2312" w:hAnsi="Times New Roman" w:eastAsia="仿宋_GB2312" w:cs="仿宋_GB2312"/>
          <w:color w:val="000000"/>
          <w:kern w:val="2"/>
          <w:sz w:val="32"/>
          <w:szCs w:val="32"/>
          <w:lang w:val="zh-CN"/>
        </w:rPr>
        <w:t>38.2%</w:t>
      </w:r>
      <w:r>
        <w:rPr>
          <w:rFonts w:hint="eastAsia" w:ascii="仿宋_GB2312" w:hAnsi="Times New Roman" w:eastAsia="仿宋_GB2312" w:cs="仿宋_GB2312"/>
          <w:color w:val="000000"/>
          <w:kern w:val="2"/>
          <w:sz w:val="32"/>
          <w:szCs w:val="32"/>
          <w:lang w:val="zh-CN"/>
        </w:rPr>
        <w:t>。</w:t>
      </w:r>
    </w:p>
    <w:p>
      <w:pPr>
        <w:pStyle w:val="2"/>
        <w:ind w:left="480" w:firstLine="480"/>
        <w:rPr>
          <w:lang w:val="zh-CN"/>
        </w:rPr>
      </w:pPr>
    </w:p>
    <w:p>
      <w:pPr>
        <w:topLinePunct/>
        <w:spacing w:line="560" w:lineRule="exact"/>
        <w:ind w:firstLine="640"/>
        <w:jc w:val="both"/>
        <w:rPr>
          <w:rFonts w:ascii="仿宋" w:hAnsi="Times New Roman" w:eastAsia="仿宋" w:cs="仿宋"/>
          <w:kern w:val="2"/>
          <w:sz w:val="32"/>
          <w:szCs w:val="32"/>
        </w:rPr>
      </w:pPr>
    </w:p>
    <w:p>
      <w:pPr>
        <w:pStyle w:val="2"/>
        <w:spacing w:before="0" w:beforeAutospacing="0" w:after="0" w:line="240" w:lineRule="auto"/>
        <w:ind w:left="480" w:firstLine="480"/>
        <w:rPr>
          <w:rFonts w:hint="default"/>
        </w:rPr>
      </w:pPr>
      <w:r>
        <w:rPr>
          <w:rFonts w:hint="default"/>
        </w:rPr>
        <w:drawing>
          <wp:inline distT="0" distB="0" distL="114300" distR="114300">
            <wp:extent cx="4248150" cy="22860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1"/>
                    <a:stretch>
                      <a:fillRect/>
                    </a:stretch>
                  </pic:blipFill>
                  <pic:spPr>
                    <a:xfrm>
                      <a:off x="0" y="0"/>
                      <a:ext cx="4248150" cy="2286000"/>
                    </a:xfrm>
                    <a:prstGeom prst="rect">
                      <a:avLst/>
                    </a:prstGeom>
                  </pic:spPr>
                </pic:pic>
              </a:graphicData>
            </a:graphic>
          </wp:inline>
        </w:drawing>
      </w:r>
    </w:p>
    <w:p>
      <w:pPr>
        <w:rPr>
          <w:rFonts w:hint="eastAsia"/>
        </w:rPr>
      </w:pPr>
    </w:p>
    <w:p>
      <w:pPr>
        <w:topLinePunct/>
        <w:spacing w:line="500" w:lineRule="exact"/>
        <w:jc w:val="center"/>
        <w:rPr>
          <w:rFonts w:hint="eastAsia" w:ascii="仿宋_GB2312" w:hAnsi="Times New Roman" w:eastAsia="仿宋_GB2312" w:cs="仿宋"/>
          <w:kern w:val="2"/>
          <w:sz w:val="32"/>
          <w:szCs w:val="32"/>
        </w:rPr>
      </w:pPr>
      <w:r>
        <w:rPr>
          <w:rFonts w:hint="eastAsia" w:ascii="仿宋_GB2312" w:hAnsi="Times New Roman" w:eastAsia="仿宋_GB2312" w:cs="仿宋"/>
          <w:kern w:val="2"/>
          <w:sz w:val="32"/>
          <w:szCs w:val="32"/>
        </w:rPr>
        <w:t>（图3：支出决算结构图）</w:t>
      </w:r>
    </w:p>
    <w:p>
      <w:pPr>
        <w:keepNext/>
        <w:keepLines/>
        <w:topLinePunct/>
        <w:spacing w:line="480" w:lineRule="exact"/>
        <w:ind w:firstLine="641"/>
        <w:jc w:val="both"/>
        <w:rPr>
          <w:rFonts w:ascii="黑体" w:hAnsi="Times New Roman" w:eastAsia="黑体" w:cs="黑体"/>
          <w:kern w:val="2"/>
          <w:sz w:val="32"/>
          <w:szCs w:val="32"/>
          <w:lang w:val="zh-CN"/>
        </w:rPr>
      </w:pPr>
      <w:r>
        <w:rPr>
          <w:rFonts w:hint="eastAsia" w:ascii="黑体" w:hAnsi="Times New Roman" w:eastAsia="黑体" w:cs="黑体"/>
          <w:color w:val="000000"/>
          <w:kern w:val="2"/>
          <w:sz w:val="32"/>
          <w:szCs w:val="32"/>
          <w:lang w:val="zh-CN"/>
        </w:rPr>
        <w:t>四、财</w:t>
      </w:r>
      <w:r>
        <w:rPr>
          <w:rFonts w:hint="eastAsia" w:ascii="黑体" w:hAnsi="Times New Roman" w:eastAsia="黑体" w:cs="黑体"/>
          <w:kern w:val="2"/>
          <w:sz w:val="32"/>
          <w:szCs w:val="32"/>
          <w:lang w:val="zh-CN"/>
        </w:rPr>
        <w:t>政拨款收入支出决算总体情况说明</w:t>
      </w:r>
    </w:p>
    <w:p>
      <w:pPr>
        <w:topLinePunct/>
        <w:spacing w:line="480" w:lineRule="exact"/>
        <w:ind w:firstLine="641"/>
        <w:jc w:val="both"/>
        <w:rPr>
          <w:rFonts w:hint="eastAsia" w:ascii="仿宋_GB2312" w:hAnsi="仿宋" w:eastAsia="仿宋_GB2312"/>
          <w:sz w:val="32"/>
          <w:szCs w:val="32"/>
        </w:rPr>
      </w:pPr>
      <w:r>
        <w:rPr>
          <w:rFonts w:hint="eastAsia" w:ascii="仿宋_GB2312" w:hAnsi="Times New Roman" w:eastAsia="仿宋_GB2312" w:cs="仿宋_GB2312"/>
          <w:color w:val="000000"/>
          <w:kern w:val="2"/>
          <w:sz w:val="32"/>
          <w:szCs w:val="32"/>
          <w:lang w:val="zh-CN"/>
        </w:rPr>
        <w:t>2022年财政拨款收、支总计5,599.23万元。与2021年相比，财政拨款收、支总计各增加462.46万元，增长9%。主要变动原因是</w:t>
      </w:r>
      <w:r>
        <w:rPr>
          <w:rFonts w:hint="eastAsia" w:ascii="仿宋_GB2312" w:hAnsi="仿宋" w:eastAsia="仿宋_GB2312"/>
          <w:sz w:val="32"/>
          <w:szCs w:val="32"/>
        </w:rPr>
        <w:t>人员增加，招商力度加大。</w:t>
      </w:r>
    </w:p>
    <w:p>
      <w:pPr>
        <w:pStyle w:val="2"/>
        <w:ind w:left="480" w:firstLine="480"/>
      </w:pPr>
      <w:r>
        <w:object>
          <v:shape id="_x0000_i1026" o:spt="75" type="#_x0000_t75" style="height:162.25pt;width:363.2pt;" o:ole="t" filled="f" o:preferrelative="t" stroked="f" coordsize="21600,21600">
            <v:path/>
            <v:fill on="f" focussize="0,0"/>
            <v:stroke on="f" joinstyle="miter"/>
            <v:imagedata r:id="rId13" o:title=""/>
            <o:lock v:ext="edit" aspectratio="t"/>
            <w10:wrap type="none"/>
            <w10:anchorlock/>
          </v:shape>
          <o:OLEObject Type="Embed" ProgID="MSGraph.Chart.8" ShapeID="_x0000_i1026" DrawAspect="Content" ObjectID="_1468075726" r:id="rId12">
            <o:LockedField>false</o:LockedField>
          </o:OLEObject>
        </w:object>
      </w:r>
    </w:p>
    <w:p>
      <w:pPr>
        <w:topLinePunct/>
        <w:spacing w:line="560" w:lineRule="exact"/>
        <w:ind w:firstLine="640"/>
        <w:jc w:val="center"/>
        <w:rPr>
          <w:rFonts w:ascii="黑体" w:hAnsi="Times New Roman" w:eastAsia="黑体" w:cs="黑体"/>
          <w:color w:val="000000"/>
          <w:kern w:val="2"/>
          <w:sz w:val="32"/>
          <w:szCs w:val="32"/>
          <w:lang w:val="zh-CN"/>
        </w:rPr>
      </w:pPr>
      <w:r>
        <w:rPr>
          <w:rFonts w:hint="eastAsia" w:ascii="仿宋" w:hAnsi="Times New Roman" w:eastAsia="仿宋" w:cs="仿宋"/>
          <w:kern w:val="2"/>
          <w:sz w:val="32"/>
          <w:szCs w:val="32"/>
        </w:rPr>
        <w:t>（图</w:t>
      </w:r>
      <w:r>
        <w:rPr>
          <w:rFonts w:ascii="仿宋" w:hAnsi="Times New Roman" w:eastAsia="仿宋" w:cs="仿宋"/>
          <w:kern w:val="2"/>
          <w:sz w:val="32"/>
          <w:szCs w:val="32"/>
        </w:rPr>
        <w:t>4</w:t>
      </w:r>
      <w:r>
        <w:rPr>
          <w:rFonts w:hint="eastAsia" w:ascii="仿宋" w:hAnsi="Times New Roman" w:eastAsia="仿宋" w:cs="仿宋"/>
          <w:kern w:val="2"/>
          <w:sz w:val="32"/>
          <w:szCs w:val="32"/>
        </w:rPr>
        <w:t>：财政拨款收、支决算总计变动情况）</w:t>
      </w:r>
    </w:p>
    <w:p>
      <w:pPr>
        <w:keepNext/>
        <w:keepLines/>
        <w:topLinePunct/>
        <w:spacing w:line="540" w:lineRule="exact"/>
        <w:ind w:firstLine="640" w:firstLineChars="200"/>
        <w:jc w:val="both"/>
        <w:rPr>
          <w:rFonts w:ascii="黑体" w:hAnsi="Times New Roman" w:eastAsia="黑体" w:cs="黑体"/>
          <w:kern w:val="2"/>
          <w:sz w:val="32"/>
          <w:szCs w:val="32"/>
          <w:lang w:val="zh-CN"/>
        </w:rPr>
      </w:pPr>
      <w:r>
        <w:rPr>
          <w:rFonts w:hint="eastAsia" w:ascii="黑体" w:hAnsi="Times New Roman" w:eastAsia="黑体" w:cs="黑体"/>
          <w:color w:val="000000"/>
          <w:kern w:val="2"/>
          <w:sz w:val="32"/>
          <w:szCs w:val="32"/>
          <w:lang w:val="zh-CN"/>
        </w:rPr>
        <w:t>五、</w:t>
      </w:r>
      <w:r>
        <w:rPr>
          <w:rFonts w:hint="eastAsia" w:ascii="黑体" w:hAnsi="Times New Roman" w:eastAsia="黑体" w:cs="黑体"/>
          <w:b/>
          <w:color w:val="000000"/>
          <w:kern w:val="2"/>
          <w:sz w:val="32"/>
          <w:szCs w:val="32"/>
          <w:lang w:val="zh-CN"/>
        </w:rPr>
        <w:t>一</w:t>
      </w:r>
      <w:r>
        <w:rPr>
          <w:rFonts w:hint="eastAsia" w:ascii="黑体" w:hAnsi="Times New Roman" w:eastAsia="黑体" w:cs="黑体"/>
          <w:kern w:val="2"/>
          <w:sz w:val="32"/>
          <w:szCs w:val="32"/>
          <w:lang w:val="zh-CN"/>
        </w:rPr>
        <w:t>般公共预算财政拨款支出决算情况说明</w:t>
      </w:r>
    </w:p>
    <w:p>
      <w:pPr>
        <w:keepNext/>
        <w:keepLines/>
        <w:topLinePunct/>
        <w:spacing w:line="540" w:lineRule="exact"/>
        <w:ind w:firstLine="640" w:firstLineChars="200"/>
        <w:jc w:val="both"/>
        <w:rPr>
          <w:rFonts w:hint="eastAsia" w:ascii="楷体_GB2312" w:hAnsi="Times New Roman" w:eastAsia="楷体_GB2312" w:cs="仿宋_GB2312"/>
          <w:color w:val="000000"/>
          <w:kern w:val="2"/>
          <w:sz w:val="32"/>
          <w:szCs w:val="32"/>
          <w:lang w:val="zh-CN"/>
        </w:rPr>
      </w:pPr>
      <w:r>
        <w:rPr>
          <w:rFonts w:hint="eastAsia" w:ascii="楷体_GB2312" w:hAnsi="Times New Roman" w:eastAsia="楷体_GB2312" w:cs="仿宋_GB2312"/>
          <w:color w:val="000000"/>
          <w:kern w:val="2"/>
          <w:sz w:val="32"/>
          <w:szCs w:val="32"/>
          <w:lang w:val="zh-CN"/>
        </w:rPr>
        <w:t>（一）一般公共预算财政拨款支出决算总体情况。</w:t>
      </w:r>
    </w:p>
    <w:p>
      <w:pPr>
        <w:spacing w:line="540" w:lineRule="exact"/>
        <w:ind w:firstLine="640" w:firstLineChars="200"/>
        <w:jc w:val="both"/>
        <w:rPr>
          <w:rFonts w:ascii="仿宋_GB2312" w:hAnsi="仿宋" w:eastAsia="仿宋_GB2312"/>
          <w:sz w:val="32"/>
          <w:szCs w:val="32"/>
        </w:rPr>
      </w:pPr>
      <w:r>
        <w:rPr>
          <w:rFonts w:hint="eastAsia" w:ascii="仿宋_GB2312" w:hAnsi="Times New Roman" w:eastAsia="仿宋_GB2312" w:cs="仿宋_GB2312"/>
          <w:color w:val="000000"/>
          <w:kern w:val="2"/>
          <w:sz w:val="32"/>
          <w:szCs w:val="32"/>
          <w:lang w:val="zh-CN"/>
        </w:rPr>
        <w:t>2022年一般公共预算财政拨款支出5,593.93万元，占本年支出合计的99.9%。与2021年相比，一般公共预算财政拨款支出增加549.6万元，增长10.9%。主要变动原因是</w:t>
      </w:r>
      <w:r>
        <w:rPr>
          <w:rFonts w:hint="eastAsia" w:ascii="仿宋_GB2312" w:hAnsi="仿宋" w:eastAsia="仿宋_GB2312"/>
          <w:sz w:val="32"/>
          <w:szCs w:val="32"/>
        </w:rPr>
        <w:t>人员增加，招商力度加大。</w:t>
      </w:r>
    </w:p>
    <w:p>
      <w:pPr>
        <w:keepNext/>
        <w:topLinePunct/>
        <w:ind w:firstLine="641"/>
        <w:jc w:val="center"/>
        <w:rPr>
          <w:rFonts w:ascii="仿宋_GB2312" w:hAnsi="Times New Roman" w:eastAsia="仿宋_GB2312" w:cs="仿宋_GB2312"/>
          <w:color w:val="000000"/>
          <w:kern w:val="2"/>
          <w:sz w:val="32"/>
          <w:szCs w:val="32"/>
          <w:lang w:val="zh-CN"/>
        </w:rPr>
      </w:pPr>
      <w:r>
        <w:object>
          <v:shape id="_x0000_i1027" o:spt="75" type="#_x0000_t75" style="height:122.5pt;width:351.4pt;" o:ole="t" filled="f" o:preferrelative="t" stroked="f" coordsize="21600,21600">
            <v:path/>
            <v:fill on="f" focussize="0,0"/>
            <v:stroke on="f" joinstyle="miter"/>
            <v:imagedata r:id="rId15" o:title=""/>
            <o:lock v:ext="edit" aspectratio="t"/>
            <w10:wrap type="none"/>
            <w10:anchorlock/>
          </v:shape>
          <o:OLEObject Type="Embed" ProgID="MSGraph.Chart.8" ShapeID="_x0000_i1027" DrawAspect="Content" ObjectID="_1468075727" r:id="rId14">
            <o:LockedField>false</o:LockedField>
          </o:OLEObject>
        </w:object>
      </w:r>
    </w:p>
    <w:p>
      <w:pPr>
        <w:topLinePunct/>
        <w:spacing w:line="560" w:lineRule="exact"/>
        <w:ind w:firstLine="640"/>
        <w:jc w:val="center"/>
        <w:rPr>
          <w:rFonts w:hint="eastAsia" w:ascii="仿宋_GB2312" w:hAnsi="Times New Roman" w:eastAsia="仿宋_GB2312" w:cs="仿宋"/>
          <w:kern w:val="2"/>
          <w:sz w:val="32"/>
          <w:szCs w:val="32"/>
        </w:rPr>
      </w:pPr>
      <w:r>
        <w:rPr>
          <w:rFonts w:hint="eastAsia" w:ascii="仿宋_GB2312" w:hAnsi="Times New Roman" w:eastAsia="仿宋_GB2312" w:cs="仿宋"/>
          <w:kern w:val="2"/>
          <w:sz w:val="32"/>
          <w:szCs w:val="32"/>
        </w:rPr>
        <w:t>（图5：一般公共预算财政拨款支出决算变动情况）</w:t>
      </w:r>
    </w:p>
    <w:p>
      <w:pPr>
        <w:keepNext/>
        <w:keepLines/>
        <w:topLinePunct/>
        <w:spacing w:line="540" w:lineRule="exact"/>
        <w:ind w:firstLine="640" w:firstLineChars="200"/>
        <w:jc w:val="both"/>
        <w:rPr>
          <w:rFonts w:ascii="楷体_GB2312" w:hAnsi="Times New Roman" w:eastAsia="楷体_GB2312" w:cs="仿宋_GB2312"/>
          <w:color w:val="000000"/>
          <w:kern w:val="2"/>
          <w:sz w:val="32"/>
          <w:szCs w:val="32"/>
          <w:lang w:val="zh-CN"/>
        </w:rPr>
      </w:pPr>
      <w:r>
        <w:rPr>
          <w:rFonts w:hint="eastAsia" w:ascii="楷体_GB2312" w:hAnsi="Times New Roman" w:eastAsia="楷体_GB2312" w:cs="仿宋_GB2312"/>
          <w:color w:val="000000"/>
          <w:kern w:val="2"/>
          <w:sz w:val="32"/>
          <w:szCs w:val="32"/>
          <w:lang w:val="zh-CN"/>
        </w:rPr>
        <w:t>（二）一般公共预算财政拨款支出决算结构情况。</w:t>
      </w:r>
    </w:p>
    <w:p>
      <w:pPr>
        <w:keepNext/>
        <w:topLinePunct/>
        <w:spacing w:line="560" w:lineRule="exact"/>
        <w:ind w:firstLine="640"/>
        <w:jc w:val="both"/>
        <w:rPr>
          <w:rFonts w:ascii="仿宋_GB2312" w:hAnsi="Times New Roman" w:eastAsia="仿宋_GB2312" w:cs="仿宋_GB2312"/>
          <w:color w:val="000000"/>
          <w:kern w:val="2"/>
          <w:sz w:val="32"/>
          <w:szCs w:val="32"/>
          <w:lang w:val="zh-CN"/>
        </w:rPr>
      </w:pPr>
      <w:r>
        <w:rPr>
          <w:rFonts w:ascii="仿宋_GB2312" w:hAnsi="Times New Roman" w:eastAsia="仿宋_GB2312" w:cs="仿宋_GB2312"/>
          <w:color w:val="000000"/>
          <w:kern w:val="2"/>
          <w:sz w:val="32"/>
          <w:szCs w:val="32"/>
          <w:lang w:val="zh-CN"/>
        </w:rPr>
        <w:t>2022</w:t>
      </w:r>
      <w:r>
        <w:rPr>
          <w:rFonts w:hint="eastAsia" w:ascii="仿宋_GB2312" w:hAnsi="Times New Roman" w:eastAsia="仿宋_GB2312" w:cs="仿宋_GB2312"/>
          <w:color w:val="000000"/>
          <w:kern w:val="2"/>
          <w:sz w:val="32"/>
          <w:szCs w:val="32"/>
          <w:lang w:val="zh-CN"/>
        </w:rPr>
        <w:t>年一般公共预算财政拨款支出</w:t>
      </w:r>
      <w:r>
        <w:rPr>
          <w:rFonts w:ascii="仿宋_GB2312" w:hAnsi="Times New Roman" w:eastAsia="仿宋_GB2312" w:cs="仿宋_GB2312"/>
          <w:color w:val="000000"/>
          <w:kern w:val="2"/>
          <w:sz w:val="32"/>
          <w:szCs w:val="32"/>
          <w:lang w:val="zh-CN"/>
        </w:rPr>
        <w:t>5,593.93</w:t>
      </w:r>
      <w:r>
        <w:rPr>
          <w:rFonts w:hint="eastAsia" w:ascii="仿宋_GB2312" w:hAnsi="Times New Roman" w:eastAsia="仿宋_GB2312" w:cs="仿宋_GB2312"/>
          <w:color w:val="000000"/>
          <w:kern w:val="2"/>
          <w:sz w:val="32"/>
          <w:szCs w:val="32"/>
          <w:lang w:val="zh-CN"/>
        </w:rPr>
        <w:t>万元，主要用于以下方面</w:t>
      </w:r>
      <w:r>
        <w:rPr>
          <w:rFonts w:ascii="仿宋_GB2312" w:hAnsi="Times New Roman" w:eastAsia="仿宋_GB2312" w:cs="仿宋_GB2312"/>
          <w:color w:val="000000"/>
          <w:kern w:val="2"/>
          <w:sz w:val="32"/>
          <w:szCs w:val="32"/>
          <w:lang w:val="zh-CN"/>
        </w:rPr>
        <w:t xml:space="preserve">: </w:t>
      </w:r>
      <w:r>
        <w:rPr>
          <w:rFonts w:hint="eastAsia" w:ascii="仿宋_GB2312" w:hAnsi="Times New Roman" w:eastAsia="仿宋_GB2312" w:cs="仿宋_GB2312"/>
          <w:color w:val="000000"/>
          <w:kern w:val="2"/>
          <w:sz w:val="32"/>
          <w:szCs w:val="32"/>
          <w:lang w:val="zh-CN"/>
        </w:rPr>
        <w:t>一般公共服务支出</w:t>
      </w:r>
      <w:r>
        <w:rPr>
          <w:rFonts w:ascii="仿宋_GB2312" w:hAnsi="Times New Roman" w:eastAsia="仿宋_GB2312" w:cs="仿宋_GB2312"/>
          <w:color w:val="000000"/>
          <w:kern w:val="2"/>
          <w:sz w:val="32"/>
          <w:szCs w:val="32"/>
          <w:lang w:val="zh-CN"/>
        </w:rPr>
        <w:t>4,931.29</w:t>
      </w:r>
      <w:r>
        <w:rPr>
          <w:rFonts w:hint="eastAsia" w:ascii="仿宋_GB2312" w:hAnsi="Times New Roman" w:eastAsia="仿宋_GB2312" w:cs="仿宋_GB2312"/>
          <w:color w:val="000000"/>
          <w:kern w:val="2"/>
          <w:sz w:val="32"/>
          <w:szCs w:val="32"/>
          <w:lang w:val="zh-CN"/>
        </w:rPr>
        <w:t>万元，占</w:t>
      </w:r>
      <w:r>
        <w:rPr>
          <w:rFonts w:ascii="仿宋_GB2312" w:hAnsi="Times New Roman" w:eastAsia="仿宋_GB2312" w:cs="仿宋_GB2312"/>
          <w:color w:val="000000"/>
          <w:kern w:val="2"/>
          <w:sz w:val="32"/>
          <w:szCs w:val="32"/>
          <w:lang w:val="zh-CN"/>
        </w:rPr>
        <w:t>88.2%</w:t>
      </w:r>
      <w:r>
        <w:rPr>
          <w:rFonts w:hint="eastAsia" w:ascii="仿宋_GB2312" w:hAnsi="Times New Roman" w:eastAsia="仿宋_GB2312" w:cs="仿宋_GB2312"/>
          <w:color w:val="000000"/>
          <w:kern w:val="2"/>
          <w:sz w:val="32"/>
          <w:szCs w:val="32"/>
          <w:lang w:val="zh-CN"/>
        </w:rPr>
        <w:t>；社会保障和就业支出</w:t>
      </w:r>
      <w:r>
        <w:rPr>
          <w:rFonts w:ascii="仿宋_GB2312" w:hAnsi="Times New Roman" w:eastAsia="仿宋_GB2312" w:cs="仿宋_GB2312"/>
          <w:color w:val="000000"/>
          <w:kern w:val="2"/>
          <w:sz w:val="32"/>
          <w:szCs w:val="32"/>
          <w:lang w:val="zh-CN"/>
        </w:rPr>
        <w:t>290.17</w:t>
      </w:r>
      <w:r>
        <w:rPr>
          <w:rFonts w:hint="eastAsia" w:ascii="仿宋_GB2312" w:hAnsi="Times New Roman" w:eastAsia="仿宋_GB2312" w:cs="仿宋_GB2312"/>
          <w:color w:val="000000"/>
          <w:kern w:val="2"/>
          <w:sz w:val="32"/>
          <w:szCs w:val="32"/>
          <w:lang w:val="zh-CN"/>
        </w:rPr>
        <w:t>万元，占</w:t>
      </w:r>
      <w:r>
        <w:rPr>
          <w:rFonts w:ascii="仿宋_GB2312" w:hAnsi="Times New Roman" w:eastAsia="仿宋_GB2312" w:cs="仿宋_GB2312"/>
          <w:color w:val="000000"/>
          <w:kern w:val="2"/>
          <w:sz w:val="32"/>
          <w:szCs w:val="32"/>
          <w:lang w:val="zh-CN"/>
        </w:rPr>
        <w:t>5.2%</w:t>
      </w:r>
      <w:r>
        <w:rPr>
          <w:rFonts w:hint="eastAsia" w:ascii="仿宋_GB2312" w:hAnsi="Times New Roman" w:eastAsia="仿宋_GB2312" w:cs="仿宋_GB2312"/>
          <w:color w:val="000000"/>
          <w:kern w:val="2"/>
          <w:sz w:val="32"/>
          <w:szCs w:val="32"/>
          <w:lang w:val="zh-CN"/>
        </w:rPr>
        <w:t>；卫生健康支出</w:t>
      </w:r>
      <w:r>
        <w:rPr>
          <w:rFonts w:ascii="仿宋_GB2312" w:hAnsi="Times New Roman" w:eastAsia="仿宋_GB2312" w:cs="仿宋_GB2312"/>
          <w:color w:val="000000"/>
          <w:kern w:val="2"/>
          <w:sz w:val="32"/>
          <w:szCs w:val="32"/>
          <w:lang w:val="zh-CN"/>
        </w:rPr>
        <w:t>101.04</w:t>
      </w:r>
      <w:r>
        <w:rPr>
          <w:rFonts w:hint="eastAsia" w:ascii="仿宋_GB2312" w:hAnsi="Times New Roman" w:eastAsia="仿宋_GB2312" w:cs="仿宋_GB2312"/>
          <w:color w:val="000000"/>
          <w:kern w:val="2"/>
          <w:sz w:val="32"/>
          <w:szCs w:val="32"/>
          <w:lang w:val="zh-CN"/>
        </w:rPr>
        <w:t>万元，占</w:t>
      </w:r>
      <w:r>
        <w:rPr>
          <w:rFonts w:ascii="仿宋_GB2312" w:hAnsi="Times New Roman" w:eastAsia="仿宋_GB2312" w:cs="仿宋_GB2312"/>
          <w:color w:val="000000"/>
          <w:kern w:val="2"/>
          <w:sz w:val="32"/>
          <w:szCs w:val="32"/>
          <w:lang w:val="zh-CN"/>
        </w:rPr>
        <w:t>1.8%</w:t>
      </w:r>
      <w:r>
        <w:rPr>
          <w:rFonts w:hint="eastAsia" w:ascii="仿宋_GB2312" w:hAnsi="Times New Roman" w:eastAsia="仿宋_GB2312" w:cs="仿宋_GB2312"/>
          <w:color w:val="000000"/>
          <w:kern w:val="2"/>
          <w:sz w:val="32"/>
          <w:szCs w:val="32"/>
          <w:lang w:val="zh-CN"/>
        </w:rPr>
        <w:t>；住房保障支出</w:t>
      </w:r>
      <w:r>
        <w:rPr>
          <w:rFonts w:ascii="仿宋_GB2312" w:hAnsi="Times New Roman" w:eastAsia="仿宋_GB2312" w:cs="仿宋_GB2312"/>
          <w:color w:val="000000"/>
          <w:kern w:val="2"/>
          <w:sz w:val="32"/>
          <w:szCs w:val="32"/>
          <w:lang w:val="zh-CN"/>
        </w:rPr>
        <w:t>271.44</w:t>
      </w:r>
      <w:r>
        <w:rPr>
          <w:rFonts w:hint="eastAsia" w:ascii="仿宋_GB2312" w:hAnsi="Times New Roman" w:eastAsia="仿宋_GB2312" w:cs="仿宋_GB2312"/>
          <w:color w:val="000000"/>
          <w:kern w:val="2"/>
          <w:sz w:val="32"/>
          <w:szCs w:val="32"/>
          <w:lang w:val="zh-CN"/>
        </w:rPr>
        <w:t>万元，占</w:t>
      </w:r>
      <w:r>
        <w:rPr>
          <w:rFonts w:ascii="仿宋_GB2312" w:hAnsi="Times New Roman" w:eastAsia="仿宋_GB2312" w:cs="仿宋_GB2312"/>
          <w:color w:val="000000"/>
          <w:kern w:val="2"/>
          <w:sz w:val="32"/>
          <w:szCs w:val="32"/>
          <w:lang w:val="zh-CN"/>
        </w:rPr>
        <w:t>4.9%</w:t>
      </w:r>
      <w:r>
        <w:rPr>
          <w:rFonts w:hint="eastAsia" w:ascii="仿宋_GB2312" w:hAnsi="Times New Roman" w:eastAsia="仿宋_GB2312" w:cs="仿宋_GB2312"/>
          <w:color w:val="000000"/>
          <w:kern w:val="2"/>
          <w:sz w:val="32"/>
          <w:szCs w:val="32"/>
          <w:lang w:val="zh-CN"/>
        </w:rPr>
        <w:t>。</w:t>
      </w:r>
    </w:p>
    <w:p>
      <w:pPr>
        <w:pStyle w:val="2"/>
        <w:ind w:left="480" w:firstLine="480"/>
        <w:rPr>
          <w:rFonts w:hint="default"/>
        </w:rPr>
      </w:pPr>
      <w:r>
        <w:rPr>
          <w:rFonts w:hint="default"/>
        </w:rPr>
        <w:drawing>
          <wp:inline distT="0" distB="0" distL="114300" distR="114300">
            <wp:extent cx="4362450" cy="2481580"/>
            <wp:effectExtent l="0" t="0" r="0" b="1397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6"/>
                    <a:stretch>
                      <a:fillRect/>
                    </a:stretch>
                  </pic:blipFill>
                  <pic:spPr>
                    <a:xfrm>
                      <a:off x="0" y="0"/>
                      <a:ext cx="4362450" cy="2481580"/>
                    </a:xfrm>
                    <a:prstGeom prst="rect">
                      <a:avLst/>
                    </a:prstGeom>
                  </pic:spPr>
                </pic:pic>
              </a:graphicData>
            </a:graphic>
          </wp:inline>
        </w:drawing>
      </w:r>
    </w:p>
    <w:p>
      <w:pPr>
        <w:topLinePunct/>
        <w:spacing w:line="560" w:lineRule="exact"/>
        <w:ind w:firstLine="640"/>
        <w:jc w:val="center"/>
        <w:rPr>
          <w:rFonts w:hint="eastAsia" w:ascii="楷体_GB2312" w:hAnsi="Times New Roman" w:eastAsia="楷体_GB2312" w:cs="仿宋"/>
          <w:kern w:val="2"/>
          <w:sz w:val="32"/>
          <w:szCs w:val="32"/>
        </w:rPr>
      </w:pPr>
      <w:r>
        <w:rPr>
          <w:rFonts w:hint="eastAsia" w:ascii="楷体_GB2312" w:hAnsi="Times New Roman" w:eastAsia="楷体_GB2312" w:cs="仿宋"/>
          <w:kern w:val="2"/>
          <w:sz w:val="32"/>
          <w:szCs w:val="32"/>
        </w:rPr>
        <w:t>（图6：一般公共预算财政拨款支出决算结构）</w:t>
      </w:r>
    </w:p>
    <w:p>
      <w:pPr>
        <w:keepNext/>
        <w:keepLines/>
        <w:topLinePunct/>
        <w:spacing w:line="560" w:lineRule="exact"/>
        <w:ind w:firstLine="643"/>
        <w:jc w:val="both"/>
        <w:rPr>
          <w:rFonts w:hint="eastAsia" w:ascii="楷体_GB2312" w:hAnsi="Times New Roman" w:eastAsia="楷体_GB2312" w:cs="仿宋_GB2312"/>
          <w:color w:val="000000"/>
          <w:kern w:val="2"/>
          <w:sz w:val="32"/>
          <w:szCs w:val="32"/>
          <w:lang w:val="zh-CN"/>
        </w:rPr>
      </w:pPr>
      <w:r>
        <w:rPr>
          <w:rFonts w:hint="eastAsia" w:ascii="楷体_GB2312" w:hAnsi="Times New Roman" w:eastAsia="楷体_GB2312" w:cs="仿宋_GB2312"/>
          <w:color w:val="000000"/>
          <w:kern w:val="2"/>
          <w:sz w:val="32"/>
          <w:szCs w:val="32"/>
          <w:lang w:val="zh-CN"/>
        </w:rPr>
        <w:t>（三）一般公共预算财政拨款支出决算具体情况。</w:t>
      </w:r>
    </w:p>
    <w:p>
      <w:pPr>
        <w:keepNext/>
        <w:keepLines/>
        <w:topLinePunct/>
        <w:spacing w:line="560" w:lineRule="exact"/>
        <w:ind w:firstLine="643"/>
        <w:jc w:val="both"/>
        <w:rPr>
          <w:rFonts w:ascii="仿宋_GB2312" w:hAnsi="Times New Roman" w:eastAsia="仿宋_GB2312" w:cs="仿宋_GB2312"/>
          <w:color w:val="000000"/>
          <w:kern w:val="2"/>
          <w:sz w:val="32"/>
          <w:szCs w:val="32"/>
          <w:lang w:val="zh-CN"/>
        </w:rPr>
      </w:pPr>
      <w:r>
        <w:rPr>
          <w:rFonts w:ascii="仿宋_GB2312" w:hAnsi="Times New Roman" w:eastAsia="仿宋_GB2312" w:cs="仿宋_GB2312"/>
          <w:color w:val="000000"/>
          <w:kern w:val="2"/>
          <w:sz w:val="32"/>
          <w:szCs w:val="32"/>
          <w:lang w:val="zh-CN"/>
        </w:rPr>
        <w:t>2022</w:t>
      </w:r>
      <w:r>
        <w:rPr>
          <w:rFonts w:hint="eastAsia" w:ascii="仿宋_GB2312" w:hAnsi="Times New Roman" w:eastAsia="仿宋_GB2312" w:cs="仿宋_GB2312"/>
          <w:color w:val="000000"/>
          <w:kern w:val="2"/>
          <w:sz w:val="32"/>
          <w:szCs w:val="32"/>
          <w:lang w:val="zh-CN"/>
        </w:rPr>
        <w:t>年一般公共预算支出决算数为</w:t>
      </w:r>
      <w:r>
        <w:rPr>
          <w:rFonts w:ascii="仿宋_GB2312" w:hAnsi="Times New Roman" w:eastAsia="仿宋_GB2312" w:cs="仿宋_GB2312"/>
          <w:color w:val="000000"/>
          <w:kern w:val="2"/>
          <w:sz w:val="32"/>
          <w:szCs w:val="32"/>
          <w:lang w:val="zh-CN"/>
        </w:rPr>
        <w:t>5,593.93</w:t>
      </w:r>
      <w:r>
        <w:rPr>
          <w:rFonts w:hint="eastAsia" w:ascii="仿宋_GB2312" w:hAnsi="Times New Roman" w:eastAsia="仿宋_GB2312" w:cs="仿宋_GB2312"/>
          <w:color w:val="000000"/>
          <w:kern w:val="2"/>
          <w:sz w:val="32"/>
          <w:szCs w:val="32"/>
          <w:lang w:val="zh-CN"/>
        </w:rPr>
        <w:t>万元，完成预算</w:t>
      </w:r>
      <w:r>
        <w:rPr>
          <w:rFonts w:ascii="仿宋_GB2312" w:hAnsi="Times New Roman" w:eastAsia="仿宋_GB2312" w:cs="仿宋_GB2312"/>
          <w:color w:val="000000"/>
          <w:kern w:val="2"/>
          <w:sz w:val="32"/>
          <w:szCs w:val="32"/>
          <w:lang w:val="zh-CN"/>
        </w:rPr>
        <w:t>99.9%</w:t>
      </w:r>
      <w:r>
        <w:rPr>
          <w:rFonts w:hint="eastAsia" w:ascii="仿宋_GB2312" w:hAnsi="Times New Roman" w:eastAsia="仿宋_GB2312" w:cs="仿宋_GB2312"/>
          <w:color w:val="000000"/>
          <w:kern w:val="2"/>
          <w:sz w:val="32"/>
          <w:szCs w:val="32"/>
          <w:lang w:val="zh-CN"/>
        </w:rPr>
        <w:t>。其中：</w:t>
      </w:r>
    </w:p>
    <w:p>
      <w:pPr>
        <w:spacing w:line="600" w:lineRule="exact"/>
        <w:ind w:firstLine="640" w:firstLineChars="200"/>
        <w:rPr>
          <w:rStyle w:val="20"/>
          <w:rFonts w:ascii="仿宋_GB2312" w:hAnsi="仿宋" w:eastAsia="仿宋_GB2312"/>
          <w:b w:val="0"/>
          <w:sz w:val="32"/>
        </w:rPr>
      </w:pPr>
      <w:r>
        <w:rPr>
          <w:rStyle w:val="20"/>
          <w:rFonts w:hint="eastAsia" w:ascii="仿宋_GB2312" w:hAnsi="仿宋" w:eastAsia="仿宋_GB2312"/>
          <w:b w:val="0"/>
          <w:sz w:val="32"/>
        </w:rPr>
        <w:t>1.一般公共服务支出（类）政府办公厅（室）及相关机构事务（款）行政运行（项）: 支出决算为2616.71万元，完成预算100%，与预算数持平。</w:t>
      </w:r>
    </w:p>
    <w:p>
      <w:pPr>
        <w:pStyle w:val="14"/>
        <w:spacing w:line="600" w:lineRule="exact"/>
        <w:ind w:firstLine="640" w:firstLineChars="200"/>
        <w:rPr>
          <w:rStyle w:val="20"/>
          <w:rFonts w:ascii="仿宋_GB2312" w:hAnsi="仿宋" w:eastAsia="仿宋_GB2312"/>
          <w:b w:val="0"/>
          <w:sz w:val="32"/>
        </w:rPr>
      </w:pPr>
      <w:r>
        <w:rPr>
          <w:rStyle w:val="20"/>
          <w:rFonts w:hint="eastAsia" w:ascii="仿宋_GB2312" w:hAnsi="仿宋" w:eastAsia="仿宋_GB2312"/>
          <w:b w:val="0"/>
          <w:sz w:val="32"/>
        </w:rPr>
        <w:t>2.一般公共服务支出（类）政府办公厅（室）及相关机构事务（款）一般行政管理事务（项）: 支出决算为1612.87万元，完成预算99.90%，决算数小于预算数的主要原因是合同约定事项2023年进行支付。</w:t>
      </w:r>
    </w:p>
    <w:p>
      <w:pPr>
        <w:pStyle w:val="14"/>
        <w:spacing w:line="600" w:lineRule="exact"/>
        <w:ind w:firstLine="640" w:firstLineChars="200"/>
        <w:rPr>
          <w:rStyle w:val="20"/>
          <w:rFonts w:ascii="仿宋_GB2312" w:hAnsi="仿宋" w:eastAsia="仿宋_GB2312"/>
          <w:b w:val="0"/>
          <w:sz w:val="32"/>
        </w:rPr>
      </w:pPr>
      <w:r>
        <w:rPr>
          <w:rStyle w:val="20"/>
          <w:rFonts w:hint="eastAsia" w:ascii="仿宋_GB2312" w:hAnsi="仿宋" w:eastAsia="仿宋_GB2312"/>
          <w:b w:val="0"/>
          <w:sz w:val="32"/>
        </w:rPr>
        <w:t>3.一般公共服务支出（类）政府办公厅（室）及相关机构事务（款）事业运行（项）: 支出决算为190.36万元，完成预算100%，与预算数持平。</w:t>
      </w:r>
    </w:p>
    <w:p>
      <w:pPr>
        <w:pStyle w:val="14"/>
        <w:spacing w:line="600" w:lineRule="exact"/>
        <w:ind w:firstLine="640" w:firstLineChars="200"/>
        <w:rPr>
          <w:rStyle w:val="20"/>
          <w:rFonts w:ascii="仿宋_GB2312" w:hAnsi="仿宋" w:eastAsia="仿宋_GB2312"/>
          <w:b w:val="0"/>
          <w:sz w:val="32"/>
        </w:rPr>
      </w:pPr>
      <w:r>
        <w:rPr>
          <w:rStyle w:val="20"/>
          <w:rFonts w:hint="eastAsia" w:ascii="仿宋_GB2312" w:hAnsi="仿宋" w:eastAsia="仿宋_GB2312"/>
          <w:b w:val="0"/>
          <w:sz w:val="32"/>
        </w:rPr>
        <w:t>4.一般公共服务支出（类）政府办公厅（室）及相关机构事务（款）其他政府办公厅（室）及相关机构事务支出（项）: 支出决算为511.35万元，完成预算100%，与预算数持平。</w:t>
      </w:r>
    </w:p>
    <w:p>
      <w:pPr>
        <w:spacing w:line="600" w:lineRule="exact"/>
        <w:ind w:firstLine="640" w:firstLineChars="200"/>
        <w:rPr>
          <w:rStyle w:val="20"/>
          <w:rFonts w:ascii="仿宋_GB2312" w:hAnsi="仿宋" w:eastAsia="仿宋_GB2312"/>
          <w:b w:val="0"/>
          <w:sz w:val="32"/>
        </w:rPr>
      </w:pPr>
      <w:r>
        <w:rPr>
          <w:rStyle w:val="20"/>
          <w:rFonts w:hint="eastAsia" w:ascii="仿宋_GB2312" w:hAnsi="仿宋" w:eastAsia="仿宋_GB2312"/>
          <w:b w:val="0"/>
          <w:sz w:val="32"/>
        </w:rPr>
        <w:t>5.社会保障和就业支出（类）人力资源和社会保障管理事务（款）其他人力资源和社会保障管理事务（项）: 支出决算为4万元，完成预算100%，与预算数持平。</w:t>
      </w:r>
    </w:p>
    <w:p>
      <w:pPr>
        <w:spacing w:line="600" w:lineRule="exact"/>
        <w:ind w:firstLine="640" w:firstLineChars="200"/>
        <w:rPr>
          <w:rStyle w:val="20"/>
          <w:rFonts w:ascii="仿宋_GB2312" w:hAnsi="仿宋" w:eastAsia="仿宋_GB2312"/>
          <w:b w:val="0"/>
          <w:sz w:val="32"/>
        </w:rPr>
      </w:pPr>
      <w:r>
        <w:rPr>
          <w:rStyle w:val="20"/>
          <w:rFonts w:hint="eastAsia" w:ascii="仿宋_GB2312" w:hAnsi="仿宋" w:eastAsia="仿宋_GB2312"/>
          <w:b w:val="0"/>
          <w:sz w:val="32"/>
        </w:rPr>
        <w:t>6.社会保障和就业支出（类）行政事业单位养老支出（款）机关事业单位养老保险缴费支出（项）：支出预算230.36万元，完成预算100%，与预算数持平。</w:t>
      </w:r>
    </w:p>
    <w:p>
      <w:pPr>
        <w:spacing w:line="600" w:lineRule="exact"/>
        <w:ind w:firstLine="640" w:firstLineChars="200"/>
        <w:rPr>
          <w:rStyle w:val="20"/>
          <w:rFonts w:ascii="仿宋_GB2312" w:hAnsi="仿宋" w:eastAsia="仿宋_GB2312"/>
          <w:b w:val="0"/>
          <w:sz w:val="32"/>
        </w:rPr>
      </w:pPr>
      <w:r>
        <w:rPr>
          <w:rStyle w:val="20"/>
          <w:rFonts w:hint="eastAsia" w:ascii="仿宋_GB2312" w:hAnsi="仿宋" w:eastAsia="仿宋_GB2312"/>
          <w:b w:val="0"/>
          <w:sz w:val="32"/>
        </w:rPr>
        <w:t>7.社会保障和就业支出（类）行政事业单位养老支出（款）机关事业单位职业年金缴费支出（项）: 支出决算为38.03万元，完成预算100%，与预算数持平。</w:t>
      </w:r>
    </w:p>
    <w:p>
      <w:pPr>
        <w:spacing w:line="600" w:lineRule="exact"/>
        <w:ind w:firstLine="640" w:firstLineChars="200"/>
        <w:rPr>
          <w:rStyle w:val="20"/>
          <w:rFonts w:ascii="仿宋_GB2312" w:hAnsi="仿宋" w:eastAsia="仿宋_GB2312"/>
          <w:b w:val="0"/>
          <w:sz w:val="32"/>
        </w:rPr>
      </w:pPr>
      <w:r>
        <w:rPr>
          <w:rStyle w:val="20"/>
          <w:rFonts w:hint="eastAsia" w:ascii="仿宋_GB2312" w:hAnsi="仿宋" w:eastAsia="仿宋_GB2312"/>
          <w:b w:val="0"/>
          <w:sz w:val="32"/>
        </w:rPr>
        <w:t>8.社会保障和就业支出（类）抚恤（款）死亡抚恤（项）: 支出决算为17.78万元，完成预算100%，与预算数持平。</w:t>
      </w:r>
    </w:p>
    <w:p>
      <w:pPr>
        <w:spacing w:line="600" w:lineRule="exact"/>
        <w:ind w:firstLine="640" w:firstLineChars="200"/>
        <w:rPr>
          <w:rStyle w:val="20"/>
          <w:rFonts w:ascii="仿宋_GB2312" w:hAnsi="仿宋" w:eastAsia="仿宋_GB2312"/>
          <w:b w:val="0"/>
          <w:sz w:val="32"/>
        </w:rPr>
      </w:pPr>
      <w:r>
        <w:rPr>
          <w:rStyle w:val="20"/>
          <w:rFonts w:hint="eastAsia" w:ascii="仿宋_GB2312" w:hAnsi="仿宋" w:eastAsia="仿宋_GB2312"/>
          <w:b w:val="0"/>
          <w:sz w:val="32"/>
        </w:rPr>
        <w:t>9.</w:t>
      </w:r>
      <w:r>
        <w:rPr>
          <w:rFonts w:hint="eastAsia" w:ascii="仿宋_GB2312" w:hAnsi="仿宋" w:eastAsia="仿宋_GB2312"/>
          <w:sz w:val="32"/>
          <w:szCs w:val="32"/>
        </w:rPr>
        <w:t>卫生健康支出</w:t>
      </w:r>
      <w:r>
        <w:rPr>
          <w:rStyle w:val="20"/>
          <w:rFonts w:hint="eastAsia" w:ascii="仿宋_GB2312" w:hAnsi="仿宋" w:eastAsia="仿宋_GB2312"/>
          <w:b w:val="0"/>
          <w:sz w:val="32"/>
        </w:rPr>
        <w:t>（类）行政事业单位医疗（款）行政单位医疗（项）:支出决算为101.04万元，完成预算100%，与预算数持平。</w:t>
      </w:r>
    </w:p>
    <w:p>
      <w:pPr>
        <w:spacing w:line="600" w:lineRule="exact"/>
        <w:ind w:firstLine="640" w:firstLineChars="200"/>
        <w:rPr>
          <w:rFonts w:ascii="仿宋_GB2312" w:hAnsi="Times New Roman" w:eastAsia="仿宋_GB2312" w:cs="仿宋_GB2312"/>
          <w:b/>
          <w:color w:val="000000"/>
          <w:kern w:val="2"/>
          <w:sz w:val="32"/>
          <w:szCs w:val="32"/>
        </w:rPr>
      </w:pPr>
      <w:r>
        <w:rPr>
          <w:rStyle w:val="20"/>
          <w:rFonts w:hint="eastAsia" w:ascii="仿宋_GB2312" w:hAnsi="仿宋" w:eastAsia="仿宋_GB2312"/>
          <w:b w:val="0"/>
          <w:sz w:val="32"/>
        </w:rPr>
        <w:t>10.住房保障支出（类）住房改革支出（款）住房公积金（项）:支出决算为271.44万元，完成预算100%，与预算数持平。</w:t>
      </w:r>
    </w:p>
    <w:p>
      <w:pPr>
        <w:keepNext/>
        <w:keepLines/>
        <w:tabs>
          <w:tab w:val="right" w:pos="8306"/>
        </w:tabs>
        <w:topLinePunct/>
        <w:spacing w:line="560" w:lineRule="exact"/>
        <w:ind w:firstLine="640"/>
        <w:jc w:val="both"/>
        <w:rPr>
          <w:rFonts w:ascii="Cambria" w:hAnsi="Cambria" w:eastAsia="黑体" w:cs="Cambria"/>
          <w:b/>
          <w:kern w:val="2"/>
          <w:sz w:val="32"/>
          <w:szCs w:val="32"/>
          <w:lang w:val="zh-CN"/>
        </w:rPr>
      </w:pPr>
      <w:r>
        <w:rPr>
          <w:rFonts w:hint="eastAsia" w:ascii="黑体" w:hAnsi="Times New Roman" w:eastAsia="黑体" w:cs="黑体"/>
          <w:color w:val="000000"/>
          <w:kern w:val="2"/>
          <w:sz w:val="32"/>
          <w:szCs w:val="32"/>
          <w:lang w:val="zh-CN"/>
        </w:rPr>
        <w:t>六</w:t>
      </w:r>
      <w:r>
        <w:rPr>
          <w:rFonts w:hint="eastAsia" w:ascii="黑体" w:hAnsi="Times New Roman" w:eastAsia="黑体" w:cs="黑体"/>
          <w:b/>
          <w:color w:val="000000"/>
          <w:kern w:val="2"/>
          <w:sz w:val="32"/>
          <w:szCs w:val="32"/>
          <w:lang w:val="zh-CN"/>
        </w:rPr>
        <w:t>、一</w:t>
      </w:r>
      <w:r>
        <w:rPr>
          <w:rFonts w:hint="eastAsia" w:ascii="黑体" w:hAnsi="Times New Roman" w:eastAsia="黑体" w:cs="黑体"/>
          <w:kern w:val="2"/>
          <w:sz w:val="32"/>
          <w:szCs w:val="32"/>
          <w:lang w:val="zh-CN"/>
        </w:rPr>
        <w:t>般公共预算财政拨款基本支出决算情况说明</w:t>
      </w:r>
      <w:r>
        <w:rPr>
          <w:rFonts w:ascii="黑体" w:hAnsi="Times New Roman" w:eastAsia="黑体" w:cs="黑体"/>
          <w:kern w:val="2"/>
          <w:sz w:val="32"/>
          <w:szCs w:val="32"/>
          <w:lang w:val="zh-CN"/>
        </w:rPr>
        <w:tab/>
      </w:r>
    </w:p>
    <w:p>
      <w:pPr>
        <w:topLinePunct/>
        <w:spacing w:line="560" w:lineRule="exact"/>
        <w:ind w:firstLine="640"/>
        <w:jc w:val="both"/>
        <w:rPr>
          <w:rFonts w:ascii="仿宋_GB2312" w:hAnsi="Cambria" w:eastAsia="仿宋_GB2312" w:cs="仿宋_GB2312"/>
          <w:color w:val="000000"/>
          <w:kern w:val="2"/>
          <w:sz w:val="32"/>
          <w:szCs w:val="32"/>
          <w:lang w:val="zh-CN"/>
        </w:rPr>
      </w:pPr>
      <w:r>
        <w:rPr>
          <w:rFonts w:hint="eastAsia" w:ascii="仿宋_GB2312" w:hAnsi="Cambria" w:eastAsia="仿宋_GB2312" w:cs="仿宋_GB2312"/>
          <w:color w:val="000000"/>
          <w:kern w:val="2"/>
          <w:sz w:val="32"/>
          <w:szCs w:val="32"/>
          <w:lang w:val="zh-CN"/>
        </w:rPr>
        <w:t>2022年一般公共预算财政拨款基本支出3,461.69万元，其中：</w:t>
      </w:r>
    </w:p>
    <w:p>
      <w:pPr>
        <w:topLinePunct/>
        <w:spacing w:line="560" w:lineRule="exact"/>
        <w:ind w:firstLine="643"/>
        <w:jc w:val="both"/>
        <w:rPr>
          <w:rFonts w:ascii="仿宋_GB2312" w:hAnsi="Cambria" w:eastAsia="仿宋_GB2312" w:cs="仿宋_GB2312"/>
          <w:color w:val="000000"/>
          <w:kern w:val="2"/>
          <w:sz w:val="32"/>
          <w:szCs w:val="32"/>
          <w:lang w:val="zh-CN"/>
        </w:rPr>
      </w:pPr>
      <w:r>
        <w:rPr>
          <w:rFonts w:hint="eastAsia" w:ascii="仿宋_GB2312" w:hAnsi="Cambria" w:eastAsia="仿宋_GB2312" w:cs="仿宋_GB2312"/>
          <w:b/>
          <w:color w:val="000000"/>
          <w:kern w:val="2"/>
          <w:sz w:val="32"/>
          <w:szCs w:val="32"/>
          <w:lang w:val="zh-CN"/>
        </w:rPr>
        <w:t>人员经费</w:t>
      </w:r>
      <w:r>
        <w:rPr>
          <w:rFonts w:hint="eastAsia" w:ascii="仿宋_GB2312" w:hAnsi="Cambria" w:eastAsia="仿宋_GB2312" w:cs="仿宋_GB2312"/>
          <w:color w:val="000000"/>
          <w:kern w:val="2"/>
          <w:sz w:val="32"/>
          <w:szCs w:val="32"/>
          <w:lang w:val="zh-CN"/>
        </w:rPr>
        <w:t>2,974.77万元，主要包括：</w:t>
      </w:r>
      <w:r>
        <w:rPr>
          <w:rFonts w:hint="eastAsia" w:ascii="仿宋_GB2312" w:hAnsi="Cambria" w:eastAsia="仿宋_GB2312" w:cs="仿宋"/>
          <w:kern w:val="2"/>
          <w:sz w:val="32"/>
          <w:szCs w:val="32"/>
        </w:rPr>
        <w:t>基本工资、津贴补贴、奖金、绩效工资、机关事业单位基本养老保险缴费、职业年金缴费、职工基本医疗保险缴费、其他社会保障缴费、住房公积金、其他工资福利支出、抚恤金、生活补助、奖励金、其他对个人和家庭的补助支出等</w:t>
      </w:r>
      <w:r>
        <w:rPr>
          <w:rFonts w:hint="eastAsia" w:ascii="仿宋_GB2312" w:hAnsi="Cambria" w:eastAsia="仿宋_GB2312" w:cs="仿宋_GB2312"/>
          <w:color w:val="000000"/>
          <w:kern w:val="2"/>
          <w:sz w:val="32"/>
          <w:szCs w:val="32"/>
          <w:lang w:val="zh-CN"/>
        </w:rPr>
        <w:t>。</w:t>
      </w:r>
    </w:p>
    <w:p>
      <w:pPr>
        <w:topLinePunct/>
        <w:spacing w:line="560" w:lineRule="exact"/>
        <w:ind w:firstLine="643"/>
        <w:jc w:val="both"/>
        <w:rPr>
          <w:rFonts w:ascii="仿宋_GB2312" w:hAnsi="Cambria" w:eastAsia="仿宋_GB2312" w:cs="仿宋_GB2312"/>
          <w:color w:val="000000"/>
          <w:kern w:val="2"/>
          <w:sz w:val="32"/>
          <w:szCs w:val="32"/>
          <w:lang w:val="zh-CN"/>
        </w:rPr>
      </w:pPr>
      <w:r>
        <w:rPr>
          <w:rFonts w:hint="eastAsia" w:ascii="仿宋_GB2312" w:hAnsi="Cambria" w:eastAsia="仿宋_GB2312" w:cs="仿宋_GB2312"/>
          <w:b/>
          <w:color w:val="000000"/>
          <w:kern w:val="2"/>
          <w:sz w:val="32"/>
          <w:szCs w:val="32"/>
          <w:lang w:val="zh-CN"/>
        </w:rPr>
        <w:t>公用经费</w:t>
      </w:r>
      <w:r>
        <w:rPr>
          <w:rFonts w:hint="eastAsia" w:ascii="仿宋_GB2312" w:hAnsi="Cambria" w:eastAsia="仿宋_GB2312" w:cs="仿宋_GB2312"/>
          <w:color w:val="000000"/>
          <w:kern w:val="2"/>
          <w:sz w:val="32"/>
          <w:szCs w:val="32"/>
          <w:lang w:val="zh-CN"/>
        </w:rPr>
        <w:t>486.92万元，主要包括：</w:t>
      </w:r>
      <w:r>
        <w:rPr>
          <w:rFonts w:hint="eastAsia" w:ascii="仿宋_GB2312" w:hAnsi="Cambria" w:eastAsia="仿宋_GB2312" w:cs="仿宋"/>
          <w:kern w:val="2"/>
          <w:sz w:val="32"/>
          <w:szCs w:val="32"/>
        </w:rPr>
        <w:t>办公费、咨询费、手续费、水费、电费、邮电费、差旅费、维修（护）费、会议费、培训费、公务接待费、劳务费、工会经费、福利费、公务用车运行维护费、其他交通费、其他商品和服务支出等</w:t>
      </w:r>
      <w:r>
        <w:rPr>
          <w:rFonts w:hint="eastAsia" w:ascii="仿宋_GB2312" w:hAnsi="Cambria" w:eastAsia="仿宋_GB2312" w:cs="仿宋_GB2312"/>
          <w:color w:val="000000"/>
          <w:kern w:val="2"/>
          <w:sz w:val="32"/>
          <w:szCs w:val="32"/>
          <w:lang w:val="zh-CN"/>
        </w:rPr>
        <w:t>。</w:t>
      </w:r>
    </w:p>
    <w:p>
      <w:pPr>
        <w:topLinePunct/>
        <w:spacing w:line="560" w:lineRule="exact"/>
        <w:ind w:firstLine="640"/>
        <w:jc w:val="both"/>
        <w:rPr>
          <w:rFonts w:ascii="黑体" w:hAnsi="Cambria" w:eastAsia="黑体" w:cs="黑体"/>
          <w:kern w:val="2"/>
          <w:sz w:val="32"/>
          <w:szCs w:val="32"/>
          <w:lang w:val="zh-CN"/>
        </w:rPr>
      </w:pPr>
      <w:r>
        <w:rPr>
          <w:rFonts w:hint="eastAsia" w:ascii="黑体" w:hAnsi="Cambria" w:eastAsia="黑体" w:cs="黑体"/>
          <w:color w:val="000000"/>
          <w:kern w:val="2"/>
          <w:sz w:val="32"/>
          <w:szCs w:val="32"/>
          <w:lang w:val="zh-CN"/>
        </w:rPr>
        <w:t>七、</w:t>
      </w:r>
      <w:r>
        <w:rPr>
          <w:rFonts w:ascii="Cambria" w:hAnsi="Cambria" w:eastAsia="黑体" w:cs="黑体"/>
          <w:b/>
          <w:kern w:val="2"/>
          <w:sz w:val="32"/>
          <w:szCs w:val="32"/>
          <w:lang w:val="zh-CN"/>
        </w:rPr>
        <w:t>“</w:t>
      </w:r>
      <w:r>
        <w:rPr>
          <w:rFonts w:hint="eastAsia" w:ascii="黑体" w:hAnsi="Cambria" w:eastAsia="黑体" w:cs="黑体"/>
          <w:kern w:val="2"/>
          <w:sz w:val="32"/>
          <w:szCs w:val="32"/>
          <w:lang w:val="zh-CN"/>
        </w:rPr>
        <w:t>三公</w:t>
      </w:r>
      <w:r>
        <w:rPr>
          <w:rFonts w:ascii="Cambria" w:hAnsi="Cambria" w:eastAsia="黑体" w:cs="黑体"/>
          <w:kern w:val="2"/>
          <w:sz w:val="32"/>
          <w:szCs w:val="32"/>
          <w:lang w:val="zh-CN"/>
        </w:rPr>
        <w:t>”</w:t>
      </w:r>
      <w:r>
        <w:rPr>
          <w:rFonts w:hint="eastAsia" w:ascii="黑体" w:hAnsi="Cambria" w:eastAsia="黑体" w:cs="黑体"/>
          <w:kern w:val="2"/>
          <w:sz w:val="32"/>
          <w:szCs w:val="32"/>
          <w:lang w:val="zh-CN"/>
        </w:rPr>
        <w:t>经费财政拨款支出决算情况说明</w:t>
      </w:r>
    </w:p>
    <w:p>
      <w:pPr>
        <w:keepNext/>
        <w:keepLines/>
        <w:topLinePunct/>
        <w:spacing w:line="560" w:lineRule="exact"/>
        <w:ind w:firstLine="643"/>
        <w:jc w:val="both"/>
        <w:rPr>
          <w:rFonts w:ascii="楷体_GB2312" w:hAnsi="Times New Roman" w:eastAsia="楷体_GB2312" w:cs="仿宋_GB2312"/>
          <w:color w:val="000000"/>
          <w:kern w:val="2"/>
          <w:sz w:val="32"/>
          <w:szCs w:val="32"/>
          <w:lang w:val="zh-CN"/>
        </w:rPr>
      </w:pPr>
      <w:r>
        <w:rPr>
          <w:rFonts w:hint="eastAsia" w:ascii="楷体_GB2312" w:hAnsi="Times New Roman" w:eastAsia="楷体_GB2312" w:cs="仿宋_GB2312"/>
          <w:color w:val="000000"/>
          <w:kern w:val="2"/>
          <w:sz w:val="32"/>
          <w:szCs w:val="32"/>
          <w:lang w:val="zh-CN"/>
        </w:rPr>
        <w:t>（一）</w:t>
      </w:r>
      <w:r>
        <w:rPr>
          <w:rFonts w:ascii="楷体_GB2312" w:hAnsi="Times New Roman" w:eastAsia="楷体_GB2312" w:cs="仿宋_GB2312"/>
          <w:color w:val="000000"/>
          <w:kern w:val="2"/>
          <w:sz w:val="32"/>
          <w:szCs w:val="32"/>
          <w:lang w:val="zh-CN"/>
        </w:rPr>
        <w:t>“</w:t>
      </w:r>
      <w:r>
        <w:rPr>
          <w:rFonts w:hint="eastAsia" w:ascii="楷体_GB2312" w:hAnsi="Times New Roman" w:eastAsia="楷体_GB2312" w:cs="仿宋_GB2312"/>
          <w:color w:val="000000"/>
          <w:kern w:val="2"/>
          <w:sz w:val="32"/>
          <w:szCs w:val="32"/>
          <w:lang w:val="zh-CN"/>
        </w:rPr>
        <w:t>三公</w:t>
      </w:r>
      <w:r>
        <w:rPr>
          <w:rFonts w:ascii="楷体_GB2312" w:hAnsi="Times New Roman" w:eastAsia="楷体_GB2312" w:cs="仿宋_GB2312"/>
          <w:color w:val="000000"/>
          <w:kern w:val="2"/>
          <w:sz w:val="32"/>
          <w:szCs w:val="32"/>
          <w:lang w:val="zh-CN"/>
        </w:rPr>
        <w:t>”</w:t>
      </w:r>
      <w:r>
        <w:rPr>
          <w:rFonts w:hint="eastAsia" w:ascii="楷体_GB2312" w:hAnsi="Times New Roman" w:eastAsia="楷体_GB2312" w:cs="仿宋_GB2312"/>
          <w:color w:val="000000"/>
          <w:kern w:val="2"/>
          <w:sz w:val="32"/>
          <w:szCs w:val="32"/>
          <w:lang w:val="zh-CN"/>
        </w:rPr>
        <w:t>经费财政拨款支出决算总体情况说明</w:t>
      </w:r>
    </w:p>
    <w:p>
      <w:pPr>
        <w:topLinePunct/>
        <w:spacing w:line="560" w:lineRule="exact"/>
        <w:ind w:firstLine="640"/>
        <w:jc w:val="both"/>
        <w:rPr>
          <w:rFonts w:ascii="仿宋_GB2312" w:hAnsi="Cambria" w:eastAsia="仿宋_GB2312" w:cs="仿宋_GB2312"/>
          <w:color w:val="000000"/>
          <w:kern w:val="2"/>
          <w:sz w:val="32"/>
          <w:szCs w:val="32"/>
          <w:lang w:val="zh-CN"/>
        </w:rPr>
      </w:pPr>
      <w:r>
        <w:rPr>
          <w:rFonts w:ascii="仿宋_GB2312" w:hAnsi="Cambria" w:eastAsia="仿宋_GB2312" w:cs="仿宋_GB2312"/>
          <w:color w:val="000000"/>
          <w:kern w:val="2"/>
          <w:sz w:val="32"/>
          <w:szCs w:val="32"/>
          <w:lang w:val="zh-CN"/>
        </w:rPr>
        <w:t>2022</w:t>
      </w:r>
      <w:r>
        <w:rPr>
          <w:rFonts w:hint="eastAsia" w:ascii="仿宋_GB2312" w:hAnsi="Cambria" w:eastAsia="仿宋_GB2312" w:cs="仿宋_GB2312"/>
          <w:color w:val="000000"/>
          <w:kern w:val="2"/>
          <w:sz w:val="32"/>
          <w:szCs w:val="32"/>
          <w:lang w:val="zh-CN"/>
        </w:rPr>
        <w:t>年</w:t>
      </w:r>
      <w:r>
        <w:rPr>
          <w:rFonts w:ascii="Cambria" w:hAnsi="Cambria" w:eastAsia="仿宋_GB2312" w:cs="仿宋_GB2312"/>
          <w:color w:val="000000"/>
          <w:kern w:val="2"/>
          <w:sz w:val="32"/>
          <w:szCs w:val="32"/>
          <w:lang w:val="zh-CN"/>
        </w:rPr>
        <w:t>“</w:t>
      </w:r>
      <w:r>
        <w:rPr>
          <w:rFonts w:hint="eastAsia" w:ascii="仿宋_GB2312" w:hAnsi="Cambria" w:eastAsia="仿宋_GB2312" w:cs="仿宋_GB2312"/>
          <w:color w:val="000000"/>
          <w:kern w:val="2"/>
          <w:sz w:val="32"/>
          <w:szCs w:val="32"/>
          <w:lang w:val="zh-CN"/>
        </w:rPr>
        <w:t>三公</w:t>
      </w:r>
      <w:r>
        <w:rPr>
          <w:rFonts w:ascii="Cambria" w:hAnsi="Cambria" w:eastAsia="仿宋_GB2312" w:cs="仿宋_GB2312"/>
          <w:color w:val="000000"/>
          <w:kern w:val="2"/>
          <w:sz w:val="32"/>
          <w:szCs w:val="32"/>
          <w:lang w:val="zh-CN"/>
        </w:rPr>
        <w:t>”</w:t>
      </w:r>
      <w:r>
        <w:rPr>
          <w:rFonts w:hint="eastAsia" w:ascii="仿宋_GB2312" w:hAnsi="Cambria" w:eastAsia="仿宋_GB2312" w:cs="仿宋_GB2312"/>
          <w:color w:val="000000"/>
          <w:kern w:val="2"/>
          <w:sz w:val="32"/>
          <w:szCs w:val="32"/>
          <w:lang w:val="zh-CN"/>
        </w:rPr>
        <w:t>经费财政拨款支出决算为</w:t>
      </w:r>
      <w:r>
        <w:rPr>
          <w:rFonts w:ascii="仿宋_GB2312" w:hAnsi="Cambria" w:eastAsia="仿宋_GB2312" w:cs="仿宋_GB2312"/>
          <w:color w:val="000000"/>
          <w:kern w:val="2"/>
          <w:sz w:val="32"/>
          <w:szCs w:val="32"/>
          <w:lang w:val="zh-CN"/>
        </w:rPr>
        <w:t>81.3</w:t>
      </w:r>
      <w:r>
        <w:rPr>
          <w:rFonts w:hint="eastAsia" w:ascii="仿宋_GB2312" w:hAnsi="Cambria" w:eastAsia="仿宋_GB2312" w:cs="仿宋_GB2312"/>
          <w:color w:val="000000"/>
          <w:kern w:val="2"/>
          <w:sz w:val="32"/>
          <w:szCs w:val="32"/>
          <w:lang w:val="zh-CN"/>
        </w:rPr>
        <w:t>万元，完成预算</w:t>
      </w:r>
      <w:r>
        <w:rPr>
          <w:rFonts w:ascii="仿宋_GB2312" w:hAnsi="Cambria" w:eastAsia="仿宋_GB2312" w:cs="仿宋_GB2312"/>
          <w:color w:val="000000"/>
          <w:kern w:val="2"/>
          <w:sz w:val="32"/>
          <w:szCs w:val="32"/>
          <w:lang w:val="zh-CN"/>
        </w:rPr>
        <w:t>98.5%</w:t>
      </w:r>
      <w:r>
        <w:rPr>
          <w:rFonts w:hint="eastAsia" w:ascii="仿宋_GB2312" w:hAnsi="Cambria" w:eastAsia="仿宋_GB2312" w:cs="仿宋_GB2312"/>
          <w:color w:val="000000"/>
          <w:kern w:val="2"/>
          <w:sz w:val="32"/>
          <w:szCs w:val="32"/>
          <w:lang w:val="zh-CN"/>
        </w:rPr>
        <w:t>；较上年增加</w:t>
      </w:r>
      <w:r>
        <w:rPr>
          <w:rFonts w:ascii="仿宋_GB2312" w:hAnsi="Cambria" w:eastAsia="仿宋_GB2312" w:cs="仿宋_GB2312"/>
          <w:color w:val="000000"/>
          <w:kern w:val="2"/>
          <w:sz w:val="32"/>
          <w:szCs w:val="32"/>
          <w:lang w:val="zh-CN"/>
        </w:rPr>
        <w:t>24.83</w:t>
      </w:r>
      <w:r>
        <w:rPr>
          <w:rFonts w:hint="eastAsia" w:ascii="仿宋_GB2312" w:hAnsi="Cambria" w:eastAsia="仿宋_GB2312" w:cs="仿宋_GB2312"/>
          <w:color w:val="000000"/>
          <w:kern w:val="2"/>
          <w:sz w:val="32"/>
          <w:szCs w:val="32"/>
          <w:lang w:val="zh-CN"/>
        </w:rPr>
        <w:t>万元，增长</w:t>
      </w:r>
      <w:r>
        <w:rPr>
          <w:rFonts w:ascii="仿宋_GB2312" w:hAnsi="Cambria" w:eastAsia="仿宋_GB2312" w:cs="仿宋_GB2312"/>
          <w:color w:val="000000"/>
          <w:kern w:val="2"/>
          <w:sz w:val="32"/>
          <w:szCs w:val="32"/>
          <w:lang w:val="zh-CN"/>
        </w:rPr>
        <w:t>44%</w:t>
      </w:r>
      <w:r>
        <w:rPr>
          <w:rFonts w:hint="eastAsia" w:ascii="仿宋_GB2312" w:hAnsi="Cambria" w:eastAsia="仿宋_GB2312" w:cs="仿宋_GB2312"/>
          <w:color w:val="000000"/>
          <w:kern w:val="2"/>
          <w:sz w:val="32"/>
          <w:szCs w:val="32"/>
          <w:lang w:val="zh-CN"/>
        </w:rPr>
        <w:t>。决算数小于预算数的主要原因是</w:t>
      </w:r>
      <w:r>
        <w:rPr>
          <w:rStyle w:val="20"/>
          <w:rFonts w:hint="eastAsia" w:ascii="仿宋" w:hAnsi="仿宋" w:eastAsia="仿宋"/>
          <w:b w:val="0"/>
          <w:sz w:val="32"/>
        </w:rPr>
        <w:t>厉行节约</w:t>
      </w:r>
      <w:r>
        <w:rPr>
          <w:rFonts w:hint="eastAsia" w:ascii="仿宋_GB2312" w:hAnsi="Cambria" w:eastAsia="仿宋_GB2312" w:cs="仿宋_GB2312"/>
          <w:color w:val="000000"/>
          <w:kern w:val="2"/>
          <w:sz w:val="32"/>
          <w:szCs w:val="32"/>
          <w:lang w:val="zh-CN"/>
        </w:rPr>
        <w:t>。</w:t>
      </w:r>
    </w:p>
    <w:p>
      <w:pPr>
        <w:keepNext/>
        <w:keepLines/>
        <w:topLinePunct/>
        <w:spacing w:line="560" w:lineRule="exact"/>
        <w:ind w:firstLine="643"/>
        <w:jc w:val="both"/>
        <w:rPr>
          <w:rFonts w:ascii="楷体_GB2312" w:hAnsi="Times New Roman" w:eastAsia="楷体_GB2312" w:cs="仿宋_GB2312"/>
          <w:color w:val="000000"/>
          <w:kern w:val="2"/>
          <w:sz w:val="32"/>
          <w:szCs w:val="32"/>
          <w:lang w:val="zh-CN"/>
        </w:rPr>
      </w:pPr>
      <w:r>
        <w:rPr>
          <w:rFonts w:hint="eastAsia" w:ascii="楷体_GB2312" w:hAnsi="Times New Roman" w:eastAsia="楷体_GB2312" w:cs="仿宋_GB2312"/>
          <w:color w:val="000000"/>
          <w:kern w:val="2"/>
          <w:sz w:val="32"/>
          <w:szCs w:val="32"/>
          <w:lang w:val="zh-CN"/>
        </w:rPr>
        <w:t>（二）</w:t>
      </w:r>
      <w:r>
        <w:rPr>
          <w:rFonts w:ascii="楷体_GB2312" w:hAnsi="Times New Roman" w:eastAsia="楷体_GB2312" w:cs="仿宋_GB2312"/>
          <w:color w:val="000000"/>
          <w:kern w:val="2"/>
          <w:sz w:val="32"/>
          <w:szCs w:val="32"/>
          <w:lang w:val="zh-CN"/>
        </w:rPr>
        <w:t>“</w:t>
      </w:r>
      <w:r>
        <w:rPr>
          <w:rFonts w:hint="eastAsia" w:ascii="楷体_GB2312" w:hAnsi="Times New Roman" w:eastAsia="楷体_GB2312" w:cs="仿宋_GB2312"/>
          <w:color w:val="000000"/>
          <w:kern w:val="2"/>
          <w:sz w:val="32"/>
          <w:szCs w:val="32"/>
          <w:lang w:val="zh-CN"/>
        </w:rPr>
        <w:t>三公</w:t>
      </w:r>
      <w:r>
        <w:rPr>
          <w:rFonts w:ascii="楷体_GB2312" w:hAnsi="Times New Roman" w:eastAsia="楷体_GB2312" w:cs="仿宋_GB2312"/>
          <w:color w:val="000000"/>
          <w:kern w:val="2"/>
          <w:sz w:val="32"/>
          <w:szCs w:val="32"/>
          <w:lang w:val="zh-CN"/>
        </w:rPr>
        <w:t>”</w:t>
      </w:r>
      <w:r>
        <w:rPr>
          <w:rFonts w:hint="eastAsia" w:ascii="楷体_GB2312" w:hAnsi="Times New Roman" w:eastAsia="楷体_GB2312" w:cs="仿宋_GB2312"/>
          <w:color w:val="000000"/>
          <w:kern w:val="2"/>
          <w:sz w:val="32"/>
          <w:szCs w:val="32"/>
          <w:lang w:val="zh-CN"/>
        </w:rPr>
        <w:t>经费财政拨款支出决算具体情况说明</w:t>
      </w:r>
    </w:p>
    <w:p>
      <w:pPr>
        <w:keepNext/>
        <w:topLinePunct/>
        <w:spacing w:line="560" w:lineRule="exact"/>
        <w:ind w:firstLine="640"/>
        <w:jc w:val="both"/>
        <w:rPr>
          <w:rFonts w:ascii="仿宋_GB2312" w:hAnsi="Cambria" w:eastAsia="仿宋_GB2312" w:cs="仿宋_GB2312"/>
          <w:color w:val="000000"/>
          <w:kern w:val="2"/>
          <w:sz w:val="32"/>
          <w:szCs w:val="32"/>
          <w:lang w:val="zh-CN"/>
        </w:rPr>
      </w:pPr>
      <w:r>
        <w:rPr>
          <w:rFonts w:ascii="仿宋_GB2312" w:hAnsi="Cambria" w:eastAsia="仿宋_GB2312" w:cs="仿宋_GB2312"/>
          <w:color w:val="000000"/>
          <w:kern w:val="2"/>
          <w:sz w:val="32"/>
          <w:szCs w:val="32"/>
          <w:lang w:val="zh-CN"/>
        </w:rPr>
        <w:t>2022</w:t>
      </w:r>
      <w:r>
        <w:rPr>
          <w:rFonts w:hint="eastAsia" w:ascii="仿宋_GB2312" w:hAnsi="Cambria" w:eastAsia="仿宋_GB2312" w:cs="仿宋_GB2312"/>
          <w:color w:val="000000"/>
          <w:kern w:val="2"/>
          <w:sz w:val="32"/>
          <w:szCs w:val="32"/>
          <w:lang w:val="zh-CN"/>
        </w:rPr>
        <w:t>年</w:t>
      </w:r>
      <w:r>
        <w:rPr>
          <w:rFonts w:ascii="Cambria" w:hAnsi="Cambria" w:eastAsia="仿宋_GB2312" w:cs="仿宋_GB2312"/>
          <w:color w:val="000000"/>
          <w:kern w:val="2"/>
          <w:sz w:val="32"/>
          <w:szCs w:val="32"/>
          <w:lang w:val="zh-CN"/>
        </w:rPr>
        <w:t>“</w:t>
      </w:r>
      <w:r>
        <w:rPr>
          <w:rFonts w:hint="eastAsia" w:ascii="仿宋_GB2312" w:hAnsi="Cambria" w:eastAsia="仿宋_GB2312" w:cs="仿宋_GB2312"/>
          <w:color w:val="000000"/>
          <w:kern w:val="2"/>
          <w:sz w:val="32"/>
          <w:szCs w:val="32"/>
          <w:lang w:val="zh-CN"/>
        </w:rPr>
        <w:t>三公</w:t>
      </w:r>
      <w:r>
        <w:rPr>
          <w:rFonts w:ascii="Cambria" w:hAnsi="Cambria" w:eastAsia="仿宋_GB2312" w:cs="仿宋_GB2312"/>
          <w:color w:val="000000"/>
          <w:kern w:val="2"/>
          <w:sz w:val="32"/>
          <w:szCs w:val="32"/>
          <w:lang w:val="zh-CN"/>
        </w:rPr>
        <w:t>”</w:t>
      </w:r>
      <w:r>
        <w:rPr>
          <w:rFonts w:hint="eastAsia" w:ascii="仿宋_GB2312" w:hAnsi="Cambria" w:eastAsia="仿宋_GB2312" w:cs="仿宋_GB2312"/>
          <w:color w:val="000000"/>
          <w:kern w:val="2"/>
          <w:sz w:val="32"/>
          <w:szCs w:val="32"/>
          <w:lang w:val="zh-CN"/>
        </w:rPr>
        <w:t>经费财政拨款支出决算中，因公出国（境）费支出决算</w:t>
      </w:r>
      <w:r>
        <w:rPr>
          <w:rFonts w:ascii="仿宋_GB2312" w:hAnsi="Cambria" w:eastAsia="仿宋_GB2312" w:cs="仿宋_GB2312"/>
          <w:color w:val="000000"/>
          <w:kern w:val="2"/>
          <w:sz w:val="32"/>
          <w:szCs w:val="32"/>
          <w:lang w:val="zh-CN"/>
        </w:rPr>
        <w:t>0</w:t>
      </w:r>
      <w:r>
        <w:rPr>
          <w:rFonts w:hint="eastAsia" w:ascii="仿宋_GB2312" w:hAnsi="Cambria" w:eastAsia="仿宋_GB2312" w:cs="仿宋_GB2312"/>
          <w:color w:val="000000"/>
          <w:kern w:val="2"/>
          <w:sz w:val="32"/>
          <w:szCs w:val="32"/>
          <w:lang w:val="zh-CN"/>
        </w:rPr>
        <w:t>万元；公务用车购置及运行维护费支出决算</w:t>
      </w:r>
      <w:r>
        <w:rPr>
          <w:rFonts w:ascii="仿宋_GB2312" w:hAnsi="Cambria" w:eastAsia="仿宋_GB2312" w:cs="仿宋_GB2312"/>
          <w:color w:val="000000"/>
          <w:kern w:val="2"/>
          <w:sz w:val="32"/>
          <w:szCs w:val="32"/>
          <w:lang w:val="zh-CN"/>
        </w:rPr>
        <w:t>69.79</w:t>
      </w:r>
      <w:r>
        <w:rPr>
          <w:rFonts w:hint="eastAsia" w:ascii="仿宋_GB2312" w:hAnsi="Cambria" w:eastAsia="仿宋_GB2312" w:cs="仿宋_GB2312"/>
          <w:color w:val="000000"/>
          <w:kern w:val="2"/>
          <w:sz w:val="32"/>
          <w:szCs w:val="32"/>
          <w:lang w:val="zh-CN"/>
        </w:rPr>
        <w:t>万元，占</w:t>
      </w:r>
      <w:r>
        <w:rPr>
          <w:rFonts w:ascii="仿宋_GB2312" w:hAnsi="Cambria" w:eastAsia="仿宋_GB2312" w:cs="仿宋_GB2312"/>
          <w:color w:val="000000"/>
          <w:kern w:val="2"/>
          <w:sz w:val="32"/>
          <w:szCs w:val="32"/>
          <w:lang w:val="zh-CN"/>
        </w:rPr>
        <w:t>8</w:t>
      </w:r>
      <w:r>
        <w:rPr>
          <w:rFonts w:ascii="仿宋_GB2312" w:hAnsi="Cambria" w:eastAsia="仿宋_GB2312" w:cs="仿宋_GB2312"/>
          <w:color w:val="000000"/>
          <w:kern w:val="2"/>
          <w:sz w:val="32"/>
          <w:szCs w:val="32"/>
        </w:rPr>
        <w:t>6</w:t>
      </w:r>
      <w:r>
        <w:rPr>
          <w:rFonts w:ascii="仿宋_GB2312" w:hAnsi="Cambria" w:eastAsia="仿宋_GB2312" w:cs="仿宋_GB2312"/>
          <w:color w:val="000000"/>
          <w:kern w:val="2"/>
          <w:sz w:val="32"/>
          <w:szCs w:val="32"/>
          <w:lang w:val="zh-CN"/>
        </w:rPr>
        <w:t>%</w:t>
      </w:r>
      <w:r>
        <w:rPr>
          <w:rFonts w:hint="eastAsia" w:ascii="仿宋_GB2312" w:hAnsi="Cambria" w:eastAsia="仿宋_GB2312" w:cs="仿宋_GB2312"/>
          <w:color w:val="000000"/>
          <w:kern w:val="2"/>
          <w:sz w:val="32"/>
          <w:szCs w:val="32"/>
          <w:lang w:val="zh-CN"/>
        </w:rPr>
        <w:t>；公务接待费支出决算</w:t>
      </w:r>
      <w:r>
        <w:rPr>
          <w:rFonts w:ascii="仿宋_GB2312" w:hAnsi="Cambria" w:eastAsia="仿宋_GB2312" w:cs="仿宋_GB2312"/>
          <w:color w:val="000000"/>
          <w:kern w:val="2"/>
          <w:sz w:val="32"/>
          <w:szCs w:val="32"/>
          <w:lang w:val="zh-CN"/>
        </w:rPr>
        <w:t>11.51</w:t>
      </w:r>
      <w:r>
        <w:rPr>
          <w:rFonts w:hint="eastAsia" w:ascii="仿宋_GB2312" w:hAnsi="Cambria" w:eastAsia="仿宋_GB2312" w:cs="仿宋_GB2312"/>
          <w:color w:val="000000"/>
          <w:kern w:val="2"/>
          <w:sz w:val="32"/>
          <w:szCs w:val="32"/>
          <w:lang w:val="zh-CN"/>
        </w:rPr>
        <w:t>万元，占</w:t>
      </w:r>
      <w:r>
        <w:rPr>
          <w:rFonts w:ascii="仿宋_GB2312" w:hAnsi="Cambria" w:eastAsia="仿宋_GB2312" w:cs="仿宋_GB2312"/>
          <w:color w:val="000000"/>
          <w:kern w:val="2"/>
          <w:sz w:val="32"/>
          <w:szCs w:val="32"/>
          <w:lang w:val="zh-CN"/>
        </w:rPr>
        <w:t>14%</w:t>
      </w:r>
      <w:r>
        <w:rPr>
          <w:rFonts w:hint="eastAsia" w:ascii="仿宋_GB2312" w:hAnsi="Cambria" w:eastAsia="仿宋_GB2312" w:cs="仿宋_GB2312"/>
          <w:color w:val="000000"/>
          <w:kern w:val="2"/>
          <w:sz w:val="32"/>
          <w:szCs w:val="32"/>
          <w:lang w:val="zh-CN"/>
        </w:rPr>
        <w:t>。具体情况如下：</w:t>
      </w:r>
    </w:p>
    <w:p>
      <w:pPr>
        <w:pStyle w:val="2"/>
        <w:ind w:left="480" w:firstLine="480"/>
        <w:rPr>
          <w:lang w:val="zh-CN"/>
        </w:rPr>
      </w:pPr>
    </w:p>
    <w:p>
      <w:pPr>
        <w:pStyle w:val="2"/>
        <w:ind w:left="480" w:firstLine="1440" w:firstLineChars="600"/>
        <w:rPr>
          <w:rFonts w:hint="default"/>
        </w:rPr>
      </w:pPr>
      <w:r>
        <w:rPr>
          <w:rFonts w:hint="default"/>
        </w:rPr>
        <w:drawing>
          <wp:inline distT="0" distB="0" distL="114300" distR="114300">
            <wp:extent cx="3695700" cy="226695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7"/>
                    <a:stretch>
                      <a:fillRect/>
                    </a:stretch>
                  </pic:blipFill>
                  <pic:spPr>
                    <a:xfrm>
                      <a:off x="0" y="0"/>
                      <a:ext cx="3695700" cy="2266950"/>
                    </a:xfrm>
                    <a:prstGeom prst="rect">
                      <a:avLst/>
                    </a:prstGeom>
                  </pic:spPr>
                </pic:pic>
              </a:graphicData>
            </a:graphic>
          </wp:inline>
        </w:drawing>
      </w:r>
    </w:p>
    <w:p>
      <w:pPr>
        <w:topLinePunct/>
        <w:spacing w:line="560" w:lineRule="exact"/>
        <w:ind w:firstLine="640"/>
        <w:jc w:val="center"/>
        <w:rPr>
          <w:rFonts w:hint="eastAsia" w:ascii="仿宋_GB2312" w:hAnsi="Cambria" w:eastAsia="仿宋_GB2312" w:cs="仿宋"/>
          <w:kern w:val="2"/>
          <w:sz w:val="32"/>
          <w:szCs w:val="32"/>
        </w:rPr>
      </w:pPr>
      <w:r>
        <w:rPr>
          <w:rFonts w:hint="eastAsia" w:ascii="仿宋_GB2312" w:hAnsi="Cambria" w:eastAsia="仿宋_GB2312" w:cs="仿宋"/>
          <w:kern w:val="2"/>
          <w:sz w:val="32"/>
          <w:szCs w:val="32"/>
        </w:rPr>
        <w:t>（图7：“三公”经费财政拨款支出结构）</w:t>
      </w:r>
    </w:p>
    <w:p>
      <w:pPr>
        <w:spacing w:line="600" w:lineRule="exact"/>
        <w:ind w:firstLine="640"/>
        <w:rPr>
          <w:rFonts w:ascii="仿宋_GB2312" w:eastAsia="仿宋_GB2312"/>
          <w:sz w:val="32"/>
          <w:szCs w:val="32"/>
        </w:rPr>
      </w:pPr>
      <w:r>
        <w:rPr>
          <w:rFonts w:ascii="仿宋_GB2312" w:hAnsi="Cambria" w:eastAsia="仿宋_GB2312" w:cs="仿宋_GB2312"/>
          <w:color w:val="000000"/>
          <w:kern w:val="2"/>
          <w:sz w:val="32"/>
          <w:szCs w:val="32"/>
          <w:lang w:val="zh-CN"/>
        </w:rPr>
        <w:t>1.</w:t>
      </w:r>
      <w:r>
        <w:rPr>
          <w:rFonts w:hint="eastAsia" w:ascii="仿宋_GB2312" w:eastAsia="仿宋_GB2312"/>
          <w:sz w:val="32"/>
          <w:szCs w:val="32"/>
        </w:rPr>
        <w:t>因公出国（境）经费支出</w:t>
      </w:r>
      <w:r>
        <w:rPr>
          <w:rFonts w:ascii="仿宋_GB2312" w:eastAsia="仿宋_GB2312"/>
          <w:sz w:val="32"/>
          <w:szCs w:val="32"/>
        </w:rPr>
        <w:t>0</w:t>
      </w:r>
      <w:r>
        <w:rPr>
          <w:rFonts w:hint="eastAsia" w:ascii="仿宋_GB2312" w:eastAsia="仿宋_GB2312"/>
          <w:sz w:val="32"/>
          <w:szCs w:val="32"/>
        </w:rPr>
        <w:t>万元，</w:t>
      </w:r>
      <w:r>
        <w:rPr>
          <w:rStyle w:val="20"/>
          <w:rFonts w:hint="eastAsia" w:ascii="仿宋" w:hAnsi="仿宋" w:eastAsia="仿宋"/>
          <w:b w:val="0"/>
          <w:sz w:val="32"/>
        </w:rPr>
        <w:t>年初未安排预算。</w:t>
      </w:r>
      <w:r>
        <w:rPr>
          <w:rFonts w:hint="eastAsia" w:ascii="仿宋_GB2312" w:eastAsia="仿宋_GB2312"/>
          <w:sz w:val="32"/>
          <w:szCs w:val="32"/>
        </w:rPr>
        <w:t>因公出国（境）支出决算比</w:t>
      </w:r>
      <w:r>
        <w:rPr>
          <w:rFonts w:ascii="仿宋_GB2312" w:eastAsia="仿宋_GB2312"/>
          <w:sz w:val="32"/>
          <w:szCs w:val="32"/>
        </w:rPr>
        <w:t>2021</w:t>
      </w:r>
      <w:r>
        <w:rPr>
          <w:rFonts w:hint="eastAsia" w:ascii="仿宋_GB2312" w:eastAsia="仿宋_GB2312"/>
          <w:sz w:val="32"/>
          <w:szCs w:val="32"/>
        </w:rPr>
        <w:t>年无变化。</w:t>
      </w:r>
    </w:p>
    <w:p>
      <w:pPr>
        <w:spacing w:line="600" w:lineRule="exact"/>
        <w:ind w:firstLine="640"/>
        <w:rPr>
          <w:rFonts w:ascii="仿宋_GB2312" w:eastAsia="仿宋_GB2312"/>
          <w:sz w:val="32"/>
          <w:szCs w:val="32"/>
        </w:rPr>
      </w:pPr>
      <w:r>
        <w:rPr>
          <w:rFonts w:ascii="仿宋_GB2312" w:hAnsi="Cambria" w:eastAsia="仿宋_GB2312" w:cs="仿宋_GB2312"/>
          <w:b/>
          <w:color w:val="000000"/>
          <w:kern w:val="2"/>
          <w:sz w:val="32"/>
          <w:szCs w:val="32"/>
          <w:lang w:val="zh-CN"/>
        </w:rPr>
        <w:t>2.</w:t>
      </w:r>
      <w:r>
        <w:rPr>
          <w:rFonts w:hint="eastAsia" w:ascii="仿宋_GB2312" w:hAnsi="Cambria" w:eastAsia="仿宋_GB2312" w:cs="仿宋_GB2312"/>
          <w:b/>
          <w:color w:val="000000"/>
          <w:kern w:val="2"/>
          <w:sz w:val="32"/>
          <w:szCs w:val="32"/>
          <w:lang w:val="zh-CN"/>
        </w:rPr>
        <w:t>公务用车购置及运行维护费</w:t>
      </w:r>
      <w:r>
        <w:rPr>
          <w:rFonts w:hint="eastAsia" w:ascii="仿宋_GB2312" w:hAnsi="Cambria" w:eastAsia="仿宋_GB2312" w:cs="仿宋_GB2312"/>
          <w:color w:val="000000"/>
          <w:kern w:val="2"/>
          <w:sz w:val="32"/>
          <w:szCs w:val="32"/>
          <w:lang w:val="zh-CN"/>
        </w:rPr>
        <w:t>支出</w:t>
      </w:r>
      <w:r>
        <w:rPr>
          <w:rFonts w:ascii="仿宋_GB2312" w:hAnsi="Cambria" w:eastAsia="仿宋_GB2312" w:cs="仿宋_GB2312"/>
          <w:color w:val="000000"/>
          <w:kern w:val="2"/>
          <w:sz w:val="32"/>
          <w:szCs w:val="32"/>
          <w:lang w:val="zh-CN"/>
        </w:rPr>
        <w:t>69.79</w:t>
      </w:r>
      <w:r>
        <w:rPr>
          <w:rFonts w:hint="eastAsia" w:ascii="仿宋_GB2312" w:hAnsi="Cambria" w:eastAsia="仿宋_GB2312" w:cs="仿宋_GB2312"/>
          <w:color w:val="000000"/>
          <w:kern w:val="2"/>
          <w:sz w:val="32"/>
          <w:szCs w:val="32"/>
          <w:lang w:val="zh-CN"/>
        </w:rPr>
        <w:t>万元，完成预算</w:t>
      </w:r>
      <w:r>
        <w:rPr>
          <w:rFonts w:ascii="仿宋_GB2312" w:hAnsi="Cambria" w:eastAsia="仿宋_GB2312" w:cs="仿宋_GB2312"/>
          <w:color w:val="000000"/>
          <w:kern w:val="2"/>
          <w:sz w:val="32"/>
          <w:szCs w:val="32"/>
          <w:lang w:val="zh-CN"/>
        </w:rPr>
        <w:t>100%</w:t>
      </w:r>
      <w:r>
        <w:rPr>
          <w:rFonts w:hint="eastAsia" w:ascii="仿宋_GB2312" w:hAnsi="Cambria" w:eastAsia="仿宋_GB2312" w:cs="仿宋_GB2312"/>
          <w:color w:val="000000"/>
          <w:kern w:val="2"/>
          <w:sz w:val="32"/>
          <w:szCs w:val="32"/>
          <w:lang w:val="zh-CN"/>
        </w:rPr>
        <w:t>。公务用车购置及运行维护费支出决算比</w:t>
      </w:r>
      <w:r>
        <w:rPr>
          <w:rFonts w:ascii="仿宋_GB2312" w:hAnsi="Cambria" w:eastAsia="仿宋_GB2312" w:cs="仿宋_GB2312"/>
          <w:color w:val="000000"/>
          <w:kern w:val="2"/>
          <w:sz w:val="32"/>
          <w:szCs w:val="32"/>
          <w:lang w:val="zh-CN"/>
        </w:rPr>
        <w:t>2021</w:t>
      </w:r>
      <w:r>
        <w:rPr>
          <w:rFonts w:hint="eastAsia" w:ascii="仿宋_GB2312" w:hAnsi="Cambria" w:eastAsia="仿宋_GB2312" w:cs="仿宋_GB2312"/>
          <w:color w:val="000000"/>
          <w:kern w:val="2"/>
          <w:sz w:val="32"/>
          <w:szCs w:val="32"/>
          <w:lang w:val="zh-CN"/>
        </w:rPr>
        <w:t>年增加</w:t>
      </w:r>
      <w:r>
        <w:rPr>
          <w:rFonts w:ascii="仿宋_GB2312" w:hAnsi="Cambria" w:eastAsia="仿宋_GB2312" w:cs="仿宋_GB2312"/>
          <w:color w:val="000000"/>
          <w:kern w:val="2"/>
          <w:sz w:val="32"/>
          <w:szCs w:val="32"/>
          <w:lang w:val="zh-CN"/>
        </w:rPr>
        <w:t>34.52</w:t>
      </w:r>
      <w:r>
        <w:rPr>
          <w:rFonts w:hint="eastAsia" w:ascii="仿宋_GB2312" w:hAnsi="Cambria" w:eastAsia="仿宋_GB2312" w:cs="仿宋_GB2312"/>
          <w:color w:val="000000"/>
          <w:kern w:val="2"/>
          <w:sz w:val="32"/>
          <w:szCs w:val="32"/>
          <w:lang w:val="zh-CN"/>
        </w:rPr>
        <w:t>万元，增长</w:t>
      </w:r>
      <w:r>
        <w:rPr>
          <w:rFonts w:ascii="仿宋_GB2312" w:hAnsi="Cambria" w:eastAsia="仿宋_GB2312" w:cs="仿宋_GB2312"/>
          <w:color w:val="000000"/>
          <w:kern w:val="2"/>
          <w:sz w:val="32"/>
          <w:szCs w:val="32"/>
          <w:lang w:val="zh-CN"/>
        </w:rPr>
        <w:t>97.9%</w:t>
      </w:r>
      <w:r>
        <w:rPr>
          <w:rFonts w:hint="eastAsia" w:ascii="仿宋_GB2312" w:hAnsi="Cambria" w:eastAsia="仿宋_GB2312" w:cs="仿宋_GB2312"/>
          <w:color w:val="000000"/>
          <w:kern w:val="2"/>
          <w:sz w:val="32"/>
          <w:szCs w:val="32"/>
          <w:lang w:val="zh-CN"/>
        </w:rPr>
        <w:t>。主要原因是</w:t>
      </w:r>
      <w:r>
        <w:rPr>
          <w:rFonts w:hint="eastAsia" w:ascii="仿宋_GB2312" w:eastAsia="仿宋_GB2312"/>
          <w:sz w:val="32"/>
          <w:szCs w:val="32"/>
        </w:rPr>
        <w:t>招商引资力度加大、调研、乡村振兴用车频率增加。</w:t>
      </w:r>
    </w:p>
    <w:p>
      <w:pPr>
        <w:spacing w:line="600" w:lineRule="exact"/>
        <w:ind w:firstLine="640"/>
        <w:rPr>
          <w:rFonts w:ascii="仿宋_GB2312" w:hAnsi="Cambria" w:eastAsia="仿宋_GB2312" w:cs="仿宋_GB2312"/>
          <w:color w:val="000000"/>
          <w:kern w:val="2"/>
          <w:sz w:val="32"/>
          <w:szCs w:val="32"/>
          <w:lang w:val="zh-CN"/>
        </w:rPr>
      </w:pPr>
      <w:r>
        <w:rPr>
          <w:rFonts w:hint="eastAsia" w:ascii="仿宋_GB2312" w:hAnsi="Cambria" w:eastAsia="仿宋_GB2312" w:cs="仿宋_GB2312"/>
          <w:color w:val="000000"/>
          <w:kern w:val="2"/>
          <w:sz w:val="32"/>
          <w:szCs w:val="32"/>
          <w:lang w:val="zh-CN"/>
        </w:rPr>
        <w:t>其中：公务用车购置费支出25万元。全年按规定更新购置公务用车1辆，其中：小型载客汽车1辆、金额25万元，主要用于招商引资。截至</w:t>
      </w:r>
      <w:r>
        <w:rPr>
          <w:rFonts w:ascii="仿宋_GB2312" w:hAnsi="Cambria" w:eastAsia="仿宋_GB2312" w:cs="仿宋_GB2312"/>
          <w:color w:val="000000"/>
          <w:kern w:val="2"/>
          <w:sz w:val="32"/>
          <w:szCs w:val="32"/>
          <w:lang w:val="zh-CN"/>
        </w:rPr>
        <w:t>2022</w:t>
      </w:r>
      <w:r>
        <w:rPr>
          <w:rFonts w:hint="eastAsia" w:ascii="仿宋_GB2312" w:hAnsi="Cambria" w:eastAsia="仿宋_GB2312" w:cs="仿宋_GB2312"/>
          <w:color w:val="000000"/>
          <w:kern w:val="2"/>
          <w:sz w:val="32"/>
          <w:szCs w:val="32"/>
          <w:lang w:val="zh-CN"/>
        </w:rPr>
        <w:t>年</w:t>
      </w:r>
      <w:r>
        <w:rPr>
          <w:rFonts w:ascii="仿宋_GB2312" w:hAnsi="Cambria" w:eastAsia="仿宋_GB2312" w:cs="仿宋_GB2312"/>
          <w:color w:val="000000"/>
          <w:kern w:val="2"/>
          <w:sz w:val="32"/>
          <w:szCs w:val="32"/>
          <w:lang w:val="zh-CN"/>
        </w:rPr>
        <w:t>12</w:t>
      </w:r>
      <w:r>
        <w:rPr>
          <w:rFonts w:hint="eastAsia" w:ascii="仿宋_GB2312" w:hAnsi="Cambria" w:eastAsia="仿宋_GB2312" w:cs="仿宋_GB2312"/>
          <w:color w:val="000000"/>
          <w:kern w:val="2"/>
          <w:sz w:val="32"/>
          <w:szCs w:val="32"/>
          <w:lang w:val="zh-CN"/>
        </w:rPr>
        <w:t>月底，本部门共有公务用车</w:t>
      </w:r>
      <w:r>
        <w:rPr>
          <w:rFonts w:ascii="仿宋_GB2312" w:hAnsi="Cambria" w:eastAsia="仿宋_GB2312" w:cs="仿宋_GB2312"/>
          <w:color w:val="000000"/>
          <w:kern w:val="2"/>
          <w:sz w:val="32"/>
          <w:szCs w:val="32"/>
          <w:lang w:val="zh-CN"/>
        </w:rPr>
        <w:t>6</w:t>
      </w:r>
      <w:r>
        <w:rPr>
          <w:rFonts w:hint="eastAsia" w:ascii="仿宋_GB2312" w:hAnsi="Cambria" w:eastAsia="仿宋_GB2312" w:cs="仿宋_GB2312"/>
          <w:color w:val="000000"/>
          <w:kern w:val="2"/>
          <w:sz w:val="32"/>
          <w:szCs w:val="32"/>
          <w:lang w:val="zh-CN"/>
        </w:rPr>
        <w:t>辆，其中：轿车</w:t>
      </w:r>
      <w:r>
        <w:rPr>
          <w:rFonts w:ascii="仿宋_GB2312" w:hAnsi="Cambria" w:eastAsia="仿宋_GB2312" w:cs="仿宋_GB2312"/>
          <w:color w:val="000000"/>
          <w:kern w:val="2"/>
          <w:sz w:val="32"/>
          <w:szCs w:val="32"/>
        </w:rPr>
        <w:t>6</w:t>
      </w:r>
      <w:r>
        <w:rPr>
          <w:rFonts w:hint="eastAsia" w:ascii="仿宋_GB2312" w:hAnsi="Cambria" w:eastAsia="仿宋_GB2312" w:cs="仿宋_GB2312"/>
          <w:color w:val="000000"/>
          <w:kern w:val="2"/>
          <w:sz w:val="32"/>
          <w:szCs w:val="32"/>
          <w:lang w:val="zh-CN"/>
        </w:rPr>
        <w:t>辆。</w:t>
      </w:r>
    </w:p>
    <w:p>
      <w:pPr>
        <w:spacing w:line="600" w:lineRule="exact"/>
        <w:ind w:firstLine="640"/>
        <w:rPr>
          <w:rFonts w:ascii="仿宋_GB2312" w:eastAsia="仿宋_GB2312"/>
          <w:sz w:val="32"/>
          <w:szCs w:val="32"/>
        </w:rPr>
      </w:pPr>
      <w:r>
        <w:rPr>
          <w:rFonts w:hint="eastAsia" w:ascii="仿宋_GB2312" w:hAnsi="Cambria" w:eastAsia="仿宋_GB2312" w:cs="仿宋_GB2312"/>
          <w:b/>
          <w:color w:val="000000"/>
          <w:kern w:val="2"/>
          <w:sz w:val="32"/>
          <w:szCs w:val="32"/>
          <w:lang w:val="zh-CN"/>
        </w:rPr>
        <w:t>公务用车运行维护费</w:t>
      </w:r>
      <w:r>
        <w:rPr>
          <w:rFonts w:hint="eastAsia" w:ascii="仿宋_GB2312" w:hAnsi="Cambria" w:eastAsia="仿宋_GB2312" w:cs="仿宋_GB2312"/>
          <w:color w:val="000000"/>
          <w:kern w:val="2"/>
          <w:sz w:val="32"/>
          <w:szCs w:val="32"/>
          <w:lang w:val="zh-CN"/>
        </w:rPr>
        <w:t>支出</w:t>
      </w:r>
      <w:r>
        <w:rPr>
          <w:rFonts w:ascii="仿宋_GB2312" w:hAnsi="Cambria" w:eastAsia="仿宋_GB2312" w:cs="仿宋_GB2312"/>
          <w:color w:val="000000"/>
          <w:kern w:val="2"/>
          <w:sz w:val="32"/>
          <w:szCs w:val="32"/>
          <w:lang w:val="zh-CN"/>
        </w:rPr>
        <w:t>44.79</w:t>
      </w:r>
      <w:r>
        <w:rPr>
          <w:rFonts w:hint="eastAsia" w:ascii="仿宋_GB2312" w:hAnsi="Cambria" w:eastAsia="仿宋_GB2312" w:cs="仿宋_GB2312"/>
          <w:color w:val="000000"/>
          <w:kern w:val="2"/>
          <w:sz w:val="32"/>
          <w:szCs w:val="32"/>
          <w:lang w:val="zh-CN"/>
        </w:rPr>
        <w:t>万元。</w:t>
      </w:r>
      <w:r>
        <w:rPr>
          <w:rFonts w:hint="eastAsia" w:ascii="仿宋_GB2312" w:hAnsi="仿宋" w:eastAsia="仿宋_GB2312"/>
          <w:color w:val="000000"/>
          <w:sz w:val="32"/>
          <w:szCs w:val="32"/>
        </w:rPr>
        <w:t>主要用于招商、调研等所需的公务用车燃料费</w:t>
      </w:r>
      <w:r>
        <w:rPr>
          <w:rFonts w:hint="eastAsia" w:ascii="仿宋_GB2312" w:eastAsia="仿宋_GB2312"/>
          <w:sz w:val="32"/>
          <w:szCs w:val="32"/>
        </w:rPr>
        <w:t>、维修费、过路过桥费、保险费等支出。</w:t>
      </w:r>
    </w:p>
    <w:p>
      <w:pPr>
        <w:spacing w:line="600" w:lineRule="exact"/>
        <w:ind w:firstLine="640"/>
        <w:rPr>
          <w:rFonts w:ascii="仿宋_GB2312" w:hAnsi="Cambria" w:eastAsia="仿宋_GB2312" w:cs="仿宋_GB2312"/>
          <w:color w:val="000000"/>
          <w:kern w:val="2"/>
          <w:sz w:val="32"/>
          <w:szCs w:val="32"/>
          <w:lang w:val="zh-CN"/>
        </w:rPr>
      </w:pPr>
      <w:r>
        <w:rPr>
          <w:rFonts w:ascii="仿宋_GB2312" w:hAnsi="Cambria" w:eastAsia="仿宋_GB2312" w:cs="仿宋_GB2312"/>
          <w:b/>
          <w:color w:val="000000"/>
          <w:kern w:val="2"/>
          <w:sz w:val="32"/>
          <w:szCs w:val="32"/>
          <w:lang w:val="zh-CN"/>
        </w:rPr>
        <w:t>3.</w:t>
      </w:r>
      <w:r>
        <w:rPr>
          <w:rFonts w:hint="eastAsia" w:ascii="仿宋_GB2312" w:hAnsi="Cambria" w:eastAsia="仿宋_GB2312" w:cs="仿宋_GB2312"/>
          <w:b/>
          <w:color w:val="000000"/>
          <w:kern w:val="2"/>
          <w:sz w:val="32"/>
          <w:szCs w:val="32"/>
          <w:lang w:val="zh-CN"/>
        </w:rPr>
        <w:t>公务接待费</w:t>
      </w:r>
      <w:r>
        <w:rPr>
          <w:rFonts w:hint="eastAsia" w:ascii="仿宋_GB2312" w:hAnsi="Cambria" w:eastAsia="仿宋_GB2312" w:cs="仿宋_GB2312"/>
          <w:color w:val="000000"/>
          <w:kern w:val="2"/>
          <w:sz w:val="32"/>
          <w:szCs w:val="32"/>
          <w:lang w:val="zh-CN"/>
        </w:rPr>
        <w:t>支出</w:t>
      </w:r>
      <w:r>
        <w:rPr>
          <w:rFonts w:ascii="仿宋_GB2312" w:hAnsi="Cambria" w:eastAsia="仿宋_GB2312" w:cs="仿宋_GB2312"/>
          <w:color w:val="000000"/>
          <w:kern w:val="2"/>
          <w:sz w:val="32"/>
          <w:szCs w:val="32"/>
          <w:lang w:val="zh-CN"/>
        </w:rPr>
        <w:t>11.51</w:t>
      </w:r>
      <w:r>
        <w:rPr>
          <w:rFonts w:hint="eastAsia" w:ascii="仿宋_GB2312" w:hAnsi="Cambria" w:eastAsia="仿宋_GB2312" w:cs="仿宋_GB2312"/>
          <w:color w:val="000000"/>
          <w:kern w:val="2"/>
          <w:sz w:val="32"/>
          <w:szCs w:val="32"/>
          <w:lang w:val="zh-CN"/>
        </w:rPr>
        <w:t>万元，完成预算</w:t>
      </w:r>
      <w:r>
        <w:rPr>
          <w:rFonts w:ascii="仿宋_GB2312" w:hAnsi="Cambria" w:eastAsia="仿宋_GB2312" w:cs="仿宋_GB2312"/>
          <w:color w:val="000000"/>
          <w:kern w:val="2"/>
          <w:sz w:val="32"/>
          <w:szCs w:val="32"/>
          <w:lang w:val="zh-CN"/>
        </w:rPr>
        <w:t>90.6%</w:t>
      </w:r>
      <w:r>
        <w:rPr>
          <w:rFonts w:hint="eastAsia" w:ascii="仿宋_GB2312" w:hAnsi="Cambria" w:eastAsia="仿宋_GB2312" w:cs="仿宋_GB2312"/>
          <w:color w:val="000000"/>
          <w:kern w:val="2"/>
          <w:sz w:val="32"/>
          <w:szCs w:val="32"/>
          <w:lang w:val="zh-CN"/>
        </w:rPr>
        <w:t>。公务接待费支出决算比</w:t>
      </w:r>
      <w:r>
        <w:rPr>
          <w:rFonts w:ascii="仿宋_GB2312" w:hAnsi="Cambria" w:eastAsia="仿宋_GB2312" w:cs="仿宋_GB2312"/>
          <w:color w:val="000000"/>
          <w:kern w:val="2"/>
          <w:sz w:val="32"/>
          <w:szCs w:val="32"/>
          <w:lang w:val="zh-CN"/>
        </w:rPr>
        <w:t>2021</w:t>
      </w:r>
      <w:r>
        <w:rPr>
          <w:rFonts w:hint="eastAsia" w:ascii="仿宋_GB2312" w:hAnsi="Cambria" w:eastAsia="仿宋_GB2312" w:cs="仿宋_GB2312"/>
          <w:color w:val="000000"/>
          <w:kern w:val="2"/>
          <w:sz w:val="32"/>
          <w:szCs w:val="32"/>
          <w:lang w:val="zh-CN"/>
        </w:rPr>
        <w:t>年减少</w:t>
      </w:r>
      <w:r>
        <w:rPr>
          <w:rFonts w:ascii="仿宋_GB2312" w:hAnsi="Cambria" w:eastAsia="仿宋_GB2312" w:cs="仿宋_GB2312"/>
          <w:color w:val="000000"/>
          <w:kern w:val="2"/>
          <w:sz w:val="32"/>
          <w:szCs w:val="32"/>
          <w:lang w:val="zh-CN"/>
        </w:rPr>
        <w:t>9.69</w:t>
      </w:r>
      <w:r>
        <w:rPr>
          <w:rFonts w:hint="eastAsia" w:ascii="仿宋_GB2312" w:hAnsi="Cambria" w:eastAsia="仿宋_GB2312" w:cs="仿宋_GB2312"/>
          <w:color w:val="000000"/>
          <w:kern w:val="2"/>
          <w:sz w:val="32"/>
          <w:szCs w:val="32"/>
          <w:lang w:val="zh-CN"/>
        </w:rPr>
        <w:t>万元，下降</w:t>
      </w:r>
      <w:r>
        <w:rPr>
          <w:rFonts w:ascii="仿宋_GB2312" w:hAnsi="Cambria" w:eastAsia="仿宋_GB2312" w:cs="仿宋_GB2312"/>
          <w:color w:val="000000"/>
          <w:kern w:val="2"/>
          <w:sz w:val="32"/>
          <w:szCs w:val="32"/>
          <w:lang w:val="zh-CN"/>
        </w:rPr>
        <w:t>45.7%</w:t>
      </w:r>
      <w:r>
        <w:rPr>
          <w:rFonts w:hint="eastAsia" w:ascii="仿宋_GB2312" w:hAnsi="Cambria" w:eastAsia="仿宋_GB2312" w:cs="仿宋_GB2312"/>
          <w:color w:val="000000"/>
          <w:kern w:val="2"/>
          <w:sz w:val="32"/>
          <w:szCs w:val="32"/>
          <w:lang w:val="zh-CN"/>
        </w:rPr>
        <w:t>。主要原因是厉行节约。其中：</w:t>
      </w:r>
    </w:p>
    <w:p>
      <w:pPr>
        <w:spacing w:line="600" w:lineRule="exact"/>
        <w:ind w:firstLine="640"/>
        <w:rPr>
          <w:rFonts w:ascii="仿宋_GB2312" w:hAnsi="Cambria" w:eastAsia="仿宋_GB2312" w:cs="仿宋_GB2312"/>
          <w:color w:val="000000"/>
          <w:kern w:val="2"/>
          <w:sz w:val="32"/>
          <w:szCs w:val="32"/>
        </w:rPr>
      </w:pPr>
      <w:r>
        <w:rPr>
          <w:rFonts w:hint="eastAsia" w:ascii="仿宋_GB2312" w:hAnsi="Cambria" w:eastAsia="仿宋_GB2312" w:cs="仿宋_GB2312"/>
          <w:b/>
          <w:color w:val="000000"/>
          <w:kern w:val="2"/>
          <w:sz w:val="32"/>
          <w:szCs w:val="32"/>
          <w:lang w:val="zh-CN"/>
        </w:rPr>
        <w:t>国内公务接待</w:t>
      </w:r>
      <w:r>
        <w:rPr>
          <w:rFonts w:hint="eastAsia" w:ascii="仿宋_GB2312" w:hAnsi="Cambria" w:eastAsia="仿宋_GB2312" w:cs="仿宋_GB2312"/>
          <w:color w:val="000000"/>
          <w:kern w:val="2"/>
          <w:sz w:val="32"/>
          <w:szCs w:val="32"/>
          <w:lang w:val="zh-CN"/>
        </w:rPr>
        <w:t>支出</w:t>
      </w:r>
      <w:r>
        <w:rPr>
          <w:rFonts w:ascii="仿宋_GB2312" w:hAnsi="Cambria" w:eastAsia="仿宋_GB2312" w:cs="仿宋_GB2312"/>
          <w:color w:val="000000"/>
          <w:kern w:val="2"/>
          <w:sz w:val="32"/>
          <w:szCs w:val="32"/>
          <w:lang w:val="zh-CN"/>
        </w:rPr>
        <w:t>11.51</w:t>
      </w:r>
      <w:r>
        <w:rPr>
          <w:rFonts w:hint="eastAsia" w:ascii="仿宋_GB2312" w:hAnsi="Cambria" w:eastAsia="仿宋_GB2312" w:cs="仿宋_GB2312"/>
          <w:color w:val="000000"/>
          <w:kern w:val="2"/>
          <w:sz w:val="32"/>
          <w:szCs w:val="32"/>
          <w:lang w:val="zh-CN"/>
        </w:rPr>
        <w:t>万元。主要用于</w:t>
      </w:r>
      <w:r>
        <w:rPr>
          <w:rFonts w:hint="eastAsia" w:ascii="仿宋" w:hAnsi="仿宋" w:eastAsia="仿宋"/>
          <w:color w:val="000000"/>
          <w:sz w:val="32"/>
          <w:szCs w:val="32"/>
        </w:rPr>
        <w:t>招商活动开支的用餐费。</w:t>
      </w:r>
      <w:r>
        <w:rPr>
          <w:rFonts w:hint="eastAsia" w:ascii="仿宋_GB2312" w:hAnsi="Cambria" w:eastAsia="仿宋_GB2312" w:cs="仿宋_GB2312"/>
          <w:color w:val="000000"/>
          <w:kern w:val="2"/>
          <w:sz w:val="32"/>
          <w:szCs w:val="32"/>
          <w:lang w:val="zh-CN"/>
        </w:rPr>
        <w:t>国内公务接待</w:t>
      </w:r>
      <w:r>
        <w:rPr>
          <w:rFonts w:ascii="仿宋_GB2312" w:hAnsi="Cambria" w:eastAsia="仿宋_GB2312" w:cs="仿宋_GB2312"/>
          <w:color w:val="000000"/>
          <w:kern w:val="2"/>
          <w:sz w:val="32"/>
          <w:szCs w:val="32"/>
          <w:lang w:val="zh-CN"/>
        </w:rPr>
        <w:t>101</w:t>
      </w:r>
      <w:r>
        <w:rPr>
          <w:rFonts w:hint="eastAsia" w:ascii="仿宋_GB2312" w:hAnsi="Cambria" w:eastAsia="仿宋_GB2312" w:cs="仿宋_GB2312"/>
          <w:color w:val="000000"/>
          <w:kern w:val="2"/>
          <w:sz w:val="32"/>
          <w:szCs w:val="32"/>
          <w:lang w:val="zh-CN"/>
        </w:rPr>
        <w:t>批次，</w:t>
      </w:r>
      <w:r>
        <w:rPr>
          <w:rFonts w:ascii="仿宋_GB2312" w:hAnsi="Cambria" w:eastAsia="仿宋_GB2312" w:cs="仿宋_GB2312"/>
          <w:color w:val="000000"/>
          <w:kern w:val="2"/>
          <w:sz w:val="32"/>
          <w:szCs w:val="32"/>
          <w:lang w:val="zh-CN"/>
        </w:rPr>
        <w:t>1150</w:t>
      </w:r>
      <w:r>
        <w:rPr>
          <w:rFonts w:hint="eastAsia" w:ascii="仿宋_GB2312" w:hAnsi="Cambria" w:eastAsia="仿宋_GB2312" w:cs="仿宋_GB2312"/>
          <w:color w:val="000000"/>
          <w:kern w:val="2"/>
          <w:sz w:val="32"/>
          <w:szCs w:val="32"/>
          <w:lang w:val="zh-CN"/>
        </w:rPr>
        <w:t>人次，共计支出</w:t>
      </w:r>
      <w:r>
        <w:rPr>
          <w:rFonts w:ascii="仿宋_GB2312" w:hAnsi="Cambria" w:eastAsia="仿宋_GB2312" w:cs="仿宋_GB2312"/>
          <w:color w:val="000000"/>
          <w:kern w:val="2"/>
          <w:sz w:val="32"/>
          <w:szCs w:val="32"/>
          <w:lang w:val="zh-CN"/>
        </w:rPr>
        <w:t>11.51</w:t>
      </w:r>
      <w:r>
        <w:rPr>
          <w:rFonts w:hint="eastAsia" w:ascii="仿宋_GB2312" w:hAnsi="Cambria" w:eastAsia="仿宋_GB2312" w:cs="仿宋_GB2312"/>
          <w:color w:val="000000"/>
          <w:kern w:val="2"/>
          <w:sz w:val="32"/>
          <w:szCs w:val="32"/>
          <w:lang w:val="zh-CN"/>
        </w:rPr>
        <w:t>万元，具体内容包括接待用餐，金额</w:t>
      </w:r>
      <w:r>
        <w:rPr>
          <w:rFonts w:ascii="仿宋_GB2312" w:hAnsi="Cambria" w:eastAsia="仿宋_GB2312" w:cs="仿宋_GB2312"/>
          <w:color w:val="000000"/>
          <w:kern w:val="2"/>
          <w:sz w:val="32"/>
          <w:szCs w:val="32"/>
        </w:rPr>
        <w:t>11.51</w:t>
      </w:r>
      <w:r>
        <w:rPr>
          <w:rFonts w:hint="eastAsia" w:ascii="仿宋_GB2312" w:hAnsi="Cambria" w:eastAsia="仿宋_GB2312" w:cs="仿宋_GB2312"/>
          <w:color w:val="000000"/>
          <w:kern w:val="2"/>
          <w:sz w:val="32"/>
          <w:szCs w:val="32"/>
        </w:rPr>
        <w:t>万元。</w:t>
      </w:r>
    </w:p>
    <w:p>
      <w:pPr>
        <w:keepNext/>
        <w:keepLines/>
        <w:topLinePunct/>
        <w:spacing w:line="560" w:lineRule="exact"/>
        <w:ind w:firstLine="643"/>
        <w:jc w:val="both"/>
        <w:rPr>
          <w:rFonts w:ascii="仿宋_GB2312" w:hAnsi="Cambria" w:eastAsia="仿宋_GB2312" w:cs="仿宋_GB2312"/>
          <w:color w:val="000000"/>
          <w:kern w:val="2"/>
          <w:sz w:val="32"/>
          <w:szCs w:val="32"/>
        </w:rPr>
      </w:pPr>
      <w:r>
        <w:rPr>
          <w:rFonts w:hint="eastAsia" w:ascii="仿宋_GB2312" w:hAnsi="Cambria" w:eastAsia="仿宋_GB2312" w:cs="仿宋_GB2312"/>
          <w:b/>
          <w:color w:val="000000"/>
          <w:kern w:val="2"/>
          <w:sz w:val="32"/>
          <w:szCs w:val="32"/>
          <w:lang w:val="zh-CN"/>
        </w:rPr>
        <w:t>外事接待</w:t>
      </w:r>
      <w:r>
        <w:rPr>
          <w:rFonts w:hint="eastAsia" w:ascii="仿宋_GB2312" w:hAnsi="Cambria" w:eastAsia="仿宋_GB2312" w:cs="仿宋_GB2312"/>
          <w:color w:val="000000"/>
          <w:kern w:val="2"/>
          <w:sz w:val="32"/>
          <w:szCs w:val="32"/>
          <w:lang w:val="zh-CN"/>
        </w:rPr>
        <w:t>支出</w:t>
      </w:r>
      <w:r>
        <w:rPr>
          <w:rFonts w:ascii="仿宋_GB2312" w:hAnsi="Cambria" w:eastAsia="仿宋_GB2312" w:cs="仿宋_GB2312"/>
          <w:color w:val="000000"/>
          <w:kern w:val="2"/>
          <w:sz w:val="32"/>
          <w:szCs w:val="32"/>
          <w:lang w:val="zh-CN"/>
        </w:rPr>
        <w:t>0</w:t>
      </w:r>
      <w:r>
        <w:rPr>
          <w:rFonts w:hint="eastAsia" w:ascii="仿宋_GB2312" w:hAnsi="Cambria" w:eastAsia="仿宋_GB2312" w:cs="仿宋_GB2312"/>
          <w:color w:val="000000"/>
          <w:kern w:val="2"/>
          <w:sz w:val="32"/>
          <w:szCs w:val="32"/>
          <w:lang w:val="zh-CN"/>
        </w:rPr>
        <w:t>万元。</w:t>
      </w:r>
    </w:p>
    <w:p>
      <w:pPr>
        <w:keepNext/>
        <w:keepLines/>
        <w:topLinePunct/>
        <w:spacing w:line="560" w:lineRule="exact"/>
        <w:ind w:firstLine="640"/>
        <w:jc w:val="both"/>
        <w:rPr>
          <w:rFonts w:ascii="黑体" w:hAnsi="Cambria" w:eastAsia="黑体" w:cs="黑体"/>
          <w:b/>
          <w:kern w:val="2"/>
          <w:sz w:val="32"/>
          <w:szCs w:val="32"/>
          <w:lang w:val="zh-CN"/>
        </w:rPr>
      </w:pPr>
      <w:r>
        <w:rPr>
          <w:rFonts w:hint="eastAsia" w:ascii="黑体" w:hAnsi="Cambria" w:eastAsia="黑体" w:cs="黑体"/>
          <w:color w:val="000000"/>
          <w:kern w:val="2"/>
          <w:sz w:val="32"/>
          <w:szCs w:val="32"/>
          <w:lang w:val="zh-CN"/>
        </w:rPr>
        <w:t>八、</w:t>
      </w:r>
      <w:r>
        <w:rPr>
          <w:rFonts w:hint="eastAsia" w:ascii="黑体" w:hAnsi="Cambria" w:eastAsia="黑体" w:cs="黑体"/>
          <w:kern w:val="2"/>
          <w:sz w:val="32"/>
          <w:szCs w:val="32"/>
          <w:lang w:val="zh-CN"/>
        </w:rPr>
        <w:t>政府性基金预算支出决算情况说明</w:t>
      </w:r>
    </w:p>
    <w:p>
      <w:pPr>
        <w:topLinePunct/>
        <w:spacing w:line="560" w:lineRule="exact"/>
        <w:ind w:firstLine="640"/>
        <w:jc w:val="both"/>
        <w:rPr>
          <w:rFonts w:ascii="仿宋_GB2312" w:hAnsi="Cambria" w:eastAsia="仿宋_GB2312" w:cs="仿宋_GB2312"/>
          <w:color w:val="000000"/>
          <w:kern w:val="2"/>
          <w:sz w:val="32"/>
          <w:szCs w:val="32"/>
          <w:lang w:val="zh-CN"/>
        </w:rPr>
      </w:pPr>
      <w:r>
        <w:rPr>
          <w:rFonts w:ascii="仿宋_GB2312" w:hAnsi="Cambria" w:eastAsia="仿宋_GB2312" w:cs="仿宋_GB2312"/>
          <w:color w:val="000000"/>
          <w:kern w:val="2"/>
          <w:sz w:val="32"/>
          <w:szCs w:val="32"/>
          <w:lang w:val="zh-CN"/>
        </w:rPr>
        <w:t>2022</w:t>
      </w:r>
      <w:r>
        <w:rPr>
          <w:rFonts w:hint="eastAsia" w:ascii="仿宋_GB2312" w:hAnsi="Cambria" w:eastAsia="仿宋_GB2312" w:cs="仿宋_GB2312"/>
          <w:color w:val="000000"/>
          <w:kern w:val="2"/>
          <w:sz w:val="32"/>
          <w:szCs w:val="32"/>
          <w:lang w:val="zh-CN"/>
        </w:rPr>
        <w:t>年政府性基金预算拨款支出</w:t>
      </w:r>
      <w:r>
        <w:rPr>
          <w:rFonts w:ascii="仿宋_GB2312" w:hAnsi="Cambria" w:eastAsia="仿宋_GB2312" w:cs="仿宋_GB2312"/>
          <w:color w:val="000000"/>
          <w:kern w:val="2"/>
          <w:sz w:val="32"/>
          <w:szCs w:val="32"/>
          <w:lang w:val="zh-CN"/>
        </w:rPr>
        <w:t>0</w:t>
      </w:r>
      <w:r>
        <w:rPr>
          <w:rFonts w:hint="eastAsia" w:ascii="仿宋_GB2312" w:hAnsi="Cambria" w:eastAsia="仿宋_GB2312" w:cs="仿宋_GB2312"/>
          <w:color w:val="000000"/>
          <w:kern w:val="2"/>
          <w:sz w:val="32"/>
          <w:szCs w:val="32"/>
          <w:lang w:val="zh-CN"/>
        </w:rPr>
        <w:t>万元。</w:t>
      </w:r>
    </w:p>
    <w:p>
      <w:pPr>
        <w:keepNext/>
        <w:keepLines/>
        <w:topLinePunct/>
        <w:spacing w:line="560" w:lineRule="exact"/>
        <w:ind w:firstLine="640"/>
        <w:jc w:val="both"/>
        <w:rPr>
          <w:rFonts w:ascii="黑体" w:hAnsi="Cambria" w:eastAsia="黑体" w:cs="黑体"/>
          <w:kern w:val="2"/>
          <w:sz w:val="32"/>
          <w:szCs w:val="32"/>
          <w:lang w:val="zh-CN"/>
        </w:rPr>
      </w:pPr>
      <w:r>
        <w:rPr>
          <w:rFonts w:hint="eastAsia" w:ascii="黑体" w:hAnsi="Cambria" w:eastAsia="黑体" w:cs="黑体"/>
          <w:kern w:val="2"/>
          <w:sz w:val="32"/>
          <w:szCs w:val="32"/>
          <w:lang w:val="zh-CN"/>
        </w:rPr>
        <w:t>九、国有资本经营预算支出决算情况说明</w:t>
      </w:r>
    </w:p>
    <w:p>
      <w:pPr>
        <w:topLinePunct/>
        <w:spacing w:line="560" w:lineRule="exact"/>
        <w:ind w:firstLine="640"/>
        <w:jc w:val="both"/>
        <w:rPr>
          <w:rFonts w:ascii="仿宋_GB2312" w:hAnsi="Cambria" w:eastAsia="仿宋_GB2312" w:cs="仿宋_GB2312"/>
          <w:color w:val="000000"/>
          <w:kern w:val="2"/>
          <w:sz w:val="32"/>
          <w:szCs w:val="32"/>
          <w:lang w:val="zh-CN"/>
        </w:rPr>
      </w:pPr>
      <w:r>
        <w:rPr>
          <w:rFonts w:ascii="仿宋_GB2312" w:hAnsi="Cambria" w:eastAsia="仿宋_GB2312" w:cs="仿宋_GB2312"/>
          <w:color w:val="000000"/>
          <w:kern w:val="2"/>
          <w:sz w:val="32"/>
          <w:szCs w:val="32"/>
          <w:lang w:val="zh-CN"/>
        </w:rPr>
        <w:t>2022</w:t>
      </w:r>
      <w:r>
        <w:rPr>
          <w:rFonts w:hint="eastAsia" w:ascii="仿宋_GB2312" w:hAnsi="Cambria" w:eastAsia="仿宋_GB2312" w:cs="仿宋_GB2312"/>
          <w:color w:val="000000"/>
          <w:kern w:val="2"/>
          <w:sz w:val="32"/>
          <w:szCs w:val="32"/>
          <w:lang w:val="zh-CN"/>
        </w:rPr>
        <w:t>年国有资本经营预算拨款支出</w:t>
      </w:r>
      <w:r>
        <w:rPr>
          <w:rFonts w:ascii="仿宋_GB2312" w:hAnsi="Cambria" w:eastAsia="仿宋_GB2312" w:cs="仿宋_GB2312"/>
          <w:color w:val="000000"/>
          <w:kern w:val="2"/>
          <w:sz w:val="32"/>
          <w:szCs w:val="32"/>
          <w:lang w:val="zh-CN"/>
        </w:rPr>
        <w:t>0</w:t>
      </w:r>
      <w:r>
        <w:rPr>
          <w:rFonts w:hint="eastAsia" w:ascii="仿宋_GB2312" w:hAnsi="Cambria" w:eastAsia="仿宋_GB2312" w:cs="仿宋_GB2312"/>
          <w:color w:val="000000"/>
          <w:kern w:val="2"/>
          <w:sz w:val="32"/>
          <w:szCs w:val="32"/>
          <w:lang w:val="zh-CN"/>
        </w:rPr>
        <w:t>万元。</w:t>
      </w:r>
    </w:p>
    <w:p>
      <w:pPr>
        <w:keepNext/>
        <w:keepLines/>
        <w:topLinePunct/>
        <w:spacing w:line="560" w:lineRule="exact"/>
        <w:ind w:firstLine="640"/>
        <w:jc w:val="both"/>
        <w:rPr>
          <w:rFonts w:ascii="黑体" w:hAnsi="Cambria" w:eastAsia="黑体" w:cs="黑体"/>
          <w:b/>
          <w:kern w:val="2"/>
          <w:sz w:val="32"/>
          <w:szCs w:val="32"/>
          <w:lang w:val="zh-CN"/>
        </w:rPr>
      </w:pPr>
      <w:r>
        <w:rPr>
          <w:rFonts w:hint="eastAsia" w:ascii="黑体" w:hAnsi="Cambria" w:eastAsia="黑体" w:cs="黑体"/>
          <w:color w:val="000000"/>
          <w:kern w:val="2"/>
          <w:sz w:val="32"/>
          <w:szCs w:val="32"/>
          <w:lang w:val="zh-CN"/>
        </w:rPr>
        <w:t>十</w:t>
      </w:r>
      <w:r>
        <w:rPr>
          <w:rFonts w:hint="eastAsia" w:ascii="黑体" w:hAnsi="Cambria" w:eastAsia="黑体" w:cs="黑体"/>
          <w:b/>
          <w:kern w:val="2"/>
          <w:sz w:val="32"/>
          <w:szCs w:val="32"/>
          <w:lang w:val="zh-CN"/>
        </w:rPr>
        <w:t>、</w:t>
      </w:r>
      <w:r>
        <w:rPr>
          <w:rFonts w:hint="eastAsia" w:ascii="黑体" w:hAnsi="Cambria" w:eastAsia="黑体" w:cs="黑体"/>
          <w:kern w:val="2"/>
          <w:sz w:val="32"/>
          <w:szCs w:val="32"/>
          <w:lang w:val="zh-CN"/>
        </w:rPr>
        <w:t>其他重要事项的情况说明</w:t>
      </w:r>
    </w:p>
    <w:p>
      <w:pPr>
        <w:keepNext/>
        <w:keepLines/>
        <w:topLinePunct/>
        <w:spacing w:line="560" w:lineRule="exact"/>
        <w:ind w:firstLine="643"/>
        <w:jc w:val="both"/>
        <w:rPr>
          <w:rFonts w:ascii="楷体_GB2312" w:hAnsi="Times New Roman" w:eastAsia="楷体_GB2312" w:cs="仿宋_GB2312"/>
          <w:color w:val="000000"/>
          <w:kern w:val="2"/>
          <w:sz w:val="32"/>
          <w:szCs w:val="32"/>
          <w:lang w:val="zh-CN"/>
        </w:rPr>
      </w:pPr>
      <w:r>
        <w:rPr>
          <w:rFonts w:hint="eastAsia" w:ascii="楷体_GB2312" w:hAnsi="Times New Roman" w:eastAsia="楷体_GB2312" w:cs="仿宋_GB2312"/>
          <w:color w:val="000000"/>
          <w:kern w:val="2"/>
          <w:sz w:val="32"/>
          <w:szCs w:val="32"/>
          <w:lang w:val="zh-CN"/>
        </w:rPr>
        <w:t>（一）机关运行经费支出情况</w:t>
      </w:r>
    </w:p>
    <w:p>
      <w:pPr>
        <w:topLinePunct/>
        <w:spacing w:line="560" w:lineRule="exact"/>
        <w:ind w:firstLine="640"/>
        <w:jc w:val="both"/>
        <w:rPr>
          <w:rFonts w:ascii="仿宋_GB2312" w:hAnsi="Cambria" w:eastAsia="仿宋_GB2312" w:cs="仿宋_GB2312"/>
          <w:color w:val="000000"/>
          <w:kern w:val="2"/>
          <w:sz w:val="32"/>
          <w:szCs w:val="32"/>
          <w:lang w:val="zh-CN"/>
        </w:rPr>
      </w:pPr>
      <w:r>
        <w:rPr>
          <w:rFonts w:ascii="仿宋_GB2312" w:hAnsi="Cambria" w:eastAsia="仿宋_GB2312" w:cs="仿宋_GB2312"/>
          <w:color w:val="000000"/>
          <w:kern w:val="2"/>
          <w:sz w:val="32"/>
          <w:szCs w:val="32"/>
          <w:lang w:val="zh-CN"/>
        </w:rPr>
        <w:t>2022</w:t>
      </w:r>
      <w:r>
        <w:rPr>
          <w:rFonts w:hint="eastAsia" w:ascii="仿宋_GB2312" w:hAnsi="Cambria" w:eastAsia="仿宋_GB2312" w:cs="仿宋_GB2312"/>
          <w:color w:val="000000"/>
          <w:kern w:val="2"/>
          <w:sz w:val="32"/>
          <w:szCs w:val="32"/>
          <w:lang w:val="zh-CN"/>
        </w:rPr>
        <w:t>年，广元市人民政府办公室机关运行经费支出</w:t>
      </w:r>
      <w:r>
        <w:rPr>
          <w:rFonts w:ascii="仿宋_GB2312" w:hAnsi="Cambria" w:eastAsia="仿宋_GB2312" w:cs="仿宋_GB2312"/>
          <w:color w:val="000000"/>
          <w:kern w:val="2"/>
          <w:sz w:val="32"/>
          <w:szCs w:val="32"/>
          <w:lang w:val="zh-CN"/>
        </w:rPr>
        <w:t>486.92</w:t>
      </w:r>
      <w:r>
        <w:rPr>
          <w:rFonts w:hint="eastAsia" w:ascii="仿宋_GB2312" w:hAnsi="Cambria" w:eastAsia="仿宋_GB2312" w:cs="仿宋_GB2312"/>
          <w:color w:val="000000"/>
          <w:kern w:val="2"/>
          <w:sz w:val="32"/>
          <w:szCs w:val="32"/>
          <w:lang w:val="zh-CN"/>
        </w:rPr>
        <w:t>万元，比</w:t>
      </w:r>
      <w:r>
        <w:rPr>
          <w:rFonts w:ascii="仿宋_GB2312" w:hAnsi="Cambria" w:eastAsia="仿宋_GB2312" w:cs="仿宋_GB2312"/>
          <w:color w:val="000000"/>
          <w:kern w:val="2"/>
          <w:sz w:val="32"/>
          <w:szCs w:val="32"/>
          <w:lang w:val="zh-CN"/>
        </w:rPr>
        <w:t>2021</w:t>
      </w:r>
      <w:r>
        <w:rPr>
          <w:rFonts w:hint="eastAsia" w:ascii="仿宋_GB2312" w:hAnsi="Cambria" w:eastAsia="仿宋_GB2312" w:cs="仿宋_GB2312"/>
          <w:color w:val="000000"/>
          <w:kern w:val="2"/>
          <w:sz w:val="32"/>
          <w:szCs w:val="32"/>
          <w:lang w:val="zh-CN"/>
        </w:rPr>
        <w:t>年减少</w:t>
      </w:r>
      <w:r>
        <w:rPr>
          <w:rFonts w:ascii="仿宋_GB2312" w:hAnsi="Cambria" w:eastAsia="仿宋_GB2312" w:cs="仿宋_GB2312"/>
          <w:color w:val="000000"/>
          <w:kern w:val="2"/>
          <w:sz w:val="32"/>
          <w:szCs w:val="32"/>
          <w:lang w:val="zh-CN"/>
        </w:rPr>
        <w:t>146.43</w:t>
      </w:r>
      <w:r>
        <w:rPr>
          <w:rFonts w:hint="eastAsia" w:ascii="仿宋_GB2312" w:hAnsi="Cambria" w:eastAsia="仿宋_GB2312" w:cs="仿宋_GB2312"/>
          <w:color w:val="000000"/>
          <w:kern w:val="2"/>
          <w:sz w:val="32"/>
          <w:szCs w:val="32"/>
          <w:lang w:val="zh-CN"/>
        </w:rPr>
        <w:t>万元，下降</w:t>
      </w:r>
      <w:r>
        <w:rPr>
          <w:rFonts w:ascii="仿宋_GB2312" w:hAnsi="Cambria" w:eastAsia="仿宋_GB2312" w:cs="仿宋_GB2312"/>
          <w:color w:val="000000"/>
          <w:kern w:val="2"/>
          <w:sz w:val="32"/>
          <w:szCs w:val="32"/>
          <w:lang w:val="zh-CN"/>
        </w:rPr>
        <w:t>23.1%</w:t>
      </w:r>
      <w:r>
        <w:rPr>
          <w:rFonts w:hint="eastAsia" w:ascii="仿宋_GB2312" w:hAnsi="Cambria" w:eastAsia="仿宋_GB2312" w:cs="仿宋_GB2312"/>
          <w:color w:val="000000"/>
          <w:kern w:val="2"/>
          <w:sz w:val="32"/>
          <w:szCs w:val="32"/>
          <w:lang w:val="zh-CN"/>
        </w:rPr>
        <w:t>。主要原因是厉行节约。</w:t>
      </w:r>
    </w:p>
    <w:p>
      <w:pPr>
        <w:keepNext/>
        <w:keepLines/>
        <w:topLinePunct/>
        <w:spacing w:line="560" w:lineRule="exact"/>
        <w:ind w:firstLine="643"/>
        <w:jc w:val="both"/>
        <w:rPr>
          <w:rFonts w:ascii="楷体_GB2312" w:hAnsi="Times New Roman" w:eastAsia="楷体_GB2312" w:cs="仿宋_GB2312"/>
          <w:color w:val="000000"/>
          <w:kern w:val="2"/>
          <w:sz w:val="32"/>
          <w:szCs w:val="32"/>
          <w:lang w:val="zh-CN"/>
        </w:rPr>
      </w:pPr>
      <w:r>
        <w:rPr>
          <w:rFonts w:hint="eastAsia" w:ascii="楷体_GB2312" w:hAnsi="Times New Roman" w:eastAsia="楷体_GB2312" w:cs="仿宋_GB2312"/>
          <w:color w:val="000000"/>
          <w:kern w:val="2"/>
          <w:sz w:val="32"/>
          <w:szCs w:val="32"/>
          <w:lang w:val="zh-CN"/>
        </w:rPr>
        <w:t>（二）政府采购支出情况</w:t>
      </w:r>
    </w:p>
    <w:p>
      <w:pPr>
        <w:topLinePunct/>
        <w:spacing w:line="560" w:lineRule="exact"/>
        <w:ind w:firstLine="640"/>
        <w:jc w:val="both"/>
        <w:rPr>
          <w:rFonts w:ascii="仿宋_GB2312" w:hAnsi="Cambria" w:eastAsia="仿宋_GB2312" w:cs="仿宋_GB2312"/>
          <w:color w:val="000000"/>
          <w:kern w:val="2"/>
          <w:sz w:val="32"/>
          <w:szCs w:val="32"/>
          <w:lang w:val="zh-CN"/>
        </w:rPr>
      </w:pPr>
      <w:r>
        <w:rPr>
          <w:rFonts w:ascii="仿宋_GB2312" w:hAnsi="Cambria" w:eastAsia="仿宋_GB2312" w:cs="仿宋_GB2312"/>
          <w:color w:val="000000"/>
          <w:kern w:val="2"/>
          <w:sz w:val="32"/>
          <w:szCs w:val="32"/>
          <w:lang w:val="zh-CN"/>
        </w:rPr>
        <w:t>2022</w:t>
      </w:r>
      <w:r>
        <w:rPr>
          <w:rFonts w:hint="eastAsia" w:ascii="仿宋_GB2312" w:hAnsi="Cambria" w:eastAsia="仿宋_GB2312" w:cs="仿宋_GB2312"/>
          <w:color w:val="000000"/>
          <w:kern w:val="2"/>
          <w:sz w:val="32"/>
          <w:szCs w:val="32"/>
          <w:lang w:val="zh-CN"/>
        </w:rPr>
        <w:t>年，广元市人民政府办公室政府采购支出总额</w:t>
      </w:r>
      <w:r>
        <w:rPr>
          <w:rFonts w:ascii="仿宋_GB2312" w:hAnsi="Cambria" w:eastAsia="仿宋_GB2312" w:cs="仿宋_GB2312"/>
          <w:color w:val="000000"/>
          <w:kern w:val="2"/>
          <w:sz w:val="32"/>
          <w:szCs w:val="32"/>
          <w:lang w:val="zh-CN"/>
        </w:rPr>
        <w:t>235.3</w:t>
      </w:r>
      <w:r>
        <w:rPr>
          <w:rFonts w:hint="eastAsia" w:ascii="仿宋_GB2312" w:hAnsi="Cambria" w:eastAsia="仿宋_GB2312" w:cs="仿宋_GB2312"/>
          <w:color w:val="000000"/>
          <w:kern w:val="2"/>
          <w:sz w:val="32"/>
          <w:szCs w:val="32"/>
          <w:lang w:val="zh-CN"/>
        </w:rPr>
        <w:t>万元，其中：政府采购货物支出</w:t>
      </w:r>
      <w:r>
        <w:rPr>
          <w:rFonts w:ascii="仿宋_GB2312" w:hAnsi="Cambria" w:eastAsia="仿宋_GB2312" w:cs="仿宋_GB2312"/>
          <w:color w:val="000000"/>
          <w:kern w:val="2"/>
          <w:sz w:val="32"/>
          <w:szCs w:val="32"/>
          <w:lang w:val="zh-CN"/>
        </w:rPr>
        <w:t>0</w:t>
      </w:r>
      <w:r>
        <w:rPr>
          <w:rFonts w:hint="eastAsia" w:ascii="仿宋_GB2312" w:hAnsi="Cambria" w:eastAsia="仿宋_GB2312" w:cs="仿宋_GB2312"/>
          <w:color w:val="000000"/>
          <w:kern w:val="2"/>
          <w:sz w:val="32"/>
          <w:szCs w:val="32"/>
          <w:lang w:val="zh-CN"/>
        </w:rPr>
        <w:t>万元、政府采购工程支出</w:t>
      </w:r>
      <w:r>
        <w:rPr>
          <w:rFonts w:ascii="仿宋_GB2312" w:hAnsi="Cambria" w:eastAsia="仿宋_GB2312" w:cs="仿宋_GB2312"/>
          <w:color w:val="000000"/>
          <w:kern w:val="2"/>
          <w:sz w:val="32"/>
          <w:szCs w:val="32"/>
          <w:lang w:val="zh-CN"/>
        </w:rPr>
        <w:t>235.3</w:t>
      </w:r>
      <w:r>
        <w:rPr>
          <w:rFonts w:hint="eastAsia" w:ascii="仿宋_GB2312" w:hAnsi="Cambria" w:eastAsia="仿宋_GB2312" w:cs="仿宋_GB2312"/>
          <w:color w:val="000000"/>
          <w:kern w:val="2"/>
          <w:sz w:val="32"/>
          <w:szCs w:val="32"/>
          <w:lang w:val="zh-CN"/>
        </w:rPr>
        <w:t>万元、政府采购服务支出</w:t>
      </w:r>
      <w:r>
        <w:rPr>
          <w:rFonts w:ascii="仿宋_GB2312" w:hAnsi="Cambria" w:eastAsia="仿宋_GB2312" w:cs="仿宋_GB2312"/>
          <w:color w:val="000000"/>
          <w:kern w:val="2"/>
          <w:sz w:val="32"/>
          <w:szCs w:val="32"/>
          <w:lang w:val="zh-CN"/>
        </w:rPr>
        <w:t>0</w:t>
      </w:r>
      <w:r>
        <w:rPr>
          <w:rFonts w:hint="eastAsia" w:ascii="仿宋_GB2312" w:hAnsi="Cambria" w:eastAsia="仿宋_GB2312" w:cs="仿宋_GB2312"/>
          <w:color w:val="000000"/>
          <w:kern w:val="2"/>
          <w:sz w:val="32"/>
          <w:szCs w:val="32"/>
          <w:lang w:val="zh-CN"/>
        </w:rPr>
        <w:t>万元。主要用于成都荷花池十四交易区</w:t>
      </w:r>
      <w:r>
        <w:rPr>
          <w:rFonts w:ascii="仿宋_GB2312" w:hAnsi="Cambria" w:eastAsia="仿宋_GB2312" w:cs="仿宋_GB2312"/>
          <w:color w:val="000000"/>
          <w:kern w:val="2"/>
          <w:sz w:val="32"/>
          <w:szCs w:val="32"/>
        </w:rPr>
        <w:t>A</w:t>
      </w:r>
      <w:r>
        <w:rPr>
          <w:rFonts w:hint="eastAsia" w:ascii="仿宋_GB2312" w:hAnsi="Cambria" w:eastAsia="仿宋_GB2312" w:cs="仿宋_GB2312"/>
          <w:color w:val="000000"/>
          <w:kern w:val="2"/>
          <w:sz w:val="32"/>
          <w:szCs w:val="32"/>
        </w:rPr>
        <w:t>区改造</w:t>
      </w:r>
      <w:r>
        <w:rPr>
          <w:rFonts w:hint="eastAsia" w:ascii="仿宋_GB2312" w:hAnsi="Cambria" w:eastAsia="仿宋_GB2312" w:cs="仿宋_GB2312"/>
          <w:color w:val="000000"/>
          <w:kern w:val="2"/>
          <w:sz w:val="32"/>
          <w:szCs w:val="32"/>
          <w:lang w:val="zh-CN"/>
        </w:rPr>
        <w:t>。授予中小企业合同金额</w:t>
      </w:r>
      <w:r>
        <w:rPr>
          <w:rFonts w:ascii="仿宋_GB2312" w:hAnsi="Cambria" w:eastAsia="仿宋_GB2312" w:cs="仿宋_GB2312"/>
          <w:color w:val="000000"/>
          <w:kern w:val="2"/>
          <w:sz w:val="32"/>
          <w:szCs w:val="32"/>
          <w:lang w:val="zh-CN"/>
        </w:rPr>
        <w:t>0</w:t>
      </w:r>
      <w:r>
        <w:rPr>
          <w:rFonts w:hint="eastAsia" w:ascii="仿宋_GB2312" w:hAnsi="Cambria" w:eastAsia="仿宋_GB2312" w:cs="仿宋_GB2312"/>
          <w:color w:val="000000"/>
          <w:kern w:val="2"/>
          <w:sz w:val="32"/>
          <w:szCs w:val="32"/>
          <w:lang w:val="zh-CN"/>
        </w:rPr>
        <w:t>万元，占政府采购支出总额的</w:t>
      </w:r>
      <w:r>
        <w:rPr>
          <w:rFonts w:ascii="仿宋_GB2312" w:hAnsi="Cambria" w:eastAsia="仿宋_GB2312" w:cs="仿宋_GB2312"/>
          <w:color w:val="000000"/>
          <w:kern w:val="2"/>
          <w:sz w:val="32"/>
          <w:szCs w:val="32"/>
          <w:lang w:val="zh-CN"/>
        </w:rPr>
        <w:t>0%</w:t>
      </w:r>
      <w:r>
        <w:rPr>
          <w:rFonts w:hint="eastAsia" w:ascii="仿宋_GB2312" w:hAnsi="Cambria" w:eastAsia="仿宋_GB2312" w:cs="仿宋_GB2312"/>
          <w:color w:val="000000"/>
          <w:kern w:val="2"/>
          <w:sz w:val="32"/>
          <w:szCs w:val="32"/>
          <w:lang w:val="zh-CN"/>
        </w:rPr>
        <w:t>，其中：授予小微企业合同金额</w:t>
      </w:r>
      <w:r>
        <w:rPr>
          <w:rFonts w:ascii="仿宋_GB2312" w:hAnsi="Cambria" w:eastAsia="仿宋_GB2312" w:cs="仿宋_GB2312"/>
          <w:color w:val="000000"/>
          <w:kern w:val="2"/>
          <w:sz w:val="32"/>
          <w:szCs w:val="32"/>
          <w:lang w:val="zh-CN"/>
        </w:rPr>
        <w:t>0</w:t>
      </w:r>
      <w:r>
        <w:rPr>
          <w:rFonts w:hint="eastAsia" w:ascii="仿宋_GB2312" w:hAnsi="Cambria" w:eastAsia="仿宋_GB2312" w:cs="仿宋_GB2312"/>
          <w:color w:val="000000"/>
          <w:kern w:val="2"/>
          <w:sz w:val="32"/>
          <w:szCs w:val="32"/>
          <w:lang w:val="zh-CN"/>
        </w:rPr>
        <w:t>万元，</w:t>
      </w:r>
      <w:r>
        <w:rPr>
          <w:rFonts w:hint="eastAsia" w:ascii="仿宋_GB2312" w:hAnsi="Cambria" w:eastAsia="仿宋_GB2312" w:cs="仿宋_GB2312"/>
          <w:kern w:val="2"/>
          <w:sz w:val="32"/>
          <w:szCs w:val="32"/>
        </w:rPr>
        <w:t>占政府采购支出总额的</w:t>
      </w:r>
      <w:r>
        <w:rPr>
          <w:rFonts w:ascii="仿宋_GB2312" w:hAnsi="Cambria" w:eastAsia="仿宋_GB2312" w:cs="仿宋_GB2312"/>
          <w:color w:val="000000"/>
          <w:kern w:val="2"/>
          <w:sz w:val="32"/>
          <w:szCs w:val="32"/>
          <w:lang w:val="zh-CN"/>
        </w:rPr>
        <w:t>0%</w:t>
      </w:r>
      <w:r>
        <w:rPr>
          <w:rFonts w:hint="eastAsia" w:ascii="仿宋_GB2312" w:hAnsi="Cambria" w:eastAsia="仿宋_GB2312" w:cs="仿宋_GB2312"/>
          <w:color w:val="000000"/>
          <w:kern w:val="2"/>
          <w:sz w:val="32"/>
          <w:szCs w:val="32"/>
          <w:lang w:val="zh-CN"/>
        </w:rPr>
        <w:t>。</w:t>
      </w:r>
    </w:p>
    <w:p>
      <w:pPr>
        <w:keepNext/>
        <w:keepLines/>
        <w:topLinePunct/>
        <w:spacing w:line="560" w:lineRule="exact"/>
        <w:ind w:firstLine="643"/>
        <w:jc w:val="both"/>
        <w:rPr>
          <w:rFonts w:ascii="楷体_GB2312" w:hAnsi="Times New Roman" w:eastAsia="楷体_GB2312" w:cs="仿宋_GB2312"/>
          <w:color w:val="000000"/>
          <w:kern w:val="2"/>
          <w:sz w:val="32"/>
          <w:szCs w:val="32"/>
          <w:lang w:val="zh-CN"/>
        </w:rPr>
      </w:pPr>
      <w:r>
        <w:rPr>
          <w:rFonts w:hint="eastAsia" w:ascii="楷体_GB2312" w:hAnsi="Times New Roman" w:eastAsia="楷体_GB2312" w:cs="仿宋_GB2312"/>
          <w:color w:val="000000"/>
          <w:kern w:val="2"/>
          <w:sz w:val="32"/>
          <w:szCs w:val="32"/>
          <w:lang w:val="zh-CN"/>
        </w:rPr>
        <w:t>（三）国有资产占有使用情况</w:t>
      </w:r>
    </w:p>
    <w:p>
      <w:pPr>
        <w:topLinePunct/>
        <w:spacing w:line="560" w:lineRule="exact"/>
        <w:ind w:firstLine="640"/>
        <w:rPr>
          <w:rFonts w:ascii="仿宋_GB2312" w:hAnsi="Cambria" w:eastAsia="仿宋_GB2312" w:cs="仿宋_GB2312"/>
          <w:color w:val="000000"/>
          <w:kern w:val="2"/>
          <w:sz w:val="32"/>
          <w:szCs w:val="32"/>
          <w:lang w:val="zh-CN"/>
        </w:rPr>
      </w:pPr>
      <w:r>
        <w:rPr>
          <w:rFonts w:hint="eastAsia" w:ascii="仿宋_GB2312" w:hAnsi="Cambria" w:eastAsia="仿宋_GB2312" w:cs="仿宋_GB2312"/>
          <w:color w:val="000000"/>
          <w:kern w:val="2"/>
          <w:sz w:val="32"/>
          <w:szCs w:val="32"/>
          <w:lang w:val="zh-CN"/>
        </w:rPr>
        <w:t>截至</w:t>
      </w:r>
      <w:r>
        <w:rPr>
          <w:rFonts w:ascii="仿宋_GB2312" w:hAnsi="Cambria" w:eastAsia="仿宋_GB2312" w:cs="仿宋_GB2312"/>
          <w:color w:val="000000"/>
          <w:kern w:val="2"/>
          <w:sz w:val="32"/>
          <w:szCs w:val="32"/>
          <w:lang w:val="zh-CN"/>
        </w:rPr>
        <w:t>2022</w:t>
      </w:r>
      <w:r>
        <w:rPr>
          <w:rFonts w:hint="eastAsia" w:ascii="仿宋_GB2312" w:hAnsi="Cambria" w:eastAsia="仿宋_GB2312" w:cs="仿宋_GB2312"/>
          <w:color w:val="000000"/>
          <w:kern w:val="2"/>
          <w:sz w:val="32"/>
          <w:szCs w:val="32"/>
          <w:lang w:val="zh-CN"/>
        </w:rPr>
        <w:t>年</w:t>
      </w:r>
      <w:r>
        <w:rPr>
          <w:rFonts w:ascii="仿宋_GB2312" w:hAnsi="Cambria" w:eastAsia="仿宋_GB2312" w:cs="仿宋_GB2312"/>
          <w:color w:val="000000"/>
          <w:kern w:val="2"/>
          <w:sz w:val="32"/>
          <w:szCs w:val="32"/>
          <w:lang w:val="zh-CN"/>
        </w:rPr>
        <w:t>12</w:t>
      </w:r>
      <w:r>
        <w:rPr>
          <w:rFonts w:hint="eastAsia" w:ascii="仿宋_GB2312" w:hAnsi="Cambria" w:eastAsia="仿宋_GB2312" w:cs="仿宋_GB2312"/>
          <w:color w:val="000000"/>
          <w:kern w:val="2"/>
          <w:sz w:val="32"/>
          <w:szCs w:val="32"/>
          <w:lang w:val="zh-CN"/>
        </w:rPr>
        <w:t>月</w:t>
      </w:r>
      <w:r>
        <w:rPr>
          <w:rFonts w:ascii="仿宋_GB2312" w:hAnsi="Cambria" w:eastAsia="仿宋_GB2312" w:cs="仿宋_GB2312"/>
          <w:color w:val="000000"/>
          <w:kern w:val="2"/>
          <w:sz w:val="32"/>
          <w:szCs w:val="32"/>
          <w:lang w:val="zh-CN"/>
        </w:rPr>
        <w:t>31</w:t>
      </w:r>
      <w:r>
        <w:rPr>
          <w:rFonts w:hint="eastAsia" w:ascii="仿宋_GB2312" w:hAnsi="Cambria" w:eastAsia="仿宋_GB2312" w:cs="仿宋_GB2312"/>
          <w:color w:val="000000"/>
          <w:kern w:val="2"/>
          <w:sz w:val="32"/>
          <w:szCs w:val="32"/>
          <w:lang w:val="zh-CN"/>
        </w:rPr>
        <w:t>日，广元市人民政府办公室共有车辆</w:t>
      </w:r>
      <w:r>
        <w:rPr>
          <w:rFonts w:ascii="仿宋_GB2312" w:hAnsi="Cambria" w:eastAsia="仿宋_GB2312" w:cs="仿宋_GB2312"/>
          <w:color w:val="000000"/>
          <w:kern w:val="2"/>
          <w:sz w:val="32"/>
          <w:szCs w:val="32"/>
          <w:lang w:val="zh-CN"/>
        </w:rPr>
        <w:t>8</w:t>
      </w:r>
      <w:r>
        <w:rPr>
          <w:rFonts w:hint="eastAsia" w:ascii="仿宋_GB2312" w:hAnsi="Cambria" w:eastAsia="仿宋_GB2312" w:cs="仿宋_GB2312"/>
          <w:color w:val="000000"/>
          <w:kern w:val="2"/>
          <w:sz w:val="32"/>
          <w:szCs w:val="32"/>
          <w:lang w:val="zh-CN"/>
        </w:rPr>
        <w:t>辆，其中：其他用车</w:t>
      </w:r>
      <w:r>
        <w:rPr>
          <w:rFonts w:ascii="仿宋_GB2312" w:hAnsi="Cambria" w:eastAsia="仿宋_GB2312" w:cs="仿宋_GB2312"/>
          <w:color w:val="000000"/>
          <w:kern w:val="2"/>
          <w:sz w:val="32"/>
          <w:szCs w:val="32"/>
        </w:rPr>
        <w:t>8</w:t>
      </w:r>
      <w:r>
        <w:rPr>
          <w:rFonts w:hint="eastAsia" w:ascii="仿宋_GB2312" w:hAnsi="Cambria" w:eastAsia="仿宋_GB2312" w:cs="仿宋_GB2312"/>
          <w:color w:val="000000"/>
          <w:kern w:val="2"/>
          <w:sz w:val="32"/>
          <w:szCs w:val="32"/>
          <w:lang w:val="zh-CN"/>
        </w:rPr>
        <w:t>辆。</w:t>
      </w:r>
      <w:r>
        <w:rPr>
          <w:rFonts w:hint="eastAsia" w:ascii="仿宋" w:hAnsi="仿宋" w:eastAsia="仿宋"/>
          <w:color w:val="000000"/>
          <w:sz w:val="32"/>
          <w:szCs w:val="32"/>
        </w:rPr>
        <w:t>其他用车主要是用于一般公共事务工作</w:t>
      </w:r>
      <w:r>
        <w:rPr>
          <w:rFonts w:hint="eastAsia" w:ascii="仿宋_GB2312" w:hAnsi="Cambria" w:eastAsia="仿宋_GB2312" w:cs="仿宋_GB2312"/>
          <w:color w:val="000000"/>
          <w:kern w:val="2"/>
          <w:sz w:val="32"/>
          <w:szCs w:val="32"/>
          <w:lang w:val="zh-CN"/>
        </w:rPr>
        <w:t>。单价</w:t>
      </w:r>
      <w:r>
        <w:rPr>
          <w:rFonts w:ascii="仿宋_GB2312" w:hAnsi="Cambria" w:eastAsia="仿宋_GB2312" w:cs="仿宋_GB2312"/>
          <w:color w:val="000000"/>
          <w:kern w:val="2"/>
          <w:sz w:val="32"/>
          <w:szCs w:val="32"/>
          <w:lang w:val="zh-CN"/>
        </w:rPr>
        <w:t>100</w:t>
      </w:r>
      <w:r>
        <w:rPr>
          <w:rFonts w:hint="eastAsia" w:ascii="仿宋_GB2312" w:hAnsi="Cambria" w:eastAsia="仿宋_GB2312" w:cs="仿宋_GB2312"/>
          <w:color w:val="000000"/>
          <w:kern w:val="2"/>
          <w:sz w:val="32"/>
          <w:szCs w:val="32"/>
          <w:lang w:val="zh-CN"/>
        </w:rPr>
        <w:t>万元（含）以上设备</w:t>
      </w:r>
      <w:r>
        <w:rPr>
          <w:rFonts w:ascii="仿宋_GB2312" w:hAnsi="Cambria" w:eastAsia="仿宋_GB2312" w:cs="仿宋_GB2312"/>
          <w:color w:val="000000"/>
          <w:kern w:val="2"/>
          <w:sz w:val="32"/>
          <w:szCs w:val="32"/>
          <w:lang w:val="zh-CN"/>
        </w:rPr>
        <w:t>0</w:t>
      </w:r>
      <w:r>
        <w:rPr>
          <w:rFonts w:hint="eastAsia" w:ascii="仿宋_GB2312" w:hAnsi="Cambria" w:eastAsia="仿宋_GB2312" w:cs="仿宋_GB2312"/>
          <w:color w:val="000000"/>
          <w:kern w:val="2"/>
          <w:sz w:val="32"/>
          <w:szCs w:val="32"/>
          <w:lang w:val="zh-CN"/>
        </w:rPr>
        <w:t>台（套</w:t>
      </w:r>
      <w:r>
        <w:rPr>
          <w:rFonts w:ascii="仿宋_GB2312" w:hAnsi="Cambria" w:eastAsia="仿宋_GB2312" w:cs="仿宋_GB2312"/>
          <w:color w:val="000000"/>
          <w:kern w:val="2"/>
          <w:sz w:val="32"/>
          <w:szCs w:val="32"/>
          <w:lang w:val="zh-CN"/>
        </w:rPr>
        <w:t>)</w:t>
      </w:r>
      <w:r>
        <w:rPr>
          <w:rFonts w:hint="eastAsia" w:ascii="仿宋_GB2312" w:hAnsi="Cambria" w:eastAsia="仿宋_GB2312" w:cs="仿宋_GB2312"/>
          <w:color w:val="000000"/>
          <w:kern w:val="2"/>
          <w:sz w:val="32"/>
          <w:szCs w:val="32"/>
          <w:lang w:val="zh-CN"/>
        </w:rPr>
        <w:t>。</w:t>
      </w:r>
    </w:p>
    <w:p>
      <w:pPr>
        <w:keepNext/>
        <w:keepLines/>
        <w:topLinePunct/>
        <w:spacing w:line="560" w:lineRule="exact"/>
        <w:ind w:firstLine="643"/>
        <w:jc w:val="both"/>
        <w:rPr>
          <w:rFonts w:ascii="楷体_GB2312" w:hAnsi="Times New Roman" w:eastAsia="楷体_GB2312" w:cs="仿宋_GB2312"/>
          <w:color w:val="000000"/>
          <w:kern w:val="2"/>
          <w:sz w:val="32"/>
          <w:szCs w:val="32"/>
          <w:lang w:val="zh-CN"/>
        </w:rPr>
      </w:pPr>
      <w:r>
        <w:rPr>
          <w:rFonts w:hint="eastAsia" w:ascii="楷体_GB2312" w:hAnsi="Times New Roman" w:eastAsia="楷体_GB2312" w:cs="仿宋_GB2312"/>
          <w:color w:val="000000"/>
          <w:kern w:val="2"/>
          <w:sz w:val="32"/>
          <w:szCs w:val="32"/>
          <w:lang w:val="zh-CN"/>
        </w:rPr>
        <w:t>（四）预算绩效管理情况。</w:t>
      </w:r>
    </w:p>
    <w:p>
      <w:pPr>
        <w:spacing w:line="540" w:lineRule="exact"/>
        <w:ind w:firstLine="640" w:firstLineChars="200"/>
        <w:rPr>
          <w:rFonts w:ascii="仿宋_GB2312" w:hAnsi="Cambria" w:eastAsia="仿宋_GB2312" w:cs="仿宋_GB2312"/>
          <w:kern w:val="2"/>
          <w:sz w:val="32"/>
          <w:szCs w:val="32"/>
        </w:rPr>
      </w:pPr>
      <w:r>
        <w:rPr>
          <w:rFonts w:hint="eastAsia" w:ascii="仿宋_GB2312" w:hAnsi="Cambria" w:eastAsia="仿宋_GB2312" w:cs="仿宋_GB2312"/>
          <w:kern w:val="2"/>
          <w:sz w:val="32"/>
          <w:szCs w:val="32"/>
        </w:rPr>
        <w:t>根据预算绩效管理要求，本部门在</w:t>
      </w:r>
      <w:r>
        <w:rPr>
          <w:rFonts w:ascii="仿宋_GB2312" w:hAnsi="Cambria" w:eastAsia="仿宋_GB2312" w:cs="仿宋_GB2312"/>
          <w:kern w:val="2"/>
          <w:sz w:val="32"/>
          <w:szCs w:val="32"/>
        </w:rPr>
        <w:t>2022</w:t>
      </w:r>
      <w:r>
        <w:rPr>
          <w:rFonts w:hint="eastAsia" w:ascii="仿宋_GB2312" w:hAnsi="Cambria" w:eastAsia="仿宋_GB2312" w:cs="仿宋_GB2312"/>
          <w:kern w:val="2"/>
          <w:sz w:val="32"/>
          <w:szCs w:val="32"/>
        </w:rPr>
        <w:t>年度预算编制阶段，组织对</w:t>
      </w:r>
      <w:r>
        <w:rPr>
          <w:rFonts w:hint="eastAsia" w:ascii="仿宋_GB2312" w:hAnsi="楷体" w:eastAsia="仿宋_GB2312" w:cs="楷体"/>
          <w:color w:val="000000"/>
          <w:sz w:val="32"/>
          <w:szCs w:val="32"/>
        </w:rPr>
        <w:t>广元市政府效率提升研究项目经费、市行政中心幕墙翻新、重大节日氛围营造经费、市级电子政务外网服务费用、推动民营企业建立现代化企业制度经费</w:t>
      </w:r>
      <w:r>
        <w:rPr>
          <w:rFonts w:hint="eastAsia" w:ascii="仿宋_GB2312" w:hAnsi="Cambria" w:eastAsia="仿宋_GB2312" w:cs="仿宋_GB2312"/>
          <w:kern w:val="2"/>
          <w:sz w:val="32"/>
          <w:szCs w:val="32"/>
        </w:rPr>
        <w:t>等</w:t>
      </w:r>
      <w:r>
        <w:rPr>
          <w:rFonts w:ascii="仿宋_GB2312" w:hAnsi="Cambria" w:eastAsia="仿宋_GB2312" w:cs="仿宋_GB2312"/>
          <w:kern w:val="2"/>
          <w:sz w:val="32"/>
          <w:szCs w:val="32"/>
        </w:rPr>
        <w:t>5</w:t>
      </w:r>
      <w:r>
        <w:rPr>
          <w:rFonts w:hint="eastAsia" w:ascii="仿宋_GB2312" w:hAnsi="Cambria" w:eastAsia="仿宋_GB2312" w:cs="仿宋_GB2312"/>
          <w:kern w:val="2"/>
          <w:sz w:val="32"/>
          <w:szCs w:val="32"/>
        </w:rPr>
        <w:t>个项目开展了预算事前绩效评估，对</w:t>
      </w:r>
      <w:r>
        <w:rPr>
          <w:rFonts w:ascii="仿宋_GB2312" w:hAnsi="Cambria" w:eastAsia="仿宋_GB2312" w:cs="仿宋_GB2312"/>
          <w:kern w:val="2"/>
          <w:sz w:val="32"/>
          <w:szCs w:val="32"/>
        </w:rPr>
        <w:t>5</w:t>
      </w:r>
      <w:r>
        <w:rPr>
          <w:rFonts w:hint="eastAsia" w:ascii="仿宋_GB2312" w:hAnsi="Cambria" w:eastAsia="仿宋_GB2312" w:cs="仿宋_GB2312"/>
          <w:kern w:val="2"/>
          <w:sz w:val="32"/>
          <w:szCs w:val="32"/>
        </w:rPr>
        <w:t>个项目编制了绩效目标，预算执行过程中，选取</w:t>
      </w:r>
      <w:r>
        <w:rPr>
          <w:rFonts w:ascii="仿宋_GB2312" w:hAnsi="Cambria" w:eastAsia="仿宋_GB2312" w:cs="仿宋_GB2312"/>
          <w:kern w:val="2"/>
          <w:sz w:val="32"/>
          <w:szCs w:val="32"/>
        </w:rPr>
        <w:t>5</w:t>
      </w:r>
      <w:r>
        <w:rPr>
          <w:rFonts w:hint="eastAsia" w:ascii="仿宋_GB2312" w:hAnsi="Cambria" w:eastAsia="仿宋_GB2312" w:cs="仿宋_GB2312"/>
          <w:kern w:val="2"/>
          <w:sz w:val="32"/>
          <w:szCs w:val="32"/>
        </w:rPr>
        <w:t>个项目开展绩效监控。</w:t>
      </w:r>
    </w:p>
    <w:p>
      <w:pPr>
        <w:topLinePunct/>
        <w:spacing w:line="560" w:lineRule="exact"/>
        <w:ind w:firstLine="643"/>
        <w:jc w:val="both"/>
        <w:rPr>
          <w:rFonts w:ascii="仿宋_GB2312" w:hAnsi="Cambria" w:eastAsia="仿宋_GB2312" w:cs="仿宋_GB2312"/>
          <w:kern w:val="2"/>
          <w:sz w:val="32"/>
          <w:szCs w:val="32"/>
        </w:rPr>
      </w:pPr>
      <w:r>
        <w:rPr>
          <w:rFonts w:hint="eastAsia" w:ascii="仿宋_GB2312" w:hAnsi="Cambria" w:eastAsia="仿宋_GB2312" w:cs="仿宋_GB2312"/>
          <w:kern w:val="2"/>
          <w:sz w:val="32"/>
          <w:szCs w:val="32"/>
        </w:rPr>
        <w:t>组织对</w:t>
      </w:r>
      <w:r>
        <w:rPr>
          <w:rFonts w:ascii="仿宋_GB2312" w:hAnsi="Cambria" w:eastAsia="仿宋_GB2312" w:cs="仿宋_GB2312"/>
          <w:kern w:val="2"/>
          <w:sz w:val="32"/>
          <w:szCs w:val="32"/>
        </w:rPr>
        <w:t>2022</w:t>
      </w:r>
      <w:r>
        <w:rPr>
          <w:rFonts w:hint="eastAsia" w:ascii="仿宋_GB2312" w:hAnsi="Cambria" w:eastAsia="仿宋_GB2312" w:cs="仿宋_GB2312"/>
          <w:kern w:val="2"/>
          <w:sz w:val="32"/>
          <w:szCs w:val="32"/>
        </w:rPr>
        <w:t>年度一般公共预算资金等全面开展绩效自评，形成广元市人民政府办公室</w:t>
      </w:r>
      <w:r>
        <w:rPr>
          <w:rFonts w:ascii="仿宋_GB2312" w:hAnsi="Cambria" w:eastAsia="仿宋_GB2312" w:cs="仿宋_GB2312"/>
          <w:kern w:val="2"/>
          <w:sz w:val="32"/>
          <w:szCs w:val="32"/>
        </w:rPr>
        <w:t>2022</w:t>
      </w:r>
      <w:r>
        <w:rPr>
          <w:rFonts w:hint="eastAsia" w:ascii="仿宋_GB2312" w:hAnsi="Cambria" w:eastAsia="仿宋_GB2312" w:cs="仿宋_GB2312"/>
          <w:kern w:val="2"/>
          <w:sz w:val="32"/>
          <w:szCs w:val="32"/>
        </w:rPr>
        <w:t>年度部门整体（含部门预算项目）绩效自评报告、</w:t>
      </w:r>
      <w:r>
        <w:rPr>
          <w:rFonts w:hint="eastAsia" w:ascii="仿宋_GB2312" w:hAnsi="楷体" w:eastAsia="仿宋_GB2312" w:cs="楷体"/>
          <w:color w:val="000000"/>
          <w:sz w:val="32"/>
          <w:szCs w:val="32"/>
        </w:rPr>
        <w:t>市级电子政务外网服务费</w:t>
      </w:r>
      <w:r>
        <w:rPr>
          <w:rFonts w:hint="eastAsia" w:ascii="仿宋_GB2312" w:hAnsi="Cambria" w:eastAsia="仿宋_GB2312" w:cs="仿宋_GB2312"/>
          <w:kern w:val="2"/>
          <w:sz w:val="32"/>
          <w:szCs w:val="32"/>
        </w:rPr>
        <w:t>等专项预算项目绩效自评报告，其中，广元市人民政府办公室</w:t>
      </w:r>
      <w:r>
        <w:rPr>
          <w:rFonts w:ascii="仿宋_GB2312" w:hAnsi="Cambria" w:eastAsia="仿宋_GB2312" w:cs="仿宋_GB2312"/>
          <w:kern w:val="2"/>
          <w:sz w:val="32"/>
          <w:szCs w:val="32"/>
        </w:rPr>
        <w:t>2022</w:t>
      </w:r>
      <w:r>
        <w:rPr>
          <w:rFonts w:hint="eastAsia" w:ascii="仿宋_GB2312" w:hAnsi="Cambria" w:eastAsia="仿宋_GB2312" w:cs="仿宋_GB2312"/>
          <w:kern w:val="2"/>
          <w:sz w:val="32"/>
          <w:szCs w:val="32"/>
        </w:rPr>
        <w:t>年度部门整体（含部门预算项目）绩效自评得分为</w:t>
      </w:r>
      <w:r>
        <w:rPr>
          <w:rFonts w:ascii="仿宋_GB2312" w:hAnsi="Cambria" w:eastAsia="仿宋_GB2312" w:cs="仿宋_GB2312"/>
          <w:kern w:val="2"/>
          <w:sz w:val="32"/>
          <w:szCs w:val="32"/>
        </w:rPr>
        <w:t>99.9</w:t>
      </w:r>
      <w:r>
        <w:rPr>
          <w:rFonts w:hint="eastAsia" w:ascii="仿宋_GB2312" w:hAnsi="Cambria" w:eastAsia="仿宋_GB2312" w:cs="仿宋_GB2312"/>
          <w:kern w:val="2"/>
          <w:sz w:val="32"/>
          <w:szCs w:val="32"/>
          <w:lang w:val="en-US" w:eastAsia="zh-CN"/>
        </w:rPr>
        <w:t>0</w:t>
      </w:r>
      <w:r>
        <w:rPr>
          <w:rFonts w:hint="eastAsia" w:ascii="仿宋_GB2312" w:hAnsi="Cambria" w:eastAsia="仿宋_GB2312" w:cs="仿宋_GB2312"/>
          <w:kern w:val="2"/>
          <w:sz w:val="32"/>
          <w:szCs w:val="32"/>
        </w:rPr>
        <w:t>分，绩效自评综述：本部门</w:t>
      </w:r>
      <w:r>
        <w:rPr>
          <w:rFonts w:ascii="仿宋_GB2312" w:hAnsi="Cambria" w:eastAsia="仿宋_GB2312" w:cs="仿宋_GB2312"/>
          <w:kern w:val="2"/>
          <w:sz w:val="32"/>
          <w:szCs w:val="32"/>
        </w:rPr>
        <w:t>2022</w:t>
      </w:r>
      <w:r>
        <w:rPr>
          <w:rFonts w:hint="eastAsia" w:ascii="仿宋_GB2312" w:hAnsi="Cambria" w:eastAsia="仿宋_GB2312" w:cs="仿宋_GB2312"/>
          <w:kern w:val="2"/>
          <w:sz w:val="32"/>
          <w:szCs w:val="32"/>
        </w:rPr>
        <w:t>年所有支出严格按照国家财经法规、预算资金管理办法、财务管理制度及专项资金管理办法的规定，遵循先预算、再审批、后支出的原则，保证资金的合理使用；市级电子政务外网服务费专项预算项目绩效自评得分为</w:t>
      </w:r>
      <w:r>
        <w:rPr>
          <w:rFonts w:ascii="仿宋_GB2312" w:hAnsi="Cambria" w:eastAsia="仿宋_GB2312" w:cs="仿宋_GB2312"/>
          <w:kern w:val="2"/>
          <w:sz w:val="32"/>
          <w:szCs w:val="32"/>
        </w:rPr>
        <w:t>100</w:t>
      </w:r>
      <w:r>
        <w:rPr>
          <w:rFonts w:hint="eastAsia" w:ascii="仿宋_GB2312" w:hAnsi="Cambria" w:eastAsia="仿宋_GB2312" w:cs="仿宋_GB2312"/>
          <w:kern w:val="2"/>
          <w:sz w:val="32"/>
          <w:szCs w:val="32"/>
        </w:rPr>
        <w:t>分，绩效自评综述：</w:t>
      </w:r>
      <w:r>
        <w:rPr>
          <w:rFonts w:hint="eastAsia" w:ascii="仿宋_GB2312" w:eastAsia="仿宋_GB2312"/>
          <w:sz w:val="32"/>
          <w:szCs w:val="32"/>
        </w:rPr>
        <w:t>市级电子政务外网升级改造服务项目绩效目标编制明确量化，财务管理规范，内控制度健全，财政资金使用符合要求，预算执行基本收支平衡，专项经费收支情况良好，财政支出绩效评价较好</w:t>
      </w:r>
      <w:r>
        <w:rPr>
          <w:rFonts w:hint="eastAsia" w:ascii="仿宋_GB2312" w:hAnsi="Cambria" w:eastAsia="仿宋_GB2312" w:cs="仿宋_GB2312"/>
          <w:kern w:val="2"/>
          <w:sz w:val="32"/>
          <w:szCs w:val="32"/>
        </w:rPr>
        <w:t>。绩效自评报告详见附件。</w:t>
      </w:r>
    </w:p>
    <w:p>
      <w:pPr>
        <w:pStyle w:val="8"/>
        <w:spacing w:before="93"/>
        <w:rPr>
          <w:rFonts w:hAnsi="Cambria" w:cs="仿宋_GB2312"/>
          <w:b/>
          <w:color w:val="000000"/>
          <w:kern w:val="2"/>
          <w:sz w:val="32"/>
          <w:szCs w:val="32"/>
          <w:lang w:val="zh-CN"/>
        </w:rPr>
      </w:pPr>
    </w:p>
    <w:p>
      <w:pPr>
        <w:rPr>
          <w:rFonts w:hint="eastAsia"/>
          <w:lang w:val="zh-CN"/>
        </w:rPr>
      </w:pPr>
    </w:p>
    <w:p>
      <w:pPr>
        <w:keepNext/>
        <w:keepLines/>
        <w:topLinePunct/>
        <w:spacing w:line="560" w:lineRule="exact"/>
        <w:jc w:val="center"/>
        <w:rPr>
          <w:rFonts w:hint="eastAsia" w:ascii="黑体" w:hAnsi="Cambria" w:eastAsia="黑体" w:cs="黑体"/>
          <w:kern w:val="44"/>
          <w:sz w:val="44"/>
          <w:szCs w:val="44"/>
          <w:lang w:val="zh-CN"/>
        </w:rPr>
      </w:pPr>
      <w:r>
        <w:rPr>
          <w:rFonts w:hint="eastAsia" w:ascii="黑体" w:hAnsi="Cambria" w:eastAsia="黑体" w:cs="黑体"/>
          <w:color w:val="000000"/>
          <w:kern w:val="2"/>
          <w:sz w:val="44"/>
          <w:szCs w:val="44"/>
          <w:lang w:val="zh-CN"/>
        </w:rPr>
        <w:t>第三部分</w:t>
      </w:r>
      <w:r>
        <w:rPr>
          <w:rFonts w:ascii="黑体" w:hAnsi="Cambria" w:eastAsia="黑体" w:cs="黑体"/>
          <w:color w:val="000000"/>
          <w:kern w:val="2"/>
          <w:sz w:val="44"/>
          <w:szCs w:val="44"/>
          <w:lang w:val="zh-CN"/>
        </w:rPr>
        <w:t xml:space="preserve"> </w:t>
      </w:r>
      <w:r>
        <w:rPr>
          <w:rFonts w:hint="eastAsia" w:ascii="黑体" w:hAnsi="Cambria" w:eastAsia="黑体" w:cs="黑体"/>
          <w:color w:val="000000"/>
          <w:kern w:val="2"/>
          <w:sz w:val="44"/>
          <w:szCs w:val="44"/>
          <w:lang w:val="zh-CN"/>
        </w:rPr>
        <w:t>名</w:t>
      </w:r>
      <w:r>
        <w:rPr>
          <w:rFonts w:hint="eastAsia" w:ascii="黑体" w:hAnsi="Cambria" w:eastAsia="黑体" w:cs="黑体"/>
          <w:kern w:val="44"/>
          <w:sz w:val="44"/>
          <w:szCs w:val="44"/>
          <w:lang w:val="zh-CN"/>
        </w:rPr>
        <w:t>词解释</w:t>
      </w:r>
    </w:p>
    <w:p>
      <w:pPr>
        <w:pStyle w:val="2"/>
        <w:ind w:left="480" w:firstLine="480"/>
        <w:rPr>
          <w:lang w:val="zh-CN"/>
        </w:rPr>
      </w:pPr>
    </w:p>
    <w:p>
      <w:pPr>
        <w:pStyle w:val="35"/>
        <w:spacing w:line="576"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35"/>
        <w:spacing w:line="576"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其他收入：指单位取得的除上述收入以外的各项收入。主要是银行存款利息收入。</w:t>
      </w:r>
    </w:p>
    <w:p>
      <w:pPr>
        <w:pStyle w:val="35"/>
        <w:spacing w:line="576"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年初结转和结余：指以前年度尚未完成、结转到本年按有关规定继续使用的资金。</w:t>
      </w:r>
    </w:p>
    <w:p>
      <w:pPr>
        <w:pStyle w:val="35"/>
        <w:spacing w:line="576"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、年末结转和结余：指单位按有关规定结转到下年或以后年度继续使用的资金。</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5.</w:t>
      </w:r>
      <w:r>
        <w:rPr>
          <w:rFonts w:hint="eastAsia" w:ascii="仿宋_GB2312" w:eastAsia="仿宋_GB2312"/>
          <w:color w:val="000000"/>
          <w:sz w:val="32"/>
          <w:szCs w:val="32"/>
        </w:rPr>
        <w:t>一般公共服务支出（类）政府办公厅（室）及相关机构事务（款）行政运行（项）：指为保障单位正常运行所发生的支出。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6.</w:t>
      </w:r>
      <w:r>
        <w:rPr>
          <w:rFonts w:hint="eastAsia" w:ascii="仿宋_GB2312" w:eastAsia="仿宋_GB2312"/>
          <w:color w:val="000000"/>
          <w:sz w:val="32"/>
          <w:szCs w:val="32"/>
        </w:rPr>
        <w:t>一般公共服务支出（类）政府办公厅（室）及相关机构事务（款）一般行政管理事务（项）：指单位开展专项工作所发生的费用。</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7.</w:t>
      </w:r>
      <w:r>
        <w:rPr>
          <w:rFonts w:hint="eastAsia" w:ascii="仿宋_GB2312" w:eastAsia="仿宋_GB2312"/>
          <w:color w:val="000000"/>
          <w:sz w:val="32"/>
          <w:szCs w:val="32"/>
        </w:rPr>
        <w:t>一般公共服务支出（类）政府办公厅（室）及相关机构事务（款）事业运行（项）：反映事业单位的基本支出，不包括行政单位（包括实行公务员管理的事业单位）后勤服务中心、医务室等附属事业单位。</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8.</w:t>
      </w:r>
      <w:r>
        <w:rPr>
          <w:rFonts w:hint="eastAsia" w:ascii="仿宋_GB2312" w:eastAsia="仿宋_GB2312"/>
          <w:color w:val="000000"/>
          <w:sz w:val="32"/>
          <w:szCs w:val="32"/>
        </w:rPr>
        <w:t>一般公共服务支出支出（类）政府办公厅（室）及相关机构事务（款）其他政府办公厅（室）及相关机构事务支出：反映除上述项目以外的其他政府办公厅（室）及相关机构事务支出。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9.社会保障和就业支出（类）</w:t>
      </w:r>
      <w:r>
        <w:rPr>
          <w:rFonts w:ascii="仿宋_GB2312" w:eastAsia="仿宋_GB2312"/>
          <w:color w:val="000000"/>
          <w:sz w:val="32"/>
          <w:szCs w:val="32"/>
        </w:rPr>
        <w:t>人力资源和社会保障管理事务（类）其他人力资源和社会保障管理事务支出（项）支出：</w:t>
      </w:r>
      <w:r>
        <w:rPr>
          <w:rFonts w:hint="eastAsia" w:ascii="仿宋_GB2312" w:eastAsia="仿宋_GB2312"/>
          <w:color w:val="000000"/>
          <w:sz w:val="32"/>
          <w:szCs w:val="32"/>
        </w:rPr>
        <w:t>反映工伤失业等其他社会保障和就业支出。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社会保障和就业支出（类）行政事业单位养老支出（款）机关事业单位基本养老保险缴费支出（项）：指单位为职工缴纳的并轨养老保险。</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社会保障和就业支出（类）行政事业单位养老支出（款）机关事业单位职业年金缴费支出（项）：指单位为职工缴纳的职业年金。</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社会保障和就业支出（类）抚恤（款）死亡抚恤（项）：指单位发生的退休人员死亡抚恤金。</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行政事业单位医疗（类）行政事业单位医疗（款）行政单位医疗（项）：指单位为职工缴纳的基本医疗保险。</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住房保障（类）住房改革支出（款）住房公积金（项）：指单位为职工缴纳的住房公积金。</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基本支出：指为保障机构正常运转、完成日常工作任务而发生的人员支出和公用支出。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项目支出：指在基本支出之外为完成特定行政任务和事业发展目标所发生的支出。</w:t>
      </w:r>
    </w:p>
    <w:p>
      <w:pPr>
        <w:pStyle w:val="35"/>
        <w:spacing w:line="576" w:lineRule="exact"/>
        <w:ind w:firstLine="640" w:firstLineChars="200"/>
        <w:rPr>
          <w:rFonts w:ascii="仿宋_GB2312" w:eastAsia="仿宋_GB2312"/>
          <w:sz w:val="32"/>
          <w:szCs w:val="32"/>
        </w:rPr>
      </w:pPr>
      <w:r>
        <w:rPr>
          <w:rFonts w:ascii="仿宋_GB2312" w:eastAsia="仿宋_GB2312"/>
          <w:sz w:val="32"/>
          <w:szCs w:val="32"/>
        </w:rPr>
        <w:t>17.</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w:t>
      </w:r>
    </w:p>
    <w:p>
      <w:pPr>
        <w:pStyle w:val="35"/>
        <w:spacing w:line="576" w:lineRule="exact"/>
        <w:ind w:firstLine="640" w:firstLineChars="200"/>
        <w:rPr>
          <w:rFonts w:ascii="仿宋_GB2312" w:eastAsia="仿宋_GB2312"/>
          <w:sz w:val="32"/>
          <w:szCs w:val="32"/>
        </w:rPr>
      </w:pPr>
      <w:r>
        <w:rPr>
          <w:rFonts w:ascii="仿宋_GB2312" w:eastAsia="仿宋_GB2312"/>
          <w:sz w:val="32"/>
          <w:szCs w:val="32"/>
        </w:rPr>
        <w:t>18.</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pPr>
        <w:keepNext/>
        <w:keepLines/>
        <w:topLinePunct/>
        <w:spacing w:line="560" w:lineRule="exact"/>
        <w:jc w:val="center"/>
        <w:rPr>
          <w:rFonts w:ascii="黑体" w:hAnsi="Cambria" w:eastAsia="黑体" w:cs="黑体"/>
          <w:kern w:val="44"/>
          <w:sz w:val="44"/>
          <w:szCs w:val="44"/>
          <w:lang w:val="zh-CN"/>
        </w:rPr>
      </w:pPr>
    </w:p>
    <w:p>
      <w:pPr>
        <w:topLinePunct/>
        <w:spacing w:line="560" w:lineRule="exact"/>
        <w:jc w:val="center"/>
        <w:rPr>
          <w:rFonts w:ascii="黑体" w:hAnsi="Cambria" w:eastAsia="黑体" w:cs="黑体"/>
          <w:kern w:val="2"/>
          <w:sz w:val="44"/>
          <w:szCs w:val="44"/>
        </w:rPr>
      </w:pPr>
    </w:p>
    <w:p>
      <w:pPr>
        <w:topLinePunct/>
        <w:spacing w:line="560" w:lineRule="exact"/>
        <w:jc w:val="center"/>
        <w:rPr>
          <w:rFonts w:ascii="黑体" w:hAnsi="Cambria" w:eastAsia="黑体" w:cs="黑体"/>
          <w:kern w:val="2"/>
          <w:sz w:val="44"/>
          <w:szCs w:val="44"/>
        </w:rPr>
      </w:pPr>
    </w:p>
    <w:p>
      <w:pPr>
        <w:topLinePunct/>
        <w:spacing w:line="560" w:lineRule="exact"/>
        <w:jc w:val="center"/>
        <w:rPr>
          <w:rFonts w:ascii="黑体" w:hAnsi="Cambria" w:eastAsia="黑体" w:cs="黑体"/>
          <w:kern w:val="2"/>
          <w:sz w:val="44"/>
          <w:szCs w:val="44"/>
        </w:rPr>
      </w:pPr>
    </w:p>
    <w:p>
      <w:pPr>
        <w:topLinePunct/>
        <w:spacing w:line="560" w:lineRule="exact"/>
        <w:jc w:val="center"/>
        <w:rPr>
          <w:rFonts w:ascii="黑体" w:hAnsi="Cambria" w:eastAsia="黑体" w:cs="黑体"/>
          <w:kern w:val="2"/>
          <w:sz w:val="44"/>
          <w:szCs w:val="44"/>
        </w:rPr>
      </w:pPr>
    </w:p>
    <w:p>
      <w:pPr>
        <w:pStyle w:val="2"/>
        <w:ind w:left="480" w:firstLine="880"/>
        <w:rPr>
          <w:rFonts w:ascii="黑体" w:hAnsi="Cambria" w:eastAsia="黑体" w:cs="黑体"/>
          <w:sz w:val="44"/>
          <w:szCs w:val="44"/>
        </w:rPr>
      </w:pPr>
    </w:p>
    <w:p>
      <w:pPr>
        <w:rPr>
          <w:rFonts w:ascii="黑体" w:hAnsi="Cambria" w:eastAsia="黑体" w:cs="黑体"/>
          <w:kern w:val="2"/>
          <w:sz w:val="44"/>
          <w:szCs w:val="44"/>
        </w:rPr>
      </w:pPr>
    </w:p>
    <w:p>
      <w:pPr>
        <w:pStyle w:val="2"/>
        <w:ind w:left="480" w:firstLine="880"/>
        <w:rPr>
          <w:rFonts w:ascii="黑体" w:hAnsi="Cambria" w:eastAsia="黑体" w:cs="黑体"/>
          <w:sz w:val="44"/>
          <w:szCs w:val="44"/>
        </w:rPr>
      </w:pPr>
    </w:p>
    <w:p>
      <w:pPr>
        <w:rPr>
          <w:rFonts w:ascii="黑体" w:hAnsi="Cambria" w:eastAsia="黑体" w:cs="黑体"/>
          <w:kern w:val="2"/>
          <w:sz w:val="44"/>
          <w:szCs w:val="44"/>
        </w:rPr>
      </w:pPr>
    </w:p>
    <w:p>
      <w:pPr>
        <w:pStyle w:val="2"/>
        <w:ind w:left="480" w:firstLine="480"/>
      </w:pPr>
    </w:p>
    <w:p/>
    <w:p>
      <w:pPr>
        <w:pStyle w:val="2"/>
      </w:pPr>
    </w:p>
    <w:p/>
    <w:p>
      <w:pPr>
        <w:pStyle w:val="2"/>
      </w:pPr>
    </w:p>
    <w:p/>
    <w:p>
      <w:pPr>
        <w:topLinePunct/>
        <w:spacing w:line="560" w:lineRule="exact"/>
        <w:jc w:val="center"/>
        <w:rPr>
          <w:rFonts w:ascii="黑体" w:hAnsi="Cambria" w:eastAsia="黑体" w:cs="黑体"/>
          <w:kern w:val="44"/>
          <w:sz w:val="44"/>
          <w:szCs w:val="44"/>
        </w:rPr>
      </w:pPr>
      <w:r>
        <w:rPr>
          <w:rFonts w:hint="eastAsia" w:ascii="黑体" w:hAnsi="Cambria" w:eastAsia="黑体" w:cs="黑体"/>
          <w:kern w:val="2"/>
          <w:sz w:val="44"/>
          <w:szCs w:val="44"/>
        </w:rPr>
        <w:t>第</w:t>
      </w:r>
      <w:r>
        <w:rPr>
          <w:rFonts w:hint="eastAsia" w:ascii="黑体" w:hAnsi="Cambria" w:eastAsia="黑体" w:cs="黑体"/>
          <w:kern w:val="44"/>
          <w:sz w:val="44"/>
          <w:szCs w:val="44"/>
        </w:rPr>
        <w:t>四部分</w:t>
      </w:r>
      <w:r>
        <w:rPr>
          <w:rFonts w:ascii="黑体" w:hAnsi="Cambria" w:eastAsia="黑体" w:cs="黑体"/>
          <w:kern w:val="44"/>
          <w:sz w:val="44"/>
          <w:szCs w:val="44"/>
        </w:rPr>
        <w:t xml:space="preserve"> </w:t>
      </w:r>
      <w:r>
        <w:rPr>
          <w:rFonts w:hint="eastAsia" w:ascii="黑体" w:hAnsi="Cambria" w:eastAsia="黑体" w:cs="黑体"/>
          <w:kern w:val="44"/>
          <w:sz w:val="44"/>
          <w:szCs w:val="44"/>
        </w:rPr>
        <w:t>附件</w:t>
      </w:r>
    </w:p>
    <w:p>
      <w:pPr>
        <w:spacing w:line="572" w:lineRule="exact"/>
        <w:outlineLvl w:val="0"/>
        <w:rPr>
          <w:rFonts w:hAnsi="方正小标宋简体" w:cs="方正小标宋简体"/>
          <w:sz w:val="44"/>
          <w:szCs w:val="44"/>
        </w:rPr>
      </w:pPr>
    </w:p>
    <w:p>
      <w:pPr>
        <w:spacing w:line="572" w:lineRule="exact"/>
        <w:jc w:val="center"/>
        <w:rPr>
          <w:rFonts w:hAnsi="宋体"/>
          <w:sz w:val="40"/>
          <w:szCs w:val="44"/>
        </w:rPr>
      </w:pPr>
      <w:r>
        <w:rPr>
          <w:rFonts w:hAnsi="宋体"/>
          <w:sz w:val="40"/>
          <w:szCs w:val="44"/>
        </w:rPr>
        <w:t>2022</w:t>
      </w:r>
      <w:r>
        <w:rPr>
          <w:rFonts w:hint="eastAsia" w:hAnsi="宋体"/>
          <w:sz w:val="40"/>
          <w:szCs w:val="44"/>
        </w:rPr>
        <w:t>年市广元人民政府办公室部门</w:t>
      </w:r>
    </w:p>
    <w:p>
      <w:pPr>
        <w:spacing w:line="572" w:lineRule="exact"/>
        <w:jc w:val="center"/>
        <w:rPr>
          <w:rFonts w:hAnsi="宋体"/>
          <w:sz w:val="40"/>
          <w:szCs w:val="44"/>
          <w:lang w:val="zh-CN"/>
        </w:rPr>
      </w:pPr>
      <w:r>
        <w:rPr>
          <w:rFonts w:hint="eastAsia" w:hAnsi="宋体"/>
          <w:sz w:val="40"/>
          <w:szCs w:val="44"/>
        </w:rPr>
        <w:t>整体绩效评价报告</w:t>
      </w:r>
    </w:p>
    <w:p>
      <w:pPr>
        <w:widowControl/>
        <w:snapToGrid w:val="0"/>
        <w:spacing w:line="572" w:lineRule="exact"/>
        <w:ind w:firstLine="480" w:firstLineChars="200"/>
        <w:rPr>
          <w:rFonts w:ascii="黑体" w:hAnsi="宋体" w:eastAsia="黑体" w:cs="宋体"/>
          <w:szCs w:val="32"/>
          <w:shd w:val="clear" w:color="auto" w:fill="FFFFFF"/>
        </w:rPr>
      </w:pPr>
    </w:p>
    <w:p>
      <w:pPr>
        <w:pStyle w:val="8"/>
        <w:overflowPunct w:val="0"/>
        <w:spacing w:before="93" w:line="580" w:lineRule="exact"/>
        <w:ind w:firstLine="600" w:firstLineChars="200"/>
        <w:jc w:val="both"/>
        <w:rPr>
          <w:rFonts w:ascii="黑体" w:eastAsia="黑体" w:cs="黑体"/>
          <w:color w:val="000000"/>
        </w:rPr>
      </w:pPr>
      <w:r>
        <w:rPr>
          <w:rFonts w:hint="eastAsia" w:ascii="黑体" w:eastAsia="黑体" w:cs="黑体"/>
          <w:color w:val="000000"/>
        </w:rPr>
        <w:t>一、部</w:t>
      </w:r>
      <w:r>
        <w:rPr>
          <w:rFonts w:hint="eastAsia" w:ascii="黑体" w:eastAsia="黑体" w:cs="黑体"/>
          <w:color w:val="000000"/>
          <w:spacing w:val="2"/>
        </w:rPr>
        <w:t>门</w:t>
      </w:r>
      <w:r>
        <w:rPr>
          <w:rFonts w:hint="eastAsia" w:ascii="黑体" w:eastAsia="黑体" w:cs="黑体"/>
          <w:color w:val="000000"/>
        </w:rPr>
        <w:t>概况</w:t>
      </w:r>
    </w:p>
    <w:p>
      <w:pPr>
        <w:pStyle w:val="8"/>
        <w:overflowPunct w:val="0"/>
        <w:spacing w:before="93" w:line="580" w:lineRule="exact"/>
        <w:ind w:firstLine="648" w:firstLineChars="200"/>
        <w:jc w:val="both"/>
        <w:rPr>
          <w:rFonts w:cs="宋体"/>
          <w:color w:val="000000"/>
          <w:sz w:val="32"/>
          <w:szCs w:val="28"/>
        </w:rPr>
      </w:pPr>
      <w:r>
        <w:rPr>
          <w:rFonts w:hint="eastAsia" w:ascii="楷体_GB2312" w:eastAsia="楷体_GB2312" w:cs="宋体"/>
          <w:color w:val="000000"/>
          <w:spacing w:val="2"/>
          <w:sz w:val="32"/>
          <w:szCs w:val="28"/>
        </w:rPr>
        <w:t>（</w:t>
      </w:r>
      <w:r>
        <w:rPr>
          <w:rFonts w:hint="eastAsia" w:ascii="楷体_GB2312" w:eastAsia="楷体_GB2312" w:cs="宋体"/>
          <w:color w:val="000000"/>
          <w:sz w:val="32"/>
          <w:szCs w:val="28"/>
        </w:rPr>
        <w:t>一）</w:t>
      </w:r>
      <w:r>
        <w:rPr>
          <w:rFonts w:hint="eastAsia" w:ascii="楷体_GB2312" w:eastAsia="楷体_GB2312" w:cs="宋体"/>
          <w:color w:val="000000"/>
          <w:spacing w:val="2"/>
          <w:sz w:val="32"/>
          <w:szCs w:val="28"/>
        </w:rPr>
        <w:t>机构组成</w:t>
      </w:r>
      <w:r>
        <w:rPr>
          <w:rFonts w:hint="eastAsia" w:ascii="楷体_GB2312" w:eastAsia="楷体_GB2312" w:cs="宋体"/>
          <w:color w:val="000000"/>
          <w:sz w:val="32"/>
          <w:szCs w:val="28"/>
        </w:rPr>
        <w:t>。</w:t>
      </w:r>
      <w:r>
        <w:rPr>
          <w:rFonts w:hint="eastAsia" w:cs="宋体"/>
          <w:color w:val="000000"/>
          <w:sz w:val="32"/>
          <w:szCs w:val="28"/>
        </w:rPr>
        <w:t>广元市人民政府办公室部门包括：广元市人民政府办公室直属行政单位，</w:t>
      </w:r>
      <w:r>
        <w:rPr>
          <w:rFonts w:cs="宋体"/>
          <w:color w:val="000000"/>
          <w:sz w:val="32"/>
          <w:szCs w:val="28"/>
        </w:rPr>
        <w:t>2</w:t>
      </w:r>
      <w:r>
        <w:rPr>
          <w:rFonts w:hint="eastAsia" w:cs="宋体"/>
          <w:color w:val="000000"/>
          <w:sz w:val="32"/>
          <w:szCs w:val="28"/>
        </w:rPr>
        <w:t>个二级参公事业单位。</w:t>
      </w:r>
    </w:p>
    <w:p>
      <w:pPr>
        <w:pStyle w:val="16"/>
        <w:overflowPunct w:val="0"/>
        <w:spacing w:before="0" w:beforeAutospacing="0" w:after="0" w:afterAutospacing="0" w:line="580"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纳入广元市人民政府办公室单位</w:t>
      </w:r>
      <w:r>
        <w:rPr>
          <w:rFonts w:ascii="仿宋_GB2312" w:eastAsia="仿宋_GB2312"/>
          <w:color w:val="000000"/>
          <w:sz w:val="32"/>
          <w:szCs w:val="32"/>
        </w:rPr>
        <w:t>2022</w:t>
      </w:r>
      <w:r>
        <w:rPr>
          <w:rFonts w:hint="eastAsia" w:ascii="仿宋_GB2312" w:eastAsia="仿宋_GB2312"/>
          <w:color w:val="000000"/>
          <w:sz w:val="32"/>
          <w:szCs w:val="32"/>
        </w:rPr>
        <w:t>年部门预算编制范围的二级预算单位包括：</w:t>
      </w:r>
      <w:r>
        <w:rPr>
          <w:rFonts w:ascii="仿宋_GB2312" w:eastAsia="仿宋_GB2312"/>
          <w:color w:val="000000"/>
          <w:sz w:val="32"/>
          <w:szCs w:val="32"/>
        </w:rPr>
        <w:t xml:space="preserve"> </w:t>
      </w:r>
    </w:p>
    <w:p>
      <w:pPr>
        <w:pStyle w:val="16"/>
        <w:overflowPunct w:val="0"/>
        <w:spacing w:before="0" w:beforeAutospacing="0" w:after="0" w:afterAutospacing="0" w:line="580" w:lineRule="exact"/>
        <w:ind w:firstLine="640" w:firstLineChars="200"/>
        <w:jc w:val="both"/>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广元市人民政府办公室（本级）</w:t>
      </w:r>
      <w:r>
        <w:rPr>
          <w:rFonts w:ascii="仿宋_GB2312" w:eastAsia="仿宋_GB2312"/>
          <w:color w:val="000000"/>
          <w:sz w:val="32"/>
          <w:szCs w:val="32"/>
        </w:rPr>
        <w:t xml:space="preserve">; </w:t>
      </w:r>
    </w:p>
    <w:p>
      <w:pPr>
        <w:pStyle w:val="16"/>
        <w:overflowPunct w:val="0"/>
        <w:spacing w:before="0" w:beforeAutospacing="0" w:after="0" w:afterAutospacing="0" w:line="580" w:lineRule="exact"/>
        <w:ind w:firstLine="640" w:firstLineChars="200"/>
        <w:jc w:val="both"/>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广元市人民政府驻北京联络处；</w:t>
      </w:r>
    </w:p>
    <w:p>
      <w:pPr>
        <w:pStyle w:val="16"/>
        <w:overflowPunct w:val="0"/>
        <w:spacing w:before="0" w:beforeAutospacing="0" w:after="0" w:afterAutospacing="0" w:line="580" w:lineRule="exact"/>
        <w:ind w:firstLine="640" w:firstLineChars="200"/>
        <w:jc w:val="both"/>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广元市人民政府驻成都办事处。</w:t>
      </w:r>
    </w:p>
    <w:p>
      <w:pPr>
        <w:pStyle w:val="16"/>
        <w:overflowPunct w:val="0"/>
        <w:spacing w:before="0" w:beforeAutospacing="0" w:after="0" w:afterAutospacing="0" w:line="580" w:lineRule="exact"/>
        <w:ind w:firstLine="648" w:firstLineChars="200"/>
        <w:jc w:val="both"/>
        <w:rPr>
          <w:rFonts w:ascii="楷体_GB2312" w:eastAsia="楷体_GB2312"/>
          <w:color w:val="000000"/>
          <w:spacing w:val="2"/>
          <w:sz w:val="32"/>
          <w:szCs w:val="32"/>
        </w:rPr>
      </w:pPr>
      <w:r>
        <w:rPr>
          <w:rFonts w:hint="eastAsia" w:ascii="楷体_GB2312" w:eastAsia="楷体_GB2312"/>
          <w:color w:val="000000"/>
          <w:spacing w:val="2"/>
          <w:sz w:val="32"/>
          <w:szCs w:val="32"/>
        </w:rPr>
        <w:t>（二）机构职能</w:t>
      </w:r>
    </w:p>
    <w:p>
      <w:pPr>
        <w:pStyle w:val="16"/>
        <w:suppressAutoHyphens/>
        <w:overflowPunct w:val="0"/>
        <w:spacing w:before="0" w:beforeAutospacing="0" w:after="0" w:afterAutospacing="0" w:line="580" w:lineRule="exact"/>
        <w:ind w:firstLine="640" w:firstLineChars="200"/>
        <w:jc w:val="both"/>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协助市政府领导同志组织起草或审核以市政府、市政府办公室名义发布的公文。办理国务院、国务院办公厅及各部委、省政府、省政府办公厅及各厅局发送市政府的文电。指导全市行政机关公文处理工作。</w:t>
      </w:r>
    </w:p>
    <w:p>
      <w:pPr>
        <w:pStyle w:val="16"/>
        <w:suppressAutoHyphens/>
        <w:overflowPunct w:val="0"/>
        <w:spacing w:before="0" w:beforeAutospacing="0" w:after="0" w:afterAutospacing="0" w:line="570" w:lineRule="exact"/>
        <w:ind w:firstLine="640" w:firstLineChars="200"/>
        <w:jc w:val="both"/>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研究市政府部门和县区政府请示市政府的事项，提出审核意见，报市政府领导同志审批。</w:t>
      </w:r>
    </w:p>
    <w:p>
      <w:pPr>
        <w:pStyle w:val="16"/>
        <w:suppressAutoHyphens/>
        <w:overflowPunct w:val="0"/>
        <w:spacing w:before="0" w:beforeAutospacing="0" w:after="0" w:afterAutospacing="0" w:line="570" w:lineRule="exact"/>
        <w:ind w:firstLine="640" w:firstLineChars="200"/>
        <w:jc w:val="both"/>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负责市政府会议的会务办理工作，协助市政府领导同志组织实施会议决定事项。</w:t>
      </w:r>
    </w:p>
    <w:p>
      <w:pPr>
        <w:pStyle w:val="16"/>
        <w:suppressAutoHyphens/>
        <w:overflowPunct w:val="0"/>
        <w:spacing w:before="0" w:beforeAutospacing="0" w:after="0" w:afterAutospacing="0" w:line="570" w:lineRule="exact"/>
        <w:ind w:firstLine="640" w:firstLineChars="200"/>
        <w:jc w:val="both"/>
        <w:rPr>
          <w:rFonts w:ascii="仿宋_GB2312" w:eastAsia="仿宋_GB2312"/>
          <w:color w:val="000000"/>
          <w:sz w:val="32"/>
          <w:szCs w:val="32"/>
        </w:rPr>
      </w:pPr>
      <w:r>
        <w:rPr>
          <w:rFonts w:ascii="仿宋_GB2312" w:eastAsia="仿宋_GB2312"/>
          <w:color w:val="000000"/>
          <w:sz w:val="32"/>
          <w:szCs w:val="32"/>
        </w:rPr>
        <w:t>4.</w:t>
      </w:r>
      <w:r>
        <w:rPr>
          <w:rFonts w:hint="eastAsia" w:ascii="仿宋_GB2312" w:eastAsia="仿宋_GB2312"/>
          <w:color w:val="000000"/>
          <w:sz w:val="32"/>
          <w:szCs w:val="32"/>
        </w:rPr>
        <w:t>督促检查市政府部门和县区人民政府对市政府决定事项及市政府领导同志指示的贯彻落实情况，及时向市政府领导同志报告。</w:t>
      </w:r>
    </w:p>
    <w:p>
      <w:pPr>
        <w:pStyle w:val="16"/>
        <w:suppressAutoHyphens/>
        <w:overflowPunct w:val="0"/>
        <w:spacing w:before="0" w:beforeAutospacing="0" w:after="0" w:afterAutospacing="0" w:line="570" w:lineRule="exact"/>
        <w:ind w:firstLine="640" w:firstLineChars="200"/>
        <w:jc w:val="both"/>
        <w:rPr>
          <w:rFonts w:ascii="仿宋_GB2312" w:eastAsia="仿宋_GB2312"/>
          <w:color w:val="000000"/>
          <w:sz w:val="32"/>
          <w:szCs w:val="32"/>
        </w:rPr>
      </w:pPr>
      <w:r>
        <w:rPr>
          <w:rFonts w:ascii="仿宋_GB2312" w:eastAsia="仿宋_GB2312"/>
          <w:color w:val="000000"/>
          <w:sz w:val="32"/>
          <w:szCs w:val="32"/>
        </w:rPr>
        <w:t>5.</w:t>
      </w:r>
      <w:r>
        <w:rPr>
          <w:rFonts w:hint="eastAsia" w:ascii="仿宋_GB2312" w:eastAsia="仿宋_GB2312"/>
          <w:color w:val="000000"/>
          <w:sz w:val="32"/>
          <w:szCs w:val="32"/>
        </w:rPr>
        <w:t>根据市政府领导同志的指示，对市政府部门间争议问题提出处理意见和建议，报市政府领导同志决定。</w:t>
      </w:r>
    </w:p>
    <w:p>
      <w:pPr>
        <w:pStyle w:val="16"/>
        <w:suppressAutoHyphens/>
        <w:overflowPunct w:val="0"/>
        <w:spacing w:before="0" w:beforeAutospacing="0" w:after="0" w:afterAutospacing="0" w:line="570" w:lineRule="exact"/>
        <w:ind w:firstLine="640" w:firstLineChars="200"/>
        <w:jc w:val="both"/>
        <w:rPr>
          <w:rFonts w:ascii="仿宋_GB2312" w:eastAsia="仿宋_GB2312"/>
          <w:color w:val="000000"/>
          <w:sz w:val="32"/>
          <w:szCs w:val="32"/>
        </w:rPr>
      </w:pPr>
      <w:r>
        <w:rPr>
          <w:rFonts w:ascii="仿宋_GB2312" w:eastAsia="仿宋_GB2312"/>
          <w:color w:val="000000"/>
          <w:sz w:val="32"/>
          <w:szCs w:val="32"/>
        </w:rPr>
        <w:t>6.</w:t>
      </w:r>
      <w:r>
        <w:rPr>
          <w:rFonts w:hint="eastAsia" w:ascii="仿宋_GB2312" w:eastAsia="仿宋_GB2312"/>
          <w:color w:val="000000"/>
          <w:sz w:val="32"/>
          <w:szCs w:val="32"/>
        </w:rPr>
        <w:t>负责市政府值班工作，指导县区政府和市政府部门值班工作，及时报告重要情况。</w:t>
      </w:r>
    </w:p>
    <w:p>
      <w:pPr>
        <w:pStyle w:val="16"/>
        <w:suppressAutoHyphens/>
        <w:overflowPunct w:val="0"/>
        <w:spacing w:before="0" w:beforeAutospacing="0" w:after="0" w:afterAutospacing="0" w:line="570" w:lineRule="exact"/>
        <w:ind w:firstLine="640" w:firstLineChars="200"/>
        <w:jc w:val="both"/>
        <w:rPr>
          <w:rFonts w:ascii="仿宋_GB2312" w:eastAsia="仿宋_GB2312"/>
          <w:color w:val="000000"/>
          <w:sz w:val="32"/>
          <w:szCs w:val="32"/>
        </w:rPr>
      </w:pPr>
      <w:r>
        <w:rPr>
          <w:rFonts w:ascii="仿宋_GB2312" w:eastAsia="仿宋_GB2312"/>
          <w:color w:val="000000"/>
          <w:sz w:val="32"/>
          <w:szCs w:val="32"/>
        </w:rPr>
        <w:t>7.</w:t>
      </w:r>
      <w:r>
        <w:rPr>
          <w:rFonts w:hint="eastAsia" w:ascii="仿宋_GB2312" w:eastAsia="仿宋_GB2312"/>
          <w:color w:val="000000"/>
          <w:sz w:val="32"/>
          <w:szCs w:val="32"/>
        </w:rPr>
        <w:t>指导、监督全市政府信息公开工作和机关效能建设工作，指导、监督全市政府系统电子政务工作和政府网站建设。</w:t>
      </w:r>
    </w:p>
    <w:p>
      <w:pPr>
        <w:pStyle w:val="16"/>
        <w:suppressAutoHyphens/>
        <w:overflowPunct w:val="0"/>
        <w:spacing w:before="0" w:beforeAutospacing="0" w:after="0" w:afterAutospacing="0" w:line="570" w:lineRule="exact"/>
        <w:ind w:firstLine="640" w:firstLineChars="200"/>
        <w:jc w:val="both"/>
        <w:rPr>
          <w:rFonts w:ascii="仿宋_GB2312" w:eastAsia="仿宋_GB2312"/>
          <w:color w:val="000000"/>
          <w:sz w:val="32"/>
          <w:szCs w:val="32"/>
        </w:rPr>
      </w:pPr>
      <w:r>
        <w:rPr>
          <w:rFonts w:ascii="仿宋_GB2312" w:eastAsia="仿宋_GB2312"/>
          <w:color w:val="000000"/>
          <w:sz w:val="32"/>
          <w:szCs w:val="32"/>
        </w:rPr>
        <w:t>8.</w:t>
      </w:r>
      <w:r>
        <w:rPr>
          <w:rFonts w:hint="eastAsia" w:ascii="仿宋_GB2312" w:eastAsia="仿宋_GB2312"/>
          <w:color w:val="000000"/>
          <w:sz w:val="32"/>
          <w:szCs w:val="32"/>
        </w:rPr>
        <w:t>组织办理涉及市政府工作的人大代表议案、批评、建议和政协委员提案、建议案工作。</w:t>
      </w:r>
    </w:p>
    <w:p>
      <w:pPr>
        <w:pStyle w:val="2"/>
        <w:spacing w:before="0" w:beforeAutospacing="0" w:after="0" w:line="570" w:lineRule="exact"/>
        <w:ind w:left="0" w:leftChars="0" w:firstLine="64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围绕市政府中心工作和市政府领导同志的指示，组织专题调查研究，及时反映情况，提出政策性建议。</w:t>
      </w:r>
    </w:p>
    <w:p>
      <w:pPr>
        <w:spacing w:line="570" w:lineRule="exact"/>
        <w:ind w:firstLine="640" w:firstLineChars="200"/>
        <w:jc w:val="both"/>
        <w:rPr>
          <w:rFonts w:ascii="仿宋_GB2312" w:eastAsia="仿宋_GB2312"/>
          <w:color w:val="000000"/>
          <w:spacing w:val="-6"/>
          <w:kern w:val="2"/>
          <w:sz w:val="32"/>
          <w:szCs w:val="32"/>
        </w:rPr>
      </w:pPr>
      <w:r>
        <w:rPr>
          <w:rFonts w:ascii="仿宋_GB2312" w:eastAsia="仿宋_GB2312"/>
          <w:color w:val="000000"/>
          <w:kern w:val="2"/>
          <w:sz w:val="32"/>
          <w:szCs w:val="32"/>
        </w:rPr>
        <w:t>10.</w:t>
      </w:r>
      <w:r>
        <w:rPr>
          <w:rFonts w:hint="eastAsia" w:ascii="仿宋_GB2312" w:eastAsia="仿宋_GB2312"/>
          <w:color w:val="000000"/>
          <w:kern w:val="2"/>
          <w:sz w:val="32"/>
          <w:szCs w:val="32"/>
        </w:rPr>
        <w:t>贯彻执行国家有关民营经济发展的方针政策和法律法规，制</w:t>
      </w:r>
      <w:r>
        <w:rPr>
          <w:rFonts w:hint="eastAsia" w:ascii="仿宋_GB2312" w:eastAsia="仿宋_GB2312"/>
          <w:color w:val="000000"/>
          <w:spacing w:val="-6"/>
          <w:kern w:val="2"/>
          <w:sz w:val="32"/>
          <w:szCs w:val="32"/>
        </w:rPr>
        <w:t>定全市民营经济发展工作目标，指导县（区）民营经济发展。</w:t>
      </w:r>
    </w:p>
    <w:p>
      <w:pPr>
        <w:pStyle w:val="16"/>
        <w:suppressAutoHyphens/>
        <w:overflowPunct w:val="0"/>
        <w:spacing w:before="0" w:beforeAutospacing="0" w:after="0" w:afterAutospacing="0" w:line="570" w:lineRule="exact"/>
        <w:ind w:firstLine="640" w:firstLineChars="200"/>
        <w:jc w:val="both"/>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负责“放管服”改革、行政权力依法规范公开运行、公共资源交易管理等工作的统筹指导，负责指导、协调、监督并推进深化行政审批制度改革工作。</w:t>
      </w:r>
    </w:p>
    <w:p>
      <w:pPr>
        <w:pStyle w:val="17"/>
        <w:spacing w:after="0" w:line="570" w:lineRule="exact"/>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管理市政府办公室直属单位。</w:t>
      </w:r>
    </w:p>
    <w:p>
      <w:pPr>
        <w:pStyle w:val="16"/>
        <w:overflowPunct w:val="0"/>
        <w:spacing w:before="0" w:beforeAutospacing="0" w:after="0" w:afterAutospacing="0" w:line="570" w:lineRule="exact"/>
        <w:ind w:firstLine="640" w:firstLineChars="200"/>
        <w:jc w:val="both"/>
        <w:rPr>
          <w:rFonts w:ascii="仿宋_GB2312" w:eastAsia="仿宋_GB2312"/>
          <w:color w:val="000000"/>
          <w:kern w:val="2"/>
          <w:sz w:val="32"/>
          <w:szCs w:val="32"/>
        </w:rPr>
      </w:pPr>
      <w:r>
        <w:rPr>
          <w:rFonts w:ascii="仿宋_GB2312" w:eastAsia="仿宋_GB2312"/>
          <w:color w:val="000000"/>
          <w:kern w:val="2"/>
          <w:sz w:val="32"/>
          <w:szCs w:val="32"/>
        </w:rPr>
        <w:t>13.</w:t>
      </w:r>
      <w:r>
        <w:rPr>
          <w:rFonts w:hint="eastAsia" w:ascii="仿宋_GB2312" w:eastAsia="仿宋_GB2312"/>
          <w:color w:val="000000"/>
          <w:kern w:val="2"/>
          <w:sz w:val="32"/>
          <w:szCs w:val="32"/>
        </w:rPr>
        <w:t>办理市政府和市政府领导交办的其他事项。</w:t>
      </w:r>
    </w:p>
    <w:p>
      <w:pPr>
        <w:pStyle w:val="16"/>
        <w:overflowPunct w:val="0"/>
        <w:spacing w:before="0" w:beforeAutospacing="0" w:after="0" w:afterAutospacing="0" w:line="570" w:lineRule="exact"/>
        <w:ind w:firstLine="640" w:firstLineChars="200"/>
        <w:jc w:val="both"/>
        <w:rPr>
          <w:rFonts w:ascii="楷体_GB2312" w:eastAsia="楷体_GB2312" w:cs="Droid Sans_x0004_falt"/>
          <w:color w:val="000000"/>
          <w:sz w:val="32"/>
          <w:szCs w:val="32"/>
        </w:rPr>
      </w:pPr>
      <w:r>
        <w:rPr>
          <w:rFonts w:hint="eastAsia" w:ascii="楷体_GB2312" w:eastAsia="楷体_GB2312" w:cs="Droid Sans_x0004_falt"/>
          <w:color w:val="000000"/>
          <w:sz w:val="32"/>
          <w:szCs w:val="32"/>
        </w:rPr>
        <w:t>（三）</w:t>
      </w:r>
      <w:r>
        <w:rPr>
          <w:rFonts w:ascii="楷体_GB2312" w:eastAsia="楷体_GB2312" w:cs="Droid Sans_x0004_falt"/>
          <w:color w:val="000000"/>
          <w:sz w:val="32"/>
          <w:szCs w:val="32"/>
        </w:rPr>
        <w:t>2022</w:t>
      </w:r>
      <w:r>
        <w:rPr>
          <w:rFonts w:hint="eastAsia" w:ascii="楷体_GB2312" w:eastAsia="楷体_GB2312" w:cs="Droid Sans_x0004_falt"/>
          <w:color w:val="000000"/>
          <w:sz w:val="32"/>
          <w:szCs w:val="32"/>
        </w:rPr>
        <w:t>年度主要工作任务</w:t>
      </w:r>
    </w:p>
    <w:p>
      <w:pPr>
        <w:pStyle w:val="8"/>
        <w:overflowPunct w:val="0"/>
        <w:spacing w:before="93" w:line="570" w:lineRule="exact"/>
        <w:ind w:firstLine="640" w:firstLineChars="200"/>
        <w:jc w:val="both"/>
        <w:rPr>
          <w:color w:val="000000"/>
          <w:sz w:val="32"/>
          <w:szCs w:val="28"/>
        </w:rPr>
      </w:pPr>
      <w:r>
        <w:rPr>
          <w:color w:val="000000"/>
          <w:sz w:val="32"/>
          <w:szCs w:val="28"/>
        </w:rPr>
        <w:t>1.</w:t>
      </w:r>
      <w:r>
        <w:rPr>
          <w:rFonts w:hint="eastAsia"/>
          <w:color w:val="000000"/>
          <w:sz w:val="32"/>
          <w:szCs w:val="28"/>
        </w:rPr>
        <w:t>聚焦“两个维护”，着力强化政治建设。一是政治机关建设稳步推进；二是模范机关建设持续着力；三是服务机关建设不断拓展。</w:t>
      </w:r>
    </w:p>
    <w:p>
      <w:pPr>
        <w:pStyle w:val="8"/>
        <w:overflowPunct w:val="0"/>
        <w:spacing w:before="93" w:line="570" w:lineRule="exact"/>
        <w:ind w:firstLine="640" w:firstLineChars="200"/>
        <w:jc w:val="both"/>
        <w:rPr>
          <w:color w:val="000000"/>
          <w:sz w:val="32"/>
          <w:szCs w:val="28"/>
        </w:rPr>
      </w:pPr>
      <w:r>
        <w:rPr>
          <w:color w:val="000000"/>
          <w:sz w:val="32"/>
          <w:szCs w:val="28"/>
        </w:rPr>
        <w:t>2.</w:t>
      </w:r>
      <w:r>
        <w:rPr>
          <w:rFonts w:hint="eastAsia"/>
          <w:color w:val="000000"/>
          <w:sz w:val="32"/>
          <w:szCs w:val="28"/>
        </w:rPr>
        <w:t>聚焦参政辅政，着力提升服务质效。一是文风会纪持续向好；二是文稿水平持续提升；三是政务督办持续加力。</w:t>
      </w:r>
    </w:p>
    <w:p>
      <w:pPr>
        <w:pStyle w:val="8"/>
        <w:overflowPunct w:val="0"/>
        <w:spacing w:before="93" w:line="570" w:lineRule="exact"/>
        <w:ind w:firstLine="640" w:firstLineChars="200"/>
        <w:jc w:val="both"/>
        <w:rPr>
          <w:color w:val="000000"/>
          <w:sz w:val="32"/>
          <w:szCs w:val="28"/>
        </w:rPr>
      </w:pPr>
      <w:r>
        <w:rPr>
          <w:color w:val="000000"/>
          <w:sz w:val="32"/>
          <w:szCs w:val="28"/>
        </w:rPr>
        <w:t>3.</w:t>
      </w:r>
      <w:r>
        <w:rPr>
          <w:rFonts w:hint="eastAsia"/>
          <w:color w:val="000000"/>
          <w:sz w:val="32"/>
          <w:szCs w:val="28"/>
        </w:rPr>
        <w:t>聚焦中心大局，着力统筹助推发展。一是全面助力新冠肺炎疫情防控；二是持续打造最优营商环境；三是助推民营经济健康发展。</w:t>
      </w:r>
    </w:p>
    <w:p>
      <w:pPr>
        <w:pStyle w:val="8"/>
        <w:overflowPunct w:val="0"/>
        <w:spacing w:before="93" w:line="570" w:lineRule="exact"/>
        <w:ind w:firstLine="640" w:firstLineChars="200"/>
        <w:jc w:val="both"/>
        <w:rPr>
          <w:color w:val="000000"/>
          <w:sz w:val="32"/>
          <w:szCs w:val="28"/>
        </w:rPr>
      </w:pPr>
      <w:r>
        <w:rPr>
          <w:color w:val="000000"/>
          <w:sz w:val="32"/>
          <w:szCs w:val="28"/>
        </w:rPr>
        <w:t>4.</w:t>
      </w:r>
      <w:r>
        <w:rPr>
          <w:rFonts w:hint="eastAsia"/>
          <w:color w:val="000000"/>
          <w:sz w:val="32"/>
          <w:szCs w:val="28"/>
        </w:rPr>
        <w:t>聚焦职能履行，着力推进提质增效。一是政务公开工作大力推进；二是电子政务管理能力提升；三是牵头职能工作落实落地。</w:t>
      </w:r>
    </w:p>
    <w:p>
      <w:pPr>
        <w:pStyle w:val="8"/>
        <w:overflowPunct w:val="0"/>
        <w:spacing w:before="93" w:line="570" w:lineRule="exact"/>
        <w:ind w:firstLine="640" w:firstLineChars="200"/>
        <w:jc w:val="both"/>
        <w:rPr>
          <w:color w:val="000000"/>
          <w:sz w:val="32"/>
          <w:szCs w:val="28"/>
        </w:rPr>
      </w:pPr>
      <w:r>
        <w:rPr>
          <w:color w:val="000000"/>
          <w:sz w:val="32"/>
          <w:szCs w:val="28"/>
        </w:rPr>
        <w:t>5.</w:t>
      </w:r>
      <w:r>
        <w:rPr>
          <w:rFonts w:hint="eastAsia"/>
          <w:color w:val="000000"/>
          <w:sz w:val="32"/>
          <w:szCs w:val="28"/>
        </w:rPr>
        <w:t>聚焦实干担当，着力建强班子队伍。一是聚焦聚力队伍建设；二是提高选人用人质量；三是注重教育管理实效。</w:t>
      </w:r>
    </w:p>
    <w:p>
      <w:pPr>
        <w:pStyle w:val="16"/>
        <w:overflowPunct w:val="0"/>
        <w:spacing w:before="0" w:beforeAutospacing="0" w:after="0" w:afterAutospacing="0" w:line="570" w:lineRule="exact"/>
        <w:ind w:firstLine="640" w:firstLineChars="200"/>
        <w:jc w:val="both"/>
        <w:rPr>
          <w:rFonts w:ascii="楷体_GB2312" w:eastAsia="楷体_GB2312" w:cs="Droid Sans_x0004_falt"/>
          <w:color w:val="000000"/>
          <w:sz w:val="32"/>
          <w:szCs w:val="32"/>
        </w:rPr>
      </w:pPr>
      <w:r>
        <w:rPr>
          <w:rFonts w:hint="eastAsia" w:ascii="楷体_GB2312" w:eastAsia="楷体_GB2312" w:cs="Droid Sans_x0004_falt"/>
          <w:color w:val="000000"/>
          <w:sz w:val="32"/>
          <w:szCs w:val="32"/>
        </w:rPr>
        <w:t>（四）部门整体支出绩效评价</w:t>
      </w:r>
    </w:p>
    <w:p>
      <w:pPr>
        <w:pStyle w:val="8"/>
        <w:overflowPunct w:val="0"/>
        <w:spacing w:before="93" w:line="570" w:lineRule="exact"/>
        <w:ind w:firstLine="640" w:firstLineChars="200"/>
        <w:jc w:val="both"/>
        <w:rPr>
          <w:color w:val="000000"/>
          <w:sz w:val="32"/>
          <w:szCs w:val="28"/>
        </w:rPr>
      </w:pPr>
      <w:r>
        <w:rPr>
          <w:color w:val="000000"/>
          <w:sz w:val="32"/>
          <w:szCs w:val="28"/>
        </w:rPr>
        <w:t>1.</w:t>
      </w:r>
      <w:r>
        <w:rPr>
          <w:rFonts w:hint="eastAsia"/>
          <w:color w:val="000000"/>
          <w:sz w:val="32"/>
          <w:szCs w:val="28"/>
        </w:rPr>
        <w:t>本部门内部管理制度健全，严格执行预决算管理制度、预决算公开制度及机关财务管理制度等，经费支出合理，特定项目实施进展顺利，达到预期效果，群众满意，社会效益明细。受疫情防控等不可控因素影响，结转资金</w:t>
      </w:r>
      <w:r>
        <w:rPr>
          <w:color w:val="000000"/>
          <w:sz w:val="32"/>
          <w:szCs w:val="28"/>
        </w:rPr>
        <w:t>725.76</w:t>
      </w:r>
      <w:r>
        <w:rPr>
          <w:rFonts w:hint="eastAsia"/>
          <w:color w:val="000000"/>
          <w:sz w:val="32"/>
          <w:szCs w:val="28"/>
        </w:rPr>
        <w:t>万元，基本支出已于</w:t>
      </w:r>
      <w:r>
        <w:rPr>
          <w:color w:val="000000"/>
          <w:sz w:val="32"/>
          <w:szCs w:val="28"/>
        </w:rPr>
        <w:t>2023</w:t>
      </w:r>
      <w:r>
        <w:rPr>
          <w:rFonts w:hint="eastAsia"/>
          <w:color w:val="000000"/>
          <w:sz w:val="32"/>
          <w:szCs w:val="28"/>
        </w:rPr>
        <w:t>年年初兑现，特定项目已继续启动，倒排工期，力争尽快完成。</w:t>
      </w:r>
    </w:p>
    <w:p>
      <w:pPr>
        <w:pStyle w:val="8"/>
        <w:overflowPunct w:val="0"/>
        <w:spacing w:before="93" w:line="570" w:lineRule="exact"/>
        <w:ind w:firstLine="640" w:firstLineChars="200"/>
        <w:jc w:val="both"/>
        <w:rPr>
          <w:color w:val="000000"/>
          <w:sz w:val="32"/>
          <w:szCs w:val="28"/>
        </w:rPr>
      </w:pPr>
      <w:r>
        <w:rPr>
          <w:color w:val="000000"/>
          <w:sz w:val="32"/>
          <w:szCs w:val="28"/>
        </w:rPr>
        <w:t>2.2022</w:t>
      </w:r>
      <w:r>
        <w:rPr>
          <w:rFonts w:hint="eastAsia"/>
          <w:color w:val="000000"/>
          <w:sz w:val="32"/>
          <w:szCs w:val="28"/>
        </w:rPr>
        <w:t>年三公经费较上一年度下降，主要原因是厉行节约，从严控制开支。</w:t>
      </w:r>
    </w:p>
    <w:p>
      <w:pPr>
        <w:pStyle w:val="8"/>
        <w:overflowPunct w:val="0"/>
        <w:spacing w:before="93" w:line="570" w:lineRule="exact"/>
        <w:ind w:firstLine="640" w:firstLineChars="200"/>
        <w:jc w:val="both"/>
        <w:rPr>
          <w:color w:val="000000"/>
          <w:sz w:val="32"/>
          <w:szCs w:val="28"/>
        </w:rPr>
      </w:pPr>
      <w:r>
        <w:rPr>
          <w:color w:val="000000"/>
          <w:sz w:val="32"/>
          <w:szCs w:val="28"/>
        </w:rPr>
        <w:t>3.</w:t>
      </w:r>
      <w:r>
        <w:rPr>
          <w:rFonts w:hint="eastAsia"/>
          <w:color w:val="000000"/>
          <w:sz w:val="32"/>
          <w:szCs w:val="28"/>
        </w:rPr>
        <w:t>资产管理制度健全，采购主体和管理主体分开，符合固定资产管理规定的及时录入行政事业单位资产管理平台，并按照要求编制固定资产台账。</w:t>
      </w:r>
    </w:p>
    <w:p>
      <w:pPr>
        <w:pStyle w:val="8"/>
        <w:overflowPunct w:val="0"/>
        <w:spacing w:before="93" w:line="570" w:lineRule="exact"/>
        <w:ind w:firstLine="640" w:firstLineChars="200"/>
        <w:jc w:val="both"/>
        <w:rPr>
          <w:color w:val="000000"/>
          <w:sz w:val="32"/>
          <w:szCs w:val="28"/>
        </w:rPr>
      </w:pPr>
      <w:r>
        <w:rPr>
          <w:color w:val="000000"/>
          <w:sz w:val="32"/>
          <w:szCs w:val="28"/>
        </w:rPr>
        <w:t>2022</w:t>
      </w:r>
      <w:r>
        <w:rPr>
          <w:rFonts w:hint="eastAsia"/>
          <w:color w:val="000000"/>
          <w:sz w:val="32"/>
          <w:szCs w:val="28"/>
        </w:rPr>
        <w:t>年度部门整体支出绩效自评得分</w:t>
      </w:r>
      <w:r>
        <w:rPr>
          <w:color w:val="000000"/>
          <w:sz w:val="32"/>
          <w:szCs w:val="28"/>
        </w:rPr>
        <w:t>99.90</w:t>
      </w:r>
      <w:r>
        <w:rPr>
          <w:rFonts w:hint="eastAsia"/>
          <w:color w:val="000000"/>
          <w:sz w:val="32"/>
          <w:szCs w:val="28"/>
        </w:rPr>
        <w:t>分。</w:t>
      </w:r>
    </w:p>
    <w:p>
      <w:pPr>
        <w:pStyle w:val="8"/>
        <w:overflowPunct w:val="0"/>
        <w:spacing w:before="93" w:line="570" w:lineRule="exact"/>
        <w:ind w:firstLine="600" w:firstLineChars="200"/>
        <w:jc w:val="both"/>
        <w:rPr>
          <w:rFonts w:ascii="黑体" w:eastAsia="黑体" w:cs="黑体"/>
          <w:color w:val="000000"/>
        </w:rPr>
      </w:pPr>
      <w:r>
        <w:rPr>
          <w:rFonts w:hint="eastAsia" w:ascii="黑体" w:eastAsia="黑体" w:cs="黑体"/>
          <w:color w:val="000000"/>
        </w:rPr>
        <w:t>二、部门资金收支情况</w:t>
      </w:r>
    </w:p>
    <w:p>
      <w:pPr>
        <w:pStyle w:val="16"/>
        <w:overflowPunct w:val="0"/>
        <w:spacing w:before="0" w:beforeAutospacing="0" w:after="0" w:afterAutospacing="0" w:line="570" w:lineRule="exact"/>
        <w:ind w:firstLine="640" w:firstLineChars="200"/>
        <w:jc w:val="both"/>
        <w:rPr>
          <w:rFonts w:ascii="楷体_GB2312" w:eastAsia="楷体_GB2312" w:cs="Droid Sans_x0004_falt"/>
          <w:color w:val="000000"/>
          <w:sz w:val="32"/>
          <w:szCs w:val="32"/>
        </w:rPr>
      </w:pPr>
      <w:r>
        <w:rPr>
          <w:rFonts w:hint="eastAsia" w:ascii="楷体_GB2312" w:eastAsia="楷体_GB2312" w:cs="Droid Sans_x0004_falt"/>
          <w:color w:val="000000"/>
          <w:sz w:val="32"/>
          <w:szCs w:val="32"/>
        </w:rPr>
        <w:t>（一）部门总体收入情况</w:t>
      </w:r>
    </w:p>
    <w:p>
      <w:pPr>
        <w:pStyle w:val="8"/>
        <w:overflowPunct w:val="0"/>
        <w:spacing w:before="93" w:line="570" w:lineRule="exact"/>
        <w:ind w:firstLine="640" w:firstLineChars="200"/>
        <w:jc w:val="both"/>
        <w:rPr>
          <w:color w:val="000000"/>
          <w:sz w:val="32"/>
          <w:szCs w:val="28"/>
        </w:rPr>
      </w:pPr>
      <w:r>
        <w:rPr>
          <w:color w:val="000000"/>
          <w:sz w:val="32"/>
          <w:szCs w:val="28"/>
        </w:rPr>
        <w:t>1.</w:t>
      </w:r>
      <w:r>
        <w:rPr>
          <w:rFonts w:hint="eastAsia"/>
          <w:color w:val="000000"/>
          <w:sz w:val="32"/>
          <w:szCs w:val="28"/>
        </w:rPr>
        <w:t>部门总体收入情况</w:t>
      </w:r>
    </w:p>
    <w:p>
      <w:pPr>
        <w:pStyle w:val="8"/>
        <w:overflowPunct w:val="0"/>
        <w:spacing w:before="93" w:line="570" w:lineRule="exact"/>
        <w:ind w:firstLine="640" w:firstLineChars="200"/>
        <w:jc w:val="both"/>
        <w:rPr>
          <w:color w:val="000000"/>
          <w:sz w:val="32"/>
          <w:szCs w:val="28"/>
        </w:rPr>
      </w:pPr>
      <w:r>
        <w:rPr>
          <w:color w:val="000000"/>
          <w:sz w:val="32"/>
          <w:szCs w:val="28"/>
        </w:rPr>
        <w:t>2022</w:t>
      </w:r>
      <w:r>
        <w:rPr>
          <w:rFonts w:hint="eastAsia"/>
          <w:color w:val="000000"/>
          <w:sz w:val="32"/>
          <w:szCs w:val="28"/>
        </w:rPr>
        <w:t>年度市政府办公室部门总收入</w:t>
      </w:r>
      <w:r>
        <w:rPr>
          <w:color w:val="000000"/>
          <w:sz w:val="32"/>
          <w:szCs w:val="28"/>
        </w:rPr>
        <w:t>6523.31</w:t>
      </w:r>
      <w:r>
        <w:rPr>
          <w:rFonts w:hint="eastAsia"/>
          <w:color w:val="000000"/>
          <w:sz w:val="32"/>
          <w:szCs w:val="28"/>
        </w:rPr>
        <w:t>万元，其中，财政拨款收入</w:t>
      </w:r>
      <w:r>
        <w:rPr>
          <w:color w:val="000000"/>
          <w:sz w:val="32"/>
          <w:szCs w:val="28"/>
        </w:rPr>
        <w:t>6319.22</w:t>
      </w:r>
      <w:r>
        <w:rPr>
          <w:rFonts w:hint="eastAsia"/>
          <w:color w:val="000000"/>
          <w:sz w:val="32"/>
          <w:szCs w:val="28"/>
        </w:rPr>
        <w:t>万元，其他资金收入</w:t>
      </w:r>
      <w:r>
        <w:rPr>
          <w:color w:val="000000"/>
          <w:sz w:val="32"/>
          <w:szCs w:val="28"/>
        </w:rPr>
        <w:t>254.09</w:t>
      </w:r>
      <w:r>
        <w:rPr>
          <w:rFonts w:hint="eastAsia"/>
          <w:color w:val="000000"/>
          <w:sz w:val="32"/>
          <w:szCs w:val="28"/>
        </w:rPr>
        <w:t>万元。</w:t>
      </w:r>
    </w:p>
    <w:p>
      <w:pPr>
        <w:pStyle w:val="8"/>
        <w:overflowPunct w:val="0"/>
        <w:spacing w:before="93" w:line="570" w:lineRule="exact"/>
        <w:ind w:firstLine="640" w:firstLineChars="200"/>
        <w:jc w:val="both"/>
        <w:rPr>
          <w:color w:val="000000"/>
          <w:sz w:val="32"/>
          <w:szCs w:val="28"/>
        </w:rPr>
      </w:pPr>
      <w:r>
        <w:rPr>
          <w:color w:val="000000"/>
          <w:sz w:val="32"/>
          <w:szCs w:val="28"/>
        </w:rPr>
        <w:t>2.</w:t>
      </w:r>
      <w:r>
        <w:rPr>
          <w:rFonts w:hint="eastAsia"/>
          <w:color w:val="000000"/>
          <w:sz w:val="32"/>
          <w:szCs w:val="28"/>
        </w:rPr>
        <w:t>部门总体支出情况</w:t>
      </w:r>
    </w:p>
    <w:p>
      <w:pPr>
        <w:pStyle w:val="8"/>
        <w:overflowPunct w:val="0"/>
        <w:spacing w:before="93" w:line="570" w:lineRule="exact"/>
        <w:ind w:firstLine="640" w:firstLineChars="200"/>
        <w:jc w:val="both"/>
        <w:rPr>
          <w:color w:val="000000"/>
          <w:sz w:val="32"/>
          <w:szCs w:val="28"/>
        </w:rPr>
      </w:pPr>
      <w:r>
        <w:rPr>
          <w:color w:val="000000"/>
          <w:sz w:val="32"/>
          <w:szCs w:val="28"/>
        </w:rPr>
        <w:t>2022</w:t>
      </w:r>
      <w:r>
        <w:rPr>
          <w:rFonts w:hint="eastAsia"/>
          <w:color w:val="000000"/>
          <w:sz w:val="32"/>
          <w:szCs w:val="28"/>
        </w:rPr>
        <w:t>年度市政府办公室部门总支出</w:t>
      </w:r>
      <w:r>
        <w:rPr>
          <w:color w:val="000000"/>
          <w:sz w:val="32"/>
          <w:szCs w:val="28"/>
        </w:rPr>
        <w:t>5717.58</w:t>
      </w:r>
      <w:r>
        <w:rPr>
          <w:rFonts w:hint="eastAsia"/>
          <w:color w:val="000000"/>
          <w:sz w:val="32"/>
          <w:szCs w:val="28"/>
        </w:rPr>
        <w:t>万元，其中，财政拨款支出</w:t>
      </w:r>
      <w:r>
        <w:rPr>
          <w:color w:val="000000"/>
          <w:sz w:val="32"/>
          <w:szCs w:val="28"/>
        </w:rPr>
        <w:t>5502.5</w:t>
      </w:r>
      <w:r>
        <w:rPr>
          <w:rFonts w:hint="eastAsia"/>
          <w:color w:val="000000"/>
          <w:sz w:val="32"/>
          <w:szCs w:val="28"/>
        </w:rPr>
        <w:t>万元，其他资金支出</w:t>
      </w:r>
      <w:r>
        <w:rPr>
          <w:color w:val="000000"/>
          <w:sz w:val="32"/>
          <w:szCs w:val="28"/>
        </w:rPr>
        <w:t>215.08</w:t>
      </w:r>
      <w:r>
        <w:rPr>
          <w:rFonts w:hint="eastAsia"/>
          <w:color w:val="000000"/>
          <w:sz w:val="32"/>
          <w:szCs w:val="28"/>
        </w:rPr>
        <w:t>万元。</w:t>
      </w:r>
    </w:p>
    <w:p>
      <w:pPr>
        <w:pStyle w:val="8"/>
        <w:overflowPunct w:val="0"/>
        <w:spacing w:before="93" w:line="570" w:lineRule="exact"/>
        <w:ind w:firstLine="640" w:firstLineChars="200"/>
        <w:jc w:val="both"/>
        <w:rPr>
          <w:color w:val="000000"/>
          <w:sz w:val="32"/>
          <w:szCs w:val="28"/>
        </w:rPr>
      </w:pPr>
      <w:r>
        <w:rPr>
          <w:rFonts w:hint="eastAsia"/>
          <w:color w:val="000000"/>
          <w:sz w:val="32"/>
          <w:szCs w:val="28"/>
        </w:rPr>
        <w:t>基本支出</w:t>
      </w:r>
      <w:r>
        <w:rPr>
          <w:color w:val="000000"/>
          <w:sz w:val="32"/>
          <w:szCs w:val="28"/>
        </w:rPr>
        <w:t>3449.78</w:t>
      </w:r>
      <w:r>
        <w:rPr>
          <w:rFonts w:hint="eastAsia"/>
          <w:color w:val="000000"/>
          <w:sz w:val="32"/>
          <w:szCs w:val="28"/>
        </w:rPr>
        <w:t>万元，其中：人员经费</w:t>
      </w:r>
      <w:r>
        <w:rPr>
          <w:color w:val="000000"/>
          <w:sz w:val="32"/>
          <w:szCs w:val="28"/>
        </w:rPr>
        <w:t>2950.12</w:t>
      </w:r>
      <w:r>
        <w:rPr>
          <w:rFonts w:hint="eastAsia"/>
          <w:color w:val="000000"/>
          <w:sz w:val="32"/>
          <w:szCs w:val="28"/>
        </w:rPr>
        <w:t>万元，公用经费支出</w:t>
      </w:r>
      <w:r>
        <w:rPr>
          <w:color w:val="000000"/>
          <w:sz w:val="32"/>
          <w:szCs w:val="28"/>
        </w:rPr>
        <w:t>499.66</w:t>
      </w:r>
      <w:r>
        <w:rPr>
          <w:rFonts w:hint="eastAsia"/>
          <w:color w:val="000000"/>
          <w:sz w:val="32"/>
          <w:szCs w:val="28"/>
        </w:rPr>
        <w:t>万元。</w:t>
      </w:r>
    </w:p>
    <w:p>
      <w:pPr>
        <w:pStyle w:val="8"/>
        <w:overflowPunct w:val="0"/>
        <w:spacing w:before="93" w:line="570" w:lineRule="exact"/>
        <w:ind w:firstLine="640" w:firstLineChars="200"/>
        <w:jc w:val="both"/>
        <w:rPr>
          <w:color w:val="000000"/>
          <w:sz w:val="32"/>
          <w:szCs w:val="28"/>
        </w:rPr>
      </w:pPr>
      <w:r>
        <w:rPr>
          <w:rFonts w:hint="eastAsia"/>
          <w:color w:val="000000"/>
          <w:sz w:val="32"/>
          <w:szCs w:val="28"/>
        </w:rPr>
        <w:t>项目支出</w:t>
      </w:r>
      <w:r>
        <w:rPr>
          <w:color w:val="000000"/>
          <w:sz w:val="32"/>
          <w:szCs w:val="28"/>
        </w:rPr>
        <w:t>2267.80</w:t>
      </w:r>
      <w:r>
        <w:rPr>
          <w:rFonts w:hint="eastAsia"/>
          <w:color w:val="000000"/>
          <w:sz w:val="32"/>
          <w:szCs w:val="28"/>
        </w:rPr>
        <w:t>万元。</w:t>
      </w:r>
    </w:p>
    <w:p>
      <w:pPr>
        <w:pStyle w:val="16"/>
        <w:overflowPunct w:val="0"/>
        <w:spacing w:before="0" w:beforeAutospacing="0" w:after="0" w:afterAutospacing="0" w:line="570" w:lineRule="exact"/>
        <w:ind w:firstLine="640" w:firstLineChars="200"/>
        <w:jc w:val="both"/>
        <w:rPr>
          <w:rFonts w:ascii="楷体_GB2312" w:eastAsia="楷体_GB2312" w:cs="Droid Sans_x0004_falt"/>
          <w:color w:val="000000"/>
          <w:sz w:val="32"/>
          <w:szCs w:val="32"/>
        </w:rPr>
      </w:pPr>
      <w:r>
        <w:rPr>
          <w:rFonts w:hint="eastAsia" w:ascii="楷体_GB2312" w:eastAsia="楷体_GB2312" w:cs="Droid Sans_x0004_falt"/>
          <w:color w:val="000000"/>
          <w:sz w:val="32"/>
          <w:szCs w:val="32"/>
        </w:rPr>
        <w:t>（二）部门总体支出情况</w:t>
      </w:r>
    </w:p>
    <w:p>
      <w:pPr>
        <w:pStyle w:val="8"/>
        <w:overflowPunct w:val="0"/>
        <w:spacing w:before="93" w:line="570" w:lineRule="exact"/>
        <w:ind w:firstLine="640" w:firstLineChars="200"/>
        <w:jc w:val="both"/>
        <w:rPr>
          <w:color w:val="000000"/>
          <w:sz w:val="32"/>
          <w:szCs w:val="28"/>
        </w:rPr>
      </w:pPr>
      <w:r>
        <w:rPr>
          <w:color w:val="000000"/>
          <w:sz w:val="32"/>
          <w:szCs w:val="28"/>
        </w:rPr>
        <w:t>1.</w:t>
      </w:r>
      <w:r>
        <w:rPr>
          <w:rFonts w:hint="eastAsia"/>
          <w:color w:val="000000"/>
          <w:sz w:val="32"/>
          <w:szCs w:val="28"/>
        </w:rPr>
        <w:t>部门财政拨款收入情况。</w:t>
      </w:r>
      <w:r>
        <w:rPr>
          <w:color w:val="000000"/>
          <w:sz w:val="32"/>
          <w:szCs w:val="28"/>
        </w:rPr>
        <w:t>2022</w:t>
      </w:r>
      <w:r>
        <w:rPr>
          <w:rFonts w:hint="eastAsia"/>
          <w:color w:val="000000"/>
          <w:sz w:val="32"/>
          <w:szCs w:val="28"/>
        </w:rPr>
        <w:t>年全年财政拨款收入</w:t>
      </w:r>
      <w:r>
        <w:rPr>
          <w:color w:val="000000"/>
          <w:sz w:val="32"/>
          <w:szCs w:val="28"/>
        </w:rPr>
        <w:t>6319.22</w:t>
      </w:r>
      <w:r>
        <w:rPr>
          <w:rFonts w:hint="eastAsia"/>
          <w:color w:val="000000"/>
          <w:sz w:val="32"/>
          <w:szCs w:val="28"/>
        </w:rPr>
        <w:t>万元，其中基本支出收入</w:t>
      </w:r>
      <w:r>
        <w:rPr>
          <w:color w:val="000000"/>
          <w:sz w:val="32"/>
          <w:szCs w:val="28"/>
        </w:rPr>
        <w:t>3534.23</w:t>
      </w:r>
      <w:r>
        <w:rPr>
          <w:rFonts w:hint="eastAsia"/>
          <w:color w:val="000000"/>
          <w:sz w:val="32"/>
          <w:szCs w:val="28"/>
        </w:rPr>
        <w:t>万元，项目支出收入</w:t>
      </w:r>
      <w:r>
        <w:rPr>
          <w:color w:val="000000"/>
          <w:sz w:val="32"/>
          <w:szCs w:val="28"/>
        </w:rPr>
        <w:t>2784.99</w:t>
      </w:r>
      <w:r>
        <w:rPr>
          <w:rFonts w:hint="eastAsia"/>
          <w:color w:val="000000"/>
          <w:sz w:val="32"/>
          <w:szCs w:val="28"/>
        </w:rPr>
        <w:t>万元。</w:t>
      </w:r>
    </w:p>
    <w:p>
      <w:pPr>
        <w:pStyle w:val="8"/>
        <w:overflowPunct w:val="0"/>
        <w:spacing w:before="93" w:line="570" w:lineRule="exact"/>
        <w:ind w:firstLine="640" w:firstLineChars="200"/>
        <w:jc w:val="both"/>
        <w:rPr>
          <w:color w:val="000000"/>
          <w:sz w:val="32"/>
          <w:szCs w:val="28"/>
        </w:rPr>
      </w:pPr>
      <w:r>
        <w:rPr>
          <w:color w:val="000000"/>
          <w:sz w:val="32"/>
          <w:szCs w:val="28"/>
        </w:rPr>
        <w:t>2.</w:t>
      </w:r>
      <w:r>
        <w:rPr>
          <w:rFonts w:hint="eastAsia"/>
          <w:color w:val="000000"/>
          <w:sz w:val="32"/>
          <w:szCs w:val="28"/>
        </w:rPr>
        <w:t>部门财政拨款支出情况。</w:t>
      </w:r>
      <w:r>
        <w:rPr>
          <w:color w:val="000000"/>
          <w:sz w:val="32"/>
          <w:szCs w:val="28"/>
        </w:rPr>
        <w:t>2022</w:t>
      </w:r>
      <w:r>
        <w:rPr>
          <w:rFonts w:hint="eastAsia"/>
          <w:color w:val="000000"/>
          <w:sz w:val="32"/>
          <w:szCs w:val="28"/>
        </w:rPr>
        <w:t>年全年预算支出</w:t>
      </w:r>
      <w:r>
        <w:rPr>
          <w:color w:val="000000"/>
          <w:sz w:val="32"/>
          <w:szCs w:val="28"/>
        </w:rPr>
        <w:t>5502.5</w:t>
      </w:r>
      <w:r>
        <w:rPr>
          <w:rFonts w:hint="eastAsia"/>
          <w:color w:val="000000"/>
          <w:sz w:val="32"/>
          <w:szCs w:val="28"/>
        </w:rPr>
        <w:t>万元，其中：基本支出</w:t>
      </w:r>
      <w:r>
        <w:rPr>
          <w:color w:val="000000"/>
          <w:sz w:val="32"/>
          <w:szCs w:val="28"/>
        </w:rPr>
        <w:t>3449.78</w:t>
      </w:r>
      <w:r>
        <w:rPr>
          <w:rFonts w:hint="eastAsia"/>
          <w:color w:val="000000"/>
          <w:sz w:val="32"/>
          <w:szCs w:val="28"/>
        </w:rPr>
        <w:t>万元，项目支出</w:t>
      </w:r>
      <w:r>
        <w:rPr>
          <w:color w:val="000000"/>
          <w:sz w:val="32"/>
          <w:szCs w:val="28"/>
        </w:rPr>
        <w:t>2052.72</w:t>
      </w:r>
      <w:r>
        <w:rPr>
          <w:rFonts w:hint="eastAsia"/>
          <w:color w:val="000000"/>
          <w:sz w:val="32"/>
          <w:szCs w:val="28"/>
        </w:rPr>
        <w:t>万元。</w:t>
      </w:r>
    </w:p>
    <w:p>
      <w:pPr>
        <w:pStyle w:val="8"/>
        <w:overflowPunct w:val="0"/>
        <w:spacing w:before="93" w:line="570" w:lineRule="exact"/>
        <w:ind w:firstLine="640" w:firstLineChars="200"/>
        <w:jc w:val="both"/>
        <w:rPr>
          <w:color w:val="000000"/>
          <w:sz w:val="32"/>
          <w:szCs w:val="28"/>
        </w:rPr>
      </w:pPr>
      <w:r>
        <w:rPr>
          <w:color w:val="000000"/>
          <w:sz w:val="32"/>
          <w:szCs w:val="28"/>
        </w:rPr>
        <w:t>3.</w:t>
      </w:r>
      <w:r>
        <w:rPr>
          <w:rFonts w:hint="eastAsia"/>
          <w:color w:val="000000"/>
          <w:sz w:val="32"/>
          <w:szCs w:val="28"/>
        </w:rPr>
        <w:t>部门财政拨款结转结余情况。</w:t>
      </w:r>
      <w:r>
        <w:rPr>
          <w:color w:val="000000"/>
          <w:sz w:val="32"/>
          <w:szCs w:val="28"/>
        </w:rPr>
        <w:t>2022</w:t>
      </w:r>
      <w:r>
        <w:rPr>
          <w:rFonts w:hint="eastAsia"/>
          <w:color w:val="000000"/>
          <w:sz w:val="32"/>
          <w:szCs w:val="28"/>
        </w:rPr>
        <w:t>年结转</w:t>
      </w:r>
      <w:r>
        <w:rPr>
          <w:color w:val="000000"/>
          <w:sz w:val="32"/>
          <w:szCs w:val="28"/>
        </w:rPr>
        <w:t>816.72</w:t>
      </w:r>
      <w:r>
        <w:rPr>
          <w:rFonts w:hint="eastAsia"/>
          <w:color w:val="000000"/>
          <w:sz w:val="32"/>
          <w:szCs w:val="28"/>
        </w:rPr>
        <w:t>万元，其中人员经费结转</w:t>
      </w:r>
      <w:r>
        <w:rPr>
          <w:color w:val="000000"/>
          <w:sz w:val="32"/>
          <w:szCs w:val="28"/>
        </w:rPr>
        <w:t>84.45</w:t>
      </w:r>
      <w:r>
        <w:rPr>
          <w:rFonts w:hint="eastAsia"/>
          <w:color w:val="000000"/>
          <w:sz w:val="32"/>
          <w:szCs w:val="28"/>
        </w:rPr>
        <w:t>万元，项目经费结转</w:t>
      </w:r>
      <w:r>
        <w:rPr>
          <w:color w:val="000000"/>
          <w:sz w:val="32"/>
          <w:szCs w:val="28"/>
        </w:rPr>
        <w:t>732.27</w:t>
      </w:r>
      <w:r>
        <w:rPr>
          <w:rFonts w:hint="eastAsia"/>
          <w:color w:val="000000"/>
          <w:sz w:val="32"/>
          <w:szCs w:val="28"/>
        </w:rPr>
        <w:t>万元。</w:t>
      </w:r>
    </w:p>
    <w:p>
      <w:pPr>
        <w:pStyle w:val="8"/>
        <w:overflowPunct w:val="0"/>
        <w:spacing w:before="93" w:line="570" w:lineRule="exact"/>
        <w:ind w:firstLine="600" w:firstLineChars="200"/>
        <w:jc w:val="both"/>
        <w:rPr>
          <w:rFonts w:ascii="黑体" w:eastAsia="黑体" w:cs="黑体"/>
          <w:color w:val="000000"/>
        </w:rPr>
      </w:pPr>
      <w:r>
        <w:rPr>
          <w:rFonts w:hint="eastAsia" w:ascii="黑体" w:eastAsia="黑体" w:cs="黑体"/>
          <w:color w:val="000000"/>
        </w:rPr>
        <w:t>三、部门整体绩效分析</w:t>
      </w:r>
    </w:p>
    <w:p>
      <w:pPr>
        <w:pStyle w:val="16"/>
        <w:overflowPunct w:val="0"/>
        <w:spacing w:before="0" w:beforeAutospacing="0" w:after="0" w:afterAutospacing="0" w:line="570" w:lineRule="exact"/>
        <w:ind w:firstLine="640" w:firstLineChars="200"/>
        <w:jc w:val="both"/>
        <w:rPr>
          <w:rFonts w:ascii="楷体_GB2312" w:eastAsia="楷体_GB2312" w:cs="Droid Sans_x0004_falt"/>
          <w:color w:val="000000"/>
          <w:sz w:val="32"/>
          <w:szCs w:val="32"/>
        </w:rPr>
      </w:pPr>
      <w:r>
        <w:rPr>
          <w:rFonts w:hint="eastAsia" w:ascii="楷体_GB2312" w:eastAsia="楷体_GB2312" w:cs="Droid Sans_x0004_falt"/>
          <w:color w:val="000000"/>
          <w:sz w:val="32"/>
          <w:szCs w:val="32"/>
        </w:rPr>
        <w:t>（一）部门预算项目绩效分析</w:t>
      </w:r>
    </w:p>
    <w:p>
      <w:pPr>
        <w:pStyle w:val="8"/>
        <w:overflowPunct w:val="0"/>
        <w:spacing w:before="93" w:line="570" w:lineRule="exact"/>
        <w:ind w:firstLine="640" w:firstLineChars="200"/>
        <w:jc w:val="both"/>
        <w:rPr>
          <w:color w:val="000000"/>
          <w:sz w:val="32"/>
          <w:szCs w:val="28"/>
        </w:rPr>
      </w:pPr>
      <w:r>
        <w:rPr>
          <w:color w:val="000000"/>
          <w:sz w:val="32"/>
          <w:szCs w:val="28"/>
        </w:rPr>
        <w:t>1.</w:t>
      </w:r>
      <w:r>
        <w:rPr>
          <w:rFonts w:hint="eastAsia"/>
          <w:color w:val="000000"/>
          <w:sz w:val="32"/>
          <w:szCs w:val="28"/>
        </w:rPr>
        <w:t>人员类项目绩效分析。严格执行相关政策，保障工资及时发放、足额发放，预算编制合理。因</w:t>
      </w:r>
      <w:r>
        <w:rPr>
          <w:color w:val="000000"/>
          <w:sz w:val="32"/>
          <w:szCs w:val="28"/>
        </w:rPr>
        <w:t>2022</w:t>
      </w:r>
      <w:r>
        <w:rPr>
          <w:rFonts w:hint="eastAsia"/>
          <w:color w:val="000000"/>
          <w:sz w:val="32"/>
          <w:szCs w:val="28"/>
        </w:rPr>
        <w:t>年底市财政局将基础绩效奖纳入住房公积金和机关养老保险缴费基数，需重新核算</w:t>
      </w:r>
      <w:r>
        <w:rPr>
          <w:color w:val="000000"/>
          <w:sz w:val="32"/>
          <w:szCs w:val="28"/>
        </w:rPr>
        <w:t>2021</w:t>
      </w:r>
      <w:r>
        <w:rPr>
          <w:rFonts w:hint="eastAsia"/>
          <w:color w:val="000000"/>
          <w:sz w:val="32"/>
          <w:szCs w:val="28"/>
        </w:rPr>
        <w:t>年至</w:t>
      </w:r>
      <w:r>
        <w:rPr>
          <w:color w:val="000000"/>
          <w:sz w:val="32"/>
          <w:szCs w:val="28"/>
        </w:rPr>
        <w:t>2022</w:t>
      </w:r>
      <w:r>
        <w:rPr>
          <w:rFonts w:hint="eastAsia"/>
          <w:color w:val="000000"/>
          <w:sz w:val="32"/>
          <w:szCs w:val="28"/>
        </w:rPr>
        <w:t>年的缴费基数，导致部分资金未使用完毕，</w:t>
      </w:r>
      <w:r>
        <w:rPr>
          <w:color w:val="000000"/>
          <w:sz w:val="32"/>
          <w:szCs w:val="28"/>
        </w:rPr>
        <w:t>2023</w:t>
      </w:r>
      <w:r>
        <w:rPr>
          <w:rFonts w:hint="eastAsia"/>
          <w:color w:val="000000"/>
          <w:sz w:val="32"/>
          <w:szCs w:val="28"/>
        </w:rPr>
        <w:t>年初已将资金全部兑现到位。</w:t>
      </w:r>
    </w:p>
    <w:p>
      <w:pPr>
        <w:pStyle w:val="8"/>
        <w:overflowPunct w:val="0"/>
        <w:spacing w:before="93" w:line="570" w:lineRule="exact"/>
        <w:ind w:firstLine="640" w:firstLineChars="200"/>
        <w:jc w:val="both"/>
        <w:rPr>
          <w:color w:val="000000"/>
          <w:sz w:val="32"/>
          <w:szCs w:val="28"/>
        </w:rPr>
      </w:pPr>
      <w:r>
        <w:rPr>
          <w:color w:val="000000"/>
          <w:sz w:val="32"/>
          <w:szCs w:val="28"/>
        </w:rPr>
        <w:t>2.</w:t>
      </w:r>
      <w:r>
        <w:rPr>
          <w:rFonts w:hint="eastAsia"/>
          <w:color w:val="000000"/>
          <w:sz w:val="32"/>
          <w:szCs w:val="28"/>
        </w:rPr>
        <w:t>运转类项目绩效分析。严格执行相关政策，保障单位日常运转，提高预算编制质量，严格执行预算，</w:t>
      </w:r>
      <w:r>
        <w:rPr>
          <w:color w:val="000000"/>
          <w:sz w:val="32"/>
          <w:szCs w:val="28"/>
        </w:rPr>
        <w:t>2022</w:t>
      </w:r>
      <w:r>
        <w:rPr>
          <w:rFonts w:hint="eastAsia"/>
          <w:color w:val="000000"/>
          <w:sz w:val="32"/>
          <w:szCs w:val="28"/>
        </w:rPr>
        <w:t>年度运转类项目使用率</w:t>
      </w:r>
      <w:r>
        <w:rPr>
          <w:color w:val="000000"/>
          <w:sz w:val="32"/>
          <w:szCs w:val="28"/>
        </w:rPr>
        <w:t>100%</w:t>
      </w:r>
      <w:r>
        <w:rPr>
          <w:rFonts w:hint="eastAsia"/>
          <w:color w:val="000000"/>
          <w:sz w:val="32"/>
          <w:szCs w:val="28"/>
        </w:rPr>
        <w:t>。</w:t>
      </w:r>
    </w:p>
    <w:p>
      <w:pPr>
        <w:pStyle w:val="8"/>
        <w:overflowPunct w:val="0"/>
        <w:spacing w:before="93" w:line="570" w:lineRule="exact"/>
        <w:ind w:firstLine="640" w:firstLineChars="200"/>
        <w:jc w:val="both"/>
        <w:rPr>
          <w:color w:val="000000"/>
          <w:sz w:val="32"/>
          <w:szCs w:val="28"/>
        </w:rPr>
      </w:pPr>
      <w:r>
        <w:rPr>
          <w:color w:val="000000"/>
          <w:sz w:val="32"/>
          <w:szCs w:val="28"/>
        </w:rPr>
        <w:t>3.</w:t>
      </w:r>
      <w:r>
        <w:rPr>
          <w:rFonts w:hint="eastAsia"/>
          <w:color w:val="000000"/>
          <w:sz w:val="32"/>
          <w:szCs w:val="28"/>
        </w:rPr>
        <w:t>特定目标类项目绩效分析。严格执行《中华人民共和国预算法》及省、市绩效管理工作规定，进一步规范财政资金的管理，强化财政支出绩效理念，提升部门责任意识，提高资金使用效益。受疫情防控等不可控因素影响，特定目标类项目结转资金</w:t>
      </w:r>
      <w:r>
        <w:rPr>
          <w:color w:val="000000"/>
          <w:sz w:val="32"/>
          <w:szCs w:val="28"/>
        </w:rPr>
        <w:t>732.27</w:t>
      </w:r>
      <w:r>
        <w:rPr>
          <w:rFonts w:hint="eastAsia"/>
          <w:color w:val="000000"/>
          <w:sz w:val="32"/>
          <w:szCs w:val="28"/>
        </w:rPr>
        <w:t>万元，完成率</w:t>
      </w:r>
      <w:r>
        <w:rPr>
          <w:color w:val="000000"/>
          <w:sz w:val="32"/>
          <w:szCs w:val="28"/>
        </w:rPr>
        <w:t>87.08%</w:t>
      </w:r>
      <w:r>
        <w:rPr>
          <w:rFonts w:hint="eastAsia"/>
          <w:color w:val="000000"/>
          <w:sz w:val="32"/>
          <w:szCs w:val="28"/>
        </w:rPr>
        <w:t>。</w:t>
      </w:r>
    </w:p>
    <w:p>
      <w:pPr>
        <w:pStyle w:val="16"/>
        <w:overflowPunct w:val="0"/>
        <w:spacing w:before="0" w:beforeAutospacing="0" w:after="0" w:afterAutospacing="0" w:line="570" w:lineRule="exact"/>
        <w:ind w:firstLine="640" w:firstLineChars="200"/>
        <w:jc w:val="both"/>
        <w:rPr>
          <w:rFonts w:ascii="楷体_GB2312" w:eastAsia="楷体_GB2312" w:cs="Droid Sans_x0004_falt"/>
          <w:color w:val="000000"/>
          <w:sz w:val="32"/>
          <w:szCs w:val="32"/>
        </w:rPr>
      </w:pPr>
      <w:r>
        <w:rPr>
          <w:rFonts w:hint="eastAsia" w:ascii="楷体_GB2312" w:eastAsia="楷体_GB2312" w:cs="Droid Sans_x0004_falt"/>
          <w:color w:val="000000"/>
          <w:sz w:val="32"/>
          <w:szCs w:val="32"/>
        </w:rPr>
        <w:t>（二）部门整体履职绩效分析</w:t>
      </w:r>
    </w:p>
    <w:p>
      <w:pPr>
        <w:pStyle w:val="8"/>
        <w:overflowPunct w:val="0"/>
        <w:spacing w:before="93" w:line="570" w:lineRule="exact"/>
        <w:ind w:firstLine="640" w:firstLineChars="200"/>
        <w:jc w:val="both"/>
        <w:rPr>
          <w:color w:val="000000"/>
          <w:sz w:val="32"/>
          <w:szCs w:val="28"/>
        </w:rPr>
      </w:pPr>
      <w:r>
        <w:rPr>
          <w:rFonts w:hint="eastAsia"/>
          <w:color w:val="000000"/>
          <w:sz w:val="32"/>
          <w:szCs w:val="28"/>
        </w:rPr>
        <w:t>本部门</w:t>
      </w:r>
      <w:r>
        <w:rPr>
          <w:color w:val="000000"/>
          <w:sz w:val="32"/>
          <w:szCs w:val="28"/>
        </w:rPr>
        <w:t>2022</w:t>
      </w:r>
      <w:r>
        <w:rPr>
          <w:rFonts w:hint="eastAsia"/>
          <w:color w:val="000000"/>
          <w:sz w:val="32"/>
          <w:szCs w:val="28"/>
        </w:rPr>
        <w:t>年所有支出严格按照国家财经法规、预算资金管理办法、财务管理制度及专项资金管理办法的规定，遵循先预算、再审批、后支出的原则，保证资金的合理使用。对资金实行全程监管，做到专款专用，确保项目的顺利开展，部门整体履职绩效分析如下：</w:t>
      </w:r>
    </w:p>
    <w:p>
      <w:pPr>
        <w:pStyle w:val="8"/>
        <w:overflowPunct w:val="0"/>
        <w:spacing w:before="93" w:line="570" w:lineRule="exact"/>
        <w:ind w:firstLine="640" w:firstLineChars="200"/>
        <w:jc w:val="both"/>
        <w:rPr>
          <w:color w:val="000000"/>
          <w:sz w:val="32"/>
          <w:szCs w:val="28"/>
        </w:rPr>
      </w:pPr>
      <w:r>
        <w:rPr>
          <w:color w:val="000000"/>
          <w:sz w:val="32"/>
          <w:szCs w:val="28"/>
        </w:rPr>
        <w:t>1.</w:t>
      </w:r>
      <w:r>
        <w:rPr>
          <w:rFonts w:hint="eastAsia"/>
          <w:color w:val="000000"/>
          <w:sz w:val="32"/>
          <w:szCs w:val="28"/>
        </w:rPr>
        <w:t>保障机关有效运转。干部待遇严格按政策发放，严格按照厉行节约的要求，量入为出，规范机关事务管理工作，提高服务质量，降低运行成本，合理配置，提高保障能力。</w:t>
      </w:r>
    </w:p>
    <w:p>
      <w:pPr>
        <w:pStyle w:val="8"/>
        <w:overflowPunct w:val="0"/>
        <w:spacing w:before="93" w:line="570" w:lineRule="exact"/>
        <w:ind w:firstLine="640" w:firstLineChars="200"/>
        <w:jc w:val="both"/>
        <w:rPr>
          <w:color w:val="000000"/>
          <w:sz w:val="32"/>
          <w:szCs w:val="28"/>
        </w:rPr>
      </w:pPr>
      <w:r>
        <w:rPr>
          <w:color w:val="000000"/>
          <w:sz w:val="32"/>
          <w:szCs w:val="28"/>
        </w:rPr>
        <w:t>2.</w:t>
      </w:r>
      <w:r>
        <w:rPr>
          <w:rFonts w:hint="eastAsia"/>
          <w:color w:val="000000"/>
          <w:sz w:val="32"/>
          <w:szCs w:val="28"/>
        </w:rPr>
        <w:t>特定项目制度健全。严格按照《行政事业单位会计制度》和相关规定进行会计核算，作到了资金支付依据充分、材料完整，开支范围、标准合法合规。</w:t>
      </w:r>
    </w:p>
    <w:p>
      <w:pPr>
        <w:pStyle w:val="16"/>
        <w:overflowPunct w:val="0"/>
        <w:spacing w:before="0" w:beforeAutospacing="0" w:after="0" w:afterAutospacing="0" w:line="570" w:lineRule="exact"/>
        <w:ind w:firstLine="640" w:firstLineChars="200"/>
        <w:jc w:val="both"/>
        <w:rPr>
          <w:rFonts w:ascii="楷体_GB2312" w:eastAsia="楷体_GB2312" w:cs="Droid Sans_x0004_falt"/>
          <w:color w:val="000000"/>
          <w:sz w:val="32"/>
          <w:szCs w:val="32"/>
        </w:rPr>
      </w:pPr>
      <w:r>
        <w:rPr>
          <w:rFonts w:hint="eastAsia" w:ascii="楷体_GB2312" w:eastAsia="楷体_GB2312" w:cs="Droid Sans_x0004_falt"/>
          <w:color w:val="000000"/>
          <w:sz w:val="32"/>
          <w:szCs w:val="32"/>
        </w:rPr>
        <w:t>（三）结果应用情况</w:t>
      </w:r>
    </w:p>
    <w:p>
      <w:pPr>
        <w:pStyle w:val="8"/>
        <w:overflowPunct w:val="0"/>
        <w:spacing w:before="93" w:line="570" w:lineRule="exact"/>
        <w:ind w:firstLine="640" w:firstLineChars="200"/>
        <w:jc w:val="both"/>
        <w:rPr>
          <w:color w:val="000000"/>
          <w:sz w:val="32"/>
          <w:szCs w:val="28"/>
        </w:rPr>
      </w:pPr>
      <w:r>
        <w:rPr>
          <w:color w:val="000000"/>
          <w:sz w:val="32"/>
          <w:szCs w:val="28"/>
        </w:rPr>
        <w:t>1.</w:t>
      </w:r>
      <w:r>
        <w:rPr>
          <w:rFonts w:hint="eastAsia"/>
          <w:color w:val="000000"/>
          <w:sz w:val="32"/>
          <w:szCs w:val="28"/>
        </w:rPr>
        <w:t>绩效自评公开情况。严格按照财政部门要求，在预决算公开时将部门整体绩效申报情况、绩效自评报告等进行同步公开，全面接受社会各界的监督。</w:t>
      </w:r>
    </w:p>
    <w:p>
      <w:pPr>
        <w:pStyle w:val="8"/>
        <w:overflowPunct w:val="0"/>
        <w:spacing w:before="93" w:line="570" w:lineRule="exact"/>
        <w:ind w:firstLine="640" w:firstLineChars="200"/>
        <w:jc w:val="both"/>
        <w:rPr>
          <w:color w:val="000000"/>
          <w:sz w:val="32"/>
          <w:szCs w:val="28"/>
        </w:rPr>
      </w:pPr>
      <w:r>
        <w:rPr>
          <w:color w:val="000000"/>
          <w:sz w:val="32"/>
          <w:szCs w:val="28"/>
        </w:rPr>
        <w:t>2.</w:t>
      </w:r>
      <w:r>
        <w:rPr>
          <w:rFonts w:hint="eastAsia"/>
          <w:color w:val="000000"/>
          <w:sz w:val="32"/>
          <w:szCs w:val="28"/>
        </w:rPr>
        <w:t>评价结果整改情况。针对绩效评价中发现的问题，认真查摆原因，找准突破口，建立健全制度建设。</w:t>
      </w:r>
    </w:p>
    <w:p>
      <w:pPr>
        <w:pStyle w:val="8"/>
        <w:overflowPunct w:val="0"/>
        <w:spacing w:before="93" w:line="570" w:lineRule="exact"/>
        <w:ind w:firstLine="640" w:firstLineChars="200"/>
        <w:jc w:val="both"/>
        <w:rPr>
          <w:color w:val="000000"/>
          <w:sz w:val="32"/>
          <w:szCs w:val="28"/>
        </w:rPr>
      </w:pPr>
      <w:r>
        <w:rPr>
          <w:color w:val="000000"/>
          <w:sz w:val="32"/>
          <w:szCs w:val="28"/>
        </w:rPr>
        <w:t>3.</w:t>
      </w:r>
      <w:r>
        <w:rPr>
          <w:rFonts w:hint="eastAsia"/>
          <w:color w:val="000000"/>
          <w:sz w:val="32"/>
          <w:szCs w:val="28"/>
        </w:rPr>
        <w:t>应用结果反馈等情况。我部门严格按照“谁支出，谁负责”的原则，定期对绩效目标实现程度和预算执行进度进行通报，针对存在的问题，及时与市财政局沟通进行调整。</w:t>
      </w:r>
    </w:p>
    <w:p>
      <w:pPr>
        <w:pStyle w:val="8"/>
        <w:overflowPunct w:val="0"/>
        <w:spacing w:before="93" w:line="570" w:lineRule="exact"/>
        <w:ind w:firstLine="640" w:firstLineChars="200"/>
        <w:jc w:val="both"/>
        <w:rPr>
          <w:color w:val="000000"/>
          <w:sz w:val="32"/>
          <w:szCs w:val="28"/>
        </w:rPr>
      </w:pPr>
      <w:r>
        <w:rPr>
          <w:rFonts w:hint="eastAsia" w:ascii="楷体_GB2312" w:eastAsia="楷体_GB2312" w:cs="Droid Sans_x0004_falt"/>
          <w:color w:val="000000"/>
          <w:sz w:val="32"/>
          <w:szCs w:val="28"/>
        </w:rPr>
        <w:t>（四）自评质量。</w:t>
      </w:r>
      <w:r>
        <w:rPr>
          <w:rFonts w:hint="eastAsia"/>
          <w:color w:val="000000"/>
          <w:sz w:val="32"/>
          <w:szCs w:val="28"/>
        </w:rPr>
        <w:t>根据部门整体支出绩效评价指标体系，部门</w:t>
      </w:r>
      <w:r>
        <w:rPr>
          <w:color w:val="000000"/>
          <w:sz w:val="32"/>
          <w:szCs w:val="28"/>
        </w:rPr>
        <w:t>2022</w:t>
      </w:r>
      <w:r>
        <w:rPr>
          <w:rFonts w:hint="eastAsia"/>
          <w:color w:val="000000"/>
          <w:sz w:val="32"/>
          <w:szCs w:val="28"/>
        </w:rPr>
        <w:t>年度评价得分为</w:t>
      </w:r>
      <w:r>
        <w:rPr>
          <w:color w:val="000000"/>
          <w:sz w:val="32"/>
          <w:szCs w:val="28"/>
        </w:rPr>
        <w:t>99.90</w:t>
      </w:r>
      <w:r>
        <w:rPr>
          <w:rFonts w:hint="eastAsia"/>
          <w:color w:val="000000"/>
          <w:sz w:val="32"/>
          <w:szCs w:val="28"/>
        </w:rPr>
        <w:t>分。</w:t>
      </w:r>
    </w:p>
    <w:p>
      <w:pPr>
        <w:pStyle w:val="8"/>
        <w:overflowPunct w:val="0"/>
        <w:spacing w:before="93" w:line="570" w:lineRule="exact"/>
        <w:ind w:firstLine="600" w:firstLineChars="200"/>
        <w:jc w:val="both"/>
        <w:rPr>
          <w:rFonts w:ascii="黑体" w:eastAsia="黑体" w:cs="黑体"/>
          <w:color w:val="000000"/>
        </w:rPr>
      </w:pPr>
      <w:r>
        <w:rPr>
          <w:rFonts w:hint="eastAsia" w:ascii="黑体" w:eastAsia="黑体" w:cs="黑体"/>
          <w:color w:val="000000"/>
        </w:rPr>
        <w:t>四、评价结论及建议</w:t>
      </w:r>
    </w:p>
    <w:p>
      <w:pPr>
        <w:pStyle w:val="16"/>
        <w:overflowPunct w:val="0"/>
        <w:spacing w:before="0" w:beforeAutospacing="0" w:after="0" w:afterAutospacing="0" w:line="570" w:lineRule="exact"/>
        <w:ind w:firstLine="640" w:firstLineChars="200"/>
        <w:jc w:val="both"/>
        <w:rPr>
          <w:rFonts w:ascii="仿宋_GB2312" w:eastAsia="仿宋_GB2312"/>
          <w:color w:val="000000"/>
          <w:sz w:val="32"/>
          <w:szCs w:val="32"/>
        </w:rPr>
      </w:pPr>
      <w:r>
        <w:rPr>
          <w:rFonts w:hint="eastAsia" w:ascii="楷体_GB2312" w:eastAsia="楷体_GB2312" w:cs="Droid Sans_x0004_falt"/>
          <w:color w:val="000000"/>
          <w:sz w:val="32"/>
          <w:szCs w:val="32"/>
        </w:rPr>
        <w:t>（一）评价结论。</w:t>
      </w:r>
      <w:r>
        <w:rPr>
          <w:rFonts w:ascii="楷体_GB2312" w:eastAsia="楷体_GB2312" w:cs="Droid Sans_x0004_falt"/>
          <w:color w:val="000000"/>
          <w:sz w:val="32"/>
          <w:szCs w:val="32"/>
        </w:rPr>
        <w:t>2</w:t>
      </w:r>
      <w:r>
        <w:rPr>
          <w:rFonts w:ascii="仿宋_GB2312" w:eastAsia="仿宋_GB2312"/>
          <w:color w:val="000000"/>
          <w:sz w:val="32"/>
          <w:szCs w:val="32"/>
        </w:rPr>
        <w:t>022</w:t>
      </w:r>
      <w:r>
        <w:rPr>
          <w:rFonts w:hint="eastAsia" w:ascii="仿宋_GB2312" w:eastAsia="仿宋_GB2312"/>
          <w:color w:val="000000"/>
          <w:sz w:val="32"/>
          <w:szCs w:val="32"/>
        </w:rPr>
        <w:t>年，我办积极履职，强化管理，较好地完成了年度工作目标。通过加强预算收支管理，不断建立健全内部管理制度，梳理内部管理流程，部门整体支出管理水平得到提升。根据部门整体支出绩效评价指标体系，我办</w:t>
      </w:r>
      <w:r>
        <w:rPr>
          <w:rFonts w:ascii="仿宋_GB2312" w:eastAsia="仿宋_GB2312"/>
          <w:color w:val="000000"/>
          <w:sz w:val="32"/>
          <w:szCs w:val="32"/>
        </w:rPr>
        <w:t>2022</w:t>
      </w:r>
      <w:r>
        <w:rPr>
          <w:rFonts w:hint="eastAsia" w:ascii="仿宋_GB2312" w:eastAsia="仿宋_GB2312"/>
          <w:color w:val="000000"/>
          <w:sz w:val="32"/>
          <w:szCs w:val="32"/>
        </w:rPr>
        <w:t>年度评价得分为</w:t>
      </w:r>
      <w:r>
        <w:rPr>
          <w:rFonts w:ascii="仿宋_GB2312" w:eastAsia="仿宋_GB2312"/>
          <w:color w:val="000000"/>
          <w:sz w:val="32"/>
          <w:szCs w:val="32"/>
        </w:rPr>
        <w:t>99.90</w:t>
      </w:r>
      <w:r>
        <w:rPr>
          <w:rFonts w:hint="eastAsia" w:ascii="仿宋_GB2312" w:eastAsia="仿宋_GB2312"/>
          <w:color w:val="000000"/>
          <w:sz w:val="32"/>
          <w:szCs w:val="32"/>
        </w:rPr>
        <w:t>分。</w:t>
      </w:r>
    </w:p>
    <w:p>
      <w:pPr>
        <w:pStyle w:val="16"/>
        <w:overflowPunct w:val="0"/>
        <w:spacing w:before="0" w:beforeAutospacing="0" w:after="0" w:afterAutospacing="0" w:line="570" w:lineRule="exact"/>
        <w:ind w:firstLine="640" w:firstLineChars="200"/>
        <w:jc w:val="both"/>
        <w:rPr>
          <w:rFonts w:ascii="仿宋_GB2312" w:eastAsia="仿宋_GB2312"/>
          <w:color w:val="000000"/>
          <w:sz w:val="32"/>
          <w:szCs w:val="32"/>
        </w:rPr>
      </w:pPr>
      <w:r>
        <w:rPr>
          <w:rFonts w:hint="eastAsia" w:ascii="楷体_GB2312" w:eastAsia="楷体_GB2312" w:cs="Droid Sans_x0004_falt"/>
          <w:color w:val="000000"/>
          <w:sz w:val="32"/>
          <w:szCs w:val="32"/>
        </w:rPr>
        <w:t>（二）存在的问题。</w:t>
      </w:r>
      <w:r>
        <w:rPr>
          <w:rFonts w:hint="eastAsia" w:ascii="仿宋_GB2312" w:eastAsia="仿宋_GB2312"/>
          <w:color w:val="000000"/>
          <w:sz w:val="32"/>
          <w:szCs w:val="32"/>
        </w:rPr>
        <w:t>一是预算编制工作有待细化。预算编制不够明确和细化，预算编制的合理性需要提高，预算执行力度还要进一步加强。二是因单位全额编制少导致经费不足，绩效工资和日常公用经费与实际支出相差较大。三是公用经费控制有一定难度，基本为刚性支出。</w:t>
      </w:r>
    </w:p>
    <w:p>
      <w:pPr>
        <w:pStyle w:val="8"/>
        <w:overflowPunct w:val="0"/>
        <w:spacing w:before="93" w:line="570" w:lineRule="exact"/>
        <w:ind w:firstLine="640" w:firstLineChars="200"/>
        <w:jc w:val="both"/>
        <w:rPr>
          <w:color w:val="000000"/>
          <w:sz w:val="32"/>
          <w:szCs w:val="32"/>
        </w:rPr>
      </w:pPr>
      <w:r>
        <w:rPr>
          <w:rFonts w:hint="eastAsia" w:ascii="楷体_GB2312" w:eastAsia="楷体_GB2312" w:cs="Droid Sans_x0004_falt"/>
          <w:color w:val="000000"/>
          <w:sz w:val="32"/>
          <w:szCs w:val="32"/>
        </w:rPr>
        <w:t>（三）改进建议。</w:t>
      </w:r>
      <w:r>
        <w:rPr>
          <w:rFonts w:hint="eastAsia"/>
          <w:color w:val="000000"/>
          <w:sz w:val="32"/>
          <w:szCs w:val="32"/>
        </w:rPr>
        <w:t>针对上述存在的问题及对外整体支出管理工作的需要，拟实施的改进措施如下：</w:t>
      </w:r>
    </w:p>
    <w:p>
      <w:pPr>
        <w:pStyle w:val="8"/>
        <w:overflowPunct w:val="0"/>
        <w:spacing w:before="93" w:line="570" w:lineRule="exact"/>
        <w:ind w:firstLine="640" w:firstLineChars="200"/>
        <w:jc w:val="both"/>
        <w:rPr>
          <w:color w:val="000000"/>
          <w:sz w:val="32"/>
          <w:szCs w:val="32"/>
        </w:rPr>
      </w:pPr>
      <w:r>
        <w:rPr>
          <w:color w:val="000000"/>
          <w:sz w:val="32"/>
          <w:szCs w:val="32"/>
        </w:rPr>
        <w:t>1.</w:t>
      </w:r>
      <w:r>
        <w:rPr>
          <w:rFonts w:hint="eastAsia"/>
          <w:color w:val="000000"/>
          <w:sz w:val="32"/>
          <w:szCs w:val="32"/>
        </w:rPr>
        <w:t>细化预算编制工作，认真做好预算的编制。进一步加强单位内部机构各科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pStyle w:val="8"/>
        <w:overflowPunct w:val="0"/>
        <w:spacing w:before="93" w:line="570" w:lineRule="exact"/>
        <w:ind w:firstLine="640" w:firstLineChars="200"/>
        <w:jc w:val="both"/>
        <w:rPr>
          <w:color w:val="000000"/>
          <w:sz w:val="32"/>
          <w:szCs w:val="32"/>
        </w:rPr>
      </w:pPr>
      <w:r>
        <w:rPr>
          <w:color w:val="000000"/>
          <w:sz w:val="32"/>
          <w:szCs w:val="32"/>
        </w:rPr>
        <w:t>2.</w:t>
      </w:r>
      <w:r>
        <w:rPr>
          <w:rFonts w:hint="eastAsia"/>
          <w:color w:val="000000"/>
          <w:sz w:val="32"/>
          <w:szCs w:val="32"/>
        </w:rPr>
        <w:t>加强财务管理，严格财务审核。加强单位财务管理，健全单位财务管理制度体系，规范单位财务行为。在费用报账支付时，按照预算规定的费用项目和用途进行资金使用审核、列报支付、财务核算，杜绝超支现象的发生。</w:t>
      </w:r>
    </w:p>
    <w:p>
      <w:pPr>
        <w:pStyle w:val="8"/>
        <w:overflowPunct w:val="0"/>
        <w:spacing w:before="93" w:line="570" w:lineRule="exact"/>
        <w:ind w:firstLine="640" w:firstLineChars="200"/>
        <w:jc w:val="both"/>
        <w:rPr>
          <w:color w:val="000000"/>
          <w:sz w:val="32"/>
          <w:szCs w:val="32"/>
        </w:rPr>
      </w:pPr>
      <w:r>
        <w:rPr>
          <w:color w:val="000000"/>
          <w:sz w:val="32"/>
          <w:szCs w:val="32"/>
        </w:rPr>
        <w:t>3.</w:t>
      </w:r>
      <w:r>
        <w:rPr>
          <w:rFonts w:hint="eastAsia"/>
          <w:color w:val="000000"/>
          <w:sz w:val="32"/>
          <w:szCs w:val="32"/>
        </w:rPr>
        <w:t>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w:t>
      </w:r>
    </w:p>
    <w:p>
      <w:pPr>
        <w:pStyle w:val="8"/>
        <w:overflowPunct w:val="0"/>
        <w:spacing w:before="93" w:line="570" w:lineRule="exact"/>
        <w:ind w:firstLine="640" w:firstLineChars="200"/>
        <w:jc w:val="both"/>
        <w:rPr>
          <w:color w:val="000000"/>
          <w:sz w:val="32"/>
          <w:szCs w:val="32"/>
        </w:rPr>
      </w:pPr>
      <w:r>
        <w:rPr>
          <w:color w:val="000000"/>
          <w:sz w:val="32"/>
          <w:szCs w:val="32"/>
        </w:rPr>
        <w:t>4.</w:t>
      </w:r>
      <w:r>
        <w:rPr>
          <w:rFonts w:hint="eastAsia"/>
          <w:color w:val="000000"/>
          <w:sz w:val="32"/>
          <w:szCs w:val="32"/>
        </w:rPr>
        <w:t>对相关人员加强培训，特别是针对《中华人民共和国预算法》《行政事业单位会计制度》等学习培训，规范部门预算收支核算，切实提高部门预算收支管理水平。</w:t>
      </w:r>
    </w:p>
    <w:p>
      <w:pPr>
        <w:pStyle w:val="8"/>
        <w:spacing w:before="93"/>
        <w:rPr>
          <w:rFonts w:hAnsi="宋体" w:cs="宋体"/>
          <w:sz w:val="32"/>
          <w:szCs w:val="32"/>
          <w:shd w:val="clear" w:color="auto" w:fill="FFFFFF"/>
          <w:lang w:val="zh-CN"/>
        </w:rPr>
      </w:pPr>
    </w:p>
    <w:p>
      <w:pPr>
        <w:topLinePunct/>
        <w:spacing w:line="560" w:lineRule="exact"/>
        <w:jc w:val="both"/>
        <w:rPr>
          <w:rFonts w:hint="eastAsia" w:ascii="黑体" w:hAnsi="Cambria" w:eastAsia="黑体" w:cs="仿宋_GB2312"/>
          <w:color w:val="000000"/>
          <w:kern w:val="2"/>
          <w:sz w:val="32"/>
          <w:szCs w:val="32"/>
          <w:lang w:val="zh-CN"/>
        </w:rPr>
      </w:pPr>
      <w:r>
        <w:rPr>
          <w:rFonts w:ascii="仿宋_GB2312" w:hAnsi="Cambria" w:eastAsia="仿宋_GB2312" w:cs="仿宋_GB2312"/>
          <w:color w:val="000000"/>
          <w:kern w:val="2"/>
          <w:sz w:val="32"/>
          <w:szCs w:val="32"/>
          <w:lang w:val="zh-CN"/>
        </w:rPr>
        <w:br w:type="page"/>
      </w:r>
      <w:r>
        <w:rPr>
          <w:rFonts w:hint="eastAsia" w:ascii="黑体" w:hAnsi="Cambria" w:eastAsia="黑体" w:cs="仿宋_GB2312"/>
          <w:color w:val="000000"/>
          <w:kern w:val="2"/>
          <w:sz w:val="32"/>
          <w:szCs w:val="32"/>
          <w:lang w:val="zh-CN"/>
        </w:rPr>
        <w:t>附表</w:t>
      </w:r>
    </w:p>
    <w:p>
      <w:pPr>
        <w:topLinePunct/>
        <w:spacing w:line="560" w:lineRule="exact"/>
        <w:jc w:val="center"/>
        <w:rPr>
          <w:rFonts w:hint="eastAsia" w:hAnsi="Cambria" w:cs="仿宋_GB2312"/>
          <w:color w:val="000000"/>
          <w:kern w:val="2"/>
          <w:sz w:val="44"/>
          <w:szCs w:val="44"/>
          <w:lang w:val="zh-CN"/>
        </w:rPr>
      </w:pPr>
      <w:r>
        <w:rPr>
          <w:rFonts w:hint="eastAsia" w:hAnsi="Cambria" w:cs="仿宋_GB2312"/>
          <w:color w:val="000000"/>
          <w:kern w:val="2"/>
          <w:sz w:val="44"/>
          <w:szCs w:val="44"/>
          <w:lang w:val="zh-CN"/>
        </w:rPr>
        <w:t>部门预算项目支出绩效自评表（</w:t>
      </w:r>
      <w:r>
        <w:rPr>
          <w:rFonts w:hint="eastAsia" w:hAnsi="Cambria" w:cs="仿宋_GB2312"/>
          <w:color w:val="000000"/>
          <w:kern w:val="2"/>
          <w:sz w:val="44"/>
          <w:szCs w:val="44"/>
        </w:rPr>
        <w:t>2022年度</w:t>
      </w:r>
      <w:r>
        <w:rPr>
          <w:rFonts w:hint="eastAsia" w:hAnsi="Cambria" w:cs="仿宋_GB2312"/>
          <w:color w:val="000000"/>
          <w:kern w:val="2"/>
          <w:sz w:val="44"/>
          <w:szCs w:val="44"/>
          <w:lang w:val="zh-CN"/>
        </w:rPr>
        <w:t>）</w:t>
      </w:r>
    </w:p>
    <w:tbl>
      <w:tblPr>
        <w:tblStyle w:val="18"/>
        <w:tblW w:w="10788" w:type="dxa"/>
        <w:tblInd w:w="-601" w:type="dxa"/>
        <w:tblLayout w:type="fixed"/>
        <w:tblCellMar>
          <w:top w:w="0" w:type="dxa"/>
          <w:left w:w="108" w:type="dxa"/>
          <w:bottom w:w="0" w:type="dxa"/>
          <w:right w:w="108" w:type="dxa"/>
        </w:tblCellMar>
      </w:tblPr>
      <w:tblGrid>
        <w:gridCol w:w="423"/>
        <w:gridCol w:w="1275"/>
        <w:gridCol w:w="425"/>
        <w:gridCol w:w="849"/>
        <w:gridCol w:w="1881"/>
        <w:gridCol w:w="980"/>
        <w:gridCol w:w="398"/>
        <w:gridCol w:w="708"/>
        <w:gridCol w:w="993"/>
        <w:gridCol w:w="280"/>
        <w:gridCol w:w="428"/>
        <w:gridCol w:w="538"/>
        <w:gridCol w:w="171"/>
        <w:gridCol w:w="571"/>
        <w:gridCol w:w="280"/>
        <w:gridCol w:w="574"/>
        <w:gridCol w:w="14"/>
      </w:tblGrid>
      <w:tr>
        <w:tblPrEx>
          <w:tblCellMar>
            <w:top w:w="0" w:type="dxa"/>
            <w:left w:w="108" w:type="dxa"/>
            <w:bottom w:w="0" w:type="dxa"/>
            <w:right w:w="108" w:type="dxa"/>
          </w:tblCellMar>
        </w:tblPrEx>
        <w:trPr>
          <w:gridAfter w:val="1"/>
          <w:wAfter w:w="14" w:type="dxa"/>
        </w:trPr>
        <w:tc>
          <w:tcPr>
            <w:tcW w:w="2123" w:type="dxa"/>
            <w:gridSpan w:val="3"/>
            <w:tcBorders>
              <w:top w:val="single" w:color="000000" w:sz="4" w:space="0"/>
              <w:left w:val="single" w:color="000000" w:sz="4" w:space="0"/>
              <w:bottom w:val="single" w:color="000000" w:sz="4" w:space="0"/>
              <w:right w:val="nil"/>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部门名称</w:t>
            </w:r>
          </w:p>
        </w:tc>
        <w:tc>
          <w:tcPr>
            <w:tcW w:w="8651" w:type="dxa"/>
            <w:gridSpan w:val="13"/>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广元市人民政府办公室部门</w:t>
            </w:r>
          </w:p>
        </w:tc>
      </w:tr>
      <w:tr>
        <w:tblPrEx>
          <w:tblCellMar>
            <w:top w:w="0" w:type="dxa"/>
            <w:left w:w="108" w:type="dxa"/>
            <w:bottom w:w="0" w:type="dxa"/>
            <w:right w:w="108" w:type="dxa"/>
          </w:tblCellMar>
        </w:tblPrEx>
        <w:trPr>
          <w:gridAfter w:val="1"/>
          <w:wAfter w:w="14" w:type="dxa"/>
        </w:trPr>
        <w:tc>
          <w:tcPr>
            <w:tcW w:w="42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年度</w:t>
            </w:r>
            <w:r>
              <w:rPr>
                <w:rFonts w:hint="eastAsia" w:ascii="仿宋_GB2312" w:hAnsi="宋体" w:eastAsia="仿宋_GB2312" w:cs="宋体"/>
                <w:color w:val="000000"/>
                <w:sz w:val="12"/>
                <w:szCs w:val="12"/>
              </w:rPr>
              <w:br w:type="textWrapping"/>
            </w:r>
            <w:r>
              <w:rPr>
                <w:rFonts w:hint="eastAsia" w:ascii="仿宋_GB2312" w:hAnsi="宋体" w:eastAsia="仿宋_GB2312" w:cs="宋体"/>
                <w:color w:val="000000"/>
                <w:sz w:val="12"/>
                <w:szCs w:val="12"/>
              </w:rPr>
              <w:t>主要</w:t>
            </w:r>
            <w:r>
              <w:rPr>
                <w:rFonts w:hint="eastAsia" w:ascii="仿宋_GB2312" w:hAnsi="宋体" w:eastAsia="仿宋_GB2312" w:cs="宋体"/>
                <w:color w:val="000000"/>
                <w:sz w:val="12"/>
                <w:szCs w:val="12"/>
              </w:rPr>
              <w:br w:type="textWrapping"/>
            </w:r>
            <w:r>
              <w:rPr>
                <w:rFonts w:hint="eastAsia" w:ascii="仿宋_GB2312" w:hAnsi="宋体" w:eastAsia="仿宋_GB2312" w:cs="宋体"/>
                <w:color w:val="000000"/>
                <w:sz w:val="12"/>
                <w:szCs w:val="12"/>
              </w:rPr>
              <w:t>任务</w:t>
            </w:r>
          </w:p>
        </w:tc>
        <w:tc>
          <w:tcPr>
            <w:tcW w:w="1700" w:type="dxa"/>
            <w:gridSpan w:val="2"/>
            <w:vMerge w:val="restart"/>
            <w:tcBorders>
              <w:top w:val="single" w:color="000000" w:sz="4" w:space="0"/>
              <w:left w:val="single" w:color="000000" w:sz="4" w:space="0"/>
              <w:bottom w:val="single" w:color="000000" w:sz="4" w:space="0"/>
              <w:right w:val="nil"/>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任务名称</w:t>
            </w:r>
          </w:p>
        </w:tc>
        <w:tc>
          <w:tcPr>
            <w:tcW w:w="4108" w:type="dxa"/>
            <w:gridSpan w:val="4"/>
            <w:vMerge w:val="restart"/>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主要内容</w:t>
            </w:r>
          </w:p>
        </w:tc>
        <w:tc>
          <w:tcPr>
            <w:tcW w:w="240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预算金额（万元）</w:t>
            </w:r>
          </w:p>
        </w:tc>
        <w:tc>
          <w:tcPr>
            <w:tcW w:w="2134" w:type="dxa"/>
            <w:gridSpan w:val="5"/>
            <w:tcBorders>
              <w:top w:val="single" w:color="000000" w:sz="4" w:space="0"/>
              <w:left w:val="single" w:color="000000" w:sz="4" w:space="0"/>
              <w:bottom w:val="single" w:color="000000" w:sz="4" w:space="0"/>
              <w:right w:val="single" w:color="000000" w:sz="4" w:space="0"/>
            </w:tcBorders>
            <w:noWrap/>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实际执行（万元）</w:t>
            </w:r>
          </w:p>
        </w:tc>
      </w:tr>
      <w:tr>
        <w:tblPrEx>
          <w:tblCellMar>
            <w:top w:w="0" w:type="dxa"/>
            <w:left w:w="108" w:type="dxa"/>
            <w:bottom w:w="0" w:type="dxa"/>
            <w:right w:w="108" w:type="dxa"/>
          </w:tblCellMar>
        </w:tblPrEx>
        <w:trPr>
          <w:gridAfter w:val="1"/>
          <w:wAfter w:w="14" w:type="dxa"/>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700" w:type="dxa"/>
            <w:gridSpan w:val="2"/>
            <w:vMerge w:val="continue"/>
            <w:tcBorders>
              <w:top w:val="single" w:color="000000" w:sz="4" w:space="0"/>
              <w:left w:val="single" w:color="000000" w:sz="4" w:space="0"/>
              <w:bottom w:val="single" w:color="000000" w:sz="4" w:space="0"/>
              <w:right w:val="nil"/>
            </w:tcBorders>
            <w:vAlign w:val="center"/>
          </w:tcPr>
          <w:p>
            <w:pPr>
              <w:spacing w:line="180" w:lineRule="exact"/>
              <w:jc w:val="center"/>
              <w:rPr>
                <w:rFonts w:hint="eastAsia" w:ascii="仿宋_GB2312" w:hAnsi="宋体" w:eastAsia="仿宋_GB2312" w:cs="宋体"/>
                <w:color w:val="000000"/>
                <w:sz w:val="12"/>
                <w:szCs w:val="12"/>
              </w:rPr>
            </w:pPr>
          </w:p>
        </w:tc>
        <w:tc>
          <w:tcPr>
            <w:tcW w:w="4108" w:type="dxa"/>
            <w:gridSpan w:val="4"/>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总额</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财政</w:t>
            </w:r>
          </w:p>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拨款</w:t>
            </w: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其他</w:t>
            </w:r>
          </w:p>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资金</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总额</w:t>
            </w:r>
          </w:p>
        </w:tc>
        <w:tc>
          <w:tcPr>
            <w:tcW w:w="851" w:type="dxa"/>
            <w:gridSpan w:val="2"/>
            <w:tcBorders>
              <w:top w:val="single" w:color="000000" w:sz="4" w:space="0"/>
              <w:left w:val="single" w:color="000000" w:sz="4" w:space="0"/>
              <w:bottom w:val="single" w:color="000000" w:sz="4" w:space="0"/>
              <w:right w:val="nil"/>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财政拨款</w:t>
            </w:r>
          </w:p>
        </w:tc>
        <w:tc>
          <w:tcPr>
            <w:tcW w:w="57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其他资金</w:t>
            </w:r>
          </w:p>
        </w:tc>
      </w:tr>
      <w:tr>
        <w:tblPrEx>
          <w:tblCellMar>
            <w:top w:w="0" w:type="dxa"/>
            <w:left w:w="108" w:type="dxa"/>
            <w:bottom w:w="0" w:type="dxa"/>
            <w:right w:w="108" w:type="dxa"/>
          </w:tblCellMar>
        </w:tblPrEx>
        <w:trPr>
          <w:gridAfter w:val="1"/>
          <w:wAfter w:w="14" w:type="dxa"/>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700" w:type="dxa"/>
            <w:gridSpan w:val="2"/>
            <w:tcBorders>
              <w:top w:val="single" w:color="000000" w:sz="4" w:space="0"/>
              <w:left w:val="single" w:color="000000" w:sz="4" w:space="0"/>
              <w:bottom w:val="single" w:color="000000" w:sz="4" w:space="0"/>
              <w:right w:val="nil"/>
            </w:tcBorders>
            <w:vAlign w:val="center"/>
          </w:tcPr>
          <w:p>
            <w:pPr>
              <w:widowControl/>
              <w:spacing w:line="18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人员经费</w:t>
            </w:r>
          </w:p>
        </w:tc>
        <w:tc>
          <w:tcPr>
            <w:tcW w:w="4108" w:type="dxa"/>
            <w:gridSpan w:val="4"/>
            <w:tcBorders>
              <w:top w:val="single" w:color="000000" w:sz="4" w:space="0"/>
              <w:left w:val="single" w:color="000000" w:sz="4" w:space="0"/>
              <w:bottom w:val="single" w:color="000000" w:sz="4" w:space="0"/>
              <w:right w:val="nil"/>
            </w:tcBorders>
            <w:vAlign w:val="center"/>
          </w:tcPr>
          <w:p>
            <w:pPr>
              <w:widowControl/>
              <w:spacing w:line="18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包括基本工资、津补贴、奖金、伙食补助费、绩效工资、机关事业单位基本养老保险缴费、职业年金缴费、、医疗费补助、奖励金、住房公积金、其他对个人和家庭的补助支出等。</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3034.43</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3034.43</w:t>
            </w: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2950.12</w:t>
            </w:r>
          </w:p>
        </w:tc>
        <w:tc>
          <w:tcPr>
            <w:tcW w:w="851" w:type="dxa"/>
            <w:gridSpan w:val="2"/>
            <w:tcBorders>
              <w:top w:val="single" w:color="000000" w:sz="4" w:space="0"/>
              <w:left w:val="single" w:color="000000" w:sz="4" w:space="0"/>
              <w:bottom w:val="single" w:color="000000" w:sz="4" w:space="0"/>
              <w:right w:val="nil"/>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2950.12</w:t>
            </w:r>
          </w:p>
        </w:tc>
        <w:tc>
          <w:tcPr>
            <w:tcW w:w="574" w:type="dxa"/>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rPr>
          <w:gridAfter w:val="1"/>
          <w:wAfter w:w="14" w:type="dxa"/>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700" w:type="dxa"/>
            <w:gridSpan w:val="2"/>
            <w:tcBorders>
              <w:top w:val="single" w:color="000000" w:sz="4" w:space="0"/>
              <w:left w:val="single" w:color="000000" w:sz="4" w:space="0"/>
              <w:bottom w:val="single" w:color="000000" w:sz="4" w:space="0"/>
              <w:right w:val="nil"/>
            </w:tcBorders>
            <w:vAlign w:val="center"/>
          </w:tcPr>
          <w:p>
            <w:pPr>
              <w:widowControl/>
              <w:spacing w:line="18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公用经费</w:t>
            </w:r>
          </w:p>
        </w:tc>
        <w:tc>
          <w:tcPr>
            <w:tcW w:w="4108" w:type="dxa"/>
            <w:gridSpan w:val="4"/>
            <w:tcBorders>
              <w:top w:val="single" w:color="000000" w:sz="4" w:space="0"/>
              <w:left w:val="single" w:color="000000" w:sz="4" w:space="0"/>
              <w:bottom w:val="single" w:color="000000" w:sz="4" w:space="0"/>
              <w:right w:val="nil"/>
            </w:tcBorders>
            <w:vAlign w:val="center"/>
          </w:tcPr>
          <w:p>
            <w:pPr>
              <w:widowControl/>
              <w:spacing w:line="18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包括;办公费、印刷费、手续费、水费、电费、邮电费、差旅费、维修（护）费、租赁费、会议费、培训费、公务接待费、工会费、福利费、公务用车运行维护费、其他交通费、其他商品和服务支出、办公设备购置、专用设备购置、其他资本性支出等。</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449.8</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499.8</w:t>
            </w: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499.66</w:t>
            </w:r>
          </w:p>
        </w:tc>
        <w:tc>
          <w:tcPr>
            <w:tcW w:w="851" w:type="dxa"/>
            <w:gridSpan w:val="2"/>
            <w:tcBorders>
              <w:top w:val="single" w:color="000000" w:sz="4" w:space="0"/>
              <w:left w:val="single" w:color="000000" w:sz="4" w:space="0"/>
              <w:bottom w:val="single" w:color="000000" w:sz="4" w:space="0"/>
              <w:right w:val="nil"/>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499.66</w:t>
            </w:r>
          </w:p>
        </w:tc>
        <w:tc>
          <w:tcPr>
            <w:tcW w:w="574" w:type="dxa"/>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rPr>
          <w:gridAfter w:val="1"/>
          <w:wAfter w:w="14" w:type="dxa"/>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700" w:type="dxa"/>
            <w:gridSpan w:val="2"/>
            <w:tcBorders>
              <w:top w:val="single" w:color="000000" w:sz="4" w:space="0"/>
              <w:left w:val="single" w:color="000000" w:sz="4" w:space="0"/>
              <w:bottom w:val="single" w:color="000000" w:sz="4" w:space="0"/>
              <w:right w:val="nil"/>
            </w:tcBorders>
            <w:vAlign w:val="center"/>
          </w:tcPr>
          <w:p>
            <w:pPr>
              <w:widowControl/>
              <w:spacing w:line="18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女子警务室工作经费</w:t>
            </w:r>
          </w:p>
        </w:tc>
        <w:tc>
          <w:tcPr>
            <w:tcW w:w="4108" w:type="dxa"/>
            <w:gridSpan w:val="4"/>
            <w:tcBorders>
              <w:top w:val="single" w:color="000000" w:sz="4" w:space="0"/>
              <w:left w:val="single" w:color="000000" w:sz="4" w:space="0"/>
              <w:bottom w:val="single" w:color="000000" w:sz="4" w:space="0"/>
              <w:right w:val="nil"/>
            </w:tcBorders>
            <w:vAlign w:val="center"/>
          </w:tcPr>
          <w:p>
            <w:pPr>
              <w:widowControl/>
              <w:spacing w:line="18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保障行政中心维稳、接访任务顺利完成。</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10</w:t>
            </w: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9.74</w:t>
            </w:r>
          </w:p>
        </w:tc>
        <w:tc>
          <w:tcPr>
            <w:tcW w:w="851" w:type="dxa"/>
            <w:gridSpan w:val="2"/>
            <w:tcBorders>
              <w:top w:val="single" w:color="000000" w:sz="4" w:space="0"/>
              <w:left w:val="single" w:color="000000" w:sz="4" w:space="0"/>
              <w:bottom w:val="single" w:color="000000" w:sz="4" w:space="0"/>
              <w:right w:val="nil"/>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9.74</w:t>
            </w:r>
          </w:p>
        </w:tc>
        <w:tc>
          <w:tcPr>
            <w:tcW w:w="574" w:type="dxa"/>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rPr>
          <w:gridAfter w:val="1"/>
          <w:wAfter w:w="14" w:type="dxa"/>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700" w:type="dxa"/>
            <w:gridSpan w:val="2"/>
            <w:tcBorders>
              <w:top w:val="single" w:color="000000" w:sz="4" w:space="0"/>
              <w:left w:val="single" w:color="000000" w:sz="4" w:space="0"/>
              <w:bottom w:val="single" w:color="000000" w:sz="4" w:space="0"/>
              <w:right w:val="nil"/>
            </w:tcBorders>
            <w:vAlign w:val="center"/>
          </w:tcPr>
          <w:p>
            <w:pPr>
              <w:widowControl/>
              <w:spacing w:line="18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文印费</w:t>
            </w:r>
          </w:p>
        </w:tc>
        <w:tc>
          <w:tcPr>
            <w:tcW w:w="4108" w:type="dxa"/>
            <w:gridSpan w:val="4"/>
            <w:tcBorders>
              <w:top w:val="single" w:color="000000" w:sz="4" w:space="0"/>
              <w:left w:val="single" w:color="000000" w:sz="4" w:space="0"/>
              <w:bottom w:val="single" w:color="000000" w:sz="4" w:space="0"/>
              <w:right w:val="nil"/>
            </w:tcBorders>
            <w:vAlign w:val="center"/>
          </w:tcPr>
          <w:p>
            <w:pPr>
              <w:widowControl/>
              <w:spacing w:line="18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完成全市以市政府名义出台的各种文件及市政府办公室文印费。</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35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35</w:t>
            </w: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33.6</w:t>
            </w:r>
          </w:p>
        </w:tc>
        <w:tc>
          <w:tcPr>
            <w:tcW w:w="851" w:type="dxa"/>
            <w:gridSpan w:val="2"/>
            <w:tcBorders>
              <w:top w:val="single" w:color="000000" w:sz="4" w:space="0"/>
              <w:left w:val="single" w:color="000000" w:sz="4" w:space="0"/>
              <w:bottom w:val="single" w:color="000000" w:sz="4" w:space="0"/>
              <w:right w:val="nil"/>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33.6</w:t>
            </w:r>
          </w:p>
        </w:tc>
        <w:tc>
          <w:tcPr>
            <w:tcW w:w="574" w:type="dxa"/>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rPr>
          <w:gridAfter w:val="1"/>
          <w:wAfter w:w="14" w:type="dxa"/>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700" w:type="dxa"/>
            <w:gridSpan w:val="2"/>
            <w:tcBorders>
              <w:top w:val="single" w:color="000000" w:sz="4" w:space="0"/>
              <w:left w:val="single" w:color="000000" w:sz="4" w:space="0"/>
              <w:bottom w:val="single" w:color="000000" w:sz="4" w:space="0"/>
              <w:right w:val="nil"/>
            </w:tcBorders>
            <w:vAlign w:val="center"/>
          </w:tcPr>
          <w:p>
            <w:pPr>
              <w:widowControl/>
              <w:spacing w:line="18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四大班子保安服务费</w:t>
            </w:r>
          </w:p>
        </w:tc>
        <w:tc>
          <w:tcPr>
            <w:tcW w:w="4108" w:type="dxa"/>
            <w:gridSpan w:val="4"/>
            <w:tcBorders>
              <w:top w:val="single" w:color="000000" w:sz="4" w:space="0"/>
              <w:left w:val="single" w:color="000000" w:sz="4" w:space="0"/>
              <w:bottom w:val="single" w:color="000000" w:sz="4" w:space="0"/>
              <w:right w:val="nil"/>
            </w:tcBorders>
            <w:vAlign w:val="center"/>
          </w:tcPr>
          <w:p>
            <w:pPr>
              <w:widowControl/>
              <w:spacing w:line="18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负责市四大班子机关人员安全、财产守护、车辆停放指挥、来访人员询查登记、“非”访人员劝离、公共通道及办公区域秩序维护，突发事件预防与处置，市行政中心的防火、防盗、防破坏等日常工作，消防设施运转状态检查和机关临时安排的其他工作。</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263.68</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263.68</w:t>
            </w: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263.68</w:t>
            </w:r>
          </w:p>
        </w:tc>
        <w:tc>
          <w:tcPr>
            <w:tcW w:w="851" w:type="dxa"/>
            <w:gridSpan w:val="2"/>
            <w:tcBorders>
              <w:top w:val="single" w:color="000000" w:sz="4" w:space="0"/>
              <w:left w:val="single" w:color="000000" w:sz="4" w:space="0"/>
              <w:bottom w:val="single" w:color="000000" w:sz="4" w:space="0"/>
              <w:right w:val="nil"/>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263.68</w:t>
            </w:r>
          </w:p>
        </w:tc>
        <w:tc>
          <w:tcPr>
            <w:tcW w:w="574" w:type="dxa"/>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rPr>
          <w:gridAfter w:val="1"/>
          <w:wAfter w:w="14" w:type="dxa"/>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700" w:type="dxa"/>
            <w:gridSpan w:val="2"/>
            <w:tcBorders>
              <w:top w:val="single" w:color="000000" w:sz="4" w:space="0"/>
              <w:left w:val="single" w:color="000000" w:sz="4" w:space="0"/>
              <w:bottom w:val="single" w:color="000000" w:sz="4" w:space="0"/>
              <w:right w:val="nil"/>
            </w:tcBorders>
            <w:vAlign w:val="center"/>
          </w:tcPr>
          <w:p>
            <w:pPr>
              <w:widowControl/>
              <w:spacing w:line="18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网络、视频会议系统服务费</w:t>
            </w:r>
          </w:p>
        </w:tc>
        <w:tc>
          <w:tcPr>
            <w:tcW w:w="4108" w:type="dxa"/>
            <w:gridSpan w:val="4"/>
            <w:tcBorders>
              <w:top w:val="single" w:color="000000" w:sz="4" w:space="0"/>
              <w:left w:val="single" w:color="000000" w:sz="4" w:space="0"/>
              <w:bottom w:val="single" w:color="000000" w:sz="4" w:space="0"/>
              <w:right w:val="nil"/>
            </w:tcBorders>
            <w:vAlign w:val="center"/>
          </w:tcPr>
          <w:p>
            <w:pPr>
              <w:widowControl/>
              <w:spacing w:line="18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1.市政府办1条主会场视频会议接入和维护费。2.乙方为甲方提供188个办公点网络接入及服务。3.乙方为甲方提供1条金财网专线接入服务。 4.乙方为甲方提供1条党政网专线接入服务。 5.乙方为甲方提供1条视频会议专线接入服务。</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21.78</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21.78</w:t>
            </w: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21.78</w:t>
            </w:r>
          </w:p>
        </w:tc>
        <w:tc>
          <w:tcPr>
            <w:tcW w:w="851" w:type="dxa"/>
            <w:gridSpan w:val="2"/>
            <w:tcBorders>
              <w:top w:val="single" w:color="000000" w:sz="4" w:space="0"/>
              <w:left w:val="single" w:color="000000" w:sz="4" w:space="0"/>
              <w:bottom w:val="single" w:color="000000" w:sz="4" w:space="0"/>
              <w:right w:val="nil"/>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21.78</w:t>
            </w:r>
          </w:p>
        </w:tc>
        <w:tc>
          <w:tcPr>
            <w:tcW w:w="574" w:type="dxa"/>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rPr>
          <w:gridAfter w:val="1"/>
          <w:wAfter w:w="14" w:type="dxa"/>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700" w:type="dxa"/>
            <w:gridSpan w:val="2"/>
            <w:tcBorders>
              <w:top w:val="single" w:color="000000" w:sz="4" w:space="0"/>
              <w:left w:val="single" w:color="000000" w:sz="4" w:space="0"/>
              <w:bottom w:val="single" w:color="000000" w:sz="4" w:space="0"/>
              <w:right w:val="nil"/>
            </w:tcBorders>
            <w:vAlign w:val="center"/>
          </w:tcPr>
          <w:p>
            <w:pPr>
              <w:widowControl/>
              <w:spacing w:line="18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政府会议厅运行及维护费</w:t>
            </w:r>
          </w:p>
        </w:tc>
        <w:tc>
          <w:tcPr>
            <w:tcW w:w="4108" w:type="dxa"/>
            <w:gridSpan w:val="4"/>
            <w:tcBorders>
              <w:top w:val="single" w:color="000000" w:sz="4" w:space="0"/>
              <w:left w:val="single" w:color="000000" w:sz="4" w:space="0"/>
              <w:bottom w:val="single" w:color="000000" w:sz="4" w:space="0"/>
              <w:right w:val="nil"/>
            </w:tcBorders>
            <w:vAlign w:val="center"/>
          </w:tcPr>
          <w:p>
            <w:pPr>
              <w:widowControl/>
              <w:spacing w:line="18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全市各部门、市政府、市政府办公室的各种会议。10间会议室设施设备维修费、维护20万元；聘用人员7人劳务费38万元；服装费3万元。</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61</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61</w:t>
            </w: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54.01</w:t>
            </w:r>
          </w:p>
        </w:tc>
        <w:tc>
          <w:tcPr>
            <w:tcW w:w="851" w:type="dxa"/>
            <w:gridSpan w:val="2"/>
            <w:tcBorders>
              <w:top w:val="single" w:color="000000" w:sz="4" w:space="0"/>
              <w:left w:val="single" w:color="000000" w:sz="4" w:space="0"/>
              <w:bottom w:val="single" w:color="000000" w:sz="4" w:space="0"/>
              <w:right w:val="nil"/>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54.01</w:t>
            </w:r>
          </w:p>
        </w:tc>
        <w:tc>
          <w:tcPr>
            <w:tcW w:w="574" w:type="dxa"/>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rPr>
          <w:gridAfter w:val="1"/>
          <w:wAfter w:w="14" w:type="dxa"/>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700" w:type="dxa"/>
            <w:gridSpan w:val="2"/>
            <w:tcBorders>
              <w:top w:val="single" w:color="000000" w:sz="4" w:space="0"/>
              <w:left w:val="single" w:color="000000" w:sz="4" w:space="0"/>
              <w:bottom w:val="single" w:color="000000" w:sz="4" w:space="0"/>
              <w:right w:val="nil"/>
            </w:tcBorders>
            <w:vAlign w:val="center"/>
          </w:tcPr>
          <w:p>
            <w:pPr>
              <w:widowControl/>
              <w:spacing w:line="18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政务公开经费</w:t>
            </w:r>
          </w:p>
        </w:tc>
        <w:tc>
          <w:tcPr>
            <w:tcW w:w="4108" w:type="dxa"/>
            <w:gridSpan w:val="4"/>
            <w:tcBorders>
              <w:top w:val="single" w:color="000000" w:sz="4" w:space="0"/>
              <w:left w:val="single" w:color="000000" w:sz="4" w:space="0"/>
              <w:bottom w:val="single" w:color="000000" w:sz="4" w:space="0"/>
              <w:right w:val="nil"/>
            </w:tcBorders>
            <w:vAlign w:val="center"/>
          </w:tcPr>
          <w:p>
            <w:pPr>
              <w:widowControl/>
              <w:spacing w:line="18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对市政府门户网站、县区政府门户网站、市级部门网站实时扫描监测；2.对市政府、市级部门的微博、微信、移动客户端进行实时扫描监测;3.每月10日前对所有监测对象按照国务院办公厅、省政府办公厅所有考核指标开展一次全面监测，并出具全面监测报告。邀请参加访谈单位，商定具体访谈日期；每年完成节目制作不少于12期（原则上每月不少于1期）。4.按照《党政机关公文格式》国家标准，编排、印制《市政府公报》；转换电子公报格式，并加电子水印，上传到市政府门户网站。</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50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50</w:t>
            </w: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50</w:t>
            </w:r>
          </w:p>
        </w:tc>
        <w:tc>
          <w:tcPr>
            <w:tcW w:w="851" w:type="dxa"/>
            <w:gridSpan w:val="2"/>
            <w:tcBorders>
              <w:top w:val="single" w:color="000000" w:sz="4" w:space="0"/>
              <w:left w:val="single" w:color="000000" w:sz="4" w:space="0"/>
              <w:bottom w:val="single" w:color="000000" w:sz="4" w:space="0"/>
              <w:right w:val="nil"/>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50</w:t>
            </w:r>
          </w:p>
        </w:tc>
        <w:tc>
          <w:tcPr>
            <w:tcW w:w="574" w:type="dxa"/>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rPr>
          <w:gridAfter w:val="1"/>
          <w:wAfter w:w="14" w:type="dxa"/>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700" w:type="dxa"/>
            <w:gridSpan w:val="2"/>
            <w:tcBorders>
              <w:top w:val="single" w:color="000000" w:sz="4" w:space="0"/>
              <w:left w:val="single" w:color="000000" w:sz="4" w:space="0"/>
              <w:bottom w:val="single" w:color="000000" w:sz="4" w:space="0"/>
              <w:right w:val="nil"/>
            </w:tcBorders>
            <w:vAlign w:val="center"/>
          </w:tcPr>
          <w:p>
            <w:pPr>
              <w:widowControl/>
              <w:spacing w:line="18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四大班子监控系统租赁费</w:t>
            </w:r>
          </w:p>
        </w:tc>
        <w:tc>
          <w:tcPr>
            <w:tcW w:w="4108" w:type="dxa"/>
            <w:gridSpan w:val="4"/>
            <w:tcBorders>
              <w:top w:val="single" w:color="000000" w:sz="4" w:space="0"/>
              <w:left w:val="single" w:color="000000" w:sz="4" w:space="0"/>
              <w:bottom w:val="single" w:color="000000" w:sz="4" w:space="0"/>
              <w:right w:val="nil"/>
            </w:tcBorders>
            <w:vAlign w:val="center"/>
          </w:tcPr>
          <w:p>
            <w:pPr>
              <w:widowControl/>
              <w:spacing w:line="18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承担对市行政中心重点部位、进出通道、公共区域公96个点位的24小时监控录像，提供回查、备份等功能，为市行政中心防盗、防破坏等提供技防支持。</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18.6</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18.6</w:t>
            </w: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18.6</w:t>
            </w:r>
          </w:p>
        </w:tc>
        <w:tc>
          <w:tcPr>
            <w:tcW w:w="851" w:type="dxa"/>
            <w:gridSpan w:val="2"/>
            <w:tcBorders>
              <w:top w:val="single" w:color="000000" w:sz="4" w:space="0"/>
              <w:left w:val="single" w:color="000000" w:sz="4" w:space="0"/>
              <w:bottom w:val="single" w:color="000000" w:sz="4" w:space="0"/>
              <w:right w:val="nil"/>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18.6</w:t>
            </w:r>
          </w:p>
        </w:tc>
        <w:tc>
          <w:tcPr>
            <w:tcW w:w="574" w:type="dxa"/>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rPr>
          <w:gridAfter w:val="1"/>
          <w:wAfter w:w="14" w:type="dxa"/>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700" w:type="dxa"/>
            <w:gridSpan w:val="2"/>
            <w:tcBorders>
              <w:top w:val="single" w:color="000000" w:sz="4" w:space="0"/>
              <w:left w:val="single" w:color="000000" w:sz="4" w:space="0"/>
              <w:bottom w:val="single" w:color="000000" w:sz="4" w:space="0"/>
              <w:right w:val="nil"/>
            </w:tcBorders>
            <w:vAlign w:val="center"/>
          </w:tcPr>
          <w:p>
            <w:pPr>
              <w:widowControl/>
              <w:spacing w:line="18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四大班子OA办公系统服务费</w:t>
            </w:r>
          </w:p>
        </w:tc>
        <w:tc>
          <w:tcPr>
            <w:tcW w:w="4108" w:type="dxa"/>
            <w:gridSpan w:val="4"/>
            <w:tcBorders>
              <w:top w:val="single" w:color="000000" w:sz="4" w:space="0"/>
              <w:left w:val="single" w:color="000000" w:sz="4" w:space="0"/>
              <w:bottom w:val="single" w:color="000000" w:sz="4" w:space="0"/>
              <w:right w:val="nil"/>
            </w:tcBorders>
            <w:vAlign w:val="center"/>
          </w:tcPr>
          <w:p>
            <w:pPr>
              <w:widowControl/>
              <w:spacing w:line="18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移动OA办公平台网络服务。</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28.84</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28.84</w:t>
            </w: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28.84</w:t>
            </w:r>
          </w:p>
        </w:tc>
        <w:tc>
          <w:tcPr>
            <w:tcW w:w="851" w:type="dxa"/>
            <w:gridSpan w:val="2"/>
            <w:tcBorders>
              <w:top w:val="single" w:color="000000" w:sz="4" w:space="0"/>
              <w:left w:val="single" w:color="000000" w:sz="4" w:space="0"/>
              <w:bottom w:val="single" w:color="000000" w:sz="4" w:space="0"/>
              <w:right w:val="nil"/>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28.84</w:t>
            </w:r>
          </w:p>
        </w:tc>
        <w:tc>
          <w:tcPr>
            <w:tcW w:w="574" w:type="dxa"/>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rPr>
          <w:gridAfter w:val="1"/>
          <w:wAfter w:w="14" w:type="dxa"/>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700" w:type="dxa"/>
            <w:gridSpan w:val="2"/>
            <w:tcBorders>
              <w:top w:val="single" w:color="000000" w:sz="4" w:space="0"/>
              <w:left w:val="single" w:color="000000" w:sz="4" w:space="0"/>
              <w:bottom w:val="single" w:color="000000" w:sz="4" w:space="0"/>
              <w:right w:val="nil"/>
            </w:tcBorders>
            <w:vAlign w:val="center"/>
          </w:tcPr>
          <w:p>
            <w:pPr>
              <w:widowControl/>
              <w:spacing w:line="18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市政府总值班室工作经费</w:t>
            </w:r>
          </w:p>
        </w:tc>
        <w:tc>
          <w:tcPr>
            <w:tcW w:w="4108" w:type="dxa"/>
            <w:gridSpan w:val="4"/>
            <w:tcBorders>
              <w:top w:val="single" w:color="000000" w:sz="4" w:space="0"/>
              <w:left w:val="single" w:color="000000" w:sz="4" w:space="0"/>
              <w:bottom w:val="single" w:color="000000" w:sz="4" w:space="0"/>
              <w:right w:val="nil"/>
            </w:tcBorders>
            <w:vAlign w:val="center"/>
          </w:tcPr>
          <w:p>
            <w:pPr>
              <w:widowControl/>
              <w:spacing w:line="18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一是负责市政府值班日常事务，督导县区政府和市级部门值班工作。负责新冠防疫指挥部夜间值班。二是做好突发事件信息（含敏感信息、舆情信息）收集报送。三是处理来电来文转接和上传下达工作。</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33</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33</w:t>
            </w: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4.09</w:t>
            </w:r>
          </w:p>
        </w:tc>
        <w:tc>
          <w:tcPr>
            <w:tcW w:w="851" w:type="dxa"/>
            <w:gridSpan w:val="2"/>
            <w:tcBorders>
              <w:top w:val="single" w:color="000000" w:sz="4" w:space="0"/>
              <w:left w:val="single" w:color="000000" w:sz="4" w:space="0"/>
              <w:bottom w:val="single" w:color="000000" w:sz="4" w:space="0"/>
              <w:right w:val="nil"/>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4.09</w:t>
            </w:r>
          </w:p>
        </w:tc>
        <w:tc>
          <w:tcPr>
            <w:tcW w:w="574" w:type="dxa"/>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rPr>
          <w:gridAfter w:val="1"/>
          <w:wAfter w:w="14" w:type="dxa"/>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700" w:type="dxa"/>
            <w:gridSpan w:val="2"/>
            <w:tcBorders>
              <w:top w:val="single" w:color="000000" w:sz="4" w:space="0"/>
              <w:left w:val="single" w:color="000000" w:sz="4" w:space="0"/>
              <w:bottom w:val="single" w:color="000000" w:sz="4" w:space="0"/>
              <w:right w:val="nil"/>
            </w:tcBorders>
            <w:vAlign w:val="center"/>
          </w:tcPr>
          <w:p>
            <w:pPr>
              <w:widowControl/>
              <w:spacing w:line="18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乡村振兴工作经费</w:t>
            </w:r>
          </w:p>
        </w:tc>
        <w:tc>
          <w:tcPr>
            <w:tcW w:w="4108" w:type="dxa"/>
            <w:gridSpan w:val="4"/>
            <w:tcBorders>
              <w:top w:val="single" w:color="000000" w:sz="4" w:space="0"/>
              <w:left w:val="single" w:color="000000" w:sz="4" w:space="0"/>
              <w:bottom w:val="single" w:color="000000" w:sz="4" w:space="0"/>
              <w:right w:val="nil"/>
            </w:tcBorders>
            <w:vAlign w:val="center"/>
          </w:tcPr>
          <w:p>
            <w:pPr>
              <w:widowControl/>
              <w:spacing w:line="18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做好乡村振兴工作相关工作</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5.46</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5.46</w:t>
            </w: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3.8</w:t>
            </w:r>
          </w:p>
        </w:tc>
        <w:tc>
          <w:tcPr>
            <w:tcW w:w="851" w:type="dxa"/>
            <w:gridSpan w:val="2"/>
            <w:tcBorders>
              <w:top w:val="single" w:color="000000" w:sz="4" w:space="0"/>
              <w:left w:val="single" w:color="000000" w:sz="4" w:space="0"/>
              <w:bottom w:val="single" w:color="000000" w:sz="4" w:space="0"/>
              <w:right w:val="nil"/>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3.8</w:t>
            </w:r>
          </w:p>
        </w:tc>
        <w:tc>
          <w:tcPr>
            <w:tcW w:w="574" w:type="dxa"/>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rPr>
          <w:gridAfter w:val="1"/>
          <w:wAfter w:w="14" w:type="dxa"/>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700" w:type="dxa"/>
            <w:gridSpan w:val="2"/>
            <w:tcBorders>
              <w:top w:val="single" w:color="000000" w:sz="4" w:space="0"/>
              <w:left w:val="single" w:color="000000" w:sz="4" w:space="0"/>
              <w:bottom w:val="single" w:color="000000" w:sz="4" w:space="0"/>
              <w:right w:val="nil"/>
            </w:tcBorders>
            <w:vAlign w:val="center"/>
          </w:tcPr>
          <w:p>
            <w:pPr>
              <w:widowControl/>
              <w:spacing w:line="18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物业管理经费</w:t>
            </w:r>
          </w:p>
        </w:tc>
        <w:tc>
          <w:tcPr>
            <w:tcW w:w="4108" w:type="dxa"/>
            <w:gridSpan w:val="4"/>
            <w:tcBorders>
              <w:top w:val="single" w:color="000000" w:sz="4" w:space="0"/>
              <w:left w:val="single" w:color="000000" w:sz="4" w:space="0"/>
              <w:bottom w:val="single" w:color="000000" w:sz="4" w:space="0"/>
              <w:right w:val="nil"/>
            </w:tcBorders>
            <w:vAlign w:val="center"/>
          </w:tcPr>
          <w:p>
            <w:pPr>
              <w:widowControl/>
              <w:spacing w:line="18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提供市政府办公楼前院、后院公共区域、停车场、绿化带、垃圾桶等清洁服务。2.三栋楼各6层办公楼的走廊、电梯、楼梯、屋顶、部分露台、卫生间、13间办公室、10间会议室等进行清扫、擦拭、清洗等保洁服务，办公区域生活垃圾分类和运送等服务。</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30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30</w:t>
            </w: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30</w:t>
            </w:r>
          </w:p>
        </w:tc>
        <w:tc>
          <w:tcPr>
            <w:tcW w:w="851" w:type="dxa"/>
            <w:gridSpan w:val="2"/>
            <w:tcBorders>
              <w:top w:val="single" w:color="000000" w:sz="4" w:space="0"/>
              <w:left w:val="single" w:color="000000" w:sz="4" w:space="0"/>
              <w:bottom w:val="single" w:color="000000" w:sz="4" w:space="0"/>
              <w:right w:val="nil"/>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30</w:t>
            </w:r>
          </w:p>
        </w:tc>
        <w:tc>
          <w:tcPr>
            <w:tcW w:w="574" w:type="dxa"/>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rPr>
          <w:gridAfter w:val="1"/>
          <w:wAfter w:w="14" w:type="dxa"/>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700" w:type="dxa"/>
            <w:gridSpan w:val="2"/>
            <w:tcBorders>
              <w:top w:val="single" w:color="000000" w:sz="4" w:space="0"/>
              <w:left w:val="single" w:color="000000" w:sz="4" w:space="0"/>
              <w:bottom w:val="single" w:color="000000" w:sz="4" w:space="0"/>
              <w:right w:val="nil"/>
            </w:tcBorders>
            <w:vAlign w:val="center"/>
          </w:tcPr>
          <w:p>
            <w:pPr>
              <w:widowControl/>
              <w:spacing w:line="18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市经济社会发展研究中心工作经费</w:t>
            </w:r>
          </w:p>
        </w:tc>
        <w:tc>
          <w:tcPr>
            <w:tcW w:w="4108" w:type="dxa"/>
            <w:gridSpan w:val="4"/>
            <w:tcBorders>
              <w:top w:val="single" w:color="000000" w:sz="4" w:space="0"/>
              <w:left w:val="single" w:color="000000" w:sz="4" w:space="0"/>
              <w:bottom w:val="single" w:color="000000" w:sz="4" w:space="0"/>
              <w:right w:val="nil"/>
            </w:tcBorders>
            <w:vAlign w:val="center"/>
          </w:tcPr>
          <w:p>
            <w:pPr>
              <w:widowControl/>
              <w:spacing w:line="18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根据全市经济社会发展情况需要或市主要领导安排，针对某项重大决策或重要课题开展调查研究，主要通过深入县区、乡镇或项目一线了解掌握基本现状、存在问题等情况；2.组织到省内外参观考察、学习借鉴先进经验做法；3.邀请上级部门、高校院所智库、企业主体。</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30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30</w:t>
            </w: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26.38</w:t>
            </w:r>
          </w:p>
        </w:tc>
        <w:tc>
          <w:tcPr>
            <w:tcW w:w="851" w:type="dxa"/>
            <w:gridSpan w:val="2"/>
            <w:tcBorders>
              <w:top w:val="single" w:color="000000" w:sz="4" w:space="0"/>
              <w:left w:val="single" w:color="000000" w:sz="4" w:space="0"/>
              <w:bottom w:val="single" w:color="000000" w:sz="4" w:space="0"/>
              <w:right w:val="nil"/>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26.38</w:t>
            </w:r>
          </w:p>
        </w:tc>
        <w:tc>
          <w:tcPr>
            <w:tcW w:w="574" w:type="dxa"/>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rPr>
          <w:gridAfter w:val="1"/>
          <w:wAfter w:w="14" w:type="dxa"/>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700" w:type="dxa"/>
            <w:gridSpan w:val="2"/>
            <w:tcBorders>
              <w:top w:val="single" w:color="000000" w:sz="4" w:space="0"/>
              <w:left w:val="single" w:color="000000" w:sz="4" w:space="0"/>
              <w:bottom w:val="single" w:color="000000" w:sz="4" w:space="0"/>
              <w:right w:val="nil"/>
            </w:tcBorders>
            <w:vAlign w:val="center"/>
          </w:tcPr>
          <w:p>
            <w:pPr>
              <w:widowControl/>
              <w:spacing w:line="18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通信合作经费</w:t>
            </w:r>
          </w:p>
        </w:tc>
        <w:tc>
          <w:tcPr>
            <w:tcW w:w="4108" w:type="dxa"/>
            <w:gridSpan w:val="4"/>
            <w:tcBorders>
              <w:top w:val="single" w:color="000000" w:sz="4" w:space="0"/>
              <w:left w:val="single" w:color="000000" w:sz="4" w:space="0"/>
              <w:bottom w:val="single" w:color="000000" w:sz="4" w:space="0"/>
              <w:right w:val="nil"/>
            </w:tcBorders>
            <w:vAlign w:val="center"/>
          </w:tcPr>
          <w:p>
            <w:pPr>
              <w:widowControl/>
              <w:spacing w:line="18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提升市政府办综合信息化，保障市政府办通信网络畅通。保障100部固定电话，6条宽带接入，23部应急值班电话。</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24</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24</w:t>
            </w: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24</w:t>
            </w:r>
          </w:p>
        </w:tc>
        <w:tc>
          <w:tcPr>
            <w:tcW w:w="851" w:type="dxa"/>
            <w:gridSpan w:val="2"/>
            <w:tcBorders>
              <w:top w:val="single" w:color="000000" w:sz="4" w:space="0"/>
              <w:left w:val="single" w:color="000000" w:sz="4" w:space="0"/>
              <w:bottom w:val="single" w:color="000000" w:sz="4" w:space="0"/>
              <w:right w:val="nil"/>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24</w:t>
            </w:r>
          </w:p>
        </w:tc>
        <w:tc>
          <w:tcPr>
            <w:tcW w:w="574" w:type="dxa"/>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rPr>
          <w:gridAfter w:val="1"/>
          <w:wAfter w:w="14" w:type="dxa"/>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700" w:type="dxa"/>
            <w:gridSpan w:val="2"/>
            <w:tcBorders>
              <w:top w:val="single" w:color="000000" w:sz="4" w:space="0"/>
              <w:left w:val="single" w:color="000000" w:sz="4" w:space="0"/>
              <w:bottom w:val="single" w:color="000000" w:sz="4" w:space="0"/>
              <w:right w:val="nil"/>
            </w:tcBorders>
            <w:vAlign w:val="center"/>
          </w:tcPr>
          <w:p>
            <w:pPr>
              <w:widowControl/>
              <w:spacing w:line="18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民营经济经费工作经费</w:t>
            </w:r>
          </w:p>
        </w:tc>
        <w:tc>
          <w:tcPr>
            <w:tcW w:w="4108" w:type="dxa"/>
            <w:gridSpan w:val="4"/>
            <w:tcBorders>
              <w:top w:val="single" w:color="000000" w:sz="4" w:space="0"/>
              <w:left w:val="single" w:color="000000" w:sz="4" w:space="0"/>
              <w:bottom w:val="single" w:color="000000" w:sz="4" w:space="0"/>
              <w:right w:val="nil"/>
            </w:tcBorders>
            <w:vAlign w:val="center"/>
          </w:tcPr>
          <w:p>
            <w:pPr>
              <w:widowControl/>
              <w:spacing w:line="18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积极处理本地民营企业及外来企业生产经营过程中的投诉和诉求，借助“民营经济大讲堂”，聘请专业人员宣讲党的方针、政策和法律法规，解读国家、省、市出台的支持民营经济发展的各项政策措施等。</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20</w:t>
            </w: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8.36</w:t>
            </w:r>
          </w:p>
        </w:tc>
        <w:tc>
          <w:tcPr>
            <w:tcW w:w="851" w:type="dxa"/>
            <w:gridSpan w:val="2"/>
            <w:tcBorders>
              <w:top w:val="single" w:color="000000" w:sz="4" w:space="0"/>
              <w:left w:val="single" w:color="000000" w:sz="4" w:space="0"/>
              <w:bottom w:val="single" w:color="000000" w:sz="4" w:space="0"/>
              <w:right w:val="nil"/>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8.36</w:t>
            </w:r>
          </w:p>
        </w:tc>
        <w:tc>
          <w:tcPr>
            <w:tcW w:w="574" w:type="dxa"/>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rPr>
          <w:gridAfter w:val="1"/>
          <w:wAfter w:w="14" w:type="dxa"/>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700" w:type="dxa"/>
            <w:gridSpan w:val="2"/>
            <w:tcBorders>
              <w:top w:val="single" w:color="000000" w:sz="4" w:space="0"/>
              <w:left w:val="single" w:color="000000" w:sz="4" w:space="0"/>
              <w:bottom w:val="single" w:color="000000" w:sz="4" w:space="0"/>
              <w:right w:val="nil"/>
            </w:tcBorders>
            <w:vAlign w:val="center"/>
          </w:tcPr>
          <w:p>
            <w:pPr>
              <w:widowControl/>
              <w:spacing w:line="18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综合性工作经费</w:t>
            </w:r>
          </w:p>
        </w:tc>
        <w:tc>
          <w:tcPr>
            <w:tcW w:w="4108" w:type="dxa"/>
            <w:gridSpan w:val="4"/>
            <w:tcBorders>
              <w:top w:val="single" w:color="000000" w:sz="4" w:space="0"/>
              <w:left w:val="single" w:color="000000" w:sz="4" w:space="0"/>
              <w:bottom w:val="single" w:color="000000" w:sz="4" w:space="0"/>
              <w:right w:val="nil"/>
            </w:tcBorders>
            <w:vAlign w:val="center"/>
          </w:tcPr>
          <w:p>
            <w:pPr>
              <w:widowControl/>
              <w:spacing w:line="18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弥补正常公用经费不足。</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253.71</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253.71</w:t>
            </w: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222.28</w:t>
            </w:r>
          </w:p>
        </w:tc>
        <w:tc>
          <w:tcPr>
            <w:tcW w:w="851" w:type="dxa"/>
            <w:gridSpan w:val="2"/>
            <w:tcBorders>
              <w:top w:val="single" w:color="000000" w:sz="4" w:space="0"/>
              <w:left w:val="single" w:color="000000" w:sz="4" w:space="0"/>
              <w:bottom w:val="single" w:color="000000" w:sz="4" w:space="0"/>
              <w:right w:val="nil"/>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222.28</w:t>
            </w:r>
          </w:p>
        </w:tc>
        <w:tc>
          <w:tcPr>
            <w:tcW w:w="574" w:type="dxa"/>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rPr>
          <w:gridAfter w:val="1"/>
          <w:wAfter w:w="14" w:type="dxa"/>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700" w:type="dxa"/>
            <w:gridSpan w:val="2"/>
            <w:tcBorders>
              <w:top w:val="single" w:color="000000" w:sz="4" w:space="0"/>
              <w:left w:val="single" w:color="000000" w:sz="4" w:space="0"/>
              <w:bottom w:val="single" w:color="000000" w:sz="4" w:space="0"/>
              <w:right w:val="nil"/>
            </w:tcBorders>
            <w:vAlign w:val="center"/>
          </w:tcPr>
          <w:p>
            <w:pPr>
              <w:widowControl/>
              <w:spacing w:line="18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纪检工作经费</w:t>
            </w:r>
          </w:p>
        </w:tc>
        <w:tc>
          <w:tcPr>
            <w:tcW w:w="4108" w:type="dxa"/>
            <w:gridSpan w:val="4"/>
            <w:tcBorders>
              <w:top w:val="single" w:color="000000" w:sz="4" w:space="0"/>
              <w:left w:val="single" w:color="000000" w:sz="4" w:space="0"/>
              <w:bottom w:val="single" w:color="000000" w:sz="4" w:space="0"/>
              <w:right w:val="nil"/>
            </w:tcBorders>
            <w:vAlign w:val="center"/>
          </w:tcPr>
          <w:p>
            <w:pPr>
              <w:widowControl/>
              <w:spacing w:line="18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监督执纪、信访问题线索办理、案件审查调查、调研。</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20</w:t>
            </w: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13.69</w:t>
            </w:r>
          </w:p>
        </w:tc>
        <w:tc>
          <w:tcPr>
            <w:tcW w:w="851" w:type="dxa"/>
            <w:gridSpan w:val="2"/>
            <w:tcBorders>
              <w:top w:val="single" w:color="000000" w:sz="4" w:space="0"/>
              <w:left w:val="single" w:color="000000" w:sz="4" w:space="0"/>
              <w:bottom w:val="single" w:color="000000" w:sz="4" w:space="0"/>
              <w:right w:val="nil"/>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13.69</w:t>
            </w:r>
          </w:p>
        </w:tc>
        <w:tc>
          <w:tcPr>
            <w:tcW w:w="574" w:type="dxa"/>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rPr>
          <w:gridAfter w:val="1"/>
          <w:wAfter w:w="14" w:type="dxa"/>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700" w:type="dxa"/>
            <w:gridSpan w:val="2"/>
            <w:tcBorders>
              <w:top w:val="single" w:color="000000" w:sz="4" w:space="0"/>
              <w:left w:val="single" w:color="000000" w:sz="4" w:space="0"/>
              <w:bottom w:val="single" w:color="000000" w:sz="4" w:space="0"/>
              <w:right w:val="nil"/>
            </w:tcBorders>
            <w:vAlign w:val="center"/>
          </w:tcPr>
          <w:p>
            <w:pPr>
              <w:widowControl/>
              <w:spacing w:line="18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政府办代管资金</w:t>
            </w:r>
          </w:p>
        </w:tc>
        <w:tc>
          <w:tcPr>
            <w:tcW w:w="4108" w:type="dxa"/>
            <w:gridSpan w:val="4"/>
            <w:tcBorders>
              <w:top w:val="single" w:color="000000" w:sz="4" w:space="0"/>
              <w:left w:val="single" w:color="000000" w:sz="4" w:space="0"/>
              <w:bottom w:val="single" w:color="000000" w:sz="4" w:space="0"/>
              <w:right w:val="nil"/>
            </w:tcBorders>
            <w:vAlign w:val="center"/>
          </w:tcPr>
          <w:p>
            <w:pPr>
              <w:widowControl/>
              <w:spacing w:line="18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代支水电费、社保、个税、保证金</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86.09</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86.09</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67.59</w:t>
            </w:r>
          </w:p>
        </w:tc>
        <w:tc>
          <w:tcPr>
            <w:tcW w:w="851" w:type="dxa"/>
            <w:gridSpan w:val="2"/>
            <w:tcBorders>
              <w:top w:val="single" w:color="000000" w:sz="4" w:space="0"/>
              <w:left w:val="single" w:color="000000" w:sz="4" w:space="0"/>
              <w:bottom w:val="single" w:color="000000" w:sz="4" w:space="0"/>
              <w:right w:val="nil"/>
            </w:tcBorders>
            <w:vAlign w:val="center"/>
          </w:tcPr>
          <w:p>
            <w:pPr>
              <w:spacing w:line="180" w:lineRule="exact"/>
              <w:jc w:val="center"/>
              <w:rPr>
                <w:rFonts w:hint="eastAsia" w:ascii="仿宋_GB2312" w:hAnsi="宋体" w:eastAsia="仿宋_GB2312" w:cs="宋体"/>
                <w:color w:val="000000"/>
                <w:sz w:val="12"/>
                <w:szCs w:val="12"/>
              </w:rPr>
            </w:pPr>
          </w:p>
        </w:tc>
        <w:tc>
          <w:tcPr>
            <w:tcW w:w="57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67.59</w:t>
            </w:r>
          </w:p>
        </w:tc>
      </w:tr>
      <w:tr>
        <w:tblPrEx>
          <w:tblCellMar>
            <w:top w:w="0" w:type="dxa"/>
            <w:left w:w="108" w:type="dxa"/>
            <w:bottom w:w="0" w:type="dxa"/>
            <w:right w:w="108" w:type="dxa"/>
          </w:tblCellMar>
        </w:tblPrEx>
        <w:trPr>
          <w:gridAfter w:val="1"/>
          <w:wAfter w:w="14" w:type="dxa"/>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700" w:type="dxa"/>
            <w:gridSpan w:val="2"/>
            <w:tcBorders>
              <w:top w:val="single" w:color="000000" w:sz="4" w:space="0"/>
              <w:left w:val="single" w:color="000000" w:sz="4" w:space="0"/>
              <w:bottom w:val="single" w:color="000000" w:sz="4" w:space="0"/>
              <w:right w:val="nil"/>
            </w:tcBorders>
            <w:vAlign w:val="center"/>
          </w:tcPr>
          <w:p>
            <w:pPr>
              <w:widowControl/>
              <w:spacing w:line="18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文印所代管资金</w:t>
            </w:r>
          </w:p>
        </w:tc>
        <w:tc>
          <w:tcPr>
            <w:tcW w:w="4108" w:type="dxa"/>
            <w:gridSpan w:val="4"/>
            <w:tcBorders>
              <w:top w:val="single" w:color="000000" w:sz="4" w:space="0"/>
              <w:left w:val="single" w:color="000000" w:sz="4" w:space="0"/>
              <w:bottom w:val="single" w:color="000000" w:sz="4" w:space="0"/>
              <w:right w:val="nil"/>
            </w:tcBorders>
            <w:vAlign w:val="center"/>
          </w:tcPr>
          <w:p>
            <w:pPr>
              <w:widowControl/>
              <w:spacing w:line="18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保障市政府、市政府办公室、代市政府草拟的公文印制工作顺利完成。</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160</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160</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139.49</w:t>
            </w:r>
          </w:p>
        </w:tc>
        <w:tc>
          <w:tcPr>
            <w:tcW w:w="851" w:type="dxa"/>
            <w:gridSpan w:val="2"/>
            <w:tcBorders>
              <w:top w:val="single" w:color="000000" w:sz="4" w:space="0"/>
              <w:left w:val="single" w:color="000000" w:sz="4" w:space="0"/>
              <w:bottom w:val="single" w:color="000000" w:sz="4" w:space="0"/>
              <w:right w:val="nil"/>
            </w:tcBorders>
            <w:vAlign w:val="center"/>
          </w:tcPr>
          <w:p>
            <w:pPr>
              <w:spacing w:line="180" w:lineRule="exact"/>
              <w:jc w:val="center"/>
              <w:rPr>
                <w:rFonts w:hint="eastAsia" w:ascii="仿宋_GB2312" w:hAnsi="宋体" w:eastAsia="仿宋_GB2312" w:cs="宋体"/>
                <w:color w:val="000000"/>
                <w:sz w:val="12"/>
                <w:szCs w:val="12"/>
              </w:rPr>
            </w:pPr>
          </w:p>
        </w:tc>
        <w:tc>
          <w:tcPr>
            <w:tcW w:w="57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139.49</w:t>
            </w:r>
          </w:p>
        </w:tc>
      </w:tr>
      <w:tr>
        <w:tblPrEx>
          <w:tblCellMar>
            <w:top w:w="0" w:type="dxa"/>
            <w:left w:w="108" w:type="dxa"/>
            <w:bottom w:w="0" w:type="dxa"/>
            <w:right w:w="108" w:type="dxa"/>
          </w:tblCellMar>
        </w:tblPrEx>
        <w:trPr>
          <w:gridAfter w:val="1"/>
          <w:wAfter w:w="14" w:type="dxa"/>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700" w:type="dxa"/>
            <w:gridSpan w:val="2"/>
            <w:tcBorders>
              <w:top w:val="single" w:color="000000" w:sz="4" w:space="0"/>
              <w:left w:val="single" w:color="000000" w:sz="4" w:space="0"/>
              <w:bottom w:val="single" w:color="000000" w:sz="4" w:space="0"/>
              <w:right w:val="nil"/>
            </w:tcBorders>
            <w:vAlign w:val="center"/>
          </w:tcPr>
          <w:p>
            <w:pPr>
              <w:widowControl/>
              <w:spacing w:line="18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2022年春节集中慰问</w:t>
            </w:r>
          </w:p>
        </w:tc>
        <w:tc>
          <w:tcPr>
            <w:tcW w:w="4108" w:type="dxa"/>
            <w:gridSpan w:val="4"/>
            <w:tcBorders>
              <w:top w:val="single" w:color="000000" w:sz="4" w:space="0"/>
              <w:left w:val="single" w:color="000000" w:sz="4" w:space="0"/>
              <w:bottom w:val="single" w:color="000000" w:sz="4" w:space="0"/>
              <w:right w:val="nil"/>
            </w:tcBorders>
            <w:vAlign w:val="center"/>
          </w:tcPr>
          <w:p>
            <w:pPr>
              <w:widowControl/>
              <w:spacing w:line="18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慰问一线优秀党员、贫困职工及劳模等。</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21.9</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21.9</w:t>
            </w: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21.9</w:t>
            </w:r>
          </w:p>
        </w:tc>
        <w:tc>
          <w:tcPr>
            <w:tcW w:w="851" w:type="dxa"/>
            <w:gridSpan w:val="2"/>
            <w:tcBorders>
              <w:top w:val="single" w:color="000000" w:sz="4" w:space="0"/>
              <w:left w:val="single" w:color="000000" w:sz="4" w:space="0"/>
              <w:bottom w:val="single" w:color="000000" w:sz="4" w:space="0"/>
              <w:right w:val="nil"/>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21.9</w:t>
            </w:r>
          </w:p>
        </w:tc>
        <w:tc>
          <w:tcPr>
            <w:tcW w:w="574" w:type="dxa"/>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rPr>
          <w:gridAfter w:val="1"/>
          <w:wAfter w:w="14" w:type="dxa"/>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700" w:type="dxa"/>
            <w:gridSpan w:val="2"/>
            <w:tcBorders>
              <w:top w:val="single" w:color="000000" w:sz="4" w:space="0"/>
              <w:left w:val="single" w:color="000000" w:sz="4" w:space="0"/>
              <w:bottom w:val="single" w:color="000000" w:sz="4" w:space="0"/>
              <w:right w:val="nil"/>
            </w:tcBorders>
            <w:vAlign w:val="center"/>
          </w:tcPr>
          <w:p>
            <w:pPr>
              <w:widowControl/>
              <w:spacing w:line="16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广元市内部电话号码薄印制经费</w:t>
            </w:r>
          </w:p>
        </w:tc>
        <w:tc>
          <w:tcPr>
            <w:tcW w:w="4108" w:type="dxa"/>
            <w:gridSpan w:val="4"/>
            <w:tcBorders>
              <w:top w:val="single" w:color="000000" w:sz="4" w:space="0"/>
              <w:left w:val="single" w:color="000000" w:sz="4" w:space="0"/>
              <w:bottom w:val="single" w:color="000000" w:sz="4" w:space="0"/>
              <w:right w:val="nil"/>
            </w:tcBorders>
            <w:vAlign w:val="center"/>
          </w:tcPr>
          <w:p>
            <w:pPr>
              <w:widowControl/>
              <w:spacing w:line="16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印制广元市内部电话号码簿4000本。</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7</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7</w:t>
            </w: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7</w:t>
            </w:r>
          </w:p>
        </w:tc>
        <w:tc>
          <w:tcPr>
            <w:tcW w:w="851" w:type="dxa"/>
            <w:gridSpan w:val="2"/>
            <w:tcBorders>
              <w:top w:val="single" w:color="000000" w:sz="4" w:space="0"/>
              <w:left w:val="single" w:color="000000" w:sz="4" w:space="0"/>
              <w:bottom w:val="single" w:color="000000" w:sz="4" w:space="0"/>
              <w:right w:val="nil"/>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7</w:t>
            </w:r>
          </w:p>
        </w:tc>
        <w:tc>
          <w:tcPr>
            <w:tcW w:w="574" w:type="dxa"/>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rPr>
          <w:gridAfter w:val="1"/>
          <w:wAfter w:w="14" w:type="dxa"/>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700" w:type="dxa"/>
            <w:gridSpan w:val="2"/>
            <w:tcBorders>
              <w:top w:val="single" w:color="000000" w:sz="4" w:space="0"/>
              <w:left w:val="single" w:color="000000" w:sz="4" w:space="0"/>
              <w:bottom w:val="single" w:color="000000" w:sz="4" w:space="0"/>
              <w:right w:val="nil"/>
            </w:tcBorders>
            <w:vAlign w:val="center"/>
          </w:tcPr>
          <w:p>
            <w:pPr>
              <w:widowControl/>
              <w:spacing w:line="16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市级电子政务外网服务费用</w:t>
            </w:r>
          </w:p>
        </w:tc>
        <w:tc>
          <w:tcPr>
            <w:tcW w:w="4108" w:type="dxa"/>
            <w:gridSpan w:val="4"/>
            <w:tcBorders>
              <w:top w:val="single" w:color="000000" w:sz="4" w:space="0"/>
              <w:left w:val="single" w:color="000000" w:sz="4" w:space="0"/>
              <w:bottom w:val="single" w:color="000000" w:sz="4" w:space="0"/>
              <w:right w:val="nil"/>
            </w:tcBorders>
            <w:vAlign w:val="center"/>
          </w:tcPr>
          <w:p>
            <w:pPr>
              <w:widowControl/>
              <w:spacing w:line="16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保障全市电子政务外网和政府网站持续安全稳定运行，为各级各部门提供基础政务网络服务，为市级政府网站集约化平台提供基础支撑服务。</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340.44</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340.44</w:t>
            </w: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340.44</w:t>
            </w:r>
          </w:p>
        </w:tc>
        <w:tc>
          <w:tcPr>
            <w:tcW w:w="851" w:type="dxa"/>
            <w:gridSpan w:val="2"/>
            <w:tcBorders>
              <w:top w:val="single" w:color="000000" w:sz="4" w:space="0"/>
              <w:left w:val="single" w:color="000000" w:sz="4" w:space="0"/>
              <w:bottom w:val="single" w:color="000000" w:sz="4" w:space="0"/>
              <w:right w:val="nil"/>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340.44</w:t>
            </w:r>
          </w:p>
        </w:tc>
        <w:tc>
          <w:tcPr>
            <w:tcW w:w="574" w:type="dxa"/>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rPr>
          <w:gridAfter w:val="1"/>
          <w:wAfter w:w="14" w:type="dxa"/>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700" w:type="dxa"/>
            <w:gridSpan w:val="2"/>
            <w:tcBorders>
              <w:top w:val="single" w:color="000000" w:sz="4" w:space="0"/>
              <w:left w:val="single" w:color="000000" w:sz="4" w:space="0"/>
              <w:bottom w:val="single" w:color="000000" w:sz="4" w:space="0"/>
              <w:right w:val="nil"/>
            </w:tcBorders>
            <w:vAlign w:val="center"/>
          </w:tcPr>
          <w:p>
            <w:pPr>
              <w:widowControl/>
              <w:spacing w:line="16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优化营商环境工作经费</w:t>
            </w:r>
          </w:p>
        </w:tc>
        <w:tc>
          <w:tcPr>
            <w:tcW w:w="4108" w:type="dxa"/>
            <w:gridSpan w:val="4"/>
            <w:tcBorders>
              <w:top w:val="single" w:color="000000" w:sz="4" w:space="0"/>
              <w:left w:val="single" w:color="000000" w:sz="4" w:space="0"/>
              <w:bottom w:val="single" w:color="000000" w:sz="4" w:space="0"/>
              <w:right w:val="nil"/>
            </w:tcBorders>
            <w:vAlign w:val="center"/>
          </w:tcPr>
          <w:p>
            <w:pPr>
              <w:widowControl/>
              <w:spacing w:line="16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根据《优化营商环境条例》《国务院办公厅关于进一步优化营商环境更好服务市场主体的实施意见》等文件精神，更好指导本市优化营商环境工作。</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30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30</w:t>
            </w: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23.56</w:t>
            </w:r>
          </w:p>
        </w:tc>
        <w:tc>
          <w:tcPr>
            <w:tcW w:w="851" w:type="dxa"/>
            <w:gridSpan w:val="2"/>
            <w:tcBorders>
              <w:top w:val="single" w:color="000000" w:sz="4" w:space="0"/>
              <w:left w:val="single" w:color="000000" w:sz="4" w:space="0"/>
              <w:bottom w:val="single" w:color="000000" w:sz="4" w:space="0"/>
              <w:right w:val="nil"/>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23.56</w:t>
            </w:r>
          </w:p>
        </w:tc>
        <w:tc>
          <w:tcPr>
            <w:tcW w:w="574" w:type="dxa"/>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rPr>
          <w:gridAfter w:val="1"/>
          <w:wAfter w:w="14" w:type="dxa"/>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700" w:type="dxa"/>
            <w:gridSpan w:val="2"/>
            <w:tcBorders>
              <w:top w:val="single" w:color="000000" w:sz="4" w:space="0"/>
              <w:left w:val="single" w:color="000000" w:sz="4" w:space="0"/>
              <w:bottom w:val="single" w:color="000000" w:sz="4" w:space="0"/>
              <w:right w:val="nil"/>
            </w:tcBorders>
            <w:vAlign w:val="center"/>
          </w:tcPr>
          <w:p>
            <w:pPr>
              <w:widowControl/>
              <w:spacing w:line="16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推动民营企业建立现代企业制度经费</w:t>
            </w:r>
          </w:p>
        </w:tc>
        <w:tc>
          <w:tcPr>
            <w:tcW w:w="4108" w:type="dxa"/>
            <w:gridSpan w:val="4"/>
            <w:tcBorders>
              <w:top w:val="single" w:color="000000" w:sz="4" w:space="0"/>
              <w:left w:val="single" w:color="000000" w:sz="4" w:space="0"/>
              <w:bottom w:val="single" w:color="000000" w:sz="4" w:space="0"/>
              <w:right w:val="nil"/>
            </w:tcBorders>
            <w:vAlign w:val="center"/>
          </w:tcPr>
          <w:p>
            <w:pPr>
              <w:widowControl/>
              <w:spacing w:line="16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推动我市有条件的民营企业建立“产权清晰、权责分明、管理科学”的现代企业制度。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28</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28</w:t>
            </w: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7.9</w:t>
            </w:r>
          </w:p>
        </w:tc>
        <w:tc>
          <w:tcPr>
            <w:tcW w:w="851" w:type="dxa"/>
            <w:gridSpan w:val="2"/>
            <w:tcBorders>
              <w:top w:val="single" w:color="000000" w:sz="4" w:space="0"/>
              <w:left w:val="single" w:color="000000" w:sz="4" w:space="0"/>
              <w:bottom w:val="single" w:color="000000" w:sz="4" w:space="0"/>
              <w:right w:val="nil"/>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7.9</w:t>
            </w:r>
          </w:p>
        </w:tc>
        <w:tc>
          <w:tcPr>
            <w:tcW w:w="574" w:type="dxa"/>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rPr>
          <w:gridAfter w:val="1"/>
          <w:wAfter w:w="14" w:type="dxa"/>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700" w:type="dxa"/>
            <w:gridSpan w:val="2"/>
            <w:tcBorders>
              <w:top w:val="single" w:color="000000" w:sz="4" w:space="0"/>
              <w:left w:val="single" w:color="000000" w:sz="4" w:space="0"/>
              <w:bottom w:val="single" w:color="000000" w:sz="4" w:space="0"/>
              <w:right w:val="nil"/>
            </w:tcBorders>
            <w:vAlign w:val="center"/>
          </w:tcPr>
          <w:p>
            <w:pPr>
              <w:widowControl/>
              <w:spacing w:line="16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急需紧缺专业选调生安家补助</w:t>
            </w:r>
          </w:p>
        </w:tc>
        <w:tc>
          <w:tcPr>
            <w:tcW w:w="4108" w:type="dxa"/>
            <w:gridSpan w:val="4"/>
            <w:tcBorders>
              <w:top w:val="single" w:color="000000" w:sz="4" w:space="0"/>
              <w:left w:val="single" w:color="000000" w:sz="4" w:space="0"/>
              <w:bottom w:val="single" w:color="000000" w:sz="4" w:space="0"/>
              <w:right w:val="nil"/>
            </w:tcBorders>
            <w:vAlign w:val="center"/>
          </w:tcPr>
          <w:p>
            <w:pPr>
              <w:widowControl/>
              <w:spacing w:line="16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根据《中共广元市委组织部关于做好2021届急需紧缺专业选调生录用工作的通知》（广组录（2021）15号）文件规定，对我中心2021年引进 的急需紧缺专业选调生纳入高端人才库管理，对硕士研究生由用人单位按每人4万元标准发放一次性安家补助，所需资金由同级财政解决。</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4</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4</w:t>
            </w: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0</w:t>
            </w:r>
          </w:p>
        </w:tc>
        <w:tc>
          <w:tcPr>
            <w:tcW w:w="851" w:type="dxa"/>
            <w:gridSpan w:val="2"/>
            <w:tcBorders>
              <w:top w:val="single" w:color="000000" w:sz="4" w:space="0"/>
              <w:left w:val="single" w:color="000000" w:sz="4" w:space="0"/>
              <w:bottom w:val="single" w:color="000000" w:sz="4" w:space="0"/>
              <w:right w:val="nil"/>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0</w:t>
            </w:r>
          </w:p>
        </w:tc>
        <w:tc>
          <w:tcPr>
            <w:tcW w:w="574" w:type="dxa"/>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rPr>
          <w:gridAfter w:val="1"/>
          <w:wAfter w:w="14" w:type="dxa"/>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700" w:type="dxa"/>
            <w:gridSpan w:val="2"/>
            <w:tcBorders>
              <w:top w:val="single" w:color="000000" w:sz="4" w:space="0"/>
              <w:left w:val="single" w:color="000000" w:sz="4" w:space="0"/>
              <w:bottom w:val="single" w:color="000000" w:sz="4" w:space="0"/>
              <w:right w:val="nil"/>
            </w:tcBorders>
            <w:vAlign w:val="center"/>
          </w:tcPr>
          <w:p>
            <w:pPr>
              <w:widowControl/>
              <w:spacing w:line="16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市行政中心幕墙翻新、重大节日氛围营造经费</w:t>
            </w:r>
          </w:p>
        </w:tc>
        <w:tc>
          <w:tcPr>
            <w:tcW w:w="4108" w:type="dxa"/>
            <w:gridSpan w:val="4"/>
            <w:tcBorders>
              <w:top w:val="single" w:color="000000" w:sz="4" w:space="0"/>
              <w:left w:val="single" w:color="000000" w:sz="4" w:space="0"/>
              <w:bottom w:val="single" w:color="000000" w:sz="4" w:space="0"/>
              <w:right w:val="nil"/>
            </w:tcBorders>
            <w:vAlign w:val="center"/>
          </w:tcPr>
          <w:p>
            <w:pPr>
              <w:widowControl/>
              <w:spacing w:line="16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重大节假日行政中心氛围营造。</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20</w:t>
            </w: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20</w:t>
            </w:r>
          </w:p>
        </w:tc>
        <w:tc>
          <w:tcPr>
            <w:tcW w:w="851" w:type="dxa"/>
            <w:gridSpan w:val="2"/>
            <w:tcBorders>
              <w:top w:val="single" w:color="000000" w:sz="4" w:space="0"/>
              <w:left w:val="single" w:color="000000" w:sz="4" w:space="0"/>
              <w:bottom w:val="single" w:color="000000" w:sz="4" w:space="0"/>
              <w:right w:val="nil"/>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20</w:t>
            </w:r>
          </w:p>
        </w:tc>
        <w:tc>
          <w:tcPr>
            <w:tcW w:w="574" w:type="dxa"/>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rPr>
          <w:gridAfter w:val="1"/>
          <w:wAfter w:w="14" w:type="dxa"/>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700" w:type="dxa"/>
            <w:gridSpan w:val="2"/>
            <w:tcBorders>
              <w:top w:val="single" w:color="000000" w:sz="4" w:space="0"/>
              <w:left w:val="single" w:color="000000" w:sz="4" w:space="0"/>
              <w:bottom w:val="single" w:color="000000" w:sz="4" w:space="0"/>
              <w:right w:val="nil"/>
            </w:tcBorders>
            <w:vAlign w:val="center"/>
          </w:tcPr>
          <w:p>
            <w:pPr>
              <w:widowControl/>
              <w:spacing w:line="16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广元市政府效率提升研究项目</w:t>
            </w:r>
          </w:p>
        </w:tc>
        <w:tc>
          <w:tcPr>
            <w:tcW w:w="4108" w:type="dxa"/>
            <w:gridSpan w:val="4"/>
            <w:tcBorders>
              <w:top w:val="single" w:color="000000" w:sz="4" w:space="0"/>
              <w:left w:val="single" w:color="000000" w:sz="4" w:space="0"/>
              <w:bottom w:val="single" w:color="000000" w:sz="4" w:space="0"/>
              <w:right w:val="nil"/>
            </w:tcBorders>
            <w:vAlign w:val="center"/>
          </w:tcPr>
          <w:p>
            <w:pPr>
              <w:widowControl/>
              <w:spacing w:line="16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结合广元市公共服务、政府规模、政务公开、居民经济福利等现状及问题，由广元市人民政府相关部门与江西师范大学管理决策评价研究中心共同研究形成相关研究报告及优化方案。</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25</w:t>
            </w: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25</w:t>
            </w:r>
          </w:p>
        </w:tc>
        <w:tc>
          <w:tcPr>
            <w:tcW w:w="851" w:type="dxa"/>
            <w:gridSpan w:val="2"/>
            <w:tcBorders>
              <w:top w:val="single" w:color="000000" w:sz="4" w:space="0"/>
              <w:left w:val="single" w:color="000000" w:sz="4" w:space="0"/>
              <w:bottom w:val="single" w:color="000000" w:sz="4" w:space="0"/>
              <w:right w:val="nil"/>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25</w:t>
            </w:r>
          </w:p>
        </w:tc>
        <w:tc>
          <w:tcPr>
            <w:tcW w:w="574" w:type="dxa"/>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rPr>
          <w:gridAfter w:val="1"/>
          <w:wAfter w:w="14" w:type="dxa"/>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700" w:type="dxa"/>
            <w:gridSpan w:val="2"/>
            <w:tcBorders>
              <w:top w:val="single" w:color="000000" w:sz="4" w:space="0"/>
              <w:left w:val="single" w:color="000000" w:sz="4" w:space="0"/>
              <w:bottom w:val="single" w:color="auto" w:sz="4" w:space="0"/>
              <w:right w:val="nil"/>
            </w:tcBorders>
            <w:vAlign w:val="center"/>
          </w:tcPr>
          <w:p>
            <w:pPr>
              <w:widowControl/>
              <w:spacing w:line="16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市政府总值班室增设卫生间经费</w:t>
            </w:r>
          </w:p>
        </w:tc>
        <w:tc>
          <w:tcPr>
            <w:tcW w:w="4108" w:type="dxa"/>
            <w:gridSpan w:val="4"/>
            <w:tcBorders>
              <w:top w:val="single" w:color="000000" w:sz="4" w:space="0"/>
              <w:left w:val="single" w:color="000000" w:sz="4" w:space="0"/>
              <w:bottom w:val="single" w:color="auto" w:sz="4" w:space="0"/>
              <w:right w:val="nil"/>
            </w:tcBorders>
            <w:vAlign w:val="center"/>
          </w:tcPr>
          <w:p>
            <w:pPr>
              <w:widowControl/>
              <w:spacing w:line="16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按照省级文件要求，对总值班室进行增设厕所项目。</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4.5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4.5</w:t>
            </w: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4.5</w:t>
            </w:r>
          </w:p>
        </w:tc>
        <w:tc>
          <w:tcPr>
            <w:tcW w:w="851" w:type="dxa"/>
            <w:gridSpan w:val="2"/>
            <w:tcBorders>
              <w:top w:val="single" w:color="000000" w:sz="4" w:space="0"/>
              <w:left w:val="single" w:color="000000" w:sz="4" w:space="0"/>
              <w:bottom w:val="single" w:color="000000" w:sz="4" w:space="0"/>
              <w:right w:val="nil"/>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4.5</w:t>
            </w:r>
          </w:p>
        </w:tc>
        <w:tc>
          <w:tcPr>
            <w:tcW w:w="574" w:type="dxa"/>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rPr>
          <w:gridAfter w:val="1"/>
          <w:wAfter w:w="14" w:type="dxa"/>
        </w:trPr>
        <w:tc>
          <w:tcPr>
            <w:tcW w:w="423" w:type="dxa"/>
            <w:vMerge w:val="continue"/>
            <w:tcBorders>
              <w:top w:val="single" w:color="000000" w:sz="4" w:space="0"/>
              <w:left w:val="single" w:color="000000" w:sz="4" w:space="0"/>
              <w:bottom w:val="single" w:color="000000" w:sz="4" w:space="0"/>
              <w:right w:val="single" w:color="auto" w:sz="4" w:space="0"/>
            </w:tcBorders>
            <w:vAlign w:val="center"/>
          </w:tcPr>
          <w:p>
            <w:pPr>
              <w:spacing w:line="180" w:lineRule="exact"/>
              <w:jc w:val="center"/>
              <w:rPr>
                <w:rFonts w:hint="eastAsia" w:ascii="仿宋_GB2312" w:hAnsi="宋体" w:eastAsia="仿宋_GB2312" w:cs="宋体"/>
                <w:color w:val="000000"/>
                <w:sz w:val="12"/>
                <w:szCs w:val="12"/>
              </w:rPr>
            </w:pPr>
          </w:p>
        </w:tc>
        <w:tc>
          <w:tcPr>
            <w:tcW w:w="1700" w:type="dxa"/>
            <w:gridSpan w:val="2"/>
            <w:tcBorders>
              <w:top w:val="single" w:color="auto" w:sz="4" w:space="0"/>
              <w:left w:val="single" w:color="auto" w:sz="4" w:space="0"/>
              <w:bottom w:val="single" w:color="auto" w:sz="4" w:space="0"/>
              <w:right w:val="single" w:color="auto" w:sz="4" w:space="0"/>
            </w:tcBorders>
            <w:vAlign w:val="center"/>
          </w:tcPr>
          <w:p>
            <w:pPr>
              <w:widowControl/>
              <w:spacing w:line="16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2021年度优化营商环境先进集体和先进个人表彰奖励项目</w:t>
            </w:r>
          </w:p>
        </w:tc>
        <w:tc>
          <w:tcPr>
            <w:tcW w:w="4108" w:type="dxa"/>
            <w:gridSpan w:val="4"/>
            <w:tcBorders>
              <w:top w:val="single" w:color="auto" w:sz="4" w:space="0"/>
              <w:left w:val="single" w:color="auto" w:sz="4" w:space="0"/>
              <w:bottom w:val="single" w:color="auto" w:sz="4" w:space="0"/>
              <w:right w:val="single" w:color="auto" w:sz="4" w:space="0"/>
            </w:tcBorders>
            <w:vAlign w:val="center"/>
          </w:tcPr>
          <w:p>
            <w:pPr>
              <w:widowControl/>
              <w:spacing w:line="16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2021年度优化营商环境先进集体和先进个人表彰奖励项目</w:t>
            </w:r>
          </w:p>
        </w:tc>
        <w:tc>
          <w:tcPr>
            <w:tcW w:w="708" w:type="dxa"/>
            <w:tcBorders>
              <w:top w:val="single" w:color="000000" w:sz="4" w:space="0"/>
              <w:left w:val="single" w:color="auto"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77.5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77.5</w:t>
            </w: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74.5</w:t>
            </w:r>
          </w:p>
        </w:tc>
        <w:tc>
          <w:tcPr>
            <w:tcW w:w="851" w:type="dxa"/>
            <w:gridSpan w:val="2"/>
            <w:tcBorders>
              <w:top w:val="single" w:color="000000" w:sz="4" w:space="0"/>
              <w:left w:val="single" w:color="000000" w:sz="4" w:space="0"/>
              <w:bottom w:val="single" w:color="000000" w:sz="4" w:space="0"/>
              <w:right w:val="nil"/>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74.5</w:t>
            </w:r>
          </w:p>
        </w:tc>
        <w:tc>
          <w:tcPr>
            <w:tcW w:w="574" w:type="dxa"/>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rPr>
          <w:gridAfter w:val="1"/>
          <w:wAfter w:w="14" w:type="dxa"/>
          <w:trHeight w:val="844" w:hRule="atLeast"/>
        </w:trPr>
        <w:tc>
          <w:tcPr>
            <w:tcW w:w="423" w:type="dxa"/>
            <w:vMerge w:val="continue"/>
            <w:tcBorders>
              <w:top w:val="single" w:color="000000" w:sz="4" w:space="0"/>
              <w:left w:val="single" w:color="000000" w:sz="4" w:space="0"/>
              <w:bottom w:val="single" w:color="000000" w:sz="4" w:space="0"/>
              <w:right w:val="single" w:color="auto" w:sz="4" w:space="0"/>
            </w:tcBorders>
            <w:vAlign w:val="center"/>
          </w:tcPr>
          <w:p>
            <w:pPr>
              <w:spacing w:line="180" w:lineRule="exact"/>
              <w:jc w:val="center"/>
              <w:rPr>
                <w:rFonts w:hint="eastAsia" w:ascii="仿宋_GB2312" w:hAnsi="宋体" w:eastAsia="仿宋_GB2312" w:cs="宋体"/>
                <w:color w:val="000000"/>
                <w:sz w:val="12"/>
                <w:szCs w:val="12"/>
              </w:rPr>
            </w:pPr>
          </w:p>
        </w:tc>
        <w:tc>
          <w:tcPr>
            <w:tcW w:w="1700" w:type="dxa"/>
            <w:gridSpan w:val="2"/>
            <w:tcBorders>
              <w:top w:val="single" w:color="auto" w:sz="4" w:space="0"/>
              <w:left w:val="single" w:color="auto" w:sz="4" w:space="0"/>
              <w:bottom w:val="single" w:color="auto" w:sz="4" w:space="0"/>
              <w:right w:val="single" w:color="auto" w:sz="4" w:space="0"/>
            </w:tcBorders>
            <w:vAlign w:val="center"/>
          </w:tcPr>
          <w:p>
            <w:pPr>
              <w:widowControl/>
              <w:spacing w:line="16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高层次人才安家补助和工作补助</w:t>
            </w:r>
          </w:p>
        </w:tc>
        <w:tc>
          <w:tcPr>
            <w:tcW w:w="4108" w:type="dxa"/>
            <w:gridSpan w:val="4"/>
            <w:tcBorders>
              <w:top w:val="single" w:color="auto" w:sz="4" w:space="0"/>
              <w:left w:val="single" w:color="auto" w:sz="4" w:space="0"/>
              <w:bottom w:val="single" w:color="auto" w:sz="4" w:space="0"/>
              <w:right w:val="single" w:color="auto" w:sz="4" w:space="0"/>
            </w:tcBorders>
            <w:vAlign w:val="center"/>
          </w:tcPr>
          <w:p>
            <w:pPr>
              <w:widowControl/>
              <w:spacing w:line="16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根据《中共广元市委组织部关于做好2021届急需紧缺专业选调生录用工作的通知》（广组录（2021）15号）文件规定，对我中心2021年引进 的急需紧缺专业选调生纳入高端人才库管理，对硕士研究生由用人单位按每人8万元标准发放一次性安家补助，所需资金由同级财政解决。</w:t>
            </w:r>
          </w:p>
        </w:tc>
        <w:tc>
          <w:tcPr>
            <w:tcW w:w="708" w:type="dxa"/>
            <w:tcBorders>
              <w:top w:val="single" w:color="000000" w:sz="4" w:space="0"/>
              <w:left w:val="single" w:color="auto"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8.3</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8.3</w:t>
            </w: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0</w:t>
            </w:r>
          </w:p>
        </w:tc>
        <w:tc>
          <w:tcPr>
            <w:tcW w:w="851" w:type="dxa"/>
            <w:gridSpan w:val="2"/>
            <w:tcBorders>
              <w:top w:val="single" w:color="000000" w:sz="4" w:space="0"/>
              <w:left w:val="single" w:color="000000" w:sz="4" w:space="0"/>
              <w:bottom w:val="single" w:color="000000" w:sz="4" w:space="0"/>
              <w:right w:val="nil"/>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0</w:t>
            </w:r>
          </w:p>
        </w:tc>
        <w:tc>
          <w:tcPr>
            <w:tcW w:w="574" w:type="dxa"/>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rPr>
          <w:gridAfter w:val="1"/>
          <w:wAfter w:w="14" w:type="dxa"/>
        </w:trPr>
        <w:tc>
          <w:tcPr>
            <w:tcW w:w="423" w:type="dxa"/>
            <w:vMerge w:val="continue"/>
            <w:tcBorders>
              <w:top w:val="single" w:color="000000" w:sz="4" w:space="0"/>
              <w:left w:val="single" w:color="000000" w:sz="4" w:space="0"/>
              <w:bottom w:val="single" w:color="000000" w:sz="4" w:space="0"/>
              <w:right w:val="single" w:color="auto" w:sz="4" w:space="0"/>
            </w:tcBorders>
            <w:vAlign w:val="center"/>
          </w:tcPr>
          <w:p>
            <w:pPr>
              <w:spacing w:line="180" w:lineRule="exact"/>
              <w:jc w:val="center"/>
              <w:rPr>
                <w:rFonts w:hint="eastAsia" w:ascii="仿宋_GB2312" w:hAnsi="宋体" w:eastAsia="仿宋_GB2312" w:cs="宋体"/>
                <w:color w:val="000000"/>
                <w:sz w:val="12"/>
                <w:szCs w:val="12"/>
              </w:rPr>
            </w:pPr>
          </w:p>
        </w:tc>
        <w:tc>
          <w:tcPr>
            <w:tcW w:w="1700" w:type="dxa"/>
            <w:gridSpan w:val="2"/>
            <w:tcBorders>
              <w:top w:val="single" w:color="auto" w:sz="4" w:space="0"/>
              <w:left w:val="single" w:color="auto" w:sz="4" w:space="0"/>
              <w:bottom w:val="single" w:color="auto" w:sz="4" w:space="0"/>
              <w:right w:val="single" w:color="auto" w:sz="4" w:space="0"/>
            </w:tcBorders>
            <w:vAlign w:val="center"/>
          </w:tcPr>
          <w:p>
            <w:pPr>
              <w:widowControl/>
              <w:spacing w:line="16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招商引资、流动党员活动、维稳、房屋租赁、驻外人员生活补助、职工房租补助经费</w:t>
            </w:r>
          </w:p>
        </w:tc>
        <w:tc>
          <w:tcPr>
            <w:tcW w:w="4108" w:type="dxa"/>
            <w:gridSpan w:val="4"/>
            <w:tcBorders>
              <w:top w:val="single" w:color="auto" w:sz="4" w:space="0"/>
              <w:left w:val="single" w:color="auto" w:sz="4" w:space="0"/>
              <w:bottom w:val="single" w:color="auto" w:sz="4" w:space="0"/>
              <w:right w:val="single" w:color="auto" w:sz="4" w:space="0"/>
            </w:tcBorders>
            <w:vAlign w:val="center"/>
          </w:tcPr>
          <w:p>
            <w:pPr>
              <w:widowControl/>
              <w:spacing w:line="16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招商引资、对外联络、宣传广元、扩大广元知名度</w:t>
            </w:r>
          </w:p>
        </w:tc>
        <w:tc>
          <w:tcPr>
            <w:tcW w:w="708" w:type="dxa"/>
            <w:tcBorders>
              <w:top w:val="single" w:color="000000" w:sz="4" w:space="0"/>
              <w:left w:val="single" w:color="auto"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165.7</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165.7</w:t>
            </w: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165.7</w:t>
            </w:r>
          </w:p>
        </w:tc>
        <w:tc>
          <w:tcPr>
            <w:tcW w:w="851" w:type="dxa"/>
            <w:gridSpan w:val="2"/>
            <w:tcBorders>
              <w:top w:val="single" w:color="000000" w:sz="4" w:space="0"/>
              <w:left w:val="single" w:color="000000" w:sz="4" w:space="0"/>
              <w:bottom w:val="single" w:color="000000" w:sz="4" w:space="0"/>
              <w:right w:val="nil"/>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165.7</w:t>
            </w:r>
          </w:p>
        </w:tc>
        <w:tc>
          <w:tcPr>
            <w:tcW w:w="574" w:type="dxa"/>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rPr>
          <w:gridAfter w:val="1"/>
          <w:wAfter w:w="14" w:type="dxa"/>
        </w:trPr>
        <w:tc>
          <w:tcPr>
            <w:tcW w:w="423" w:type="dxa"/>
            <w:vMerge w:val="continue"/>
            <w:tcBorders>
              <w:top w:val="single" w:color="000000" w:sz="4" w:space="0"/>
              <w:left w:val="single" w:color="000000" w:sz="4" w:space="0"/>
              <w:bottom w:val="single" w:color="000000" w:sz="4" w:space="0"/>
              <w:right w:val="single" w:color="auto" w:sz="4" w:space="0"/>
            </w:tcBorders>
            <w:vAlign w:val="center"/>
          </w:tcPr>
          <w:p>
            <w:pPr>
              <w:spacing w:line="180" w:lineRule="exact"/>
              <w:jc w:val="center"/>
              <w:rPr>
                <w:rFonts w:hint="eastAsia" w:ascii="仿宋_GB2312" w:hAnsi="宋体" w:eastAsia="仿宋_GB2312" w:cs="宋体"/>
                <w:color w:val="000000"/>
                <w:sz w:val="12"/>
                <w:szCs w:val="12"/>
              </w:rPr>
            </w:pPr>
          </w:p>
        </w:tc>
        <w:tc>
          <w:tcPr>
            <w:tcW w:w="1700" w:type="dxa"/>
            <w:gridSpan w:val="2"/>
            <w:tcBorders>
              <w:top w:val="single" w:color="auto" w:sz="4" w:space="0"/>
              <w:left w:val="single" w:color="auto" w:sz="4" w:space="0"/>
              <w:bottom w:val="single" w:color="auto" w:sz="4" w:space="0"/>
              <w:right w:val="single" w:color="auto" w:sz="4" w:space="0"/>
            </w:tcBorders>
            <w:vAlign w:val="center"/>
          </w:tcPr>
          <w:p>
            <w:pPr>
              <w:widowControl/>
              <w:spacing w:line="18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购置公务用车</w:t>
            </w:r>
          </w:p>
        </w:tc>
        <w:tc>
          <w:tcPr>
            <w:tcW w:w="4108" w:type="dxa"/>
            <w:gridSpan w:val="4"/>
            <w:tcBorders>
              <w:top w:val="single" w:color="auto" w:sz="4" w:space="0"/>
              <w:left w:val="single" w:color="auto" w:sz="4" w:space="0"/>
              <w:bottom w:val="single" w:color="auto" w:sz="4" w:space="0"/>
              <w:right w:val="single" w:color="auto" w:sz="4" w:space="0"/>
            </w:tcBorders>
            <w:vAlign w:val="center"/>
          </w:tcPr>
          <w:p>
            <w:pPr>
              <w:widowControl/>
              <w:spacing w:line="18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购置公务用车</w:t>
            </w:r>
          </w:p>
        </w:tc>
        <w:tc>
          <w:tcPr>
            <w:tcW w:w="708" w:type="dxa"/>
            <w:tcBorders>
              <w:top w:val="single" w:color="000000" w:sz="4" w:space="0"/>
              <w:left w:val="single" w:color="auto"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25</w:t>
            </w: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25</w:t>
            </w:r>
          </w:p>
        </w:tc>
        <w:tc>
          <w:tcPr>
            <w:tcW w:w="851" w:type="dxa"/>
            <w:gridSpan w:val="2"/>
            <w:tcBorders>
              <w:top w:val="single" w:color="000000" w:sz="4" w:space="0"/>
              <w:left w:val="single" w:color="000000" w:sz="4" w:space="0"/>
              <w:bottom w:val="single" w:color="000000" w:sz="4" w:space="0"/>
              <w:right w:val="nil"/>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25</w:t>
            </w:r>
          </w:p>
        </w:tc>
        <w:tc>
          <w:tcPr>
            <w:tcW w:w="574" w:type="dxa"/>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rPr>
          <w:gridAfter w:val="1"/>
          <w:wAfter w:w="14" w:type="dxa"/>
        </w:trPr>
        <w:tc>
          <w:tcPr>
            <w:tcW w:w="423" w:type="dxa"/>
            <w:vMerge w:val="continue"/>
            <w:tcBorders>
              <w:top w:val="single" w:color="000000" w:sz="4" w:space="0"/>
              <w:left w:val="single" w:color="000000" w:sz="4" w:space="0"/>
              <w:bottom w:val="single" w:color="000000" w:sz="4" w:space="0"/>
              <w:right w:val="single" w:color="auto" w:sz="4" w:space="0"/>
            </w:tcBorders>
            <w:vAlign w:val="center"/>
          </w:tcPr>
          <w:p>
            <w:pPr>
              <w:spacing w:line="180" w:lineRule="exact"/>
              <w:jc w:val="center"/>
              <w:rPr>
                <w:rFonts w:hint="eastAsia" w:ascii="仿宋_GB2312" w:hAnsi="宋体" w:eastAsia="仿宋_GB2312" w:cs="宋体"/>
                <w:color w:val="000000"/>
                <w:sz w:val="12"/>
                <w:szCs w:val="12"/>
              </w:rPr>
            </w:pPr>
          </w:p>
        </w:tc>
        <w:tc>
          <w:tcPr>
            <w:tcW w:w="1700" w:type="dxa"/>
            <w:gridSpan w:val="2"/>
            <w:tcBorders>
              <w:top w:val="single" w:color="auto" w:sz="4" w:space="0"/>
              <w:left w:val="single" w:color="auto" w:sz="4" w:space="0"/>
              <w:bottom w:val="single" w:color="auto" w:sz="4" w:space="0"/>
              <w:right w:val="single" w:color="auto" w:sz="4" w:space="0"/>
            </w:tcBorders>
            <w:vAlign w:val="center"/>
          </w:tcPr>
          <w:p>
            <w:pPr>
              <w:widowControl/>
              <w:spacing w:line="18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车辆配置和装饰费用</w:t>
            </w:r>
          </w:p>
        </w:tc>
        <w:tc>
          <w:tcPr>
            <w:tcW w:w="4108" w:type="dxa"/>
            <w:gridSpan w:val="4"/>
            <w:tcBorders>
              <w:top w:val="single" w:color="auto" w:sz="4" w:space="0"/>
              <w:left w:val="single" w:color="auto" w:sz="4" w:space="0"/>
              <w:bottom w:val="single" w:color="auto" w:sz="4" w:space="0"/>
              <w:right w:val="single" w:color="auto" w:sz="4" w:space="0"/>
            </w:tcBorders>
            <w:vAlign w:val="center"/>
          </w:tcPr>
          <w:p>
            <w:pPr>
              <w:widowControl/>
              <w:spacing w:line="18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车辆配置和装饰费用</w:t>
            </w:r>
          </w:p>
        </w:tc>
        <w:tc>
          <w:tcPr>
            <w:tcW w:w="708" w:type="dxa"/>
            <w:tcBorders>
              <w:top w:val="single" w:color="000000" w:sz="4" w:space="0"/>
              <w:left w:val="single" w:color="auto"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5</w:t>
            </w: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5</w:t>
            </w:r>
          </w:p>
        </w:tc>
        <w:tc>
          <w:tcPr>
            <w:tcW w:w="851" w:type="dxa"/>
            <w:gridSpan w:val="2"/>
            <w:tcBorders>
              <w:top w:val="single" w:color="000000" w:sz="4" w:space="0"/>
              <w:left w:val="single" w:color="000000" w:sz="4" w:space="0"/>
              <w:bottom w:val="single" w:color="000000" w:sz="4" w:space="0"/>
              <w:right w:val="nil"/>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5</w:t>
            </w:r>
          </w:p>
        </w:tc>
        <w:tc>
          <w:tcPr>
            <w:tcW w:w="574" w:type="dxa"/>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rPr>
          <w:gridAfter w:val="1"/>
          <w:wAfter w:w="14" w:type="dxa"/>
        </w:trPr>
        <w:tc>
          <w:tcPr>
            <w:tcW w:w="423" w:type="dxa"/>
            <w:vMerge w:val="continue"/>
            <w:tcBorders>
              <w:top w:val="single" w:color="000000" w:sz="4" w:space="0"/>
              <w:left w:val="single" w:color="000000" w:sz="4" w:space="0"/>
              <w:bottom w:val="single" w:color="000000" w:sz="4" w:space="0"/>
              <w:right w:val="single" w:color="auto" w:sz="4" w:space="0"/>
            </w:tcBorders>
            <w:vAlign w:val="center"/>
          </w:tcPr>
          <w:p>
            <w:pPr>
              <w:spacing w:line="180" w:lineRule="exact"/>
              <w:jc w:val="center"/>
              <w:rPr>
                <w:rFonts w:hint="eastAsia" w:ascii="仿宋_GB2312" w:hAnsi="宋体" w:eastAsia="仿宋_GB2312" w:cs="宋体"/>
                <w:color w:val="000000"/>
                <w:sz w:val="12"/>
                <w:szCs w:val="12"/>
              </w:rPr>
            </w:pPr>
          </w:p>
        </w:tc>
        <w:tc>
          <w:tcPr>
            <w:tcW w:w="1700" w:type="dxa"/>
            <w:gridSpan w:val="2"/>
            <w:tcBorders>
              <w:top w:val="single" w:color="auto" w:sz="4" w:space="0"/>
              <w:left w:val="single" w:color="auto" w:sz="4" w:space="0"/>
              <w:bottom w:val="single" w:color="auto" w:sz="4" w:space="0"/>
              <w:right w:val="single" w:color="auto" w:sz="4" w:space="0"/>
            </w:tcBorders>
            <w:vAlign w:val="center"/>
          </w:tcPr>
          <w:p>
            <w:pPr>
              <w:widowControl/>
              <w:spacing w:line="18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成都荷花池十四交易区A区改造项目</w:t>
            </w:r>
          </w:p>
        </w:tc>
        <w:tc>
          <w:tcPr>
            <w:tcW w:w="4108" w:type="dxa"/>
            <w:gridSpan w:val="4"/>
            <w:tcBorders>
              <w:top w:val="single" w:color="auto" w:sz="4" w:space="0"/>
              <w:left w:val="single" w:color="auto" w:sz="4" w:space="0"/>
              <w:bottom w:val="single" w:color="auto" w:sz="4" w:space="0"/>
              <w:right w:val="single" w:color="auto" w:sz="4" w:space="0"/>
            </w:tcBorders>
            <w:vAlign w:val="center"/>
          </w:tcPr>
          <w:p>
            <w:pPr>
              <w:widowControl/>
              <w:spacing w:line="18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成都荷花池十四交易区A区改造项目</w:t>
            </w:r>
          </w:p>
        </w:tc>
        <w:tc>
          <w:tcPr>
            <w:tcW w:w="708" w:type="dxa"/>
            <w:tcBorders>
              <w:top w:val="single" w:color="000000" w:sz="4" w:space="0"/>
              <w:left w:val="single" w:color="auto"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263</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263</w:t>
            </w: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245.29</w:t>
            </w:r>
          </w:p>
        </w:tc>
        <w:tc>
          <w:tcPr>
            <w:tcW w:w="851" w:type="dxa"/>
            <w:gridSpan w:val="2"/>
            <w:tcBorders>
              <w:top w:val="single" w:color="000000" w:sz="4" w:space="0"/>
              <w:left w:val="single" w:color="000000" w:sz="4" w:space="0"/>
              <w:bottom w:val="single" w:color="000000" w:sz="4" w:space="0"/>
              <w:right w:val="nil"/>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245.29</w:t>
            </w:r>
          </w:p>
        </w:tc>
        <w:tc>
          <w:tcPr>
            <w:tcW w:w="574" w:type="dxa"/>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rPr>
          <w:gridAfter w:val="1"/>
          <w:wAfter w:w="14" w:type="dxa"/>
        </w:trPr>
        <w:tc>
          <w:tcPr>
            <w:tcW w:w="423" w:type="dxa"/>
            <w:vMerge w:val="continue"/>
            <w:tcBorders>
              <w:top w:val="single" w:color="000000" w:sz="4" w:space="0"/>
              <w:left w:val="single" w:color="000000" w:sz="4" w:space="0"/>
              <w:bottom w:val="single" w:color="000000" w:sz="4" w:space="0"/>
              <w:right w:val="single" w:color="auto" w:sz="4" w:space="0"/>
            </w:tcBorders>
            <w:vAlign w:val="center"/>
          </w:tcPr>
          <w:p>
            <w:pPr>
              <w:spacing w:line="180" w:lineRule="exact"/>
              <w:jc w:val="center"/>
              <w:rPr>
                <w:rFonts w:hint="eastAsia" w:ascii="仿宋_GB2312" w:hAnsi="宋体" w:eastAsia="仿宋_GB2312" w:cs="宋体"/>
                <w:color w:val="000000"/>
                <w:sz w:val="12"/>
                <w:szCs w:val="12"/>
              </w:rPr>
            </w:pPr>
          </w:p>
        </w:tc>
        <w:tc>
          <w:tcPr>
            <w:tcW w:w="1700" w:type="dxa"/>
            <w:gridSpan w:val="2"/>
            <w:tcBorders>
              <w:top w:val="single" w:color="auto" w:sz="4" w:space="0"/>
              <w:left w:val="single" w:color="auto" w:sz="4" w:space="0"/>
              <w:bottom w:val="single" w:color="auto" w:sz="4" w:space="0"/>
              <w:right w:val="single" w:color="auto" w:sz="4" w:space="0"/>
            </w:tcBorders>
            <w:vAlign w:val="center"/>
          </w:tcPr>
          <w:p>
            <w:pPr>
              <w:widowControl/>
              <w:spacing w:line="18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广元市入驻四川区域协同发展总部基地装修项目</w:t>
            </w:r>
          </w:p>
        </w:tc>
        <w:tc>
          <w:tcPr>
            <w:tcW w:w="4108" w:type="dxa"/>
            <w:gridSpan w:val="4"/>
            <w:tcBorders>
              <w:top w:val="single" w:color="auto" w:sz="4" w:space="0"/>
              <w:left w:val="single" w:color="auto" w:sz="4" w:space="0"/>
              <w:bottom w:val="single" w:color="auto" w:sz="4" w:space="0"/>
              <w:right w:val="single" w:color="auto" w:sz="4" w:space="0"/>
            </w:tcBorders>
            <w:vAlign w:val="center"/>
          </w:tcPr>
          <w:p>
            <w:pPr>
              <w:widowControl/>
              <w:spacing w:line="18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广元市入驻四川区域协同发展总部基地装修项目</w:t>
            </w:r>
          </w:p>
        </w:tc>
        <w:tc>
          <w:tcPr>
            <w:tcW w:w="708" w:type="dxa"/>
            <w:tcBorders>
              <w:top w:val="single" w:color="000000" w:sz="4" w:space="0"/>
              <w:left w:val="single" w:color="auto"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487.5</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487.5</w:t>
            </w: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0</w:t>
            </w:r>
          </w:p>
        </w:tc>
        <w:tc>
          <w:tcPr>
            <w:tcW w:w="851" w:type="dxa"/>
            <w:gridSpan w:val="2"/>
            <w:tcBorders>
              <w:top w:val="single" w:color="000000" w:sz="4" w:space="0"/>
              <w:left w:val="single" w:color="000000" w:sz="4" w:space="0"/>
              <w:bottom w:val="single" w:color="000000" w:sz="4" w:space="0"/>
              <w:right w:val="nil"/>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0</w:t>
            </w:r>
          </w:p>
        </w:tc>
        <w:tc>
          <w:tcPr>
            <w:tcW w:w="574" w:type="dxa"/>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rPr>
          <w:gridAfter w:val="1"/>
          <w:wAfter w:w="14" w:type="dxa"/>
        </w:trPr>
        <w:tc>
          <w:tcPr>
            <w:tcW w:w="423" w:type="dxa"/>
            <w:vMerge w:val="continue"/>
            <w:tcBorders>
              <w:top w:val="single" w:color="000000" w:sz="4" w:space="0"/>
              <w:left w:val="single" w:color="000000" w:sz="4" w:space="0"/>
              <w:bottom w:val="single" w:color="000000" w:sz="4" w:space="0"/>
              <w:right w:val="single" w:color="auto" w:sz="4" w:space="0"/>
            </w:tcBorders>
            <w:vAlign w:val="center"/>
          </w:tcPr>
          <w:p>
            <w:pPr>
              <w:spacing w:line="180" w:lineRule="exact"/>
              <w:jc w:val="center"/>
              <w:rPr>
                <w:rFonts w:hint="eastAsia" w:ascii="仿宋_GB2312" w:hAnsi="宋体" w:eastAsia="仿宋_GB2312" w:cs="宋体"/>
                <w:color w:val="000000"/>
                <w:sz w:val="12"/>
                <w:szCs w:val="12"/>
              </w:rPr>
            </w:pPr>
          </w:p>
        </w:tc>
        <w:tc>
          <w:tcPr>
            <w:tcW w:w="1700" w:type="dxa"/>
            <w:gridSpan w:val="2"/>
            <w:tcBorders>
              <w:top w:val="single" w:color="auto" w:sz="4" w:space="0"/>
              <w:left w:val="single" w:color="auto" w:sz="4" w:space="0"/>
              <w:bottom w:val="single" w:color="auto" w:sz="4" w:space="0"/>
              <w:right w:val="single" w:color="auto" w:sz="4" w:space="0"/>
            </w:tcBorders>
            <w:vAlign w:val="center"/>
          </w:tcPr>
          <w:p>
            <w:pPr>
              <w:widowControl/>
              <w:spacing w:line="18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广元市入驻四川区域协同发展总部基地运营费用</w:t>
            </w:r>
          </w:p>
        </w:tc>
        <w:tc>
          <w:tcPr>
            <w:tcW w:w="4108" w:type="dxa"/>
            <w:gridSpan w:val="4"/>
            <w:tcBorders>
              <w:top w:val="single" w:color="auto" w:sz="4" w:space="0"/>
              <w:left w:val="single" w:color="auto" w:sz="4" w:space="0"/>
              <w:bottom w:val="single" w:color="auto" w:sz="4" w:space="0"/>
              <w:right w:val="single" w:color="auto" w:sz="4" w:space="0"/>
            </w:tcBorders>
            <w:vAlign w:val="center"/>
          </w:tcPr>
          <w:p>
            <w:pPr>
              <w:widowControl/>
              <w:spacing w:line="18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广元市入驻四川区域协同发展总部基地运营费用</w:t>
            </w:r>
          </w:p>
        </w:tc>
        <w:tc>
          <w:tcPr>
            <w:tcW w:w="708" w:type="dxa"/>
            <w:tcBorders>
              <w:top w:val="single" w:color="000000" w:sz="4" w:space="0"/>
              <w:left w:val="single" w:color="auto"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93</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93</w:t>
            </w: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0</w:t>
            </w:r>
          </w:p>
        </w:tc>
        <w:tc>
          <w:tcPr>
            <w:tcW w:w="851" w:type="dxa"/>
            <w:gridSpan w:val="2"/>
            <w:tcBorders>
              <w:top w:val="single" w:color="000000" w:sz="4" w:space="0"/>
              <w:left w:val="single" w:color="000000" w:sz="4" w:space="0"/>
              <w:bottom w:val="single" w:color="000000" w:sz="4" w:space="0"/>
              <w:right w:val="nil"/>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0</w:t>
            </w:r>
          </w:p>
        </w:tc>
        <w:tc>
          <w:tcPr>
            <w:tcW w:w="574" w:type="dxa"/>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rPr>
          <w:gridAfter w:val="1"/>
          <w:wAfter w:w="14" w:type="dxa"/>
        </w:trPr>
        <w:tc>
          <w:tcPr>
            <w:tcW w:w="423" w:type="dxa"/>
            <w:vMerge w:val="continue"/>
            <w:tcBorders>
              <w:top w:val="single" w:color="000000" w:sz="4" w:space="0"/>
              <w:left w:val="single" w:color="000000" w:sz="4" w:space="0"/>
              <w:bottom w:val="single" w:color="000000" w:sz="4" w:space="0"/>
              <w:right w:val="single" w:color="auto" w:sz="4" w:space="0"/>
            </w:tcBorders>
            <w:vAlign w:val="center"/>
          </w:tcPr>
          <w:p>
            <w:pPr>
              <w:spacing w:line="180" w:lineRule="exact"/>
              <w:jc w:val="center"/>
              <w:rPr>
                <w:rFonts w:hint="eastAsia" w:ascii="仿宋_GB2312" w:hAnsi="宋体" w:eastAsia="仿宋_GB2312" w:cs="宋体"/>
                <w:color w:val="000000"/>
                <w:sz w:val="12"/>
                <w:szCs w:val="12"/>
              </w:rPr>
            </w:pPr>
          </w:p>
        </w:tc>
        <w:tc>
          <w:tcPr>
            <w:tcW w:w="1700" w:type="dxa"/>
            <w:gridSpan w:val="2"/>
            <w:tcBorders>
              <w:top w:val="single" w:color="auto" w:sz="4" w:space="0"/>
              <w:left w:val="single" w:color="auto" w:sz="4" w:space="0"/>
              <w:bottom w:val="single" w:color="auto" w:sz="4" w:space="0"/>
              <w:right w:val="single" w:color="auto" w:sz="4" w:space="0"/>
            </w:tcBorders>
            <w:vAlign w:val="center"/>
          </w:tcPr>
          <w:p>
            <w:pPr>
              <w:widowControl/>
              <w:spacing w:line="18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广元市机关离退休干部驻蓉流动党员委员会专项工作经费</w:t>
            </w:r>
          </w:p>
        </w:tc>
        <w:tc>
          <w:tcPr>
            <w:tcW w:w="4108" w:type="dxa"/>
            <w:gridSpan w:val="4"/>
            <w:tcBorders>
              <w:top w:val="single" w:color="auto" w:sz="4" w:space="0"/>
              <w:left w:val="single" w:color="auto" w:sz="4" w:space="0"/>
              <w:bottom w:val="single" w:color="auto" w:sz="4" w:space="0"/>
              <w:right w:val="single" w:color="auto" w:sz="4" w:space="0"/>
            </w:tcBorders>
            <w:vAlign w:val="center"/>
          </w:tcPr>
          <w:p>
            <w:pPr>
              <w:widowControl/>
              <w:spacing w:line="18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组织所属8个支部256名老党员常态化开展政治思想和组织制度建设，开展主题党日多动，充分发挥支部战斗堡垒和党员模范作用努力为党和人民事业增添正能量。</w:t>
            </w:r>
          </w:p>
        </w:tc>
        <w:tc>
          <w:tcPr>
            <w:tcW w:w="708" w:type="dxa"/>
            <w:tcBorders>
              <w:top w:val="single" w:color="000000" w:sz="4" w:space="0"/>
              <w:left w:val="single" w:color="auto"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21.9</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18.9</w:t>
            </w: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3</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21.9</w:t>
            </w:r>
          </w:p>
        </w:tc>
        <w:tc>
          <w:tcPr>
            <w:tcW w:w="851" w:type="dxa"/>
            <w:gridSpan w:val="2"/>
            <w:tcBorders>
              <w:top w:val="single" w:color="000000" w:sz="4" w:space="0"/>
              <w:left w:val="single" w:color="000000" w:sz="4" w:space="0"/>
              <w:bottom w:val="single" w:color="000000" w:sz="4" w:space="0"/>
              <w:right w:val="nil"/>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18.9</w:t>
            </w:r>
          </w:p>
        </w:tc>
        <w:tc>
          <w:tcPr>
            <w:tcW w:w="57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3</w:t>
            </w:r>
          </w:p>
        </w:tc>
      </w:tr>
      <w:tr>
        <w:tblPrEx>
          <w:tblCellMar>
            <w:top w:w="0" w:type="dxa"/>
            <w:left w:w="108" w:type="dxa"/>
            <w:bottom w:w="0" w:type="dxa"/>
            <w:right w:w="108" w:type="dxa"/>
          </w:tblCellMar>
        </w:tblPrEx>
        <w:trPr>
          <w:gridAfter w:val="1"/>
          <w:wAfter w:w="14" w:type="dxa"/>
        </w:trPr>
        <w:tc>
          <w:tcPr>
            <w:tcW w:w="423" w:type="dxa"/>
            <w:vMerge w:val="continue"/>
            <w:tcBorders>
              <w:top w:val="single" w:color="000000" w:sz="4" w:space="0"/>
              <w:left w:val="single" w:color="000000" w:sz="4" w:space="0"/>
              <w:bottom w:val="single" w:color="000000" w:sz="4" w:space="0"/>
              <w:right w:val="single" w:color="auto" w:sz="4" w:space="0"/>
            </w:tcBorders>
            <w:vAlign w:val="center"/>
          </w:tcPr>
          <w:p>
            <w:pPr>
              <w:spacing w:line="180" w:lineRule="exact"/>
              <w:jc w:val="center"/>
              <w:rPr>
                <w:rFonts w:hint="eastAsia" w:ascii="仿宋_GB2312" w:hAnsi="宋体" w:eastAsia="仿宋_GB2312" w:cs="宋体"/>
                <w:color w:val="000000"/>
                <w:sz w:val="12"/>
                <w:szCs w:val="12"/>
              </w:rPr>
            </w:pPr>
          </w:p>
        </w:tc>
        <w:tc>
          <w:tcPr>
            <w:tcW w:w="1700" w:type="dxa"/>
            <w:gridSpan w:val="2"/>
            <w:tcBorders>
              <w:top w:val="single" w:color="auto" w:sz="4" w:space="0"/>
              <w:left w:val="single" w:color="auto" w:sz="4" w:space="0"/>
              <w:bottom w:val="single" w:color="auto" w:sz="4" w:space="0"/>
              <w:right w:val="single" w:color="auto" w:sz="4" w:space="0"/>
            </w:tcBorders>
            <w:vAlign w:val="center"/>
          </w:tcPr>
          <w:p>
            <w:pPr>
              <w:widowControl/>
              <w:spacing w:line="16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广元市驻蓉流动党委专项工作经费</w:t>
            </w:r>
          </w:p>
        </w:tc>
        <w:tc>
          <w:tcPr>
            <w:tcW w:w="4108" w:type="dxa"/>
            <w:gridSpan w:val="4"/>
            <w:tcBorders>
              <w:top w:val="single" w:color="auto" w:sz="4" w:space="0"/>
              <w:left w:val="single" w:color="auto" w:sz="4" w:space="0"/>
              <w:bottom w:val="single" w:color="auto" w:sz="4" w:space="0"/>
              <w:right w:val="single" w:color="auto" w:sz="4" w:space="0"/>
            </w:tcBorders>
            <w:vAlign w:val="center"/>
          </w:tcPr>
          <w:p>
            <w:pPr>
              <w:widowControl/>
              <w:spacing w:line="16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保障驻蓉流动党委开展各项党建活动。</w:t>
            </w:r>
          </w:p>
        </w:tc>
        <w:tc>
          <w:tcPr>
            <w:tcW w:w="708" w:type="dxa"/>
            <w:tcBorders>
              <w:top w:val="single" w:color="000000" w:sz="4" w:space="0"/>
              <w:left w:val="single" w:color="auto" w:sz="4" w:space="0"/>
              <w:bottom w:val="single" w:color="000000" w:sz="4" w:space="0"/>
              <w:right w:val="single" w:color="000000" w:sz="4" w:space="0"/>
            </w:tcBorders>
            <w:vAlign w:val="center"/>
          </w:tcPr>
          <w:p>
            <w:pPr>
              <w:widowControl/>
              <w:spacing w:line="16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8</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3</w:t>
            </w: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5</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8</w:t>
            </w:r>
          </w:p>
        </w:tc>
        <w:tc>
          <w:tcPr>
            <w:tcW w:w="851" w:type="dxa"/>
            <w:gridSpan w:val="2"/>
            <w:tcBorders>
              <w:top w:val="single" w:color="000000" w:sz="4" w:space="0"/>
              <w:left w:val="single" w:color="000000" w:sz="4" w:space="0"/>
              <w:bottom w:val="single" w:color="000000" w:sz="4" w:space="0"/>
              <w:right w:val="nil"/>
            </w:tcBorders>
            <w:vAlign w:val="center"/>
          </w:tcPr>
          <w:p>
            <w:pPr>
              <w:widowControl/>
              <w:spacing w:line="16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3</w:t>
            </w:r>
          </w:p>
        </w:tc>
        <w:tc>
          <w:tcPr>
            <w:tcW w:w="57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5</w:t>
            </w:r>
          </w:p>
        </w:tc>
      </w:tr>
      <w:tr>
        <w:tblPrEx>
          <w:tblCellMar>
            <w:top w:w="0" w:type="dxa"/>
            <w:left w:w="108" w:type="dxa"/>
            <w:bottom w:w="0" w:type="dxa"/>
            <w:right w:w="108" w:type="dxa"/>
          </w:tblCellMar>
        </w:tblPrEx>
        <w:trPr>
          <w:gridAfter w:val="1"/>
          <w:wAfter w:w="14" w:type="dxa"/>
        </w:trPr>
        <w:tc>
          <w:tcPr>
            <w:tcW w:w="423" w:type="dxa"/>
            <w:vMerge w:val="continue"/>
            <w:tcBorders>
              <w:top w:val="single" w:color="000000" w:sz="4" w:space="0"/>
              <w:left w:val="single" w:color="000000" w:sz="4" w:space="0"/>
              <w:bottom w:val="single" w:color="000000" w:sz="4" w:space="0"/>
              <w:right w:val="single" w:color="auto" w:sz="4" w:space="0"/>
            </w:tcBorders>
            <w:vAlign w:val="center"/>
          </w:tcPr>
          <w:p>
            <w:pPr>
              <w:spacing w:line="180" w:lineRule="exact"/>
              <w:jc w:val="center"/>
              <w:rPr>
                <w:rFonts w:hint="eastAsia" w:ascii="仿宋_GB2312" w:hAnsi="宋体" w:eastAsia="仿宋_GB2312" w:cs="宋体"/>
                <w:color w:val="000000"/>
                <w:sz w:val="12"/>
                <w:szCs w:val="12"/>
              </w:rPr>
            </w:pPr>
          </w:p>
        </w:tc>
        <w:tc>
          <w:tcPr>
            <w:tcW w:w="1700" w:type="dxa"/>
            <w:gridSpan w:val="2"/>
            <w:tcBorders>
              <w:top w:val="single" w:color="auto" w:sz="4" w:space="0"/>
              <w:left w:val="single" w:color="auto" w:sz="4" w:space="0"/>
              <w:bottom w:val="single" w:color="auto" w:sz="4" w:space="0"/>
              <w:right w:val="single" w:color="auto" w:sz="4" w:space="0"/>
            </w:tcBorders>
            <w:vAlign w:val="center"/>
          </w:tcPr>
          <w:p>
            <w:pPr>
              <w:widowControl/>
              <w:spacing w:line="16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返还广荷物业有限公司应交税费</w:t>
            </w:r>
          </w:p>
        </w:tc>
        <w:tc>
          <w:tcPr>
            <w:tcW w:w="4108" w:type="dxa"/>
            <w:gridSpan w:val="4"/>
            <w:tcBorders>
              <w:top w:val="single" w:color="auto" w:sz="4" w:space="0"/>
              <w:left w:val="single" w:color="auto" w:sz="4" w:space="0"/>
              <w:bottom w:val="single" w:color="auto" w:sz="4" w:space="0"/>
              <w:right w:val="single" w:color="auto" w:sz="4" w:space="0"/>
            </w:tcBorders>
            <w:vAlign w:val="center"/>
          </w:tcPr>
          <w:p>
            <w:pPr>
              <w:widowControl/>
              <w:spacing w:line="16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完成2022年广荷物业管理有限公司租金收取工作。</w:t>
            </w:r>
          </w:p>
        </w:tc>
        <w:tc>
          <w:tcPr>
            <w:tcW w:w="708" w:type="dxa"/>
            <w:tcBorders>
              <w:top w:val="single" w:color="000000" w:sz="4" w:space="0"/>
              <w:left w:val="single" w:color="auto" w:sz="4" w:space="0"/>
              <w:bottom w:val="single" w:color="000000" w:sz="4" w:space="0"/>
              <w:right w:val="single" w:color="000000" w:sz="4" w:space="0"/>
            </w:tcBorders>
            <w:vAlign w:val="center"/>
          </w:tcPr>
          <w:p>
            <w:pPr>
              <w:widowControl/>
              <w:spacing w:line="16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110</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110</w:t>
            </w: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spacing w:line="160" w:lineRule="exact"/>
              <w:jc w:val="center"/>
              <w:rPr>
                <w:rFonts w:hint="eastAsia" w:ascii="仿宋_GB2312" w:hAnsi="宋体" w:eastAsia="仿宋_GB2312" w:cs="宋体"/>
                <w:color w:val="000000"/>
                <w:sz w:val="12"/>
                <w:szCs w:val="12"/>
              </w:rPr>
            </w:pP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110</w:t>
            </w:r>
          </w:p>
        </w:tc>
        <w:tc>
          <w:tcPr>
            <w:tcW w:w="851" w:type="dxa"/>
            <w:gridSpan w:val="2"/>
            <w:tcBorders>
              <w:top w:val="single" w:color="000000" w:sz="4" w:space="0"/>
              <w:left w:val="single" w:color="000000" w:sz="4" w:space="0"/>
              <w:bottom w:val="single" w:color="000000" w:sz="4" w:space="0"/>
              <w:right w:val="nil"/>
            </w:tcBorders>
            <w:vAlign w:val="center"/>
          </w:tcPr>
          <w:p>
            <w:pPr>
              <w:widowControl/>
              <w:spacing w:line="16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110</w:t>
            </w:r>
          </w:p>
        </w:tc>
        <w:tc>
          <w:tcPr>
            <w:tcW w:w="574" w:type="dxa"/>
            <w:tcBorders>
              <w:top w:val="single" w:color="000000" w:sz="4" w:space="0"/>
              <w:left w:val="single" w:color="000000" w:sz="4" w:space="0"/>
              <w:bottom w:val="single" w:color="000000" w:sz="4" w:space="0"/>
              <w:right w:val="single" w:color="000000" w:sz="4" w:space="0"/>
            </w:tcBorders>
            <w:vAlign w:val="center"/>
          </w:tcPr>
          <w:p>
            <w:pPr>
              <w:spacing w:line="16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rPr>
          <w:gridAfter w:val="1"/>
          <w:wAfter w:w="14" w:type="dxa"/>
        </w:trPr>
        <w:tc>
          <w:tcPr>
            <w:tcW w:w="423" w:type="dxa"/>
            <w:vMerge w:val="continue"/>
            <w:tcBorders>
              <w:top w:val="single" w:color="000000" w:sz="4" w:space="0"/>
              <w:left w:val="single" w:color="000000" w:sz="4" w:space="0"/>
              <w:bottom w:val="single" w:color="000000" w:sz="4" w:space="0"/>
              <w:right w:val="single" w:color="auto" w:sz="4" w:space="0"/>
            </w:tcBorders>
            <w:vAlign w:val="center"/>
          </w:tcPr>
          <w:p>
            <w:pPr>
              <w:spacing w:line="180" w:lineRule="exact"/>
              <w:jc w:val="center"/>
              <w:rPr>
                <w:rFonts w:hint="eastAsia" w:ascii="仿宋_GB2312" w:hAnsi="宋体" w:eastAsia="仿宋_GB2312" w:cs="宋体"/>
                <w:color w:val="000000"/>
                <w:sz w:val="12"/>
                <w:szCs w:val="12"/>
              </w:rPr>
            </w:pPr>
          </w:p>
        </w:tc>
        <w:tc>
          <w:tcPr>
            <w:tcW w:w="1700" w:type="dxa"/>
            <w:gridSpan w:val="2"/>
            <w:tcBorders>
              <w:top w:val="single" w:color="auto" w:sz="4" w:space="0"/>
              <w:left w:val="single" w:color="auto" w:sz="4" w:space="0"/>
              <w:bottom w:val="single" w:color="auto" w:sz="4" w:space="0"/>
              <w:right w:val="single" w:color="auto" w:sz="4" w:space="0"/>
            </w:tcBorders>
            <w:vAlign w:val="center"/>
          </w:tcPr>
          <w:p>
            <w:pPr>
              <w:widowControl/>
              <w:spacing w:line="16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返还广荷物业有限公司经营管理费</w:t>
            </w:r>
          </w:p>
        </w:tc>
        <w:tc>
          <w:tcPr>
            <w:tcW w:w="4108" w:type="dxa"/>
            <w:gridSpan w:val="4"/>
            <w:tcBorders>
              <w:top w:val="single" w:color="auto" w:sz="4" w:space="0"/>
              <w:left w:val="single" w:color="auto" w:sz="4" w:space="0"/>
              <w:bottom w:val="single" w:color="auto" w:sz="4" w:space="0"/>
              <w:right w:val="single" w:color="auto" w:sz="4" w:space="0"/>
            </w:tcBorders>
            <w:vAlign w:val="center"/>
          </w:tcPr>
          <w:p>
            <w:pPr>
              <w:widowControl/>
              <w:spacing w:line="16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完成2022年广荷物业管理有限公司600万租金收取工作。</w:t>
            </w:r>
          </w:p>
        </w:tc>
        <w:tc>
          <w:tcPr>
            <w:tcW w:w="708" w:type="dxa"/>
            <w:tcBorders>
              <w:top w:val="single" w:color="000000" w:sz="4" w:space="0"/>
              <w:left w:val="single" w:color="auto" w:sz="4" w:space="0"/>
              <w:bottom w:val="single" w:color="000000" w:sz="4" w:space="0"/>
              <w:right w:val="single" w:color="000000" w:sz="4" w:space="0"/>
            </w:tcBorders>
            <w:vAlign w:val="center"/>
          </w:tcPr>
          <w:p>
            <w:pPr>
              <w:widowControl/>
              <w:spacing w:line="16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134.16</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134.16</w:t>
            </w: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spacing w:line="160" w:lineRule="exact"/>
              <w:jc w:val="center"/>
              <w:rPr>
                <w:rFonts w:hint="eastAsia" w:ascii="仿宋_GB2312" w:hAnsi="宋体" w:eastAsia="仿宋_GB2312" w:cs="宋体"/>
                <w:color w:val="000000"/>
                <w:sz w:val="12"/>
                <w:szCs w:val="12"/>
              </w:rPr>
            </w:pP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134.16</w:t>
            </w:r>
          </w:p>
        </w:tc>
        <w:tc>
          <w:tcPr>
            <w:tcW w:w="851" w:type="dxa"/>
            <w:gridSpan w:val="2"/>
            <w:tcBorders>
              <w:top w:val="single" w:color="000000" w:sz="4" w:space="0"/>
              <w:left w:val="single" w:color="000000" w:sz="4" w:space="0"/>
              <w:bottom w:val="single" w:color="000000" w:sz="4" w:space="0"/>
              <w:right w:val="nil"/>
            </w:tcBorders>
            <w:vAlign w:val="center"/>
          </w:tcPr>
          <w:p>
            <w:pPr>
              <w:widowControl/>
              <w:spacing w:line="16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134.16</w:t>
            </w:r>
          </w:p>
        </w:tc>
        <w:tc>
          <w:tcPr>
            <w:tcW w:w="574" w:type="dxa"/>
            <w:tcBorders>
              <w:top w:val="single" w:color="000000" w:sz="4" w:space="0"/>
              <w:left w:val="single" w:color="000000" w:sz="4" w:space="0"/>
              <w:bottom w:val="single" w:color="000000" w:sz="4" w:space="0"/>
              <w:right w:val="single" w:color="000000" w:sz="4" w:space="0"/>
            </w:tcBorders>
            <w:vAlign w:val="center"/>
          </w:tcPr>
          <w:p>
            <w:pPr>
              <w:spacing w:line="16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rPr>
          <w:gridAfter w:val="1"/>
          <w:wAfter w:w="14" w:type="dxa"/>
        </w:trPr>
        <w:tc>
          <w:tcPr>
            <w:tcW w:w="423" w:type="dxa"/>
            <w:vMerge w:val="continue"/>
            <w:tcBorders>
              <w:top w:val="single" w:color="000000" w:sz="4" w:space="0"/>
              <w:left w:val="single" w:color="000000" w:sz="4" w:space="0"/>
              <w:bottom w:val="single" w:color="000000" w:sz="4" w:space="0"/>
              <w:right w:val="single" w:color="auto" w:sz="4" w:space="0"/>
            </w:tcBorders>
            <w:vAlign w:val="center"/>
          </w:tcPr>
          <w:p>
            <w:pPr>
              <w:spacing w:line="180" w:lineRule="exact"/>
              <w:jc w:val="center"/>
              <w:rPr>
                <w:rFonts w:hint="eastAsia" w:ascii="仿宋_GB2312" w:hAnsi="宋体" w:eastAsia="仿宋_GB2312" w:cs="宋体"/>
                <w:color w:val="000000"/>
                <w:sz w:val="12"/>
                <w:szCs w:val="12"/>
              </w:rPr>
            </w:pPr>
          </w:p>
        </w:tc>
        <w:tc>
          <w:tcPr>
            <w:tcW w:w="1700" w:type="dxa"/>
            <w:gridSpan w:val="2"/>
            <w:tcBorders>
              <w:top w:val="single" w:color="auto" w:sz="4" w:space="0"/>
              <w:left w:val="single" w:color="auto" w:sz="4" w:space="0"/>
              <w:bottom w:val="single" w:color="auto" w:sz="4" w:space="0"/>
              <w:right w:val="single" w:color="auto" w:sz="4" w:space="0"/>
            </w:tcBorders>
            <w:vAlign w:val="center"/>
          </w:tcPr>
          <w:p>
            <w:pPr>
              <w:widowControl/>
              <w:spacing w:line="16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急需紧缺专业选调生安家补助</w:t>
            </w:r>
          </w:p>
        </w:tc>
        <w:tc>
          <w:tcPr>
            <w:tcW w:w="4108" w:type="dxa"/>
            <w:gridSpan w:val="4"/>
            <w:tcBorders>
              <w:top w:val="single" w:color="auto" w:sz="4" w:space="0"/>
              <w:left w:val="single" w:color="auto" w:sz="4" w:space="0"/>
              <w:bottom w:val="single" w:color="auto" w:sz="4" w:space="0"/>
              <w:right w:val="single" w:color="auto" w:sz="4" w:space="0"/>
            </w:tcBorders>
            <w:vAlign w:val="center"/>
          </w:tcPr>
          <w:p>
            <w:pPr>
              <w:widowControl/>
              <w:spacing w:line="16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急需紧缺专业选调生安家补助</w:t>
            </w:r>
          </w:p>
        </w:tc>
        <w:tc>
          <w:tcPr>
            <w:tcW w:w="708" w:type="dxa"/>
            <w:tcBorders>
              <w:top w:val="single" w:color="000000" w:sz="4" w:space="0"/>
              <w:left w:val="single" w:color="auto" w:sz="4" w:space="0"/>
              <w:bottom w:val="single" w:color="000000" w:sz="4" w:space="0"/>
              <w:right w:val="single" w:color="000000" w:sz="4" w:space="0"/>
            </w:tcBorders>
            <w:vAlign w:val="center"/>
          </w:tcPr>
          <w:p>
            <w:pPr>
              <w:widowControl/>
              <w:spacing w:line="16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4</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4</w:t>
            </w: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spacing w:line="160" w:lineRule="exact"/>
              <w:jc w:val="center"/>
              <w:rPr>
                <w:rFonts w:hint="eastAsia" w:ascii="仿宋_GB2312" w:hAnsi="宋体" w:eastAsia="仿宋_GB2312" w:cs="宋体"/>
                <w:color w:val="000000"/>
                <w:sz w:val="12"/>
                <w:szCs w:val="12"/>
              </w:rPr>
            </w:pP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4</w:t>
            </w:r>
          </w:p>
        </w:tc>
        <w:tc>
          <w:tcPr>
            <w:tcW w:w="851" w:type="dxa"/>
            <w:gridSpan w:val="2"/>
            <w:tcBorders>
              <w:top w:val="single" w:color="000000" w:sz="4" w:space="0"/>
              <w:left w:val="single" w:color="000000" w:sz="4" w:space="0"/>
              <w:bottom w:val="single" w:color="000000" w:sz="4" w:space="0"/>
              <w:right w:val="nil"/>
            </w:tcBorders>
            <w:vAlign w:val="center"/>
          </w:tcPr>
          <w:p>
            <w:pPr>
              <w:widowControl/>
              <w:spacing w:line="16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4</w:t>
            </w:r>
          </w:p>
        </w:tc>
        <w:tc>
          <w:tcPr>
            <w:tcW w:w="574" w:type="dxa"/>
            <w:tcBorders>
              <w:top w:val="single" w:color="000000" w:sz="4" w:space="0"/>
              <w:left w:val="single" w:color="000000" w:sz="4" w:space="0"/>
              <w:bottom w:val="single" w:color="000000" w:sz="4" w:space="0"/>
              <w:right w:val="single" w:color="000000" w:sz="4" w:space="0"/>
            </w:tcBorders>
            <w:vAlign w:val="center"/>
          </w:tcPr>
          <w:p>
            <w:pPr>
              <w:spacing w:line="16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rPr>
          <w:gridAfter w:val="1"/>
          <w:wAfter w:w="14" w:type="dxa"/>
        </w:trPr>
        <w:tc>
          <w:tcPr>
            <w:tcW w:w="423" w:type="dxa"/>
            <w:vMerge w:val="continue"/>
            <w:tcBorders>
              <w:top w:val="single" w:color="000000" w:sz="4" w:space="0"/>
              <w:left w:val="single" w:color="000000" w:sz="4" w:space="0"/>
              <w:bottom w:val="single" w:color="000000" w:sz="4" w:space="0"/>
              <w:right w:val="single" w:color="auto" w:sz="4" w:space="0"/>
            </w:tcBorders>
            <w:vAlign w:val="center"/>
          </w:tcPr>
          <w:p>
            <w:pPr>
              <w:spacing w:line="180" w:lineRule="exact"/>
              <w:jc w:val="center"/>
              <w:rPr>
                <w:rFonts w:hint="eastAsia" w:ascii="仿宋_GB2312" w:hAnsi="宋体" w:eastAsia="仿宋_GB2312" w:cs="宋体"/>
                <w:color w:val="000000"/>
                <w:sz w:val="12"/>
                <w:szCs w:val="12"/>
              </w:rPr>
            </w:pPr>
          </w:p>
        </w:tc>
        <w:tc>
          <w:tcPr>
            <w:tcW w:w="1700" w:type="dxa"/>
            <w:gridSpan w:val="2"/>
            <w:tcBorders>
              <w:top w:val="single" w:color="auto" w:sz="4" w:space="0"/>
              <w:left w:val="single" w:color="auto" w:sz="4" w:space="0"/>
              <w:bottom w:val="single" w:color="auto" w:sz="4" w:space="0"/>
              <w:right w:val="single" w:color="auto" w:sz="4" w:space="0"/>
            </w:tcBorders>
            <w:vAlign w:val="center"/>
          </w:tcPr>
          <w:p>
            <w:pPr>
              <w:widowControl/>
              <w:spacing w:line="16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医疗退休一次性补缴费用</w:t>
            </w:r>
          </w:p>
        </w:tc>
        <w:tc>
          <w:tcPr>
            <w:tcW w:w="4108" w:type="dxa"/>
            <w:gridSpan w:val="4"/>
            <w:tcBorders>
              <w:top w:val="single" w:color="auto" w:sz="4" w:space="0"/>
              <w:left w:val="single" w:color="auto" w:sz="4" w:space="0"/>
              <w:bottom w:val="single" w:color="auto" w:sz="4" w:space="0"/>
              <w:right w:val="single" w:color="auto" w:sz="4" w:space="0"/>
            </w:tcBorders>
            <w:vAlign w:val="center"/>
          </w:tcPr>
          <w:p>
            <w:pPr>
              <w:widowControl/>
              <w:spacing w:line="16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医疗退休一次性补缴费用</w:t>
            </w:r>
          </w:p>
        </w:tc>
        <w:tc>
          <w:tcPr>
            <w:tcW w:w="708" w:type="dxa"/>
            <w:tcBorders>
              <w:top w:val="single" w:color="000000" w:sz="4" w:space="0"/>
              <w:left w:val="single" w:color="auto" w:sz="4" w:space="0"/>
              <w:bottom w:val="single" w:color="000000" w:sz="4" w:space="0"/>
              <w:right w:val="single" w:color="000000" w:sz="4" w:space="0"/>
            </w:tcBorders>
            <w:vAlign w:val="center"/>
          </w:tcPr>
          <w:p>
            <w:pPr>
              <w:widowControl/>
              <w:spacing w:line="16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4.02</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4.02</w:t>
            </w: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spacing w:line="160" w:lineRule="exact"/>
              <w:jc w:val="center"/>
              <w:rPr>
                <w:rFonts w:hint="eastAsia" w:ascii="仿宋_GB2312" w:hAnsi="宋体" w:eastAsia="仿宋_GB2312" w:cs="宋体"/>
                <w:color w:val="000000"/>
                <w:sz w:val="12"/>
                <w:szCs w:val="12"/>
              </w:rPr>
            </w:pP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4.02</w:t>
            </w:r>
          </w:p>
        </w:tc>
        <w:tc>
          <w:tcPr>
            <w:tcW w:w="851" w:type="dxa"/>
            <w:gridSpan w:val="2"/>
            <w:tcBorders>
              <w:top w:val="single" w:color="000000" w:sz="4" w:space="0"/>
              <w:left w:val="single" w:color="000000" w:sz="4" w:space="0"/>
              <w:bottom w:val="single" w:color="000000" w:sz="4" w:space="0"/>
              <w:right w:val="nil"/>
            </w:tcBorders>
            <w:vAlign w:val="center"/>
          </w:tcPr>
          <w:p>
            <w:pPr>
              <w:widowControl/>
              <w:spacing w:line="16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4.02</w:t>
            </w:r>
          </w:p>
        </w:tc>
        <w:tc>
          <w:tcPr>
            <w:tcW w:w="574" w:type="dxa"/>
            <w:tcBorders>
              <w:top w:val="single" w:color="000000" w:sz="4" w:space="0"/>
              <w:left w:val="single" w:color="000000" w:sz="4" w:space="0"/>
              <w:bottom w:val="single" w:color="000000" w:sz="4" w:space="0"/>
              <w:right w:val="single" w:color="000000" w:sz="4" w:space="0"/>
            </w:tcBorders>
            <w:vAlign w:val="center"/>
          </w:tcPr>
          <w:p>
            <w:pPr>
              <w:spacing w:line="16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rPr>
          <w:gridAfter w:val="1"/>
          <w:wAfter w:w="14" w:type="dxa"/>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5808" w:type="dxa"/>
            <w:gridSpan w:val="6"/>
            <w:tcBorders>
              <w:top w:val="single" w:color="auto" w:sz="4" w:space="0"/>
              <w:left w:val="single" w:color="000000" w:sz="4" w:space="0"/>
              <w:bottom w:val="single" w:color="000000" w:sz="4" w:space="0"/>
              <w:right w:val="nil"/>
            </w:tcBorders>
            <w:vAlign w:val="center"/>
          </w:tcPr>
          <w:p>
            <w:pPr>
              <w:widowControl/>
              <w:spacing w:line="16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金额合计</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6523.31</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6319.22</w:t>
            </w:r>
          </w:p>
        </w:tc>
        <w:tc>
          <w:tcPr>
            <w:tcW w:w="70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254.09</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5717.58</w:t>
            </w:r>
          </w:p>
        </w:tc>
        <w:tc>
          <w:tcPr>
            <w:tcW w:w="851" w:type="dxa"/>
            <w:gridSpan w:val="2"/>
            <w:tcBorders>
              <w:top w:val="single" w:color="000000" w:sz="4" w:space="0"/>
              <w:left w:val="single" w:color="000000" w:sz="4" w:space="0"/>
              <w:bottom w:val="single" w:color="000000" w:sz="4" w:space="0"/>
              <w:right w:val="nil"/>
            </w:tcBorders>
            <w:vAlign w:val="center"/>
          </w:tcPr>
          <w:p>
            <w:pPr>
              <w:widowControl/>
              <w:spacing w:line="16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5502.5</w:t>
            </w:r>
          </w:p>
        </w:tc>
        <w:tc>
          <w:tcPr>
            <w:tcW w:w="574" w:type="dxa"/>
            <w:tcBorders>
              <w:top w:val="single" w:color="000000" w:sz="4" w:space="0"/>
              <w:left w:val="single" w:color="000000" w:sz="4" w:space="0"/>
              <w:bottom w:val="single" w:color="000000" w:sz="4" w:space="0"/>
              <w:right w:val="single" w:color="000000" w:sz="4" w:space="0"/>
            </w:tcBorders>
            <w:noWrap/>
            <w:vAlign w:val="center"/>
          </w:tcPr>
          <w:p>
            <w:pPr>
              <w:widowControl/>
              <w:spacing w:line="16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215.08</w:t>
            </w:r>
          </w:p>
        </w:tc>
      </w:tr>
      <w:tr>
        <w:tblPrEx>
          <w:tblCellMar>
            <w:top w:w="0" w:type="dxa"/>
            <w:left w:w="108" w:type="dxa"/>
            <w:bottom w:w="0" w:type="dxa"/>
            <w:right w:w="108" w:type="dxa"/>
          </w:tblCellMar>
        </w:tblPrEx>
        <w:trPr>
          <w:gridAfter w:val="1"/>
          <w:wAfter w:w="14" w:type="dxa"/>
        </w:trPr>
        <w:tc>
          <w:tcPr>
            <w:tcW w:w="423" w:type="dxa"/>
            <w:vMerge w:val="restart"/>
            <w:tcBorders>
              <w:top w:val="nil"/>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年度</w:t>
            </w:r>
            <w:r>
              <w:rPr>
                <w:rFonts w:hint="eastAsia" w:ascii="仿宋_GB2312" w:hAnsi="宋体" w:eastAsia="仿宋_GB2312" w:cs="宋体"/>
                <w:color w:val="000000"/>
                <w:sz w:val="12"/>
                <w:szCs w:val="12"/>
              </w:rPr>
              <w:br w:type="textWrapping"/>
            </w:r>
            <w:r>
              <w:rPr>
                <w:rFonts w:hint="eastAsia" w:ascii="仿宋_GB2312" w:hAnsi="宋体" w:eastAsia="仿宋_GB2312" w:cs="宋体"/>
                <w:color w:val="000000"/>
                <w:sz w:val="12"/>
                <w:szCs w:val="12"/>
              </w:rPr>
              <w:t>总体</w:t>
            </w:r>
            <w:r>
              <w:rPr>
                <w:rFonts w:hint="eastAsia" w:ascii="仿宋_GB2312" w:hAnsi="宋体" w:eastAsia="仿宋_GB2312" w:cs="宋体"/>
                <w:color w:val="000000"/>
                <w:sz w:val="12"/>
                <w:szCs w:val="12"/>
              </w:rPr>
              <w:br w:type="textWrapping"/>
            </w:r>
            <w:r>
              <w:rPr>
                <w:rFonts w:hint="eastAsia" w:ascii="仿宋_GB2312" w:hAnsi="宋体" w:eastAsia="仿宋_GB2312" w:cs="宋体"/>
                <w:color w:val="000000"/>
                <w:sz w:val="12"/>
                <w:szCs w:val="12"/>
              </w:rPr>
              <w:t>目标</w:t>
            </w:r>
          </w:p>
        </w:tc>
        <w:tc>
          <w:tcPr>
            <w:tcW w:w="6516" w:type="dxa"/>
            <w:gridSpan w:val="7"/>
            <w:tcBorders>
              <w:top w:val="single" w:color="000000" w:sz="4" w:space="0"/>
              <w:left w:val="single" w:color="000000" w:sz="4" w:space="0"/>
              <w:bottom w:val="single" w:color="000000" w:sz="4" w:space="0"/>
              <w:right w:val="nil"/>
            </w:tcBorders>
            <w:vAlign w:val="center"/>
          </w:tcPr>
          <w:p>
            <w:pPr>
              <w:widowControl/>
              <w:spacing w:line="160" w:lineRule="exact"/>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预期目标</w:t>
            </w:r>
          </w:p>
        </w:tc>
        <w:tc>
          <w:tcPr>
            <w:tcW w:w="3835" w:type="dxa"/>
            <w:gridSpan w:val="8"/>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实际完成目标</w:t>
            </w:r>
          </w:p>
        </w:tc>
      </w:tr>
      <w:tr>
        <w:tblPrEx>
          <w:tblCellMar>
            <w:top w:w="0" w:type="dxa"/>
            <w:left w:w="108" w:type="dxa"/>
            <w:bottom w:w="0" w:type="dxa"/>
            <w:right w:w="108" w:type="dxa"/>
          </w:tblCellMar>
        </w:tblPrEx>
        <w:trPr>
          <w:gridAfter w:val="1"/>
          <w:wAfter w:w="14" w:type="dxa"/>
        </w:trPr>
        <w:tc>
          <w:tcPr>
            <w:tcW w:w="423" w:type="dxa"/>
            <w:vMerge w:val="continue"/>
            <w:tcBorders>
              <w:top w:val="nil"/>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6516"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180" w:lineRule="exact"/>
              <w:textAlignment w:val="top"/>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一是严格执行相关政策，保障工资及时发放、足额发放，预算编制科学合理，减少结余资金。二是保障单位日常运转，提高预算编制质量，严格执行预算。三是完成OA协同办公短信平台、云视讯高清视频会议系统正常使用工作；完成全市以市政府名义出台的各种文件及市政府办公室文印工作；完成政府会议厅运行及维护工作；完成通过等级保护的评估，提高市电子公文交换系统和市非涉密协同办公系统信息安全保护能力，降低系统遭受各类攻击的风险工作；完成全市政府网站和市级政务新媒体智能监测服务，完成市政府门户网站在线访谈节目制作工作，完成市政府公报印制等工作；完成四大班子监控系统租赁、安保服务、OA办公平台网络服务工作；完成市政府办1条主会场视频会议接入和维护工作，完成乙方为甲方提供188个办公点网络接入及服务工作，完成乙方为甲方提供1条金财网专线接入服务工作，完成乙方为甲方提供1条党政网专线接入服务工作，完成乙方为甲方提供1条视频会议专线接入服务工作，完成电信视频会议服务工作；完成市政府办公楼前院、后院公共区域、停车场、绿化带、垃圾桶等清洁服务工作，完成三栋楼各6层办公楼的走廊、电梯、楼梯、屋顶、部分露台、卫生间、13间办公室、10间会议室等进行清扫、擦拭、清洗等保洁服务，办公区域生活垃圾分类和运送等服务工作；完成提升市政府办综合信息化，保障市政府办通信网络畅通工作；完成市政府食堂日常运维工作，借调人员和挂职干部日常保障各种，办公大楼日常维修维护等工作；继续保障重大节日行政中心氛围营造工作和幕墙翻新工作；完成全市经济社会发展情况需要或市主要领导安排，针对某项重大决策或重要课题开展调查研究，主要通过深入县区、乡镇或项目一线了解掌握基本现状、存在问题等情况；二是组织到省内外参观考察、学习借鉴先进经验做法；邀请上级部门、高校院所智库、企业主体工作；完成市政府办等7个部门监督执纪、信访问题线索办理、案件审查调查、调研工作；保障行政中心维稳、接访任务顺利完成；扎实做好昭化区红岩镇红江村驻村帮扶工作；保障市政府驻成都办事处各项工作正常开展；完成广荷物业管理有限公司租金收取，保障企业及时缴纳各项税金及正常经营；保障机关离退休干部驻蓉流动党员委员会各种党建活动顺利开展；保障驻蓉流动党委各种党建活动顺利开展；招商引资、对外联络、宣传广元、扩大广元知名度工作。四是保证本部门工作顺利开展。</w:t>
            </w:r>
          </w:p>
        </w:tc>
        <w:tc>
          <w:tcPr>
            <w:tcW w:w="3835" w:type="dxa"/>
            <w:gridSpan w:val="8"/>
            <w:tcBorders>
              <w:top w:val="single" w:color="000000" w:sz="4" w:space="0"/>
              <w:left w:val="single" w:color="000000" w:sz="4" w:space="0"/>
              <w:bottom w:val="single" w:color="000000" w:sz="4" w:space="0"/>
              <w:right w:val="single" w:color="000000" w:sz="4" w:space="0"/>
            </w:tcBorders>
            <w:vAlign w:val="center"/>
          </w:tcPr>
          <w:p>
            <w:pPr>
              <w:widowControl/>
              <w:spacing w:line="180" w:lineRule="exact"/>
              <w:textAlignment w:val="top"/>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br w:type="textWrapping"/>
            </w:r>
            <w:r>
              <w:rPr>
                <w:rFonts w:hint="eastAsia" w:ascii="仿宋_GB2312" w:hAnsi="宋体" w:eastAsia="仿宋_GB2312" w:cs="宋体"/>
                <w:color w:val="000000"/>
                <w:sz w:val="12"/>
                <w:szCs w:val="12"/>
              </w:rPr>
              <w:t>一是严格落实中央、省、市关于整治形式主义为基层减负、放管服改革、政企沟通、信息报送、办好广元经济、协调服务、七项建设、民生保障、营商环境、防疫等工作，促进社会发展，增强政民互动，提升政府形象。二是本部门严格执行财政政策，保障工资及时足额发放，预算编制科学合理，减少了结余资金。三是保障单位日常运转，提高预算编制质量，因疫情防控等不可控原因，造成一部分项目未开展完成，已纳入2023年度部门预算执行；四是按照既定规划完成各项目标任务，确保部门工作顺利开展，保证了运转效率。</w:t>
            </w:r>
          </w:p>
        </w:tc>
      </w:tr>
      <w:tr>
        <w:tblPrEx>
          <w:tblCellMar>
            <w:top w:w="0" w:type="dxa"/>
            <w:left w:w="108" w:type="dxa"/>
            <w:bottom w:w="0" w:type="dxa"/>
            <w:right w:w="108" w:type="dxa"/>
          </w:tblCellMar>
        </w:tblPrEx>
        <w:tc>
          <w:tcPr>
            <w:tcW w:w="42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年</w:t>
            </w:r>
            <w:r>
              <w:rPr>
                <w:rFonts w:hint="eastAsia" w:ascii="仿宋_GB2312" w:hAnsi="宋体" w:eastAsia="仿宋_GB2312" w:cs="宋体"/>
                <w:color w:val="000000"/>
                <w:sz w:val="12"/>
                <w:szCs w:val="12"/>
              </w:rPr>
              <w:br w:type="textWrapping"/>
            </w:r>
            <w:r>
              <w:rPr>
                <w:rFonts w:hint="eastAsia" w:ascii="仿宋_GB2312" w:hAnsi="宋体" w:eastAsia="仿宋_GB2312" w:cs="宋体"/>
                <w:color w:val="000000"/>
                <w:sz w:val="12"/>
                <w:szCs w:val="12"/>
              </w:rPr>
              <w:t>度</w:t>
            </w:r>
            <w:r>
              <w:rPr>
                <w:rFonts w:hint="eastAsia" w:ascii="仿宋_GB2312" w:hAnsi="宋体" w:eastAsia="仿宋_GB2312" w:cs="宋体"/>
                <w:color w:val="000000"/>
                <w:sz w:val="12"/>
                <w:szCs w:val="12"/>
              </w:rPr>
              <w:br w:type="textWrapping"/>
            </w:r>
            <w:r>
              <w:rPr>
                <w:rFonts w:hint="eastAsia" w:ascii="仿宋_GB2312" w:hAnsi="宋体" w:eastAsia="仿宋_GB2312" w:cs="宋体"/>
                <w:color w:val="000000"/>
                <w:sz w:val="12"/>
                <w:szCs w:val="12"/>
              </w:rPr>
              <w:t>绩</w:t>
            </w:r>
            <w:r>
              <w:rPr>
                <w:rFonts w:hint="eastAsia" w:ascii="仿宋_GB2312" w:hAnsi="宋体" w:eastAsia="仿宋_GB2312" w:cs="宋体"/>
                <w:color w:val="000000"/>
                <w:sz w:val="12"/>
                <w:szCs w:val="12"/>
              </w:rPr>
              <w:br w:type="textWrapping"/>
            </w:r>
            <w:r>
              <w:rPr>
                <w:rFonts w:hint="eastAsia" w:ascii="仿宋_GB2312" w:hAnsi="宋体" w:eastAsia="仿宋_GB2312" w:cs="宋体"/>
                <w:color w:val="000000"/>
                <w:sz w:val="12"/>
                <w:szCs w:val="12"/>
              </w:rPr>
              <w:t>效</w:t>
            </w:r>
            <w:r>
              <w:rPr>
                <w:rFonts w:hint="eastAsia" w:ascii="仿宋_GB2312" w:hAnsi="宋体" w:eastAsia="仿宋_GB2312" w:cs="宋体"/>
                <w:color w:val="000000"/>
                <w:sz w:val="12"/>
                <w:szCs w:val="12"/>
              </w:rPr>
              <w:br w:type="textWrapping"/>
            </w:r>
            <w:r>
              <w:rPr>
                <w:rFonts w:hint="eastAsia" w:ascii="仿宋_GB2312" w:hAnsi="宋体" w:eastAsia="仿宋_GB2312" w:cs="宋体"/>
                <w:color w:val="000000"/>
                <w:sz w:val="12"/>
                <w:szCs w:val="12"/>
              </w:rPr>
              <w:t>指</w:t>
            </w:r>
            <w:r>
              <w:rPr>
                <w:rFonts w:hint="eastAsia" w:ascii="仿宋_GB2312" w:hAnsi="宋体" w:eastAsia="仿宋_GB2312" w:cs="宋体"/>
                <w:color w:val="000000"/>
                <w:sz w:val="12"/>
                <w:szCs w:val="12"/>
              </w:rPr>
              <w:br w:type="textWrapping"/>
            </w:r>
            <w:r>
              <w:rPr>
                <w:rFonts w:hint="eastAsia" w:ascii="仿宋_GB2312" w:hAnsi="宋体" w:eastAsia="仿宋_GB2312" w:cs="宋体"/>
                <w:color w:val="000000"/>
                <w:sz w:val="12"/>
                <w:szCs w:val="12"/>
              </w:rPr>
              <w:t>标</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一级指标</w:t>
            </w:r>
          </w:p>
        </w:tc>
        <w:tc>
          <w:tcPr>
            <w:tcW w:w="127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二级指标</w:t>
            </w: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三级指标</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指标值（包含数字及文字描述）</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实际完成指标值（包含数字及文字描述）</w:t>
            </w:r>
          </w:p>
        </w:tc>
        <w:tc>
          <w:tcPr>
            <w:tcW w:w="96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部门自评得分</w:t>
            </w: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财政部门科室复评得分</w:t>
            </w:r>
          </w:p>
        </w:tc>
        <w:tc>
          <w:tcPr>
            <w:tcW w:w="86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未完成原因及改进措施</w:t>
            </w: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数量指标</w:t>
            </w: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保障全年云视讯高清视频会议系统正常使用</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12个月</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按质按量完成全年云视讯高清视频会议系统工作</w:t>
            </w:r>
          </w:p>
        </w:tc>
        <w:tc>
          <w:tcPr>
            <w:tcW w:w="966" w:type="dxa"/>
            <w:gridSpan w:val="2"/>
            <w:vMerge w:val="restart"/>
            <w:tcBorders>
              <w:top w:val="single" w:color="000000" w:sz="4" w:space="0"/>
              <w:left w:val="single" w:color="000000" w:sz="4" w:space="0"/>
              <w:bottom w:val="nil"/>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10</w:t>
            </w: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拨付打印、复印经费次数</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≥12次</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全年拨付经费18次</w:t>
            </w:r>
          </w:p>
        </w:tc>
        <w:tc>
          <w:tcPr>
            <w:tcW w:w="966" w:type="dxa"/>
            <w:gridSpan w:val="2"/>
            <w:vMerge w:val="continue"/>
            <w:tcBorders>
              <w:top w:val="single" w:color="000000" w:sz="4" w:space="0"/>
              <w:left w:val="single" w:color="000000" w:sz="4" w:space="0"/>
              <w:bottom w:val="nil"/>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服务会务人员</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8人</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参与服务会务人员8人</w:t>
            </w:r>
          </w:p>
        </w:tc>
        <w:tc>
          <w:tcPr>
            <w:tcW w:w="966" w:type="dxa"/>
            <w:gridSpan w:val="2"/>
            <w:vMerge w:val="continue"/>
            <w:tcBorders>
              <w:top w:val="single" w:color="000000" w:sz="4" w:space="0"/>
              <w:left w:val="single" w:color="000000" w:sz="4" w:space="0"/>
              <w:bottom w:val="nil"/>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公文交换系统</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1个</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公文交换系统1个</w:t>
            </w:r>
          </w:p>
        </w:tc>
        <w:tc>
          <w:tcPr>
            <w:tcW w:w="966" w:type="dxa"/>
            <w:gridSpan w:val="2"/>
            <w:vMerge w:val="continue"/>
            <w:tcBorders>
              <w:top w:val="single" w:color="000000" w:sz="4" w:space="0"/>
              <w:left w:val="single" w:color="000000" w:sz="4" w:space="0"/>
              <w:bottom w:val="nil"/>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非涉密协同办公系统</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1个</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非涉密协同办公系统1个</w:t>
            </w:r>
          </w:p>
        </w:tc>
        <w:tc>
          <w:tcPr>
            <w:tcW w:w="966" w:type="dxa"/>
            <w:gridSpan w:val="2"/>
            <w:vMerge w:val="continue"/>
            <w:tcBorders>
              <w:top w:val="single" w:color="000000" w:sz="4" w:space="0"/>
              <w:left w:val="single" w:color="000000" w:sz="4" w:space="0"/>
              <w:bottom w:val="nil"/>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扫描监测</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≥24时</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24小时不间断扫描监测</w:t>
            </w:r>
          </w:p>
        </w:tc>
        <w:tc>
          <w:tcPr>
            <w:tcW w:w="966" w:type="dxa"/>
            <w:gridSpan w:val="2"/>
            <w:vMerge w:val="continue"/>
            <w:tcBorders>
              <w:top w:val="single" w:color="000000" w:sz="4" w:space="0"/>
              <w:left w:val="single" w:color="000000" w:sz="4" w:space="0"/>
              <w:bottom w:val="nil"/>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政府公报期数</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≥4期</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政府公报4期</w:t>
            </w:r>
          </w:p>
        </w:tc>
        <w:tc>
          <w:tcPr>
            <w:tcW w:w="966" w:type="dxa"/>
            <w:gridSpan w:val="2"/>
            <w:vMerge w:val="continue"/>
            <w:tcBorders>
              <w:top w:val="single" w:color="000000" w:sz="4" w:space="0"/>
              <w:left w:val="single" w:color="000000" w:sz="4" w:space="0"/>
              <w:bottom w:val="nil"/>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96个段位的24小时监控录像</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≥96段</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96个段位的24小时监控录像</w:t>
            </w:r>
          </w:p>
        </w:tc>
        <w:tc>
          <w:tcPr>
            <w:tcW w:w="966" w:type="dxa"/>
            <w:gridSpan w:val="2"/>
            <w:vMerge w:val="continue"/>
            <w:tcBorders>
              <w:top w:val="single" w:color="000000" w:sz="4" w:space="0"/>
              <w:left w:val="single" w:color="000000" w:sz="4" w:space="0"/>
              <w:bottom w:val="nil"/>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租赁运行时间</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≥365天</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全年租赁</w:t>
            </w:r>
          </w:p>
        </w:tc>
        <w:tc>
          <w:tcPr>
            <w:tcW w:w="966" w:type="dxa"/>
            <w:gridSpan w:val="2"/>
            <w:vMerge w:val="continue"/>
            <w:tcBorders>
              <w:top w:val="single" w:color="000000" w:sz="4" w:space="0"/>
              <w:left w:val="single" w:color="000000" w:sz="4" w:space="0"/>
              <w:bottom w:val="nil"/>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365天提供回查、备份等功能</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≥365天</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365天提供回查、备份等功能</w:t>
            </w:r>
          </w:p>
        </w:tc>
        <w:tc>
          <w:tcPr>
            <w:tcW w:w="966" w:type="dxa"/>
            <w:gridSpan w:val="2"/>
            <w:vMerge w:val="continue"/>
            <w:tcBorders>
              <w:top w:val="single" w:color="000000" w:sz="4" w:space="0"/>
              <w:left w:val="single" w:color="000000" w:sz="4" w:space="0"/>
              <w:bottom w:val="nil"/>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每日巡逻、值守时间</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24小时</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24小时巡逻和值守</w:t>
            </w:r>
          </w:p>
        </w:tc>
        <w:tc>
          <w:tcPr>
            <w:tcW w:w="966" w:type="dxa"/>
            <w:gridSpan w:val="2"/>
            <w:vMerge w:val="continue"/>
            <w:tcBorders>
              <w:top w:val="single" w:color="000000" w:sz="4" w:space="0"/>
              <w:left w:val="single" w:color="000000" w:sz="4" w:space="0"/>
              <w:bottom w:val="nil"/>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每日安全运转时间</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24小时</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全年无一起安全事故发生</w:t>
            </w:r>
          </w:p>
        </w:tc>
        <w:tc>
          <w:tcPr>
            <w:tcW w:w="966" w:type="dxa"/>
            <w:gridSpan w:val="2"/>
            <w:vMerge w:val="continue"/>
            <w:tcBorders>
              <w:top w:val="single" w:color="000000" w:sz="4" w:space="0"/>
              <w:left w:val="single" w:color="000000" w:sz="4" w:space="0"/>
              <w:bottom w:val="nil"/>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网络及会议安全、通畅天数</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≥365天</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365天网络及会议安全、通畅天数</w:t>
            </w:r>
          </w:p>
        </w:tc>
        <w:tc>
          <w:tcPr>
            <w:tcW w:w="966" w:type="dxa"/>
            <w:gridSpan w:val="2"/>
            <w:vMerge w:val="continue"/>
            <w:tcBorders>
              <w:top w:val="single" w:color="000000" w:sz="4" w:space="0"/>
              <w:left w:val="single" w:color="000000" w:sz="4" w:space="0"/>
              <w:bottom w:val="nil"/>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主会场视频会议接入线路数</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≥1条</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主会场视频会议接入线路数1条</w:t>
            </w:r>
          </w:p>
        </w:tc>
        <w:tc>
          <w:tcPr>
            <w:tcW w:w="966" w:type="dxa"/>
            <w:gridSpan w:val="2"/>
            <w:vMerge w:val="restart"/>
            <w:tcBorders>
              <w:top w:val="single" w:color="000000" w:sz="4" w:space="0"/>
              <w:left w:val="single" w:color="000000" w:sz="4" w:space="0"/>
              <w:bottom w:val="nil"/>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办公网点</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188个</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188个办公网点</w:t>
            </w:r>
          </w:p>
        </w:tc>
        <w:tc>
          <w:tcPr>
            <w:tcW w:w="966" w:type="dxa"/>
            <w:gridSpan w:val="2"/>
            <w:vMerge w:val="continue"/>
            <w:tcBorders>
              <w:top w:val="single" w:color="000000" w:sz="4" w:space="0"/>
              <w:left w:val="single" w:color="000000" w:sz="4" w:space="0"/>
              <w:bottom w:val="nil"/>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拨付物业管理费次数</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≥12次</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按时拨付物业管理费</w:t>
            </w:r>
          </w:p>
        </w:tc>
        <w:tc>
          <w:tcPr>
            <w:tcW w:w="966" w:type="dxa"/>
            <w:gridSpan w:val="2"/>
            <w:vMerge w:val="continue"/>
            <w:tcBorders>
              <w:top w:val="single" w:color="000000" w:sz="4" w:space="0"/>
              <w:left w:val="single" w:color="000000" w:sz="4" w:space="0"/>
              <w:bottom w:val="nil"/>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幕墙翻新面积</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≥300平方米</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行政中心幕墙翻新300平方米</w:t>
            </w:r>
          </w:p>
        </w:tc>
        <w:tc>
          <w:tcPr>
            <w:tcW w:w="966" w:type="dxa"/>
            <w:gridSpan w:val="2"/>
            <w:vMerge w:val="continue"/>
            <w:tcBorders>
              <w:top w:val="single" w:color="000000" w:sz="4" w:space="0"/>
              <w:left w:val="single" w:color="000000" w:sz="4" w:space="0"/>
              <w:bottom w:val="nil"/>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节日氛围营造</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≥4项</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重大节假日氛围营造</w:t>
            </w:r>
          </w:p>
        </w:tc>
        <w:tc>
          <w:tcPr>
            <w:tcW w:w="966" w:type="dxa"/>
            <w:gridSpan w:val="2"/>
            <w:vMerge w:val="continue"/>
            <w:tcBorders>
              <w:top w:val="single" w:color="000000" w:sz="4" w:space="0"/>
              <w:left w:val="single" w:color="000000" w:sz="4" w:space="0"/>
              <w:bottom w:val="nil"/>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纪检监察单位数</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7家</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纪检监察7个单位</w:t>
            </w:r>
          </w:p>
        </w:tc>
        <w:tc>
          <w:tcPr>
            <w:tcW w:w="966" w:type="dxa"/>
            <w:gridSpan w:val="2"/>
            <w:vMerge w:val="continue"/>
            <w:tcBorders>
              <w:top w:val="single" w:color="000000" w:sz="4" w:space="0"/>
              <w:left w:val="single" w:color="000000" w:sz="4" w:space="0"/>
              <w:bottom w:val="nil"/>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接待上访群众时间</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365天</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全年接待上访群众</w:t>
            </w:r>
          </w:p>
        </w:tc>
        <w:tc>
          <w:tcPr>
            <w:tcW w:w="966" w:type="dxa"/>
            <w:gridSpan w:val="2"/>
            <w:vMerge w:val="continue"/>
            <w:tcBorders>
              <w:top w:val="single" w:color="000000" w:sz="4" w:space="0"/>
              <w:left w:val="single" w:color="000000" w:sz="4" w:space="0"/>
              <w:bottom w:val="nil"/>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常驻乡村振兴村数量</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1个</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常驻乡村振兴地剑阁县</w:t>
            </w:r>
          </w:p>
        </w:tc>
        <w:tc>
          <w:tcPr>
            <w:tcW w:w="966" w:type="dxa"/>
            <w:gridSpan w:val="2"/>
            <w:vMerge w:val="continue"/>
            <w:tcBorders>
              <w:top w:val="single" w:color="000000" w:sz="4" w:space="0"/>
              <w:left w:val="single" w:color="000000" w:sz="4" w:space="0"/>
              <w:bottom w:val="nil"/>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常驻帮扶干部</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3人</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3人常驻剑阁县</w:t>
            </w:r>
          </w:p>
        </w:tc>
        <w:tc>
          <w:tcPr>
            <w:tcW w:w="966" w:type="dxa"/>
            <w:gridSpan w:val="2"/>
            <w:vMerge w:val="continue"/>
            <w:tcBorders>
              <w:top w:val="single" w:color="000000" w:sz="4" w:space="0"/>
              <w:left w:val="single" w:color="000000" w:sz="4" w:space="0"/>
              <w:bottom w:val="nil"/>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足额保障率</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100%</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金额足额保障</w:t>
            </w:r>
          </w:p>
        </w:tc>
        <w:tc>
          <w:tcPr>
            <w:tcW w:w="966" w:type="dxa"/>
            <w:gridSpan w:val="2"/>
            <w:vMerge w:val="continue"/>
            <w:tcBorders>
              <w:top w:val="single" w:color="000000" w:sz="4" w:space="0"/>
              <w:left w:val="single" w:color="000000" w:sz="4" w:space="0"/>
              <w:bottom w:val="nil"/>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开展党性教育等</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宋体" w:cs="宋体"/>
                <w:color w:val="000000"/>
                <w:sz w:val="12"/>
                <w:szCs w:val="12"/>
              </w:rPr>
              <w:t>≧</w:t>
            </w:r>
            <w:r>
              <w:rPr>
                <w:rFonts w:hint="eastAsia" w:ascii="仿宋_GB2312" w:hAnsi="宋体" w:eastAsia="仿宋_GB2312" w:cs="宋体"/>
                <w:color w:val="000000"/>
                <w:sz w:val="12"/>
                <w:szCs w:val="12"/>
              </w:rPr>
              <w:t>3次</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按照规定完成党性教育</w:t>
            </w:r>
          </w:p>
        </w:tc>
        <w:tc>
          <w:tcPr>
            <w:tcW w:w="966" w:type="dxa"/>
            <w:gridSpan w:val="2"/>
            <w:vMerge w:val="continue"/>
            <w:tcBorders>
              <w:top w:val="single" w:color="000000" w:sz="4" w:space="0"/>
              <w:left w:val="single" w:color="000000" w:sz="4" w:space="0"/>
              <w:bottom w:val="nil"/>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参与与协助举办招商引资会议</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宋体" w:cs="宋体"/>
                <w:color w:val="000000"/>
                <w:sz w:val="12"/>
                <w:szCs w:val="12"/>
              </w:rPr>
              <w:t>≧</w:t>
            </w:r>
            <w:r>
              <w:rPr>
                <w:rFonts w:hint="eastAsia" w:ascii="仿宋_GB2312" w:hAnsi="宋体" w:eastAsia="仿宋_GB2312" w:cs="宋体"/>
                <w:color w:val="000000"/>
                <w:sz w:val="12"/>
                <w:szCs w:val="12"/>
              </w:rPr>
              <w:t>4次</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参与与协助举办招商引资会议</w:t>
            </w:r>
          </w:p>
        </w:tc>
        <w:tc>
          <w:tcPr>
            <w:tcW w:w="966" w:type="dxa"/>
            <w:gridSpan w:val="2"/>
            <w:vMerge w:val="continue"/>
            <w:tcBorders>
              <w:top w:val="single" w:color="000000" w:sz="4" w:space="0"/>
              <w:left w:val="single" w:color="000000" w:sz="4" w:space="0"/>
              <w:bottom w:val="nil"/>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足额保障率</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100%</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w:t>
            </w:r>
          </w:p>
        </w:tc>
        <w:tc>
          <w:tcPr>
            <w:tcW w:w="966" w:type="dxa"/>
            <w:gridSpan w:val="2"/>
            <w:vMerge w:val="continue"/>
            <w:tcBorders>
              <w:top w:val="single" w:color="000000" w:sz="4" w:space="0"/>
              <w:left w:val="single" w:color="000000" w:sz="4" w:space="0"/>
              <w:bottom w:val="nil"/>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科目调整次数</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小于或等于10次</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小于或等于10次</w:t>
            </w:r>
          </w:p>
        </w:tc>
        <w:tc>
          <w:tcPr>
            <w:tcW w:w="966" w:type="dxa"/>
            <w:gridSpan w:val="2"/>
            <w:vMerge w:val="continue"/>
            <w:tcBorders>
              <w:top w:val="single" w:color="000000" w:sz="4" w:space="0"/>
              <w:left w:val="single" w:color="000000" w:sz="4" w:space="0"/>
              <w:bottom w:val="nil"/>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2022年租金收取，保障非税收入</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600万元</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448.16万元</w:t>
            </w:r>
          </w:p>
        </w:tc>
        <w:tc>
          <w:tcPr>
            <w:tcW w:w="966" w:type="dxa"/>
            <w:gridSpan w:val="2"/>
            <w:vMerge w:val="continue"/>
            <w:tcBorders>
              <w:top w:val="single" w:color="000000" w:sz="4" w:space="0"/>
              <w:left w:val="single" w:color="000000" w:sz="4" w:space="0"/>
              <w:bottom w:val="nil"/>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支部开展主题党日活动</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宋体" w:cs="宋体"/>
                <w:color w:val="000000"/>
                <w:sz w:val="12"/>
                <w:szCs w:val="12"/>
              </w:rPr>
              <w:t>≧</w:t>
            </w:r>
            <w:r>
              <w:rPr>
                <w:rFonts w:hint="eastAsia" w:ascii="仿宋_GB2312" w:hAnsi="宋体" w:eastAsia="仿宋_GB2312" w:cs="宋体"/>
                <w:color w:val="000000"/>
                <w:sz w:val="12"/>
                <w:szCs w:val="12"/>
              </w:rPr>
              <w:t>6次</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宋体" w:cs="宋体"/>
                <w:color w:val="000000"/>
                <w:sz w:val="12"/>
                <w:szCs w:val="12"/>
              </w:rPr>
              <w:t>≧</w:t>
            </w:r>
            <w:r>
              <w:rPr>
                <w:rFonts w:hint="eastAsia" w:ascii="仿宋_GB2312" w:hAnsi="宋体" w:eastAsia="仿宋_GB2312" w:cs="宋体"/>
                <w:color w:val="000000"/>
                <w:sz w:val="12"/>
                <w:szCs w:val="12"/>
              </w:rPr>
              <w:t>6次</w:t>
            </w:r>
          </w:p>
        </w:tc>
        <w:tc>
          <w:tcPr>
            <w:tcW w:w="966" w:type="dxa"/>
            <w:gridSpan w:val="2"/>
            <w:vMerge w:val="continue"/>
            <w:tcBorders>
              <w:top w:val="single" w:color="000000" w:sz="4" w:space="0"/>
              <w:left w:val="single" w:color="000000" w:sz="4" w:space="0"/>
              <w:bottom w:val="nil"/>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慰问高龄、困难、伤病住院等老党员、老干部</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宋体" w:cs="宋体"/>
                <w:color w:val="000000"/>
                <w:sz w:val="12"/>
                <w:szCs w:val="12"/>
              </w:rPr>
              <w:t>≧</w:t>
            </w:r>
            <w:r>
              <w:rPr>
                <w:rFonts w:hint="eastAsia" w:ascii="仿宋_GB2312" w:hAnsi="宋体" w:eastAsia="仿宋_GB2312" w:cs="宋体"/>
                <w:color w:val="000000"/>
                <w:sz w:val="12"/>
                <w:szCs w:val="12"/>
              </w:rPr>
              <w:t>20人次</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宋体" w:cs="宋体"/>
                <w:color w:val="000000"/>
                <w:sz w:val="12"/>
                <w:szCs w:val="12"/>
              </w:rPr>
              <w:t>≧</w:t>
            </w:r>
            <w:r>
              <w:rPr>
                <w:rFonts w:hint="eastAsia" w:ascii="仿宋_GB2312" w:hAnsi="宋体" w:eastAsia="仿宋_GB2312" w:cs="宋体"/>
                <w:color w:val="000000"/>
                <w:sz w:val="12"/>
                <w:szCs w:val="12"/>
              </w:rPr>
              <w:t>20人次</w:t>
            </w:r>
          </w:p>
        </w:tc>
        <w:tc>
          <w:tcPr>
            <w:tcW w:w="966" w:type="dxa"/>
            <w:gridSpan w:val="2"/>
            <w:vMerge w:val="continue"/>
            <w:tcBorders>
              <w:top w:val="single" w:color="000000" w:sz="4" w:space="0"/>
              <w:left w:val="single" w:color="000000" w:sz="4" w:space="0"/>
              <w:bottom w:val="nil"/>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庆“七一”、重阳节和老党员、老干部运动会</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各一次</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各一次</w:t>
            </w:r>
          </w:p>
        </w:tc>
        <w:tc>
          <w:tcPr>
            <w:tcW w:w="966" w:type="dxa"/>
            <w:gridSpan w:val="2"/>
            <w:vMerge w:val="continue"/>
            <w:tcBorders>
              <w:top w:val="single" w:color="000000" w:sz="4" w:space="0"/>
              <w:left w:val="single" w:color="000000" w:sz="4" w:space="0"/>
              <w:bottom w:val="nil"/>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开展党性教育</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宋体" w:cs="宋体"/>
                <w:color w:val="000000"/>
                <w:sz w:val="12"/>
                <w:szCs w:val="12"/>
              </w:rPr>
              <w:t>≧</w:t>
            </w:r>
            <w:r>
              <w:rPr>
                <w:rFonts w:hint="eastAsia" w:ascii="仿宋_GB2312" w:hAnsi="宋体" w:eastAsia="仿宋_GB2312" w:cs="宋体"/>
                <w:color w:val="000000"/>
                <w:sz w:val="12"/>
                <w:szCs w:val="12"/>
              </w:rPr>
              <w:t>3次</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宋体" w:cs="宋体"/>
                <w:color w:val="000000"/>
                <w:sz w:val="12"/>
                <w:szCs w:val="12"/>
              </w:rPr>
              <w:t>≧</w:t>
            </w:r>
            <w:r>
              <w:rPr>
                <w:rFonts w:hint="eastAsia" w:ascii="仿宋_GB2312" w:hAnsi="宋体" w:eastAsia="仿宋_GB2312" w:cs="宋体"/>
                <w:color w:val="000000"/>
                <w:sz w:val="12"/>
                <w:szCs w:val="12"/>
              </w:rPr>
              <w:t>3次</w:t>
            </w:r>
          </w:p>
        </w:tc>
        <w:tc>
          <w:tcPr>
            <w:tcW w:w="966" w:type="dxa"/>
            <w:gridSpan w:val="2"/>
            <w:vMerge w:val="continue"/>
            <w:tcBorders>
              <w:top w:val="single" w:color="000000" w:sz="4" w:space="0"/>
              <w:left w:val="single" w:color="000000" w:sz="4" w:space="0"/>
              <w:bottom w:val="nil"/>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开展业务培训、座谈会</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宋体" w:cs="宋体"/>
                <w:color w:val="000000"/>
                <w:sz w:val="12"/>
                <w:szCs w:val="12"/>
              </w:rPr>
              <w:t>≧</w:t>
            </w:r>
            <w:r>
              <w:rPr>
                <w:rFonts w:hint="eastAsia" w:ascii="仿宋_GB2312" w:hAnsi="宋体" w:eastAsia="仿宋_GB2312" w:cs="宋体"/>
                <w:color w:val="000000"/>
                <w:sz w:val="12"/>
                <w:szCs w:val="12"/>
              </w:rPr>
              <w:t>4次</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宋体" w:cs="宋体"/>
                <w:color w:val="000000"/>
                <w:sz w:val="12"/>
                <w:szCs w:val="12"/>
              </w:rPr>
              <w:t>≧</w:t>
            </w:r>
            <w:r>
              <w:rPr>
                <w:rFonts w:hint="eastAsia" w:ascii="仿宋_GB2312" w:hAnsi="宋体" w:eastAsia="仿宋_GB2312" w:cs="宋体"/>
                <w:color w:val="000000"/>
                <w:sz w:val="12"/>
                <w:szCs w:val="12"/>
              </w:rPr>
              <w:t>4次</w:t>
            </w:r>
          </w:p>
        </w:tc>
        <w:tc>
          <w:tcPr>
            <w:tcW w:w="966" w:type="dxa"/>
            <w:gridSpan w:val="2"/>
            <w:vMerge w:val="continue"/>
            <w:tcBorders>
              <w:top w:val="single" w:color="000000" w:sz="4" w:space="0"/>
              <w:left w:val="single" w:color="000000" w:sz="4" w:space="0"/>
              <w:bottom w:val="nil"/>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质量指标</w:t>
            </w: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业务费支付足额率</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100%</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业务费支付率100%</w:t>
            </w:r>
          </w:p>
        </w:tc>
        <w:tc>
          <w:tcPr>
            <w:tcW w:w="96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10</w:t>
            </w: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协同办公短信功能、云视讯高清视频会议系统正常使用</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宋体" w:cs="宋体"/>
                <w:color w:val="000000"/>
                <w:sz w:val="12"/>
                <w:szCs w:val="12"/>
              </w:rPr>
              <w:t>≧</w:t>
            </w:r>
            <w:r>
              <w:rPr>
                <w:rFonts w:hint="eastAsia" w:ascii="仿宋_GB2312" w:hAnsi="宋体" w:eastAsia="仿宋_GB2312" w:cs="宋体"/>
                <w:color w:val="000000"/>
                <w:sz w:val="12"/>
                <w:szCs w:val="12"/>
              </w:rPr>
              <w:t>95%</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正常使用率100%</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会议运转安全、保密</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12个月</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全年无一起安全事故和泄密事件发生</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维修合格率</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100%</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维修率100%</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线路检查合理率</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100%</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线路检查合格率100%</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公文运转安全、保密</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365天</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文件安全运转365天</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重点任务督查覆盖率</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100%</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重点任务督查覆盖率100%</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按照财经法规合理支出</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100%</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财经法规合理支出率100%</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监控运转天数</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365天</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监控运转365天</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365天值班记录，无意外发生</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365天</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365天值班记录，无意外发生</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设备验收合格率</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100%</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设备验收合格率100%</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OA系统故障排查修复率</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100%</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OA系统故障排查修复率100%</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安全、保密天数</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365天</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365天安全、保密天数</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系统正常运转率</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宋体" w:cs="宋体"/>
                <w:color w:val="000000"/>
                <w:sz w:val="12"/>
                <w:szCs w:val="12"/>
              </w:rPr>
              <w:t>≧</w:t>
            </w:r>
            <w:r>
              <w:rPr>
                <w:rFonts w:hint="eastAsia" w:ascii="仿宋_GB2312" w:hAnsi="宋体" w:eastAsia="仿宋_GB2312" w:cs="宋体"/>
                <w:color w:val="000000"/>
                <w:sz w:val="12"/>
                <w:szCs w:val="12"/>
              </w:rPr>
              <w:t>98%</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系统正常运转率</w:t>
            </w:r>
            <w:r>
              <w:rPr>
                <w:rFonts w:hint="eastAsia" w:ascii="仿宋_GB2312" w:hAnsi="宋体" w:eastAsia="宋体" w:cs="宋体"/>
                <w:color w:val="000000"/>
                <w:sz w:val="12"/>
                <w:szCs w:val="12"/>
              </w:rPr>
              <w:t>≧</w:t>
            </w:r>
            <w:r>
              <w:rPr>
                <w:rFonts w:hint="eastAsia" w:ascii="仿宋_GB2312" w:hAnsi="宋体" w:eastAsia="仿宋_GB2312" w:cs="宋体"/>
                <w:color w:val="000000"/>
                <w:sz w:val="12"/>
                <w:szCs w:val="12"/>
              </w:rPr>
              <w:t>98%</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故障排查修复率</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100%</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故障排查修复率100%</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24小时清洁、干净</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24小时</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24小时清洁、干净</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网络线路检查合格率</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100%</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网络线路检查合格率100%</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通信费支付足额率</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100%</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通信费支付足额率100%</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合理支付率</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100%</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合理支付率100%</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组织活动到位率</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100%</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组织活动到位率100%</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课题研究采用率</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宋体" w:cs="宋体"/>
                <w:color w:val="000000"/>
                <w:sz w:val="12"/>
                <w:szCs w:val="12"/>
              </w:rPr>
              <w:t>≧</w:t>
            </w:r>
            <w:r>
              <w:rPr>
                <w:rFonts w:hint="eastAsia" w:ascii="仿宋_GB2312" w:hAnsi="宋体" w:eastAsia="仿宋_GB2312" w:cs="宋体"/>
                <w:color w:val="000000"/>
                <w:sz w:val="12"/>
                <w:szCs w:val="12"/>
              </w:rPr>
              <w:t>98%</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课题研究采用率</w:t>
            </w:r>
            <w:r>
              <w:rPr>
                <w:rFonts w:hint="eastAsia" w:ascii="仿宋_GB2312" w:hAnsi="宋体" w:eastAsia="宋体" w:cs="宋体"/>
                <w:color w:val="000000"/>
                <w:sz w:val="12"/>
                <w:szCs w:val="12"/>
              </w:rPr>
              <w:t>≧</w:t>
            </w:r>
            <w:r>
              <w:rPr>
                <w:rFonts w:hint="eastAsia" w:ascii="仿宋_GB2312" w:hAnsi="宋体" w:eastAsia="仿宋_GB2312" w:cs="宋体"/>
                <w:color w:val="000000"/>
                <w:sz w:val="12"/>
                <w:szCs w:val="12"/>
              </w:rPr>
              <w:t>98%</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重点监察覆盖率</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100%</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重点监察覆盖率100%</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依法维稳、接访，群听老百姓的诉求，及时反映、解决问题</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24小时</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24小时依法维稳、接访，群听老百姓的诉求，及时反映、解决问题</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上访群众调解覆盖率</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100%</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上访群众调解覆盖率100%</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资金支付足额率</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100%</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资金支付足额率100%</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代管企业正常经营运转率</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100%</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代管企业正常经营运转率100%</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完成2022年广荷物业管理有限公司租金收取。</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600万元</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448.16万元</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党建工作全是领先</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保持全国全省先进荣誉</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保持全国全省先进荣誉</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时效指标</w:t>
            </w: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网络线路检查及时率</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100%</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网络线路检查及时率100%</w:t>
            </w:r>
          </w:p>
        </w:tc>
        <w:tc>
          <w:tcPr>
            <w:tcW w:w="96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10</w:t>
            </w: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业务支付及时率</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100%</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业务支付及时率100%</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维修响应时间</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≤0.5小时</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维修响应时间0.5小时</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业务费支付足额率</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100%</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业务费支付足额率100%</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按照财经法规合理支出</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100%</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按照财经法规合理支出100%</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资金拨付及时率</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100%</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资金拨付及时率100%</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驻村时间</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22天</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驻村时间22天</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按时发放率</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宋体" w:cs="宋体"/>
                <w:color w:val="000000"/>
                <w:sz w:val="12"/>
                <w:szCs w:val="12"/>
              </w:rPr>
              <w:t>≧</w:t>
            </w:r>
            <w:r>
              <w:rPr>
                <w:rFonts w:hint="eastAsia" w:ascii="仿宋_GB2312" w:hAnsi="宋体" w:eastAsia="仿宋_GB2312" w:cs="宋体"/>
                <w:color w:val="000000"/>
                <w:sz w:val="12"/>
                <w:szCs w:val="12"/>
              </w:rPr>
              <w:t>95%</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按时发放率100%</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项目完成时限</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≤1年</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项目完成时限1年</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成本指标</w:t>
            </w:r>
          </w:p>
        </w:tc>
        <w:tc>
          <w:tcPr>
            <w:tcW w:w="1274"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成本指标</w:t>
            </w: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OA协同办公短信平台、云视讯高清视频会议系统使用项</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≤13.6万元</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OA协同办公短信平台、云视讯高清视频会议系统使用项13.6万元</w:t>
            </w:r>
          </w:p>
        </w:tc>
        <w:tc>
          <w:tcPr>
            <w:tcW w:w="96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20</w:t>
            </w: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文印费</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≤45万元</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文印费33.60万元</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聘用人员8人劳务费、保险费等</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≤55万元</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聘用人员8人劳务费、保险费44.61万元</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会议费</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≤5万元</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会议费3.92万元</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设备租赁费（合同）</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≤18.6万元</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设备租赁费18.6万元</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四大班子保安服务费</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≤265万元</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四大班子保安服务费263.68万元</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OA办公系统服务费</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≤28.84万元</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OA办公系统服务费28.84万元</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物业管理支出成本</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≤30万元</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物业管理费30万元</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通信合作运维费</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≤24万元</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通信合作费24万元</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食堂费用</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≤90万元</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食堂费用60.50万元</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重大节日氛围营造项目</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≤17万元</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氛围营造17万元</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市行政中心幕墙翻新</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≤3万元</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翻新费2.7万元</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纪检工作经费</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≤20万元</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纪检工作经费13.69万元</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乡村振兴工作经费</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≤7.28万元</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乡村振兴经费3.80万元</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总成本</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808.59万元</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808.59万元</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每月生活补助</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≤3.4万元</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3.4万元</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每月用于租赁车辆等交通费、办公费和其他商品费</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≤44.9万元</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44.9万元</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每年承办相关会议会务费</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≤8万元</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8万元</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每年房租租赁及补助</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≤72万元</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72万元</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效益指标</w:t>
            </w:r>
          </w:p>
        </w:tc>
        <w:tc>
          <w:tcPr>
            <w:tcW w:w="1274"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经济效益</w:t>
            </w:r>
            <w:r>
              <w:rPr>
                <w:rFonts w:hint="eastAsia" w:ascii="仿宋_GB2312" w:hAnsi="宋体" w:eastAsia="仿宋_GB2312" w:cs="宋体"/>
                <w:color w:val="000000"/>
                <w:sz w:val="12"/>
                <w:szCs w:val="12"/>
              </w:rPr>
              <w:br w:type="textWrapping"/>
            </w:r>
            <w:r>
              <w:rPr>
                <w:rFonts w:hint="eastAsia" w:ascii="仿宋_GB2312" w:hAnsi="宋体" w:eastAsia="仿宋_GB2312" w:cs="宋体"/>
                <w:color w:val="000000"/>
                <w:sz w:val="12"/>
                <w:szCs w:val="12"/>
              </w:rPr>
              <w:t>指标</w:t>
            </w: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结余率</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宋体" w:cs="宋体"/>
                <w:color w:val="000000"/>
                <w:sz w:val="12"/>
                <w:szCs w:val="12"/>
              </w:rPr>
              <w:t>≦</w:t>
            </w:r>
            <w:r>
              <w:rPr>
                <w:rFonts w:hint="eastAsia" w:ascii="仿宋_GB2312" w:hAnsi="宋体" w:eastAsia="仿宋_GB2312" w:cs="宋体"/>
                <w:color w:val="000000"/>
                <w:sz w:val="12"/>
                <w:szCs w:val="12"/>
              </w:rPr>
              <w:t>5%</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结余率5%</w:t>
            </w:r>
          </w:p>
        </w:tc>
        <w:tc>
          <w:tcPr>
            <w:tcW w:w="96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10</w:t>
            </w: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运转保障率</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100%</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运转保障率100%</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完成全年租金收取</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600万元</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600万元</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通过举办招商引资和交流活动，增加项目的争取力度，推动广元经济发展</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600万元</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600万元</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社会效益</w:t>
            </w:r>
            <w:r>
              <w:rPr>
                <w:rFonts w:hint="eastAsia" w:ascii="仿宋_GB2312" w:hAnsi="宋体" w:eastAsia="仿宋_GB2312" w:cs="宋体"/>
                <w:color w:val="000000"/>
                <w:sz w:val="12"/>
                <w:szCs w:val="12"/>
              </w:rPr>
              <w:br w:type="textWrapping"/>
            </w:r>
            <w:r>
              <w:rPr>
                <w:rFonts w:hint="eastAsia" w:ascii="仿宋_GB2312" w:hAnsi="宋体" w:eastAsia="仿宋_GB2312" w:cs="宋体"/>
                <w:color w:val="000000"/>
                <w:sz w:val="12"/>
                <w:szCs w:val="12"/>
              </w:rPr>
              <w:t>指标</w:t>
            </w: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降低管理和硬件投入成本</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优</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降低管理和硬件投入成本优</w:t>
            </w:r>
          </w:p>
        </w:tc>
        <w:tc>
          <w:tcPr>
            <w:tcW w:w="96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10</w:t>
            </w: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进一步提高服务水平</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≥98%</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进一步提高服务水平98%</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提升办会水平</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≥98%</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提升办会水平98%</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进一步提高系统安全运行能力。</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≥98%</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进一步提高系统安全运行能力98%</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提升管理水平</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≥98%</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提升管理水平98%</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进一步提高行政中心辅助管理治安水平</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≥98%</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进一步提高行政中心辅助管理治安水平100%</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线路网速提升率</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≥95%</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线路网速提升率95%</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进一步环境管理水平</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优级</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进一步环境管理水平优级</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进一步提升安全防范能力</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≥98%</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进一步提升安全防范能力98%</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庆祥和的节日氛围</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优级</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庆祥和的节日氛围优级</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政府治理水平</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≥98%</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政府治理水平98%</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纪检监察问题整改率</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≥95%</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纪检监察问题整改率95%</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依法维稳水平</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≥98%</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依法维稳水平98%</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提高农村治理水平</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优级</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提高农村治理水平优级</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提升党政网运行安全</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≥98%</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提升党政网运行安全98%</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对工作的促进作用</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减轻就业压力</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减轻就业压力</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将驻蓉老党员、老干部凝聚在党旗下</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发挥优势，将驻蓉老党员、老干部凝聚在党旗下</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发挥优势，将驻蓉老党员、老干部凝聚在党旗下</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宣传市委市政府对驻外党员和农民工的政策</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体现市委市政府对驻蓉流动党员和农民工的关爱。</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体现市委市政府对驻蓉流动党员和农民工的关爱。</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架起广元相关单位与北京相关单位的桥梁，建立起长期沟通、合作的良好机制</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≥1年</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1年</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提升广元的美誉度，提高广元在京的流动党员和农民工获得感和就业感</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高</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高</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rPr>
                <w:rFonts w:hint="eastAsia" w:ascii="仿宋_GB2312" w:hAnsi="宋体" w:eastAsia="仿宋_GB2312" w:cs="宋体"/>
                <w:color w:val="000000"/>
                <w:sz w:val="12"/>
                <w:szCs w:val="12"/>
              </w:rPr>
            </w:pPr>
          </w:p>
        </w:tc>
        <w:tc>
          <w:tcPr>
            <w:tcW w:w="127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生态效益</w:t>
            </w:r>
            <w:r>
              <w:rPr>
                <w:rFonts w:hint="eastAsia" w:ascii="仿宋_GB2312" w:hAnsi="宋体" w:eastAsia="仿宋_GB2312" w:cs="宋体"/>
                <w:color w:val="000000"/>
                <w:sz w:val="12"/>
                <w:szCs w:val="12"/>
              </w:rPr>
              <w:br w:type="textWrapping"/>
            </w:r>
            <w:r>
              <w:rPr>
                <w:rFonts w:hint="eastAsia" w:ascii="仿宋_GB2312" w:hAnsi="宋体" w:eastAsia="仿宋_GB2312" w:cs="宋体"/>
                <w:color w:val="000000"/>
                <w:sz w:val="12"/>
                <w:szCs w:val="12"/>
              </w:rPr>
              <w:t>指标</w:t>
            </w: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材料环保要求</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≥98%</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材料环保要求100%</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rPr>
                <w:rFonts w:hint="eastAsia" w:ascii="仿宋_GB2312" w:hAnsi="宋体" w:eastAsia="仿宋_GB2312" w:cs="宋体"/>
                <w:color w:val="000000"/>
                <w:sz w:val="12"/>
                <w:szCs w:val="12"/>
              </w:rPr>
            </w:pPr>
          </w:p>
        </w:tc>
        <w:tc>
          <w:tcPr>
            <w:tcW w:w="1274"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可持续影响</w:t>
            </w:r>
            <w:r>
              <w:rPr>
                <w:rFonts w:hint="eastAsia" w:ascii="仿宋_GB2312" w:hAnsi="宋体" w:eastAsia="仿宋_GB2312" w:cs="宋体"/>
                <w:color w:val="000000"/>
                <w:sz w:val="12"/>
                <w:szCs w:val="12"/>
              </w:rPr>
              <w:br w:type="textWrapping"/>
            </w:r>
            <w:r>
              <w:rPr>
                <w:rFonts w:hint="eastAsia" w:ascii="仿宋_GB2312" w:hAnsi="宋体" w:eastAsia="仿宋_GB2312" w:cs="宋体"/>
                <w:color w:val="000000"/>
                <w:sz w:val="12"/>
                <w:szCs w:val="12"/>
              </w:rPr>
              <w:t>指标</w:t>
            </w: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管理制度健全性</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健全</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管理制度健全</w:t>
            </w:r>
          </w:p>
        </w:tc>
        <w:tc>
          <w:tcPr>
            <w:tcW w:w="96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10</w:t>
            </w: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提升治理水平</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≥98%</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提升治理水平100%</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管理制度健全性</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健全</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管理制度健全</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进一步提升行政中心治安水平、突发事件的处置能力</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≥98%</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进一步提升行政中心治安水平、突发事件的处置能力100%</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资金管理制度健全性</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健全</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资金管理制度健全</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人员配置合理性</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合理</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人员配置合理</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进一步提升网络视频会议质量</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≥98%</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网络视频会议质量98%</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网络维修管理制度健全性</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健全</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网络维修管理制度健全</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运维制度健全性</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健全</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运维制度健全</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提升服务能力</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健全</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提升服务能力健全</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资金使用制度健全性</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健全</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资金使用制度健全</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管理机制健全率</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健全</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管理机制健全</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调解管理制度健全性</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健全</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调解管理制度健全</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产业持续发展</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健全</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产业持续发展健全</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人员配置合理性</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合理</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人员配置合理</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留住“老”经营业主，发展“新”经营业主</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健全</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留住“老”经营业主，发展“新”经营业主健全</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满意度</w:t>
            </w:r>
            <w:r>
              <w:rPr>
                <w:rFonts w:hint="eastAsia" w:ascii="仿宋_GB2312" w:hAnsi="宋体" w:eastAsia="仿宋_GB2312" w:cs="宋体"/>
                <w:color w:val="000000"/>
                <w:sz w:val="12"/>
                <w:szCs w:val="12"/>
              </w:rPr>
              <w:br w:type="textWrapping"/>
            </w:r>
            <w:r>
              <w:rPr>
                <w:rFonts w:hint="eastAsia" w:ascii="仿宋_GB2312" w:hAnsi="宋体" w:eastAsia="仿宋_GB2312" w:cs="宋体"/>
                <w:color w:val="000000"/>
                <w:sz w:val="12"/>
                <w:szCs w:val="12"/>
              </w:rPr>
              <w:t>指标</w:t>
            </w:r>
          </w:p>
        </w:tc>
        <w:tc>
          <w:tcPr>
            <w:tcW w:w="1274"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满意度指标</w:t>
            </w: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各单位使用满意度</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≥98%</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各单位使用满意度98%</w:t>
            </w:r>
          </w:p>
        </w:tc>
        <w:tc>
          <w:tcPr>
            <w:tcW w:w="96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10</w:t>
            </w: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领导及市级各单位满意度</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≥98%</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领导及市级各单位满意度98%</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纪检监察满意度</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≥90%</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纪检监察满意度90%</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经营业主满意度</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≥95%</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经营业主满意度95%</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市离退休干部党工委、市机关离退休干部驻蓉流动党员党委满意度</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≥95%</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市离退休干部党工委、市机关离退休干部驻蓉流动党员党委满意度95%</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r>
        <w:tblPrEx>
          <w:tblCellMar>
            <w:top w:w="0" w:type="dxa"/>
            <w:left w:w="108" w:type="dxa"/>
            <w:bottom w:w="0" w:type="dxa"/>
            <w:right w:w="108" w:type="dxa"/>
          </w:tblCellMar>
        </w:tblPrEx>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27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驻蓉流动党员、农民工满意度</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≥95%</w:t>
            </w:r>
          </w:p>
        </w:tc>
        <w:tc>
          <w:tcPr>
            <w:tcW w:w="23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sz w:val="12"/>
                <w:szCs w:val="12"/>
              </w:rPr>
              <w:t>驻蓉流动党员、农民工满意度95%</w:t>
            </w:r>
          </w:p>
        </w:tc>
        <w:tc>
          <w:tcPr>
            <w:tcW w:w="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pacing w:line="180" w:lineRule="exact"/>
              <w:jc w:val="center"/>
              <w:rPr>
                <w:rFonts w:hint="eastAsia" w:ascii="仿宋_GB2312" w:hAnsi="宋体" w:eastAsia="仿宋_GB2312" w:cs="宋体"/>
                <w:color w:val="000000"/>
                <w:sz w:val="12"/>
                <w:szCs w:val="12"/>
              </w:rPr>
            </w:pPr>
          </w:p>
        </w:tc>
        <w:tc>
          <w:tcPr>
            <w:tcW w:w="868" w:type="dxa"/>
            <w:gridSpan w:val="3"/>
            <w:tcBorders>
              <w:top w:val="single" w:color="000000" w:sz="4" w:space="0"/>
              <w:left w:val="single" w:color="000000" w:sz="4" w:space="0"/>
              <w:bottom w:val="single" w:color="000000" w:sz="4" w:space="0"/>
              <w:right w:val="single" w:color="000000" w:sz="4" w:space="0"/>
            </w:tcBorders>
            <w:noWrap/>
            <w:vAlign w:val="center"/>
          </w:tcPr>
          <w:p>
            <w:pPr>
              <w:spacing w:line="180" w:lineRule="exact"/>
              <w:jc w:val="center"/>
              <w:rPr>
                <w:rFonts w:hint="eastAsia" w:ascii="仿宋_GB2312" w:hAnsi="宋体" w:eastAsia="仿宋_GB2312" w:cs="宋体"/>
                <w:color w:val="000000"/>
                <w:sz w:val="12"/>
                <w:szCs w:val="12"/>
              </w:rPr>
            </w:pPr>
          </w:p>
        </w:tc>
      </w:tr>
    </w:tbl>
    <w:p>
      <w:pPr>
        <w:pStyle w:val="8"/>
        <w:spacing w:before="93"/>
        <w:rPr>
          <w:rFonts w:hint="eastAsia" w:ascii="黑体" w:hAnsi="黑体" w:eastAsia="黑体" w:cs="宋体"/>
          <w:sz w:val="32"/>
          <w:szCs w:val="32"/>
          <w:shd w:val="clear" w:color="auto" w:fill="FFFFFF"/>
          <w:lang w:val="zh-CN"/>
        </w:rPr>
      </w:pPr>
    </w:p>
    <w:p>
      <w:pPr>
        <w:pStyle w:val="8"/>
        <w:spacing w:before="93"/>
        <w:rPr>
          <w:rFonts w:hint="eastAsia" w:ascii="黑体" w:hAnsi="黑体" w:eastAsia="黑体" w:cs="宋体"/>
          <w:sz w:val="32"/>
          <w:szCs w:val="32"/>
          <w:shd w:val="clear" w:color="auto" w:fill="FFFFFF"/>
          <w:lang w:val="zh-CN"/>
        </w:rPr>
      </w:pPr>
    </w:p>
    <w:p>
      <w:pPr>
        <w:pStyle w:val="8"/>
        <w:spacing w:before="93"/>
        <w:rPr>
          <w:rFonts w:hint="eastAsia" w:ascii="黑体" w:hAnsi="黑体" w:eastAsia="黑体" w:cs="宋体"/>
          <w:sz w:val="32"/>
          <w:szCs w:val="32"/>
          <w:shd w:val="clear" w:color="auto" w:fill="FFFFFF"/>
          <w:lang w:val="zh-CN"/>
        </w:rPr>
      </w:pPr>
    </w:p>
    <w:p>
      <w:pPr>
        <w:pStyle w:val="8"/>
        <w:spacing w:before="93"/>
        <w:rPr>
          <w:rFonts w:hint="eastAsia" w:ascii="黑体" w:hAnsi="黑体" w:eastAsia="黑体" w:cs="宋体"/>
          <w:sz w:val="32"/>
          <w:szCs w:val="32"/>
          <w:shd w:val="clear" w:color="auto" w:fill="FFFFFF"/>
          <w:lang w:val="zh-CN"/>
        </w:rPr>
      </w:pPr>
    </w:p>
    <w:p>
      <w:pPr>
        <w:pStyle w:val="8"/>
        <w:spacing w:before="93"/>
        <w:rPr>
          <w:rFonts w:hint="eastAsia" w:ascii="黑体" w:hAnsi="黑体" w:eastAsia="黑体" w:cs="宋体"/>
          <w:sz w:val="32"/>
          <w:szCs w:val="32"/>
          <w:shd w:val="clear" w:color="auto" w:fill="FFFFFF"/>
          <w:lang w:val="zh-CN"/>
        </w:rPr>
      </w:pPr>
    </w:p>
    <w:p>
      <w:pPr>
        <w:pStyle w:val="8"/>
        <w:spacing w:before="93"/>
        <w:rPr>
          <w:rFonts w:hint="eastAsia" w:ascii="黑体" w:hAnsi="黑体" w:eastAsia="黑体" w:cs="宋体"/>
          <w:sz w:val="32"/>
          <w:szCs w:val="32"/>
          <w:shd w:val="clear" w:color="auto" w:fill="FFFFFF"/>
          <w:lang w:val="zh-CN"/>
        </w:rPr>
      </w:pPr>
    </w:p>
    <w:p>
      <w:pPr>
        <w:pStyle w:val="8"/>
        <w:spacing w:before="93"/>
        <w:rPr>
          <w:rFonts w:ascii="黑体" w:hAnsi="黑体" w:eastAsia="黑体"/>
          <w:lang w:val="zh-CN"/>
        </w:rPr>
      </w:pPr>
      <w:r>
        <w:rPr>
          <w:rFonts w:hint="eastAsia" w:ascii="黑体" w:hAnsi="黑体" w:eastAsia="黑体" w:cs="宋体"/>
          <w:sz w:val="32"/>
          <w:szCs w:val="32"/>
          <w:shd w:val="clear" w:color="auto" w:fill="FFFFFF"/>
          <w:lang w:val="zh-CN"/>
        </w:rPr>
        <w:t>附件</w:t>
      </w:r>
    </w:p>
    <w:p>
      <w:pPr>
        <w:spacing w:line="540" w:lineRule="exact"/>
        <w:jc w:val="center"/>
        <w:rPr>
          <w:rFonts w:hAnsi="宋体"/>
          <w:color w:val="000000"/>
          <w:w w:val="95"/>
          <w:sz w:val="44"/>
          <w:szCs w:val="44"/>
        </w:rPr>
      </w:pPr>
      <w:r>
        <w:rPr>
          <w:rFonts w:hAnsi="宋体"/>
          <w:color w:val="000000"/>
          <w:w w:val="95"/>
          <w:sz w:val="44"/>
          <w:szCs w:val="44"/>
        </w:rPr>
        <w:t>2022</w:t>
      </w:r>
      <w:r>
        <w:rPr>
          <w:rFonts w:hint="eastAsia" w:hAnsi="宋体"/>
          <w:color w:val="000000"/>
          <w:w w:val="95"/>
          <w:sz w:val="44"/>
          <w:szCs w:val="44"/>
        </w:rPr>
        <w:t>年市级专项资金预算项目支出绩效自评报告</w:t>
      </w:r>
    </w:p>
    <w:p>
      <w:pPr>
        <w:spacing w:line="540" w:lineRule="exact"/>
        <w:jc w:val="center"/>
        <w:rPr>
          <w:rFonts w:hint="eastAsia" w:ascii="楷体_GB2312" w:hAnsi="楷体" w:eastAsia="楷体_GB2312" w:cs="楷体"/>
          <w:color w:val="000000"/>
          <w:sz w:val="32"/>
          <w:szCs w:val="32"/>
        </w:rPr>
      </w:pPr>
      <w:r>
        <w:rPr>
          <w:rFonts w:hint="eastAsia" w:ascii="楷体_GB2312" w:hAnsi="楷体" w:eastAsia="楷体_GB2312" w:cs="楷体"/>
          <w:color w:val="000000"/>
          <w:sz w:val="32"/>
          <w:szCs w:val="32"/>
        </w:rPr>
        <w:t>（广元市政府效率提升研究项目经费）</w:t>
      </w:r>
    </w:p>
    <w:p>
      <w:pPr>
        <w:spacing w:line="540" w:lineRule="exact"/>
        <w:rPr>
          <w:rFonts w:ascii="仿宋" w:hAnsi="仿宋" w:eastAsia="仿宋" w:cs="仿宋"/>
          <w:color w:val="000000"/>
          <w:sz w:val="32"/>
          <w:szCs w:val="32"/>
        </w:rPr>
      </w:pPr>
    </w:p>
    <w:p>
      <w:pPr>
        <w:spacing w:line="50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一、项目概况</w:t>
      </w:r>
    </w:p>
    <w:p>
      <w:pPr>
        <w:spacing w:line="500" w:lineRule="exact"/>
        <w:ind w:firstLine="640" w:firstLineChars="200"/>
        <w:rPr>
          <w:rFonts w:hint="eastAsia" w:ascii="楷体_GB2312" w:hAnsi="楷体" w:eastAsia="楷体_GB2312" w:cs="楷体"/>
          <w:color w:val="000000"/>
          <w:sz w:val="32"/>
          <w:szCs w:val="32"/>
        </w:rPr>
      </w:pPr>
      <w:r>
        <w:rPr>
          <w:rFonts w:hint="eastAsia" w:ascii="楷体_GB2312" w:hAnsi="楷体" w:eastAsia="楷体_GB2312" w:cs="楷体"/>
          <w:color w:val="000000"/>
          <w:sz w:val="32"/>
          <w:szCs w:val="32"/>
        </w:rPr>
        <w:t>（一）项目基本情况。</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根据市委市政府工作安排，为提升政府工作效率，提高现代化治理水平，</w:t>
      </w:r>
      <w:r>
        <w:rPr>
          <w:rFonts w:ascii="仿宋_GB2312" w:eastAsia="仿宋_GB2312"/>
          <w:sz w:val="32"/>
          <w:szCs w:val="32"/>
        </w:rPr>
        <w:t>2022</w:t>
      </w:r>
      <w:r>
        <w:rPr>
          <w:rFonts w:hint="eastAsia" w:ascii="仿宋_GB2312" w:eastAsia="仿宋_GB2312"/>
          <w:sz w:val="32"/>
          <w:szCs w:val="32"/>
        </w:rPr>
        <w:t>年</w:t>
      </w:r>
      <w:r>
        <w:rPr>
          <w:rFonts w:ascii="仿宋_GB2312" w:eastAsia="仿宋_GB2312"/>
          <w:sz w:val="32"/>
          <w:szCs w:val="32"/>
        </w:rPr>
        <w:t>7</w:t>
      </w:r>
      <w:r>
        <w:rPr>
          <w:rFonts w:hint="eastAsia" w:ascii="仿宋_GB2312" w:eastAsia="仿宋_GB2312"/>
          <w:sz w:val="32"/>
          <w:szCs w:val="32"/>
        </w:rPr>
        <w:t>月，市政府办与江西师范大学管理决策评价研究中心签订合作协议，共同实施“广元市政府效率提升研究”。该项目经费</w:t>
      </w:r>
      <w:r>
        <w:rPr>
          <w:rFonts w:ascii="仿宋_GB2312" w:eastAsia="仿宋_GB2312"/>
          <w:sz w:val="32"/>
          <w:szCs w:val="32"/>
        </w:rPr>
        <w:t>25</w:t>
      </w:r>
      <w:r>
        <w:rPr>
          <w:rFonts w:hint="eastAsia" w:ascii="仿宋_GB2312" w:eastAsia="仿宋_GB2312"/>
          <w:sz w:val="32"/>
          <w:szCs w:val="32"/>
        </w:rPr>
        <w:t>万元，资金为一般公共预算。</w:t>
      </w:r>
    </w:p>
    <w:p>
      <w:pPr>
        <w:spacing w:line="500" w:lineRule="exact"/>
        <w:ind w:firstLine="640" w:firstLineChars="200"/>
        <w:rPr>
          <w:rFonts w:ascii="楷体_GB2312" w:hAnsi="楷体" w:eastAsia="楷体_GB2312" w:cs="楷体"/>
          <w:color w:val="000000"/>
          <w:sz w:val="32"/>
          <w:szCs w:val="32"/>
        </w:rPr>
      </w:pPr>
      <w:r>
        <w:rPr>
          <w:rFonts w:hint="eastAsia" w:ascii="楷体_GB2312" w:hAnsi="楷体" w:eastAsia="楷体_GB2312" w:cs="楷体"/>
          <w:color w:val="000000"/>
          <w:sz w:val="32"/>
          <w:szCs w:val="32"/>
        </w:rPr>
        <w:t>（二）项目绩效目标。</w:t>
      </w:r>
    </w:p>
    <w:p>
      <w:pPr>
        <w:spacing w:line="500" w:lineRule="exact"/>
        <w:ind w:firstLine="640" w:firstLineChars="200"/>
        <w:rPr>
          <w:rFonts w:ascii="仿宋_GB2312" w:eastAsia="仿宋_GB2312" w:cs="仿宋_GB2312"/>
          <w:sz w:val="32"/>
          <w:szCs w:val="32"/>
        </w:rPr>
      </w:pPr>
      <w:r>
        <w:rPr>
          <w:rFonts w:ascii="仿宋_GB2312" w:eastAsia="仿宋_GB2312"/>
          <w:sz w:val="32"/>
          <w:szCs w:val="32"/>
        </w:rPr>
        <w:t>1.</w:t>
      </w:r>
      <w:r>
        <w:rPr>
          <w:rFonts w:hint="eastAsia" w:ascii="仿宋_GB2312" w:eastAsia="仿宋_GB2312"/>
          <w:sz w:val="32"/>
          <w:szCs w:val="32"/>
        </w:rPr>
        <w:t>项目主要内容。市委市政府与江西师范大学共同实施“广元市政府效率提升研究”项目</w:t>
      </w:r>
      <w:r>
        <w:rPr>
          <w:rFonts w:hint="eastAsia" w:ascii="仿宋_GB2312" w:eastAsia="仿宋_GB2312" w:cs="仿宋_GB2312"/>
          <w:sz w:val="32"/>
          <w:szCs w:val="32"/>
        </w:rPr>
        <w:t>，项目经费</w:t>
      </w:r>
      <w:r>
        <w:rPr>
          <w:rFonts w:ascii="仿宋_GB2312" w:eastAsia="仿宋_GB2312" w:cs="仿宋_GB2312"/>
          <w:sz w:val="32"/>
          <w:szCs w:val="32"/>
        </w:rPr>
        <w:t>25</w:t>
      </w:r>
      <w:r>
        <w:rPr>
          <w:rFonts w:hint="eastAsia" w:ascii="仿宋_GB2312" w:eastAsia="仿宋_GB2312" w:cs="仿宋_GB2312"/>
          <w:sz w:val="32"/>
          <w:szCs w:val="32"/>
        </w:rPr>
        <w:t>万元。</w:t>
      </w:r>
    </w:p>
    <w:p>
      <w:pPr>
        <w:snapToGrid w:val="0"/>
        <w:spacing w:line="500" w:lineRule="exact"/>
        <w:ind w:firstLine="72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具体绩效目标。</w:t>
      </w:r>
      <w:r>
        <w:rPr>
          <w:rFonts w:ascii="仿宋_GB2312" w:eastAsia="仿宋_GB2312"/>
          <w:sz w:val="32"/>
          <w:szCs w:val="32"/>
        </w:rPr>
        <w:t>2022</w:t>
      </w:r>
      <w:r>
        <w:rPr>
          <w:rFonts w:hint="eastAsia" w:ascii="仿宋_GB2312" w:eastAsia="仿宋_GB2312"/>
          <w:sz w:val="32"/>
          <w:szCs w:val="32"/>
        </w:rPr>
        <w:t>年，将组建项目组调研全市公共服务、政府规模、政务公开、居民经济福利等现状及问题，研究形成相关报告及优化方案，全面提升广元市政府效率。</w:t>
      </w:r>
    </w:p>
    <w:p>
      <w:pPr>
        <w:tabs>
          <w:tab w:val="center" w:pos="4153"/>
        </w:tabs>
        <w:spacing w:line="500" w:lineRule="exact"/>
        <w:ind w:firstLine="640" w:firstLineChars="200"/>
      </w:pPr>
      <w:r>
        <w:rPr>
          <w:rFonts w:ascii="仿宋_GB2312" w:eastAsia="仿宋_GB2312"/>
          <w:sz w:val="32"/>
          <w:szCs w:val="32"/>
        </w:rPr>
        <w:t>3.</w:t>
      </w:r>
      <w:r>
        <w:rPr>
          <w:rFonts w:hint="eastAsia" w:ascii="仿宋_GB2312" w:eastAsia="仿宋_GB2312"/>
          <w:sz w:val="32"/>
          <w:szCs w:val="32"/>
        </w:rPr>
        <w:t>申报内容与实际比较。</w:t>
      </w:r>
      <w:r>
        <w:rPr>
          <w:rFonts w:ascii="仿宋_GB2312" w:eastAsia="仿宋_GB2312"/>
          <w:sz w:val="32"/>
          <w:szCs w:val="32"/>
        </w:rPr>
        <w:tab/>
      </w:r>
      <w:r>
        <w:rPr>
          <w:rFonts w:hint="eastAsia" w:ascii="仿宋_GB2312" w:eastAsia="仿宋_GB2312"/>
          <w:sz w:val="32"/>
          <w:szCs w:val="32"/>
        </w:rPr>
        <w:t>结合事前绩效、事中绩效和实际比较，申报内容准确无偏差，项目实施进度快，申报内容与实际相符，申报内容合理可行。</w:t>
      </w:r>
    </w:p>
    <w:p>
      <w:pPr>
        <w:spacing w:line="500" w:lineRule="exact"/>
        <w:ind w:firstLine="640" w:firstLineChars="200"/>
        <w:rPr>
          <w:rFonts w:ascii="楷体_GB2312" w:hAnsi="楷体" w:eastAsia="楷体_GB2312" w:cs="楷体"/>
          <w:color w:val="000000"/>
          <w:sz w:val="32"/>
          <w:szCs w:val="32"/>
        </w:rPr>
      </w:pPr>
      <w:r>
        <w:rPr>
          <w:rFonts w:hint="eastAsia" w:ascii="楷体_GB2312" w:hAnsi="楷体" w:eastAsia="楷体_GB2312" w:cs="楷体"/>
          <w:color w:val="000000"/>
          <w:sz w:val="32"/>
          <w:szCs w:val="32"/>
        </w:rPr>
        <w:t>（三）项目自评步骤及方法。</w:t>
      </w:r>
    </w:p>
    <w:p>
      <w:pPr>
        <w:tabs>
          <w:tab w:val="center" w:pos="4153"/>
        </w:tabs>
        <w:spacing w:line="500" w:lineRule="exact"/>
        <w:ind w:firstLine="640" w:firstLineChars="200"/>
        <w:rPr>
          <w:rFonts w:ascii="仿宋_GB2312" w:eastAsia="仿宋_GB2312"/>
          <w:sz w:val="32"/>
          <w:szCs w:val="32"/>
        </w:rPr>
      </w:pPr>
      <w:r>
        <w:rPr>
          <w:rFonts w:hint="eastAsia" w:ascii="仿宋_GB2312" w:eastAsia="仿宋_GB2312"/>
          <w:sz w:val="32"/>
          <w:szCs w:val="32"/>
        </w:rPr>
        <w:t>项目采取自评与他评相结合方式，成立项目自评小组，结合评价内容，做到有计划，有安排，有奖惩，扎实开展本次自评工作。按照市财政局下达的项目支出绩效评价指标体系，自评小组针对申报内容、实施情况、资金兑现、财务管理、社会效益等做出自我评价，认真听取建议意见，做好自评工作。</w:t>
      </w:r>
    </w:p>
    <w:p>
      <w:pPr>
        <w:tabs>
          <w:tab w:val="center" w:pos="4153"/>
        </w:tabs>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二、项目资金申报及使用情况</w:t>
      </w:r>
    </w:p>
    <w:p>
      <w:pPr>
        <w:spacing w:line="500" w:lineRule="exact"/>
        <w:ind w:firstLine="640" w:firstLineChars="200"/>
        <w:rPr>
          <w:rFonts w:ascii="楷体_GB2312" w:hAnsi="楷体" w:eastAsia="楷体_GB2312" w:cs="楷体"/>
          <w:color w:val="000000"/>
          <w:sz w:val="32"/>
          <w:szCs w:val="32"/>
        </w:rPr>
      </w:pPr>
      <w:r>
        <w:rPr>
          <w:rFonts w:hint="eastAsia" w:ascii="楷体_GB2312" w:hAnsi="楷体" w:eastAsia="楷体_GB2312" w:cs="楷体"/>
          <w:color w:val="000000"/>
          <w:sz w:val="32"/>
          <w:szCs w:val="32"/>
        </w:rPr>
        <w:t>（一）项目资金申报及批复情况</w:t>
      </w:r>
    </w:p>
    <w:p>
      <w:pPr>
        <w:tabs>
          <w:tab w:val="center" w:pos="4153"/>
        </w:tabs>
        <w:spacing w:line="500" w:lineRule="exact"/>
        <w:ind w:firstLine="640" w:firstLineChars="200"/>
      </w:pPr>
      <w:r>
        <w:rPr>
          <w:rFonts w:ascii="仿宋_GB2312" w:eastAsia="仿宋_GB2312"/>
          <w:sz w:val="32"/>
          <w:szCs w:val="32"/>
        </w:rPr>
        <w:t xml:space="preserve"> </w:t>
      </w:r>
      <w:r>
        <w:rPr>
          <w:rFonts w:hint="eastAsia" w:ascii="仿宋_GB2312" w:eastAsia="仿宋_GB2312"/>
          <w:sz w:val="32"/>
          <w:szCs w:val="32"/>
        </w:rPr>
        <w:t>广元市政府效率提升研究项目为年中追加预算</w:t>
      </w:r>
      <w:r>
        <w:rPr>
          <w:rFonts w:hint="eastAsia" w:ascii="仿宋_GB2312" w:eastAsia="仿宋_GB2312" w:cs="仿宋_GB2312"/>
          <w:sz w:val="32"/>
          <w:szCs w:val="32"/>
        </w:rPr>
        <w:t>，该项目经市财政局批复下达后，全部用于该项目，项目经费由市财政局国库支付中心直接支付，经费使用合理。</w:t>
      </w:r>
    </w:p>
    <w:p>
      <w:pPr>
        <w:spacing w:line="500" w:lineRule="exact"/>
        <w:ind w:firstLine="640" w:firstLineChars="200"/>
        <w:rPr>
          <w:rFonts w:ascii="楷体_GB2312" w:hAnsi="楷体" w:eastAsia="楷体_GB2312" w:cs="楷体"/>
          <w:color w:val="000000"/>
          <w:sz w:val="32"/>
          <w:szCs w:val="32"/>
        </w:rPr>
      </w:pPr>
      <w:r>
        <w:rPr>
          <w:rFonts w:hint="eastAsia" w:ascii="楷体_GB2312" w:hAnsi="楷体" w:eastAsia="楷体_GB2312" w:cs="楷体"/>
          <w:color w:val="000000"/>
          <w:sz w:val="32"/>
          <w:szCs w:val="32"/>
        </w:rPr>
        <w:t>（二）资金计划、到位及使用情况</w:t>
      </w:r>
    </w:p>
    <w:p>
      <w:pPr>
        <w:tabs>
          <w:tab w:val="center" w:pos="4153"/>
        </w:tabs>
        <w:spacing w:line="50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资金计划。市财政局年中追加广元市政府效率提升研究项目经费</w:t>
      </w:r>
      <w:r>
        <w:rPr>
          <w:rFonts w:ascii="仿宋_GB2312" w:eastAsia="仿宋_GB2312"/>
          <w:sz w:val="32"/>
          <w:szCs w:val="32"/>
        </w:rPr>
        <w:t>25</w:t>
      </w:r>
      <w:r>
        <w:rPr>
          <w:rFonts w:hint="eastAsia" w:ascii="仿宋_GB2312" w:eastAsia="仿宋_GB2312"/>
          <w:sz w:val="32"/>
          <w:szCs w:val="32"/>
        </w:rPr>
        <w:t>万元，资金为一般公共预算。</w:t>
      </w:r>
    </w:p>
    <w:p>
      <w:pPr>
        <w:tabs>
          <w:tab w:val="center" w:pos="4153"/>
        </w:tabs>
        <w:spacing w:line="50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资金到位。截止</w:t>
      </w:r>
      <w:r>
        <w:rPr>
          <w:rFonts w:ascii="仿宋_GB2312" w:eastAsia="仿宋_GB2312"/>
          <w:sz w:val="32"/>
          <w:szCs w:val="32"/>
        </w:rPr>
        <w:t>2022</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月，计划资金全部到位，金额</w:t>
      </w:r>
      <w:r>
        <w:rPr>
          <w:rFonts w:ascii="仿宋_GB2312" w:eastAsia="仿宋_GB2312"/>
          <w:sz w:val="32"/>
          <w:szCs w:val="32"/>
        </w:rPr>
        <w:t>25</w:t>
      </w:r>
      <w:r>
        <w:rPr>
          <w:rFonts w:hint="eastAsia" w:ascii="仿宋_GB2312" w:eastAsia="仿宋_GB2312"/>
          <w:sz w:val="32"/>
          <w:szCs w:val="32"/>
        </w:rPr>
        <w:t>万元。</w:t>
      </w:r>
    </w:p>
    <w:p>
      <w:pPr>
        <w:tabs>
          <w:tab w:val="center" w:pos="4153"/>
        </w:tabs>
        <w:spacing w:line="50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资金使用。截止</w:t>
      </w:r>
      <w:r>
        <w:rPr>
          <w:rFonts w:ascii="仿宋_GB2312" w:eastAsia="仿宋_GB2312"/>
          <w:sz w:val="32"/>
          <w:szCs w:val="32"/>
        </w:rPr>
        <w:t>2022</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月底，广元市政府效率提升研究项目经费共计</w:t>
      </w:r>
      <w:r>
        <w:rPr>
          <w:rFonts w:ascii="仿宋_GB2312" w:eastAsia="仿宋_GB2312"/>
          <w:sz w:val="32"/>
          <w:szCs w:val="32"/>
        </w:rPr>
        <w:t>25</w:t>
      </w:r>
      <w:r>
        <w:rPr>
          <w:rFonts w:hint="eastAsia" w:ascii="仿宋_GB2312" w:eastAsia="仿宋_GB2312"/>
          <w:sz w:val="32"/>
          <w:szCs w:val="32"/>
        </w:rPr>
        <w:t>万元，已支付</w:t>
      </w:r>
      <w:r>
        <w:rPr>
          <w:rFonts w:ascii="仿宋_GB2312" w:eastAsia="仿宋_GB2312"/>
          <w:sz w:val="32"/>
          <w:szCs w:val="32"/>
        </w:rPr>
        <w:t>25</w:t>
      </w:r>
      <w:r>
        <w:rPr>
          <w:rFonts w:hint="eastAsia" w:ascii="仿宋_GB2312" w:eastAsia="仿宋_GB2312"/>
          <w:sz w:val="32"/>
          <w:szCs w:val="32"/>
        </w:rPr>
        <w:t>万元，主要用于政府效率提升研究和发布工作。</w:t>
      </w:r>
    </w:p>
    <w:p>
      <w:pPr>
        <w:spacing w:line="500" w:lineRule="exact"/>
        <w:ind w:firstLine="640" w:firstLineChars="200"/>
        <w:rPr>
          <w:rFonts w:ascii="楷体_GB2312" w:hAnsi="楷体" w:eastAsia="楷体_GB2312" w:cs="楷体"/>
          <w:color w:val="000000"/>
          <w:sz w:val="32"/>
          <w:szCs w:val="32"/>
        </w:rPr>
      </w:pPr>
      <w:r>
        <w:rPr>
          <w:rFonts w:hint="eastAsia" w:ascii="楷体_GB2312" w:hAnsi="楷体" w:eastAsia="楷体_GB2312" w:cs="楷体"/>
          <w:color w:val="000000"/>
          <w:sz w:val="32"/>
          <w:szCs w:val="32"/>
        </w:rPr>
        <w:t>（三）项目财务管理情况</w:t>
      </w:r>
    </w:p>
    <w:p>
      <w:pPr>
        <w:tabs>
          <w:tab w:val="center" w:pos="4153"/>
        </w:tabs>
        <w:spacing w:line="500" w:lineRule="exact"/>
        <w:ind w:firstLine="640" w:firstLineChars="200"/>
        <w:rPr>
          <w:rFonts w:ascii="仿宋_GB2312" w:eastAsia="仿宋_GB2312"/>
          <w:sz w:val="32"/>
          <w:szCs w:val="32"/>
        </w:rPr>
      </w:pPr>
      <w:r>
        <w:rPr>
          <w:rFonts w:hint="eastAsia" w:ascii="仿宋_GB2312" w:eastAsia="仿宋_GB2312"/>
          <w:sz w:val="32"/>
          <w:szCs w:val="32"/>
        </w:rPr>
        <w:t>项目资金到位后，严格按照财务相关管理制度及流程进行管理，全部资金都用于该项目支出，无被截留、挤占、挪用的现象。</w:t>
      </w:r>
    </w:p>
    <w:p>
      <w:pPr>
        <w:tabs>
          <w:tab w:val="center" w:pos="4153"/>
        </w:tabs>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三、项目实施及管理情况</w:t>
      </w:r>
    </w:p>
    <w:p>
      <w:pPr>
        <w:spacing w:line="500" w:lineRule="exact"/>
        <w:ind w:firstLine="640" w:firstLineChars="200"/>
        <w:rPr>
          <w:rFonts w:ascii="楷体_GB2312" w:hAnsi="楷体" w:eastAsia="楷体_GB2312" w:cs="楷体"/>
          <w:color w:val="000000"/>
          <w:sz w:val="32"/>
          <w:szCs w:val="32"/>
        </w:rPr>
      </w:pPr>
      <w:r>
        <w:rPr>
          <w:rFonts w:hint="eastAsia" w:ascii="楷体_GB2312" w:hAnsi="楷体" w:eastAsia="楷体_GB2312" w:cs="楷体"/>
          <w:color w:val="000000"/>
          <w:sz w:val="32"/>
          <w:szCs w:val="32"/>
        </w:rPr>
        <w:t>（一）项目组织架构及实施流程。</w:t>
      </w:r>
    </w:p>
    <w:p>
      <w:pPr>
        <w:tabs>
          <w:tab w:val="center" w:pos="4153"/>
        </w:tabs>
        <w:spacing w:line="500" w:lineRule="exact"/>
        <w:ind w:firstLine="640" w:firstLineChars="200"/>
        <w:rPr>
          <w:rFonts w:ascii="仿宋_GB2312" w:eastAsia="仿宋_GB2312"/>
          <w:sz w:val="32"/>
          <w:szCs w:val="32"/>
        </w:rPr>
      </w:pPr>
      <w:r>
        <w:rPr>
          <w:rFonts w:hint="eastAsia" w:ascii="仿宋_GB2312" w:eastAsia="仿宋_GB2312"/>
          <w:sz w:val="32"/>
          <w:szCs w:val="32"/>
        </w:rPr>
        <w:t>我办党组高度重视该工作，安排营商环境执行牵头该工作，并完成合同签订及实施工作。</w:t>
      </w:r>
    </w:p>
    <w:p>
      <w:pPr>
        <w:spacing w:line="500" w:lineRule="exact"/>
        <w:ind w:firstLine="640" w:firstLineChars="200"/>
        <w:rPr>
          <w:rFonts w:ascii="楷体_GB2312" w:hAnsi="楷体" w:eastAsia="楷体_GB2312" w:cs="楷体"/>
          <w:color w:val="000000"/>
          <w:sz w:val="32"/>
          <w:szCs w:val="32"/>
        </w:rPr>
      </w:pPr>
      <w:r>
        <w:rPr>
          <w:rFonts w:hint="eastAsia" w:ascii="楷体_GB2312" w:hAnsi="楷体" w:eastAsia="楷体_GB2312" w:cs="楷体"/>
          <w:color w:val="000000"/>
          <w:sz w:val="32"/>
          <w:szCs w:val="32"/>
        </w:rPr>
        <w:t>（二）项目管理情况。</w:t>
      </w:r>
    </w:p>
    <w:p>
      <w:pPr>
        <w:tabs>
          <w:tab w:val="center" w:pos="4153"/>
        </w:tabs>
        <w:spacing w:line="500" w:lineRule="exact"/>
        <w:ind w:firstLine="640" w:firstLineChars="20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广元市政府效率提升研究项目采取工作领导小组负责制，全体成员积极配合、通力合作。工作领导小组负责协调相关工作，项目实施及资金管理。</w:t>
      </w:r>
    </w:p>
    <w:p>
      <w:pPr>
        <w:spacing w:line="500" w:lineRule="exact"/>
        <w:ind w:firstLine="640" w:firstLineChars="200"/>
        <w:rPr>
          <w:rFonts w:ascii="楷体_GB2312" w:hAnsi="楷体" w:eastAsia="楷体_GB2312" w:cs="楷体"/>
          <w:color w:val="000000"/>
          <w:sz w:val="32"/>
          <w:szCs w:val="32"/>
        </w:rPr>
      </w:pPr>
      <w:r>
        <w:rPr>
          <w:rFonts w:hint="eastAsia" w:ascii="楷体_GB2312" w:hAnsi="楷体" w:eastAsia="楷体_GB2312" w:cs="楷体"/>
          <w:color w:val="000000"/>
          <w:sz w:val="32"/>
          <w:szCs w:val="32"/>
        </w:rPr>
        <w:t>（三）项目监管情况。</w:t>
      </w:r>
    </w:p>
    <w:p>
      <w:pPr>
        <w:tabs>
          <w:tab w:val="center" w:pos="4153"/>
        </w:tabs>
        <w:spacing w:line="500" w:lineRule="exact"/>
        <w:ind w:firstLine="640" w:firstLineChars="200"/>
        <w:rPr>
          <w:rFonts w:ascii="仿宋_GB2312" w:eastAsia="仿宋_GB2312"/>
          <w:sz w:val="32"/>
          <w:szCs w:val="32"/>
        </w:rPr>
      </w:pPr>
      <w:r>
        <w:rPr>
          <w:rFonts w:hint="eastAsia" w:ascii="仿宋_GB2312" w:eastAsia="仿宋_GB2312"/>
          <w:sz w:val="32"/>
          <w:szCs w:val="32"/>
        </w:rPr>
        <w:t>项目资金由市政府办归口科室具体管理，对项目资金按项目实行“专款专用”，不得挤占挪用项目资金。强化监督，项目的正常实施监督检查是保障。</w:t>
      </w:r>
    </w:p>
    <w:p>
      <w:pPr>
        <w:tabs>
          <w:tab w:val="center" w:pos="4153"/>
        </w:tabs>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四、目标完成情况</w:t>
      </w:r>
      <w:r>
        <w:rPr>
          <w:rFonts w:ascii="黑体" w:hAnsi="黑体" w:eastAsia="黑体" w:cs="黑体"/>
          <w:sz w:val="32"/>
          <w:szCs w:val="32"/>
        </w:rPr>
        <w:t xml:space="preserve"> </w:t>
      </w:r>
    </w:p>
    <w:p>
      <w:pPr>
        <w:tabs>
          <w:tab w:val="center" w:pos="4153"/>
        </w:tabs>
        <w:spacing w:line="500" w:lineRule="exact"/>
        <w:ind w:firstLine="640" w:firstLineChars="200"/>
        <w:rPr>
          <w:rFonts w:hint="eastAsia" w:ascii="仿宋_GB2312" w:eastAsia="仿宋_GB2312"/>
          <w:sz w:val="32"/>
          <w:szCs w:val="32"/>
          <w:lang w:val="en-US" w:eastAsia="zh-CN"/>
        </w:rPr>
      </w:pPr>
      <w:r>
        <w:rPr>
          <w:rFonts w:hint="eastAsia" w:ascii="楷体_GB2312" w:eastAsia="楷体_GB2312"/>
          <w:sz w:val="32"/>
          <w:szCs w:val="32"/>
        </w:rPr>
        <w:t>（一）目标完成情况。</w:t>
      </w:r>
      <w:r>
        <w:rPr>
          <w:rFonts w:hint="eastAsia" w:ascii="仿宋_GB2312" w:eastAsia="仿宋_GB2312"/>
          <w:sz w:val="32"/>
          <w:szCs w:val="32"/>
        </w:rPr>
        <w:t>截止</w:t>
      </w:r>
      <w:r>
        <w:rPr>
          <w:rFonts w:ascii="仿宋_GB2312" w:eastAsia="仿宋_GB2312"/>
          <w:sz w:val="32"/>
          <w:szCs w:val="32"/>
        </w:rPr>
        <w:t>2022</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月底，全面完成了该项目数量指标、时效指标、成本等指标数，该项目有效提高办公效率及满意度</w:t>
      </w:r>
      <w:r>
        <w:rPr>
          <w:rFonts w:hint="eastAsia" w:ascii="仿宋_GB2312" w:eastAsia="仿宋_GB2312"/>
          <w:sz w:val="32"/>
          <w:szCs w:val="32"/>
          <w:lang w:eastAsia="zh-CN"/>
        </w:rPr>
        <w:t>（详见附表）</w:t>
      </w:r>
      <w:r>
        <w:rPr>
          <w:rFonts w:hint="eastAsia" w:ascii="仿宋_GB2312" w:eastAsia="仿宋_GB2312"/>
          <w:sz w:val="32"/>
          <w:szCs w:val="32"/>
        </w:rPr>
        <w:t>。</w:t>
      </w:r>
    </w:p>
    <w:p>
      <w:pPr>
        <w:tabs>
          <w:tab w:val="center" w:pos="4153"/>
        </w:tabs>
        <w:spacing w:line="500" w:lineRule="exact"/>
        <w:ind w:firstLine="640" w:firstLineChars="200"/>
        <w:rPr>
          <w:rFonts w:ascii="仿宋_GB2312" w:eastAsia="仿宋_GB2312"/>
          <w:sz w:val="32"/>
          <w:szCs w:val="32"/>
        </w:rPr>
      </w:pPr>
      <w:r>
        <w:rPr>
          <w:rFonts w:hint="eastAsia" w:ascii="楷体_GB2312" w:eastAsia="楷体_GB2312"/>
          <w:sz w:val="32"/>
          <w:szCs w:val="32"/>
        </w:rPr>
        <w:t>（二）目标效益情况。</w:t>
      </w:r>
      <w:r>
        <w:rPr>
          <w:rFonts w:hint="eastAsia" w:ascii="仿宋_GB2312" w:eastAsia="仿宋_GB2312"/>
          <w:sz w:val="32"/>
          <w:szCs w:val="32"/>
        </w:rPr>
        <w:t>广元市政府效率提升研究项目在市委市政府的领导下、在各科室的通力合作下，顺利推进，圆满完成任务，满意度为</w:t>
      </w:r>
      <w:r>
        <w:rPr>
          <w:rFonts w:ascii="仿宋_GB2312" w:eastAsia="仿宋_GB2312"/>
          <w:sz w:val="32"/>
          <w:szCs w:val="32"/>
        </w:rPr>
        <w:t>100%</w:t>
      </w:r>
      <w:r>
        <w:rPr>
          <w:rFonts w:hint="eastAsia" w:ascii="仿宋_GB2312" w:eastAsia="仿宋_GB2312"/>
          <w:sz w:val="32"/>
          <w:szCs w:val="32"/>
        </w:rPr>
        <w:t>。</w:t>
      </w:r>
    </w:p>
    <w:p>
      <w:pPr>
        <w:tabs>
          <w:tab w:val="center" w:pos="4153"/>
        </w:tabs>
        <w:spacing w:line="500" w:lineRule="exact"/>
        <w:ind w:firstLine="640" w:firstLineChars="200"/>
        <w:rPr>
          <w:rFonts w:hint="eastAsia" w:ascii="黑体" w:eastAsia="黑体"/>
          <w:sz w:val="32"/>
          <w:szCs w:val="32"/>
        </w:rPr>
      </w:pPr>
      <w:r>
        <w:rPr>
          <w:rFonts w:hint="eastAsia" w:ascii="黑体" w:eastAsia="黑体"/>
          <w:sz w:val="32"/>
          <w:szCs w:val="32"/>
        </w:rPr>
        <w:t>五、评价结论及建议</w:t>
      </w:r>
    </w:p>
    <w:p>
      <w:pPr>
        <w:tabs>
          <w:tab w:val="center" w:pos="4153"/>
        </w:tabs>
        <w:spacing w:line="500" w:lineRule="exact"/>
        <w:ind w:firstLine="640" w:firstLineChars="200"/>
        <w:rPr>
          <w:rFonts w:ascii="仿宋_GB2312" w:eastAsia="仿宋_GB2312"/>
          <w:sz w:val="32"/>
          <w:szCs w:val="32"/>
        </w:rPr>
      </w:pPr>
      <w:r>
        <w:rPr>
          <w:rFonts w:hint="eastAsia" w:ascii="楷体_GB2312" w:eastAsia="楷体_GB2312"/>
          <w:sz w:val="32"/>
          <w:szCs w:val="32"/>
        </w:rPr>
        <w:t>（一）评价结论。</w:t>
      </w:r>
      <w:r>
        <w:rPr>
          <w:rFonts w:hint="eastAsia" w:ascii="仿宋_GB2312" w:eastAsia="仿宋_GB2312"/>
          <w:sz w:val="32"/>
          <w:szCs w:val="32"/>
        </w:rPr>
        <w:t>截止</w:t>
      </w:r>
      <w:r>
        <w:rPr>
          <w:rFonts w:ascii="仿宋_GB2312" w:eastAsia="仿宋_GB2312"/>
          <w:sz w:val="32"/>
          <w:szCs w:val="32"/>
        </w:rPr>
        <w:t>2022</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月底，市政府效率提升研究项目任务完成较好，该项目绩效目标编制明确量化，财务管理制度规范，内控制度健全，财政资金收支情况良好，财政支出绩效评价较好。通过对该项目绩效的分析和评价，自评得分</w:t>
      </w:r>
      <w:r>
        <w:rPr>
          <w:rFonts w:ascii="仿宋_GB2312" w:eastAsia="仿宋_GB2312"/>
          <w:sz w:val="32"/>
          <w:szCs w:val="32"/>
        </w:rPr>
        <w:t>100</w:t>
      </w:r>
      <w:r>
        <w:rPr>
          <w:rFonts w:hint="eastAsia" w:ascii="仿宋_GB2312" w:eastAsia="仿宋_GB2312"/>
          <w:sz w:val="32"/>
          <w:szCs w:val="32"/>
        </w:rPr>
        <w:t>分。</w:t>
      </w:r>
    </w:p>
    <w:p>
      <w:pPr>
        <w:tabs>
          <w:tab w:val="center" w:pos="4153"/>
        </w:tabs>
        <w:spacing w:line="500" w:lineRule="exact"/>
        <w:rPr>
          <w:rFonts w:ascii="仿宋_GB2312" w:eastAsia="仿宋_GB2312"/>
          <w:sz w:val="32"/>
          <w:szCs w:val="32"/>
        </w:rPr>
      </w:pPr>
      <w:r>
        <w:rPr>
          <w:rFonts w:ascii="仿宋_GB2312" w:eastAsia="仿宋_GB2312"/>
          <w:sz w:val="32"/>
          <w:szCs w:val="32"/>
        </w:rPr>
        <w:t xml:space="preserve">    </w:t>
      </w:r>
      <w:r>
        <w:rPr>
          <w:rFonts w:hint="eastAsia" w:ascii="楷体_GB2312" w:eastAsia="楷体_GB2312"/>
          <w:sz w:val="32"/>
          <w:szCs w:val="32"/>
        </w:rPr>
        <w:t>（二）存在问题。</w:t>
      </w:r>
      <w:r>
        <w:rPr>
          <w:rFonts w:hint="eastAsia" w:ascii="仿宋_GB2312" w:eastAsia="仿宋_GB2312"/>
          <w:sz w:val="32"/>
          <w:szCs w:val="32"/>
        </w:rPr>
        <w:t>一是全权授权需进一步落实，二是职能部门服务意识有待进一步提高，三是执法行为需进一步规范。</w:t>
      </w:r>
    </w:p>
    <w:p>
      <w:pPr>
        <w:tabs>
          <w:tab w:val="center" w:pos="4153"/>
        </w:tabs>
        <w:spacing w:line="500" w:lineRule="exact"/>
        <w:ind w:firstLine="640" w:firstLineChars="200"/>
        <w:rPr>
          <w:rFonts w:ascii="仿宋_GB2312" w:hAnsi="仿宋" w:eastAsia="仿宋_GB2312" w:cs="仿宋"/>
          <w:sz w:val="32"/>
          <w:szCs w:val="32"/>
        </w:rPr>
      </w:pPr>
      <w:r>
        <w:rPr>
          <w:rFonts w:hint="eastAsia" w:ascii="楷体_GB2312" w:eastAsia="楷体_GB2312"/>
          <w:sz w:val="32"/>
          <w:szCs w:val="32"/>
        </w:rPr>
        <w:t>（三）相关建议。</w:t>
      </w:r>
      <w:r>
        <w:rPr>
          <w:rFonts w:hint="eastAsia" w:ascii="仿宋_GB2312" w:eastAsia="仿宋_GB2312"/>
          <w:sz w:val="32"/>
          <w:szCs w:val="32"/>
        </w:rPr>
        <w:t>一是改进工作方式和工作方法，转变工作作风，二是大力推进创新机制，加强责任追究，严格执行制度，三是加强长效机制建设。</w:t>
      </w:r>
    </w:p>
    <w:p>
      <w:pPr>
        <w:spacing w:line="540" w:lineRule="exact"/>
        <w:jc w:val="center"/>
        <w:rPr>
          <w:rFonts w:hAnsi="宋体"/>
          <w:color w:val="000000"/>
          <w:w w:val="95"/>
          <w:sz w:val="44"/>
          <w:szCs w:val="44"/>
        </w:rPr>
      </w:pPr>
      <w:r>
        <w:rPr>
          <w:rFonts w:ascii="黑体" w:hAnsi="黑体" w:eastAsia="黑体" w:cs="黑体"/>
          <w:sz w:val="32"/>
          <w:szCs w:val="32"/>
        </w:rPr>
        <w:br w:type="page"/>
      </w:r>
      <w:r>
        <w:rPr>
          <w:rFonts w:hAnsi="宋体"/>
          <w:color w:val="000000"/>
          <w:w w:val="95"/>
          <w:sz w:val="44"/>
          <w:szCs w:val="44"/>
        </w:rPr>
        <w:t>2022</w:t>
      </w:r>
      <w:r>
        <w:rPr>
          <w:rFonts w:hint="eastAsia" w:hAnsi="宋体"/>
          <w:color w:val="000000"/>
          <w:w w:val="95"/>
          <w:sz w:val="44"/>
          <w:szCs w:val="44"/>
        </w:rPr>
        <w:t>年市级专项资金预算项目支出绩效自评报告</w:t>
      </w:r>
    </w:p>
    <w:p>
      <w:pPr>
        <w:spacing w:line="540" w:lineRule="exact"/>
        <w:jc w:val="center"/>
        <w:rPr>
          <w:rFonts w:hint="eastAsia" w:ascii="楷体_GB2312" w:hAnsi="楷体" w:eastAsia="楷体_GB2312" w:cs="楷体"/>
          <w:color w:val="000000"/>
          <w:sz w:val="32"/>
          <w:szCs w:val="32"/>
        </w:rPr>
      </w:pPr>
      <w:r>
        <w:rPr>
          <w:rFonts w:hint="eastAsia" w:ascii="楷体_GB2312" w:hAnsi="楷体" w:eastAsia="楷体_GB2312" w:cs="楷体"/>
          <w:color w:val="000000"/>
          <w:sz w:val="32"/>
          <w:szCs w:val="32"/>
        </w:rPr>
        <w:t>（市行政中心幕墙翻新、重大节日氛围营造经费）</w:t>
      </w:r>
    </w:p>
    <w:p>
      <w:pPr>
        <w:spacing w:line="540" w:lineRule="exact"/>
        <w:rPr>
          <w:rFonts w:ascii="仿宋" w:hAnsi="仿宋" w:eastAsia="仿宋" w:cs="仿宋"/>
          <w:color w:val="000000"/>
          <w:sz w:val="32"/>
          <w:szCs w:val="32"/>
        </w:rPr>
      </w:pPr>
    </w:p>
    <w:p>
      <w:pPr>
        <w:spacing w:line="54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一、项目概况</w:t>
      </w:r>
    </w:p>
    <w:p>
      <w:pPr>
        <w:spacing w:line="540" w:lineRule="exact"/>
        <w:ind w:firstLine="640" w:firstLineChars="200"/>
        <w:rPr>
          <w:rFonts w:hint="eastAsia" w:ascii="楷体_GB2312" w:hAnsi="楷体" w:eastAsia="楷体_GB2312" w:cs="楷体"/>
          <w:color w:val="000000"/>
          <w:sz w:val="32"/>
          <w:szCs w:val="32"/>
        </w:rPr>
      </w:pPr>
      <w:r>
        <w:rPr>
          <w:rFonts w:hint="eastAsia" w:ascii="楷体_GB2312" w:hAnsi="楷体" w:eastAsia="楷体_GB2312" w:cs="楷体"/>
          <w:color w:val="000000"/>
          <w:sz w:val="32"/>
          <w:szCs w:val="32"/>
        </w:rPr>
        <w:t>（一）项目基本情况。</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为保持市行政中心为人民服务幕墙庄重整洁，每年必须进行翻新处理。为营造喜庆祥和的节日氛围，按照市委宣传部统一部署，市政府办公室负责重大节日行政中心氛围营造工作，经费</w:t>
      </w:r>
      <w:r>
        <w:rPr>
          <w:rFonts w:ascii="仿宋_GB2312" w:eastAsia="仿宋_GB2312"/>
          <w:sz w:val="32"/>
          <w:szCs w:val="32"/>
        </w:rPr>
        <w:t>20</w:t>
      </w:r>
      <w:r>
        <w:rPr>
          <w:rFonts w:hint="eastAsia" w:ascii="仿宋_GB2312" w:eastAsia="仿宋_GB2312"/>
          <w:sz w:val="32"/>
          <w:szCs w:val="32"/>
        </w:rPr>
        <w:t>万元，资金为一般公共预算。</w:t>
      </w:r>
    </w:p>
    <w:p>
      <w:pPr>
        <w:spacing w:line="540" w:lineRule="exact"/>
        <w:ind w:firstLine="640" w:firstLineChars="200"/>
        <w:rPr>
          <w:rFonts w:ascii="楷体_GB2312" w:hAnsi="楷体" w:eastAsia="楷体_GB2312" w:cs="楷体"/>
          <w:color w:val="000000"/>
          <w:sz w:val="32"/>
          <w:szCs w:val="32"/>
        </w:rPr>
      </w:pPr>
      <w:r>
        <w:rPr>
          <w:rFonts w:hint="eastAsia" w:ascii="楷体_GB2312" w:hAnsi="楷体" w:eastAsia="楷体_GB2312" w:cs="楷体"/>
          <w:color w:val="000000"/>
          <w:sz w:val="32"/>
          <w:szCs w:val="32"/>
        </w:rPr>
        <w:t>（二）项目绩效目标。</w:t>
      </w:r>
    </w:p>
    <w:p>
      <w:pPr>
        <w:spacing w:line="540" w:lineRule="exact"/>
        <w:ind w:firstLine="640" w:firstLineChars="200"/>
        <w:rPr>
          <w:rFonts w:ascii="仿宋_GB2312" w:eastAsia="仿宋_GB2312" w:cs="仿宋_GB2312"/>
          <w:sz w:val="32"/>
          <w:szCs w:val="32"/>
        </w:rPr>
      </w:pPr>
      <w:r>
        <w:rPr>
          <w:rFonts w:ascii="仿宋_GB2312" w:eastAsia="仿宋_GB2312"/>
          <w:sz w:val="32"/>
          <w:szCs w:val="32"/>
        </w:rPr>
        <w:t>1.</w:t>
      </w:r>
      <w:r>
        <w:rPr>
          <w:rFonts w:hint="eastAsia" w:ascii="仿宋_GB2312" w:eastAsia="仿宋_GB2312"/>
          <w:sz w:val="32"/>
          <w:szCs w:val="32"/>
        </w:rPr>
        <w:t>项目主要内容。每年为市行政中心为人民服务幕墙进行翻新处理</w:t>
      </w:r>
      <w:r>
        <w:rPr>
          <w:rFonts w:hint="eastAsia" w:ascii="仿宋_GB2312" w:eastAsia="仿宋_GB2312" w:cs="仿宋_GB2312"/>
          <w:sz w:val="32"/>
          <w:szCs w:val="32"/>
        </w:rPr>
        <w:t>，经费预算</w:t>
      </w:r>
      <w:r>
        <w:rPr>
          <w:rFonts w:ascii="仿宋_GB2312" w:eastAsia="仿宋_GB2312" w:cs="仿宋_GB2312"/>
          <w:sz w:val="32"/>
          <w:szCs w:val="32"/>
        </w:rPr>
        <w:t>20</w:t>
      </w:r>
      <w:r>
        <w:rPr>
          <w:rFonts w:hint="eastAsia" w:ascii="仿宋_GB2312" w:eastAsia="仿宋_GB2312" w:cs="仿宋_GB2312"/>
          <w:sz w:val="32"/>
          <w:szCs w:val="32"/>
        </w:rPr>
        <w:t>万元。</w:t>
      </w:r>
    </w:p>
    <w:p>
      <w:pPr>
        <w:snapToGrid w:val="0"/>
        <w:spacing w:line="540" w:lineRule="exact"/>
        <w:ind w:firstLine="72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具体绩效目标。</w:t>
      </w:r>
      <w:r>
        <w:rPr>
          <w:rFonts w:ascii="仿宋_GB2312" w:eastAsia="仿宋_GB2312"/>
          <w:sz w:val="32"/>
          <w:szCs w:val="32"/>
        </w:rPr>
        <w:t>2022</w:t>
      </w:r>
      <w:r>
        <w:rPr>
          <w:rFonts w:hint="eastAsia" w:ascii="仿宋_GB2312" w:eastAsia="仿宋_GB2312"/>
          <w:sz w:val="32"/>
          <w:szCs w:val="32"/>
        </w:rPr>
        <w:t>年，该项目本着真正过紧日子的原则，厉行节约、精打细算，从严控制项目经费；该项目</w:t>
      </w:r>
      <w:r>
        <w:rPr>
          <w:rFonts w:ascii="仿宋_GB2312" w:eastAsia="仿宋_GB2312"/>
          <w:sz w:val="32"/>
          <w:szCs w:val="32"/>
        </w:rPr>
        <w:t>2022</w:t>
      </w:r>
      <w:r>
        <w:rPr>
          <w:rFonts w:hint="eastAsia" w:ascii="仿宋_GB2312" w:eastAsia="仿宋_GB2312"/>
          <w:sz w:val="32"/>
          <w:szCs w:val="32"/>
        </w:rPr>
        <w:t>年共计翻新幕墙</w:t>
      </w:r>
      <w:r>
        <w:rPr>
          <w:rFonts w:ascii="仿宋_GB2312" w:eastAsia="仿宋_GB2312"/>
          <w:sz w:val="32"/>
          <w:szCs w:val="32"/>
        </w:rPr>
        <w:t>4</w:t>
      </w:r>
      <w:r>
        <w:rPr>
          <w:rFonts w:hint="eastAsia" w:ascii="仿宋_GB2312" w:eastAsia="仿宋_GB2312"/>
          <w:sz w:val="32"/>
          <w:szCs w:val="32"/>
        </w:rPr>
        <w:t>次，达到了预期使用效果。</w:t>
      </w:r>
    </w:p>
    <w:p>
      <w:pPr>
        <w:tabs>
          <w:tab w:val="center" w:pos="4153"/>
        </w:tabs>
        <w:spacing w:line="540" w:lineRule="exact"/>
        <w:ind w:firstLine="640" w:firstLineChars="200"/>
      </w:pPr>
      <w:r>
        <w:rPr>
          <w:rFonts w:ascii="仿宋_GB2312" w:eastAsia="仿宋_GB2312"/>
          <w:sz w:val="32"/>
          <w:szCs w:val="32"/>
        </w:rPr>
        <w:t>3.</w:t>
      </w:r>
      <w:r>
        <w:rPr>
          <w:rFonts w:hint="eastAsia" w:ascii="仿宋_GB2312" w:eastAsia="仿宋_GB2312"/>
          <w:sz w:val="32"/>
          <w:szCs w:val="32"/>
        </w:rPr>
        <w:t>申报内容与实际比较。</w:t>
      </w:r>
      <w:r>
        <w:rPr>
          <w:rFonts w:ascii="仿宋_GB2312" w:eastAsia="仿宋_GB2312"/>
          <w:sz w:val="32"/>
          <w:szCs w:val="32"/>
        </w:rPr>
        <w:tab/>
      </w:r>
      <w:r>
        <w:rPr>
          <w:rFonts w:hint="eastAsia" w:ascii="仿宋_GB2312" w:eastAsia="仿宋_GB2312"/>
          <w:sz w:val="32"/>
          <w:szCs w:val="32"/>
        </w:rPr>
        <w:t>结合事前绩效、事中绩效和实际比较，申报内容准确无偏差，项目实施进度快，申报内容与实际相符，申报内容合理可行。</w:t>
      </w:r>
    </w:p>
    <w:p>
      <w:pPr>
        <w:spacing w:line="540" w:lineRule="exact"/>
        <w:ind w:firstLine="640" w:firstLineChars="200"/>
        <w:rPr>
          <w:rFonts w:ascii="楷体_GB2312" w:hAnsi="楷体" w:eastAsia="楷体_GB2312" w:cs="楷体"/>
          <w:color w:val="000000"/>
          <w:sz w:val="32"/>
          <w:szCs w:val="32"/>
        </w:rPr>
      </w:pPr>
      <w:r>
        <w:rPr>
          <w:rFonts w:hint="eastAsia" w:ascii="楷体_GB2312" w:hAnsi="楷体" w:eastAsia="楷体_GB2312" w:cs="楷体"/>
          <w:color w:val="000000"/>
          <w:sz w:val="32"/>
          <w:szCs w:val="32"/>
        </w:rPr>
        <w:t>（三）项目自评步骤及方法。</w:t>
      </w:r>
    </w:p>
    <w:p>
      <w:pPr>
        <w:tabs>
          <w:tab w:val="center" w:pos="4153"/>
        </w:tabs>
        <w:spacing w:line="540" w:lineRule="exact"/>
        <w:ind w:firstLine="640" w:firstLineChars="200"/>
        <w:rPr>
          <w:rFonts w:ascii="仿宋_GB2312" w:eastAsia="仿宋_GB2312"/>
          <w:sz w:val="32"/>
          <w:szCs w:val="32"/>
        </w:rPr>
      </w:pPr>
      <w:r>
        <w:rPr>
          <w:rFonts w:hint="eastAsia" w:ascii="仿宋_GB2312" w:eastAsia="仿宋_GB2312"/>
          <w:sz w:val="32"/>
          <w:szCs w:val="32"/>
        </w:rPr>
        <w:t>项目采取自评与他评相结合方式，成立项目自评小组，结合评价内容，做到有计划，有安排，有奖惩，扎实开展本次自评工作。按照市财政局下达的项目支出绩效评价指标体系，自评小组针对申报内容、实施情况、资金兑现、财务管理、社会效益等做出自我评价，认真听取建议意见，做好自评工作。</w:t>
      </w:r>
    </w:p>
    <w:p>
      <w:pPr>
        <w:tabs>
          <w:tab w:val="center" w:pos="4153"/>
        </w:tabs>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二、项目资金申报及使用情况</w:t>
      </w:r>
    </w:p>
    <w:p>
      <w:pPr>
        <w:spacing w:line="540" w:lineRule="exact"/>
        <w:ind w:firstLine="640" w:firstLineChars="200"/>
        <w:rPr>
          <w:rFonts w:ascii="楷体_GB2312" w:hAnsi="楷体" w:eastAsia="楷体_GB2312" w:cs="楷体"/>
          <w:color w:val="000000"/>
          <w:sz w:val="32"/>
          <w:szCs w:val="32"/>
        </w:rPr>
      </w:pPr>
      <w:r>
        <w:rPr>
          <w:rFonts w:hint="eastAsia" w:ascii="楷体_GB2312" w:hAnsi="楷体" w:eastAsia="楷体_GB2312" w:cs="楷体"/>
          <w:color w:val="000000"/>
          <w:sz w:val="32"/>
          <w:szCs w:val="32"/>
        </w:rPr>
        <w:t>（一）项目资金申报及批复情况</w:t>
      </w:r>
    </w:p>
    <w:p>
      <w:pPr>
        <w:tabs>
          <w:tab w:val="center" w:pos="4153"/>
        </w:tabs>
        <w:spacing w:line="540" w:lineRule="exact"/>
        <w:ind w:firstLine="640" w:firstLineChars="200"/>
      </w:pPr>
      <w:r>
        <w:rPr>
          <w:rFonts w:ascii="仿宋_GB2312" w:eastAsia="仿宋_GB2312"/>
          <w:sz w:val="32"/>
          <w:szCs w:val="32"/>
        </w:rPr>
        <w:t xml:space="preserve"> </w:t>
      </w:r>
      <w:r>
        <w:rPr>
          <w:rFonts w:hint="eastAsia" w:ascii="仿宋_GB2312" w:eastAsia="仿宋_GB2312"/>
          <w:sz w:val="32"/>
          <w:szCs w:val="32"/>
        </w:rPr>
        <w:t>市行政中心幕墙翻新、重大节日氛围营造项目为年中追加预算，是按照市委宣传部统一部署进行实施。</w:t>
      </w:r>
      <w:r>
        <w:rPr>
          <w:rFonts w:hint="eastAsia" w:ascii="仿宋_GB2312" w:eastAsia="仿宋_GB2312" w:cs="仿宋_GB2312"/>
          <w:sz w:val="32"/>
          <w:szCs w:val="32"/>
        </w:rPr>
        <w:t>该项目经市财政局批复下达后，全部用于幕墙翻新、氛围营造项目，项目经费由市财政局国库支付中心直接支付，经费使用合理。</w:t>
      </w:r>
    </w:p>
    <w:p>
      <w:pPr>
        <w:spacing w:line="540" w:lineRule="exact"/>
        <w:ind w:firstLine="640" w:firstLineChars="200"/>
        <w:rPr>
          <w:rFonts w:ascii="楷体_GB2312" w:hAnsi="楷体" w:eastAsia="楷体_GB2312" w:cs="楷体"/>
          <w:color w:val="000000"/>
          <w:sz w:val="32"/>
          <w:szCs w:val="32"/>
        </w:rPr>
      </w:pPr>
      <w:r>
        <w:rPr>
          <w:rFonts w:hint="eastAsia" w:ascii="楷体_GB2312" w:hAnsi="楷体" w:eastAsia="楷体_GB2312" w:cs="楷体"/>
          <w:color w:val="000000"/>
          <w:sz w:val="32"/>
          <w:szCs w:val="32"/>
        </w:rPr>
        <w:t>（二）资金计划、到位及使用情况</w:t>
      </w:r>
    </w:p>
    <w:p>
      <w:pPr>
        <w:tabs>
          <w:tab w:val="center" w:pos="4153"/>
        </w:tabs>
        <w:spacing w:line="54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资金计划。市财政局年中追加市行政中心幕墙翻新、重大节日氛围营造项目经费</w:t>
      </w:r>
      <w:r>
        <w:rPr>
          <w:rFonts w:ascii="仿宋_GB2312" w:eastAsia="仿宋_GB2312"/>
          <w:sz w:val="32"/>
          <w:szCs w:val="32"/>
        </w:rPr>
        <w:t>20</w:t>
      </w:r>
      <w:r>
        <w:rPr>
          <w:rFonts w:hint="eastAsia" w:ascii="仿宋_GB2312" w:eastAsia="仿宋_GB2312"/>
          <w:sz w:val="32"/>
          <w:szCs w:val="32"/>
        </w:rPr>
        <w:t>万元，资金为一般公共预算。</w:t>
      </w:r>
    </w:p>
    <w:p>
      <w:pPr>
        <w:tabs>
          <w:tab w:val="center" w:pos="4153"/>
        </w:tabs>
        <w:spacing w:line="54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资金到位。截止</w:t>
      </w:r>
      <w:r>
        <w:rPr>
          <w:rFonts w:ascii="仿宋_GB2312" w:eastAsia="仿宋_GB2312"/>
          <w:sz w:val="32"/>
          <w:szCs w:val="32"/>
        </w:rPr>
        <w:t>2022</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月，计划资金全部到位，金额</w:t>
      </w:r>
      <w:r>
        <w:rPr>
          <w:rFonts w:ascii="仿宋_GB2312" w:eastAsia="仿宋_GB2312"/>
          <w:sz w:val="32"/>
          <w:szCs w:val="32"/>
        </w:rPr>
        <w:t>20</w:t>
      </w:r>
      <w:r>
        <w:rPr>
          <w:rFonts w:hint="eastAsia" w:ascii="仿宋_GB2312" w:eastAsia="仿宋_GB2312"/>
          <w:sz w:val="32"/>
          <w:szCs w:val="32"/>
        </w:rPr>
        <w:t>万元。</w:t>
      </w:r>
    </w:p>
    <w:p>
      <w:pPr>
        <w:tabs>
          <w:tab w:val="center" w:pos="4153"/>
        </w:tabs>
        <w:spacing w:line="54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资金使用。截止</w:t>
      </w:r>
      <w:r>
        <w:rPr>
          <w:rFonts w:ascii="仿宋_GB2312" w:eastAsia="仿宋_GB2312"/>
          <w:sz w:val="32"/>
          <w:szCs w:val="32"/>
        </w:rPr>
        <w:t>2022</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月底，市行政中心幕墙翻新、重大节日氛围营造项目经费共计</w:t>
      </w:r>
      <w:r>
        <w:rPr>
          <w:rFonts w:ascii="仿宋_GB2312" w:eastAsia="仿宋_GB2312"/>
          <w:sz w:val="32"/>
          <w:szCs w:val="32"/>
        </w:rPr>
        <w:t>20</w:t>
      </w:r>
      <w:r>
        <w:rPr>
          <w:rFonts w:hint="eastAsia" w:ascii="仿宋_GB2312" w:eastAsia="仿宋_GB2312"/>
          <w:sz w:val="32"/>
          <w:szCs w:val="32"/>
        </w:rPr>
        <w:t>万元，已支付</w:t>
      </w:r>
      <w:r>
        <w:rPr>
          <w:rFonts w:ascii="仿宋_GB2312" w:eastAsia="仿宋_GB2312"/>
          <w:sz w:val="32"/>
          <w:szCs w:val="32"/>
        </w:rPr>
        <w:t>20</w:t>
      </w:r>
      <w:r>
        <w:rPr>
          <w:rFonts w:hint="eastAsia" w:ascii="仿宋_GB2312" w:eastAsia="仿宋_GB2312"/>
          <w:sz w:val="32"/>
          <w:szCs w:val="32"/>
        </w:rPr>
        <w:t>万元，主要用于幕墙翻新、重大节日氛围营造费用。</w:t>
      </w:r>
    </w:p>
    <w:p>
      <w:pPr>
        <w:spacing w:line="540" w:lineRule="exact"/>
        <w:ind w:firstLine="640" w:firstLineChars="200"/>
        <w:rPr>
          <w:rFonts w:ascii="楷体_GB2312" w:hAnsi="楷体" w:eastAsia="楷体_GB2312" w:cs="楷体"/>
          <w:color w:val="000000"/>
          <w:sz w:val="32"/>
          <w:szCs w:val="32"/>
        </w:rPr>
      </w:pPr>
      <w:r>
        <w:rPr>
          <w:rFonts w:hint="eastAsia" w:ascii="楷体_GB2312" w:hAnsi="楷体" w:eastAsia="楷体_GB2312" w:cs="楷体"/>
          <w:color w:val="000000"/>
          <w:sz w:val="32"/>
          <w:szCs w:val="32"/>
        </w:rPr>
        <w:t>（三）项目财务管理情况</w:t>
      </w:r>
    </w:p>
    <w:p>
      <w:pPr>
        <w:tabs>
          <w:tab w:val="center" w:pos="4153"/>
        </w:tabs>
        <w:spacing w:line="540" w:lineRule="exact"/>
        <w:ind w:firstLine="640" w:firstLineChars="200"/>
        <w:rPr>
          <w:rFonts w:ascii="仿宋_GB2312" w:eastAsia="仿宋_GB2312"/>
          <w:sz w:val="32"/>
          <w:szCs w:val="32"/>
        </w:rPr>
      </w:pPr>
      <w:r>
        <w:rPr>
          <w:rFonts w:hint="eastAsia" w:ascii="仿宋_GB2312" w:eastAsia="仿宋_GB2312"/>
          <w:sz w:val="32"/>
          <w:szCs w:val="32"/>
        </w:rPr>
        <w:t>项目资金到位后，严格按照财务相关管理制度及流程进行管理，全部资金都用于该项目支出，无被截留、挤占、挪用的现象。</w:t>
      </w:r>
    </w:p>
    <w:p>
      <w:pPr>
        <w:tabs>
          <w:tab w:val="center" w:pos="4153"/>
        </w:tabs>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三、项目实施及管理情况</w:t>
      </w:r>
    </w:p>
    <w:p>
      <w:pPr>
        <w:spacing w:line="540" w:lineRule="exact"/>
        <w:ind w:firstLine="640" w:firstLineChars="200"/>
        <w:rPr>
          <w:rFonts w:ascii="楷体_GB2312" w:hAnsi="楷体" w:eastAsia="楷体_GB2312" w:cs="楷体"/>
          <w:color w:val="000000"/>
          <w:sz w:val="32"/>
          <w:szCs w:val="32"/>
        </w:rPr>
      </w:pPr>
      <w:r>
        <w:rPr>
          <w:rFonts w:hint="eastAsia" w:ascii="楷体_GB2312" w:hAnsi="楷体" w:eastAsia="楷体_GB2312" w:cs="楷体"/>
          <w:color w:val="000000"/>
          <w:sz w:val="32"/>
          <w:szCs w:val="32"/>
        </w:rPr>
        <w:t>（一）项目组织架构及实施流程。</w:t>
      </w:r>
    </w:p>
    <w:p>
      <w:pPr>
        <w:tabs>
          <w:tab w:val="center" w:pos="4153"/>
        </w:tabs>
        <w:spacing w:line="540" w:lineRule="exact"/>
        <w:ind w:firstLine="640" w:firstLineChars="200"/>
        <w:rPr>
          <w:rFonts w:ascii="仿宋_GB2312" w:eastAsia="仿宋_GB2312"/>
          <w:sz w:val="32"/>
          <w:szCs w:val="32"/>
        </w:rPr>
      </w:pPr>
      <w:r>
        <w:rPr>
          <w:rFonts w:hint="eastAsia" w:ascii="仿宋_GB2312" w:eastAsia="仿宋_GB2312"/>
          <w:sz w:val="32"/>
          <w:szCs w:val="32"/>
        </w:rPr>
        <w:t>我办党组高度重视市行政中心幕墙翻新、重大节日氛围营造项目工作，安排机关后勤科牵头该工作，并完成相关工作。</w:t>
      </w:r>
    </w:p>
    <w:p>
      <w:pPr>
        <w:spacing w:line="540" w:lineRule="exact"/>
        <w:ind w:firstLine="640" w:firstLineChars="200"/>
        <w:rPr>
          <w:rFonts w:ascii="楷体_GB2312" w:hAnsi="楷体" w:eastAsia="楷体_GB2312" w:cs="楷体"/>
          <w:color w:val="000000"/>
          <w:sz w:val="32"/>
          <w:szCs w:val="32"/>
        </w:rPr>
      </w:pPr>
      <w:r>
        <w:rPr>
          <w:rFonts w:hint="eastAsia" w:ascii="楷体_GB2312" w:hAnsi="楷体" w:eastAsia="楷体_GB2312" w:cs="楷体"/>
          <w:color w:val="000000"/>
          <w:sz w:val="32"/>
          <w:szCs w:val="32"/>
        </w:rPr>
        <w:t>（二）项目管理情况。</w:t>
      </w:r>
    </w:p>
    <w:p>
      <w:pPr>
        <w:tabs>
          <w:tab w:val="center" w:pos="4153"/>
        </w:tabs>
        <w:spacing w:line="540" w:lineRule="exact"/>
        <w:ind w:firstLine="640" w:firstLineChars="200"/>
        <w:rPr>
          <w:rFonts w:ascii="仿宋_GB2312" w:eastAsia="仿宋_GB2312"/>
          <w:sz w:val="32"/>
          <w:szCs w:val="32"/>
        </w:rPr>
      </w:pPr>
      <w:r>
        <w:rPr>
          <w:rFonts w:hint="eastAsia" w:ascii="仿宋_GB2312" w:eastAsia="仿宋_GB2312"/>
          <w:sz w:val="32"/>
          <w:szCs w:val="32"/>
        </w:rPr>
        <w:t>市行政中心幕墙翻新、重大节日氛围营造项目采取工作领导小组负责制，全体成员积极配合、通力合作。工作领导小组负责协调相关工作，项目实施及资金管理。</w:t>
      </w:r>
    </w:p>
    <w:p>
      <w:pPr>
        <w:spacing w:line="540" w:lineRule="exact"/>
        <w:ind w:firstLine="640" w:firstLineChars="200"/>
        <w:rPr>
          <w:rFonts w:ascii="楷体_GB2312" w:hAnsi="楷体" w:eastAsia="楷体_GB2312" w:cs="楷体"/>
          <w:color w:val="000000"/>
          <w:sz w:val="32"/>
          <w:szCs w:val="32"/>
        </w:rPr>
      </w:pPr>
      <w:r>
        <w:rPr>
          <w:rFonts w:hint="eastAsia" w:ascii="楷体_GB2312" w:hAnsi="楷体" w:eastAsia="楷体_GB2312" w:cs="楷体"/>
          <w:color w:val="000000"/>
          <w:sz w:val="32"/>
          <w:szCs w:val="32"/>
        </w:rPr>
        <w:t>（三）项目监管情况。</w:t>
      </w:r>
    </w:p>
    <w:p>
      <w:pPr>
        <w:tabs>
          <w:tab w:val="center" w:pos="4153"/>
        </w:tabs>
        <w:spacing w:line="540" w:lineRule="exact"/>
        <w:ind w:firstLine="640" w:firstLineChars="200"/>
        <w:rPr>
          <w:rFonts w:ascii="仿宋_GB2312" w:eastAsia="仿宋_GB2312"/>
          <w:sz w:val="32"/>
          <w:szCs w:val="32"/>
        </w:rPr>
      </w:pPr>
      <w:r>
        <w:rPr>
          <w:rFonts w:hint="eastAsia" w:ascii="仿宋_GB2312" w:eastAsia="仿宋_GB2312"/>
          <w:sz w:val="32"/>
          <w:szCs w:val="32"/>
        </w:rPr>
        <w:t>项目资金由市政府办机关后勤科具体管理，对项目资金按项目实行“专款专用”，不得挤占挪用项目资金。强化监督，项目的正常实施监督检查是保障。</w:t>
      </w:r>
    </w:p>
    <w:p>
      <w:pPr>
        <w:tabs>
          <w:tab w:val="center" w:pos="4153"/>
        </w:tabs>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四、目标完成情况</w:t>
      </w:r>
      <w:r>
        <w:rPr>
          <w:rFonts w:ascii="黑体" w:hAnsi="黑体" w:eastAsia="黑体" w:cs="黑体"/>
          <w:sz w:val="32"/>
          <w:szCs w:val="32"/>
        </w:rPr>
        <w:t xml:space="preserve"> </w:t>
      </w:r>
    </w:p>
    <w:p>
      <w:pPr>
        <w:tabs>
          <w:tab w:val="center" w:pos="4153"/>
        </w:tabs>
        <w:spacing w:line="540" w:lineRule="exact"/>
        <w:ind w:firstLine="640" w:firstLineChars="200"/>
        <w:rPr>
          <w:rFonts w:ascii="仿宋_GB2312" w:eastAsia="仿宋_GB2312"/>
          <w:sz w:val="32"/>
          <w:szCs w:val="32"/>
        </w:rPr>
      </w:pPr>
      <w:r>
        <w:rPr>
          <w:rFonts w:hint="eastAsia" w:ascii="楷体_GB2312" w:hAnsi="楷体" w:eastAsia="楷体_GB2312" w:cs="楷体"/>
          <w:color w:val="000000"/>
          <w:sz w:val="32"/>
          <w:szCs w:val="32"/>
        </w:rPr>
        <w:t>（一）目标完成情况。</w:t>
      </w:r>
      <w:r>
        <w:rPr>
          <w:rFonts w:hint="eastAsia" w:ascii="仿宋_GB2312" w:eastAsia="仿宋_GB2312"/>
          <w:sz w:val="32"/>
          <w:szCs w:val="32"/>
        </w:rPr>
        <w:t>截止</w:t>
      </w:r>
      <w:r>
        <w:rPr>
          <w:rFonts w:ascii="仿宋_GB2312" w:eastAsia="仿宋_GB2312"/>
          <w:sz w:val="32"/>
          <w:szCs w:val="32"/>
        </w:rPr>
        <w:t>2022</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月底，全面完成了该项目数量指标、时效指标、成本等指标数，该项目有效提高办公效率及满意度</w:t>
      </w:r>
      <w:r>
        <w:rPr>
          <w:rFonts w:hint="eastAsia" w:ascii="仿宋_GB2312" w:eastAsia="仿宋_GB2312"/>
          <w:sz w:val="32"/>
          <w:szCs w:val="32"/>
          <w:lang w:eastAsia="zh-CN"/>
        </w:rPr>
        <w:t>（详见附表）</w:t>
      </w:r>
      <w:r>
        <w:rPr>
          <w:rFonts w:hint="eastAsia" w:ascii="仿宋_GB2312" w:eastAsia="仿宋_GB2312"/>
          <w:sz w:val="32"/>
          <w:szCs w:val="32"/>
        </w:rPr>
        <w:t>。</w:t>
      </w:r>
    </w:p>
    <w:p>
      <w:pPr>
        <w:tabs>
          <w:tab w:val="center" w:pos="4153"/>
        </w:tabs>
        <w:spacing w:line="540" w:lineRule="exact"/>
        <w:ind w:firstLine="640" w:firstLineChars="200"/>
        <w:rPr>
          <w:rFonts w:ascii="仿宋_GB2312" w:eastAsia="仿宋_GB2312"/>
          <w:sz w:val="32"/>
          <w:szCs w:val="32"/>
        </w:rPr>
      </w:pPr>
      <w:r>
        <w:rPr>
          <w:rFonts w:hint="eastAsia" w:ascii="楷体_GB2312" w:hAnsi="楷体" w:eastAsia="楷体_GB2312" w:cs="楷体"/>
          <w:color w:val="000000"/>
          <w:sz w:val="32"/>
          <w:szCs w:val="32"/>
        </w:rPr>
        <w:t>（二）目标效益情况</w:t>
      </w:r>
      <w:r>
        <w:rPr>
          <w:rFonts w:hint="eastAsia" w:ascii="仿宋_GB2312" w:eastAsia="仿宋_GB2312"/>
          <w:sz w:val="32"/>
          <w:szCs w:val="32"/>
        </w:rPr>
        <w:t>。市行政中心幕墙翻新、重大节日氛围营造项目项目在办党组的领导下，顺利推进，圆满完成印制任务，满意度为</w:t>
      </w:r>
      <w:r>
        <w:rPr>
          <w:rFonts w:ascii="仿宋_GB2312" w:eastAsia="仿宋_GB2312"/>
          <w:sz w:val="32"/>
          <w:szCs w:val="32"/>
        </w:rPr>
        <w:t>100%</w:t>
      </w:r>
      <w:r>
        <w:rPr>
          <w:rFonts w:hint="eastAsia" w:ascii="仿宋_GB2312" w:eastAsia="仿宋_GB2312"/>
          <w:sz w:val="32"/>
          <w:szCs w:val="32"/>
        </w:rPr>
        <w:t>。</w:t>
      </w:r>
    </w:p>
    <w:p>
      <w:pPr>
        <w:tabs>
          <w:tab w:val="center" w:pos="4153"/>
        </w:tabs>
        <w:spacing w:line="540" w:lineRule="exact"/>
        <w:ind w:firstLine="640" w:firstLineChars="200"/>
        <w:rPr>
          <w:rFonts w:hint="eastAsia" w:ascii="黑体" w:eastAsia="黑体"/>
          <w:sz w:val="32"/>
          <w:szCs w:val="32"/>
        </w:rPr>
      </w:pPr>
      <w:r>
        <w:rPr>
          <w:rFonts w:hint="eastAsia" w:ascii="黑体" w:eastAsia="黑体"/>
          <w:sz w:val="32"/>
          <w:szCs w:val="32"/>
        </w:rPr>
        <w:t>五、评价结论及建议</w:t>
      </w:r>
    </w:p>
    <w:p>
      <w:pPr>
        <w:tabs>
          <w:tab w:val="center" w:pos="4153"/>
        </w:tabs>
        <w:spacing w:line="540" w:lineRule="exact"/>
        <w:ind w:firstLine="640" w:firstLineChars="200"/>
        <w:rPr>
          <w:rFonts w:ascii="仿宋_GB2312" w:eastAsia="仿宋_GB2312"/>
          <w:sz w:val="32"/>
          <w:szCs w:val="32"/>
        </w:rPr>
      </w:pPr>
      <w:r>
        <w:rPr>
          <w:rFonts w:hint="eastAsia" w:ascii="楷体_GB2312" w:hAnsi="楷体" w:eastAsia="楷体_GB2312" w:cs="楷体"/>
          <w:color w:val="000000"/>
          <w:sz w:val="32"/>
          <w:szCs w:val="32"/>
        </w:rPr>
        <w:t>（一）评价结论。</w:t>
      </w:r>
      <w:r>
        <w:rPr>
          <w:rFonts w:hint="eastAsia" w:ascii="仿宋_GB2312" w:eastAsia="仿宋_GB2312"/>
          <w:sz w:val="32"/>
          <w:szCs w:val="32"/>
        </w:rPr>
        <w:t>截止</w:t>
      </w:r>
      <w:r>
        <w:rPr>
          <w:rFonts w:ascii="仿宋_GB2312" w:eastAsia="仿宋_GB2312"/>
          <w:sz w:val="32"/>
          <w:szCs w:val="32"/>
        </w:rPr>
        <w:t>2022</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月底，市行政中心幕墙翻新、重大节日氛围营造项目完成较好，大大优化了政府环境。</w:t>
      </w:r>
    </w:p>
    <w:p>
      <w:pPr>
        <w:tabs>
          <w:tab w:val="center" w:pos="4153"/>
        </w:tabs>
        <w:spacing w:line="540" w:lineRule="exact"/>
        <w:rPr>
          <w:rFonts w:ascii="仿宋_GB2312" w:eastAsia="仿宋_GB2312"/>
          <w:sz w:val="32"/>
          <w:szCs w:val="32"/>
        </w:rPr>
      </w:pPr>
      <w:r>
        <w:rPr>
          <w:rFonts w:ascii="仿宋_GB2312" w:eastAsia="仿宋_GB2312"/>
          <w:sz w:val="32"/>
          <w:szCs w:val="32"/>
        </w:rPr>
        <w:t xml:space="preserve"> </w:t>
      </w:r>
      <w:r>
        <w:rPr>
          <w:rFonts w:ascii="楷体_GB2312" w:hAnsi="楷体" w:eastAsia="楷体_GB2312" w:cs="楷体"/>
          <w:color w:val="000000"/>
          <w:sz w:val="32"/>
          <w:szCs w:val="32"/>
        </w:rPr>
        <w:t xml:space="preserve">   </w:t>
      </w:r>
      <w:r>
        <w:rPr>
          <w:rFonts w:hint="eastAsia" w:ascii="楷体_GB2312" w:hAnsi="楷体" w:eastAsia="楷体_GB2312" w:cs="楷体"/>
          <w:color w:val="000000"/>
          <w:sz w:val="32"/>
          <w:szCs w:val="32"/>
        </w:rPr>
        <w:t>（二）存在问题。</w:t>
      </w:r>
      <w:r>
        <w:rPr>
          <w:rFonts w:hint="eastAsia" w:ascii="仿宋_GB2312" w:eastAsia="仿宋_GB2312"/>
          <w:sz w:val="32"/>
          <w:szCs w:val="32"/>
        </w:rPr>
        <w:t>无</w:t>
      </w:r>
    </w:p>
    <w:p>
      <w:pPr>
        <w:tabs>
          <w:tab w:val="center" w:pos="4153"/>
        </w:tabs>
        <w:spacing w:line="54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楷体_GB2312" w:hAnsi="楷体" w:eastAsia="楷体_GB2312" w:cs="楷体"/>
          <w:color w:val="000000"/>
          <w:sz w:val="32"/>
          <w:szCs w:val="32"/>
        </w:rPr>
        <w:t>三）相关建议。</w:t>
      </w:r>
      <w:r>
        <w:rPr>
          <w:rFonts w:hint="eastAsia" w:ascii="仿宋_GB2312" w:eastAsia="仿宋_GB2312"/>
          <w:sz w:val="32"/>
          <w:szCs w:val="32"/>
        </w:rPr>
        <w:t>无</w:t>
      </w:r>
    </w:p>
    <w:p>
      <w:pPr>
        <w:pStyle w:val="36"/>
        <w:spacing w:line="576" w:lineRule="exact"/>
        <w:ind w:firstLine="0" w:firstLineChars="0"/>
        <w:rPr>
          <w:rFonts w:ascii="仿宋_GB2312" w:hAnsi="宋体" w:eastAsia="仿宋_GB2312"/>
          <w:sz w:val="32"/>
          <w:szCs w:val="32"/>
        </w:rPr>
      </w:pPr>
    </w:p>
    <w:p>
      <w:pPr>
        <w:spacing w:line="540" w:lineRule="exact"/>
        <w:jc w:val="center"/>
        <w:rPr>
          <w:rFonts w:ascii="方正小标宋简体" w:hAnsi="宋体" w:eastAsia="方正小标宋简体"/>
          <w:color w:val="000000"/>
          <w:w w:val="95"/>
          <w:kern w:val="0"/>
          <w:sz w:val="44"/>
          <w:szCs w:val="44"/>
        </w:rPr>
      </w:pPr>
    </w:p>
    <w:p>
      <w:pPr>
        <w:spacing w:line="540" w:lineRule="exact"/>
        <w:jc w:val="center"/>
        <w:rPr>
          <w:rFonts w:hint="eastAsia" w:ascii="方正小标宋简体" w:hAnsi="宋体" w:eastAsia="方正小标宋简体"/>
          <w:color w:val="000000"/>
          <w:w w:val="95"/>
          <w:kern w:val="0"/>
          <w:sz w:val="44"/>
          <w:szCs w:val="44"/>
        </w:rPr>
      </w:pPr>
      <w:r>
        <w:rPr>
          <w:rFonts w:ascii="方正小标宋简体" w:hAnsi="宋体" w:eastAsia="方正小标宋简体"/>
          <w:color w:val="000000"/>
          <w:w w:val="95"/>
          <w:kern w:val="0"/>
          <w:sz w:val="44"/>
          <w:szCs w:val="44"/>
        </w:rPr>
        <w:t>202</w:t>
      </w:r>
      <w:r>
        <w:rPr>
          <w:rFonts w:hint="eastAsia" w:ascii="方正小标宋简体" w:hAnsi="宋体" w:eastAsia="方正小标宋简体"/>
          <w:color w:val="000000"/>
          <w:w w:val="95"/>
          <w:kern w:val="0"/>
          <w:sz w:val="44"/>
          <w:szCs w:val="44"/>
        </w:rPr>
        <w:t>2年市级专项资金预算项目支出绩效自评报告</w:t>
      </w:r>
    </w:p>
    <w:p>
      <w:pPr>
        <w:spacing w:line="540" w:lineRule="exact"/>
        <w:jc w:val="center"/>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（广元市内部电话号码簿印制经费）</w:t>
      </w:r>
    </w:p>
    <w:p>
      <w:pPr>
        <w:spacing w:line="540" w:lineRule="exact"/>
        <w:rPr>
          <w:rFonts w:hint="eastAsia" w:ascii="仿宋" w:hAnsi="仿宋" w:eastAsia="仿宋" w:cs="仿宋"/>
          <w:color w:val="000000"/>
          <w:kern w:val="0"/>
          <w:sz w:val="32"/>
          <w:szCs w:val="32"/>
        </w:rPr>
      </w:pPr>
    </w:p>
    <w:p>
      <w:pPr>
        <w:spacing w:line="540" w:lineRule="exact"/>
        <w:ind w:firstLine="640" w:firstLineChars="2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一、项目概况</w:t>
      </w:r>
    </w:p>
    <w:p>
      <w:pPr>
        <w:spacing w:line="540" w:lineRule="exact"/>
        <w:ind w:firstLine="640" w:firstLineChars="200"/>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（一）项目基本情况。</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鉴于领导干部岗位调整和人员变动，为方便工作，重新印制广元市内部电话号码簿4700本，经费7万元，资金为一般公共预算。</w:t>
      </w:r>
    </w:p>
    <w:p>
      <w:pPr>
        <w:spacing w:line="540" w:lineRule="exact"/>
        <w:ind w:firstLine="640" w:firstLineChars="200"/>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（二）项目绩效目标。</w:t>
      </w:r>
    </w:p>
    <w:p>
      <w:pPr>
        <w:spacing w:line="540" w:lineRule="exact"/>
        <w:ind w:firstLine="640" w:firstLineChars="200"/>
        <w:rPr>
          <w:rFonts w:ascii="仿宋_GB2312" w:eastAsia="仿宋_GB2312" w:cs="仿宋_GB2312"/>
          <w:sz w:val="32"/>
          <w:szCs w:val="32"/>
        </w:rPr>
      </w:pPr>
      <w:r>
        <w:rPr>
          <w:rFonts w:hint="eastAsia" w:ascii="仿宋_GB2312" w:eastAsia="仿宋_GB2312"/>
          <w:sz w:val="32"/>
          <w:szCs w:val="32"/>
        </w:rPr>
        <w:t>1.项目主要内容。参</w:t>
      </w:r>
      <w:r>
        <w:rPr>
          <w:rFonts w:hint="eastAsia" w:ascii="仿宋_GB2312" w:eastAsia="仿宋_GB2312" w:cs="仿宋_GB2312"/>
          <w:sz w:val="32"/>
          <w:szCs w:val="32"/>
        </w:rPr>
        <w:t>照2017年市委办牵头印制的通讯录标准印制，印制电话号码簿4700本，印制经费7万元。</w:t>
      </w:r>
    </w:p>
    <w:p>
      <w:pPr>
        <w:adjustRightInd w:val="0"/>
        <w:snapToGrid w:val="0"/>
        <w:spacing w:line="540" w:lineRule="exact"/>
        <w:ind w:firstLine="720"/>
        <w:rPr>
          <w:rFonts w:hint="eastAsia" w:ascii="仿宋_GB2312" w:eastAsia="仿宋_GB2312"/>
          <w:sz w:val="32"/>
          <w:szCs w:val="32"/>
        </w:rPr>
      </w:pPr>
      <w:r>
        <w:rPr>
          <w:rFonts w:hint="eastAsia" w:ascii="仿宋_GB2312" w:eastAsia="仿宋_GB2312"/>
          <w:sz w:val="32"/>
          <w:szCs w:val="32"/>
        </w:rPr>
        <w:t>2.具体绩效目标。2022年，完成广元市内部电话号码簿印制工作，完成经费支付工作，方便工作开展，并对印制内容做到保密，不外泄，有效提高办公效率及满意度。</w:t>
      </w:r>
    </w:p>
    <w:p>
      <w:pPr>
        <w:tabs>
          <w:tab w:val="center" w:pos="4153"/>
        </w:tabs>
        <w:spacing w:line="540" w:lineRule="exact"/>
        <w:ind w:firstLine="640" w:firstLineChars="200"/>
      </w:pPr>
      <w:r>
        <w:rPr>
          <w:rFonts w:hint="eastAsia" w:ascii="仿宋_GB2312" w:eastAsia="仿宋_GB2312"/>
          <w:sz w:val="32"/>
          <w:szCs w:val="32"/>
        </w:rPr>
        <w:t>3.申报内容与实际比较。</w:t>
      </w:r>
      <w:r>
        <w:rPr>
          <w:rFonts w:hint="eastAsia" w:ascii="仿宋_GB2312" w:eastAsia="仿宋_GB2312"/>
          <w:sz w:val="32"/>
          <w:szCs w:val="32"/>
        </w:rPr>
        <w:tab/>
      </w:r>
      <w:r>
        <w:rPr>
          <w:rFonts w:hint="eastAsia" w:ascii="仿宋_GB2312" w:eastAsia="仿宋_GB2312"/>
          <w:sz w:val="32"/>
          <w:szCs w:val="32"/>
        </w:rPr>
        <w:t>结合事前绩效、事中绩效和实际比较，申报内容准确无偏差，项目实施进度快，申报内容与实际相符，申报内容合理可行。</w:t>
      </w:r>
    </w:p>
    <w:p>
      <w:pPr>
        <w:spacing w:line="540" w:lineRule="exact"/>
        <w:ind w:firstLine="640" w:firstLineChars="200"/>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（三）项目自评步骤及方法。</w:t>
      </w:r>
    </w:p>
    <w:p>
      <w:pPr>
        <w:tabs>
          <w:tab w:val="center" w:pos="4153"/>
        </w:tabs>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项目采取自评与他评相结合方式，成立项目自评小组，结合评价内容，做到有计划，有安排，有奖惩，扎实开展本次自评工作。按照市财政局下达的项目支出绩效评价指标体系，自评小组针对申报内容、实施情况、资金兑现、财务管理、社会效益等做出自我评价，认真听取建议意见，做好自评工作。</w:t>
      </w:r>
    </w:p>
    <w:p>
      <w:pPr>
        <w:tabs>
          <w:tab w:val="center" w:pos="4153"/>
        </w:tabs>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二、项目资金申报及使用情况</w:t>
      </w:r>
    </w:p>
    <w:p>
      <w:pPr>
        <w:tabs>
          <w:tab w:val="center" w:pos="4153"/>
        </w:tabs>
        <w:spacing w:line="54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（一）项目资金申报及批复情况</w:t>
      </w:r>
    </w:p>
    <w:p>
      <w:pPr>
        <w:tabs>
          <w:tab w:val="center" w:pos="4153"/>
        </w:tabs>
        <w:spacing w:line="540" w:lineRule="exact"/>
        <w:ind w:firstLine="640" w:firstLineChars="200"/>
        <w:rPr>
          <w:rFonts w:hint="eastAsia"/>
        </w:rPr>
      </w:pPr>
      <w:r>
        <w:rPr>
          <w:rFonts w:hint="eastAsia" w:ascii="仿宋_GB2312" w:eastAsia="仿宋_GB2312"/>
          <w:sz w:val="32"/>
          <w:szCs w:val="32"/>
        </w:rPr>
        <w:t xml:space="preserve"> 广元市内部电话号码簿印制经费为年中追加预算，参</w:t>
      </w:r>
      <w:r>
        <w:rPr>
          <w:rFonts w:hint="eastAsia" w:ascii="仿宋_GB2312" w:eastAsia="仿宋_GB2312" w:cs="仿宋_GB2312"/>
          <w:sz w:val="32"/>
          <w:szCs w:val="32"/>
        </w:rPr>
        <w:t>照2017年市委办牵头印制的通讯录标准印制，按照程序报送办党组会议审定后实施。该项目经市财政局批复下达后，全部用于电话号码簿印制项目，项目经费由市财政局国库支付中心直接支付，经费使用合理。</w:t>
      </w:r>
    </w:p>
    <w:p>
      <w:pPr>
        <w:tabs>
          <w:tab w:val="center" w:pos="4153"/>
        </w:tabs>
        <w:spacing w:line="54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（二）资金计划、到位及使用情况</w:t>
      </w:r>
    </w:p>
    <w:p>
      <w:pPr>
        <w:tabs>
          <w:tab w:val="center" w:pos="4153"/>
        </w:tabs>
        <w:spacing w:line="540" w:lineRule="exact"/>
        <w:ind w:firstLine="640" w:firstLineChars="200"/>
        <w:rPr>
          <w:rFonts w:ascii="仿宋_GB2312" w:eastAsia="仿宋_GB2312"/>
          <w:sz w:val="32"/>
          <w:szCs w:val="32"/>
        </w:rPr>
      </w:pPr>
      <w:r>
        <w:rPr>
          <w:rFonts w:hint="eastAsia" w:ascii="仿宋_GB2312" w:eastAsia="仿宋_GB2312"/>
          <w:sz w:val="32"/>
          <w:szCs w:val="32"/>
        </w:rPr>
        <w:t>1.资金计划。市财政局年中追加广元市内部电话号码簿印制经费7万元，资金为一般公共预算。</w:t>
      </w:r>
    </w:p>
    <w:p>
      <w:pPr>
        <w:tabs>
          <w:tab w:val="center" w:pos="4153"/>
        </w:tabs>
        <w:spacing w:line="540" w:lineRule="exact"/>
        <w:ind w:firstLine="640" w:firstLineChars="200"/>
        <w:rPr>
          <w:rFonts w:ascii="仿宋_GB2312" w:eastAsia="仿宋_GB2312"/>
          <w:sz w:val="32"/>
          <w:szCs w:val="32"/>
        </w:rPr>
      </w:pPr>
      <w:r>
        <w:rPr>
          <w:rFonts w:hint="eastAsia" w:ascii="仿宋_GB2312" w:eastAsia="仿宋_GB2312"/>
          <w:sz w:val="32"/>
          <w:szCs w:val="32"/>
        </w:rPr>
        <w:t>2.资金到位。截止2022年12月，计划资金全部到位，金额7万元。</w:t>
      </w:r>
    </w:p>
    <w:p>
      <w:pPr>
        <w:tabs>
          <w:tab w:val="center" w:pos="4153"/>
        </w:tabs>
        <w:spacing w:line="540" w:lineRule="exact"/>
        <w:ind w:firstLine="640" w:firstLineChars="200"/>
        <w:rPr>
          <w:rFonts w:ascii="仿宋_GB2312" w:eastAsia="仿宋_GB2312"/>
          <w:sz w:val="32"/>
          <w:szCs w:val="32"/>
        </w:rPr>
      </w:pPr>
      <w:r>
        <w:rPr>
          <w:rFonts w:hint="eastAsia" w:ascii="仿宋_GB2312" w:eastAsia="仿宋_GB2312"/>
          <w:sz w:val="32"/>
          <w:szCs w:val="32"/>
        </w:rPr>
        <w:t>3.资金使用。截止2022年12月底，广元市内部电话号码簿印制经费共计7万元，已支付7万元，主要用于电话号码收集、整理和印制等费用。该项目由我办组织实施，项目资金不涉及分配点位问题。</w:t>
      </w:r>
    </w:p>
    <w:p>
      <w:pPr>
        <w:tabs>
          <w:tab w:val="center" w:pos="4153"/>
        </w:tabs>
        <w:spacing w:line="54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（三）项目财务管理情况</w:t>
      </w:r>
    </w:p>
    <w:p>
      <w:pPr>
        <w:tabs>
          <w:tab w:val="center" w:pos="4153"/>
        </w:tabs>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项目资金到位后，严格按照财务相关管理制度及流程进行管理，全部资金都用于该项目支出，无被截留、挤占、挪用的现象。</w:t>
      </w:r>
    </w:p>
    <w:p>
      <w:pPr>
        <w:tabs>
          <w:tab w:val="center" w:pos="4153"/>
        </w:tabs>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三、项目实施及管理情况</w:t>
      </w:r>
    </w:p>
    <w:p>
      <w:pPr>
        <w:tabs>
          <w:tab w:val="center" w:pos="4153"/>
        </w:tabs>
        <w:spacing w:line="54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（一）项目组织架构及实施流程。</w:t>
      </w:r>
    </w:p>
    <w:p>
      <w:pPr>
        <w:tabs>
          <w:tab w:val="center" w:pos="4153"/>
        </w:tabs>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我办党组高度重视内部电话号码簿印制工作，安排综合科牵头该工作，并完成各县区、市级各部门的电话号码收集整理汇总工作。</w:t>
      </w:r>
    </w:p>
    <w:p>
      <w:pPr>
        <w:tabs>
          <w:tab w:val="center" w:pos="4153"/>
        </w:tabs>
        <w:spacing w:line="54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（二）项目管理情况。</w:t>
      </w:r>
    </w:p>
    <w:p>
      <w:pPr>
        <w:tabs>
          <w:tab w:val="center" w:pos="4153"/>
        </w:tabs>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内部电话号码簿印制项目采取工作领导小组负责制，全体成员积极配合、通力合作。工作领导小组负责协调相关工作，项目实施及资金管理。</w:t>
      </w:r>
    </w:p>
    <w:p>
      <w:pPr>
        <w:tabs>
          <w:tab w:val="center" w:pos="4153"/>
        </w:tabs>
        <w:spacing w:line="54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（三）项目监管情况。</w:t>
      </w:r>
    </w:p>
    <w:p>
      <w:pPr>
        <w:tabs>
          <w:tab w:val="center" w:pos="4153"/>
        </w:tabs>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项目资金由市政府办综合科具体管理，对项目资金按项目实行“专款专用”，不得挤占挪用项目资金。强化监督，项目的正常实施监督检查是保障。</w:t>
      </w:r>
    </w:p>
    <w:p>
      <w:pPr>
        <w:tabs>
          <w:tab w:val="center" w:pos="4153"/>
        </w:tabs>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四、目标完成情况 </w:t>
      </w:r>
    </w:p>
    <w:p>
      <w:pPr>
        <w:tabs>
          <w:tab w:val="center" w:pos="4153"/>
        </w:tabs>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（一）目标完成情况。截止2022年12月底，全面完成了该项目数量指标、时效指标、成本等指标数，该项目有效提高办公效率及满意度</w:t>
      </w:r>
      <w:r>
        <w:rPr>
          <w:rFonts w:hint="eastAsia" w:ascii="仿宋_GB2312" w:eastAsia="仿宋_GB2312"/>
          <w:sz w:val="32"/>
          <w:szCs w:val="32"/>
          <w:lang w:eastAsia="zh-CN"/>
        </w:rPr>
        <w:t>（详见附表）</w:t>
      </w:r>
      <w:r>
        <w:rPr>
          <w:rFonts w:hint="eastAsia" w:ascii="仿宋_GB2312" w:eastAsia="仿宋_GB2312"/>
          <w:sz w:val="32"/>
          <w:szCs w:val="32"/>
        </w:rPr>
        <w:t>。</w:t>
      </w:r>
    </w:p>
    <w:p>
      <w:pPr>
        <w:tabs>
          <w:tab w:val="center" w:pos="4153"/>
        </w:tabs>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（二）目标效益情况。内部电话号码簿印制项目在办党组的领导下、在各县区和市级各部门的通力合作下，顺利推进，圆满完成印制任务，满意度为100%。</w:t>
      </w:r>
    </w:p>
    <w:p>
      <w:pPr>
        <w:tabs>
          <w:tab w:val="center" w:pos="4153"/>
        </w:tabs>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五、评价结论及建议</w:t>
      </w:r>
    </w:p>
    <w:p>
      <w:pPr>
        <w:tabs>
          <w:tab w:val="center" w:pos="4153"/>
        </w:tabs>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（一）评价结论。截止2022年12月底，内部电话号码簿印制项目任务完成较好，无泄密事件发生，办公效率大大提升，满意度高。</w:t>
      </w:r>
    </w:p>
    <w:p>
      <w:pPr>
        <w:tabs>
          <w:tab w:val="center" w:pos="4153"/>
        </w:tabs>
        <w:spacing w:line="540" w:lineRule="exact"/>
        <w:rPr>
          <w:rFonts w:ascii="仿宋_GB2312" w:eastAsia="仿宋_GB2312"/>
          <w:sz w:val="32"/>
          <w:szCs w:val="32"/>
        </w:rPr>
      </w:pPr>
      <w:r>
        <w:rPr>
          <w:rFonts w:hint="eastAsia" w:ascii="仿宋_GB2312" w:eastAsia="仿宋_GB2312"/>
          <w:sz w:val="32"/>
          <w:szCs w:val="32"/>
        </w:rPr>
        <w:t xml:space="preserve">    （二）存在问题。无</w:t>
      </w:r>
    </w:p>
    <w:p>
      <w:pPr>
        <w:tabs>
          <w:tab w:val="center" w:pos="4153"/>
        </w:tabs>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（三）相关建议。无</w:t>
      </w:r>
    </w:p>
    <w:p>
      <w:pPr>
        <w:spacing w:line="540" w:lineRule="exact"/>
        <w:jc w:val="center"/>
        <w:rPr>
          <w:rFonts w:hAnsi="宋体"/>
          <w:color w:val="000000"/>
          <w:w w:val="95"/>
          <w:sz w:val="44"/>
          <w:szCs w:val="44"/>
        </w:rPr>
      </w:pPr>
    </w:p>
    <w:p>
      <w:pPr>
        <w:pStyle w:val="2"/>
      </w:pPr>
    </w:p>
    <w:p>
      <w:pPr>
        <w:spacing w:line="540" w:lineRule="exact"/>
        <w:jc w:val="center"/>
        <w:rPr>
          <w:rFonts w:hAnsi="宋体"/>
          <w:color w:val="000000"/>
          <w:w w:val="95"/>
          <w:sz w:val="44"/>
          <w:szCs w:val="44"/>
        </w:rPr>
      </w:pPr>
      <w:r>
        <w:rPr>
          <w:rFonts w:hAnsi="宋体"/>
          <w:color w:val="000000"/>
          <w:w w:val="95"/>
          <w:sz w:val="44"/>
          <w:szCs w:val="44"/>
        </w:rPr>
        <w:t>2022</w:t>
      </w:r>
      <w:r>
        <w:rPr>
          <w:rFonts w:hint="eastAsia" w:hAnsi="宋体"/>
          <w:color w:val="000000"/>
          <w:w w:val="95"/>
          <w:sz w:val="44"/>
          <w:szCs w:val="44"/>
        </w:rPr>
        <w:t>年市级专项资金预算项目支出绩效自评报告</w:t>
      </w:r>
    </w:p>
    <w:p>
      <w:pPr>
        <w:spacing w:line="540" w:lineRule="exact"/>
        <w:jc w:val="center"/>
        <w:rPr>
          <w:rFonts w:hint="eastAsia" w:ascii="楷体_GB2312" w:hAnsi="楷体" w:eastAsia="楷体_GB2312" w:cs="楷体"/>
          <w:color w:val="000000"/>
          <w:sz w:val="32"/>
          <w:szCs w:val="32"/>
        </w:rPr>
      </w:pPr>
      <w:r>
        <w:rPr>
          <w:rFonts w:hint="eastAsia" w:ascii="楷体_GB2312" w:hAnsi="楷体" w:eastAsia="楷体_GB2312" w:cs="楷体"/>
          <w:color w:val="000000"/>
          <w:sz w:val="32"/>
          <w:szCs w:val="32"/>
        </w:rPr>
        <w:t>（市级电子政务外网服务费用）</w:t>
      </w:r>
    </w:p>
    <w:p>
      <w:pPr>
        <w:spacing w:line="540" w:lineRule="exact"/>
        <w:rPr>
          <w:rFonts w:ascii="仿宋" w:hAnsi="仿宋" w:eastAsia="仿宋" w:cs="仿宋"/>
          <w:color w:val="000000"/>
          <w:sz w:val="32"/>
          <w:szCs w:val="32"/>
        </w:rPr>
      </w:pPr>
    </w:p>
    <w:p>
      <w:pPr>
        <w:spacing w:line="54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一、项目概况</w:t>
      </w:r>
    </w:p>
    <w:p>
      <w:pPr>
        <w:spacing w:line="540" w:lineRule="exact"/>
        <w:ind w:firstLine="640" w:firstLineChars="200"/>
        <w:rPr>
          <w:rFonts w:hint="eastAsia" w:ascii="楷体_GB2312" w:hAnsi="楷体" w:eastAsia="楷体_GB2312" w:cs="楷体"/>
          <w:color w:val="000000"/>
          <w:sz w:val="32"/>
          <w:szCs w:val="32"/>
        </w:rPr>
      </w:pPr>
      <w:r>
        <w:rPr>
          <w:rFonts w:hint="eastAsia" w:ascii="楷体_GB2312" w:hAnsi="楷体" w:eastAsia="楷体_GB2312" w:cs="楷体"/>
          <w:color w:val="000000"/>
          <w:sz w:val="32"/>
          <w:szCs w:val="32"/>
        </w:rPr>
        <w:t>（一）项目基本情况。</w:t>
      </w:r>
    </w:p>
    <w:p>
      <w:pPr>
        <w:tabs>
          <w:tab w:val="left" w:pos="0"/>
        </w:tabs>
        <w:snapToGrid w:val="0"/>
        <w:spacing w:line="600" w:lineRule="exact"/>
        <w:ind w:left="-5" w:firstLine="646"/>
        <w:rPr>
          <w:rFonts w:ascii="仿宋_GB2312" w:eastAsia="仿宋_GB2312"/>
          <w:sz w:val="32"/>
          <w:szCs w:val="32"/>
        </w:rPr>
      </w:pPr>
      <w:r>
        <w:rPr>
          <w:rFonts w:hint="eastAsia" w:ascii="仿宋_GB2312" w:eastAsia="仿宋_GB2312"/>
          <w:sz w:val="32"/>
          <w:szCs w:val="32"/>
        </w:rPr>
        <w:t>《广元市人民政府办公室广元市市级电子政务外网升级改造服务采购合同》于</w:t>
      </w:r>
      <w:r>
        <w:rPr>
          <w:rFonts w:ascii="仿宋_GB2312" w:eastAsia="仿宋_GB2312"/>
          <w:sz w:val="32"/>
          <w:szCs w:val="32"/>
        </w:rPr>
        <w:t>2019</w:t>
      </w:r>
      <w:r>
        <w:rPr>
          <w:rFonts w:hint="eastAsia" w:ascii="仿宋_GB2312" w:eastAsia="仿宋_GB2312"/>
          <w:sz w:val="32"/>
          <w:szCs w:val="32"/>
        </w:rPr>
        <w:t>年</w:t>
      </w:r>
      <w:r>
        <w:rPr>
          <w:rFonts w:ascii="仿宋_GB2312" w:eastAsia="仿宋_GB2312"/>
          <w:sz w:val="32"/>
          <w:szCs w:val="32"/>
        </w:rPr>
        <w:t>11</w:t>
      </w:r>
      <w:r>
        <w:rPr>
          <w:rFonts w:hint="eastAsia" w:ascii="仿宋_GB2312" w:eastAsia="仿宋_GB2312"/>
          <w:sz w:val="32"/>
          <w:szCs w:val="32"/>
        </w:rPr>
        <w:t>月</w:t>
      </w:r>
      <w:r>
        <w:rPr>
          <w:rFonts w:ascii="仿宋_GB2312" w:eastAsia="仿宋_GB2312"/>
          <w:sz w:val="32"/>
          <w:szCs w:val="32"/>
        </w:rPr>
        <w:t>21</w:t>
      </w:r>
      <w:r>
        <w:rPr>
          <w:rFonts w:hint="eastAsia" w:ascii="仿宋_GB2312" w:eastAsia="仿宋_GB2312"/>
          <w:sz w:val="32"/>
          <w:szCs w:val="32"/>
        </w:rPr>
        <w:t>日签订。其中：“第二条</w:t>
      </w:r>
      <w:r>
        <w:rPr>
          <w:rFonts w:ascii="仿宋_GB2312" w:eastAsia="仿宋_GB2312"/>
          <w:sz w:val="32"/>
          <w:szCs w:val="32"/>
        </w:rPr>
        <w:t xml:space="preserve"> </w:t>
      </w:r>
      <w:r>
        <w:rPr>
          <w:rFonts w:hint="eastAsia" w:ascii="仿宋_GB2312" w:eastAsia="仿宋_GB2312"/>
          <w:sz w:val="32"/>
          <w:szCs w:val="32"/>
        </w:rPr>
        <w:t>合同期限”约定：本合同有效期限为</w:t>
      </w:r>
      <w:r>
        <w:rPr>
          <w:rFonts w:ascii="仿宋_GB2312" w:eastAsia="仿宋_GB2312"/>
          <w:sz w:val="32"/>
          <w:szCs w:val="32"/>
        </w:rPr>
        <w:t>3</w:t>
      </w:r>
      <w:r>
        <w:rPr>
          <w:rFonts w:hint="eastAsia" w:ascii="仿宋_GB2312" w:eastAsia="仿宋_GB2312"/>
          <w:sz w:val="32"/>
          <w:szCs w:val="32"/>
        </w:rPr>
        <w:t>年，自</w:t>
      </w:r>
      <w:r>
        <w:rPr>
          <w:rFonts w:ascii="仿宋_GB2312" w:eastAsia="仿宋_GB2312"/>
          <w:sz w:val="32"/>
          <w:szCs w:val="32"/>
        </w:rPr>
        <w:t>2020</w:t>
      </w:r>
      <w:r>
        <w:rPr>
          <w:rFonts w:hint="eastAsia" w:ascii="仿宋_GB2312" w:eastAsia="仿宋_GB2312"/>
          <w:sz w:val="32"/>
          <w:szCs w:val="32"/>
        </w:rPr>
        <w:t>年</w:t>
      </w:r>
      <w:r>
        <w:rPr>
          <w:rFonts w:ascii="仿宋_GB2312" w:eastAsia="仿宋_GB2312"/>
          <w:sz w:val="32"/>
          <w:szCs w:val="32"/>
        </w:rPr>
        <w:t>1</w:t>
      </w:r>
      <w:r>
        <w:rPr>
          <w:rFonts w:hint="eastAsia" w:ascii="仿宋_GB2312" w:eastAsia="仿宋_GB2312"/>
          <w:sz w:val="32"/>
          <w:szCs w:val="32"/>
        </w:rPr>
        <w:t>月</w:t>
      </w:r>
      <w:r>
        <w:rPr>
          <w:rFonts w:ascii="仿宋_GB2312" w:eastAsia="仿宋_GB2312"/>
          <w:sz w:val="32"/>
          <w:szCs w:val="32"/>
        </w:rPr>
        <w:t>1</w:t>
      </w:r>
      <w:r>
        <w:rPr>
          <w:rFonts w:hint="eastAsia" w:ascii="仿宋_GB2312" w:eastAsia="仿宋_GB2312"/>
          <w:sz w:val="32"/>
          <w:szCs w:val="32"/>
        </w:rPr>
        <w:t>日起至</w:t>
      </w:r>
      <w:r>
        <w:rPr>
          <w:rFonts w:ascii="仿宋_GB2312" w:eastAsia="仿宋_GB2312"/>
          <w:sz w:val="32"/>
          <w:szCs w:val="32"/>
        </w:rPr>
        <w:t>2022</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日止；“第四条</w:t>
      </w:r>
      <w:r>
        <w:rPr>
          <w:rFonts w:ascii="仿宋_GB2312" w:eastAsia="仿宋_GB2312"/>
          <w:sz w:val="32"/>
          <w:szCs w:val="32"/>
        </w:rPr>
        <w:t xml:space="preserve"> </w:t>
      </w:r>
      <w:r>
        <w:rPr>
          <w:rFonts w:hint="eastAsia" w:ascii="仿宋_GB2312" w:eastAsia="仿宋_GB2312"/>
          <w:sz w:val="32"/>
          <w:szCs w:val="32"/>
        </w:rPr>
        <w:t>服务费用及支付方式”约定：本项目服务费总价为</w:t>
      </w:r>
      <w:r>
        <w:rPr>
          <w:rFonts w:ascii="仿宋_GB2312" w:eastAsia="仿宋_GB2312"/>
          <w:sz w:val="32"/>
          <w:szCs w:val="32"/>
        </w:rPr>
        <w:t>340.438336</w:t>
      </w:r>
      <w:r>
        <w:rPr>
          <w:rFonts w:hint="eastAsia" w:ascii="仿宋_GB2312" w:eastAsia="仿宋_GB2312"/>
          <w:sz w:val="32"/>
          <w:szCs w:val="32"/>
        </w:rPr>
        <w:t>万元</w:t>
      </w:r>
      <w:r>
        <w:rPr>
          <w:rFonts w:ascii="仿宋_GB2312" w:eastAsia="仿宋_GB2312"/>
          <w:sz w:val="32"/>
          <w:szCs w:val="32"/>
        </w:rPr>
        <w:t>/</w:t>
      </w:r>
      <w:r>
        <w:rPr>
          <w:rFonts w:hint="eastAsia" w:ascii="仿宋_GB2312" w:eastAsia="仿宋_GB2312"/>
          <w:sz w:val="32"/>
          <w:szCs w:val="32"/>
        </w:rPr>
        <w:t>年（大写：叁佰肆拾万肆仟叁佰捌拾叁元叁角陆分每年）。</w:t>
      </w:r>
    </w:p>
    <w:p>
      <w:pPr>
        <w:spacing w:line="540" w:lineRule="exact"/>
        <w:ind w:firstLine="640" w:firstLineChars="200"/>
        <w:rPr>
          <w:rFonts w:ascii="楷体_GB2312" w:hAnsi="楷体" w:eastAsia="楷体_GB2312" w:cs="楷体"/>
          <w:color w:val="000000"/>
          <w:sz w:val="32"/>
          <w:szCs w:val="32"/>
        </w:rPr>
      </w:pPr>
      <w:r>
        <w:rPr>
          <w:rFonts w:hint="eastAsia" w:ascii="楷体_GB2312" w:hAnsi="楷体" w:eastAsia="楷体_GB2312" w:cs="楷体"/>
          <w:color w:val="000000"/>
          <w:sz w:val="32"/>
          <w:szCs w:val="32"/>
        </w:rPr>
        <w:t>（二）项目绩效目标。</w:t>
      </w:r>
    </w:p>
    <w:p>
      <w:pPr>
        <w:spacing w:line="54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项目主要内容。一是提供市级政务外网网络中心到</w:t>
      </w:r>
      <w:r>
        <w:rPr>
          <w:rFonts w:ascii="仿宋_GB2312" w:eastAsia="仿宋_GB2312"/>
          <w:sz w:val="32"/>
          <w:szCs w:val="32"/>
        </w:rPr>
        <w:t>7</w:t>
      </w:r>
      <w:r>
        <w:rPr>
          <w:rFonts w:hint="eastAsia" w:ascii="仿宋_GB2312" w:eastAsia="仿宋_GB2312"/>
          <w:sz w:val="32"/>
          <w:szCs w:val="32"/>
        </w:rPr>
        <w:t>个县（区）广域网主用传输线路、广元经济技术开发区管委会及</w:t>
      </w:r>
      <w:r>
        <w:rPr>
          <w:rFonts w:ascii="仿宋_GB2312" w:eastAsia="仿宋_GB2312"/>
          <w:sz w:val="32"/>
          <w:szCs w:val="32"/>
        </w:rPr>
        <w:t>143</w:t>
      </w:r>
      <w:r>
        <w:rPr>
          <w:rFonts w:hint="eastAsia" w:ascii="仿宋_GB2312" w:eastAsia="仿宋_GB2312"/>
          <w:sz w:val="32"/>
          <w:szCs w:val="32"/>
        </w:rPr>
        <w:t>个市级单位城域网主用传输线路服务，市级政务外网网络中心到</w:t>
      </w:r>
      <w:r>
        <w:rPr>
          <w:rFonts w:ascii="仿宋_GB2312" w:eastAsia="仿宋_GB2312"/>
          <w:sz w:val="32"/>
          <w:szCs w:val="32"/>
        </w:rPr>
        <w:t>7</w:t>
      </w:r>
      <w:r>
        <w:rPr>
          <w:rFonts w:hint="eastAsia" w:ascii="仿宋_GB2312" w:eastAsia="仿宋_GB2312"/>
          <w:sz w:val="32"/>
          <w:szCs w:val="32"/>
        </w:rPr>
        <w:t>个县（区）广域网备用传输线路、广元经济技术开发区管委会及</w:t>
      </w:r>
      <w:r>
        <w:rPr>
          <w:rFonts w:ascii="仿宋_GB2312" w:eastAsia="仿宋_GB2312"/>
          <w:sz w:val="32"/>
          <w:szCs w:val="32"/>
        </w:rPr>
        <w:t>32</w:t>
      </w:r>
      <w:r>
        <w:rPr>
          <w:rFonts w:hint="eastAsia" w:ascii="仿宋_GB2312" w:eastAsia="仿宋_GB2312"/>
          <w:sz w:val="32"/>
          <w:szCs w:val="32"/>
        </w:rPr>
        <w:t>个市级单位城域网备用传输线路服务；二是提供市政府网站集约化平台日常运维服务；三是提供电子政务外网和市政府网站集约化平台安全服务。</w:t>
      </w:r>
    </w:p>
    <w:p>
      <w:pPr>
        <w:snapToGrid w:val="0"/>
        <w:spacing w:line="540" w:lineRule="exact"/>
        <w:ind w:firstLine="72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具体绩效目标。一是标准统一，采用国家电子政务外网统一标准，实现与国家和省级电子政务外网的无缝对接；二是安全可靠，具有高容错能力，保证单点故障不影响整个网络正常运行；三是技术先进，适应云计算环境的应用新需求，满足业务分级高度诉求；四是灵活扩展，网络具备良好的灵活性和可扩展性，符合开放性规范；五是管理便捷，通过可视化运维管理平台集中管理、监控检测网络设备运行情况。</w:t>
      </w:r>
    </w:p>
    <w:p>
      <w:pPr>
        <w:tabs>
          <w:tab w:val="center" w:pos="4153"/>
        </w:tabs>
        <w:spacing w:line="540" w:lineRule="exact"/>
        <w:ind w:firstLine="640" w:firstLineChars="200"/>
      </w:pPr>
      <w:r>
        <w:rPr>
          <w:rFonts w:ascii="仿宋_GB2312" w:eastAsia="仿宋_GB2312"/>
          <w:sz w:val="32"/>
          <w:szCs w:val="32"/>
        </w:rPr>
        <w:t>3.</w:t>
      </w:r>
      <w:r>
        <w:rPr>
          <w:rFonts w:hint="eastAsia" w:ascii="仿宋_GB2312" w:eastAsia="仿宋_GB2312"/>
          <w:sz w:val="32"/>
          <w:szCs w:val="32"/>
        </w:rPr>
        <w:t>申报内容与实际比较。</w:t>
      </w:r>
      <w:r>
        <w:rPr>
          <w:rFonts w:ascii="仿宋_GB2312" w:eastAsia="仿宋_GB2312"/>
          <w:sz w:val="32"/>
          <w:szCs w:val="32"/>
        </w:rPr>
        <w:tab/>
      </w:r>
      <w:r>
        <w:rPr>
          <w:rFonts w:hint="eastAsia" w:ascii="仿宋_GB2312" w:eastAsia="仿宋_GB2312"/>
          <w:sz w:val="32"/>
          <w:szCs w:val="32"/>
        </w:rPr>
        <w:t>结合事前绩效、事中绩效和实际比较，申报内容准确无偏差，项目实施进度快，申报内容与实际相符，申报内容合理可行。</w:t>
      </w:r>
    </w:p>
    <w:p>
      <w:pPr>
        <w:spacing w:line="540" w:lineRule="exact"/>
        <w:ind w:firstLine="640" w:firstLineChars="200"/>
        <w:rPr>
          <w:rFonts w:ascii="楷体_GB2312" w:hAnsi="楷体" w:eastAsia="楷体_GB2312" w:cs="楷体"/>
          <w:color w:val="000000"/>
          <w:sz w:val="32"/>
          <w:szCs w:val="32"/>
        </w:rPr>
      </w:pPr>
      <w:r>
        <w:rPr>
          <w:rFonts w:hint="eastAsia" w:ascii="楷体_GB2312" w:hAnsi="楷体" w:eastAsia="楷体_GB2312" w:cs="楷体"/>
          <w:color w:val="000000"/>
          <w:sz w:val="32"/>
          <w:szCs w:val="32"/>
        </w:rPr>
        <w:t>（三）项目自评步骤及方法。</w:t>
      </w:r>
    </w:p>
    <w:p>
      <w:pPr>
        <w:tabs>
          <w:tab w:val="center" w:pos="4153"/>
        </w:tabs>
        <w:spacing w:line="540" w:lineRule="exact"/>
        <w:ind w:firstLine="640" w:firstLineChars="200"/>
        <w:rPr>
          <w:rFonts w:ascii="仿宋_GB2312" w:eastAsia="仿宋_GB2312"/>
          <w:sz w:val="32"/>
          <w:szCs w:val="32"/>
        </w:rPr>
      </w:pPr>
      <w:r>
        <w:rPr>
          <w:rFonts w:hint="eastAsia" w:ascii="仿宋_GB2312" w:eastAsia="仿宋_GB2312"/>
          <w:sz w:val="32"/>
          <w:szCs w:val="32"/>
        </w:rPr>
        <w:t>项目采取自评与他评相结合方式，成立项目自评小组，结合评价内容，做到有计划，有安排，有奖惩，扎实开展本次自评工作。按照市财政局下达的项目支出绩效评价指标体系，自评小组针对申报内容、实施情况、资金兑现、财务管理、社会效益等做出自我评价，认真听取建议意见，做好自评工作。</w:t>
      </w:r>
    </w:p>
    <w:p>
      <w:pPr>
        <w:tabs>
          <w:tab w:val="center" w:pos="4153"/>
        </w:tabs>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二、项目资金申报及使用情况</w:t>
      </w:r>
    </w:p>
    <w:p>
      <w:pPr>
        <w:spacing w:line="540" w:lineRule="exact"/>
        <w:ind w:firstLine="640" w:firstLineChars="200"/>
        <w:rPr>
          <w:rFonts w:ascii="楷体_GB2312" w:hAnsi="楷体" w:eastAsia="楷体_GB2312" w:cs="楷体"/>
          <w:color w:val="000000"/>
          <w:sz w:val="32"/>
          <w:szCs w:val="32"/>
        </w:rPr>
      </w:pPr>
      <w:r>
        <w:rPr>
          <w:rFonts w:hint="eastAsia" w:ascii="楷体_GB2312" w:hAnsi="楷体" w:eastAsia="楷体_GB2312" w:cs="楷体"/>
          <w:color w:val="000000"/>
          <w:sz w:val="32"/>
          <w:szCs w:val="32"/>
        </w:rPr>
        <w:t>（一）项目资金申报及批复情况</w:t>
      </w:r>
    </w:p>
    <w:p>
      <w:pPr>
        <w:tabs>
          <w:tab w:val="center" w:pos="4153"/>
        </w:tabs>
        <w:spacing w:line="540" w:lineRule="exact"/>
        <w:ind w:firstLine="640" w:firstLineChars="200"/>
      </w:pPr>
      <w:r>
        <w:rPr>
          <w:rFonts w:ascii="仿宋_GB2312" w:eastAsia="仿宋_GB2312"/>
          <w:sz w:val="32"/>
          <w:szCs w:val="32"/>
        </w:rPr>
        <w:t xml:space="preserve"> </w:t>
      </w:r>
      <w:r>
        <w:rPr>
          <w:rFonts w:hint="eastAsia" w:ascii="仿宋_GB2312" w:eastAsia="仿宋_GB2312"/>
          <w:sz w:val="32"/>
          <w:szCs w:val="32"/>
        </w:rPr>
        <w:t>市级电子政务外网服务费为年中追加预算，</w:t>
      </w:r>
      <w:r>
        <w:rPr>
          <w:rFonts w:hint="eastAsia" w:ascii="仿宋_GB2312" w:eastAsia="仿宋_GB2312" w:cs="仿宋_GB2312"/>
          <w:sz w:val="32"/>
          <w:szCs w:val="32"/>
        </w:rPr>
        <w:t>按照程序报送办党组会议审定后实施。该项目经市财政局批复下达后，全部用于电子政务外网服务项目，项目经费经政府采购实施完毕后由市财政局国库支付中心直接支付，经费使用合理。</w:t>
      </w:r>
    </w:p>
    <w:p>
      <w:pPr>
        <w:spacing w:line="540" w:lineRule="exact"/>
        <w:ind w:firstLine="640" w:firstLineChars="200"/>
        <w:rPr>
          <w:rFonts w:ascii="楷体_GB2312" w:hAnsi="楷体" w:eastAsia="楷体_GB2312" w:cs="楷体"/>
          <w:color w:val="000000"/>
          <w:sz w:val="32"/>
          <w:szCs w:val="32"/>
        </w:rPr>
      </w:pPr>
      <w:r>
        <w:rPr>
          <w:rFonts w:hint="eastAsia" w:ascii="楷体_GB2312" w:hAnsi="楷体" w:eastAsia="楷体_GB2312" w:cs="楷体"/>
          <w:color w:val="000000"/>
          <w:sz w:val="32"/>
          <w:szCs w:val="32"/>
        </w:rPr>
        <w:t>（二）资金计划、到位及使用情况</w:t>
      </w:r>
    </w:p>
    <w:p>
      <w:pPr>
        <w:tabs>
          <w:tab w:val="center" w:pos="4153"/>
        </w:tabs>
        <w:spacing w:line="54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资金计划。按照《广元市人民政府办公室广元市市级电子政务外网升级改造服务采购合同》“第二条</w:t>
      </w:r>
      <w:r>
        <w:rPr>
          <w:rFonts w:ascii="仿宋_GB2312" w:eastAsia="仿宋_GB2312"/>
          <w:sz w:val="32"/>
          <w:szCs w:val="32"/>
        </w:rPr>
        <w:t xml:space="preserve"> </w:t>
      </w:r>
      <w:r>
        <w:rPr>
          <w:rFonts w:hint="eastAsia" w:ascii="仿宋_GB2312" w:eastAsia="仿宋_GB2312"/>
          <w:sz w:val="32"/>
          <w:szCs w:val="32"/>
        </w:rPr>
        <w:t>合同期限”约定：本合同有效期限为</w:t>
      </w:r>
      <w:r>
        <w:rPr>
          <w:rFonts w:ascii="仿宋_GB2312" w:eastAsia="仿宋_GB2312"/>
          <w:sz w:val="32"/>
          <w:szCs w:val="32"/>
        </w:rPr>
        <w:t>3</w:t>
      </w:r>
      <w:r>
        <w:rPr>
          <w:rFonts w:hint="eastAsia" w:ascii="仿宋_GB2312" w:eastAsia="仿宋_GB2312"/>
          <w:sz w:val="32"/>
          <w:szCs w:val="32"/>
        </w:rPr>
        <w:t>年，自</w:t>
      </w:r>
      <w:r>
        <w:rPr>
          <w:rFonts w:ascii="仿宋_GB2312" w:eastAsia="仿宋_GB2312"/>
          <w:sz w:val="32"/>
          <w:szCs w:val="32"/>
        </w:rPr>
        <w:t>2020</w:t>
      </w:r>
      <w:r>
        <w:rPr>
          <w:rFonts w:hint="eastAsia" w:ascii="仿宋_GB2312" w:eastAsia="仿宋_GB2312"/>
          <w:sz w:val="32"/>
          <w:szCs w:val="32"/>
        </w:rPr>
        <w:t>年</w:t>
      </w:r>
      <w:r>
        <w:rPr>
          <w:rFonts w:ascii="仿宋_GB2312" w:eastAsia="仿宋_GB2312"/>
          <w:sz w:val="32"/>
          <w:szCs w:val="32"/>
        </w:rPr>
        <w:t>1</w:t>
      </w:r>
      <w:r>
        <w:rPr>
          <w:rFonts w:hint="eastAsia" w:ascii="仿宋_GB2312" w:eastAsia="仿宋_GB2312"/>
          <w:sz w:val="32"/>
          <w:szCs w:val="32"/>
        </w:rPr>
        <w:t>月</w:t>
      </w:r>
      <w:r>
        <w:rPr>
          <w:rFonts w:ascii="仿宋_GB2312" w:eastAsia="仿宋_GB2312"/>
          <w:sz w:val="32"/>
          <w:szCs w:val="32"/>
        </w:rPr>
        <w:t>1</w:t>
      </w:r>
      <w:r>
        <w:rPr>
          <w:rFonts w:hint="eastAsia" w:ascii="仿宋_GB2312" w:eastAsia="仿宋_GB2312"/>
          <w:sz w:val="32"/>
          <w:szCs w:val="32"/>
        </w:rPr>
        <w:t>日起至</w:t>
      </w:r>
      <w:r>
        <w:rPr>
          <w:rFonts w:ascii="仿宋_GB2312" w:eastAsia="仿宋_GB2312"/>
          <w:sz w:val="32"/>
          <w:szCs w:val="32"/>
        </w:rPr>
        <w:t>2022</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日止，</w:t>
      </w:r>
      <w:r>
        <w:rPr>
          <w:rFonts w:ascii="仿宋_GB2312" w:eastAsia="仿宋_GB2312"/>
          <w:sz w:val="32"/>
          <w:szCs w:val="32"/>
        </w:rPr>
        <w:t>2022</w:t>
      </w:r>
      <w:r>
        <w:rPr>
          <w:rFonts w:hint="eastAsia" w:ascii="仿宋_GB2312" w:eastAsia="仿宋_GB2312"/>
          <w:sz w:val="32"/>
          <w:szCs w:val="32"/>
        </w:rPr>
        <w:t>年应支付市级电子政务外网服务费</w:t>
      </w:r>
      <w:r>
        <w:rPr>
          <w:rFonts w:ascii="仿宋_GB2312" w:eastAsia="仿宋_GB2312"/>
          <w:sz w:val="32"/>
          <w:szCs w:val="32"/>
        </w:rPr>
        <w:t>340.438336</w:t>
      </w:r>
      <w:r>
        <w:rPr>
          <w:rFonts w:hint="eastAsia" w:ascii="仿宋_GB2312" w:eastAsia="仿宋_GB2312"/>
          <w:sz w:val="32"/>
          <w:szCs w:val="32"/>
        </w:rPr>
        <w:t>万元，资金为一般公共预算。</w:t>
      </w:r>
    </w:p>
    <w:p>
      <w:pPr>
        <w:tabs>
          <w:tab w:val="center" w:pos="4153"/>
        </w:tabs>
        <w:spacing w:line="54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资金到位。《广元市人民政府办公室广元市市级电子政务外网升级改造服务采购合同》合同期限为</w:t>
      </w:r>
      <w:r>
        <w:rPr>
          <w:rFonts w:ascii="仿宋_GB2312" w:eastAsia="仿宋_GB2312"/>
          <w:sz w:val="32"/>
          <w:szCs w:val="32"/>
        </w:rPr>
        <w:t>3</w:t>
      </w:r>
      <w:r>
        <w:rPr>
          <w:rFonts w:hint="eastAsia" w:ascii="仿宋_GB2312" w:eastAsia="仿宋_GB2312"/>
          <w:sz w:val="32"/>
          <w:szCs w:val="32"/>
        </w:rPr>
        <w:t>年，自</w:t>
      </w:r>
      <w:r>
        <w:rPr>
          <w:rFonts w:ascii="仿宋_GB2312" w:eastAsia="仿宋_GB2312"/>
          <w:sz w:val="32"/>
          <w:szCs w:val="32"/>
        </w:rPr>
        <w:t>2020</w:t>
      </w:r>
      <w:r>
        <w:rPr>
          <w:rFonts w:hint="eastAsia" w:ascii="仿宋_GB2312" w:eastAsia="仿宋_GB2312"/>
          <w:sz w:val="32"/>
          <w:szCs w:val="32"/>
        </w:rPr>
        <w:t>年</w:t>
      </w:r>
      <w:r>
        <w:rPr>
          <w:rFonts w:ascii="仿宋_GB2312" w:eastAsia="仿宋_GB2312"/>
          <w:sz w:val="32"/>
          <w:szCs w:val="32"/>
        </w:rPr>
        <w:t>1</w:t>
      </w:r>
      <w:r>
        <w:rPr>
          <w:rFonts w:hint="eastAsia" w:ascii="仿宋_GB2312" w:eastAsia="仿宋_GB2312"/>
          <w:sz w:val="32"/>
          <w:szCs w:val="32"/>
        </w:rPr>
        <w:t>月</w:t>
      </w:r>
      <w:r>
        <w:rPr>
          <w:rFonts w:ascii="仿宋_GB2312" w:eastAsia="仿宋_GB2312"/>
          <w:sz w:val="32"/>
          <w:szCs w:val="32"/>
        </w:rPr>
        <w:t>1</w:t>
      </w:r>
      <w:r>
        <w:rPr>
          <w:rFonts w:hint="eastAsia" w:ascii="仿宋_GB2312" w:eastAsia="仿宋_GB2312"/>
          <w:sz w:val="32"/>
          <w:szCs w:val="32"/>
        </w:rPr>
        <w:t>日起至</w:t>
      </w:r>
      <w:r>
        <w:rPr>
          <w:rFonts w:ascii="仿宋_GB2312" w:eastAsia="仿宋_GB2312"/>
          <w:sz w:val="32"/>
          <w:szCs w:val="32"/>
        </w:rPr>
        <w:t>2022</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日止，截止</w:t>
      </w:r>
      <w:r>
        <w:rPr>
          <w:rFonts w:ascii="仿宋_GB2312" w:eastAsia="仿宋_GB2312"/>
          <w:sz w:val="32"/>
          <w:szCs w:val="32"/>
        </w:rPr>
        <w:t>2022</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月，计划资金全部到位，其中</w:t>
      </w:r>
      <w:r>
        <w:rPr>
          <w:rFonts w:ascii="仿宋_GB2312" w:eastAsia="仿宋_GB2312"/>
          <w:sz w:val="32"/>
          <w:szCs w:val="32"/>
        </w:rPr>
        <w:t>2022</w:t>
      </w:r>
      <w:r>
        <w:rPr>
          <w:rFonts w:hint="eastAsia" w:ascii="仿宋_GB2312" w:eastAsia="仿宋_GB2312"/>
          <w:sz w:val="32"/>
          <w:szCs w:val="32"/>
        </w:rPr>
        <w:t>年支付金额</w:t>
      </w:r>
      <w:r>
        <w:rPr>
          <w:rFonts w:ascii="仿宋_GB2312" w:eastAsia="仿宋_GB2312"/>
          <w:sz w:val="32"/>
          <w:szCs w:val="32"/>
        </w:rPr>
        <w:t>340.438336</w:t>
      </w:r>
      <w:r>
        <w:rPr>
          <w:rFonts w:hint="eastAsia" w:ascii="仿宋_GB2312" w:eastAsia="仿宋_GB2312"/>
          <w:sz w:val="32"/>
          <w:szCs w:val="32"/>
        </w:rPr>
        <w:t>万元。</w:t>
      </w:r>
    </w:p>
    <w:p>
      <w:pPr>
        <w:tabs>
          <w:tab w:val="center" w:pos="4153"/>
        </w:tabs>
        <w:spacing w:line="54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资金使用。</w:t>
      </w:r>
      <w:r>
        <w:rPr>
          <w:rFonts w:ascii="仿宋_GB2312" w:eastAsia="仿宋_GB2312"/>
          <w:sz w:val="32"/>
          <w:szCs w:val="32"/>
        </w:rPr>
        <w:t>2022</w:t>
      </w:r>
      <w:r>
        <w:rPr>
          <w:rFonts w:hint="eastAsia" w:ascii="仿宋_GB2312" w:eastAsia="仿宋_GB2312"/>
          <w:sz w:val="32"/>
          <w:szCs w:val="32"/>
        </w:rPr>
        <w:t>年市级电子政务外网服务费共计</w:t>
      </w:r>
      <w:r>
        <w:rPr>
          <w:rFonts w:ascii="仿宋_GB2312" w:eastAsia="仿宋_GB2312"/>
          <w:sz w:val="32"/>
          <w:szCs w:val="32"/>
        </w:rPr>
        <w:t>340.438336</w:t>
      </w:r>
      <w:r>
        <w:rPr>
          <w:rFonts w:hint="eastAsia" w:ascii="仿宋_GB2312" w:eastAsia="仿宋_GB2312"/>
          <w:sz w:val="32"/>
          <w:szCs w:val="32"/>
        </w:rPr>
        <w:t>万元，已支付</w:t>
      </w:r>
      <w:r>
        <w:rPr>
          <w:rFonts w:ascii="仿宋_GB2312" w:eastAsia="仿宋_GB2312"/>
          <w:sz w:val="32"/>
          <w:szCs w:val="32"/>
        </w:rPr>
        <w:t>340.438336</w:t>
      </w:r>
      <w:r>
        <w:rPr>
          <w:rFonts w:hint="eastAsia" w:ascii="仿宋_GB2312" w:eastAsia="仿宋_GB2312"/>
          <w:sz w:val="32"/>
          <w:szCs w:val="32"/>
        </w:rPr>
        <w:t>万元，其中，中国电信服务有限公司广元分公司服务费</w:t>
      </w:r>
      <w:r>
        <w:rPr>
          <w:rFonts w:ascii="仿宋_GB2312" w:eastAsia="仿宋_GB2312"/>
          <w:sz w:val="32"/>
          <w:szCs w:val="32"/>
        </w:rPr>
        <w:t>106.87104</w:t>
      </w:r>
      <w:r>
        <w:rPr>
          <w:rFonts w:hint="eastAsia" w:ascii="仿宋_GB2312" w:eastAsia="仿宋_GB2312"/>
          <w:sz w:val="32"/>
          <w:szCs w:val="32"/>
        </w:rPr>
        <w:t>万元，中国移动通信集团四川有限公司广元分公司服务费</w:t>
      </w:r>
      <w:r>
        <w:rPr>
          <w:rFonts w:ascii="仿宋_GB2312" w:eastAsia="仿宋_GB2312"/>
          <w:sz w:val="32"/>
          <w:szCs w:val="32"/>
        </w:rPr>
        <w:t>233.567296</w:t>
      </w:r>
      <w:r>
        <w:rPr>
          <w:rFonts w:hint="eastAsia" w:ascii="仿宋_GB2312" w:eastAsia="仿宋_GB2312"/>
          <w:sz w:val="32"/>
          <w:szCs w:val="32"/>
        </w:rPr>
        <w:t>万元。该项目主要用于电子政务外网网络运维等费用。该项目由我办组织实施，项目资金不涉及分配点位问题。</w:t>
      </w:r>
    </w:p>
    <w:p>
      <w:pPr>
        <w:spacing w:line="540" w:lineRule="exact"/>
        <w:ind w:firstLine="640" w:firstLineChars="200"/>
        <w:rPr>
          <w:rFonts w:ascii="楷体_GB2312" w:hAnsi="楷体" w:eastAsia="楷体_GB2312" w:cs="楷体"/>
          <w:color w:val="000000"/>
          <w:sz w:val="32"/>
          <w:szCs w:val="32"/>
        </w:rPr>
      </w:pPr>
      <w:r>
        <w:rPr>
          <w:rFonts w:hint="eastAsia" w:ascii="楷体_GB2312" w:hAnsi="楷体" w:eastAsia="楷体_GB2312" w:cs="楷体"/>
          <w:color w:val="000000"/>
          <w:sz w:val="32"/>
          <w:szCs w:val="32"/>
        </w:rPr>
        <w:t>（三）项目财务管理情况</w:t>
      </w:r>
    </w:p>
    <w:p>
      <w:pPr>
        <w:tabs>
          <w:tab w:val="center" w:pos="4153"/>
        </w:tabs>
        <w:spacing w:line="540" w:lineRule="exact"/>
        <w:ind w:firstLine="640" w:firstLineChars="200"/>
        <w:rPr>
          <w:rFonts w:ascii="仿宋_GB2312" w:eastAsia="仿宋_GB2312"/>
          <w:sz w:val="32"/>
          <w:szCs w:val="32"/>
        </w:rPr>
      </w:pPr>
      <w:r>
        <w:rPr>
          <w:rFonts w:hint="eastAsia" w:ascii="仿宋_GB2312" w:eastAsia="仿宋_GB2312"/>
          <w:sz w:val="32"/>
          <w:szCs w:val="32"/>
        </w:rPr>
        <w:t>项目资金到位后，严格按照财务相关管理制度及流程进行管理，全部资金都用于该项目支出，无被截留、挤占、挪用的现象。</w:t>
      </w:r>
    </w:p>
    <w:p>
      <w:pPr>
        <w:tabs>
          <w:tab w:val="center" w:pos="4153"/>
        </w:tabs>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三、项目实施及管理情况</w:t>
      </w:r>
    </w:p>
    <w:p>
      <w:pPr>
        <w:spacing w:line="540" w:lineRule="exact"/>
        <w:ind w:firstLine="640" w:firstLineChars="200"/>
        <w:rPr>
          <w:rFonts w:ascii="楷体_GB2312" w:hAnsi="楷体" w:eastAsia="楷体_GB2312" w:cs="楷体"/>
          <w:color w:val="000000"/>
          <w:sz w:val="32"/>
          <w:szCs w:val="32"/>
        </w:rPr>
      </w:pPr>
      <w:r>
        <w:rPr>
          <w:rFonts w:hint="eastAsia" w:ascii="楷体_GB2312" w:hAnsi="楷体" w:eastAsia="楷体_GB2312" w:cs="楷体"/>
          <w:color w:val="000000"/>
          <w:sz w:val="32"/>
          <w:szCs w:val="32"/>
        </w:rPr>
        <w:t>（一）项目组织架构及实施流程。</w:t>
      </w:r>
    </w:p>
    <w:p>
      <w:pPr>
        <w:tabs>
          <w:tab w:val="center" w:pos="4153"/>
        </w:tabs>
        <w:spacing w:line="540" w:lineRule="exact"/>
        <w:ind w:firstLine="640" w:firstLineChars="200"/>
        <w:rPr>
          <w:rFonts w:ascii="仿宋_GB2312" w:eastAsia="仿宋_GB2312"/>
          <w:sz w:val="32"/>
          <w:szCs w:val="32"/>
        </w:rPr>
      </w:pPr>
      <w:r>
        <w:rPr>
          <w:rFonts w:hint="eastAsia" w:ascii="仿宋_GB2312" w:eastAsia="仿宋_GB2312"/>
          <w:sz w:val="32"/>
          <w:szCs w:val="32"/>
        </w:rPr>
        <w:t>我办高度重视市级电子政务外网升级改造服务项目工作，经市政府办公室党组研究决定，市级电子政务外网服务项目由市政府办公室分管副主任牵头，市电子政务外网管理中心具体负责按程序组织实施，涉及“三重一大”事项一律报市政府办公室党组会议研究审定后实施。</w:t>
      </w:r>
    </w:p>
    <w:p>
      <w:pPr>
        <w:spacing w:line="540" w:lineRule="exact"/>
        <w:ind w:firstLine="640" w:firstLineChars="200"/>
        <w:rPr>
          <w:rFonts w:ascii="楷体_GB2312" w:hAnsi="楷体" w:eastAsia="楷体_GB2312" w:cs="楷体"/>
          <w:color w:val="000000"/>
          <w:sz w:val="32"/>
          <w:szCs w:val="32"/>
        </w:rPr>
      </w:pPr>
      <w:r>
        <w:rPr>
          <w:rFonts w:hint="eastAsia" w:ascii="楷体_GB2312" w:hAnsi="楷体" w:eastAsia="楷体_GB2312" w:cs="楷体"/>
          <w:color w:val="000000"/>
          <w:sz w:val="32"/>
          <w:szCs w:val="32"/>
        </w:rPr>
        <w:t>（二）项目管理情况。</w:t>
      </w:r>
    </w:p>
    <w:p>
      <w:pPr>
        <w:tabs>
          <w:tab w:val="center" w:pos="4153"/>
        </w:tabs>
        <w:spacing w:line="540" w:lineRule="exact"/>
        <w:ind w:firstLine="640" w:firstLineChars="200"/>
        <w:rPr>
          <w:rFonts w:ascii="仿宋_GB2312" w:eastAsia="仿宋_GB2312"/>
          <w:sz w:val="32"/>
          <w:szCs w:val="32"/>
        </w:rPr>
      </w:pPr>
      <w:r>
        <w:rPr>
          <w:rFonts w:hint="eastAsia" w:ascii="仿宋_GB2312" w:eastAsia="仿宋_GB2312"/>
          <w:sz w:val="32"/>
          <w:szCs w:val="32"/>
        </w:rPr>
        <w:t>市级电子政务外网升级改造服务项目采取工作领导小组负责制，全体成员积极配合、通力合作。按程序报市经济和信息化局对广元市市级电子政务外网升级改造服务项目进行了预审和技术方案评审，委托市政府采购中心进行需求论证和招标采购，组织专家进行验收。各环节均报市政府办公室党组进行研究决策，项目管理全程规范。</w:t>
      </w:r>
    </w:p>
    <w:p>
      <w:pPr>
        <w:spacing w:line="540" w:lineRule="exact"/>
        <w:ind w:firstLine="640" w:firstLineChars="200"/>
        <w:rPr>
          <w:rFonts w:ascii="楷体_GB2312" w:hAnsi="楷体" w:eastAsia="楷体_GB2312" w:cs="楷体"/>
          <w:color w:val="000000"/>
          <w:sz w:val="32"/>
          <w:szCs w:val="32"/>
        </w:rPr>
      </w:pPr>
      <w:r>
        <w:rPr>
          <w:rFonts w:hint="eastAsia" w:ascii="楷体_GB2312" w:hAnsi="楷体" w:eastAsia="楷体_GB2312" w:cs="楷体"/>
          <w:color w:val="000000"/>
          <w:sz w:val="32"/>
          <w:szCs w:val="32"/>
        </w:rPr>
        <w:t>（三）项目监管情况。</w:t>
      </w:r>
    </w:p>
    <w:p>
      <w:pPr>
        <w:tabs>
          <w:tab w:val="center" w:pos="4153"/>
        </w:tabs>
        <w:spacing w:line="540" w:lineRule="exact"/>
        <w:ind w:firstLine="640" w:firstLineChars="200"/>
        <w:rPr>
          <w:rFonts w:ascii="仿宋_GB2312" w:eastAsia="仿宋_GB2312"/>
          <w:sz w:val="32"/>
          <w:szCs w:val="32"/>
        </w:rPr>
      </w:pPr>
      <w:r>
        <w:rPr>
          <w:rFonts w:hint="eastAsia" w:ascii="仿宋_GB2312" w:eastAsia="仿宋_GB2312"/>
          <w:sz w:val="32"/>
          <w:szCs w:val="32"/>
        </w:rPr>
        <w:t>市纪委监委驻市政府办公室纪检组对广元市市级电子政务外网升级改造服务项目的政府采购活动进行全程监督。同时，</w:t>
      </w:r>
      <w:r>
        <w:rPr>
          <w:rFonts w:ascii="仿宋_GB2312" w:eastAsia="仿宋_GB2312"/>
          <w:sz w:val="32"/>
          <w:szCs w:val="32"/>
        </w:rPr>
        <w:t xml:space="preserve"> </w:t>
      </w:r>
      <w:r>
        <w:rPr>
          <w:rFonts w:hint="eastAsia" w:ascii="仿宋_GB2312" w:eastAsia="仿宋_GB2312"/>
          <w:sz w:val="32"/>
          <w:szCs w:val="32"/>
        </w:rPr>
        <w:t>我办主动接受省委巡视组、市纪委监委及上级主管部门的监督检查，无违纪违法现象。</w:t>
      </w:r>
    </w:p>
    <w:p>
      <w:pPr>
        <w:tabs>
          <w:tab w:val="center" w:pos="4153"/>
        </w:tabs>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四、目标完成情况</w:t>
      </w:r>
      <w:r>
        <w:rPr>
          <w:rFonts w:ascii="黑体" w:hAnsi="黑体" w:eastAsia="黑体" w:cs="黑体"/>
          <w:sz w:val="32"/>
          <w:szCs w:val="32"/>
        </w:rPr>
        <w:t xml:space="preserve"> </w:t>
      </w:r>
    </w:p>
    <w:p>
      <w:pPr>
        <w:tabs>
          <w:tab w:val="center" w:pos="4153"/>
        </w:tabs>
        <w:spacing w:line="540" w:lineRule="exact"/>
        <w:ind w:firstLine="640" w:firstLineChars="200"/>
        <w:rPr>
          <w:rFonts w:ascii="仿宋_GB2312" w:eastAsia="仿宋_GB2312"/>
          <w:sz w:val="32"/>
          <w:szCs w:val="32"/>
        </w:rPr>
      </w:pPr>
      <w:r>
        <w:rPr>
          <w:rFonts w:hint="eastAsia" w:ascii="楷体_GB2312" w:hAnsi="楷体" w:eastAsia="楷体_GB2312" w:cs="楷体"/>
          <w:color w:val="000000"/>
          <w:sz w:val="32"/>
          <w:szCs w:val="32"/>
        </w:rPr>
        <w:t>（一）目标完成情况。</w:t>
      </w:r>
      <w:r>
        <w:rPr>
          <w:rFonts w:hint="eastAsia" w:ascii="仿宋_GB2312" w:eastAsia="仿宋_GB2312"/>
          <w:sz w:val="32"/>
          <w:szCs w:val="32"/>
        </w:rPr>
        <w:t>截止</w:t>
      </w:r>
      <w:r>
        <w:rPr>
          <w:rFonts w:ascii="仿宋_GB2312" w:eastAsia="仿宋_GB2312"/>
          <w:sz w:val="32"/>
          <w:szCs w:val="32"/>
        </w:rPr>
        <w:t>2022</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月底，全面完成了该项目数量指标、时效指标、成本等指标数，该项目有效提高办公效率及满意度</w:t>
      </w:r>
      <w:r>
        <w:rPr>
          <w:rFonts w:hint="eastAsia" w:ascii="仿宋_GB2312" w:eastAsia="仿宋_GB2312"/>
          <w:sz w:val="32"/>
          <w:szCs w:val="32"/>
          <w:lang w:eastAsia="zh-CN"/>
        </w:rPr>
        <w:t>（详见附表）</w:t>
      </w:r>
      <w:r>
        <w:rPr>
          <w:rFonts w:hint="eastAsia" w:ascii="仿宋_GB2312" w:eastAsia="仿宋_GB2312"/>
          <w:sz w:val="32"/>
          <w:szCs w:val="32"/>
        </w:rPr>
        <w:t>。</w:t>
      </w:r>
    </w:p>
    <w:p>
      <w:pPr>
        <w:tabs>
          <w:tab w:val="center" w:pos="4153"/>
        </w:tabs>
        <w:spacing w:line="540" w:lineRule="exact"/>
        <w:ind w:firstLine="640" w:firstLineChars="200"/>
        <w:rPr>
          <w:rFonts w:ascii="仿宋_GB2312" w:eastAsia="仿宋_GB2312"/>
          <w:sz w:val="32"/>
          <w:szCs w:val="32"/>
        </w:rPr>
      </w:pPr>
      <w:r>
        <w:rPr>
          <w:rFonts w:hint="eastAsia" w:ascii="楷体_GB2312" w:hAnsi="楷体" w:eastAsia="楷体_GB2312" w:cs="楷体"/>
          <w:color w:val="000000"/>
          <w:sz w:val="32"/>
          <w:szCs w:val="32"/>
        </w:rPr>
        <w:t>（二）目标效益情况。</w:t>
      </w:r>
      <w:r>
        <w:rPr>
          <w:rFonts w:hint="eastAsia" w:ascii="仿宋_GB2312" w:eastAsia="仿宋_GB2312"/>
          <w:sz w:val="32"/>
          <w:szCs w:val="32"/>
        </w:rPr>
        <w:t>通过市级电子政务外网服务项目实施，市至各县区节点和市级重点部门由原来的单线路提升为双线路，消除了骨干网络和重点单位网络单点故障，网络运维管理等工作由原来的”运营商说了算”改善为“政府可管可控”，多运营商参与和服务质量考核促进了政务外网服务质量大幅提升，满意度为</w:t>
      </w:r>
      <w:r>
        <w:rPr>
          <w:rFonts w:ascii="仿宋_GB2312" w:eastAsia="仿宋_GB2312"/>
          <w:sz w:val="32"/>
          <w:szCs w:val="32"/>
        </w:rPr>
        <w:t>100%</w:t>
      </w:r>
      <w:r>
        <w:rPr>
          <w:rFonts w:hint="eastAsia" w:ascii="仿宋_GB2312" w:eastAsia="仿宋_GB2312"/>
          <w:sz w:val="32"/>
          <w:szCs w:val="32"/>
        </w:rPr>
        <w:t>。。</w:t>
      </w:r>
    </w:p>
    <w:p>
      <w:pPr>
        <w:tabs>
          <w:tab w:val="center" w:pos="4153"/>
        </w:tabs>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五、评价结论及建议</w:t>
      </w:r>
    </w:p>
    <w:p>
      <w:pPr>
        <w:tabs>
          <w:tab w:val="center" w:pos="4153"/>
        </w:tabs>
        <w:spacing w:line="540" w:lineRule="exact"/>
        <w:ind w:firstLine="640" w:firstLineChars="200"/>
        <w:rPr>
          <w:rFonts w:ascii="仿宋_GB2312" w:eastAsia="仿宋_GB2312"/>
          <w:sz w:val="32"/>
          <w:szCs w:val="32"/>
        </w:rPr>
      </w:pPr>
      <w:r>
        <w:rPr>
          <w:rFonts w:hint="eastAsia" w:ascii="楷体_GB2312" w:hAnsi="楷体" w:eastAsia="楷体_GB2312" w:cs="楷体"/>
          <w:color w:val="000000"/>
          <w:sz w:val="32"/>
          <w:szCs w:val="32"/>
        </w:rPr>
        <w:t>（一）评价结论。</w:t>
      </w:r>
      <w:r>
        <w:rPr>
          <w:rFonts w:hint="eastAsia" w:ascii="仿宋_GB2312" w:eastAsia="仿宋_GB2312"/>
          <w:sz w:val="32"/>
          <w:szCs w:val="32"/>
        </w:rPr>
        <w:t>市级电子政务外网升级改造服务项目绩效目标编制明确量化，财务管理规范，内控制度健全，财政资金使用符合要求，预算执行基本收支平衡，专项经费收支情况良好，财政支出绩效评价较好。通过对该项目绩效的分析和评价，自评得分</w:t>
      </w:r>
      <w:r>
        <w:rPr>
          <w:rFonts w:ascii="仿宋_GB2312" w:eastAsia="仿宋_GB2312"/>
          <w:sz w:val="32"/>
          <w:szCs w:val="32"/>
        </w:rPr>
        <w:t xml:space="preserve">100 </w:t>
      </w:r>
      <w:r>
        <w:rPr>
          <w:rFonts w:hint="eastAsia" w:ascii="仿宋_GB2312" w:eastAsia="仿宋_GB2312"/>
          <w:sz w:val="32"/>
          <w:szCs w:val="32"/>
        </w:rPr>
        <w:t>分。</w:t>
      </w:r>
    </w:p>
    <w:p>
      <w:pPr>
        <w:tabs>
          <w:tab w:val="center" w:pos="4153"/>
        </w:tabs>
        <w:spacing w:line="540" w:lineRule="exact"/>
        <w:rPr>
          <w:rFonts w:ascii="仿宋_GB2312" w:eastAsia="仿宋_GB2312"/>
          <w:sz w:val="32"/>
          <w:szCs w:val="32"/>
        </w:rPr>
      </w:pPr>
      <w:r>
        <w:rPr>
          <w:rFonts w:ascii="仿宋_GB2312" w:eastAsia="仿宋_GB2312"/>
          <w:sz w:val="32"/>
          <w:szCs w:val="32"/>
        </w:rPr>
        <w:t xml:space="preserve">  </w:t>
      </w:r>
      <w:r>
        <w:rPr>
          <w:rFonts w:ascii="楷体_GB2312" w:hAnsi="楷体" w:eastAsia="楷体_GB2312" w:cs="楷体"/>
          <w:color w:val="000000"/>
          <w:sz w:val="32"/>
          <w:szCs w:val="32"/>
        </w:rPr>
        <w:t xml:space="preserve">  </w:t>
      </w:r>
      <w:r>
        <w:rPr>
          <w:rFonts w:hint="eastAsia" w:ascii="楷体_GB2312" w:hAnsi="楷体" w:eastAsia="楷体_GB2312" w:cs="楷体"/>
          <w:color w:val="000000"/>
          <w:sz w:val="32"/>
          <w:szCs w:val="32"/>
        </w:rPr>
        <w:t>（二）存在问题</w:t>
      </w:r>
      <w:r>
        <w:rPr>
          <w:rFonts w:hint="eastAsia" w:ascii="仿宋_GB2312" w:eastAsia="仿宋_GB2312"/>
          <w:sz w:val="32"/>
          <w:szCs w:val="32"/>
        </w:rPr>
        <w:t>。各县区和市级单位电子政务外网运维管理还存在薄弱环节。部分县区管理机构还没有实现系统管理员、审计管理员、安全管理员分立，应急演练落实还不到位；部分市级单位网络接入设备存在掉电情况，没有保证设备常态在线，还存在未按规范将内部局域网接入政务外网的问题。</w:t>
      </w:r>
    </w:p>
    <w:p>
      <w:pPr>
        <w:tabs>
          <w:tab w:val="center" w:pos="4153"/>
        </w:tabs>
        <w:spacing w:line="540" w:lineRule="exact"/>
        <w:ind w:firstLine="640" w:firstLineChars="200"/>
        <w:rPr>
          <w:rFonts w:ascii="仿宋_GB2312" w:eastAsia="仿宋_GB2312"/>
          <w:sz w:val="32"/>
          <w:szCs w:val="32"/>
        </w:rPr>
      </w:pPr>
      <w:r>
        <w:rPr>
          <w:rFonts w:hint="eastAsia" w:ascii="楷体_GB2312" w:hAnsi="楷体" w:eastAsia="楷体_GB2312" w:cs="楷体"/>
          <w:color w:val="000000"/>
          <w:sz w:val="32"/>
          <w:szCs w:val="32"/>
        </w:rPr>
        <w:t>（三）相关建议。</w:t>
      </w:r>
      <w:r>
        <w:rPr>
          <w:rFonts w:hint="eastAsia" w:ascii="仿宋_GB2312" w:eastAsia="仿宋_GB2312"/>
          <w:sz w:val="32"/>
          <w:szCs w:val="32"/>
        </w:rPr>
        <w:t>加强对市级电子政务外网的安全运行监管和业务指导，及时发现存在的安全和运维管理问题，并有针对性地进行点对点纠正，确保全市政务外网安全稳定运行。</w:t>
      </w:r>
    </w:p>
    <w:p>
      <w:pPr>
        <w:pStyle w:val="8"/>
        <w:spacing w:before="93"/>
      </w:pPr>
    </w:p>
    <w:p>
      <w:pPr>
        <w:pStyle w:val="8"/>
        <w:spacing w:before="93"/>
      </w:pPr>
    </w:p>
    <w:p>
      <w:pPr>
        <w:pStyle w:val="8"/>
        <w:spacing w:before="93"/>
      </w:pPr>
    </w:p>
    <w:p>
      <w:pPr>
        <w:pStyle w:val="8"/>
        <w:spacing w:before="93"/>
      </w:pPr>
    </w:p>
    <w:p>
      <w:pPr>
        <w:pStyle w:val="8"/>
        <w:spacing w:before="93"/>
      </w:pPr>
    </w:p>
    <w:p>
      <w:pPr>
        <w:pStyle w:val="8"/>
        <w:spacing w:before="93"/>
      </w:pPr>
    </w:p>
    <w:p>
      <w:pPr>
        <w:spacing w:line="540" w:lineRule="exact"/>
        <w:jc w:val="center"/>
        <w:rPr>
          <w:rFonts w:ascii="方正小标宋简体" w:hAnsi="宋体" w:eastAsia="方正小标宋简体"/>
          <w:color w:val="000000"/>
          <w:kern w:val="0"/>
          <w:sz w:val="44"/>
          <w:szCs w:val="44"/>
        </w:rPr>
      </w:pPr>
    </w:p>
    <w:p>
      <w:pPr>
        <w:spacing w:line="540" w:lineRule="exact"/>
        <w:jc w:val="center"/>
        <w:rPr>
          <w:rFonts w:hint="eastAsia" w:ascii="方正小标宋简体" w:hAnsi="宋体" w:eastAsia="方正小标宋简体"/>
          <w:color w:val="000000"/>
          <w:w w:val="95"/>
          <w:kern w:val="0"/>
          <w:sz w:val="44"/>
          <w:szCs w:val="44"/>
        </w:rPr>
      </w:pPr>
      <w:r>
        <w:rPr>
          <w:rFonts w:ascii="方正小标宋简体" w:hAnsi="宋体" w:eastAsia="方正小标宋简体"/>
          <w:color w:val="000000"/>
          <w:w w:val="95"/>
          <w:kern w:val="0"/>
          <w:sz w:val="44"/>
          <w:szCs w:val="44"/>
        </w:rPr>
        <w:t>202</w:t>
      </w:r>
      <w:r>
        <w:rPr>
          <w:rFonts w:hint="eastAsia" w:ascii="方正小标宋简体" w:hAnsi="宋体" w:eastAsia="方正小标宋简体"/>
          <w:color w:val="000000"/>
          <w:w w:val="95"/>
          <w:kern w:val="0"/>
          <w:sz w:val="44"/>
          <w:szCs w:val="44"/>
        </w:rPr>
        <w:t>2年市级专项资金预算项目支出绩效自评报告</w:t>
      </w:r>
    </w:p>
    <w:p>
      <w:pPr>
        <w:spacing w:line="540" w:lineRule="exact"/>
        <w:jc w:val="center"/>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（市政府总值班室增设卫生间经费）</w:t>
      </w:r>
    </w:p>
    <w:p>
      <w:pPr>
        <w:spacing w:line="540" w:lineRule="exact"/>
        <w:rPr>
          <w:rFonts w:hint="eastAsia" w:ascii="仿宋" w:hAnsi="仿宋" w:eastAsia="仿宋" w:cs="仿宋"/>
          <w:color w:val="000000"/>
          <w:kern w:val="0"/>
          <w:sz w:val="32"/>
          <w:szCs w:val="32"/>
        </w:rPr>
      </w:pPr>
    </w:p>
    <w:p>
      <w:pPr>
        <w:spacing w:line="540" w:lineRule="exact"/>
        <w:ind w:firstLine="640" w:firstLineChars="2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一、项目概况</w:t>
      </w:r>
    </w:p>
    <w:p>
      <w:pPr>
        <w:spacing w:line="540" w:lineRule="exact"/>
        <w:ind w:firstLine="640" w:firstLineChars="200"/>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（一）项目基本情况。</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根据省委省政府相关规定，总值班室需单独设立卫生间，经费4.5万元，资金为一般公共预算。</w:t>
      </w:r>
    </w:p>
    <w:p>
      <w:pPr>
        <w:spacing w:line="540" w:lineRule="exact"/>
        <w:ind w:firstLine="640" w:firstLineChars="200"/>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（二）项目绩效目标。</w:t>
      </w:r>
    </w:p>
    <w:p>
      <w:pPr>
        <w:spacing w:line="540" w:lineRule="exact"/>
        <w:ind w:firstLine="640" w:firstLineChars="200"/>
        <w:rPr>
          <w:rFonts w:ascii="仿宋_GB2312" w:eastAsia="仿宋_GB2312" w:cs="仿宋_GB2312"/>
          <w:sz w:val="32"/>
          <w:szCs w:val="32"/>
        </w:rPr>
      </w:pPr>
      <w:r>
        <w:rPr>
          <w:rFonts w:hint="eastAsia" w:ascii="仿宋_GB2312" w:eastAsia="仿宋_GB2312"/>
          <w:sz w:val="32"/>
          <w:szCs w:val="32"/>
        </w:rPr>
        <w:t>1.项目主要内容。</w:t>
      </w:r>
      <w:r>
        <w:rPr>
          <w:rFonts w:hint="eastAsia" w:ascii="仿宋_GB2312" w:eastAsia="仿宋_GB2312" w:cs="仿宋_GB2312"/>
          <w:sz w:val="32"/>
          <w:szCs w:val="32"/>
        </w:rPr>
        <w:t>市政府总值班增设卫生间改造经费4.5万元。</w:t>
      </w:r>
    </w:p>
    <w:p>
      <w:pPr>
        <w:adjustRightInd w:val="0"/>
        <w:snapToGrid w:val="0"/>
        <w:spacing w:line="540" w:lineRule="exact"/>
        <w:ind w:firstLine="720"/>
        <w:rPr>
          <w:rFonts w:hint="eastAsia" w:ascii="仿宋_GB2312" w:eastAsia="仿宋_GB2312"/>
          <w:sz w:val="32"/>
          <w:szCs w:val="32"/>
        </w:rPr>
      </w:pPr>
      <w:r>
        <w:rPr>
          <w:rFonts w:hint="eastAsia" w:ascii="仿宋_GB2312" w:eastAsia="仿宋_GB2312"/>
          <w:sz w:val="32"/>
          <w:szCs w:val="32"/>
        </w:rPr>
        <w:t>2.具体绩效目标。2022年，完成卫生间增设工作，完成经费支付工作，方便工作开展，符合相关政策要求。</w:t>
      </w:r>
    </w:p>
    <w:p>
      <w:pPr>
        <w:tabs>
          <w:tab w:val="center" w:pos="4153"/>
        </w:tabs>
        <w:spacing w:line="540" w:lineRule="exact"/>
        <w:ind w:firstLine="640" w:firstLineChars="200"/>
      </w:pPr>
      <w:r>
        <w:rPr>
          <w:rFonts w:hint="eastAsia" w:ascii="仿宋_GB2312" w:eastAsia="仿宋_GB2312"/>
          <w:sz w:val="32"/>
          <w:szCs w:val="32"/>
        </w:rPr>
        <w:t>3.申报内容与实际比较。</w:t>
      </w:r>
      <w:r>
        <w:rPr>
          <w:rFonts w:hint="eastAsia" w:ascii="仿宋_GB2312" w:eastAsia="仿宋_GB2312"/>
          <w:sz w:val="32"/>
          <w:szCs w:val="32"/>
        </w:rPr>
        <w:tab/>
      </w:r>
      <w:r>
        <w:rPr>
          <w:rFonts w:hint="eastAsia" w:ascii="仿宋_GB2312" w:eastAsia="仿宋_GB2312"/>
          <w:sz w:val="32"/>
          <w:szCs w:val="32"/>
        </w:rPr>
        <w:t>结合事前绩效、事中绩效和实际比较，申报内容准确无偏差，项目实施进度快，申报内容与实际相符，申报内容合理可行。</w:t>
      </w:r>
    </w:p>
    <w:p>
      <w:pPr>
        <w:spacing w:line="540" w:lineRule="exact"/>
        <w:ind w:firstLine="640" w:firstLineChars="200"/>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（三）项目自评步骤及方法。</w:t>
      </w:r>
    </w:p>
    <w:p>
      <w:pPr>
        <w:tabs>
          <w:tab w:val="center" w:pos="4153"/>
        </w:tabs>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项目采取自评与他评相结合方式，成立项目自评小组，结合评价内容，做到有计划，有安排，有奖惩，扎实开展本次自评工作。按照市财政局下达的项目支出绩效评价指标体系，自评小组针对申报内容、实施情况、资金兑现、财务管理、社会效益等做出自我评价，认真听取建议意见，做好自评工作。</w:t>
      </w:r>
    </w:p>
    <w:p>
      <w:pPr>
        <w:tabs>
          <w:tab w:val="center" w:pos="4153"/>
        </w:tabs>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二、项目资金申报及使用情况</w:t>
      </w:r>
    </w:p>
    <w:p>
      <w:pPr>
        <w:tabs>
          <w:tab w:val="center" w:pos="4153"/>
        </w:tabs>
        <w:spacing w:line="54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（一）项目资金申报及批复情况</w:t>
      </w:r>
    </w:p>
    <w:p>
      <w:pPr>
        <w:tabs>
          <w:tab w:val="center" w:pos="4153"/>
        </w:tabs>
        <w:spacing w:line="540" w:lineRule="exact"/>
        <w:ind w:firstLine="640" w:firstLineChars="200"/>
        <w:rPr>
          <w:rFonts w:hint="eastAsia"/>
        </w:rPr>
      </w:pPr>
      <w:r>
        <w:rPr>
          <w:rFonts w:hint="eastAsia" w:ascii="仿宋_GB2312" w:eastAsia="仿宋_GB2312"/>
          <w:sz w:val="32"/>
          <w:szCs w:val="32"/>
        </w:rPr>
        <w:t xml:space="preserve"> 市政府总值班室增设卫生间项目为年中追加预算，参</w:t>
      </w:r>
      <w:r>
        <w:rPr>
          <w:rFonts w:hint="eastAsia" w:ascii="仿宋_GB2312" w:eastAsia="仿宋_GB2312" w:cs="仿宋_GB2312"/>
          <w:sz w:val="32"/>
          <w:szCs w:val="32"/>
        </w:rPr>
        <w:t>按照程序报送办党组会议审定后实施。该项目经市财政局批复下达后，全部用于改造项目，项目经费由市财政局国库支付中心直接支付，经费使用合理。</w:t>
      </w:r>
    </w:p>
    <w:p>
      <w:pPr>
        <w:tabs>
          <w:tab w:val="center" w:pos="4153"/>
        </w:tabs>
        <w:spacing w:line="54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（二）资金计划、到位及使用情况</w:t>
      </w:r>
    </w:p>
    <w:p>
      <w:pPr>
        <w:tabs>
          <w:tab w:val="center" w:pos="4153"/>
        </w:tabs>
        <w:spacing w:line="540" w:lineRule="exact"/>
        <w:ind w:firstLine="640" w:firstLineChars="200"/>
        <w:rPr>
          <w:rFonts w:ascii="仿宋_GB2312" w:eastAsia="仿宋_GB2312"/>
          <w:sz w:val="32"/>
          <w:szCs w:val="32"/>
        </w:rPr>
      </w:pPr>
      <w:r>
        <w:rPr>
          <w:rFonts w:hint="eastAsia" w:ascii="仿宋_GB2312" w:eastAsia="仿宋_GB2312"/>
          <w:sz w:val="32"/>
          <w:szCs w:val="32"/>
        </w:rPr>
        <w:t>1.资金计划。市财政局年中追加市政府总值班室增设卫生间项目经费4.5万元，资金为一般公共预算。</w:t>
      </w:r>
    </w:p>
    <w:p>
      <w:pPr>
        <w:tabs>
          <w:tab w:val="center" w:pos="4153"/>
        </w:tabs>
        <w:spacing w:line="540" w:lineRule="exact"/>
        <w:ind w:firstLine="640" w:firstLineChars="200"/>
        <w:rPr>
          <w:rFonts w:ascii="仿宋_GB2312" w:eastAsia="仿宋_GB2312"/>
          <w:sz w:val="32"/>
          <w:szCs w:val="32"/>
        </w:rPr>
      </w:pPr>
      <w:r>
        <w:rPr>
          <w:rFonts w:hint="eastAsia" w:ascii="仿宋_GB2312" w:eastAsia="仿宋_GB2312"/>
          <w:sz w:val="32"/>
          <w:szCs w:val="32"/>
        </w:rPr>
        <w:t>2.资金到位。截止2022年12月，计划资金全部到位，金额4.5万元。</w:t>
      </w:r>
    </w:p>
    <w:p>
      <w:pPr>
        <w:tabs>
          <w:tab w:val="center" w:pos="4153"/>
        </w:tabs>
        <w:spacing w:line="540" w:lineRule="exact"/>
        <w:ind w:firstLine="640" w:firstLineChars="200"/>
        <w:rPr>
          <w:rFonts w:ascii="仿宋_GB2312" w:eastAsia="仿宋_GB2312"/>
          <w:sz w:val="32"/>
          <w:szCs w:val="32"/>
        </w:rPr>
      </w:pPr>
      <w:r>
        <w:rPr>
          <w:rFonts w:hint="eastAsia" w:ascii="仿宋_GB2312" w:eastAsia="仿宋_GB2312"/>
          <w:sz w:val="32"/>
          <w:szCs w:val="32"/>
        </w:rPr>
        <w:t>3.资金使用。截止2022年12月底，市政府总值班室增设卫生间项目经费共计4.5万元，已支付4.5万元，主要用于市政府总值班室增设卫生间改造。</w:t>
      </w:r>
    </w:p>
    <w:p>
      <w:pPr>
        <w:tabs>
          <w:tab w:val="center" w:pos="4153"/>
        </w:tabs>
        <w:spacing w:line="54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（三）项目财务管理情况</w:t>
      </w:r>
    </w:p>
    <w:p>
      <w:pPr>
        <w:tabs>
          <w:tab w:val="center" w:pos="4153"/>
        </w:tabs>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项目资金到位后，严格按照财务相关管理制度及流程进行管理，全部资金都用于该项目支出，无被截留、挤占、挪用的现象。</w:t>
      </w:r>
    </w:p>
    <w:p>
      <w:pPr>
        <w:tabs>
          <w:tab w:val="center" w:pos="4153"/>
        </w:tabs>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三、项目实施及管理情况</w:t>
      </w:r>
    </w:p>
    <w:p>
      <w:pPr>
        <w:tabs>
          <w:tab w:val="center" w:pos="4153"/>
        </w:tabs>
        <w:spacing w:line="54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（一）项目组织架构及实施流程。</w:t>
      </w:r>
    </w:p>
    <w:p>
      <w:pPr>
        <w:tabs>
          <w:tab w:val="center" w:pos="4153"/>
        </w:tabs>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我办党组高度重视该项目工作，安排机关后勤科牵头该工作。</w:t>
      </w:r>
    </w:p>
    <w:p>
      <w:pPr>
        <w:tabs>
          <w:tab w:val="center" w:pos="4153"/>
        </w:tabs>
        <w:spacing w:line="54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（二）项目管理情况。</w:t>
      </w:r>
    </w:p>
    <w:p>
      <w:pPr>
        <w:tabs>
          <w:tab w:val="center" w:pos="4153"/>
        </w:tabs>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市政府总值班室增设卫生间项目采取工作领导小组负责制，全体成员积极配合、通力合作。工作领导小组负责协调相关工作，项目实施及资金管理。</w:t>
      </w:r>
    </w:p>
    <w:p>
      <w:pPr>
        <w:tabs>
          <w:tab w:val="center" w:pos="4153"/>
        </w:tabs>
        <w:spacing w:line="54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（三）项目监管情况。</w:t>
      </w:r>
    </w:p>
    <w:p>
      <w:pPr>
        <w:tabs>
          <w:tab w:val="center" w:pos="4153"/>
        </w:tabs>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项目资金由市政府办机关后勤科科具体管理，对项目资金按项目实行“专款专用”，不得挤占挪用项目资金。强化监督，项目的正常实施监督检查是保障。</w:t>
      </w:r>
    </w:p>
    <w:p>
      <w:pPr>
        <w:tabs>
          <w:tab w:val="center" w:pos="4153"/>
        </w:tabs>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四、目标完成情况 </w:t>
      </w:r>
    </w:p>
    <w:p>
      <w:pPr>
        <w:tabs>
          <w:tab w:val="center" w:pos="4153"/>
        </w:tabs>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（一）目标完成情况。截止2022年12月底，全面完成了该项目数量指标、时效指标、成本等指标数，该项目有效提高办公效率及满意度</w:t>
      </w:r>
      <w:r>
        <w:rPr>
          <w:rFonts w:hint="eastAsia" w:ascii="仿宋_GB2312" w:eastAsia="仿宋_GB2312"/>
          <w:sz w:val="32"/>
          <w:szCs w:val="32"/>
          <w:lang w:eastAsia="zh-CN"/>
        </w:rPr>
        <w:t>（详见附表）</w:t>
      </w:r>
      <w:r>
        <w:rPr>
          <w:rFonts w:hint="eastAsia" w:ascii="仿宋_GB2312" w:eastAsia="仿宋_GB2312"/>
          <w:sz w:val="32"/>
          <w:szCs w:val="32"/>
        </w:rPr>
        <w:t>。</w:t>
      </w:r>
    </w:p>
    <w:p>
      <w:pPr>
        <w:tabs>
          <w:tab w:val="center" w:pos="4153"/>
        </w:tabs>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（二）目标效益情况。市政府总值班室增设卫生间项目在办党组的领导下顺利推进，圆满完成改造任务，满意度为100%。</w:t>
      </w:r>
    </w:p>
    <w:p>
      <w:pPr>
        <w:tabs>
          <w:tab w:val="center" w:pos="4153"/>
        </w:tabs>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五、评价结论及建议</w:t>
      </w:r>
    </w:p>
    <w:p>
      <w:pPr>
        <w:tabs>
          <w:tab w:val="center" w:pos="4153"/>
        </w:tabs>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（一）评价结论。截止2022年12月底，市政府总值班室增设卫生间项目任务完成较好，大大提高了值班效率。</w:t>
      </w:r>
    </w:p>
    <w:p>
      <w:pPr>
        <w:tabs>
          <w:tab w:val="center" w:pos="4153"/>
        </w:tabs>
        <w:spacing w:line="540" w:lineRule="exact"/>
        <w:rPr>
          <w:rFonts w:ascii="仿宋_GB2312" w:eastAsia="仿宋_GB2312"/>
          <w:sz w:val="32"/>
          <w:szCs w:val="32"/>
        </w:rPr>
      </w:pPr>
      <w:r>
        <w:rPr>
          <w:rFonts w:hint="eastAsia" w:ascii="仿宋_GB2312" w:eastAsia="仿宋_GB2312"/>
          <w:sz w:val="32"/>
          <w:szCs w:val="32"/>
        </w:rPr>
        <w:t xml:space="preserve">    （二）存在问题。无</w:t>
      </w:r>
    </w:p>
    <w:p>
      <w:pPr>
        <w:tabs>
          <w:tab w:val="center" w:pos="4153"/>
        </w:tabs>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（三）相关建议。无</w:t>
      </w:r>
    </w:p>
    <w:p>
      <w:pPr>
        <w:pStyle w:val="8"/>
        <w:spacing w:before="93"/>
      </w:pPr>
    </w:p>
    <w:p>
      <w:pPr>
        <w:pStyle w:val="8"/>
        <w:spacing w:before="93"/>
      </w:pPr>
    </w:p>
    <w:p>
      <w:pPr>
        <w:pStyle w:val="8"/>
        <w:spacing w:before="93"/>
      </w:pPr>
    </w:p>
    <w:p>
      <w:pPr>
        <w:pStyle w:val="8"/>
        <w:spacing w:before="93"/>
      </w:pPr>
    </w:p>
    <w:p>
      <w:pPr>
        <w:pStyle w:val="8"/>
        <w:spacing w:before="93"/>
      </w:pPr>
    </w:p>
    <w:p>
      <w:pPr>
        <w:pStyle w:val="8"/>
        <w:spacing w:before="93"/>
      </w:pPr>
    </w:p>
    <w:p>
      <w:pPr>
        <w:spacing w:line="520" w:lineRule="exact"/>
        <w:jc w:val="center"/>
        <w:rPr>
          <w:rFonts w:hAnsi="宋体"/>
          <w:color w:val="000000"/>
          <w:w w:val="95"/>
          <w:sz w:val="44"/>
          <w:szCs w:val="44"/>
        </w:rPr>
      </w:pPr>
      <w:r>
        <w:rPr>
          <w:rFonts w:hAnsi="宋体"/>
          <w:color w:val="000000"/>
          <w:w w:val="95"/>
          <w:sz w:val="44"/>
          <w:szCs w:val="44"/>
        </w:rPr>
        <w:t>2022</w:t>
      </w:r>
      <w:r>
        <w:rPr>
          <w:rFonts w:hint="eastAsia" w:hAnsi="宋体"/>
          <w:color w:val="000000"/>
          <w:w w:val="95"/>
          <w:sz w:val="44"/>
          <w:szCs w:val="44"/>
        </w:rPr>
        <w:t>年市级专项资金预算项目支出绩效自评报告</w:t>
      </w:r>
    </w:p>
    <w:p>
      <w:pPr>
        <w:spacing w:line="520" w:lineRule="exact"/>
        <w:jc w:val="center"/>
        <w:rPr>
          <w:rFonts w:hint="eastAsia" w:ascii="楷体_GB2312" w:hAnsi="楷体" w:eastAsia="楷体_GB2312" w:cs="楷体"/>
          <w:color w:val="000000"/>
          <w:sz w:val="32"/>
          <w:szCs w:val="32"/>
        </w:rPr>
      </w:pPr>
      <w:r>
        <w:rPr>
          <w:rFonts w:hint="eastAsia" w:ascii="楷体_GB2312" w:hAnsi="楷体" w:eastAsia="楷体_GB2312" w:cs="楷体"/>
          <w:color w:val="000000"/>
          <w:sz w:val="32"/>
          <w:szCs w:val="32"/>
        </w:rPr>
        <w:t>（推动民营企业建立现代化企业制度经费）</w:t>
      </w:r>
    </w:p>
    <w:p>
      <w:pPr>
        <w:spacing w:line="520" w:lineRule="exact"/>
        <w:rPr>
          <w:rFonts w:ascii="仿宋" w:hAnsi="仿宋" w:eastAsia="仿宋" w:cs="仿宋"/>
          <w:color w:val="000000"/>
          <w:sz w:val="32"/>
          <w:szCs w:val="32"/>
        </w:rPr>
      </w:pPr>
    </w:p>
    <w:p>
      <w:pPr>
        <w:spacing w:line="52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一、项目概况</w:t>
      </w:r>
    </w:p>
    <w:p>
      <w:pPr>
        <w:spacing w:line="520" w:lineRule="exact"/>
        <w:ind w:firstLine="640" w:firstLineChars="200"/>
        <w:rPr>
          <w:rFonts w:hint="eastAsia" w:ascii="楷体_GB2312" w:hAnsi="楷体" w:eastAsia="楷体_GB2312" w:cs="楷体"/>
          <w:color w:val="000000"/>
          <w:sz w:val="32"/>
          <w:szCs w:val="32"/>
        </w:rPr>
      </w:pPr>
      <w:r>
        <w:rPr>
          <w:rFonts w:hint="eastAsia" w:ascii="楷体_GB2312" w:hAnsi="楷体" w:eastAsia="楷体_GB2312" w:cs="楷体"/>
          <w:color w:val="000000"/>
          <w:sz w:val="32"/>
          <w:szCs w:val="32"/>
        </w:rPr>
        <w:t>（一）项目基本情况。</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为贯彻落实习近平总书记在民营企业座谈会上的讲话精神和省委省政府“民营经济</w:t>
      </w:r>
      <w:r>
        <w:rPr>
          <w:rFonts w:ascii="仿宋_GB2312" w:eastAsia="仿宋_GB2312"/>
          <w:sz w:val="32"/>
          <w:szCs w:val="32"/>
        </w:rPr>
        <w:t>20</w:t>
      </w:r>
      <w:r>
        <w:rPr>
          <w:rFonts w:hint="eastAsia" w:ascii="仿宋_GB2312" w:eastAsia="仿宋_GB2312"/>
          <w:sz w:val="32"/>
          <w:szCs w:val="32"/>
        </w:rPr>
        <w:t>条”、市委市政府“民营经济</w:t>
      </w:r>
      <w:r>
        <w:rPr>
          <w:rFonts w:ascii="仿宋_GB2312" w:eastAsia="仿宋_GB2312"/>
          <w:sz w:val="32"/>
          <w:szCs w:val="32"/>
        </w:rPr>
        <w:t>90</w:t>
      </w:r>
      <w:r>
        <w:rPr>
          <w:rFonts w:hint="eastAsia" w:ascii="仿宋_GB2312" w:eastAsia="仿宋_GB2312"/>
          <w:sz w:val="32"/>
          <w:szCs w:val="32"/>
        </w:rPr>
        <w:t>条”，实施该项目，经费预算</w:t>
      </w:r>
      <w:r>
        <w:rPr>
          <w:rFonts w:ascii="仿宋_GB2312" w:eastAsia="仿宋_GB2312"/>
          <w:sz w:val="32"/>
          <w:szCs w:val="32"/>
        </w:rPr>
        <w:t>28</w:t>
      </w:r>
      <w:r>
        <w:rPr>
          <w:rFonts w:hint="eastAsia" w:ascii="仿宋_GB2312" w:eastAsia="仿宋_GB2312"/>
          <w:sz w:val="32"/>
          <w:szCs w:val="32"/>
        </w:rPr>
        <w:t>万元，资金为一般公共预算。</w:t>
      </w:r>
    </w:p>
    <w:p>
      <w:pPr>
        <w:spacing w:line="520" w:lineRule="exact"/>
        <w:ind w:firstLine="640" w:firstLineChars="200"/>
        <w:rPr>
          <w:rFonts w:ascii="楷体_GB2312" w:hAnsi="楷体" w:eastAsia="楷体_GB2312" w:cs="楷体"/>
          <w:color w:val="000000"/>
          <w:sz w:val="32"/>
          <w:szCs w:val="32"/>
        </w:rPr>
      </w:pPr>
      <w:r>
        <w:rPr>
          <w:rFonts w:hint="eastAsia" w:ascii="楷体_GB2312" w:hAnsi="楷体" w:eastAsia="楷体_GB2312" w:cs="楷体"/>
          <w:color w:val="000000"/>
          <w:sz w:val="32"/>
          <w:szCs w:val="32"/>
        </w:rPr>
        <w:t>（二）项目绩效目标。</w:t>
      </w:r>
    </w:p>
    <w:p>
      <w:pPr>
        <w:spacing w:line="520" w:lineRule="exact"/>
        <w:ind w:firstLine="640" w:firstLineChars="200"/>
        <w:rPr>
          <w:rFonts w:ascii="仿宋_GB2312" w:eastAsia="仿宋_GB2312" w:cs="仿宋_GB2312"/>
          <w:sz w:val="32"/>
          <w:szCs w:val="32"/>
        </w:rPr>
      </w:pPr>
      <w:r>
        <w:rPr>
          <w:rFonts w:ascii="仿宋_GB2312" w:eastAsia="仿宋_GB2312"/>
          <w:sz w:val="32"/>
          <w:szCs w:val="32"/>
        </w:rPr>
        <w:t>1.</w:t>
      </w:r>
      <w:r>
        <w:rPr>
          <w:rFonts w:hint="eastAsia" w:ascii="仿宋_GB2312" w:eastAsia="仿宋_GB2312"/>
          <w:sz w:val="32"/>
          <w:szCs w:val="32"/>
        </w:rPr>
        <w:t>项目主要内容。聘请第三方中介机构，组织相关财税、法律、管理方面专家对全市筛选拟建立现代企业制度的民营企业董事长、总经理及主要经办人对如何建立适合企业生产经营的现代企业制度</w:t>
      </w:r>
      <w:r>
        <w:rPr>
          <w:rFonts w:hint="eastAsia" w:ascii="仿宋_GB2312" w:eastAsia="仿宋_GB2312" w:cs="仿宋_GB2312"/>
          <w:sz w:val="32"/>
          <w:szCs w:val="32"/>
        </w:rPr>
        <w:t>，该经费</w:t>
      </w:r>
      <w:r>
        <w:rPr>
          <w:rFonts w:ascii="仿宋_GB2312" w:eastAsia="仿宋_GB2312" w:cs="仿宋_GB2312"/>
          <w:sz w:val="32"/>
          <w:szCs w:val="32"/>
        </w:rPr>
        <w:t>28</w:t>
      </w:r>
      <w:r>
        <w:rPr>
          <w:rFonts w:hint="eastAsia" w:ascii="仿宋_GB2312" w:eastAsia="仿宋_GB2312" w:cs="仿宋_GB2312"/>
          <w:sz w:val="32"/>
          <w:szCs w:val="32"/>
        </w:rPr>
        <w:t>万元。</w:t>
      </w:r>
    </w:p>
    <w:p>
      <w:pPr>
        <w:snapToGrid w:val="0"/>
        <w:spacing w:line="520" w:lineRule="exact"/>
        <w:ind w:firstLine="72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具体绩效目标。</w:t>
      </w:r>
      <w:r>
        <w:rPr>
          <w:rFonts w:ascii="仿宋_GB2312" w:eastAsia="仿宋_GB2312"/>
          <w:sz w:val="32"/>
          <w:szCs w:val="32"/>
        </w:rPr>
        <w:t>2022</w:t>
      </w:r>
      <w:r>
        <w:rPr>
          <w:rFonts w:hint="eastAsia" w:ascii="仿宋_GB2312" w:eastAsia="仿宋_GB2312"/>
          <w:sz w:val="32"/>
          <w:szCs w:val="32"/>
        </w:rPr>
        <w:t>年，完成聘请中介机构对建立适合企业生产经营的现代企业制度进行第一轮集中培训辅导和第二轮入户咨询，推动我市有条件的民营企业建立“产权清晰、权责分明、管理科学”的现代企业制度，提高民营企业满意度。</w:t>
      </w:r>
    </w:p>
    <w:p>
      <w:pPr>
        <w:tabs>
          <w:tab w:val="center" w:pos="4153"/>
        </w:tabs>
        <w:spacing w:line="520" w:lineRule="exact"/>
        <w:ind w:firstLine="640" w:firstLineChars="200"/>
      </w:pPr>
      <w:r>
        <w:rPr>
          <w:rFonts w:ascii="仿宋_GB2312" w:eastAsia="仿宋_GB2312"/>
          <w:sz w:val="32"/>
          <w:szCs w:val="32"/>
        </w:rPr>
        <w:t>3.</w:t>
      </w:r>
      <w:r>
        <w:rPr>
          <w:rFonts w:hint="eastAsia" w:ascii="仿宋_GB2312" w:eastAsia="仿宋_GB2312"/>
          <w:sz w:val="32"/>
          <w:szCs w:val="32"/>
        </w:rPr>
        <w:t>申报内容与实际比较。</w:t>
      </w:r>
      <w:r>
        <w:rPr>
          <w:rFonts w:ascii="仿宋_GB2312" w:eastAsia="仿宋_GB2312"/>
          <w:sz w:val="32"/>
          <w:szCs w:val="32"/>
        </w:rPr>
        <w:tab/>
      </w:r>
      <w:r>
        <w:rPr>
          <w:rFonts w:hint="eastAsia" w:ascii="仿宋_GB2312" w:eastAsia="仿宋_GB2312"/>
          <w:sz w:val="32"/>
          <w:szCs w:val="32"/>
        </w:rPr>
        <w:t>结合事前绩效、事中绩效和实际比较，申报内容准确无偏差，项目实施进度快，申报内容与实际相符，申报内容合理可行。</w:t>
      </w:r>
    </w:p>
    <w:p>
      <w:pPr>
        <w:spacing w:line="520" w:lineRule="exact"/>
        <w:ind w:firstLine="640" w:firstLineChars="200"/>
        <w:rPr>
          <w:rFonts w:ascii="楷体_GB2312" w:hAnsi="楷体" w:eastAsia="楷体_GB2312" w:cs="楷体"/>
          <w:color w:val="000000"/>
          <w:sz w:val="32"/>
          <w:szCs w:val="32"/>
        </w:rPr>
      </w:pPr>
      <w:r>
        <w:rPr>
          <w:rFonts w:hint="eastAsia" w:ascii="楷体_GB2312" w:hAnsi="楷体" w:eastAsia="楷体_GB2312" w:cs="楷体"/>
          <w:color w:val="000000"/>
          <w:sz w:val="32"/>
          <w:szCs w:val="32"/>
        </w:rPr>
        <w:t>（三）项目自评步骤及方法。</w:t>
      </w:r>
    </w:p>
    <w:p>
      <w:pPr>
        <w:tabs>
          <w:tab w:val="center" w:pos="4153"/>
        </w:tabs>
        <w:spacing w:line="520" w:lineRule="exact"/>
        <w:ind w:firstLine="640" w:firstLineChars="200"/>
        <w:rPr>
          <w:rFonts w:ascii="仿宋_GB2312" w:eastAsia="仿宋_GB2312"/>
          <w:sz w:val="32"/>
          <w:szCs w:val="32"/>
        </w:rPr>
      </w:pPr>
      <w:r>
        <w:rPr>
          <w:rFonts w:hint="eastAsia" w:ascii="仿宋_GB2312" w:eastAsia="仿宋_GB2312"/>
          <w:sz w:val="32"/>
          <w:szCs w:val="32"/>
        </w:rPr>
        <w:t>项目采取自评与他评相结合方式，成立项目自评小组，结合评价内容，做到有计划，有安排，有奖惩，扎实开展本次自评工作。按照市财政局下达的项目支出绩效评价指标体系，自评小组针对申报内容、实施情况、资金兑现、财务管理、社会效益等做出自我评价，认真听取建议意见，做好自评工作。</w:t>
      </w:r>
    </w:p>
    <w:p>
      <w:pPr>
        <w:tabs>
          <w:tab w:val="center" w:pos="4153"/>
        </w:tabs>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二、项目资金申报及使用情况</w:t>
      </w:r>
    </w:p>
    <w:p>
      <w:pPr>
        <w:spacing w:line="520" w:lineRule="exact"/>
        <w:ind w:firstLine="640" w:firstLineChars="200"/>
        <w:rPr>
          <w:rFonts w:ascii="楷体_GB2312" w:hAnsi="楷体" w:eastAsia="楷体_GB2312" w:cs="楷体"/>
          <w:color w:val="000000"/>
          <w:sz w:val="32"/>
          <w:szCs w:val="32"/>
        </w:rPr>
      </w:pPr>
      <w:r>
        <w:rPr>
          <w:rFonts w:hint="eastAsia" w:ascii="楷体_GB2312" w:hAnsi="楷体" w:eastAsia="楷体_GB2312" w:cs="楷体"/>
          <w:color w:val="000000"/>
          <w:sz w:val="32"/>
          <w:szCs w:val="32"/>
        </w:rPr>
        <w:t>（一）项目资金申报及批复情况</w:t>
      </w:r>
    </w:p>
    <w:p>
      <w:pPr>
        <w:tabs>
          <w:tab w:val="center" w:pos="4153"/>
        </w:tabs>
        <w:spacing w:line="520" w:lineRule="exact"/>
        <w:ind w:firstLine="640" w:firstLineChars="200"/>
      </w:pPr>
      <w:r>
        <w:rPr>
          <w:rFonts w:ascii="仿宋_GB2312" w:eastAsia="仿宋_GB2312"/>
          <w:sz w:val="32"/>
          <w:szCs w:val="32"/>
        </w:rPr>
        <w:t xml:space="preserve"> </w:t>
      </w:r>
      <w:r>
        <w:rPr>
          <w:rFonts w:hint="eastAsia" w:ascii="仿宋_GB2312" w:eastAsia="仿宋_GB2312"/>
          <w:sz w:val="32"/>
          <w:szCs w:val="32"/>
        </w:rPr>
        <w:t>推动民营企业建立现代化企业制度经费为年中追加预算，</w:t>
      </w:r>
      <w:r>
        <w:rPr>
          <w:rFonts w:hint="eastAsia" w:ascii="仿宋_GB2312" w:eastAsia="仿宋_GB2312" w:cs="仿宋_GB2312"/>
          <w:sz w:val="32"/>
          <w:szCs w:val="32"/>
        </w:rPr>
        <w:t>按照程序报送办党组会议审定后实施。该项目经市财政局批复下达后，全部用于</w:t>
      </w:r>
      <w:r>
        <w:rPr>
          <w:rFonts w:hint="eastAsia" w:ascii="仿宋_GB2312" w:eastAsia="仿宋_GB2312"/>
          <w:sz w:val="32"/>
          <w:szCs w:val="32"/>
        </w:rPr>
        <w:t>推动民营企业建立现代化企业制度项目</w:t>
      </w:r>
      <w:r>
        <w:rPr>
          <w:rFonts w:hint="eastAsia" w:ascii="仿宋_GB2312" w:eastAsia="仿宋_GB2312" w:cs="仿宋_GB2312"/>
          <w:sz w:val="32"/>
          <w:szCs w:val="32"/>
        </w:rPr>
        <w:t>，项目经费由市财政局国库支付中心直接支付，经费使用合理。</w:t>
      </w:r>
    </w:p>
    <w:p>
      <w:pPr>
        <w:spacing w:line="520" w:lineRule="exact"/>
        <w:ind w:firstLine="640" w:firstLineChars="200"/>
        <w:rPr>
          <w:rFonts w:ascii="楷体_GB2312" w:hAnsi="楷体" w:eastAsia="楷体_GB2312" w:cs="楷体"/>
          <w:color w:val="000000"/>
          <w:sz w:val="32"/>
          <w:szCs w:val="32"/>
        </w:rPr>
      </w:pPr>
      <w:r>
        <w:rPr>
          <w:rFonts w:hint="eastAsia" w:ascii="楷体_GB2312" w:hAnsi="楷体" w:eastAsia="楷体_GB2312" w:cs="楷体"/>
          <w:color w:val="000000"/>
          <w:sz w:val="32"/>
          <w:szCs w:val="32"/>
        </w:rPr>
        <w:t>（二）资金计划、到位及使用情况</w:t>
      </w:r>
    </w:p>
    <w:p>
      <w:pPr>
        <w:tabs>
          <w:tab w:val="center" w:pos="4153"/>
        </w:tabs>
        <w:spacing w:line="52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资金计划。市财政局年中追加推动民营企业建立现代化企业制度经费经费</w:t>
      </w:r>
      <w:r>
        <w:rPr>
          <w:rFonts w:ascii="仿宋_GB2312" w:eastAsia="仿宋_GB2312"/>
          <w:sz w:val="32"/>
          <w:szCs w:val="32"/>
        </w:rPr>
        <w:t>28</w:t>
      </w:r>
      <w:r>
        <w:rPr>
          <w:rFonts w:hint="eastAsia" w:ascii="仿宋_GB2312" w:eastAsia="仿宋_GB2312"/>
          <w:sz w:val="32"/>
          <w:szCs w:val="32"/>
        </w:rPr>
        <w:t>万元，资金为一般公共预算。</w:t>
      </w:r>
    </w:p>
    <w:p>
      <w:pPr>
        <w:tabs>
          <w:tab w:val="center" w:pos="4153"/>
        </w:tabs>
        <w:spacing w:line="52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资金到位。截止</w:t>
      </w:r>
      <w:r>
        <w:rPr>
          <w:rFonts w:ascii="仿宋_GB2312" w:eastAsia="仿宋_GB2312"/>
          <w:sz w:val="32"/>
          <w:szCs w:val="32"/>
        </w:rPr>
        <w:t>2022</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月，计划资金全部到位，金额</w:t>
      </w:r>
      <w:r>
        <w:rPr>
          <w:rFonts w:ascii="仿宋_GB2312" w:eastAsia="仿宋_GB2312"/>
          <w:sz w:val="32"/>
          <w:szCs w:val="32"/>
        </w:rPr>
        <w:t>28</w:t>
      </w:r>
      <w:r>
        <w:rPr>
          <w:rFonts w:hint="eastAsia" w:ascii="仿宋_GB2312" w:eastAsia="仿宋_GB2312"/>
          <w:sz w:val="32"/>
          <w:szCs w:val="32"/>
        </w:rPr>
        <w:t>万元。</w:t>
      </w:r>
    </w:p>
    <w:p>
      <w:pPr>
        <w:tabs>
          <w:tab w:val="center" w:pos="4153"/>
        </w:tabs>
        <w:spacing w:line="52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资金使用。截止</w:t>
      </w:r>
      <w:r>
        <w:rPr>
          <w:rFonts w:ascii="仿宋_GB2312" w:eastAsia="仿宋_GB2312"/>
          <w:sz w:val="32"/>
          <w:szCs w:val="32"/>
        </w:rPr>
        <w:t>2022</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月底，推动民营企业建立现代化企业制度经费共计</w:t>
      </w:r>
      <w:r>
        <w:rPr>
          <w:rFonts w:ascii="仿宋_GB2312" w:eastAsia="仿宋_GB2312"/>
          <w:sz w:val="32"/>
          <w:szCs w:val="32"/>
        </w:rPr>
        <w:t>28</w:t>
      </w:r>
      <w:r>
        <w:rPr>
          <w:rFonts w:hint="eastAsia" w:ascii="仿宋_GB2312" w:eastAsia="仿宋_GB2312"/>
          <w:sz w:val="32"/>
          <w:szCs w:val="32"/>
        </w:rPr>
        <w:t>万元，已支付</w:t>
      </w:r>
      <w:r>
        <w:rPr>
          <w:rFonts w:ascii="仿宋_GB2312" w:eastAsia="仿宋_GB2312"/>
          <w:sz w:val="32"/>
          <w:szCs w:val="32"/>
        </w:rPr>
        <w:t>7.9</w:t>
      </w:r>
      <w:r>
        <w:rPr>
          <w:rFonts w:hint="eastAsia" w:ascii="仿宋_GB2312" w:eastAsia="仿宋_GB2312"/>
          <w:sz w:val="32"/>
          <w:szCs w:val="32"/>
        </w:rPr>
        <w:t>万元，主要因为收疫情等因素影响，部分项目未能实施，截止</w:t>
      </w:r>
      <w:r>
        <w:rPr>
          <w:rFonts w:ascii="仿宋_GB2312" w:eastAsia="仿宋_GB2312"/>
          <w:sz w:val="32"/>
          <w:szCs w:val="32"/>
        </w:rPr>
        <w:t>2023</w:t>
      </w:r>
      <w:r>
        <w:rPr>
          <w:rFonts w:hint="eastAsia" w:ascii="仿宋_GB2312" w:eastAsia="仿宋_GB2312"/>
          <w:sz w:val="32"/>
          <w:szCs w:val="32"/>
        </w:rPr>
        <w:t>年初，已基本完成相关工作。</w:t>
      </w:r>
    </w:p>
    <w:p>
      <w:pPr>
        <w:spacing w:line="520" w:lineRule="exact"/>
        <w:ind w:firstLine="640" w:firstLineChars="200"/>
        <w:rPr>
          <w:rFonts w:ascii="楷体_GB2312" w:hAnsi="楷体" w:eastAsia="楷体_GB2312" w:cs="楷体"/>
          <w:color w:val="000000"/>
          <w:sz w:val="32"/>
          <w:szCs w:val="32"/>
        </w:rPr>
      </w:pPr>
      <w:r>
        <w:rPr>
          <w:rFonts w:hint="eastAsia" w:ascii="楷体_GB2312" w:hAnsi="楷体" w:eastAsia="楷体_GB2312" w:cs="楷体"/>
          <w:color w:val="000000"/>
          <w:sz w:val="32"/>
          <w:szCs w:val="32"/>
        </w:rPr>
        <w:t>（三）项目财务管理情况</w:t>
      </w:r>
    </w:p>
    <w:p>
      <w:pPr>
        <w:tabs>
          <w:tab w:val="center" w:pos="4153"/>
        </w:tabs>
        <w:spacing w:line="520" w:lineRule="exact"/>
        <w:ind w:firstLine="640" w:firstLineChars="200"/>
        <w:rPr>
          <w:rFonts w:ascii="仿宋_GB2312" w:eastAsia="仿宋_GB2312"/>
          <w:sz w:val="32"/>
          <w:szCs w:val="32"/>
        </w:rPr>
      </w:pPr>
      <w:r>
        <w:rPr>
          <w:rFonts w:hint="eastAsia" w:ascii="仿宋_GB2312" w:eastAsia="仿宋_GB2312"/>
          <w:sz w:val="32"/>
          <w:szCs w:val="32"/>
        </w:rPr>
        <w:t>项目资金到位后，严格按照财务相关管理制度及流程进行管理，全部资金都用于该项目支出，无被截留、挤占、挪用的现象。</w:t>
      </w:r>
    </w:p>
    <w:p>
      <w:pPr>
        <w:tabs>
          <w:tab w:val="center" w:pos="4153"/>
        </w:tabs>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三、项目实施及管理情况</w:t>
      </w:r>
    </w:p>
    <w:p>
      <w:pPr>
        <w:spacing w:line="520" w:lineRule="exact"/>
        <w:ind w:firstLine="640" w:firstLineChars="200"/>
        <w:rPr>
          <w:rFonts w:ascii="楷体_GB2312" w:hAnsi="楷体" w:eastAsia="楷体_GB2312" w:cs="楷体"/>
          <w:color w:val="000000"/>
          <w:sz w:val="32"/>
          <w:szCs w:val="32"/>
        </w:rPr>
      </w:pPr>
      <w:r>
        <w:rPr>
          <w:rFonts w:hint="eastAsia" w:ascii="楷体_GB2312" w:hAnsi="楷体" w:eastAsia="楷体_GB2312" w:cs="楷体"/>
          <w:color w:val="000000"/>
          <w:sz w:val="32"/>
          <w:szCs w:val="32"/>
        </w:rPr>
        <w:t>（一）项目组织架构及实施流程。</w:t>
      </w:r>
    </w:p>
    <w:p>
      <w:pPr>
        <w:tabs>
          <w:tab w:val="center" w:pos="4153"/>
        </w:tabs>
        <w:spacing w:line="520" w:lineRule="exact"/>
        <w:ind w:firstLine="640" w:firstLineChars="200"/>
        <w:rPr>
          <w:rFonts w:ascii="仿宋_GB2312" w:eastAsia="仿宋_GB2312"/>
          <w:sz w:val="32"/>
          <w:szCs w:val="32"/>
        </w:rPr>
      </w:pPr>
      <w:r>
        <w:rPr>
          <w:rFonts w:hint="eastAsia" w:ascii="仿宋_GB2312" w:eastAsia="仿宋_GB2312"/>
          <w:sz w:val="32"/>
          <w:szCs w:val="32"/>
        </w:rPr>
        <w:t>我办党组高度重视推动民营企业建立现代化企业制度工作，安排民营经济科牵头该工作，并完成相关工作。</w:t>
      </w:r>
    </w:p>
    <w:p>
      <w:pPr>
        <w:spacing w:line="520" w:lineRule="exact"/>
        <w:ind w:firstLine="640" w:firstLineChars="200"/>
        <w:rPr>
          <w:rFonts w:ascii="楷体_GB2312" w:hAnsi="楷体" w:eastAsia="楷体_GB2312" w:cs="楷体"/>
          <w:color w:val="000000"/>
          <w:sz w:val="32"/>
          <w:szCs w:val="32"/>
        </w:rPr>
      </w:pPr>
      <w:r>
        <w:rPr>
          <w:rFonts w:hint="eastAsia" w:ascii="楷体_GB2312" w:hAnsi="楷体" w:eastAsia="楷体_GB2312" w:cs="楷体"/>
          <w:color w:val="000000"/>
          <w:sz w:val="32"/>
          <w:szCs w:val="32"/>
        </w:rPr>
        <w:t>（二）项目管理情况。</w:t>
      </w:r>
    </w:p>
    <w:p>
      <w:pPr>
        <w:tabs>
          <w:tab w:val="center" w:pos="4153"/>
        </w:tabs>
        <w:spacing w:line="520" w:lineRule="exact"/>
        <w:ind w:firstLine="640" w:firstLineChars="200"/>
        <w:rPr>
          <w:rFonts w:ascii="仿宋_GB2312" w:eastAsia="仿宋_GB2312"/>
          <w:sz w:val="32"/>
          <w:szCs w:val="32"/>
        </w:rPr>
      </w:pPr>
      <w:r>
        <w:rPr>
          <w:rFonts w:hint="eastAsia" w:ascii="仿宋_GB2312" w:eastAsia="仿宋_GB2312"/>
          <w:sz w:val="32"/>
          <w:szCs w:val="32"/>
        </w:rPr>
        <w:t>推动民营企业建立现代化企业制度采取工作领导小组负责制，全体成员积极配合、通力合作。工作领导小组负责协调相关工作，项目实施及资金管理。</w:t>
      </w:r>
    </w:p>
    <w:p>
      <w:pPr>
        <w:spacing w:line="520" w:lineRule="exact"/>
        <w:ind w:firstLine="640" w:firstLineChars="200"/>
        <w:rPr>
          <w:rFonts w:ascii="楷体_GB2312" w:hAnsi="楷体" w:eastAsia="楷体_GB2312" w:cs="楷体"/>
          <w:color w:val="000000"/>
          <w:sz w:val="32"/>
          <w:szCs w:val="32"/>
        </w:rPr>
      </w:pPr>
      <w:r>
        <w:rPr>
          <w:rFonts w:hint="eastAsia" w:ascii="楷体_GB2312" w:hAnsi="楷体" w:eastAsia="楷体_GB2312" w:cs="楷体"/>
          <w:color w:val="000000"/>
          <w:sz w:val="32"/>
          <w:szCs w:val="32"/>
        </w:rPr>
        <w:t>（三）项目监管情况。</w:t>
      </w:r>
    </w:p>
    <w:p>
      <w:pPr>
        <w:tabs>
          <w:tab w:val="center" w:pos="4153"/>
        </w:tabs>
        <w:spacing w:line="520" w:lineRule="exact"/>
        <w:ind w:firstLine="640" w:firstLineChars="200"/>
        <w:rPr>
          <w:rFonts w:ascii="仿宋_GB2312" w:eastAsia="仿宋_GB2312"/>
          <w:sz w:val="32"/>
          <w:szCs w:val="32"/>
        </w:rPr>
      </w:pPr>
      <w:r>
        <w:rPr>
          <w:rFonts w:hint="eastAsia" w:ascii="仿宋_GB2312" w:eastAsia="仿宋_GB2312"/>
          <w:sz w:val="32"/>
          <w:szCs w:val="32"/>
        </w:rPr>
        <w:t>项目资金由市政府办民营经济科具体管理，对项目资金按项目实行“专款专用”，不得挤占挪用项目资金。强化监督，项目的正常实施监督检查是保障。</w:t>
      </w:r>
    </w:p>
    <w:p>
      <w:pPr>
        <w:tabs>
          <w:tab w:val="center" w:pos="4153"/>
        </w:tabs>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四、目标完成情况</w:t>
      </w:r>
      <w:r>
        <w:rPr>
          <w:rFonts w:ascii="黑体" w:hAnsi="黑体" w:eastAsia="黑体" w:cs="黑体"/>
          <w:sz w:val="32"/>
          <w:szCs w:val="32"/>
        </w:rPr>
        <w:t xml:space="preserve"> </w:t>
      </w:r>
    </w:p>
    <w:p>
      <w:pPr>
        <w:tabs>
          <w:tab w:val="center" w:pos="4153"/>
        </w:tabs>
        <w:spacing w:line="520" w:lineRule="exact"/>
        <w:ind w:firstLine="640" w:firstLineChars="200"/>
        <w:rPr>
          <w:rFonts w:ascii="仿宋_GB2312" w:eastAsia="仿宋_GB2312"/>
          <w:sz w:val="32"/>
          <w:szCs w:val="32"/>
        </w:rPr>
      </w:pPr>
      <w:r>
        <w:rPr>
          <w:rFonts w:hint="eastAsia" w:ascii="楷体_GB2312" w:hAnsi="楷体" w:eastAsia="楷体_GB2312" w:cs="楷体"/>
          <w:color w:val="000000"/>
          <w:sz w:val="32"/>
          <w:szCs w:val="32"/>
        </w:rPr>
        <w:t>（一）目标完成情况。</w:t>
      </w:r>
      <w:r>
        <w:rPr>
          <w:rFonts w:hint="eastAsia" w:ascii="仿宋_GB2312" w:eastAsia="仿宋_GB2312"/>
          <w:sz w:val="32"/>
          <w:szCs w:val="32"/>
        </w:rPr>
        <w:t>截止</w:t>
      </w:r>
      <w:r>
        <w:rPr>
          <w:rFonts w:ascii="仿宋_GB2312" w:eastAsia="仿宋_GB2312"/>
          <w:sz w:val="32"/>
          <w:szCs w:val="32"/>
        </w:rPr>
        <w:t>2022</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月底，全面完成了该项目数量指标、时效指标、成本等指标数，该项目有效提高办公效率及满意度</w:t>
      </w:r>
      <w:r>
        <w:rPr>
          <w:rFonts w:hint="eastAsia" w:ascii="仿宋_GB2312" w:eastAsia="仿宋_GB2312"/>
          <w:sz w:val="32"/>
          <w:szCs w:val="32"/>
          <w:lang w:eastAsia="zh-CN"/>
        </w:rPr>
        <w:t>（详见附表）</w:t>
      </w:r>
      <w:r>
        <w:rPr>
          <w:rFonts w:hint="eastAsia" w:ascii="仿宋_GB2312" w:eastAsia="仿宋_GB2312"/>
          <w:sz w:val="32"/>
          <w:szCs w:val="32"/>
        </w:rPr>
        <w:t>。</w:t>
      </w:r>
    </w:p>
    <w:p>
      <w:pPr>
        <w:tabs>
          <w:tab w:val="center" w:pos="4153"/>
        </w:tabs>
        <w:spacing w:line="520" w:lineRule="exact"/>
        <w:ind w:firstLine="640" w:firstLineChars="200"/>
        <w:rPr>
          <w:rFonts w:ascii="仿宋_GB2312" w:eastAsia="仿宋_GB2312"/>
          <w:sz w:val="32"/>
          <w:szCs w:val="32"/>
        </w:rPr>
      </w:pPr>
      <w:r>
        <w:rPr>
          <w:rFonts w:hint="eastAsia" w:ascii="楷体_GB2312" w:hAnsi="楷体" w:eastAsia="楷体_GB2312" w:cs="楷体"/>
          <w:color w:val="000000"/>
          <w:sz w:val="32"/>
          <w:szCs w:val="32"/>
        </w:rPr>
        <w:t>（二）目标效益情况。</w:t>
      </w:r>
      <w:r>
        <w:rPr>
          <w:rFonts w:hint="eastAsia" w:ascii="仿宋_GB2312" w:eastAsia="仿宋_GB2312"/>
          <w:sz w:val="32"/>
          <w:szCs w:val="32"/>
        </w:rPr>
        <w:t>推动民营企业建立现代化企业制度项目在办党组的领导下顺利推进，圆满完成任务，满意度为</w:t>
      </w:r>
      <w:r>
        <w:rPr>
          <w:rFonts w:ascii="仿宋_GB2312" w:eastAsia="仿宋_GB2312"/>
          <w:sz w:val="32"/>
          <w:szCs w:val="32"/>
        </w:rPr>
        <w:t>100%</w:t>
      </w:r>
      <w:r>
        <w:rPr>
          <w:rFonts w:hint="eastAsia" w:ascii="仿宋_GB2312" w:eastAsia="仿宋_GB2312"/>
          <w:sz w:val="32"/>
          <w:szCs w:val="32"/>
        </w:rPr>
        <w:t>。</w:t>
      </w:r>
    </w:p>
    <w:p>
      <w:pPr>
        <w:tabs>
          <w:tab w:val="center" w:pos="4153"/>
        </w:tabs>
        <w:spacing w:line="520" w:lineRule="exact"/>
        <w:ind w:firstLine="640" w:firstLineChars="200"/>
        <w:rPr>
          <w:rFonts w:hint="eastAsia" w:ascii="黑体" w:eastAsia="黑体"/>
          <w:sz w:val="32"/>
          <w:szCs w:val="32"/>
        </w:rPr>
      </w:pPr>
      <w:r>
        <w:rPr>
          <w:rFonts w:hint="eastAsia" w:ascii="黑体" w:eastAsia="黑体"/>
          <w:sz w:val="32"/>
          <w:szCs w:val="32"/>
        </w:rPr>
        <w:t>五、评价结论及建议</w:t>
      </w:r>
    </w:p>
    <w:p>
      <w:pPr>
        <w:tabs>
          <w:tab w:val="center" w:pos="4153"/>
        </w:tabs>
        <w:spacing w:line="520" w:lineRule="exact"/>
        <w:ind w:firstLine="640" w:firstLineChars="200"/>
        <w:rPr>
          <w:rFonts w:ascii="仿宋_GB2312" w:eastAsia="仿宋_GB2312"/>
          <w:sz w:val="32"/>
          <w:szCs w:val="32"/>
        </w:rPr>
      </w:pPr>
      <w:r>
        <w:rPr>
          <w:rFonts w:hint="eastAsia" w:ascii="楷体_GB2312" w:hAnsi="楷体" w:eastAsia="楷体_GB2312" w:cs="楷体"/>
          <w:color w:val="000000"/>
          <w:sz w:val="32"/>
          <w:szCs w:val="32"/>
        </w:rPr>
        <w:t>（一）评价结论。</w:t>
      </w:r>
      <w:r>
        <w:rPr>
          <w:rFonts w:hint="eastAsia" w:ascii="仿宋_GB2312" w:eastAsia="仿宋_GB2312"/>
          <w:sz w:val="32"/>
          <w:szCs w:val="32"/>
        </w:rPr>
        <w:t>截止</w:t>
      </w:r>
      <w:r>
        <w:rPr>
          <w:rFonts w:ascii="仿宋_GB2312" w:eastAsia="仿宋_GB2312"/>
          <w:sz w:val="32"/>
          <w:szCs w:val="32"/>
        </w:rPr>
        <w:t>2022</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月底，推动民营企业建立现代化企业制度项目任务完成较好，无泄密事件发生，满意度高。</w:t>
      </w:r>
    </w:p>
    <w:p>
      <w:pPr>
        <w:tabs>
          <w:tab w:val="center" w:pos="4153"/>
        </w:tabs>
        <w:spacing w:line="520" w:lineRule="exact"/>
        <w:rPr>
          <w:rFonts w:ascii="仿宋_GB2312" w:eastAsia="仿宋_GB2312"/>
          <w:sz w:val="32"/>
          <w:szCs w:val="32"/>
        </w:rPr>
      </w:pPr>
      <w:r>
        <w:rPr>
          <w:rFonts w:ascii="楷体_GB2312" w:hAnsi="楷体" w:eastAsia="楷体_GB2312" w:cs="楷体"/>
          <w:color w:val="000000"/>
          <w:sz w:val="32"/>
          <w:szCs w:val="32"/>
        </w:rPr>
        <w:t xml:space="preserve">    </w:t>
      </w:r>
      <w:r>
        <w:rPr>
          <w:rFonts w:hint="eastAsia" w:ascii="楷体_GB2312" w:hAnsi="楷体" w:eastAsia="楷体_GB2312" w:cs="楷体"/>
          <w:color w:val="000000"/>
          <w:sz w:val="32"/>
          <w:szCs w:val="32"/>
        </w:rPr>
        <w:t>（二）存在问题。</w:t>
      </w:r>
      <w:r>
        <w:rPr>
          <w:rFonts w:hint="eastAsia" w:ascii="仿宋_GB2312" w:eastAsia="仿宋_GB2312"/>
          <w:sz w:val="32"/>
          <w:szCs w:val="32"/>
        </w:rPr>
        <w:t>无</w:t>
      </w:r>
    </w:p>
    <w:p>
      <w:pPr>
        <w:spacing w:line="540" w:lineRule="exact"/>
        <w:jc w:val="left"/>
        <w:rPr>
          <w:rFonts w:hint="eastAsia" w:ascii="仿宋_GB2312" w:eastAsia="仿宋_GB2312"/>
          <w:sz w:val="32"/>
          <w:szCs w:val="32"/>
        </w:rPr>
      </w:pPr>
      <w:r>
        <w:rPr>
          <w:rFonts w:hint="eastAsia" w:ascii="楷体_GB2312" w:hAnsi="楷体" w:eastAsia="楷体_GB2312" w:cs="楷体"/>
          <w:color w:val="000000"/>
          <w:sz w:val="32"/>
          <w:szCs w:val="32"/>
          <w:lang w:val="en-US" w:eastAsia="zh-CN"/>
        </w:rPr>
        <w:t xml:space="preserve">    </w:t>
      </w:r>
      <w:r>
        <w:rPr>
          <w:rFonts w:hint="eastAsia" w:ascii="楷体_GB2312" w:hAnsi="楷体" w:eastAsia="楷体_GB2312" w:cs="楷体"/>
          <w:color w:val="000000"/>
          <w:sz w:val="32"/>
          <w:szCs w:val="32"/>
        </w:rPr>
        <w:t>（三）相关建议。</w:t>
      </w:r>
      <w:r>
        <w:rPr>
          <w:rFonts w:hint="eastAsia" w:ascii="仿宋_GB2312" w:eastAsia="仿宋_GB2312"/>
          <w:sz w:val="32"/>
          <w:szCs w:val="32"/>
        </w:rPr>
        <w:t>辅导民营企业建立现代企业制度是长期可持续的项目，既有社会效益又有经济效益，综合评价效果较好，建议一直保留。</w:t>
      </w:r>
    </w:p>
    <w:p>
      <w:pPr>
        <w:spacing w:line="540" w:lineRule="exact"/>
        <w:jc w:val="center"/>
        <w:rPr>
          <w:rFonts w:ascii="方正小标宋简体" w:hAnsi="宋体" w:eastAsia="方正小标宋简体"/>
          <w:color w:val="000000"/>
          <w:w w:val="95"/>
          <w:kern w:val="0"/>
          <w:sz w:val="44"/>
          <w:szCs w:val="44"/>
        </w:rPr>
      </w:pPr>
    </w:p>
    <w:p>
      <w:pPr>
        <w:spacing w:line="540" w:lineRule="exact"/>
        <w:jc w:val="center"/>
        <w:rPr>
          <w:rFonts w:hint="eastAsia" w:ascii="方正小标宋简体" w:hAnsi="宋体" w:eastAsia="方正小标宋简体"/>
          <w:color w:val="000000"/>
          <w:w w:val="95"/>
          <w:kern w:val="0"/>
          <w:sz w:val="44"/>
          <w:szCs w:val="44"/>
        </w:rPr>
      </w:pPr>
      <w:r>
        <w:rPr>
          <w:rFonts w:ascii="方正小标宋简体" w:hAnsi="宋体" w:eastAsia="方正小标宋简体"/>
          <w:color w:val="000000"/>
          <w:w w:val="95"/>
          <w:kern w:val="0"/>
          <w:sz w:val="44"/>
          <w:szCs w:val="44"/>
        </w:rPr>
        <w:t>202</w:t>
      </w:r>
      <w:r>
        <w:rPr>
          <w:rFonts w:hint="eastAsia" w:ascii="方正小标宋简体" w:hAnsi="宋体" w:eastAsia="方正小标宋简体"/>
          <w:color w:val="000000"/>
          <w:w w:val="95"/>
          <w:kern w:val="0"/>
          <w:sz w:val="44"/>
          <w:szCs w:val="44"/>
        </w:rPr>
        <w:t>2年市级专项资金预算项目支出绩效自评报告</w:t>
      </w:r>
    </w:p>
    <w:p>
      <w:pPr>
        <w:spacing w:line="540" w:lineRule="exact"/>
        <w:jc w:val="center"/>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（优化营商环境工作经费）</w:t>
      </w:r>
    </w:p>
    <w:p>
      <w:pPr>
        <w:spacing w:line="540" w:lineRule="exact"/>
        <w:rPr>
          <w:rFonts w:hint="eastAsia" w:ascii="仿宋" w:hAnsi="仿宋" w:eastAsia="仿宋" w:cs="仿宋"/>
          <w:color w:val="000000"/>
          <w:kern w:val="0"/>
          <w:sz w:val="32"/>
          <w:szCs w:val="32"/>
        </w:rPr>
      </w:pPr>
    </w:p>
    <w:p>
      <w:pPr>
        <w:spacing w:line="540" w:lineRule="exact"/>
        <w:ind w:firstLine="640" w:firstLineChars="2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一、项目概况</w:t>
      </w:r>
    </w:p>
    <w:p>
      <w:pPr>
        <w:spacing w:line="540" w:lineRule="exact"/>
        <w:ind w:firstLine="640" w:firstLineChars="200"/>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（一）项目基本情况。</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为深化“放管服”改革优化营商环境，经费7万元，资金为一般公共预算。</w:t>
      </w:r>
    </w:p>
    <w:p>
      <w:pPr>
        <w:spacing w:line="540" w:lineRule="exact"/>
        <w:ind w:firstLine="640" w:firstLineChars="200"/>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（二）项目绩效目标。</w:t>
      </w:r>
    </w:p>
    <w:p>
      <w:pPr>
        <w:spacing w:line="540" w:lineRule="exact"/>
        <w:ind w:firstLine="640" w:firstLineChars="200"/>
        <w:rPr>
          <w:rFonts w:ascii="仿宋_GB2312" w:eastAsia="仿宋_GB2312" w:cs="仿宋_GB2312"/>
          <w:sz w:val="32"/>
          <w:szCs w:val="32"/>
        </w:rPr>
      </w:pPr>
      <w:r>
        <w:rPr>
          <w:rFonts w:hint="eastAsia" w:ascii="仿宋_GB2312" w:eastAsia="仿宋_GB2312"/>
          <w:sz w:val="32"/>
          <w:szCs w:val="32"/>
        </w:rPr>
        <w:t>1.项目主要内容。参</w:t>
      </w:r>
      <w:r>
        <w:rPr>
          <w:rFonts w:hint="eastAsia" w:ascii="仿宋_GB2312" w:eastAsia="仿宋_GB2312" w:cs="仿宋_GB2312"/>
          <w:sz w:val="32"/>
          <w:szCs w:val="32"/>
        </w:rPr>
        <w:t>照2017年市委办牵头印制的通讯录标准印制，印制电话号码簿4700本，印制经费7万元。</w:t>
      </w:r>
    </w:p>
    <w:p>
      <w:pPr>
        <w:adjustRightInd w:val="0"/>
        <w:snapToGrid w:val="0"/>
        <w:spacing w:line="540" w:lineRule="exact"/>
        <w:ind w:firstLine="720"/>
        <w:rPr>
          <w:rFonts w:hint="eastAsia" w:ascii="仿宋_GB2312" w:eastAsia="仿宋_GB2312"/>
          <w:sz w:val="32"/>
          <w:szCs w:val="32"/>
        </w:rPr>
      </w:pPr>
      <w:r>
        <w:rPr>
          <w:rFonts w:hint="eastAsia" w:ascii="仿宋_GB2312" w:eastAsia="仿宋_GB2312"/>
          <w:sz w:val="32"/>
          <w:szCs w:val="32"/>
        </w:rPr>
        <w:t>2.具体绩效目标。2022年，完成广元市内部电话号码簿印制工作，完成经费支付工作，方便工作开展，并对印制内容做到保密，不外泄，有效提高办公效率及满意度。</w:t>
      </w:r>
    </w:p>
    <w:p>
      <w:pPr>
        <w:tabs>
          <w:tab w:val="center" w:pos="4153"/>
        </w:tabs>
        <w:spacing w:line="540" w:lineRule="exact"/>
        <w:ind w:firstLine="640" w:firstLineChars="200"/>
      </w:pPr>
      <w:r>
        <w:rPr>
          <w:rFonts w:hint="eastAsia" w:ascii="仿宋_GB2312" w:eastAsia="仿宋_GB2312"/>
          <w:sz w:val="32"/>
          <w:szCs w:val="32"/>
        </w:rPr>
        <w:t>3.申报内容与实际比较。</w:t>
      </w:r>
      <w:r>
        <w:rPr>
          <w:rFonts w:hint="eastAsia" w:ascii="仿宋_GB2312" w:eastAsia="仿宋_GB2312"/>
          <w:sz w:val="32"/>
          <w:szCs w:val="32"/>
        </w:rPr>
        <w:tab/>
      </w:r>
      <w:r>
        <w:rPr>
          <w:rFonts w:hint="eastAsia" w:ascii="仿宋_GB2312" w:eastAsia="仿宋_GB2312"/>
          <w:sz w:val="32"/>
          <w:szCs w:val="32"/>
        </w:rPr>
        <w:t>结合事前绩效、事中绩效和实际比较，申报内容准确无偏差，项目实施进度快，申报内容与实际相符，申报内容合理可行。</w:t>
      </w:r>
    </w:p>
    <w:p>
      <w:pPr>
        <w:spacing w:line="540" w:lineRule="exact"/>
        <w:ind w:firstLine="640" w:firstLineChars="200"/>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（三）项目自评步骤及方法。</w:t>
      </w:r>
    </w:p>
    <w:p>
      <w:pPr>
        <w:tabs>
          <w:tab w:val="center" w:pos="4153"/>
        </w:tabs>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项目采取自评与他评相结合方式，成立项目自评小组，结合评价内容，做到有计划，有安排，有奖惩，扎实开展本次自评工作。按照市财政局下达的项目支出绩效评价指标体系，自评小组针对申报内容、实施情况、资金兑现、财务管理、社会效益等做出自我评价，认真听取建议意见，做好自评工作。</w:t>
      </w:r>
    </w:p>
    <w:p>
      <w:pPr>
        <w:tabs>
          <w:tab w:val="center" w:pos="4153"/>
        </w:tabs>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二、项目资金申报及使用情况</w:t>
      </w:r>
    </w:p>
    <w:p>
      <w:pPr>
        <w:tabs>
          <w:tab w:val="center" w:pos="4153"/>
        </w:tabs>
        <w:spacing w:line="54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（一）项目资金申报及批复情况</w:t>
      </w:r>
    </w:p>
    <w:p>
      <w:pPr>
        <w:tabs>
          <w:tab w:val="center" w:pos="4153"/>
        </w:tabs>
        <w:spacing w:line="540" w:lineRule="exact"/>
        <w:ind w:firstLine="640" w:firstLineChars="200"/>
        <w:rPr>
          <w:rFonts w:hint="eastAsia"/>
        </w:rPr>
      </w:pPr>
      <w:r>
        <w:rPr>
          <w:rFonts w:hint="eastAsia" w:ascii="仿宋_GB2312" w:eastAsia="仿宋_GB2312"/>
          <w:sz w:val="32"/>
          <w:szCs w:val="32"/>
        </w:rPr>
        <w:t xml:space="preserve"> 广元市内部电话号码簿印制经费为年中追加预算，参</w:t>
      </w:r>
      <w:r>
        <w:rPr>
          <w:rFonts w:hint="eastAsia" w:ascii="仿宋_GB2312" w:eastAsia="仿宋_GB2312" w:cs="仿宋_GB2312"/>
          <w:sz w:val="32"/>
          <w:szCs w:val="32"/>
        </w:rPr>
        <w:t>照2017年市委办牵头印制的通讯录标准印制，按照程序报送办党组会议审定后实施。该项目经市财政局批复下达后，全部用于电话号码簿印制项目，项目经费由市财政局国库支付中心直接支付，经费使用合理。</w:t>
      </w:r>
    </w:p>
    <w:p>
      <w:pPr>
        <w:tabs>
          <w:tab w:val="center" w:pos="4153"/>
        </w:tabs>
        <w:spacing w:line="54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（二）资金计划、到位及使用情况</w:t>
      </w:r>
    </w:p>
    <w:p>
      <w:pPr>
        <w:tabs>
          <w:tab w:val="center" w:pos="4153"/>
        </w:tabs>
        <w:spacing w:line="540" w:lineRule="exact"/>
        <w:ind w:firstLine="640" w:firstLineChars="200"/>
        <w:rPr>
          <w:rFonts w:ascii="仿宋_GB2312" w:eastAsia="仿宋_GB2312"/>
          <w:sz w:val="32"/>
          <w:szCs w:val="32"/>
        </w:rPr>
      </w:pPr>
      <w:r>
        <w:rPr>
          <w:rFonts w:hint="eastAsia" w:ascii="仿宋_GB2312" w:eastAsia="仿宋_GB2312"/>
          <w:sz w:val="32"/>
          <w:szCs w:val="32"/>
        </w:rPr>
        <w:t>1.资金计划。市财政局年中追加广元市内部电话号码簿印制经费7万元，资金为一般公共预算。</w:t>
      </w:r>
    </w:p>
    <w:p>
      <w:pPr>
        <w:tabs>
          <w:tab w:val="center" w:pos="4153"/>
        </w:tabs>
        <w:spacing w:line="540" w:lineRule="exact"/>
        <w:ind w:firstLine="640" w:firstLineChars="200"/>
        <w:rPr>
          <w:rFonts w:ascii="仿宋_GB2312" w:eastAsia="仿宋_GB2312"/>
          <w:sz w:val="32"/>
          <w:szCs w:val="32"/>
        </w:rPr>
      </w:pPr>
      <w:r>
        <w:rPr>
          <w:rFonts w:hint="eastAsia" w:ascii="仿宋_GB2312" w:eastAsia="仿宋_GB2312"/>
          <w:sz w:val="32"/>
          <w:szCs w:val="32"/>
        </w:rPr>
        <w:t>2.资金到位。截止2022年12月，计划资金全部到位，金额7万元。</w:t>
      </w:r>
    </w:p>
    <w:p>
      <w:pPr>
        <w:tabs>
          <w:tab w:val="center" w:pos="4153"/>
        </w:tabs>
        <w:spacing w:line="540" w:lineRule="exact"/>
        <w:ind w:firstLine="640" w:firstLineChars="200"/>
        <w:rPr>
          <w:rFonts w:ascii="仿宋_GB2312" w:eastAsia="仿宋_GB2312"/>
          <w:sz w:val="32"/>
          <w:szCs w:val="32"/>
        </w:rPr>
      </w:pPr>
      <w:r>
        <w:rPr>
          <w:rFonts w:hint="eastAsia" w:ascii="仿宋_GB2312" w:eastAsia="仿宋_GB2312"/>
          <w:sz w:val="32"/>
          <w:szCs w:val="32"/>
        </w:rPr>
        <w:t>3.资金使用。截止2022年12月底，广元市内部电话号码簿印制经费共计7万元，已支付7万元，主要用于电话号码收集、整理和印制等费用。</w:t>
      </w:r>
    </w:p>
    <w:p>
      <w:pPr>
        <w:tabs>
          <w:tab w:val="center" w:pos="4153"/>
        </w:tabs>
        <w:spacing w:line="54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（三）项目财务管理情况</w:t>
      </w:r>
    </w:p>
    <w:p>
      <w:pPr>
        <w:tabs>
          <w:tab w:val="center" w:pos="4153"/>
        </w:tabs>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项目资金到位后，严格按照中心的财务相关管理制度及流程进行管理，全部资金都用于该项目支出，无被截留、挤占、挪用的现象。</w:t>
      </w:r>
    </w:p>
    <w:p>
      <w:pPr>
        <w:tabs>
          <w:tab w:val="center" w:pos="4153"/>
        </w:tabs>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三、项目实施及管理情况</w:t>
      </w:r>
    </w:p>
    <w:p>
      <w:pPr>
        <w:tabs>
          <w:tab w:val="center" w:pos="4153"/>
        </w:tabs>
        <w:spacing w:line="54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（一）项目组织架构及实施流程。</w:t>
      </w:r>
    </w:p>
    <w:p>
      <w:pPr>
        <w:tabs>
          <w:tab w:val="center" w:pos="4153"/>
        </w:tabs>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我办党组高度重视内部电话号码簿印制工作，安排综合科牵头该工作，并完成各县区、市级各部门的电话号码收集整理汇总工作。</w:t>
      </w:r>
    </w:p>
    <w:p>
      <w:pPr>
        <w:tabs>
          <w:tab w:val="center" w:pos="4153"/>
        </w:tabs>
        <w:spacing w:line="54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（二）项目管理情况。</w:t>
      </w:r>
    </w:p>
    <w:p>
      <w:pPr>
        <w:tabs>
          <w:tab w:val="center" w:pos="4153"/>
        </w:tabs>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内部电话号码簿印制项目采取工作领导小组负责制，全体成员积极配合、通力合作。工作领导小组负责协调相关工作，项目实施及资金管理。</w:t>
      </w:r>
    </w:p>
    <w:p>
      <w:pPr>
        <w:tabs>
          <w:tab w:val="center" w:pos="4153"/>
        </w:tabs>
        <w:spacing w:line="54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（三）项目监管情况。</w:t>
      </w:r>
    </w:p>
    <w:p>
      <w:pPr>
        <w:tabs>
          <w:tab w:val="center" w:pos="4153"/>
        </w:tabs>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项目资金由市政府办综合科具体管理，对项目资金按项目实行“专款专用”，不得挤占挪用项目资金。强化监督，项目的正常实施监督检查是保障。</w:t>
      </w:r>
    </w:p>
    <w:p>
      <w:pPr>
        <w:tabs>
          <w:tab w:val="center" w:pos="4153"/>
        </w:tabs>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四、目标完成情况 </w:t>
      </w:r>
    </w:p>
    <w:p>
      <w:pPr>
        <w:tabs>
          <w:tab w:val="center" w:pos="4153"/>
        </w:tabs>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（一）目标完成情况。截止2022年12月底，全面完成了该项目数量指标、时效指标、成本等指标数，该项目有效提高办公效率及满意度</w:t>
      </w:r>
      <w:r>
        <w:rPr>
          <w:rFonts w:hint="eastAsia" w:ascii="仿宋_GB2312" w:eastAsia="仿宋_GB2312"/>
          <w:sz w:val="32"/>
          <w:szCs w:val="32"/>
          <w:lang w:eastAsia="zh-CN"/>
        </w:rPr>
        <w:t>（详见附表）</w:t>
      </w:r>
      <w:bookmarkStart w:id="39" w:name="_GoBack"/>
      <w:bookmarkEnd w:id="39"/>
      <w:r>
        <w:rPr>
          <w:rFonts w:hint="eastAsia" w:ascii="仿宋_GB2312" w:eastAsia="仿宋_GB2312"/>
          <w:sz w:val="32"/>
          <w:szCs w:val="32"/>
        </w:rPr>
        <w:t>。</w:t>
      </w:r>
    </w:p>
    <w:p>
      <w:pPr>
        <w:tabs>
          <w:tab w:val="center" w:pos="4153"/>
        </w:tabs>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（二）目标效益情况。内部电话号码簿印制项目在办党组的领导下、在各县区和市级各部门的通力合作下，顺利推进，圆满完成印制任务，满意度为100%。</w:t>
      </w:r>
    </w:p>
    <w:p>
      <w:pPr>
        <w:tabs>
          <w:tab w:val="center" w:pos="4153"/>
        </w:tabs>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五、评价结论及建议</w:t>
      </w:r>
    </w:p>
    <w:p>
      <w:pPr>
        <w:tabs>
          <w:tab w:val="center" w:pos="4153"/>
        </w:tabs>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（一）评价结论。截止2022年12月底，内部电话号码簿印制项目任务完成较好，无泄密事件发生，办公效率大大提升，满意度高。</w:t>
      </w:r>
    </w:p>
    <w:p>
      <w:pPr>
        <w:tabs>
          <w:tab w:val="center" w:pos="4153"/>
        </w:tabs>
        <w:spacing w:line="540" w:lineRule="exact"/>
        <w:rPr>
          <w:rFonts w:ascii="仿宋_GB2312" w:eastAsia="仿宋_GB2312"/>
          <w:sz w:val="32"/>
          <w:szCs w:val="32"/>
        </w:rPr>
      </w:pPr>
      <w:r>
        <w:rPr>
          <w:rFonts w:hint="eastAsia" w:ascii="仿宋_GB2312" w:eastAsia="仿宋_GB2312"/>
          <w:sz w:val="32"/>
          <w:szCs w:val="32"/>
        </w:rPr>
        <w:t xml:space="preserve">    （二）存在问题。无</w:t>
      </w:r>
    </w:p>
    <w:p>
      <w:pPr>
        <w:tabs>
          <w:tab w:val="center" w:pos="4153"/>
        </w:tabs>
        <w:spacing w:line="540" w:lineRule="exact"/>
        <w:ind w:firstLine="640" w:firstLineChars="200"/>
      </w:pPr>
      <w:r>
        <w:rPr>
          <w:rFonts w:hint="eastAsia" w:ascii="仿宋_GB2312" w:eastAsia="仿宋_GB2312"/>
          <w:sz w:val="32"/>
          <w:szCs w:val="32"/>
        </w:rPr>
        <w:t>（三）相关建议。无</w:t>
      </w:r>
    </w:p>
    <w:tbl>
      <w:tblPr>
        <w:tblStyle w:val="18"/>
        <w:tblW w:w="9577" w:type="dxa"/>
        <w:tblInd w:w="0" w:type="dxa"/>
        <w:tblLayout w:type="fixed"/>
        <w:tblCellMar>
          <w:top w:w="0" w:type="dxa"/>
          <w:left w:w="108" w:type="dxa"/>
          <w:bottom w:w="0" w:type="dxa"/>
          <w:right w:w="108" w:type="dxa"/>
        </w:tblCellMar>
      </w:tblPr>
      <w:tblGrid>
        <w:gridCol w:w="9577"/>
      </w:tblGrid>
      <w:tr>
        <w:tblPrEx>
          <w:tblCellMar>
            <w:top w:w="0" w:type="dxa"/>
            <w:left w:w="108" w:type="dxa"/>
            <w:bottom w:w="0" w:type="dxa"/>
            <w:right w:w="108" w:type="dxa"/>
          </w:tblCellMar>
        </w:tblPrEx>
        <w:trPr>
          <w:trHeight w:val="744" w:hRule="atLeast"/>
        </w:trPr>
        <w:tc>
          <w:tcPr>
            <w:tcW w:w="9577" w:type="dxa"/>
            <w:tcBorders>
              <w:top w:val="nil"/>
              <w:left w:val="nil"/>
              <w:bottom w:val="nil"/>
              <w:right w:val="nil"/>
            </w:tcBorders>
            <w:vAlign w:val="center"/>
          </w:tcPr>
          <w:p>
            <w:pPr>
              <w:spacing w:line="540" w:lineRule="exact"/>
              <w:jc w:val="center"/>
              <w:rPr>
                <w:rFonts w:hAnsi="宋体"/>
                <w:color w:val="000000"/>
                <w:sz w:val="44"/>
                <w:szCs w:val="44"/>
              </w:rPr>
            </w:pPr>
            <w:r>
              <w:rPr>
                <w:rFonts w:hAnsi="宋体"/>
                <w:color w:val="000000"/>
                <w:sz w:val="44"/>
                <w:szCs w:val="44"/>
              </w:rPr>
              <w:t>2022</w:t>
            </w:r>
            <w:r>
              <w:rPr>
                <w:rFonts w:hint="eastAsia" w:hAnsi="宋体"/>
                <w:color w:val="000000"/>
                <w:sz w:val="44"/>
                <w:szCs w:val="44"/>
              </w:rPr>
              <w:t>年市级专项资金预算项目支出绩效自评报告</w:t>
            </w:r>
          </w:p>
          <w:p>
            <w:pPr>
              <w:spacing w:line="540" w:lineRule="exact"/>
              <w:jc w:val="center"/>
              <w:rPr>
                <w:rFonts w:hint="eastAsia" w:ascii="楷体_GB2312" w:hAnsi="楷体" w:eastAsia="楷体_GB2312" w:cs="楷体"/>
                <w:color w:val="000000"/>
                <w:sz w:val="32"/>
                <w:szCs w:val="32"/>
              </w:rPr>
            </w:pPr>
            <w:r>
              <w:rPr>
                <w:rFonts w:hint="eastAsia" w:ascii="楷体_GB2312" w:hAnsi="楷体" w:eastAsia="楷体_GB2312" w:cs="楷体"/>
                <w:color w:val="000000"/>
                <w:sz w:val="32"/>
                <w:szCs w:val="32"/>
              </w:rPr>
              <w:t>（优化营商先进集体和先进个人表彰经费）</w:t>
            </w:r>
          </w:p>
          <w:p>
            <w:pPr>
              <w:spacing w:line="540" w:lineRule="exact"/>
              <w:rPr>
                <w:rFonts w:ascii="仿宋" w:hAnsi="仿宋" w:eastAsia="仿宋" w:cs="仿宋"/>
                <w:color w:val="000000"/>
                <w:sz w:val="32"/>
                <w:szCs w:val="32"/>
              </w:rPr>
            </w:pPr>
          </w:p>
          <w:p>
            <w:pPr>
              <w:spacing w:line="50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一、项目概况</w:t>
            </w:r>
          </w:p>
          <w:p>
            <w:pPr>
              <w:spacing w:line="500" w:lineRule="exact"/>
              <w:ind w:firstLine="640" w:firstLineChars="200"/>
              <w:rPr>
                <w:rFonts w:hint="eastAsia" w:ascii="楷体_GB2312" w:hAnsi="楷体" w:eastAsia="楷体_GB2312" w:cs="楷体"/>
                <w:color w:val="000000"/>
                <w:sz w:val="32"/>
                <w:szCs w:val="32"/>
              </w:rPr>
            </w:pPr>
            <w:r>
              <w:rPr>
                <w:rFonts w:hint="eastAsia" w:ascii="楷体_GB2312" w:hAnsi="楷体" w:eastAsia="楷体_GB2312" w:cs="楷体"/>
                <w:color w:val="000000"/>
                <w:sz w:val="32"/>
                <w:szCs w:val="32"/>
              </w:rPr>
              <w:t>（一）项目基本情况。</w:t>
            </w:r>
          </w:p>
          <w:p>
            <w:pPr>
              <w:spacing w:line="5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为调动和激发全市各级各部门、各有关方面优化营商环境工作的积极性、主动性和创造性，紧紧围绕市委、市政府优化营商环境决策部署，进一步</w:t>
            </w:r>
            <w:r>
              <w:rPr>
                <w:rFonts w:hint="eastAsia" w:ascii="仿宋_GB2312" w:eastAsia="仿宋_GB2312"/>
                <w:color w:val="000000"/>
                <w:spacing w:val="6"/>
                <w:sz w:val="32"/>
                <w:szCs w:val="32"/>
              </w:rPr>
              <w:t>推动全市优化营商环境工作再上新台阶</w:t>
            </w:r>
            <w:r>
              <w:rPr>
                <w:rFonts w:ascii="仿宋_GB2312" w:eastAsia="仿宋_GB2312"/>
                <w:color w:val="000000"/>
                <w:spacing w:val="6"/>
                <w:sz w:val="32"/>
                <w:szCs w:val="32"/>
              </w:rPr>
              <w:t>,</w:t>
            </w:r>
            <w:r>
              <w:rPr>
                <w:rFonts w:ascii="仿宋_GB2312" w:eastAsia="仿宋_GB2312"/>
                <w:color w:val="000000"/>
                <w:spacing w:val="2"/>
                <w:sz w:val="32"/>
                <w:szCs w:val="32"/>
              </w:rPr>
              <w:t xml:space="preserve"> </w:t>
            </w:r>
            <w:r>
              <w:rPr>
                <w:rFonts w:hint="eastAsia" w:eastAsia="仿宋_GB2312"/>
                <w:color w:val="000000"/>
                <w:sz w:val="32"/>
                <w:szCs w:val="32"/>
              </w:rPr>
              <w:t>评选表彰优化营商环境先进集</w:t>
            </w:r>
            <w:r>
              <w:rPr>
                <w:rFonts w:hint="eastAsia" w:ascii="仿宋_GB2312" w:eastAsia="仿宋_GB2312"/>
                <w:color w:val="000000"/>
                <w:sz w:val="32"/>
                <w:szCs w:val="32"/>
              </w:rPr>
              <w:t>体80个、先进个人150人，</w:t>
            </w:r>
            <w:r>
              <w:rPr>
                <w:rFonts w:hint="eastAsia" w:ascii="仿宋_GB2312" w:eastAsia="仿宋_GB2312"/>
                <w:color w:val="000000"/>
                <w:sz w:val="32"/>
                <w:szCs w:val="32"/>
              </w:rPr>
              <w:t>经费</w:t>
            </w:r>
            <w:r>
              <w:rPr>
                <w:rFonts w:ascii="仿宋_GB2312" w:eastAsia="仿宋_GB2312"/>
                <w:color w:val="000000"/>
                <w:sz w:val="32"/>
                <w:szCs w:val="32"/>
              </w:rPr>
              <w:t>77.50</w:t>
            </w:r>
            <w:r>
              <w:rPr>
                <w:rFonts w:hint="eastAsia" w:ascii="仿宋_GB2312" w:eastAsia="仿宋_GB2312"/>
                <w:color w:val="000000"/>
                <w:sz w:val="32"/>
                <w:szCs w:val="32"/>
              </w:rPr>
              <w:t>万元，资金为一般公共预算。</w:t>
            </w:r>
          </w:p>
          <w:p>
            <w:pPr>
              <w:spacing w:line="500" w:lineRule="exact"/>
              <w:ind w:firstLine="640" w:firstLineChars="200"/>
              <w:rPr>
                <w:rFonts w:ascii="楷体" w:hAnsi="楷体" w:eastAsia="楷体" w:cs="楷体"/>
                <w:color w:val="000000"/>
                <w:sz w:val="32"/>
                <w:szCs w:val="32"/>
              </w:rPr>
            </w:pPr>
            <w:r>
              <w:rPr>
                <w:rFonts w:hint="eastAsia" w:ascii="楷体_GB2312" w:hAnsi="楷体" w:eastAsia="楷体_GB2312" w:cs="楷体"/>
                <w:color w:val="000000"/>
                <w:sz w:val="32"/>
                <w:szCs w:val="32"/>
              </w:rPr>
              <w:t>（二）项目绩效目标。</w:t>
            </w:r>
          </w:p>
          <w:p>
            <w:pPr>
              <w:spacing w:line="500" w:lineRule="exact"/>
              <w:ind w:firstLine="640" w:firstLineChars="200"/>
              <w:rPr>
                <w:rFonts w:ascii="仿宋_GB2312" w:eastAsia="仿宋_GB2312" w:cs="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项目主要内容。</w:t>
            </w:r>
            <w:r>
              <w:rPr>
                <w:rFonts w:hint="eastAsia" w:eastAsia="仿宋_GB2312"/>
                <w:color w:val="000000"/>
                <w:sz w:val="32"/>
                <w:szCs w:val="32"/>
              </w:rPr>
              <w:t>评选表彰优化营商环境先进集体</w:t>
            </w:r>
            <w:r>
              <w:rPr>
                <w:rFonts w:hint="eastAsia" w:ascii="仿宋" w:hAnsi="仿宋" w:eastAsia="仿宋" w:cs="仿宋"/>
                <w:color w:val="000000"/>
                <w:sz w:val="32"/>
                <w:szCs w:val="32"/>
                <w:lang w:val="en-US" w:eastAsia="zh-CN"/>
              </w:rPr>
              <w:t>80</w:t>
            </w:r>
            <w:r>
              <w:rPr>
                <w:rFonts w:hint="eastAsia" w:eastAsia="仿宋_GB2312"/>
                <w:color w:val="000000"/>
                <w:sz w:val="32"/>
                <w:szCs w:val="32"/>
              </w:rPr>
              <w:t>个、先进个人</w:t>
            </w:r>
            <w:r>
              <w:rPr>
                <w:rFonts w:hint="eastAsia" w:ascii="仿宋" w:hAnsi="仿宋" w:eastAsia="仿宋" w:cs="仿宋"/>
                <w:color w:val="000000"/>
                <w:sz w:val="32"/>
                <w:szCs w:val="32"/>
              </w:rPr>
              <w:t>150</w:t>
            </w:r>
            <w:r>
              <w:rPr>
                <w:rFonts w:hint="eastAsia" w:eastAsia="仿宋_GB2312"/>
                <w:color w:val="000000"/>
                <w:sz w:val="32"/>
                <w:szCs w:val="32"/>
              </w:rPr>
              <w:t>人，</w:t>
            </w:r>
            <w:r>
              <w:rPr>
                <w:rFonts w:hint="eastAsia" w:ascii="仿宋_GB2312" w:eastAsia="仿宋_GB2312"/>
                <w:color w:val="000000"/>
                <w:sz w:val="32"/>
                <w:szCs w:val="32"/>
              </w:rPr>
              <w:t>经费</w:t>
            </w:r>
            <w:r>
              <w:rPr>
                <w:rFonts w:ascii="仿宋_GB2312" w:eastAsia="仿宋_GB2312"/>
                <w:color w:val="000000"/>
                <w:sz w:val="32"/>
                <w:szCs w:val="32"/>
              </w:rPr>
              <w:t>77.50</w:t>
            </w:r>
            <w:r>
              <w:rPr>
                <w:rFonts w:hint="eastAsia" w:ascii="仿宋_GB2312" w:eastAsia="仿宋_GB2312"/>
                <w:color w:val="000000"/>
                <w:sz w:val="32"/>
                <w:szCs w:val="32"/>
              </w:rPr>
              <w:t>万元</w:t>
            </w:r>
            <w:r>
              <w:rPr>
                <w:rFonts w:hint="eastAsia" w:ascii="仿宋_GB2312" w:eastAsia="仿宋_GB2312" w:cs="仿宋_GB2312"/>
                <w:color w:val="000000"/>
                <w:sz w:val="32"/>
                <w:szCs w:val="32"/>
              </w:rPr>
              <w:t>。</w:t>
            </w:r>
          </w:p>
          <w:p>
            <w:pPr>
              <w:snapToGrid w:val="0"/>
              <w:spacing w:line="500" w:lineRule="exact"/>
              <w:ind w:firstLine="72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具体绩效目标。</w:t>
            </w:r>
            <w:r>
              <w:rPr>
                <w:rFonts w:ascii="仿宋_GB2312" w:eastAsia="仿宋_GB2312"/>
                <w:color w:val="000000"/>
                <w:sz w:val="32"/>
                <w:szCs w:val="32"/>
              </w:rPr>
              <w:t>2022</w:t>
            </w:r>
            <w:r>
              <w:rPr>
                <w:rFonts w:hint="eastAsia" w:ascii="仿宋_GB2312" w:eastAsia="仿宋_GB2312"/>
                <w:color w:val="000000"/>
                <w:sz w:val="32"/>
                <w:szCs w:val="32"/>
              </w:rPr>
              <w:t>年，完成优化营商先进集体和先进个人表彰工作，完成经费支付工作，进一步激发全市营商环境建设队伍干事热情。</w:t>
            </w:r>
          </w:p>
          <w:p>
            <w:pPr>
              <w:tabs>
                <w:tab w:val="center" w:pos="4153"/>
              </w:tabs>
              <w:spacing w:line="500" w:lineRule="exact"/>
              <w:ind w:firstLine="640" w:firstLineChars="200"/>
              <w:rPr>
                <w:color w:val="000000"/>
              </w:rPr>
            </w:pPr>
            <w:r>
              <w:rPr>
                <w:rFonts w:ascii="仿宋_GB2312" w:eastAsia="仿宋_GB2312"/>
                <w:color w:val="000000"/>
                <w:sz w:val="32"/>
                <w:szCs w:val="32"/>
              </w:rPr>
              <w:t>3.</w:t>
            </w:r>
            <w:r>
              <w:rPr>
                <w:rFonts w:hint="eastAsia" w:ascii="仿宋_GB2312" w:eastAsia="仿宋_GB2312"/>
                <w:color w:val="000000"/>
                <w:sz w:val="32"/>
                <w:szCs w:val="32"/>
              </w:rPr>
              <w:t>申报内容与实际比较。</w:t>
            </w:r>
            <w:r>
              <w:rPr>
                <w:rFonts w:ascii="仿宋_GB2312" w:eastAsia="仿宋_GB2312"/>
                <w:color w:val="000000"/>
                <w:sz w:val="32"/>
                <w:szCs w:val="32"/>
              </w:rPr>
              <w:tab/>
            </w:r>
            <w:r>
              <w:rPr>
                <w:rFonts w:hint="eastAsia" w:ascii="仿宋_GB2312" w:eastAsia="仿宋_GB2312"/>
                <w:color w:val="000000"/>
                <w:sz w:val="32"/>
                <w:szCs w:val="32"/>
              </w:rPr>
              <w:t>结合事前绩效、事中绩效和实际比较，申报内容准确无偏差，项目实施进度快，申报内容与实际相符，申报内容合理可行。</w:t>
            </w:r>
          </w:p>
          <w:p>
            <w:pPr>
              <w:spacing w:line="500" w:lineRule="exact"/>
              <w:ind w:firstLine="640" w:firstLineChars="200"/>
              <w:rPr>
                <w:rFonts w:ascii="楷体_GB2312" w:hAnsi="楷体" w:eastAsia="楷体_GB2312" w:cs="楷体"/>
                <w:color w:val="000000"/>
                <w:sz w:val="32"/>
                <w:szCs w:val="32"/>
              </w:rPr>
            </w:pPr>
            <w:r>
              <w:rPr>
                <w:rFonts w:hint="eastAsia" w:ascii="楷体_GB2312" w:hAnsi="楷体" w:eastAsia="楷体_GB2312" w:cs="楷体"/>
                <w:color w:val="000000"/>
                <w:sz w:val="32"/>
                <w:szCs w:val="32"/>
              </w:rPr>
              <w:t>（三）项目自评步骤及方法。</w:t>
            </w:r>
          </w:p>
          <w:p>
            <w:pPr>
              <w:tabs>
                <w:tab w:val="center" w:pos="4153"/>
              </w:tabs>
              <w:spacing w:line="5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项目采取自评与他评相结合方式，成立项目自评小组，结合评价内容，做到有计划，有安排，有奖惩，扎实开展本次自评工作。按照市财政局下达的项目支出绩效评价指标体系，自评小组针对申报内容、实施情况、资金兑现、财务管理、社会效益等做出自我评价，认真听取建议意见，做好自评工作。</w:t>
            </w:r>
          </w:p>
          <w:p>
            <w:pPr>
              <w:tabs>
                <w:tab w:val="center" w:pos="4153"/>
              </w:tabs>
              <w:spacing w:line="50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二、项目资金申报及使用情况</w:t>
            </w:r>
          </w:p>
          <w:p>
            <w:pPr>
              <w:spacing w:line="500" w:lineRule="exact"/>
              <w:ind w:firstLine="640" w:firstLineChars="200"/>
              <w:rPr>
                <w:rFonts w:ascii="楷体_GB2312" w:hAnsi="楷体" w:eastAsia="楷体_GB2312" w:cs="楷体"/>
                <w:color w:val="000000"/>
                <w:sz w:val="32"/>
                <w:szCs w:val="32"/>
              </w:rPr>
            </w:pPr>
            <w:r>
              <w:rPr>
                <w:rFonts w:hint="eastAsia" w:ascii="楷体_GB2312" w:hAnsi="楷体" w:eastAsia="楷体_GB2312" w:cs="楷体"/>
                <w:color w:val="000000"/>
                <w:sz w:val="32"/>
                <w:szCs w:val="32"/>
              </w:rPr>
              <w:t>（一）项目资金申报及批复情况</w:t>
            </w:r>
          </w:p>
          <w:p>
            <w:pPr>
              <w:tabs>
                <w:tab w:val="center" w:pos="4153"/>
              </w:tabs>
              <w:spacing w:line="500" w:lineRule="exact"/>
              <w:ind w:firstLine="640" w:firstLineChars="200"/>
              <w:rPr>
                <w:color w:val="000000"/>
              </w:rPr>
            </w:pPr>
            <w:r>
              <w:rPr>
                <w:rFonts w:ascii="仿宋_GB2312" w:eastAsia="仿宋_GB2312"/>
                <w:color w:val="000000"/>
                <w:sz w:val="32"/>
                <w:szCs w:val="32"/>
              </w:rPr>
              <w:t xml:space="preserve"> </w:t>
            </w:r>
            <w:r>
              <w:rPr>
                <w:rFonts w:hint="eastAsia" w:ascii="仿宋_GB2312" w:eastAsia="仿宋_GB2312"/>
                <w:color w:val="000000"/>
                <w:sz w:val="32"/>
                <w:szCs w:val="32"/>
              </w:rPr>
              <w:t>广元市优化营商先进集体和先进个人表彰经费为年中追加预算，</w:t>
            </w:r>
            <w:r>
              <w:rPr>
                <w:rFonts w:hint="eastAsia" w:ascii="仿宋_GB2312" w:eastAsia="仿宋_GB2312" w:cs="仿宋_GB2312"/>
                <w:color w:val="000000"/>
                <w:sz w:val="32"/>
                <w:szCs w:val="32"/>
              </w:rPr>
              <w:t>按照程序报送办党组会议审定后实施。该项目经市财政局批复下达后，全部用于</w:t>
            </w:r>
            <w:r>
              <w:rPr>
                <w:rFonts w:hint="eastAsia" w:ascii="仿宋_GB2312" w:eastAsia="仿宋_GB2312"/>
                <w:color w:val="000000"/>
                <w:sz w:val="32"/>
                <w:szCs w:val="32"/>
              </w:rPr>
              <w:t>优化营商先进集体和先进个人表彰</w:t>
            </w:r>
            <w:r>
              <w:rPr>
                <w:rFonts w:hint="eastAsia" w:ascii="仿宋_GB2312" w:eastAsia="仿宋_GB2312" w:cs="仿宋_GB2312"/>
                <w:color w:val="000000"/>
                <w:sz w:val="32"/>
                <w:szCs w:val="32"/>
              </w:rPr>
              <w:t>项目，项目经费由市财政局国库支付中心直接支付，经费使用合理。</w:t>
            </w:r>
          </w:p>
          <w:p>
            <w:pPr>
              <w:spacing w:line="500" w:lineRule="exact"/>
              <w:ind w:firstLine="640" w:firstLineChars="200"/>
              <w:rPr>
                <w:rFonts w:ascii="楷体_GB2312" w:hAnsi="楷体" w:eastAsia="楷体_GB2312" w:cs="楷体"/>
                <w:color w:val="000000"/>
                <w:sz w:val="32"/>
                <w:szCs w:val="32"/>
              </w:rPr>
            </w:pPr>
            <w:r>
              <w:rPr>
                <w:rFonts w:hint="eastAsia" w:ascii="楷体_GB2312" w:hAnsi="楷体" w:eastAsia="楷体_GB2312" w:cs="楷体"/>
                <w:color w:val="000000"/>
                <w:sz w:val="32"/>
                <w:szCs w:val="32"/>
              </w:rPr>
              <w:t>（二）资金计划、到位及使用情况</w:t>
            </w:r>
          </w:p>
          <w:p>
            <w:pPr>
              <w:tabs>
                <w:tab w:val="center" w:pos="4153"/>
              </w:tabs>
              <w:spacing w:line="50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资金计划。市财政局年中追加广元市优化营商先进集体和先进个人表彰经费</w:t>
            </w:r>
            <w:r>
              <w:rPr>
                <w:rFonts w:ascii="仿宋_GB2312" w:eastAsia="仿宋_GB2312"/>
                <w:color w:val="000000"/>
                <w:sz w:val="32"/>
                <w:szCs w:val="32"/>
              </w:rPr>
              <w:t>77.50</w:t>
            </w:r>
            <w:r>
              <w:rPr>
                <w:rFonts w:hint="eastAsia" w:ascii="仿宋_GB2312" w:eastAsia="仿宋_GB2312"/>
                <w:color w:val="000000"/>
                <w:sz w:val="32"/>
                <w:szCs w:val="32"/>
              </w:rPr>
              <w:t>万元，资金为一般公共预算。</w:t>
            </w:r>
          </w:p>
          <w:p>
            <w:pPr>
              <w:tabs>
                <w:tab w:val="center" w:pos="4153"/>
              </w:tabs>
              <w:spacing w:line="500" w:lineRule="exact"/>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资金到位。截止</w:t>
            </w:r>
            <w:r>
              <w:rPr>
                <w:rFonts w:ascii="仿宋_GB2312" w:eastAsia="仿宋_GB2312"/>
                <w:color w:val="000000"/>
                <w:sz w:val="32"/>
                <w:szCs w:val="32"/>
              </w:rPr>
              <w:t>2022</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月，计划资金全部到位，金额</w:t>
            </w:r>
            <w:r>
              <w:rPr>
                <w:rFonts w:ascii="仿宋_GB2312" w:eastAsia="仿宋_GB2312"/>
                <w:color w:val="000000"/>
                <w:sz w:val="32"/>
                <w:szCs w:val="32"/>
              </w:rPr>
              <w:t>77.50</w:t>
            </w:r>
            <w:r>
              <w:rPr>
                <w:rFonts w:hint="eastAsia" w:ascii="仿宋_GB2312" w:eastAsia="仿宋_GB2312"/>
                <w:color w:val="000000"/>
                <w:sz w:val="32"/>
                <w:szCs w:val="32"/>
              </w:rPr>
              <w:t>万元。</w:t>
            </w:r>
          </w:p>
          <w:p>
            <w:pPr>
              <w:tabs>
                <w:tab w:val="center" w:pos="4153"/>
              </w:tabs>
              <w:spacing w:line="500" w:lineRule="exact"/>
              <w:ind w:firstLine="640" w:firstLineChars="200"/>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资金使用。截止</w:t>
            </w:r>
            <w:r>
              <w:rPr>
                <w:rFonts w:ascii="仿宋_GB2312" w:eastAsia="仿宋_GB2312"/>
                <w:color w:val="000000"/>
                <w:sz w:val="32"/>
                <w:szCs w:val="32"/>
              </w:rPr>
              <w:t>2022</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月底，广元市优化营商先进集体和先进个人表彰经费</w:t>
            </w:r>
            <w:r>
              <w:rPr>
                <w:rFonts w:ascii="仿宋_GB2312" w:eastAsia="仿宋_GB2312"/>
                <w:color w:val="000000"/>
                <w:sz w:val="32"/>
                <w:szCs w:val="32"/>
              </w:rPr>
              <w:t>77.50</w:t>
            </w:r>
            <w:r>
              <w:rPr>
                <w:rFonts w:hint="eastAsia" w:ascii="仿宋_GB2312" w:eastAsia="仿宋_GB2312"/>
                <w:color w:val="000000"/>
                <w:sz w:val="32"/>
                <w:szCs w:val="32"/>
              </w:rPr>
              <w:t>万元，已支付</w:t>
            </w:r>
            <w:r>
              <w:rPr>
                <w:rFonts w:ascii="仿宋_GB2312" w:eastAsia="仿宋_GB2312"/>
                <w:color w:val="000000"/>
                <w:sz w:val="32"/>
                <w:szCs w:val="32"/>
              </w:rPr>
              <w:t>74.50</w:t>
            </w:r>
            <w:r>
              <w:rPr>
                <w:rFonts w:hint="eastAsia" w:ascii="仿宋_GB2312" w:eastAsia="仿宋_GB2312"/>
                <w:color w:val="000000"/>
                <w:sz w:val="32"/>
                <w:szCs w:val="32"/>
              </w:rPr>
              <w:t>万元，主要用于项目奖金和奖牌制作等费用。</w:t>
            </w:r>
          </w:p>
          <w:p>
            <w:pPr>
              <w:spacing w:line="500" w:lineRule="exact"/>
              <w:ind w:firstLine="640" w:firstLineChars="200"/>
              <w:rPr>
                <w:rFonts w:ascii="楷体_GB2312" w:hAnsi="楷体" w:eastAsia="楷体_GB2312" w:cs="楷体"/>
                <w:color w:val="000000"/>
                <w:sz w:val="32"/>
                <w:szCs w:val="32"/>
              </w:rPr>
            </w:pPr>
            <w:r>
              <w:rPr>
                <w:rFonts w:hint="eastAsia" w:ascii="楷体_GB2312" w:hAnsi="楷体" w:eastAsia="楷体_GB2312" w:cs="楷体"/>
                <w:color w:val="000000"/>
                <w:sz w:val="32"/>
                <w:szCs w:val="32"/>
              </w:rPr>
              <w:t>（三）项目财务管理情况</w:t>
            </w:r>
          </w:p>
          <w:p>
            <w:pPr>
              <w:tabs>
                <w:tab w:val="center" w:pos="4153"/>
              </w:tabs>
              <w:spacing w:line="500" w:lineRule="exact"/>
              <w:ind w:firstLine="616" w:firstLineChars="200"/>
              <w:rPr>
                <w:rFonts w:ascii="仿宋_GB2312" w:eastAsia="仿宋_GB2312"/>
                <w:color w:val="000000"/>
                <w:spacing w:val="-6"/>
                <w:sz w:val="32"/>
                <w:szCs w:val="32"/>
              </w:rPr>
            </w:pPr>
            <w:r>
              <w:rPr>
                <w:rFonts w:hint="eastAsia" w:ascii="仿宋_GB2312" w:eastAsia="仿宋_GB2312"/>
                <w:color w:val="000000"/>
                <w:spacing w:val="-6"/>
                <w:sz w:val="32"/>
                <w:szCs w:val="32"/>
              </w:rPr>
              <w:t>项目资金到位后，严格按照中心的财务相关管理制度及流程进行管理，全部资金都用于该项目支出，无被截留、挤占、挪用的现象。</w:t>
            </w:r>
          </w:p>
          <w:p>
            <w:pPr>
              <w:tabs>
                <w:tab w:val="center" w:pos="4153"/>
              </w:tabs>
              <w:spacing w:line="50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三、项目实施及管理情况</w:t>
            </w:r>
          </w:p>
          <w:p>
            <w:pPr>
              <w:spacing w:line="500" w:lineRule="exact"/>
              <w:ind w:firstLine="640" w:firstLineChars="200"/>
              <w:rPr>
                <w:rFonts w:ascii="楷体_GB2312" w:hAnsi="楷体" w:eastAsia="楷体_GB2312" w:cs="楷体"/>
                <w:color w:val="000000"/>
                <w:sz w:val="32"/>
                <w:szCs w:val="32"/>
              </w:rPr>
            </w:pPr>
            <w:r>
              <w:rPr>
                <w:rFonts w:hint="eastAsia" w:ascii="楷体_GB2312" w:hAnsi="楷体" w:eastAsia="楷体_GB2312" w:cs="楷体"/>
                <w:color w:val="000000"/>
                <w:sz w:val="32"/>
                <w:szCs w:val="32"/>
              </w:rPr>
              <w:t>（一）项目组织架构及实施流程。</w:t>
            </w:r>
          </w:p>
          <w:p>
            <w:pPr>
              <w:tabs>
                <w:tab w:val="center" w:pos="4153"/>
              </w:tabs>
              <w:spacing w:line="5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市政府办公室党组高度重视优化营商先进集体和先进个人表彰工作，安排市营商办牵头该工作，并完成</w:t>
            </w:r>
            <w:r>
              <w:rPr>
                <w:rFonts w:hint="eastAsia" w:eastAsia="仿宋_GB2312"/>
                <w:color w:val="000000"/>
                <w:sz w:val="32"/>
                <w:szCs w:val="32"/>
              </w:rPr>
              <w:t>优化营商环境</w:t>
            </w:r>
            <w:r>
              <w:rPr>
                <w:rFonts w:hint="eastAsia" w:ascii="仿宋" w:hAnsi="仿宋" w:eastAsia="仿宋" w:cs="仿宋"/>
                <w:b w:val="0"/>
                <w:bCs w:val="0"/>
                <w:color w:val="000000"/>
                <w:sz w:val="32"/>
                <w:szCs w:val="32"/>
              </w:rPr>
              <w:t>80</w:t>
            </w:r>
            <w:r>
              <w:rPr>
                <w:rFonts w:hint="eastAsia" w:eastAsia="仿宋_GB2312"/>
                <w:color w:val="000000"/>
                <w:sz w:val="32"/>
                <w:szCs w:val="32"/>
              </w:rPr>
              <w:t>个先进集体、</w:t>
            </w:r>
            <w:r>
              <w:rPr>
                <w:rFonts w:hint="eastAsia" w:ascii="仿宋" w:hAnsi="仿宋" w:eastAsia="仿宋" w:cs="仿宋"/>
                <w:color w:val="000000"/>
                <w:sz w:val="32"/>
                <w:szCs w:val="32"/>
              </w:rPr>
              <w:t>150</w:t>
            </w:r>
            <w:r>
              <w:rPr>
                <w:rFonts w:hint="eastAsia" w:eastAsia="仿宋_GB2312"/>
                <w:color w:val="000000"/>
                <w:sz w:val="32"/>
                <w:szCs w:val="32"/>
              </w:rPr>
              <w:t>名先进个人评选表彰</w:t>
            </w:r>
            <w:r>
              <w:rPr>
                <w:rFonts w:hint="eastAsia" w:ascii="仿宋_GB2312" w:eastAsia="仿宋_GB2312"/>
                <w:color w:val="000000"/>
                <w:sz w:val="32"/>
                <w:szCs w:val="32"/>
              </w:rPr>
              <w:t>工作。</w:t>
            </w:r>
          </w:p>
          <w:p>
            <w:pPr>
              <w:spacing w:line="500" w:lineRule="exact"/>
              <w:ind w:firstLine="640" w:firstLineChars="200"/>
              <w:rPr>
                <w:rFonts w:ascii="楷体_GB2312" w:hAnsi="楷体" w:eastAsia="楷体_GB2312" w:cs="楷体"/>
                <w:color w:val="000000"/>
                <w:sz w:val="32"/>
                <w:szCs w:val="32"/>
              </w:rPr>
            </w:pPr>
            <w:r>
              <w:rPr>
                <w:rFonts w:hint="eastAsia" w:ascii="楷体_GB2312" w:hAnsi="楷体" w:eastAsia="楷体_GB2312" w:cs="楷体"/>
                <w:color w:val="000000"/>
                <w:sz w:val="32"/>
                <w:szCs w:val="32"/>
              </w:rPr>
              <w:t>（二）项目管理情况。</w:t>
            </w:r>
          </w:p>
          <w:p>
            <w:pPr>
              <w:tabs>
                <w:tab w:val="center" w:pos="4153"/>
              </w:tabs>
              <w:spacing w:line="5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优化营商先进集体和先进个人表彰项目采取工作领导小组负责制，全体成员积极配合、通力合作。工作领导小组负责协调相关工作，项目实施及资金管理。</w:t>
            </w:r>
          </w:p>
          <w:p>
            <w:pPr>
              <w:spacing w:line="500" w:lineRule="exact"/>
              <w:ind w:firstLine="640" w:firstLineChars="200"/>
              <w:rPr>
                <w:rFonts w:ascii="楷体_GB2312" w:hAnsi="楷体" w:eastAsia="楷体_GB2312" w:cs="楷体"/>
                <w:color w:val="000000"/>
                <w:sz w:val="32"/>
                <w:szCs w:val="32"/>
              </w:rPr>
            </w:pPr>
            <w:r>
              <w:rPr>
                <w:rFonts w:hint="eastAsia" w:ascii="楷体_GB2312" w:hAnsi="楷体" w:eastAsia="楷体_GB2312" w:cs="楷体"/>
                <w:color w:val="000000"/>
                <w:sz w:val="32"/>
                <w:szCs w:val="32"/>
              </w:rPr>
              <w:t>（三）项目监管情况。</w:t>
            </w:r>
          </w:p>
          <w:p>
            <w:pPr>
              <w:tabs>
                <w:tab w:val="center" w:pos="4153"/>
              </w:tabs>
              <w:spacing w:line="5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项目资金由市政府办公室营商环境办具体管理，对项目资金按项目实行“专款专用”，不得挤占挪用项目资金。强化监督，项目的正常实施监督检查是保障。</w:t>
            </w:r>
          </w:p>
          <w:p>
            <w:pPr>
              <w:tabs>
                <w:tab w:val="center" w:pos="4153"/>
              </w:tabs>
              <w:spacing w:line="50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四、目标完成情况</w:t>
            </w:r>
            <w:r>
              <w:rPr>
                <w:rFonts w:ascii="黑体" w:hAnsi="黑体" w:eastAsia="黑体" w:cs="黑体"/>
                <w:color w:val="000000"/>
                <w:sz w:val="32"/>
                <w:szCs w:val="32"/>
              </w:rPr>
              <w:t xml:space="preserve"> </w:t>
            </w:r>
          </w:p>
          <w:p>
            <w:pPr>
              <w:tabs>
                <w:tab w:val="center" w:pos="4153"/>
              </w:tabs>
              <w:spacing w:line="500" w:lineRule="exact"/>
              <w:ind w:firstLine="640" w:firstLineChars="200"/>
              <w:rPr>
                <w:rFonts w:ascii="仿宋_GB2312" w:eastAsia="仿宋_GB2312"/>
                <w:color w:val="000000"/>
                <w:sz w:val="32"/>
                <w:szCs w:val="32"/>
              </w:rPr>
            </w:pPr>
            <w:r>
              <w:rPr>
                <w:rFonts w:hint="eastAsia" w:ascii="楷体_GB2312" w:hAnsi="楷体" w:eastAsia="楷体_GB2312" w:cs="楷体"/>
                <w:color w:val="000000"/>
                <w:sz w:val="32"/>
                <w:szCs w:val="32"/>
              </w:rPr>
              <w:t>（一）目标完成情况。</w:t>
            </w:r>
            <w:r>
              <w:rPr>
                <w:rFonts w:hint="eastAsia" w:ascii="仿宋_GB2312" w:eastAsia="仿宋_GB2312"/>
                <w:color w:val="000000"/>
                <w:sz w:val="32"/>
                <w:szCs w:val="32"/>
              </w:rPr>
              <w:t>截止</w:t>
            </w:r>
            <w:r>
              <w:rPr>
                <w:rFonts w:ascii="仿宋_GB2312" w:eastAsia="仿宋_GB2312"/>
                <w:color w:val="000000"/>
                <w:sz w:val="32"/>
                <w:szCs w:val="32"/>
              </w:rPr>
              <w:t>2022</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月底，全面完成了该项目数量指标、时效指标、成本等指标数，该项目进一步激发了全市营商环境建设队伍干事热情</w:t>
            </w:r>
            <w:r>
              <w:rPr>
                <w:rFonts w:hint="eastAsia" w:ascii="仿宋_GB2312" w:eastAsia="仿宋_GB2312"/>
                <w:sz w:val="32"/>
                <w:szCs w:val="32"/>
                <w:lang w:eastAsia="zh-CN"/>
              </w:rPr>
              <w:t>（详见附表）</w:t>
            </w:r>
            <w:r>
              <w:rPr>
                <w:rFonts w:hint="eastAsia" w:ascii="仿宋_GB2312" w:eastAsia="仿宋_GB2312"/>
                <w:color w:val="000000"/>
                <w:sz w:val="32"/>
                <w:szCs w:val="32"/>
              </w:rPr>
              <w:t>。</w:t>
            </w:r>
          </w:p>
          <w:p>
            <w:pPr>
              <w:tabs>
                <w:tab w:val="center" w:pos="4153"/>
              </w:tabs>
              <w:spacing w:line="500" w:lineRule="exact"/>
              <w:ind w:firstLine="640" w:firstLineChars="200"/>
              <w:rPr>
                <w:rFonts w:ascii="仿宋_GB2312" w:eastAsia="仿宋_GB2312"/>
                <w:color w:val="000000"/>
                <w:sz w:val="32"/>
                <w:szCs w:val="32"/>
              </w:rPr>
            </w:pPr>
            <w:r>
              <w:rPr>
                <w:rFonts w:hint="eastAsia" w:ascii="楷体_GB2312" w:hAnsi="楷体" w:eastAsia="楷体_GB2312" w:cs="楷体"/>
                <w:color w:val="000000"/>
                <w:sz w:val="32"/>
                <w:szCs w:val="32"/>
              </w:rPr>
              <w:t>（二）目标效益情况。</w:t>
            </w:r>
            <w:r>
              <w:rPr>
                <w:rFonts w:hint="eastAsia" w:ascii="仿宋_GB2312" w:eastAsia="仿宋_GB2312"/>
                <w:color w:val="000000"/>
                <w:sz w:val="32"/>
                <w:szCs w:val="32"/>
              </w:rPr>
              <w:t>优化营商先进集体和先进个人表彰项目在市政府办公室党组的领导下、在各县区和市级各部门的通力合作下，顺利推进，圆满完成。</w:t>
            </w:r>
          </w:p>
          <w:p>
            <w:pPr>
              <w:tabs>
                <w:tab w:val="center" w:pos="4153"/>
              </w:tabs>
              <w:spacing w:line="500" w:lineRule="exact"/>
              <w:ind w:firstLine="640" w:firstLineChars="200"/>
              <w:rPr>
                <w:rFonts w:hint="eastAsia" w:ascii="黑体" w:eastAsia="黑体"/>
                <w:color w:val="000000"/>
                <w:sz w:val="32"/>
                <w:szCs w:val="32"/>
              </w:rPr>
            </w:pPr>
            <w:r>
              <w:rPr>
                <w:rFonts w:hint="eastAsia" w:ascii="黑体" w:eastAsia="黑体"/>
                <w:color w:val="000000"/>
                <w:sz w:val="32"/>
                <w:szCs w:val="32"/>
              </w:rPr>
              <w:t>五、评价结论及建议</w:t>
            </w:r>
          </w:p>
          <w:p>
            <w:pPr>
              <w:tabs>
                <w:tab w:val="center" w:pos="4153"/>
              </w:tabs>
              <w:spacing w:line="500" w:lineRule="exact"/>
              <w:ind w:firstLine="640" w:firstLineChars="200"/>
              <w:rPr>
                <w:rFonts w:ascii="仿宋_GB2312" w:eastAsia="仿宋_GB2312"/>
                <w:color w:val="000000"/>
                <w:sz w:val="32"/>
                <w:szCs w:val="32"/>
              </w:rPr>
            </w:pPr>
            <w:r>
              <w:rPr>
                <w:rFonts w:hint="eastAsia" w:ascii="楷体_GB2312" w:hAnsi="楷体" w:eastAsia="楷体_GB2312" w:cs="楷体"/>
                <w:color w:val="000000"/>
                <w:sz w:val="32"/>
                <w:szCs w:val="32"/>
              </w:rPr>
              <w:t>（一）评价结论。</w:t>
            </w:r>
            <w:r>
              <w:rPr>
                <w:rFonts w:hint="eastAsia" w:ascii="仿宋_GB2312" w:eastAsia="仿宋_GB2312"/>
                <w:color w:val="000000"/>
                <w:sz w:val="32"/>
                <w:szCs w:val="32"/>
              </w:rPr>
              <w:t>通过激励先进、鼓舞干劲，全市各级各部门坚持以习近平新时代中国特色社会主义思想为指导，深入贯彻落实党中央、国务院和省委、省政府关于深化“放管服”改革优化营商环境各项决策部署，坚持拼字当头、产业为先、环境为要，全力以赴拼经济、搞建设，勇于担当，主动作为，为打造最优营商环境作出新的更大贡献。</w:t>
            </w:r>
          </w:p>
          <w:p>
            <w:pPr>
              <w:tabs>
                <w:tab w:val="center" w:pos="4153"/>
              </w:tabs>
              <w:spacing w:line="500" w:lineRule="exact"/>
              <w:rPr>
                <w:rFonts w:ascii="仿宋_GB2312" w:eastAsia="仿宋_GB2312"/>
                <w:color w:val="000000"/>
                <w:sz w:val="32"/>
                <w:szCs w:val="32"/>
              </w:rPr>
            </w:pPr>
            <w:r>
              <w:rPr>
                <w:rFonts w:ascii="仿宋_GB2312" w:eastAsia="仿宋_GB2312"/>
                <w:color w:val="000000"/>
                <w:sz w:val="32"/>
                <w:szCs w:val="32"/>
              </w:rPr>
              <w:t xml:space="preserve">    </w:t>
            </w:r>
            <w:r>
              <w:rPr>
                <w:rFonts w:hint="eastAsia" w:ascii="楷体_GB2312" w:hAnsi="楷体" w:eastAsia="楷体_GB2312" w:cs="楷体"/>
                <w:color w:val="000000"/>
                <w:sz w:val="32"/>
                <w:szCs w:val="32"/>
              </w:rPr>
              <w:t>（二）存在问题。</w:t>
            </w:r>
            <w:r>
              <w:rPr>
                <w:rFonts w:hint="eastAsia" w:ascii="仿宋_GB2312" w:eastAsia="仿宋_GB2312"/>
                <w:color w:val="000000"/>
                <w:sz w:val="32"/>
                <w:szCs w:val="32"/>
              </w:rPr>
              <w:t>无</w:t>
            </w:r>
          </w:p>
          <w:p>
            <w:pPr>
              <w:tabs>
                <w:tab w:val="center" w:pos="4153"/>
              </w:tabs>
              <w:spacing w:line="500" w:lineRule="exact"/>
              <w:ind w:firstLine="640" w:firstLineChars="200"/>
              <w:rPr>
                <w:rFonts w:hint="eastAsia" w:ascii="仿宋_GB2312" w:eastAsia="仿宋_GB2312"/>
                <w:color w:val="000000"/>
                <w:sz w:val="32"/>
                <w:szCs w:val="32"/>
              </w:rPr>
            </w:pPr>
            <w:r>
              <w:rPr>
                <w:rFonts w:hint="eastAsia" w:ascii="楷体_GB2312" w:hAnsi="楷体" w:eastAsia="楷体_GB2312" w:cs="楷体"/>
                <w:color w:val="000000"/>
                <w:sz w:val="32"/>
                <w:szCs w:val="32"/>
              </w:rPr>
              <w:t>（三）相关建议。</w:t>
            </w:r>
            <w:r>
              <w:rPr>
                <w:rFonts w:hint="eastAsia" w:ascii="仿宋_GB2312" w:eastAsia="仿宋_GB2312"/>
                <w:color w:val="000000"/>
                <w:sz w:val="32"/>
                <w:szCs w:val="32"/>
              </w:rPr>
              <w:t>无</w:t>
            </w:r>
          </w:p>
          <w:p/>
        </w:tc>
      </w:tr>
    </w:tbl>
    <w:p>
      <w:pPr>
        <w:numPr>
          <w:ilvl w:val="0"/>
          <w:numId w:val="1"/>
        </w:numPr>
        <w:topLinePunct/>
        <w:spacing w:line="560" w:lineRule="exact"/>
        <w:jc w:val="center"/>
        <w:rPr>
          <w:rFonts w:hint="eastAsia" w:ascii="黑体" w:hAnsi="Cambria" w:eastAsia="黑体" w:cs="黑体"/>
          <w:kern w:val="44"/>
          <w:sz w:val="44"/>
          <w:szCs w:val="44"/>
        </w:rPr>
      </w:pPr>
      <w:r>
        <w:rPr>
          <w:rFonts w:hint="eastAsia" w:ascii="黑体" w:hAnsi="Cambria" w:eastAsia="黑体" w:cs="黑体"/>
          <w:kern w:val="44"/>
          <w:sz w:val="44"/>
          <w:szCs w:val="44"/>
        </w:rPr>
        <w:t>附表</w:t>
      </w:r>
      <w:bookmarkStart w:id="8" w:name="_Toc948369441"/>
      <w:bookmarkStart w:id="9" w:name="_Toc146701546"/>
    </w:p>
    <w:p>
      <w:pPr>
        <w:numPr>
          <w:numId w:val="0"/>
        </w:numPr>
        <w:topLinePunct/>
        <w:spacing w:line="560" w:lineRule="exact"/>
        <w:ind w:firstLine="640" w:firstLineChars="200"/>
        <w:jc w:val="both"/>
        <w:rPr>
          <w:rFonts w:hint="eastAsia" w:ascii="仿宋_GB2312" w:hAnsi="Cambria" w:eastAsia="仿宋_GB2312" w:cs="仿宋"/>
          <w:b/>
          <w:kern w:val="2"/>
          <w:sz w:val="32"/>
          <w:szCs w:val="32"/>
        </w:rPr>
      </w:pPr>
      <w:r>
        <w:rPr>
          <w:rFonts w:hint="eastAsia" w:ascii="仿宋_GB2312" w:hAnsi="Cambria" w:eastAsia="仿宋_GB2312" w:cs="仿宋"/>
          <w:kern w:val="2"/>
          <w:sz w:val="32"/>
          <w:szCs w:val="32"/>
        </w:rPr>
        <w:t>一、收入支出决算总表</w:t>
      </w:r>
      <w:bookmarkEnd w:id="8"/>
      <w:bookmarkEnd w:id="9"/>
    </w:p>
    <w:p>
      <w:pPr>
        <w:pStyle w:val="5"/>
        <w:keepNext/>
        <w:keepLines/>
        <w:topLinePunct/>
        <w:spacing w:before="260" w:after="260" w:line="560" w:lineRule="exact"/>
        <w:ind w:firstLine="640" w:firstLineChars="200"/>
        <w:jc w:val="both"/>
        <w:rPr>
          <w:rFonts w:hint="eastAsia" w:ascii="仿宋_GB2312" w:hAnsi="Cambria" w:eastAsia="仿宋_GB2312" w:cs="仿宋"/>
          <w:b/>
          <w:kern w:val="2"/>
          <w:sz w:val="32"/>
          <w:szCs w:val="32"/>
        </w:rPr>
      </w:pPr>
      <w:bookmarkStart w:id="10" w:name="_Toc30480900"/>
      <w:bookmarkStart w:id="11" w:name="_Toc146701547"/>
      <w:r>
        <w:rPr>
          <w:rFonts w:hint="eastAsia" w:ascii="仿宋_GB2312" w:hAnsi="Cambria" w:eastAsia="仿宋_GB2312" w:cs="仿宋"/>
          <w:kern w:val="2"/>
          <w:sz w:val="32"/>
          <w:szCs w:val="32"/>
        </w:rPr>
        <w:t>二、收入决算表</w:t>
      </w:r>
      <w:bookmarkEnd w:id="10"/>
      <w:bookmarkEnd w:id="11"/>
    </w:p>
    <w:p>
      <w:pPr>
        <w:pStyle w:val="5"/>
        <w:keepNext/>
        <w:keepLines/>
        <w:topLinePunct/>
        <w:spacing w:before="260" w:after="260" w:line="560" w:lineRule="exact"/>
        <w:ind w:firstLine="640" w:firstLineChars="200"/>
        <w:jc w:val="both"/>
        <w:rPr>
          <w:rFonts w:hint="eastAsia" w:ascii="仿宋_GB2312" w:hAnsi="Cambria" w:eastAsia="仿宋_GB2312" w:cs="仿宋"/>
          <w:b/>
          <w:kern w:val="2"/>
          <w:sz w:val="32"/>
          <w:szCs w:val="32"/>
        </w:rPr>
      </w:pPr>
      <w:bookmarkStart w:id="12" w:name="_Toc146701548"/>
      <w:bookmarkStart w:id="13" w:name="_Toc1546968724"/>
      <w:r>
        <w:rPr>
          <w:rFonts w:hint="eastAsia" w:ascii="仿宋_GB2312" w:hAnsi="Cambria" w:eastAsia="仿宋_GB2312" w:cs="仿宋"/>
          <w:kern w:val="2"/>
          <w:sz w:val="32"/>
          <w:szCs w:val="32"/>
        </w:rPr>
        <w:t>三、支出决算表</w:t>
      </w:r>
      <w:bookmarkEnd w:id="12"/>
      <w:bookmarkEnd w:id="13"/>
    </w:p>
    <w:p>
      <w:pPr>
        <w:pStyle w:val="5"/>
        <w:keepNext/>
        <w:keepLines/>
        <w:topLinePunct/>
        <w:spacing w:before="260" w:after="260" w:line="560" w:lineRule="exact"/>
        <w:ind w:firstLine="640" w:firstLineChars="200"/>
        <w:jc w:val="both"/>
        <w:rPr>
          <w:rFonts w:hint="eastAsia" w:ascii="仿宋_GB2312" w:hAnsi="Cambria" w:eastAsia="仿宋_GB2312" w:cs="仿宋"/>
          <w:kern w:val="2"/>
          <w:sz w:val="32"/>
          <w:szCs w:val="32"/>
        </w:rPr>
      </w:pPr>
      <w:bookmarkStart w:id="14" w:name="_Toc535223004"/>
      <w:bookmarkStart w:id="15" w:name="_Toc146701549"/>
      <w:r>
        <w:rPr>
          <w:rFonts w:hint="eastAsia" w:ascii="仿宋_GB2312" w:hAnsi="Cambria" w:eastAsia="仿宋_GB2312" w:cs="仿宋"/>
          <w:kern w:val="2"/>
          <w:sz w:val="32"/>
          <w:szCs w:val="32"/>
        </w:rPr>
        <w:t>四、财政拨款收入支出决算总表</w:t>
      </w:r>
      <w:bookmarkEnd w:id="14"/>
      <w:bookmarkEnd w:id="15"/>
    </w:p>
    <w:p>
      <w:pPr>
        <w:pStyle w:val="5"/>
        <w:keepNext/>
        <w:keepLines/>
        <w:topLinePunct/>
        <w:spacing w:before="260" w:after="260" w:line="560" w:lineRule="exact"/>
        <w:ind w:firstLine="640" w:firstLineChars="200"/>
        <w:jc w:val="both"/>
        <w:rPr>
          <w:rFonts w:hint="eastAsia" w:ascii="仿宋_GB2312" w:hAnsi="Cambria" w:eastAsia="仿宋_GB2312" w:cs="仿宋"/>
          <w:kern w:val="2"/>
          <w:sz w:val="32"/>
          <w:szCs w:val="32"/>
        </w:rPr>
      </w:pPr>
      <w:bookmarkStart w:id="16" w:name="_Toc1434820097"/>
      <w:bookmarkStart w:id="17" w:name="_Toc146701550"/>
      <w:bookmarkStart w:id="18" w:name="_Toc861024085"/>
      <w:r>
        <w:rPr>
          <w:rFonts w:hint="eastAsia" w:ascii="仿宋_GB2312" w:hAnsi="Cambria" w:eastAsia="仿宋_GB2312" w:cs="仿宋"/>
          <w:kern w:val="2"/>
          <w:sz w:val="32"/>
          <w:szCs w:val="32"/>
        </w:rPr>
        <w:t>五、财政拨款支出决算明细表</w:t>
      </w:r>
      <w:bookmarkEnd w:id="16"/>
      <w:bookmarkEnd w:id="17"/>
      <w:bookmarkEnd w:id="18"/>
    </w:p>
    <w:p>
      <w:pPr>
        <w:pStyle w:val="5"/>
        <w:keepNext/>
        <w:keepLines/>
        <w:topLinePunct/>
        <w:spacing w:before="260" w:after="260" w:line="560" w:lineRule="exact"/>
        <w:ind w:firstLine="640" w:firstLineChars="200"/>
        <w:jc w:val="both"/>
        <w:rPr>
          <w:rFonts w:hint="eastAsia" w:ascii="仿宋_GB2312" w:hAnsi="Cambria" w:eastAsia="仿宋_GB2312" w:cs="仿宋"/>
          <w:b/>
          <w:kern w:val="2"/>
          <w:sz w:val="32"/>
          <w:szCs w:val="32"/>
        </w:rPr>
      </w:pPr>
      <w:bookmarkStart w:id="19" w:name="_Toc774209260"/>
      <w:bookmarkStart w:id="20" w:name="_Toc146701551"/>
      <w:r>
        <w:rPr>
          <w:rFonts w:hint="eastAsia" w:ascii="仿宋_GB2312" w:hAnsi="Cambria" w:eastAsia="仿宋_GB2312" w:cs="仿宋"/>
          <w:kern w:val="2"/>
          <w:sz w:val="32"/>
          <w:szCs w:val="32"/>
        </w:rPr>
        <w:t>六、一般公共预算财政拨款支出决算表</w:t>
      </w:r>
      <w:bookmarkEnd w:id="19"/>
      <w:bookmarkEnd w:id="20"/>
    </w:p>
    <w:p>
      <w:pPr>
        <w:pStyle w:val="5"/>
        <w:keepNext/>
        <w:keepLines/>
        <w:topLinePunct/>
        <w:spacing w:before="260" w:after="260" w:line="560" w:lineRule="exact"/>
        <w:ind w:firstLine="640" w:firstLineChars="200"/>
        <w:jc w:val="both"/>
        <w:rPr>
          <w:rFonts w:hint="eastAsia" w:ascii="仿宋_GB2312" w:hAnsi="Cambria" w:eastAsia="仿宋_GB2312" w:cs="仿宋"/>
          <w:b/>
          <w:kern w:val="2"/>
          <w:sz w:val="32"/>
          <w:szCs w:val="32"/>
        </w:rPr>
      </w:pPr>
      <w:bookmarkStart w:id="21" w:name="_Toc2112867604"/>
      <w:bookmarkStart w:id="22" w:name="_Toc1386439451"/>
      <w:bookmarkStart w:id="23" w:name="_Toc146701552"/>
      <w:r>
        <w:rPr>
          <w:rFonts w:hint="eastAsia" w:ascii="仿宋_GB2312" w:hAnsi="Cambria" w:eastAsia="仿宋_GB2312" w:cs="仿宋"/>
          <w:kern w:val="2"/>
          <w:sz w:val="32"/>
          <w:szCs w:val="32"/>
        </w:rPr>
        <w:t>七、一般公共预算财政拨款支出决算明细表</w:t>
      </w:r>
      <w:bookmarkEnd w:id="21"/>
      <w:bookmarkEnd w:id="22"/>
      <w:bookmarkEnd w:id="23"/>
    </w:p>
    <w:p>
      <w:pPr>
        <w:pStyle w:val="5"/>
        <w:keepNext/>
        <w:keepLines/>
        <w:topLinePunct/>
        <w:spacing w:before="260" w:after="260" w:line="560" w:lineRule="exact"/>
        <w:ind w:firstLine="640" w:firstLineChars="200"/>
        <w:jc w:val="both"/>
        <w:rPr>
          <w:rFonts w:hint="eastAsia" w:ascii="仿宋_GB2312" w:hAnsi="Cambria" w:eastAsia="仿宋_GB2312" w:cs="仿宋"/>
          <w:b/>
          <w:kern w:val="2"/>
          <w:sz w:val="32"/>
          <w:szCs w:val="32"/>
        </w:rPr>
      </w:pPr>
      <w:bookmarkStart w:id="24" w:name="_Toc375761938"/>
      <w:bookmarkStart w:id="25" w:name="_Toc146701553"/>
      <w:r>
        <w:rPr>
          <w:rFonts w:hint="eastAsia" w:ascii="仿宋_GB2312" w:hAnsi="Cambria" w:eastAsia="仿宋_GB2312" w:cs="仿宋"/>
          <w:kern w:val="2"/>
          <w:sz w:val="32"/>
          <w:szCs w:val="32"/>
        </w:rPr>
        <w:t>八、一般公共预算财政拨款基本支出决算表</w:t>
      </w:r>
      <w:bookmarkEnd w:id="24"/>
      <w:bookmarkEnd w:id="25"/>
    </w:p>
    <w:p>
      <w:pPr>
        <w:pStyle w:val="5"/>
        <w:keepNext/>
        <w:keepLines/>
        <w:topLinePunct/>
        <w:spacing w:before="260" w:after="260" w:line="560" w:lineRule="exact"/>
        <w:ind w:firstLine="640" w:firstLineChars="200"/>
        <w:jc w:val="both"/>
        <w:rPr>
          <w:rFonts w:hint="eastAsia" w:ascii="仿宋_GB2312" w:hAnsi="Cambria" w:eastAsia="仿宋_GB2312" w:cs="仿宋"/>
          <w:b/>
          <w:kern w:val="2"/>
          <w:sz w:val="32"/>
          <w:szCs w:val="32"/>
        </w:rPr>
      </w:pPr>
      <w:bookmarkStart w:id="26" w:name="_Toc598199683"/>
      <w:bookmarkStart w:id="27" w:name="_Toc146701554"/>
      <w:r>
        <w:rPr>
          <w:rFonts w:hint="eastAsia" w:ascii="仿宋_GB2312" w:hAnsi="Cambria" w:eastAsia="仿宋_GB2312" w:cs="仿宋"/>
          <w:kern w:val="2"/>
          <w:sz w:val="32"/>
          <w:szCs w:val="32"/>
        </w:rPr>
        <w:t>九、一般公共预算财政拨款项目支出决算表</w:t>
      </w:r>
      <w:bookmarkEnd w:id="26"/>
      <w:bookmarkEnd w:id="27"/>
    </w:p>
    <w:p>
      <w:pPr>
        <w:pStyle w:val="5"/>
        <w:keepNext/>
        <w:keepLines/>
        <w:topLinePunct/>
        <w:spacing w:before="260" w:after="260" w:line="560" w:lineRule="exact"/>
        <w:ind w:firstLine="640" w:firstLineChars="200"/>
        <w:jc w:val="both"/>
        <w:rPr>
          <w:rFonts w:hint="eastAsia" w:ascii="仿宋_GB2312" w:hAnsi="Cambria" w:eastAsia="仿宋_GB2312" w:cs="仿宋"/>
          <w:b/>
          <w:kern w:val="2"/>
          <w:sz w:val="32"/>
          <w:szCs w:val="32"/>
        </w:rPr>
      </w:pPr>
      <w:bookmarkStart w:id="28" w:name="_Toc1145907785"/>
      <w:bookmarkStart w:id="29" w:name="_Toc146701555"/>
      <w:r>
        <w:rPr>
          <w:rFonts w:hint="eastAsia" w:ascii="仿宋_GB2312" w:hAnsi="Cambria" w:eastAsia="仿宋_GB2312" w:cs="仿宋"/>
          <w:kern w:val="2"/>
          <w:sz w:val="32"/>
          <w:szCs w:val="32"/>
        </w:rPr>
        <w:t>十、政府性基金预算财政拨款收入支出决算表</w:t>
      </w:r>
      <w:bookmarkEnd w:id="28"/>
      <w:bookmarkEnd w:id="29"/>
    </w:p>
    <w:p>
      <w:pPr>
        <w:pStyle w:val="5"/>
        <w:keepNext/>
        <w:keepLines/>
        <w:topLinePunct/>
        <w:spacing w:before="260" w:after="260" w:line="560" w:lineRule="exact"/>
        <w:ind w:firstLine="640" w:firstLineChars="200"/>
        <w:jc w:val="both"/>
        <w:rPr>
          <w:rFonts w:hint="eastAsia" w:ascii="仿宋_GB2312" w:hAnsi="Cambria" w:eastAsia="仿宋_GB2312" w:cs="仿宋"/>
          <w:b/>
          <w:kern w:val="2"/>
          <w:sz w:val="32"/>
          <w:szCs w:val="32"/>
        </w:rPr>
      </w:pPr>
      <w:bookmarkStart w:id="30" w:name="_Toc1740604109"/>
      <w:bookmarkStart w:id="31" w:name="_Toc1300616503"/>
      <w:bookmarkStart w:id="32" w:name="_Toc146701556"/>
      <w:r>
        <w:rPr>
          <w:rFonts w:hint="eastAsia" w:ascii="仿宋_GB2312" w:hAnsi="Cambria" w:eastAsia="仿宋_GB2312" w:cs="仿宋"/>
          <w:kern w:val="2"/>
          <w:sz w:val="32"/>
          <w:szCs w:val="32"/>
        </w:rPr>
        <w:t>十一、国有资本经营预算财政拨款收入支出决算表</w:t>
      </w:r>
      <w:bookmarkEnd w:id="30"/>
      <w:bookmarkEnd w:id="31"/>
      <w:bookmarkEnd w:id="32"/>
    </w:p>
    <w:p>
      <w:pPr>
        <w:pStyle w:val="5"/>
        <w:keepNext/>
        <w:keepLines/>
        <w:topLinePunct/>
        <w:spacing w:before="260" w:after="260" w:line="560" w:lineRule="exact"/>
        <w:ind w:firstLine="640" w:firstLineChars="200"/>
        <w:jc w:val="both"/>
        <w:rPr>
          <w:rFonts w:hint="eastAsia" w:ascii="仿宋_GB2312" w:hAnsi="Cambria" w:eastAsia="仿宋_GB2312" w:cs="仿宋"/>
          <w:b/>
          <w:kern w:val="2"/>
          <w:sz w:val="32"/>
          <w:szCs w:val="32"/>
        </w:rPr>
      </w:pPr>
      <w:bookmarkStart w:id="33" w:name="_Toc588084150"/>
      <w:bookmarkStart w:id="34" w:name="_Toc146701557"/>
      <w:bookmarkStart w:id="35" w:name="_Toc2133288122"/>
      <w:r>
        <w:rPr>
          <w:rFonts w:hint="eastAsia" w:ascii="仿宋_GB2312" w:hAnsi="Cambria" w:eastAsia="仿宋_GB2312" w:cs="仿宋"/>
          <w:kern w:val="2"/>
          <w:sz w:val="32"/>
          <w:szCs w:val="32"/>
        </w:rPr>
        <w:t>十二、国有资本经营预算财政拨款支出决算表</w:t>
      </w:r>
      <w:bookmarkEnd w:id="33"/>
      <w:bookmarkEnd w:id="34"/>
      <w:bookmarkEnd w:id="35"/>
    </w:p>
    <w:p>
      <w:pPr>
        <w:pStyle w:val="5"/>
        <w:keepNext/>
        <w:keepLines/>
        <w:topLinePunct/>
        <w:spacing w:before="260" w:after="260" w:line="560" w:lineRule="exact"/>
        <w:ind w:firstLine="640" w:firstLineChars="200"/>
        <w:jc w:val="both"/>
        <w:rPr>
          <w:rFonts w:hint="eastAsia" w:ascii="仿宋_GB2312" w:hAnsi="Cambria" w:eastAsia="仿宋_GB2312" w:cs="仿宋"/>
          <w:b/>
          <w:kern w:val="2"/>
          <w:sz w:val="32"/>
          <w:szCs w:val="32"/>
        </w:rPr>
      </w:pPr>
      <w:bookmarkStart w:id="36" w:name="_Toc146701558"/>
      <w:bookmarkStart w:id="37" w:name="_Toc1380465826"/>
      <w:bookmarkStart w:id="38" w:name="_Toc888159651"/>
      <w:r>
        <w:rPr>
          <w:rFonts w:hint="eastAsia" w:ascii="仿宋_GB2312" w:hAnsi="Cambria" w:eastAsia="仿宋_GB2312" w:cs="仿宋"/>
          <w:kern w:val="2"/>
          <w:sz w:val="32"/>
          <w:szCs w:val="32"/>
        </w:rPr>
        <w:t>十三、财政拨款“三公”经费支出决算表</w:t>
      </w:r>
      <w:bookmarkEnd w:id="36"/>
      <w:bookmarkEnd w:id="37"/>
      <w:bookmarkEnd w:id="38"/>
    </w:p>
    <w:p>
      <w:pPr>
        <w:topLinePunct/>
        <w:spacing w:line="560" w:lineRule="exact"/>
        <w:rPr>
          <w:rFonts w:ascii="华文中宋" w:hAnsi="Cambria" w:eastAsia="华文中宋" w:cs="华文中宋"/>
          <w:kern w:val="2"/>
          <w:sz w:val="36"/>
          <w:szCs w:val="36"/>
        </w:rPr>
      </w:pPr>
    </w:p>
    <w:sectPr>
      <w:pgSz w:w="12240" w:h="15840"/>
      <w:pgMar w:top="1928" w:right="1531" w:bottom="1701" w:left="1531" w:header="720" w:footer="1418" w:gutter="0"/>
      <w:pgNumType w:start="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Droid Sans_x0004_falt">
    <w:altName w:val="Segoe Print"/>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pPr>
                  <w:pStyle w:val="11"/>
                  <w:rPr>
                    <w:rStyle w:val="21"/>
                  </w:rPr>
                </w:pPr>
                <w:r>
                  <w:rPr>
                    <w:rStyle w:val="21"/>
                  </w:rPr>
                  <w:fldChar w:fldCharType="begin"/>
                </w:r>
                <w:r>
                  <w:rPr>
                    <w:rStyle w:val="21"/>
                  </w:rPr>
                  <w:instrText xml:space="preserve">PAGE  </w:instrText>
                </w:r>
                <w:r>
                  <w:rPr>
                    <w:rStyle w:val="21"/>
                  </w:rPr>
                  <w:fldChar w:fldCharType="separate"/>
                </w:r>
                <w:r>
                  <w:rPr>
                    <w:rStyle w:val="21"/>
                  </w:rPr>
                  <w:t>26</w:t>
                </w:r>
                <w:r>
                  <w:rPr>
                    <w:rStyle w:val="21"/>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inside" w:y="1"/>
      <w:rPr>
        <w:rStyle w:val="21"/>
      </w:rPr>
    </w:pPr>
    <w:r>
      <w:rPr>
        <w:rStyle w:val="21"/>
      </w:rPr>
      <w:fldChar w:fldCharType="begin"/>
    </w:r>
    <w:r>
      <w:rPr>
        <w:rStyle w:val="21"/>
      </w:rPr>
      <w:instrText xml:space="preserve">PAGE  </w:instrText>
    </w:r>
    <w:r>
      <w:rPr>
        <w:rStyle w:val="21"/>
      </w:rPr>
      <w:fldChar w:fldCharType="end"/>
    </w:r>
  </w:p>
  <w:p>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3074" o:spid="_x0000_s3074"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path/>
          <v:fill on="f" focussize="0,0"/>
          <v:stroke on="f" weight="0.5pt" joinstyle="miter"/>
          <v:imagedata o:title=""/>
          <o:lock v:ext="edit"/>
          <v:textbox inset="0mm,0mm,0mm,0mm" style="mso-fit-shape-to-text:t;">
            <w:txbxContent>
              <w:p>
                <w:pPr>
                  <w:pStyle w:val="11"/>
                  <w:rPr>
                    <w:rStyle w:val="21"/>
                  </w:rPr>
                </w:pPr>
                <w:r>
                  <w:rPr>
                    <w:rStyle w:val="21"/>
                  </w:rPr>
                  <w:fldChar w:fldCharType="begin"/>
                </w:r>
                <w:r>
                  <w:rPr>
                    <w:rStyle w:val="21"/>
                  </w:rPr>
                  <w:instrText xml:space="preserve">PAGE  </w:instrText>
                </w:r>
                <w:r>
                  <w:rPr>
                    <w:rStyle w:val="21"/>
                  </w:rPr>
                  <w:fldChar w:fldCharType="separate"/>
                </w:r>
                <w:r>
                  <w:rPr>
                    <w:rStyle w:val="21"/>
                  </w:rPr>
                  <w:t>2</w:t>
                </w:r>
                <w:r>
                  <w:rPr>
                    <w:rStyle w:val="21"/>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inside" w:y="1"/>
      <w:rPr>
        <w:rStyle w:val="21"/>
        <w:rFonts w:asciiTheme="majorEastAsia" w:hAnsiTheme="majorEastAsia" w:eastAsiaTheme="majorEastAsia"/>
        <w:sz w:val="24"/>
      </w:rPr>
    </w:pPr>
    <w:r>
      <w:rPr>
        <w:rStyle w:val="21"/>
        <w:rFonts w:hint="eastAsia" w:asciiTheme="majorEastAsia" w:hAnsiTheme="majorEastAsia" w:eastAsiaTheme="majorEastAsia"/>
        <w:sz w:val="24"/>
      </w:rPr>
      <w:t xml:space="preserve">— </w:t>
    </w:r>
    <w:r>
      <w:rPr>
        <w:rStyle w:val="21"/>
        <w:rFonts w:asciiTheme="majorEastAsia" w:hAnsiTheme="majorEastAsia" w:eastAsiaTheme="majorEastAsia"/>
        <w:sz w:val="24"/>
      </w:rPr>
      <w:fldChar w:fldCharType="begin"/>
    </w:r>
    <w:r>
      <w:rPr>
        <w:rStyle w:val="21"/>
        <w:rFonts w:asciiTheme="majorEastAsia" w:hAnsiTheme="majorEastAsia" w:eastAsiaTheme="majorEastAsia"/>
        <w:sz w:val="24"/>
      </w:rPr>
      <w:instrText xml:space="preserve">PAGE  </w:instrText>
    </w:r>
    <w:r>
      <w:rPr>
        <w:rStyle w:val="21"/>
        <w:rFonts w:asciiTheme="majorEastAsia" w:hAnsiTheme="majorEastAsia" w:eastAsiaTheme="majorEastAsia"/>
        <w:sz w:val="24"/>
      </w:rPr>
      <w:fldChar w:fldCharType="separate"/>
    </w:r>
    <w:r>
      <w:rPr>
        <w:rStyle w:val="21"/>
        <w:rFonts w:asciiTheme="majorEastAsia" w:hAnsiTheme="majorEastAsia" w:eastAsiaTheme="majorEastAsia"/>
        <w:sz w:val="24"/>
      </w:rPr>
      <w:t>3</w:t>
    </w:r>
    <w:r>
      <w:rPr>
        <w:rStyle w:val="21"/>
        <w:rFonts w:asciiTheme="majorEastAsia" w:hAnsiTheme="majorEastAsia" w:eastAsiaTheme="majorEastAsia"/>
        <w:sz w:val="24"/>
      </w:rPr>
      <w:fldChar w:fldCharType="end"/>
    </w:r>
    <w:r>
      <w:rPr>
        <w:rStyle w:val="21"/>
        <w:rFonts w:hint="eastAsia" w:asciiTheme="majorEastAsia" w:hAnsiTheme="majorEastAsia" w:eastAsiaTheme="majorEastAsia"/>
        <w:sz w:val="24"/>
      </w:rPr>
      <w:t xml:space="preserve"> —</w:t>
    </w:r>
  </w:p>
  <w:p>
    <w:pPr>
      <w:pStyle w:val="11"/>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7B8ADD"/>
    <w:multiLevelType w:val="singleLevel"/>
    <w:tmpl w:val="AC7B8ADD"/>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720"/>
  <w:drawingGridHorizontalSpacing w:val="120"/>
  <w:drawingGridVerticalSpacing w:val="120"/>
  <w:displayHorizontalDrawingGridEvery w:val="2"/>
  <w:doNotShadeFormData w:val="1"/>
  <w:noPunctuationKerning w:val="1"/>
  <w:characterSpacingControl w:val="compressPunctuation"/>
  <w:noLineBreaksAfter w:lang="zh-CN" w:val="([{·‘“〈《「『【〔〖（．［｛￡￥"/>
  <w:noLineBreaksBefore w:lang="zh-CN" w:val="!),.:;?]}¨·ˇˉ―‖’”…∶、。〃々〉》」』】〕〗！＂＇），．：；？］｀｜｝～￠"/>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2"/>
  </w:compat>
  <w:docVars>
    <w:docVar w:name="commondata" w:val="eyJoZGlkIjoiMjEyZGZlZWU5YmEwMTY0MTgxMDAxNGMxODY4MmY4MzkifQ=="/>
  </w:docVars>
  <w:rsids>
    <w:rsidRoot w:val="242E66C9"/>
    <w:rsid w:val="00016CDE"/>
    <w:rsid w:val="00065073"/>
    <w:rsid w:val="001406C9"/>
    <w:rsid w:val="00154FB5"/>
    <w:rsid w:val="0015796A"/>
    <w:rsid w:val="00267550"/>
    <w:rsid w:val="004436BC"/>
    <w:rsid w:val="004C1274"/>
    <w:rsid w:val="00555D08"/>
    <w:rsid w:val="005C4983"/>
    <w:rsid w:val="005D3793"/>
    <w:rsid w:val="0062463C"/>
    <w:rsid w:val="0062668C"/>
    <w:rsid w:val="006E63B0"/>
    <w:rsid w:val="007E658F"/>
    <w:rsid w:val="00887129"/>
    <w:rsid w:val="008C6825"/>
    <w:rsid w:val="00985D33"/>
    <w:rsid w:val="00CA062E"/>
    <w:rsid w:val="00CD0BDB"/>
    <w:rsid w:val="00D17ECA"/>
    <w:rsid w:val="00DC256B"/>
    <w:rsid w:val="00E04D5B"/>
    <w:rsid w:val="00E7325E"/>
    <w:rsid w:val="00F07BCD"/>
    <w:rsid w:val="00F3437A"/>
    <w:rsid w:val="0C0C2771"/>
    <w:rsid w:val="17B17ED7"/>
    <w:rsid w:val="1B66548F"/>
    <w:rsid w:val="23AF233B"/>
    <w:rsid w:val="242E66C9"/>
    <w:rsid w:val="30AFADF4"/>
    <w:rsid w:val="32BEBE2F"/>
    <w:rsid w:val="331B5B11"/>
    <w:rsid w:val="34951FE2"/>
    <w:rsid w:val="397417AA"/>
    <w:rsid w:val="3E7DA20D"/>
    <w:rsid w:val="4E536162"/>
    <w:rsid w:val="51CD6FB9"/>
    <w:rsid w:val="52AF40EA"/>
    <w:rsid w:val="57B5DB95"/>
    <w:rsid w:val="57FF1C44"/>
    <w:rsid w:val="62050A39"/>
    <w:rsid w:val="6DBD662A"/>
    <w:rsid w:val="6DFB2C69"/>
    <w:rsid w:val="6E4B5A9D"/>
    <w:rsid w:val="70221CF1"/>
    <w:rsid w:val="73CB63CB"/>
    <w:rsid w:val="74F4BCE6"/>
    <w:rsid w:val="7FFF95E2"/>
    <w:rsid w:val="9AF1B08C"/>
    <w:rsid w:val="AF7D25C7"/>
    <w:rsid w:val="B9FF75E6"/>
    <w:rsid w:val="BF772E47"/>
    <w:rsid w:val="BFA7F2FF"/>
    <w:rsid w:val="D2EA2D89"/>
    <w:rsid w:val="D8EB926D"/>
    <w:rsid w:val="DFF7572D"/>
    <w:rsid w:val="ED2FBEDE"/>
    <w:rsid w:val="EE6DC159"/>
    <w:rsid w:val="FB9FDDF4"/>
    <w:rsid w:val="FBDFFD9E"/>
    <w:rsid w:val="FDBF704A"/>
    <w:rsid w:val="FDC11DE0"/>
    <w:rsid w:val="FDF1BAFD"/>
    <w:rsid w:val="FE3F68CA"/>
    <w:rsid w:val="FFA7D635"/>
    <w:rsid w:val="FFFBF02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nhideWhenUsed="0" w:uiPriority="99" w:semiHidden="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方正小标宋简体" w:hAnsi="Calibri" w:eastAsia="方正小标宋简体" w:cs="Times New Roman"/>
      <w:sz w:val="24"/>
      <w:szCs w:val="24"/>
      <w:lang w:val="en-US" w:eastAsia="zh-CN" w:bidi="ar-SA"/>
    </w:rPr>
  </w:style>
  <w:style w:type="paragraph" w:styleId="4">
    <w:name w:val="heading 1"/>
    <w:basedOn w:val="1"/>
    <w:next w:val="1"/>
    <w:link w:val="23"/>
    <w:qFormat/>
    <w:uiPriority w:val="99"/>
    <w:pPr>
      <w:outlineLvl w:val="0"/>
    </w:pPr>
  </w:style>
  <w:style w:type="paragraph" w:styleId="5">
    <w:name w:val="heading 2"/>
    <w:basedOn w:val="1"/>
    <w:next w:val="1"/>
    <w:link w:val="24"/>
    <w:qFormat/>
    <w:uiPriority w:val="99"/>
    <w:pPr>
      <w:outlineLvl w:val="1"/>
    </w:pPr>
  </w:style>
  <w:style w:type="paragraph" w:styleId="6">
    <w:name w:val="heading 3"/>
    <w:basedOn w:val="1"/>
    <w:next w:val="1"/>
    <w:link w:val="25"/>
    <w:qFormat/>
    <w:uiPriority w:val="9"/>
    <w:pPr>
      <w:keepNext/>
      <w:keepLines/>
      <w:spacing w:before="260" w:after="260" w:line="415" w:lineRule="auto"/>
      <w:outlineLvl w:val="2"/>
    </w:pPr>
    <w:rPr>
      <w:b/>
      <w:sz w:val="32"/>
      <w:szCs w:val="32"/>
    </w:rPr>
  </w:style>
  <w:style w:type="paragraph" w:styleId="7">
    <w:name w:val="heading 4"/>
    <w:basedOn w:val="1"/>
    <w:next w:val="1"/>
    <w:link w:val="26"/>
    <w:qFormat/>
    <w:uiPriority w:val="99"/>
    <w:pPr>
      <w:keepNext/>
      <w:keepLines/>
      <w:tabs>
        <w:tab w:val="left" w:pos="1006"/>
      </w:tabs>
      <w:spacing w:before="156" w:after="156" w:line="360" w:lineRule="auto"/>
      <w:ind w:left="1006" w:hanging="1006"/>
      <w:outlineLvl w:val="3"/>
    </w:pPr>
    <w:rPr>
      <w:rFonts w:ascii="Arial" w:hAnsi="Arial" w:eastAsia="黑体"/>
      <w:b/>
      <w:sz w:val="28"/>
      <w:szCs w:val="20"/>
    </w:rPr>
  </w:style>
  <w:style w:type="character" w:default="1" w:styleId="19">
    <w:name w:val="Default Paragraph Font"/>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28"/>
    <w:qFormat/>
    <w:uiPriority w:val="99"/>
    <w:pPr>
      <w:spacing w:before="100" w:beforeAutospacing="1"/>
      <w:ind w:left="200" w:firstLine="200" w:firstLineChars="200"/>
      <w:jc w:val="both"/>
    </w:pPr>
    <w:rPr>
      <w:rFonts w:ascii="Times New Roman" w:hAnsi="Times New Roman" w:cs="Droid Sans_x0004_falt"/>
      <w:kern w:val="2"/>
    </w:rPr>
  </w:style>
  <w:style w:type="paragraph" w:styleId="3">
    <w:name w:val="Body Text Indent"/>
    <w:basedOn w:val="1"/>
    <w:link w:val="27"/>
    <w:qFormat/>
    <w:uiPriority w:val="99"/>
    <w:pPr>
      <w:spacing w:after="120"/>
      <w:ind w:left="420" w:leftChars="200"/>
    </w:pPr>
    <w:rPr>
      <w:rFonts w:cs="Calibri"/>
    </w:rPr>
  </w:style>
  <w:style w:type="paragraph" w:styleId="8">
    <w:name w:val="Body Text"/>
    <w:basedOn w:val="1"/>
    <w:link w:val="29"/>
    <w:qFormat/>
    <w:uiPriority w:val="99"/>
    <w:pPr>
      <w:spacing w:beforeLines="30"/>
    </w:pPr>
    <w:rPr>
      <w:rFonts w:ascii="仿宋_GB2312" w:eastAsia="仿宋_GB2312"/>
      <w:sz w:val="30"/>
    </w:rPr>
  </w:style>
  <w:style w:type="paragraph" w:styleId="9">
    <w:name w:val="Body Text Indent 2"/>
    <w:basedOn w:val="1"/>
    <w:link w:val="30"/>
    <w:qFormat/>
    <w:uiPriority w:val="99"/>
    <w:pPr>
      <w:autoSpaceDE/>
      <w:autoSpaceDN/>
      <w:adjustRightInd/>
      <w:spacing w:before="100" w:beforeAutospacing="1" w:after="120" w:line="480" w:lineRule="auto"/>
      <w:ind w:left="200" w:leftChars="200"/>
      <w:jc w:val="both"/>
    </w:pPr>
    <w:rPr>
      <w:rFonts w:ascii="Calibri" w:eastAsia="宋体" w:cs="Droid Sans_x0004_falt"/>
      <w:kern w:val="2"/>
      <w:sz w:val="21"/>
      <w:szCs w:val="21"/>
    </w:rPr>
  </w:style>
  <w:style w:type="paragraph" w:styleId="10">
    <w:name w:val="Balloon Text"/>
    <w:basedOn w:val="1"/>
    <w:link w:val="37"/>
    <w:semiHidden/>
    <w:unhideWhenUsed/>
    <w:uiPriority w:val="99"/>
    <w:rPr>
      <w:sz w:val="18"/>
      <w:szCs w:val="18"/>
    </w:rPr>
  </w:style>
  <w:style w:type="paragraph" w:styleId="11">
    <w:name w:val="footer"/>
    <w:basedOn w:val="1"/>
    <w:link w:val="31"/>
    <w:qFormat/>
    <w:uiPriority w:val="99"/>
    <w:pPr>
      <w:tabs>
        <w:tab w:val="center" w:pos="4153"/>
        <w:tab w:val="right" w:pos="8306"/>
      </w:tabs>
      <w:snapToGrid w:val="0"/>
    </w:pPr>
    <w:rPr>
      <w:sz w:val="18"/>
    </w:rPr>
  </w:style>
  <w:style w:type="paragraph" w:styleId="12">
    <w:name w:val="header"/>
    <w:basedOn w:val="1"/>
    <w:link w:val="32"/>
    <w:semiHidden/>
    <w:qFormat/>
    <w:uiPriority w:val="99"/>
    <w:pPr>
      <w:pBdr>
        <w:bottom w:val="single" w:color="auto" w:sz="6" w:space="1"/>
      </w:pBdr>
      <w:tabs>
        <w:tab w:val="center" w:pos="4153"/>
        <w:tab w:val="right" w:pos="8306"/>
      </w:tabs>
      <w:snapToGrid w:val="0"/>
      <w:jc w:val="center"/>
    </w:pPr>
    <w:rPr>
      <w:rFonts w:ascii="Calibri"/>
      <w:sz w:val="18"/>
      <w:szCs w:val="18"/>
    </w:rPr>
  </w:style>
  <w:style w:type="paragraph" w:styleId="13">
    <w:name w:val="toc 1"/>
    <w:basedOn w:val="1"/>
    <w:next w:val="1"/>
    <w:qFormat/>
    <w:uiPriority w:val="39"/>
  </w:style>
  <w:style w:type="paragraph" w:styleId="14">
    <w:name w:val="footnote text"/>
    <w:basedOn w:val="1"/>
    <w:link w:val="33"/>
    <w:qFormat/>
    <w:uiPriority w:val="99"/>
    <w:pPr>
      <w:snapToGrid w:val="0"/>
    </w:pPr>
    <w:rPr>
      <w:sz w:val="18"/>
      <w:szCs w:val="18"/>
    </w:rPr>
  </w:style>
  <w:style w:type="paragraph" w:styleId="15">
    <w:name w:val="toc 2"/>
    <w:basedOn w:val="1"/>
    <w:next w:val="1"/>
    <w:qFormat/>
    <w:uiPriority w:val="39"/>
    <w:pPr>
      <w:ind w:left="420" w:leftChars="200"/>
    </w:pPr>
  </w:style>
  <w:style w:type="paragraph" w:styleId="16">
    <w:name w:val="Normal (Web)"/>
    <w:basedOn w:val="1"/>
    <w:next w:val="2"/>
    <w:qFormat/>
    <w:uiPriority w:val="99"/>
    <w:pPr>
      <w:spacing w:before="100" w:beforeAutospacing="1" w:after="100" w:afterAutospacing="1"/>
    </w:pPr>
  </w:style>
  <w:style w:type="paragraph" w:styleId="17">
    <w:name w:val="Body Text First Indent"/>
    <w:basedOn w:val="8"/>
    <w:next w:val="9"/>
    <w:link w:val="34"/>
    <w:qFormat/>
    <w:uiPriority w:val="99"/>
    <w:pPr>
      <w:suppressAutoHyphens/>
      <w:autoSpaceDE/>
      <w:autoSpaceDN/>
      <w:adjustRightInd/>
      <w:spacing w:beforeLines="0" w:after="140" w:line="273" w:lineRule="auto"/>
      <w:ind w:firstLine="100" w:firstLineChars="100"/>
      <w:jc w:val="both"/>
    </w:pPr>
    <w:rPr>
      <w:rFonts w:ascii="Calibri" w:eastAsia="宋体"/>
      <w:kern w:val="2"/>
      <w:sz w:val="18"/>
      <w:szCs w:val="18"/>
    </w:rPr>
  </w:style>
  <w:style w:type="character" w:styleId="20">
    <w:name w:val="Strong"/>
    <w:basedOn w:val="19"/>
    <w:qFormat/>
    <w:uiPriority w:val="99"/>
    <w:rPr>
      <w:b/>
    </w:rPr>
  </w:style>
  <w:style w:type="character" w:styleId="21">
    <w:name w:val="page number"/>
    <w:basedOn w:val="19"/>
    <w:unhideWhenUsed/>
    <w:qFormat/>
    <w:uiPriority w:val="99"/>
  </w:style>
  <w:style w:type="character" w:styleId="22">
    <w:name w:val="Hyperlink"/>
    <w:basedOn w:val="19"/>
    <w:unhideWhenUsed/>
    <w:uiPriority w:val="99"/>
    <w:rPr>
      <w:color w:val="0000FF" w:themeColor="hyperlink"/>
      <w:u w:val="single"/>
    </w:rPr>
  </w:style>
  <w:style w:type="character" w:customStyle="1" w:styleId="23">
    <w:name w:val="标题 1 Char"/>
    <w:basedOn w:val="19"/>
    <w:link w:val="4"/>
    <w:unhideWhenUsed/>
    <w:qFormat/>
    <w:locked/>
    <w:uiPriority w:val="9"/>
    <w:rPr>
      <w:rFonts w:ascii="方正小标宋简体" w:eastAsia="方正小标宋简体"/>
      <w:b/>
      <w:kern w:val="44"/>
      <w:sz w:val="44"/>
      <w:szCs w:val="44"/>
    </w:rPr>
  </w:style>
  <w:style w:type="character" w:customStyle="1" w:styleId="24">
    <w:name w:val="标题 2 Char"/>
    <w:basedOn w:val="19"/>
    <w:link w:val="5"/>
    <w:unhideWhenUsed/>
    <w:qFormat/>
    <w:locked/>
    <w:uiPriority w:val="9"/>
    <w:rPr>
      <w:rFonts w:ascii="Cambria" w:hAnsi="Cambria"/>
      <w:b/>
      <w:sz w:val="32"/>
      <w:szCs w:val="32"/>
    </w:rPr>
  </w:style>
  <w:style w:type="character" w:customStyle="1" w:styleId="25">
    <w:name w:val="标题 3 Char"/>
    <w:basedOn w:val="19"/>
    <w:link w:val="6"/>
    <w:semiHidden/>
    <w:qFormat/>
    <w:uiPriority w:val="9"/>
    <w:rPr>
      <w:rFonts w:ascii="方正小标宋简体" w:hAnsi="Calibri" w:eastAsia="方正小标宋简体" w:cs="Times New Roman"/>
      <w:b/>
      <w:bCs/>
      <w:kern w:val="0"/>
      <w:sz w:val="32"/>
      <w:szCs w:val="32"/>
    </w:rPr>
  </w:style>
  <w:style w:type="character" w:customStyle="1" w:styleId="26">
    <w:name w:val="标题 4 Char"/>
    <w:basedOn w:val="19"/>
    <w:link w:val="7"/>
    <w:semiHidden/>
    <w:qFormat/>
    <w:uiPriority w:val="9"/>
    <w:rPr>
      <w:rFonts w:ascii="Cambria" w:hAnsi="Cambria" w:eastAsia="宋体" w:cs="Times New Roman"/>
      <w:b/>
      <w:bCs/>
      <w:kern w:val="0"/>
      <w:sz w:val="28"/>
      <w:szCs w:val="28"/>
    </w:rPr>
  </w:style>
  <w:style w:type="character" w:customStyle="1" w:styleId="27">
    <w:name w:val="正文文本缩进 Char"/>
    <w:basedOn w:val="19"/>
    <w:link w:val="3"/>
    <w:semiHidden/>
    <w:qFormat/>
    <w:uiPriority w:val="99"/>
    <w:rPr>
      <w:rFonts w:ascii="方正小标宋简体" w:hAnsi="Calibri" w:eastAsia="方正小标宋简体" w:cs="Times New Roman"/>
      <w:kern w:val="0"/>
      <w:sz w:val="24"/>
      <w:szCs w:val="24"/>
    </w:rPr>
  </w:style>
  <w:style w:type="character" w:customStyle="1" w:styleId="28">
    <w:name w:val="正文首行缩进 2 Char"/>
    <w:basedOn w:val="27"/>
    <w:link w:val="2"/>
    <w:semiHidden/>
    <w:qFormat/>
    <w:uiPriority w:val="99"/>
  </w:style>
  <w:style w:type="character" w:customStyle="1" w:styleId="29">
    <w:name w:val="正文文本 Char"/>
    <w:basedOn w:val="19"/>
    <w:link w:val="8"/>
    <w:semiHidden/>
    <w:qFormat/>
    <w:uiPriority w:val="99"/>
    <w:rPr>
      <w:rFonts w:ascii="方正小标宋简体" w:hAnsi="Calibri" w:eastAsia="方正小标宋简体" w:cs="Times New Roman"/>
      <w:kern w:val="0"/>
      <w:sz w:val="24"/>
      <w:szCs w:val="24"/>
    </w:rPr>
  </w:style>
  <w:style w:type="character" w:customStyle="1" w:styleId="30">
    <w:name w:val="正文文本缩进 2 Char"/>
    <w:basedOn w:val="19"/>
    <w:link w:val="9"/>
    <w:semiHidden/>
    <w:qFormat/>
    <w:uiPriority w:val="99"/>
    <w:rPr>
      <w:rFonts w:ascii="方正小标宋简体" w:hAnsi="Calibri" w:eastAsia="方正小标宋简体" w:cs="Times New Roman"/>
      <w:kern w:val="0"/>
      <w:sz w:val="24"/>
      <w:szCs w:val="24"/>
    </w:rPr>
  </w:style>
  <w:style w:type="character" w:customStyle="1" w:styleId="31">
    <w:name w:val="页脚 Char"/>
    <w:basedOn w:val="19"/>
    <w:link w:val="11"/>
    <w:semiHidden/>
    <w:qFormat/>
    <w:uiPriority w:val="99"/>
    <w:rPr>
      <w:rFonts w:ascii="方正小标宋简体" w:hAnsi="Calibri" w:eastAsia="方正小标宋简体" w:cs="Times New Roman"/>
      <w:kern w:val="0"/>
      <w:sz w:val="18"/>
      <w:szCs w:val="18"/>
    </w:rPr>
  </w:style>
  <w:style w:type="character" w:customStyle="1" w:styleId="32">
    <w:name w:val="页眉 Char"/>
    <w:basedOn w:val="19"/>
    <w:link w:val="12"/>
    <w:semiHidden/>
    <w:qFormat/>
    <w:uiPriority w:val="99"/>
    <w:rPr>
      <w:rFonts w:ascii="方正小标宋简体" w:hAnsi="Calibri" w:eastAsia="方正小标宋简体" w:cs="Times New Roman"/>
      <w:kern w:val="0"/>
      <w:sz w:val="18"/>
      <w:szCs w:val="18"/>
    </w:rPr>
  </w:style>
  <w:style w:type="character" w:customStyle="1" w:styleId="33">
    <w:name w:val="脚注文本 Char"/>
    <w:basedOn w:val="19"/>
    <w:link w:val="14"/>
    <w:semiHidden/>
    <w:qFormat/>
    <w:uiPriority w:val="99"/>
    <w:rPr>
      <w:rFonts w:ascii="方正小标宋简体" w:hAnsi="Calibri" w:eastAsia="方正小标宋简体" w:cs="Times New Roman"/>
      <w:kern w:val="0"/>
      <w:sz w:val="18"/>
      <w:szCs w:val="18"/>
    </w:rPr>
  </w:style>
  <w:style w:type="character" w:customStyle="1" w:styleId="34">
    <w:name w:val="正文首行缩进 Char"/>
    <w:basedOn w:val="29"/>
    <w:link w:val="17"/>
    <w:semiHidden/>
    <w:qFormat/>
    <w:uiPriority w:val="99"/>
  </w:style>
  <w:style w:type="paragraph" w:customStyle="1" w:styleId="3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6">
    <w:name w:val="列出段落1"/>
    <w:basedOn w:val="1"/>
    <w:qFormat/>
    <w:uiPriority w:val="34"/>
    <w:pPr>
      <w:ind w:firstLine="420" w:firstLineChars="200"/>
    </w:pPr>
  </w:style>
  <w:style w:type="character" w:customStyle="1" w:styleId="37">
    <w:name w:val="批注框文本 Char"/>
    <w:basedOn w:val="19"/>
    <w:link w:val="10"/>
    <w:semiHidden/>
    <w:uiPriority w:val="99"/>
    <w:rPr>
      <w:rFonts w:ascii="方正小标宋简体" w:hAnsi="Calibri" w:eastAsia="方正小标宋简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emf"/><Relationship Id="rId14" Type="http://schemas.openxmlformats.org/officeDocument/2006/relationships/oleObject" Target="embeddings/oleObject3.bin"/><Relationship Id="rId13" Type="http://schemas.openxmlformats.org/officeDocument/2006/relationships/image" Target="media/image4.emf"/><Relationship Id="rId12" Type="http://schemas.openxmlformats.org/officeDocument/2006/relationships/oleObject" Target="embeddings/oleObject2.bin"/><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3074"/>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32A35A-556D-4D86-BE94-B77C657F6627}">
  <ds:schemaRefs/>
</ds:datastoreItem>
</file>

<file path=docProps/app.xml><?xml version="1.0" encoding="utf-8"?>
<Properties xmlns="http://schemas.openxmlformats.org/officeDocument/2006/extended-properties" xmlns:vt="http://schemas.openxmlformats.org/officeDocument/2006/docPropsVTypes">
  <Company>微软中国</Company>
  <Pages>55</Pages>
  <Words>4898</Words>
  <Characters>27925</Characters>
  <Lines>232</Lines>
  <Paragraphs>65</Paragraphs>
  <TotalTime>1</TotalTime>
  <ScaleCrop>false</ScaleCrop>
  <LinksUpToDate>false</LinksUpToDate>
  <CharactersWithSpaces>32758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2023-09-27T00:13:00Z</dcterms:created>
  <dc:creator>兜兜花开</dc:creator>
  <cp:lastModifiedBy>兜兜花开</cp:lastModifiedBy>
  <cp:lastPrinted>2023-09-27T08:21:00Z</cp:lastPrinted>
  <dcterms:modified xsi:type="dcterms:W3CDTF">2023-10-07T01:48:36Z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581B2991ED9049F9BE6C9075937E6C15_11</vt:lpwstr>
  </property>
  <property fmtid="{D5CDD505-2E9C-101B-9397-08002B2CF9AE}" pid="3" name="KSOProductBuildVer">
    <vt:lpwstr>2052-12.1.0.15374</vt:lpwstr>
  </property>
</Properties>
</file>