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77193"/>
      <w:bookmarkStart w:id="2" w:name="_Toc15377425"/>
      <w:bookmarkStart w:id="3" w:name="_Toc15378441"/>
      <w:bookmarkStart w:id="4" w:name="_Toc15396597"/>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8242"/>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426"/>
      <w:bookmarkStart w:id="8" w:name="_Toc15396476"/>
      <w:bookmarkStart w:id="9" w:name="_Toc15396598"/>
      <w:bookmarkStart w:id="10" w:name="_Toc5345"/>
      <w:bookmarkStart w:id="11" w:name="_Toc15378442"/>
      <w:bookmarkStart w:id="12" w:name="_Toc15377194"/>
      <w:r>
        <w:rPr>
          <w:rFonts w:hint="eastAsia" w:ascii="方正小标宋简体" w:hAnsi="方正小标宋简体" w:eastAsia="方正小标宋简体" w:cs="方正小标宋简体"/>
          <w:color w:val="auto"/>
          <w:sz w:val="72"/>
          <w:szCs w:val="72"/>
          <w:highlight w:val="none"/>
          <w:lang w:eastAsia="zh-CN"/>
        </w:rPr>
        <w:t>广元</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市委办公室</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pacing w:val="480"/>
          <w:kern w:val="0"/>
          <w:sz w:val="48"/>
          <w:szCs w:val="48"/>
          <w:highlight w:val="none"/>
          <w:fitText w:val="1920" w:id="2111385347"/>
        </w:rPr>
        <w:t>目</w:t>
      </w:r>
      <w:r>
        <w:rPr>
          <w:rFonts w:hint="eastAsia" w:ascii="黑体" w:hAnsi="黑体" w:eastAsia="黑体"/>
          <w:color w:val="auto"/>
          <w:spacing w:val="0"/>
          <w:kern w:val="0"/>
          <w:sz w:val="48"/>
          <w:szCs w:val="48"/>
          <w:highlight w:val="none"/>
          <w:fitText w:val="1920" w:id="2111385347"/>
        </w:rPr>
        <w:t>录</w:t>
      </w:r>
    </w:p>
    <w:p>
      <w:pPr>
        <w:pStyle w:val="13"/>
        <w:jc w:val="center"/>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kern w:val="2"/>
          <w:sz w:val="21"/>
          <w:szCs w:val="24"/>
          <w:lang w:val="en-US" w:eastAsia="zh-CN" w:bidi="ar-SA"/>
        </w:rPr>
        <w:id w:val="147460234"/>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42"/>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b/>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b/>
              <w:color w:val="auto"/>
              <w:highlight w:val="none"/>
            </w:rPr>
            <w:fldChar w:fldCharType="begin"/>
          </w:r>
          <w:r>
            <w:rPr>
              <w:b/>
              <w:highlight w:val="none"/>
            </w:rPr>
            <w:instrText xml:space="preserve"> HYPERLINK \l _Toc19120 </w:instrText>
          </w:r>
          <w:r>
            <w:rPr>
              <w:b/>
              <w:highlight w:val="none"/>
            </w:rPr>
            <w:fldChar w:fldCharType="separate"/>
          </w:r>
          <w:r>
            <w:rPr>
              <w:rFonts w:hint="eastAsia" w:ascii="黑体" w:hAnsi="黑体" w:eastAsia="黑体"/>
              <w:b/>
              <w:highlight w:val="none"/>
            </w:rPr>
            <w:t>第一部分</w:t>
          </w:r>
          <w:r>
            <w:rPr>
              <w:rFonts w:hint="eastAsia" w:ascii="黑体" w:hAnsi="黑体" w:eastAsia="黑体"/>
              <w:b/>
              <w:bCs w:val="0"/>
              <w:highlight w:val="none"/>
            </w:rPr>
            <w:t>部门概况</w:t>
          </w:r>
          <w:r>
            <w:rPr>
              <w:b/>
            </w:rPr>
            <w:tab/>
          </w:r>
          <w:r>
            <w:rPr>
              <w:b/>
            </w:rPr>
            <w:fldChar w:fldCharType="begin"/>
          </w:r>
          <w:r>
            <w:rPr>
              <w:b/>
            </w:rPr>
            <w:instrText xml:space="preserve"> PAGEREF _Toc19120 \h </w:instrText>
          </w:r>
          <w:r>
            <w:rPr>
              <w:b/>
            </w:rPr>
            <w:fldChar w:fldCharType="separate"/>
          </w:r>
          <w:r>
            <w:rPr>
              <w:b/>
            </w:rPr>
            <w:t>1</w:t>
          </w:r>
          <w:r>
            <w:rPr>
              <w:b/>
            </w:rPr>
            <w:fldChar w:fldCharType="end"/>
          </w:r>
          <w:r>
            <w:rPr>
              <w:b/>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_Toc13807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一、</w:t>
          </w:r>
          <w:r>
            <w:rPr>
              <w:rFonts w:hint="eastAsia" w:ascii="仿宋" w:hAnsi="仿宋" w:eastAsia="仿宋" w:cs="仿宋"/>
              <w:highlight w:val="none"/>
              <w:lang w:eastAsia="zh-CN"/>
            </w:rPr>
            <w:t>部门职责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_Toc13807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仿宋"/>
            </w:rPr>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_Toc990 </w:instrText>
          </w:r>
          <w:r>
            <w:rPr>
              <w:rFonts w:hint="eastAsia" w:ascii="仿宋" w:hAnsi="仿宋" w:eastAsia="仿宋" w:cs="仿宋"/>
              <w:highlight w:val="none"/>
            </w:rPr>
            <w:fldChar w:fldCharType="separate"/>
          </w:r>
          <w:r>
            <w:rPr>
              <w:rFonts w:hint="eastAsia" w:ascii="仿宋" w:hAnsi="仿宋" w:eastAsia="仿宋" w:cs="仿宋"/>
              <w:highlight w:val="none"/>
            </w:rPr>
            <w:t>二、机</w:t>
          </w:r>
          <w:r>
            <w:rPr>
              <w:rFonts w:hint="eastAsia" w:ascii="仿宋" w:hAnsi="仿宋" w:eastAsia="仿宋" w:cs="仿宋"/>
              <w:bCs w:val="0"/>
              <w:highlight w:val="none"/>
            </w:rPr>
            <w:t>构设置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_Toc990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color w:val="auto"/>
              <w:highlight w:val="none"/>
            </w:rPr>
            <w:fldChar w:fldCharType="end"/>
          </w:r>
        </w:p>
        <w:p>
          <w:pPr>
            <w:pStyle w:val="42"/>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b/>
            </w:rPr>
          </w:pPr>
          <w:r>
            <w:rPr>
              <w:b/>
              <w:color w:val="auto"/>
              <w:highlight w:val="none"/>
            </w:rPr>
            <w:fldChar w:fldCharType="begin"/>
          </w:r>
          <w:r>
            <w:rPr>
              <w:b/>
              <w:highlight w:val="none"/>
            </w:rPr>
            <w:instrText xml:space="preserve"> HYPERLINK \l _Toc12984 </w:instrText>
          </w:r>
          <w:r>
            <w:rPr>
              <w:b/>
              <w:highlight w:val="none"/>
            </w:rPr>
            <w:fldChar w:fldCharType="separate"/>
          </w:r>
          <w:r>
            <w:rPr>
              <w:rFonts w:hint="eastAsia" w:ascii="黑体" w:hAnsi="黑体" w:eastAsia="黑体"/>
              <w:b/>
              <w:bCs/>
              <w:highlight w:val="none"/>
            </w:rPr>
            <w:t>第二部分</w:t>
          </w:r>
          <w:r>
            <w:rPr>
              <w:rFonts w:hint="eastAsia" w:ascii="黑体" w:hAnsi="黑体" w:eastAsia="黑体"/>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_Toc12984 \h </w:instrText>
          </w:r>
          <w:r>
            <w:rPr>
              <w:b/>
            </w:rPr>
            <w:fldChar w:fldCharType="separate"/>
          </w:r>
          <w:r>
            <w:rPr>
              <w:b/>
            </w:rPr>
            <w:t>4</w:t>
          </w:r>
          <w:r>
            <w:rPr>
              <w:b/>
            </w:rPr>
            <w:fldChar w:fldCharType="end"/>
          </w:r>
          <w:r>
            <w:rPr>
              <w:b/>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Times New Roman"/>
              <w:bCs w:val="0"/>
              <w:highlight w:val="none"/>
            </w:rPr>
          </w:pP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HYPERLINK \l _Toc17706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一、收入支出决算总体情况说明</w:t>
          </w:r>
          <w:r>
            <w:rPr>
              <w:rFonts w:hint="eastAsia" w:ascii="仿宋" w:hAnsi="仿宋" w:eastAsia="仿宋" w:cs="Times New Roman"/>
              <w:bCs w:val="0"/>
              <w:highlight w:val="none"/>
            </w:rPr>
            <w:tab/>
          </w: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PAGEREF _Toc17706 \h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4</w:t>
          </w:r>
          <w:r>
            <w:rPr>
              <w:rFonts w:hint="eastAsia" w:ascii="仿宋" w:hAnsi="仿宋" w:eastAsia="仿宋" w:cs="Times New Roman"/>
              <w:bCs w:val="0"/>
              <w:highlight w:val="none"/>
            </w:rPr>
            <w:fldChar w:fldCharType="end"/>
          </w:r>
          <w:r>
            <w:rPr>
              <w:rFonts w:hint="eastAsia" w:ascii="仿宋" w:hAnsi="仿宋" w:eastAsia="仿宋" w:cs="Times New Roman"/>
              <w:bCs w:val="0"/>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Times New Roman"/>
              <w:bCs w:val="0"/>
              <w:highlight w:val="none"/>
            </w:rPr>
          </w:pP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HYPERLINK \l _Toc13829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二、收入决算情况说明</w:t>
          </w:r>
          <w:r>
            <w:rPr>
              <w:rFonts w:hint="eastAsia" w:ascii="仿宋" w:hAnsi="仿宋" w:eastAsia="仿宋" w:cs="Times New Roman"/>
              <w:bCs w:val="0"/>
              <w:highlight w:val="none"/>
            </w:rPr>
            <w:tab/>
          </w: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PAGEREF _Toc13829 \h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4</w:t>
          </w:r>
          <w:r>
            <w:rPr>
              <w:rFonts w:hint="eastAsia" w:ascii="仿宋" w:hAnsi="仿宋" w:eastAsia="仿宋" w:cs="Times New Roman"/>
              <w:bCs w:val="0"/>
              <w:highlight w:val="none"/>
            </w:rPr>
            <w:fldChar w:fldCharType="end"/>
          </w:r>
          <w:r>
            <w:rPr>
              <w:rFonts w:hint="eastAsia" w:ascii="仿宋" w:hAnsi="仿宋" w:eastAsia="仿宋" w:cs="Times New Roman"/>
              <w:bCs w:val="0"/>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Times New Roman"/>
              <w:bCs w:val="0"/>
              <w:highlight w:val="none"/>
            </w:rPr>
          </w:pP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HYPERLINK \l _Toc29320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三、支出决算情况说明</w:t>
          </w:r>
          <w:r>
            <w:rPr>
              <w:rFonts w:hint="eastAsia" w:ascii="仿宋" w:hAnsi="仿宋" w:eastAsia="仿宋" w:cs="Times New Roman"/>
              <w:bCs w:val="0"/>
              <w:highlight w:val="none"/>
            </w:rPr>
            <w:tab/>
          </w: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PAGEREF _Toc29320 \h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5</w:t>
          </w:r>
          <w:r>
            <w:rPr>
              <w:rFonts w:hint="eastAsia" w:ascii="仿宋" w:hAnsi="仿宋" w:eastAsia="仿宋" w:cs="Times New Roman"/>
              <w:bCs w:val="0"/>
              <w:highlight w:val="none"/>
            </w:rPr>
            <w:fldChar w:fldCharType="end"/>
          </w:r>
          <w:r>
            <w:rPr>
              <w:rFonts w:hint="eastAsia" w:ascii="仿宋" w:hAnsi="仿宋" w:eastAsia="仿宋" w:cs="Times New Roman"/>
              <w:bCs w:val="0"/>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Times New Roman"/>
              <w:bCs w:val="0"/>
              <w:highlight w:val="none"/>
            </w:rPr>
          </w:pP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HYPERLINK \l _Toc2301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四、财政拨款收入支出决算总体情况说明</w:t>
          </w:r>
          <w:r>
            <w:rPr>
              <w:rFonts w:hint="eastAsia" w:ascii="仿宋" w:hAnsi="仿宋" w:eastAsia="仿宋" w:cs="Times New Roman"/>
              <w:bCs w:val="0"/>
              <w:highlight w:val="none"/>
            </w:rPr>
            <w:tab/>
          </w: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PAGEREF _Toc2301 \h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5</w:t>
          </w:r>
          <w:r>
            <w:rPr>
              <w:rFonts w:hint="eastAsia" w:ascii="仿宋" w:hAnsi="仿宋" w:eastAsia="仿宋" w:cs="Times New Roman"/>
              <w:bCs w:val="0"/>
              <w:highlight w:val="none"/>
            </w:rPr>
            <w:fldChar w:fldCharType="end"/>
          </w:r>
          <w:r>
            <w:rPr>
              <w:rFonts w:hint="eastAsia" w:ascii="仿宋" w:hAnsi="仿宋" w:eastAsia="仿宋" w:cs="Times New Roman"/>
              <w:bCs w:val="0"/>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Times New Roman"/>
              <w:bCs w:val="0"/>
              <w:highlight w:val="none"/>
            </w:rPr>
          </w:pP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HYPERLINK \l _Toc2772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五、一般公共预算财政拨款支出决算情况说明</w:t>
          </w:r>
          <w:r>
            <w:rPr>
              <w:rFonts w:hint="eastAsia" w:ascii="仿宋" w:hAnsi="仿宋" w:eastAsia="仿宋" w:cs="Times New Roman"/>
              <w:bCs w:val="0"/>
              <w:highlight w:val="none"/>
            </w:rPr>
            <w:tab/>
          </w: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PAGEREF _Toc2772 \h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5</w:t>
          </w:r>
          <w:r>
            <w:rPr>
              <w:rFonts w:hint="eastAsia" w:ascii="仿宋" w:hAnsi="仿宋" w:eastAsia="仿宋" w:cs="Times New Roman"/>
              <w:bCs w:val="0"/>
              <w:highlight w:val="none"/>
            </w:rPr>
            <w:fldChar w:fldCharType="end"/>
          </w:r>
          <w:r>
            <w:rPr>
              <w:rFonts w:hint="eastAsia" w:ascii="仿宋" w:hAnsi="仿宋" w:eastAsia="仿宋" w:cs="Times New Roman"/>
              <w:bCs w:val="0"/>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Times New Roman"/>
              <w:bCs w:val="0"/>
              <w:highlight w:val="none"/>
            </w:rPr>
          </w:pP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HYPERLINK \l _Toc23549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六、一般公共预算财政拨款基本支出决算情况说明</w:t>
          </w:r>
          <w:r>
            <w:rPr>
              <w:rFonts w:hint="eastAsia" w:ascii="仿宋" w:hAnsi="仿宋" w:eastAsia="仿宋" w:cs="Times New Roman"/>
              <w:bCs w:val="0"/>
              <w:highlight w:val="none"/>
            </w:rPr>
            <w:tab/>
          </w: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PAGEREF _Toc23549 \h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8</w:t>
          </w:r>
          <w:r>
            <w:rPr>
              <w:rFonts w:hint="eastAsia" w:ascii="仿宋" w:hAnsi="仿宋" w:eastAsia="仿宋" w:cs="Times New Roman"/>
              <w:bCs w:val="0"/>
              <w:highlight w:val="none"/>
            </w:rPr>
            <w:fldChar w:fldCharType="end"/>
          </w:r>
          <w:r>
            <w:rPr>
              <w:rFonts w:hint="eastAsia" w:ascii="仿宋" w:hAnsi="仿宋" w:eastAsia="仿宋" w:cs="Times New Roman"/>
              <w:bCs w:val="0"/>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Times New Roman"/>
              <w:bCs w:val="0"/>
              <w:highlight w:val="none"/>
            </w:rPr>
          </w:pP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HYPERLINK \l _Toc21350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七、财政拨款“三公”经费支出决算情况说明</w:t>
          </w:r>
          <w:r>
            <w:rPr>
              <w:rFonts w:hint="eastAsia" w:ascii="仿宋" w:hAnsi="仿宋" w:eastAsia="仿宋" w:cs="Times New Roman"/>
              <w:bCs w:val="0"/>
              <w:highlight w:val="none"/>
            </w:rPr>
            <w:tab/>
          </w: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PAGEREF _Toc21350 \h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8</w:t>
          </w:r>
          <w:r>
            <w:rPr>
              <w:rFonts w:hint="eastAsia" w:ascii="仿宋" w:hAnsi="仿宋" w:eastAsia="仿宋" w:cs="Times New Roman"/>
              <w:bCs w:val="0"/>
              <w:highlight w:val="none"/>
            </w:rPr>
            <w:fldChar w:fldCharType="end"/>
          </w:r>
          <w:r>
            <w:rPr>
              <w:rFonts w:hint="eastAsia" w:ascii="仿宋" w:hAnsi="仿宋" w:eastAsia="仿宋" w:cs="Times New Roman"/>
              <w:bCs w:val="0"/>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Times New Roman"/>
              <w:bCs w:val="0"/>
              <w:highlight w:val="none"/>
            </w:rPr>
          </w:pP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HYPERLINK \l _Toc8112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八、政府性基金预算支出决算情况说明</w:t>
          </w:r>
          <w:r>
            <w:rPr>
              <w:rFonts w:hint="eastAsia" w:ascii="仿宋" w:hAnsi="仿宋" w:eastAsia="仿宋" w:cs="Times New Roman"/>
              <w:bCs w:val="0"/>
              <w:highlight w:val="none"/>
            </w:rPr>
            <w:tab/>
          </w: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PAGEREF _Toc8112 \h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10</w:t>
          </w:r>
          <w:r>
            <w:rPr>
              <w:rFonts w:hint="eastAsia" w:ascii="仿宋" w:hAnsi="仿宋" w:eastAsia="仿宋" w:cs="Times New Roman"/>
              <w:bCs w:val="0"/>
              <w:highlight w:val="none"/>
            </w:rPr>
            <w:fldChar w:fldCharType="end"/>
          </w:r>
          <w:r>
            <w:rPr>
              <w:rFonts w:hint="eastAsia" w:ascii="仿宋" w:hAnsi="仿宋" w:eastAsia="仿宋" w:cs="Times New Roman"/>
              <w:bCs w:val="0"/>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Times New Roman"/>
              <w:bCs w:val="0"/>
              <w:highlight w:val="none"/>
            </w:rPr>
          </w:pP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HYPERLINK \l _Toc2479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九、国有资本经营预算支出决算情况说明</w:t>
          </w:r>
          <w:r>
            <w:rPr>
              <w:rFonts w:hint="eastAsia" w:ascii="仿宋" w:hAnsi="仿宋" w:eastAsia="仿宋" w:cs="Times New Roman"/>
              <w:bCs w:val="0"/>
              <w:highlight w:val="none"/>
            </w:rPr>
            <w:tab/>
          </w: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PAGEREF _Toc2479 \h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10</w:t>
          </w:r>
          <w:r>
            <w:rPr>
              <w:rFonts w:hint="eastAsia" w:ascii="仿宋" w:hAnsi="仿宋" w:eastAsia="仿宋" w:cs="Times New Roman"/>
              <w:bCs w:val="0"/>
              <w:highlight w:val="none"/>
            </w:rPr>
            <w:fldChar w:fldCharType="end"/>
          </w:r>
          <w:r>
            <w:rPr>
              <w:rFonts w:hint="eastAsia" w:ascii="仿宋" w:hAnsi="仿宋" w:eastAsia="仿宋" w:cs="Times New Roman"/>
              <w:bCs w:val="0"/>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rFonts w:hint="eastAsia" w:ascii="仿宋" w:hAnsi="仿宋" w:eastAsia="仿宋" w:cs="Times New Roman"/>
              <w:bCs w:val="0"/>
              <w:highlight w:val="none"/>
            </w:rPr>
          </w:pP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HYPERLINK \l _Toc27598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十、其他重要事项的情况说明</w:t>
          </w:r>
          <w:r>
            <w:rPr>
              <w:rFonts w:hint="eastAsia" w:ascii="仿宋" w:hAnsi="仿宋" w:eastAsia="仿宋" w:cs="Times New Roman"/>
              <w:bCs w:val="0"/>
              <w:highlight w:val="none"/>
            </w:rPr>
            <w:tab/>
          </w:r>
          <w:r>
            <w:rPr>
              <w:rFonts w:hint="eastAsia" w:ascii="仿宋" w:hAnsi="仿宋" w:eastAsia="仿宋" w:cs="Times New Roman"/>
              <w:bCs w:val="0"/>
              <w:highlight w:val="none"/>
            </w:rPr>
            <w:fldChar w:fldCharType="begin"/>
          </w:r>
          <w:r>
            <w:rPr>
              <w:rFonts w:hint="eastAsia" w:ascii="仿宋" w:hAnsi="仿宋" w:eastAsia="仿宋" w:cs="Times New Roman"/>
              <w:bCs w:val="0"/>
              <w:highlight w:val="none"/>
            </w:rPr>
            <w:instrText xml:space="preserve"> PAGEREF _Toc27598 \h </w:instrText>
          </w:r>
          <w:r>
            <w:rPr>
              <w:rFonts w:hint="eastAsia" w:ascii="仿宋" w:hAnsi="仿宋" w:eastAsia="仿宋" w:cs="Times New Roman"/>
              <w:bCs w:val="0"/>
              <w:highlight w:val="none"/>
            </w:rPr>
            <w:fldChar w:fldCharType="separate"/>
          </w:r>
          <w:r>
            <w:rPr>
              <w:rFonts w:hint="eastAsia" w:ascii="仿宋" w:hAnsi="仿宋" w:eastAsia="仿宋" w:cs="Times New Roman"/>
              <w:bCs w:val="0"/>
              <w:highlight w:val="none"/>
            </w:rPr>
            <w:t>10</w:t>
          </w:r>
          <w:r>
            <w:rPr>
              <w:rFonts w:hint="eastAsia" w:ascii="仿宋" w:hAnsi="仿宋" w:eastAsia="仿宋" w:cs="Times New Roman"/>
              <w:bCs w:val="0"/>
              <w:highlight w:val="none"/>
            </w:rPr>
            <w:fldChar w:fldCharType="end"/>
          </w:r>
          <w:r>
            <w:rPr>
              <w:rFonts w:hint="eastAsia" w:ascii="仿宋" w:hAnsi="仿宋" w:eastAsia="仿宋" w:cs="Times New Roman"/>
              <w:bCs w:val="0"/>
              <w:highlight w:val="none"/>
            </w:rPr>
            <w:fldChar w:fldCharType="end"/>
          </w:r>
        </w:p>
        <w:p>
          <w:pPr>
            <w:pStyle w:val="42"/>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b/>
            </w:rPr>
          </w:pPr>
          <w:r>
            <w:rPr>
              <w:b/>
              <w:color w:val="auto"/>
              <w:highlight w:val="none"/>
            </w:rPr>
            <w:fldChar w:fldCharType="begin"/>
          </w:r>
          <w:r>
            <w:rPr>
              <w:b/>
              <w:highlight w:val="none"/>
            </w:rPr>
            <w:instrText xml:space="preserve"> HYPERLINK \l _Toc32520 </w:instrText>
          </w:r>
          <w:r>
            <w:rPr>
              <w:b/>
              <w:highlight w:val="none"/>
            </w:rPr>
            <w:fldChar w:fldCharType="separate"/>
          </w:r>
          <w:r>
            <w:rPr>
              <w:rFonts w:hint="eastAsia" w:ascii="黑体" w:hAnsi="黑体" w:eastAsia="黑体"/>
              <w:b/>
            </w:rPr>
            <w:t>第三部分</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_Toc32520 \h </w:instrText>
          </w:r>
          <w:r>
            <w:rPr>
              <w:b/>
            </w:rPr>
            <w:fldChar w:fldCharType="separate"/>
          </w:r>
          <w:r>
            <w:rPr>
              <w:b/>
            </w:rPr>
            <w:t>12</w:t>
          </w:r>
          <w:r>
            <w:rPr>
              <w:b/>
            </w:rPr>
            <w:fldChar w:fldCharType="end"/>
          </w:r>
          <w:r>
            <w:rPr>
              <w:b/>
              <w:color w:val="auto"/>
              <w:highlight w:val="none"/>
            </w:rPr>
            <w:fldChar w:fldCharType="end"/>
          </w:r>
        </w:p>
        <w:p>
          <w:pPr>
            <w:pStyle w:val="42"/>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b/>
            </w:rPr>
          </w:pPr>
          <w:r>
            <w:rPr>
              <w:b/>
              <w:color w:val="auto"/>
              <w:highlight w:val="none"/>
            </w:rPr>
            <w:fldChar w:fldCharType="begin"/>
          </w:r>
          <w:r>
            <w:rPr>
              <w:b/>
              <w:highlight w:val="none"/>
            </w:rPr>
            <w:instrText xml:space="preserve"> HYPERLINK \l _Toc185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四部分附件</w:t>
          </w:r>
          <w:r>
            <w:rPr>
              <w:b/>
            </w:rPr>
            <w:tab/>
          </w:r>
          <w:r>
            <w:rPr>
              <w:b/>
            </w:rPr>
            <w:fldChar w:fldCharType="begin"/>
          </w:r>
          <w:r>
            <w:rPr>
              <w:b/>
            </w:rPr>
            <w:instrText xml:space="preserve"> PAGEREF _Toc185 \h </w:instrText>
          </w:r>
          <w:r>
            <w:rPr>
              <w:b/>
            </w:rPr>
            <w:fldChar w:fldCharType="separate"/>
          </w:r>
          <w:r>
            <w:rPr>
              <w:b/>
            </w:rPr>
            <w:t>15</w:t>
          </w:r>
          <w:r>
            <w:rPr>
              <w:b/>
            </w:rPr>
            <w:fldChar w:fldCharType="end"/>
          </w:r>
          <w:r>
            <w:rPr>
              <w:b/>
              <w:color w:val="auto"/>
              <w:highlight w:val="none"/>
            </w:rPr>
            <w:fldChar w:fldCharType="end"/>
          </w:r>
        </w:p>
        <w:p>
          <w:pPr>
            <w:pStyle w:val="42"/>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b/>
            </w:rPr>
          </w:pPr>
          <w:r>
            <w:rPr>
              <w:b/>
              <w:color w:val="auto"/>
              <w:highlight w:val="none"/>
            </w:rPr>
            <w:fldChar w:fldCharType="begin"/>
          </w:r>
          <w:r>
            <w:rPr>
              <w:b/>
              <w:highlight w:val="none"/>
            </w:rPr>
            <w:instrText xml:space="preserve"> HYPERLINK \l _Toc14432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五部分附表</w:t>
          </w:r>
          <w:r>
            <w:rPr>
              <w:b/>
            </w:rPr>
            <w:tab/>
          </w:r>
          <w:r>
            <w:rPr>
              <w:b/>
            </w:rPr>
            <w:fldChar w:fldCharType="begin"/>
          </w:r>
          <w:r>
            <w:rPr>
              <w:b/>
            </w:rPr>
            <w:instrText xml:space="preserve"> PAGEREF _Toc14432 \h </w:instrText>
          </w:r>
          <w:r>
            <w:rPr>
              <w:b/>
            </w:rPr>
            <w:fldChar w:fldCharType="separate"/>
          </w:r>
          <w:r>
            <w:rPr>
              <w:b/>
            </w:rPr>
            <w:t>90</w:t>
          </w:r>
          <w:r>
            <w:rPr>
              <w:b/>
            </w:rPr>
            <w:fldChar w:fldCharType="end"/>
          </w:r>
          <w:r>
            <w:rPr>
              <w:b/>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_Toc25076 </w:instrText>
          </w:r>
          <w:r>
            <w:rPr>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_Toc25076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_Toc20133 </w:instrText>
          </w:r>
          <w:r>
            <w:rPr>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_Toc20133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_Toc7097 </w:instrText>
          </w:r>
          <w:r>
            <w:rPr>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_Toc7097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_Toc19635 </w:instrText>
          </w:r>
          <w:r>
            <w:rPr>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_Toc19635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_Toc15381 </w:instrText>
          </w:r>
          <w:r>
            <w:rPr>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_Toc15381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_Toc17972 </w:instrText>
          </w:r>
          <w:r>
            <w:rPr>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_Toc17972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_Toc16757 </w:instrText>
          </w:r>
          <w:r>
            <w:rPr>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_Toc16757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_Toc23430 </w:instrText>
          </w:r>
          <w:r>
            <w:rPr>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_Toc23430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_Toc8132 </w:instrText>
          </w:r>
          <w:r>
            <w:rPr>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_Toc8132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_Toc14822 </w:instrText>
          </w:r>
          <w:r>
            <w:rPr>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_Toc14822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_Toc7263 </w:instrText>
          </w:r>
          <w:r>
            <w:rPr>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_Toc7263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pPr>
          <w:r>
            <w:rPr>
              <w:color w:val="auto"/>
              <w:highlight w:val="none"/>
            </w:rPr>
            <w:fldChar w:fldCharType="begin"/>
          </w:r>
          <w:r>
            <w:rPr>
              <w:highlight w:val="none"/>
            </w:rPr>
            <w:instrText xml:space="preserve"> HYPERLINK \l _Toc29189 </w:instrText>
          </w:r>
          <w:r>
            <w:rPr>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_Toc29189 \h </w:instrText>
          </w:r>
          <w:r>
            <w:fldChar w:fldCharType="separate"/>
          </w:r>
          <w:r>
            <w:t>91</w:t>
          </w:r>
          <w:r>
            <w:fldChar w:fldCharType="end"/>
          </w:r>
          <w:r>
            <w:rPr>
              <w:color w:val="auto"/>
              <w:highlight w:val="none"/>
            </w:rPr>
            <w:fldChar w:fldCharType="end"/>
          </w:r>
        </w:p>
        <w:p>
          <w:pPr>
            <w:pStyle w:val="43"/>
            <w:keepNext w:val="0"/>
            <w:keepLines w:val="0"/>
            <w:pageBreakBefore w:val="0"/>
            <w:widowControl/>
            <w:tabs>
              <w:tab w:val="right" w:leader="dot" w:pos="8306"/>
            </w:tabs>
            <w:kinsoku/>
            <w:wordWrap/>
            <w:overflowPunct/>
            <w:topLinePunct w:val="0"/>
            <w:autoSpaceDE/>
            <w:autoSpaceDN/>
            <w:bidi w:val="0"/>
            <w:adjustRightInd/>
            <w:snapToGrid/>
            <w:spacing w:line="380" w:lineRule="exact"/>
            <w:textAlignment w:val="auto"/>
            <w:rPr>
              <w:color w:val="auto"/>
              <w:highlight w:val="none"/>
            </w:rPr>
          </w:pPr>
          <w:r>
            <w:rPr>
              <w:color w:val="auto"/>
              <w:highlight w:val="none"/>
            </w:rPr>
            <w:fldChar w:fldCharType="begin"/>
          </w:r>
          <w:r>
            <w:rPr>
              <w:highlight w:val="none"/>
            </w:rPr>
            <w:instrText xml:space="preserve"> HYPERLINK \l _Toc2773 </w:instrText>
          </w:r>
          <w:r>
            <w:rPr>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_Toc2773 \h </w:instrText>
          </w:r>
          <w:r>
            <w:fldChar w:fldCharType="separate"/>
          </w:r>
          <w:r>
            <w:t>91</w:t>
          </w:r>
          <w:r>
            <w:fldChar w:fldCharType="end"/>
          </w:r>
          <w:r>
            <w:rPr>
              <w:color w:val="auto"/>
              <w:highlight w:val="none"/>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b/>
              <w:color w:val="auto"/>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r>
            <w:rPr>
              <w:b/>
              <w:color w:val="auto"/>
              <w:highlight w:val="none"/>
            </w:rPr>
            <w:fldChar w:fldCharType="end"/>
          </w:r>
          <w:bookmarkStart w:id="14" w:name="_Toc15377196"/>
          <w:bookmarkStart w:id="15" w:name="_Toc15396599"/>
        </w:p>
        <w:p>
          <w:pPr>
            <w:keepNext w:val="0"/>
            <w:keepLines w:val="0"/>
            <w:pageBreakBefore w:val="0"/>
            <w:widowControl w:val="0"/>
            <w:kinsoku/>
            <w:wordWrap/>
            <w:overflowPunct/>
            <w:topLinePunct w:val="0"/>
            <w:autoSpaceDE/>
            <w:autoSpaceDN/>
            <w:bidi w:val="0"/>
            <w:adjustRightInd/>
            <w:snapToGrid/>
            <w:jc w:val="left"/>
            <w:textAlignment w:val="auto"/>
          </w:pPr>
          <w:bookmarkStart w:id="16" w:name="_Toc19120"/>
        </w:p>
      </w:sdtContent>
    </w:sdt>
    <w:p>
      <w:pPr>
        <w:keepNext w:val="0"/>
        <w:keepLines w:val="0"/>
        <w:pageBreakBefore w:val="0"/>
        <w:widowControl w:val="0"/>
        <w:kinsoku/>
        <w:wordWrap/>
        <w:overflowPunct/>
        <w:topLinePunct w:val="0"/>
        <w:autoSpaceDE/>
        <w:autoSpaceDN/>
        <w:bidi w:val="0"/>
        <w:adjustRightInd/>
        <w:snapToGrid/>
        <w:jc w:val="center"/>
        <w:textAlignment w:val="auto"/>
        <w:rPr>
          <w:rStyle w:val="21"/>
          <w:rFonts w:ascii="黑体" w:hAnsi="黑体" w:eastAsia="黑体"/>
          <w:b/>
          <w:bCs w:val="0"/>
          <w:color w:val="auto"/>
          <w:highlight w:val="none"/>
        </w:rPr>
      </w:pPr>
      <w:r>
        <w:rPr>
          <w:rStyle w:val="21"/>
          <w:rFonts w:hint="eastAsia" w:ascii="黑体" w:hAnsi="黑体" w:eastAsia="黑体"/>
          <w:b w:val="0"/>
          <w:bCs w:val="0"/>
          <w:color w:val="auto"/>
          <w:highlight w:val="none"/>
        </w:rPr>
        <w:t>第一部分部门概况</w:t>
      </w:r>
      <w:bookmarkEnd w:id="14"/>
      <w:bookmarkEnd w:id="15"/>
      <w:bookmarkEnd w:id="16"/>
    </w:p>
    <w:p>
      <w:pPr>
        <w:widowControl/>
        <w:jc w:val="left"/>
        <w:rPr>
          <w:rFonts w:ascii="黑体" w:eastAsia="黑体"/>
          <w:color w:val="auto"/>
          <w:sz w:val="32"/>
          <w:szCs w:val="32"/>
          <w:highlight w:val="none"/>
        </w:rPr>
      </w:pPr>
    </w:p>
    <w:p>
      <w:pPr>
        <w:pStyle w:val="4"/>
        <w:numPr>
          <w:ilvl w:val="0"/>
          <w:numId w:val="0"/>
        </w:numPr>
        <w:spacing w:before="0" w:after="0" w:line="240" w:lineRule="auto"/>
        <w:ind w:firstLine="640" w:firstLineChars="200"/>
        <w:rPr>
          <w:rFonts w:hint="eastAsia" w:ascii="黑体" w:hAnsi="黑体" w:eastAsia="黑体"/>
          <w:b w:val="0"/>
          <w:color w:val="auto"/>
          <w:highlight w:val="none"/>
          <w:lang w:eastAsia="zh-CN"/>
        </w:rPr>
      </w:pPr>
      <w:bookmarkStart w:id="17" w:name="_Toc13807"/>
      <w:r>
        <w:rPr>
          <w:rFonts w:hint="eastAsia" w:ascii="黑体" w:hAnsi="黑体" w:eastAsia="黑体"/>
          <w:b w:val="0"/>
          <w:color w:val="auto"/>
          <w:highlight w:val="none"/>
          <w:lang w:val="en-US" w:eastAsia="zh-CN"/>
        </w:rPr>
        <w:t>一、</w:t>
      </w:r>
      <w:r>
        <w:rPr>
          <w:rFonts w:hint="eastAsia" w:ascii="黑体" w:hAnsi="黑体" w:eastAsia="黑体"/>
          <w:b w:val="0"/>
          <w:color w:val="auto"/>
          <w:highlight w:val="none"/>
          <w:lang w:eastAsia="zh-CN"/>
        </w:rPr>
        <w:t>部门职责</w:t>
      </w:r>
      <w:bookmarkEnd w:id="1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中共广元</w:t>
      </w:r>
      <w:r>
        <w:rPr>
          <w:rFonts w:hint="eastAsia" w:ascii="仿宋_GB2312" w:hAnsi="仿宋_GB2312" w:eastAsia="仿宋_GB2312" w:cs="仿宋_GB2312"/>
          <w:sz w:val="32"/>
          <w:szCs w:val="32"/>
          <w:lang w:eastAsia="zh-CN"/>
        </w:rPr>
        <w:t>市委办公室：负责中央、省委和市委重要工作部署贯彻落实的协调、督促、检查，中央、省委和市委工作指示、领导同志批示的传达和督办；负责市委会议、重大活动的准备和实施工作，市委领导同志活动的协调安排，市委领导同志文稿的撰写、修改和印制；围绕中央、省委和市委工作部署，搜集信息、反映动态、综合调研；负责市委日常公文的承办工作，负责中央、省委和市委文件的分发、管理等工作；负责市委规范性文件报送省委备案工作，承办全市党内规范性文件备案工作；负责党务公开工作，承担市委党务公开协调小组日常工作；统筹指导市级议事协调机构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担市委机关和市委领导后勤服务保障工作；负责管理市委机关公共设施、办公设备等固定资产；负责市委领导办公区域的安全保卫和市委机关大院社会治安综合治理及安全防范工作；负责市委办公室及财务归口管理部门的财务管理；负责市委日常值班、统筹节假日值班；承担市委机关人事劳资工作及离退休人员管理工作；承担市档案局、市党史办（市地方志办）的行政职能；承担全市党政专用通信规划建设工作；代管市公务服务中心、市委党史研究室，归口管理市委保密机要局、市委目标绩效办的工作；负责党群口日常牵头工作；完成市委交办的其他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广元市公务服务中心：</w:t>
      </w:r>
      <w:r>
        <w:rPr>
          <w:rFonts w:hint="eastAsia" w:ascii="仿宋_GB2312" w:hAnsi="仿宋_GB2312" w:eastAsia="仿宋_GB2312" w:cs="仿宋_GB2312"/>
          <w:sz w:val="32"/>
          <w:szCs w:val="32"/>
          <w:highlight w:val="none"/>
        </w:rPr>
        <w:t>承担副部（省、军）级以上领导（含曾经担任）来广的服务保障；负责和参与省委、省政府及以上派出的各类巡视、检查、督查（督导、督察）、考察、调研、考核、审计等工作组来广的服务保障；会同有关部门做好中央、国家机关各部委（含各民主党派、工商联等）和省级部门厅级实职领导来广的服务保障；负责外市（州）党政代表团和人大、政协主要领导率队的考察团来广的协调联络和服务保障；负责我市党政代表团赴外地考察的协调联络和服务保障；负责市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政府交办的由市公务服务中心承担的公务服务和招商引资事项的服务保障；负责联系协调市级有关部门及关联单位承办市委、市政府重大公务活动的服务工作；会同市级有关部门承担市委、市政府交办的大型会议、活动的接待服务保障工作；指导全市公务活动服务保障工作；负责管理市接待服务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_GB2312" w:hAnsi="仿宋_GB2312" w:eastAsia="仿宋_GB2312" w:cs="仿宋_GB2312"/>
          <w:color w:val="000000"/>
          <w:sz w:val="32"/>
          <w:szCs w:val="32"/>
          <w:lang w:val="en-US" w:eastAsia="zh-CN"/>
        </w:rPr>
        <w:t>中共广元</w:t>
      </w:r>
      <w:r>
        <w:rPr>
          <w:rFonts w:hint="eastAsia" w:ascii="仿宋_GB2312" w:hAnsi="仿宋_GB2312" w:eastAsia="仿宋_GB2312" w:cs="仿宋_GB2312"/>
          <w:sz w:val="32"/>
          <w:szCs w:val="32"/>
          <w:highlight w:val="none"/>
        </w:rPr>
        <w:t>市委目标绩效管理办公室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市委、市政府重大决策、重要工作部署落实情况督促检查，承担市委、市政府领导批交办事项专项督查或督查调研，统筹规范管理市本级督查检查考核事项；负责省委、省政府下达的绩效目标任务的运行管理；负责县区和市级部门目标绩效管理，开展运行监控，牵头组织考评；负责年度民生实事任务统筹管理，拟订全市民生实事实施方案，开展日常推进督促检查；负责市人大代表建议和市政协委员提案的督办工作；负责督办市委常委会决定事项</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市委</w:t>
      </w:r>
      <w:r>
        <w:rPr>
          <w:rFonts w:hint="eastAsia" w:ascii="仿宋_GB2312" w:hAnsi="仿宋_GB2312" w:eastAsia="仿宋_GB2312" w:cs="仿宋_GB2312"/>
          <w:sz w:val="32"/>
          <w:szCs w:val="32"/>
          <w:highlight w:val="none"/>
          <w:lang w:eastAsia="zh-CN"/>
        </w:rPr>
        <w:t>、市政府</w:t>
      </w:r>
      <w:r>
        <w:rPr>
          <w:rFonts w:hint="eastAsia" w:ascii="仿宋_GB2312" w:hAnsi="仿宋_GB2312" w:eastAsia="仿宋_GB2312" w:cs="仿宋_GB2312"/>
          <w:sz w:val="32"/>
          <w:szCs w:val="32"/>
          <w:highlight w:val="none"/>
        </w:rPr>
        <w:t>主要领导批示件办理工作；负责承办省委督查室、省政府督查室交办事项的督办落实和情况反馈工作；承担市督促检查和目标绩效管理领导小组日常工作。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中共广元</w:t>
      </w:r>
      <w:r>
        <w:rPr>
          <w:rFonts w:hint="eastAsia" w:ascii="仿宋_GB2312" w:hAnsi="仿宋_GB2312" w:eastAsia="仿宋_GB2312" w:cs="仿宋_GB2312"/>
          <w:sz w:val="32"/>
          <w:szCs w:val="32"/>
          <w:highlight w:val="none"/>
        </w:rPr>
        <w:t>市委党史研究室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研究中国共产党广元历史、广元市地方志，及时记载、总结、研究市委、市政府重大决策部署；参与制定贯彻党委政府党史地方志工作法规、政策的落实措施；征集、整理中国共产党广元历史、广元市地方志重要资料，建立广元市情信息数据库，为市委、市政府决策提供史志资料和资政建议；组织编写出版中国共产党广元历史书籍和广元市地方志书籍；组织中国共产党广元历史、广元市地方志理论研讨及学术交流，开展党史、地方志业务培训；开展中国共产党广元历史、广元市地方志学习、教育和宣传活动，普及党史、地方志知识；参与拟制全市党史、地方志工作规划和编纂方案，指导全市党史、地方志业务工作。</w:t>
      </w:r>
    </w:p>
    <w:p>
      <w:pPr>
        <w:pStyle w:val="4"/>
        <w:spacing w:before="0" w:after="0" w:line="240" w:lineRule="auto"/>
        <w:ind w:firstLine="640" w:firstLineChars="200"/>
        <w:rPr>
          <w:rStyle w:val="22"/>
          <w:b w:val="0"/>
          <w:bCs w:val="0"/>
          <w:color w:val="auto"/>
          <w:highlight w:val="none"/>
        </w:rPr>
      </w:pPr>
      <w:bookmarkStart w:id="18" w:name="_Toc990"/>
      <w:bookmarkStart w:id="19" w:name="_Toc15396601"/>
      <w:bookmarkStart w:id="20"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2"/>
          <w:rFonts w:hint="eastAsia" w:ascii="黑体" w:hAnsi="黑体" w:eastAsia="黑体"/>
          <w:b w:val="0"/>
          <w:bCs w:val="0"/>
          <w:color w:val="auto"/>
          <w:highlight w:val="none"/>
        </w:rPr>
        <w:t>构设置</w:t>
      </w:r>
      <w:bookmarkEnd w:id="18"/>
      <w:bookmarkEnd w:id="19"/>
      <w:bookmarkEnd w:id="20"/>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中共</w:t>
      </w:r>
      <w:r>
        <w:rPr>
          <w:rFonts w:hint="eastAsia" w:ascii="仿宋_GB2312" w:hAnsi="仿宋_GB2312" w:eastAsia="仿宋_GB2312" w:cs="仿宋_GB2312"/>
          <w:sz w:val="32"/>
          <w:szCs w:val="32"/>
        </w:rPr>
        <w:t>广元市委办公室下属二级</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单位2个，</w:t>
      </w:r>
      <w:r>
        <w:rPr>
          <w:rFonts w:hint="default" w:ascii="仿宋_GB2312" w:hAnsi="仿宋_GB2312" w:eastAsia="仿宋_GB2312" w:cs="仿宋_GB2312"/>
          <w:sz w:val="32"/>
          <w:szCs w:val="32"/>
        </w:rPr>
        <w:t>其</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行政单位1个，参照公务员法管理的事业单位</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个。</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中共广元市委办公室</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年度部门决算编制范围的二级预算单位包括：</w:t>
      </w:r>
    </w:p>
    <w:p>
      <w:pPr>
        <w:numPr>
          <w:ilvl w:val="0"/>
          <w:numId w:val="1"/>
        </w:numPr>
        <w:spacing w:line="576"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中共广元市委办公室机关（含市公务服务中心）</w:t>
      </w:r>
    </w:p>
    <w:p>
      <w:pPr>
        <w:pStyle w:val="7"/>
        <w:numPr>
          <w:ilvl w:val="0"/>
          <w:numId w:val="1"/>
        </w:numPr>
        <w:adjustRightInd w:val="0"/>
        <w:snapToGrid w:val="0"/>
        <w:spacing w:beforeLines="0" w:line="576" w:lineRule="exact"/>
        <w:ind w:left="0" w:leftChars="0" w:firstLine="640" w:firstLineChars="200"/>
        <w:outlineLvl w:val="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中共广元市委目标绩效管理办公室</w:t>
      </w:r>
    </w:p>
    <w:p>
      <w:pPr>
        <w:pStyle w:val="7"/>
        <w:numPr>
          <w:ilvl w:val="0"/>
          <w:numId w:val="1"/>
        </w:numPr>
        <w:adjustRightInd w:val="0"/>
        <w:snapToGrid w:val="0"/>
        <w:spacing w:beforeLines="0" w:line="576" w:lineRule="exact"/>
        <w:ind w:left="0" w:leftChars="0" w:firstLine="640" w:firstLineChars="200"/>
        <w:outlineLvl w:val="2"/>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中共广元市委党史研究室</w:t>
      </w:r>
    </w:p>
    <w:p>
      <w:pPr>
        <w:widowControl/>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br w:type="page"/>
      </w:r>
    </w:p>
    <w:p>
      <w:pPr>
        <w:pStyle w:val="3"/>
        <w:spacing w:before="0" w:after="0" w:line="240" w:lineRule="auto"/>
        <w:ind w:right="0"/>
        <w:jc w:val="both"/>
        <w:outlineLvl w:val="9"/>
        <w:rPr>
          <w:rFonts w:hint="eastAsia" w:ascii="黑体" w:hAnsi="黑体" w:eastAsia="黑体"/>
          <w:b w:val="0"/>
          <w:bCs/>
          <w:color w:val="auto"/>
          <w:highlight w:val="none"/>
        </w:rPr>
      </w:pPr>
      <w:bookmarkStart w:id="21" w:name="_Toc15396602"/>
      <w:bookmarkStart w:id="22" w:name="_Toc15377204"/>
    </w:p>
    <w:p>
      <w:pPr>
        <w:pStyle w:val="3"/>
        <w:spacing w:before="0" w:after="0" w:line="240" w:lineRule="auto"/>
        <w:ind w:right="0"/>
        <w:jc w:val="center"/>
        <w:rPr>
          <w:color w:val="auto"/>
          <w:highlight w:val="none"/>
        </w:rPr>
      </w:pPr>
      <w:bookmarkStart w:id="23" w:name="_Toc12984"/>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21"/>
          <w:rFonts w:hint="eastAsia" w:ascii="黑体" w:hAnsi="黑体" w:eastAsia="黑体"/>
          <w:b w:val="0"/>
          <w:bCs/>
          <w:color w:val="auto"/>
          <w:highlight w:val="none"/>
        </w:rPr>
        <w:t>部门决算情况说明</w:t>
      </w:r>
      <w:bookmarkEnd w:id="21"/>
      <w:bookmarkEnd w:id="22"/>
      <w:bookmarkEnd w:id="23"/>
    </w:p>
    <w:p>
      <w:pPr>
        <w:pStyle w:val="33"/>
        <w:numPr>
          <w:ilvl w:val="0"/>
          <w:numId w:val="2"/>
        </w:numPr>
        <w:spacing w:line="600" w:lineRule="exact"/>
        <w:ind w:firstLineChars="0"/>
        <w:outlineLvl w:val="1"/>
        <w:rPr>
          <w:rStyle w:val="22"/>
          <w:rFonts w:ascii="黑体" w:hAnsi="黑体" w:eastAsia="黑体"/>
          <w:b w:val="0"/>
          <w:color w:val="auto"/>
          <w:highlight w:val="none"/>
        </w:rPr>
      </w:pPr>
      <w:bookmarkStart w:id="24" w:name="_Toc15377205"/>
      <w:bookmarkStart w:id="25" w:name="_Toc15396603"/>
      <w:bookmarkStart w:id="26" w:name="_Toc17706"/>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5993.67</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491.1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7.57</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2022年项目经费减少</w:t>
      </w:r>
      <w:r>
        <w:rPr>
          <w:rFonts w:hint="eastAsia" w:ascii="仿宋_GB2312" w:hAnsi="仿宋_GB2312" w:eastAsia="仿宋_GB2312" w:cs="仿宋_GB2312"/>
          <w:color w:val="auto"/>
          <w:sz w:val="32"/>
          <w:szCs w:val="32"/>
          <w:highlight w:val="none"/>
          <w:lang w:eastAsia="zh-CN"/>
        </w:rPr>
        <w:t>。</w:t>
      </w:r>
    </w:p>
    <w:p>
      <w:pPr>
        <w:pStyle w:val="24"/>
        <w:ind w:left="0" w:leftChars="0" w:firstLine="0" w:firstLineChars="0"/>
        <w:jc w:val="center"/>
      </w:pPr>
      <w:r>
        <w:drawing>
          <wp:inline distT="0" distB="0" distL="114300" distR="114300">
            <wp:extent cx="2776855" cy="2000250"/>
            <wp:effectExtent l="5080" t="4445" r="18415" b="14605"/>
            <wp:docPr id="10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ind w:left="0" w:leftChars="0" w:firstLine="0" w:firstLineChars="0"/>
        <w:jc w:val="center"/>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（图1：收、支决算总计变动情况图）</w:t>
      </w:r>
    </w:p>
    <w:p>
      <w:pPr>
        <w:pStyle w:val="33"/>
        <w:numPr>
          <w:ilvl w:val="0"/>
          <w:numId w:val="2"/>
        </w:numPr>
        <w:spacing w:line="600" w:lineRule="exact"/>
        <w:ind w:firstLineChars="0"/>
        <w:outlineLvl w:val="1"/>
        <w:rPr>
          <w:rStyle w:val="22"/>
          <w:rFonts w:ascii="黑体" w:hAnsi="黑体" w:eastAsia="黑体"/>
          <w:b w:val="0"/>
          <w:color w:val="auto"/>
          <w:highlight w:val="none"/>
        </w:rPr>
      </w:pPr>
      <w:bookmarkStart w:id="27" w:name="_Toc15377206"/>
      <w:bookmarkStart w:id="28" w:name="_Toc15396604"/>
      <w:bookmarkStart w:id="29" w:name="_Toc13829"/>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hint="eastAsia" w:ascii="仿宋_GB2312" w:hAnsi="仿宋_GB2312" w:eastAsia="仿宋_GB2312" w:cs="仿宋_GB2312"/>
          <w:color w:val="auto"/>
          <w:sz w:val="32"/>
          <w:szCs w:val="32"/>
          <w:highlight w:val="none"/>
        </w:rPr>
      </w:pPr>
      <w:bookmarkStart w:id="30" w:name="_Toc6993"/>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5727.48</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5727.48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bookmarkEnd w:id="30"/>
    </w:p>
    <w:p>
      <w:pPr>
        <w:spacing w:line="600" w:lineRule="exact"/>
        <w:ind w:firstLine="640" w:firstLineChars="200"/>
        <w:outlineLvl w:val="9"/>
        <w:rPr>
          <w:rFonts w:ascii="仿宋" w:hAnsi="仿宋" w:eastAsia="仿宋"/>
          <w:color w:val="auto"/>
          <w:sz w:val="32"/>
          <w:szCs w:val="32"/>
          <w:highlight w:val="none"/>
        </w:rPr>
      </w:pPr>
    </w:p>
    <w:p>
      <w:pPr>
        <w:pStyle w:val="24"/>
        <w:rPr>
          <w:rFonts w:ascii="仿宋" w:hAnsi="仿宋" w:eastAsia="仿宋"/>
          <w:color w:val="auto"/>
          <w:sz w:val="32"/>
          <w:szCs w:val="32"/>
          <w:highlight w:val="none"/>
        </w:rPr>
      </w:pPr>
    </w:p>
    <w:p>
      <w:pPr>
        <w:rPr>
          <w:rFonts w:ascii="仿宋" w:hAnsi="仿宋" w:eastAsia="仿宋"/>
          <w:color w:val="auto"/>
          <w:sz w:val="32"/>
          <w:szCs w:val="32"/>
          <w:highlight w:val="none"/>
        </w:rPr>
      </w:pPr>
    </w:p>
    <w:p>
      <w:pPr>
        <w:pStyle w:val="24"/>
        <w:rPr>
          <w:rFonts w:ascii="仿宋" w:hAnsi="仿宋" w:eastAsia="仿宋"/>
          <w:color w:val="auto"/>
          <w:sz w:val="32"/>
          <w:szCs w:val="32"/>
          <w:highlight w:val="none"/>
        </w:rPr>
      </w:pPr>
      <w:r>
        <w:rPr>
          <w:rFonts w:hint="eastAsia" w:eastAsia="宋体"/>
          <w:lang w:eastAsia="zh-CN"/>
        </w:rPr>
        <w:pict>
          <v:shape id="对象 8" o:spid="_x0000_s2050" o:spt="75" type="#_x0000_t75" style="position:absolute;left:0pt;margin-left:198.95pt;margin-top:559.25pt;height:175.75pt;width:216.8pt;mso-position-horizontal-relative:page;mso-position-vertical-relative:page;z-index:251660288;mso-width-relative:page;mso-height-relative:page;" o:ole="t" filled="f" o:preferrelative="t" stroked="f" coordsize="21600,21600">
            <v:path/>
            <v:fill on="f" focussize="0,0"/>
            <v:stroke on="f"/>
            <v:imagedata r:id="rId9" o:title=""/>
            <o:lock v:ext="edit" aspectratio="t"/>
          </v:shape>
          <o:OLEObject Type="Embed" ProgID="Excel.Chart.8" ShapeID="对象 8" DrawAspect="Content" ObjectID="_1468075725" r:id="rId8">
            <o:LockedField>false</o:LockedField>
          </o:OLEObject>
        </w:pict>
      </w:r>
    </w:p>
    <w:p>
      <w:pPr>
        <w:pStyle w:val="24"/>
        <w:spacing w:line="240" w:lineRule="auto"/>
        <w:ind w:firstLine="0" w:firstLineChars="0"/>
        <w:rPr>
          <w:rFonts w:hint="eastAsia"/>
        </w:rPr>
      </w:pPr>
    </w:p>
    <w:p>
      <w:pPr>
        <w:rPr>
          <w:rFonts w:hint="eastAsia"/>
        </w:rPr>
      </w:pPr>
    </w:p>
    <w:p>
      <w:pP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33"/>
        <w:numPr>
          <w:ilvl w:val="0"/>
          <w:numId w:val="2"/>
        </w:numPr>
        <w:spacing w:line="600" w:lineRule="exact"/>
        <w:ind w:firstLineChars="0"/>
        <w:outlineLvl w:val="1"/>
        <w:rPr>
          <w:rStyle w:val="22"/>
          <w:rFonts w:ascii="黑体" w:hAnsi="黑体" w:eastAsia="黑体"/>
          <w:b w:val="0"/>
          <w:color w:val="auto"/>
          <w:highlight w:val="none"/>
        </w:rPr>
      </w:pPr>
      <w:bookmarkStart w:id="31" w:name="_Toc15377207"/>
      <w:bookmarkStart w:id="32" w:name="_Toc15396605"/>
      <w:bookmarkStart w:id="33" w:name="_Toc29320"/>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pPr>
      <w:bookmarkStart w:id="34" w:name="_Toc2941"/>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5801.22</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2520.76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43.45</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3280.46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56.55</w:t>
      </w:r>
      <w:r>
        <w:rPr>
          <w:rFonts w:hint="eastAsia" w:ascii="仿宋_GB2312" w:hAnsi="仿宋_GB2312" w:eastAsia="仿宋_GB2312" w:cs="仿宋_GB2312"/>
          <w:color w:val="auto"/>
          <w:sz w:val="32"/>
          <w:szCs w:val="32"/>
          <w:highlight w:val="none"/>
        </w:rPr>
        <w:t>%。</w:t>
      </w:r>
      <w:bookmarkEnd w:id="34"/>
    </w:p>
    <w:p>
      <w:pPr>
        <w:jc w:val="center"/>
      </w:pPr>
      <w:r>
        <w:drawing>
          <wp:inline distT="0" distB="0" distL="114300" distR="114300">
            <wp:extent cx="4420870" cy="2230120"/>
            <wp:effectExtent l="4445" t="4445" r="1333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spacing w:line="600" w:lineRule="exact"/>
        <w:ind w:firstLine="640" w:firstLineChars="200"/>
        <w:outlineLvl w:val="1"/>
        <w:rPr>
          <w:rStyle w:val="22"/>
          <w:rFonts w:ascii="黑体" w:hAnsi="黑体" w:eastAsia="黑体"/>
          <w:b w:val="0"/>
          <w:color w:val="auto"/>
          <w:highlight w:val="none"/>
        </w:rPr>
      </w:pPr>
      <w:bookmarkStart w:id="35" w:name="_Toc15396606"/>
      <w:bookmarkStart w:id="36" w:name="_Toc15377208"/>
      <w:bookmarkStart w:id="37" w:name="_Toc2301"/>
      <w:r>
        <w:rPr>
          <w:rFonts w:hint="eastAsia" w:ascii="黑体" w:hAnsi="黑体" w:eastAsia="黑体"/>
          <w:color w:val="auto"/>
          <w:sz w:val="32"/>
          <w:szCs w:val="32"/>
          <w:highlight w:val="none"/>
        </w:rPr>
        <w:t>四、财</w:t>
      </w:r>
      <w:r>
        <w:rPr>
          <w:rStyle w:val="22"/>
          <w:rFonts w:hint="eastAsia" w:ascii="黑体" w:hAnsi="黑体" w:eastAsia="黑体"/>
          <w:b w:val="0"/>
          <w:color w:val="auto"/>
          <w:highlight w:val="none"/>
        </w:rPr>
        <w:t>政拨款收入支出决算总体情况说明</w:t>
      </w:r>
      <w:bookmarkEnd w:id="35"/>
      <w:bookmarkEnd w:id="36"/>
      <w:bookmarkEnd w:id="37"/>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5993.67</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年相比，财政拨款收、支总计各减少</w:t>
      </w:r>
      <w:r>
        <w:rPr>
          <w:rFonts w:hint="eastAsia" w:ascii="仿宋_GB2312" w:hAnsi="仿宋_GB2312" w:eastAsia="仿宋_GB2312" w:cs="仿宋_GB2312"/>
          <w:color w:val="auto"/>
          <w:sz w:val="32"/>
          <w:szCs w:val="32"/>
          <w:highlight w:val="none"/>
          <w:lang w:val="en-US" w:eastAsia="zh-CN"/>
        </w:rPr>
        <w:t>491.1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7.57</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2022年项目经费减少</w:t>
      </w:r>
      <w:r>
        <w:rPr>
          <w:rFonts w:hint="eastAsia" w:ascii="仿宋_GB2312" w:hAnsi="仿宋_GB2312" w:eastAsia="仿宋_GB2312" w:cs="仿宋_GB2312"/>
          <w:color w:val="auto"/>
          <w:sz w:val="32"/>
          <w:szCs w:val="32"/>
          <w:highlight w:val="none"/>
          <w:lang w:eastAsia="zh-CN"/>
        </w:rPr>
        <w:t>。</w:t>
      </w:r>
    </w:p>
    <w:p>
      <w:pPr>
        <w:jc w:val="center"/>
      </w:pPr>
      <w:r>
        <w:drawing>
          <wp:inline distT="0" distB="0" distL="114300" distR="114300">
            <wp:extent cx="3000375" cy="2336800"/>
            <wp:effectExtent l="4445" t="4445" r="5080" b="2095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spacing w:line="600" w:lineRule="exact"/>
        <w:ind w:firstLine="640" w:firstLineChars="200"/>
        <w:outlineLvl w:val="1"/>
        <w:rPr>
          <w:rStyle w:val="22"/>
          <w:rFonts w:ascii="黑体" w:hAnsi="黑体" w:eastAsia="黑体"/>
          <w:b w:val="0"/>
          <w:color w:val="auto"/>
          <w:highlight w:val="none"/>
        </w:rPr>
      </w:pPr>
      <w:bookmarkStart w:id="38" w:name="_Toc2772"/>
      <w:bookmarkStart w:id="39" w:name="_Toc15377209"/>
      <w:bookmarkStart w:id="40"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5801.22</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354.25</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5.76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2022年项目经费减少</w:t>
      </w:r>
      <w:r>
        <w:rPr>
          <w:rFonts w:hint="eastAsia" w:ascii="仿宋_GB2312" w:hAnsi="仿宋_GB2312" w:eastAsia="仿宋_GB2312" w:cs="仿宋_GB2312"/>
          <w:color w:val="auto"/>
          <w:sz w:val="32"/>
          <w:szCs w:val="32"/>
          <w:highlight w:val="none"/>
          <w:lang w:eastAsia="zh-CN"/>
        </w:rPr>
        <w:t>。</w:t>
      </w:r>
    </w:p>
    <w:p>
      <w:pPr>
        <w:pStyle w:val="24"/>
        <w:jc w:val="center"/>
      </w:pPr>
      <w:r>
        <w:drawing>
          <wp:inline distT="0" distB="0" distL="114300" distR="114300">
            <wp:extent cx="3046730" cy="1711960"/>
            <wp:effectExtent l="5080" t="4445" r="15240" b="17145"/>
            <wp:docPr id="103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5801.22</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一般公共服务支出</w:t>
      </w:r>
      <w:r>
        <w:rPr>
          <w:rFonts w:hint="eastAsia" w:ascii="仿宋_GB2312" w:hAnsi="仿宋_GB2312" w:eastAsia="仿宋_GB2312" w:cs="仿宋_GB2312"/>
          <w:color w:val="auto"/>
          <w:sz w:val="32"/>
          <w:szCs w:val="32"/>
          <w:highlight w:val="none"/>
          <w:lang w:val="en-US" w:eastAsia="zh-CN"/>
        </w:rPr>
        <w:t>5375.04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92.65</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198.54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3.42</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73.14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1.26</w:t>
      </w: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154.49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2.67</w:t>
      </w:r>
      <w:r>
        <w:rPr>
          <w:rFonts w:hint="eastAsia" w:ascii="仿宋_GB2312" w:hAnsi="仿宋_GB2312" w:eastAsia="仿宋_GB2312" w:cs="仿宋_GB2312"/>
          <w:color w:val="auto"/>
          <w:sz w:val="32"/>
          <w:szCs w:val="32"/>
          <w:highlight w:val="none"/>
        </w:rPr>
        <w:t>%。</w:t>
      </w:r>
    </w:p>
    <w:p>
      <w:pPr>
        <w:pStyle w:val="24"/>
        <w:ind w:left="0" w:leftChars="0" w:firstLine="0" w:firstLineChars="0"/>
      </w:pPr>
      <w:r>
        <w:drawing>
          <wp:inline distT="0" distB="0" distL="114300" distR="114300">
            <wp:extent cx="5266690" cy="1807845"/>
            <wp:effectExtent l="4445" t="4445" r="5715"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pacing w:line="240" w:lineRule="auto"/>
        <w:ind w:firstLine="640" w:firstLineChars="200"/>
        <w:outlineLvl w:val="2"/>
        <w:rPr>
          <w:rFonts w:hint="eastAsia" w:ascii="仿宋_GB2312" w:hAnsi="仿宋_GB2312" w:eastAsia="仿宋_GB2312" w:cs="仿宋_GB2312"/>
          <w:b w:val="0"/>
          <w:bCs/>
          <w:color w:val="auto"/>
          <w:sz w:val="32"/>
          <w:szCs w:val="32"/>
          <w:highlight w:val="none"/>
        </w:rPr>
      </w:pPr>
      <w:bookmarkStart w:id="44" w:name="_Toc15377444"/>
      <w:bookmarkStart w:id="45" w:name="_Toc15378460"/>
      <w:bookmarkStart w:id="46" w:name="_Toc15377213"/>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5801.22万元</w:t>
      </w:r>
      <w:r>
        <w:rPr>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rPr>
        <w:t>完成预算</w:t>
      </w:r>
      <w:r>
        <w:rPr>
          <w:rStyle w:val="19"/>
          <w:rFonts w:hint="eastAsia" w:ascii="仿宋_GB2312" w:hAnsi="仿宋_GB2312" w:eastAsia="仿宋_GB2312" w:cs="仿宋_GB2312"/>
          <w:b w:val="0"/>
          <w:bCs/>
          <w:color w:val="auto"/>
          <w:sz w:val="32"/>
          <w:szCs w:val="32"/>
          <w:highlight w:val="none"/>
          <w:lang w:val="en-US" w:eastAsia="zh-CN"/>
        </w:rPr>
        <w:t>96.79</w:t>
      </w:r>
      <w:r>
        <w:rPr>
          <w:rStyle w:val="19"/>
          <w:rFonts w:hint="eastAsia" w:ascii="仿宋_GB2312" w:hAnsi="仿宋_GB2312" w:eastAsia="仿宋_GB2312" w:cs="仿宋_GB2312"/>
          <w:b w:val="0"/>
          <w:bCs/>
          <w:color w:val="auto"/>
          <w:sz w:val="32"/>
          <w:szCs w:val="32"/>
          <w:highlight w:val="none"/>
        </w:rPr>
        <w:t>%。其中：</w:t>
      </w:r>
      <w:bookmarkEnd w:id="44"/>
      <w:bookmarkEnd w:id="45"/>
      <w:bookmarkEnd w:id="46"/>
    </w:p>
    <w:p>
      <w:pPr>
        <w:numPr>
          <w:ilvl w:val="0"/>
          <w:numId w:val="0"/>
        </w:numPr>
        <w:spacing w:line="576" w:lineRule="exact"/>
        <w:ind w:firstLine="640" w:firstLineChars="200"/>
        <w:rPr>
          <w:rStyle w:val="19"/>
          <w:rFonts w:hint="eastAsia" w:ascii="仿宋_GB2312" w:hAnsi="仿宋_GB2312" w:eastAsia="仿宋_GB2312" w:cs="仿宋_GB2312"/>
          <w:b w:val="0"/>
          <w:bCs w:val="0"/>
          <w:color w:val="auto"/>
          <w:sz w:val="32"/>
          <w:szCs w:val="32"/>
          <w:highlight w:val="none"/>
        </w:rPr>
      </w:pPr>
      <w:r>
        <w:rPr>
          <w:rStyle w:val="19"/>
          <w:rFonts w:hint="eastAsia" w:ascii="仿宋_GB2312" w:hAnsi="仿宋_GB2312" w:eastAsia="仿宋_GB2312" w:cs="仿宋_GB2312"/>
          <w:b w:val="0"/>
          <w:bCs w:val="0"/>
          <w:color w:val="auto"/>
          <w:sz w:val="32"/>
          <w:szCs w:val="32"/>
          <w:highlight w:val="none"/>
          <w:lang w:val="en-US" w:eastAsia="zh-CN"/>
        </w:rPr>
        <w:t>1.</w:t>
      </w:r>
      <w:r>
        <w:rPr>
          <w:rStyle w:val="19"/>
          <w:rFonts w:hint="eastAsia" w:ascii="仿宋_GB2312" w:hAnsi="仿宋_GB2312" w:eastAsia="仿宋_GB2312" w:cs="仿宋_GB2312"/>
          <w:b w:val="0"/>
          <w:bCs w:val="0"/>
          <w:color w:val="auto"/>
          <w:sz w:val="32"/>
          <w:szCs w:val="32"/>
          <w:highlight w:val="none"/>
        </w:rPr>
        <w:t>一般公共服务支出（类）党委办公厅（室）及相关机构事务（款）行政运行（项）</w:t>
      </w:r>
      <w:r>
        <w:rPr>
          <w:rStyle w:val="19"/>
          <w:rFonts w:hint="eastAsia" w:ascii="仿宋_GB2312" w:hAnsi="仿宋_GB2312" w:eastAsia="仿宋_GB2312" w:cs="仿宋_GB2312"/>
          <w:b w:val="0"/>
          <w:bCs w:val="0"/>
          <w:color w:val="auto"/>
          <w:sz w:val="32"/>
          <w:szCs w:val="32"/>
          <w:highlight w:val="none"/>
          <w:lang w:eastAsia="zh-CN"/>
        </w:rPr>
        <w:t>：</w:t>
      </w:r>
      <w:r>
        <w:rPr>
          <w:rStyle w:val="19"/>
          <w:rFonts w:hint="eastAsia" w:ascii="仿宋_GB2312" w:hAnsi="仿宋_GB2312" w:eastAsia="仿宋_GB2312" w:cs="仿宋_GB2312"/>
          <w:b w:val="0"/>
          <w:bCs w:val="0"/>
          <w:color w:val="auto"/>
          <w:sz w:val="32"/>
          <w:szCs w:val="32"/>
          <w:highlight w:val="none"/>
        </w:rPr>
        <w:t>支出决算为</w:t>
      </w:r>
      <w:r>
        <w:rPr>
          <w:rStyle w:val="19"/>
          <w:rFonts w:hint="eastAsia" w:ascii="仿宋_GB2312" w:hAnsi="仿宋_GB2312" w:eastAsia="仿宋_GB2312" w:cs="仿宋_GB2312"/>
          <w:b w:val="0"/>
          <w:bCs w:val="0"/>
          <w:color w:val="auto"/>
          <w:sz w:val="32"/>
          <w:szCs w:val="32"/>
          <w:highlight w:val="none"/>
          <w:lang w:val="en-US" w:eastAsia="zh-CN"/>
        </w:rPr>
        <w:t>2016.05</w:t>
      </w:r>
      <w:r>
        <w:rPr>
          <w:rStyle w:val="19"/>
          <w:rFonts w:hint="eastAsia" w:ascii="仿宋_GB2312" w:hAnsi="仿宋_GB2312" w:eastAsia="仿宋_GB2312" w:cs="仿宋_GB2312"/>
          <w:b w:val="0"/>
          <w:bCs w:val="0"/>
          <w:color w:val="auto"/>
          <w:sz w:val="32"/>
          <w:szCs w:val="32"/>
          <w:highlight w:val="none"/>
        </w:rPr>
        <w:t>万元，完成预算</w:t>
      </w:r>
      <w:r>
        <w:rPr>
          <w:rStyle w:val="19"/>
          <w:rFonts w:hint="eastAsia" w:ascii="仿宋_GB2312" w:hAnsi="仿宋_GB2312" w:eastAsia="仿宋_GB2312" w:cs="仿宋_GB2312"/>
          <w:b w:val="0"/>
          <w:bCs w:val="0"/>
          <w:color w:val="auto"/>
          <w:sz w:val="32"/>
          <w:szCs w:val="32"/>
          <w:highlight w:val="none"/>
          <w:lang w:val="en-US" w:eastAsia="zh-CN"/>
        </w:rPr>
        <w:t>98.6</w:t>
      </w:r>
      <w:r>
        <w:rPr>
          <w:rStyle w:val="19"/>
          <w:rFonts w:hint="eastAsia" w:ascii="仿宋_GB2312" w:hAnsi="仿宋_GB2312" w:eastAsia="仿宋_GB2312" w:cs="仿宋_GB2312"/>
          <w:b w:val="0"/>
          <w:bCs w:val="0"/>
          <w:color w:val="auto"/>
          <w:sz w:val="32"/>
          <w:szCs w:val="32"/>
          <w:highlight w:val="none"/>
        </w:rPr>
        <w:t>%，决算数小于预算数的主要原因</w:t>
      </w:r>
      <w:r>
        <w:rPr>
          <w:rStyle w:val="19"/>
          <w:rFonts w:hint="eastAsia" w:ascii="仿宋_GB2312" w:hAnsi="仿宋_GB2312" w:eastAsia="仿宋_GB2312" w:cs="仿宋_GB2312"/>
          <w:b w:val="0"/>
          <w:bCs w:val="0"/>
          <w:color w:val="auto"/>
          <w:sz w:val="32"/>
          <w:szCs w:val="32"/>
          <w:highlight w:val="none"/>
          <w:lang w:eastAsia="zh-CN"/>
        </w:rPr>
        <w:t>是年末未缴纳绩效清算的保险</w:t>
      </w:r>
      <w:r>
        <w:rPr>
          <w:rStyle w:val="19"/>
          <w:rFonts w:hint="eastAsia" w:ascii="仿宋_GB2312" w:hAnsi="仿宋_GB2312" w:eastAsia="仿宋_GB2312" w:cs="仿宋_GB2312"/>
          <w:b w:val="0"/>
          <w:bCs w:val="0"/>
          <w:color w:val="auto"/>
          <w:sz w:val="32"/>
          <w:szCs w:val="32"/>
          <w:highlight w:val="none"/>
        </w:rPr>
        <w:t>。</w:t>
      </w:r>
    </w:p>
    <w:p>
      <w:pPr>
        <w:numPr>
          <w:ilvl w:val="0"/>
          <w:numId w:val="0"/>
        </w:numPr>
        <w:spacing w:line="240" w:lineRule="auto"/>
        <w:ind w:left="0" w:leftChars="0" w:firstLine="640" w:firstLineChars="200"/>
        <w:rPr>
          <w:rStyle w:val="19"/>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2.</w:t>
      </w:r>
      <w:r>
        <w:rPr>
          <w:rStyle w:val="19"/>
          <w:rFonts w:hint="eastAsia" w:ascii="仿宋_GB2312" w:hAnsi="仿宋_GB2312" w:eastAsia="仿宋_GB2312" w:cs="仿宋_GB2312"/>
          <w:b w:val="0"/>
          <w:bCs/>
          <w:color w:val="000000"/>
          <w:sz w:val="32"/>
          <w:szCs w:val="32"/>
          <w:highlight w:val="none"/>
        </w:rPr>
        <w:t>一般公共服务支出（类）党委办公厅（室）及相关机构事务（款）一般行政管理事务（项</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000000"/>
          <w:sz w:val="32"/>
          <w:szCs w:val="32"/>
          <w:highlight w:val="none"/>
        </w:rPr>
        <w:t>支出决算为</w:t>
      </w:r>
      <w:r>
        <w:rPr>
          <w:rStyle w:val="19"/>
          <w:rFonts w:hint="eastAsia" w:ascii="仿宋_GB2312" w:hAnsi="仿宋_GB2312" w:eastAsia="仿宋_GB2312" w:cs="仿宋_GB2312"/>
          <w:b w:val="0"/>
          <w:bCs/>
          <w:color w:val="000000"/>
          <w:sz w:val="32"/>
          <w:szCs w:val="32"/>
          <w:highlight w:val="none"/>
          <w:lang w:val="en-US" w:eastAsia="zh-CN"/>
        </w:rPr>
        <w:t>704.14</w:t>
      </w:r>
      <w:r>
        <w:rPr>
          <w:rStyle w:val="19"/>
          <w:rFonts w:hint="eastAsia" w:ascii="仿宋_GB2312" w:hAnsi="仿宋_GB2312" w:eastAsia="仿宋_GB2312" w:cs="仿宋_GB2312"/>
          <w:b w:val="0"/>
          <w:bCs/>
          <w:color w:val="000000"/>
          <w:sz w:val="32"/>
          <w:szCs w:val="32"/>
          <w:highlight w:val="none"/>
        </w:rPr>
        <w:t>万元，完成预算</w:t>
      </w:r>
      <w:r>
        <w:rPr>
          <w:rStyle w:val="19"/>
          <w:rFonts w:hint="eastAsia" w:ascii="仿宋_GB2312" w:hAnsi="仿宋_GB2312" w:eastAsia="仿宋_GB2312" w:cs="仿宋_GB2312"/>
          <w:b w:val="0"/>
          <w:bCs/>
          <w:color w:val="000000"/>
          <w:sz w:val="32"/>
          <w:szCs w:val="32"/>
          <w:highlight w:val="none"/>
          <w:lang w:val="en-US" w:eastAsia="zh-CN"/>
        </w:rPr>
        <w:t>81.12</w:t>
      </w:r>
      <w:r>
        <w:rPr>
          <w:rStyle w:val="19"/>
          <w:rFonts w:hint="eastAsia" w:ascii="仿宋_GB2312" w:hAnsi="仿宋_GB2312" w:eastAsia="仿宋_GB2312" w:cs="仿宋_GB2312"/>
          <w:b w:val="0"/>
          <w:bCs/>
          <w:color w:val="000000"/>
          <w:sz w:val="32"/>
          <w:szCs w:val="32"/>
          <w:highlight w:val="none"/>
        </w:rPr>
        <w:t>%，决算数小于预算数的主要</w:t>
      </w:r>
      <w:r>
        <w:rPr>
          <w:rStyle w:val="19"/>
          <w:rFonts w:hint="eastAsia" w:ascii="仿宋_GB2312" w:hAnsi="仿宋_GB2312" w:eastAsia="仿宋_GB2312" w:cs="仿宋_GB2312"/>
          <w:b w:val="0"/>
          <w:bCs/>
          <w:color w:val="000000"/>
          <w:sz w:val="32"/>
          <w:szCs w:val="32"/>
          <w:highlight w:val="none"/>
          <w:lang w:eastAsia="zh-CN"/>
        </w:rPr>
        <w:t>原因是</w:t>
      </w:r>
      <w:r>
        <w:rPr>
          <w:rStyle w:val="19"/>
          <w:rFonts w:hint="eastAsia" w:ascii="仿宋_GB2312" w:hAnsi="仿宋_GB2312" w:eastAsia="仿宋_GB2312" w:cs="仿宋_GB2312"/>
          <w:b w:val="0"/>
          <w:bCs/>
          <w:color w:val="000000"/>
          <w:sz w:val="32"/>
          <w:szCs w:val="32"/>
          <w:highlight w:val="none"/>
        </w:rPr>
        <w:t>疫情原因部分项目经费未能及时支付。</w:t>
      </w:r>
    </w:p>
    <w:p>
      <w:pPr>
        <w:pStyle w:val="6"/>
        <w:ind w:firstLine="640"/>
        <w:rPr>
          <w:rStyle w:val="19"/>
          <w:rFonts w:hint="eastAsia" w:ascii="仿宋_GB2312" w:hAnsi="仿宋_GB2312" w:eastAsia="仿宋_GB2312" w:cs="仿宋_GB2312"/>
          <w:b w:val="0"/>
          <w:bCs/>
          <w:color w:val="000000"/>
          <w:sz w:val="32"/>
          <w:szCs w:val="32"/>
          <w:highlight w:val="none"/>
          <w:lang w:val="en-US" w:eastAsia="zh-CN"/>
        </w:rPr>
      </w:pPr>
      <w:r>
        <w:rPr>
          <w:rStyle w:val="19"/>
          <w:rFonts w:hint="eastAsia" w:ascii="仿宋_GB2312" w:hAnsi="仿宋_GB2312" w:eastAsia="仿宋_GB2312" w:cs="仿宋_GB2312"/>
          <w:b w:val="0"/>
          <w:bCs/>
          <w:color w:val="000000"/>
          <w:sz w:val="32"/>
          <w:szCs w:val="32"/>
          <w:highlight w:val="none"/>
          <w:lang w:val="en-US" w:eastAsia="zh-CN"/>
        </w:rPr>
        <w:t>3.</w:t>
      </w:r>
      <w:r>
        <w:rPr>
          <w:rStyle w:val="19"/>
          <w:rFonts w:hint="eastAsia" w:ascii="仿宋_GB2312" w:hAnsi="仿宋_GB2312" w:eastAsia="仿宋_GB2312" w:cs="仿宋_GB2312"/>
          <w:b w:val="0"/>
          <w:bCs/>
          <w:color w:val="000000"/>
          <w:sz w:val="32"/>
          <w:szCs w:val="32"/>
          <w:highlight w:val="none"/>
        </w:rPr>
        <w:t>一般公共服务支出（类）党委办公厅（室）及相关机构事务（款）</w:t>
      </w:r>
      <w:r>
        <w:rPr>
          <w:rStyle w:val="19"/>
          <w:rFonts w:hint="eastAsia" w:ascii="仿宋_GB2312" w:hAnsi="仿宋_GB2312" w:eastAsia="仿宋_GB2312" w:cs="仿宋_GB2312"/>
          <w:b w:val="0"/>
          <w:bCs/>
          <w:color w:val="000000"/>
          <w:sz w:val="32"/>
          <w:szCs w:val="32"/>
          <w:highlight w:val="none"/>
          <w:lang w:eastAsia="zh-CN"/>
        </w:rPr>
        <w:t>事业运行</w:t>
      </w:r>
      <w:r>
        <w:rPr>
          <w:rStyle w:val="19"/>
          <w:rFonts w:hint="eastAsia" w:ascii="仿宋_GB2312" w:hAnsi="仿宋_GB2312" w:eastAsia="仿宋_GB2312" w:cs="仿宋_GB2312"/>
          <w:b w:val="0"/>
          <w:bCs/>
          <w:color w:val="000000"/>
          <w:sz w:val="32"/>
          <w:szCs w:val="32"/>
          <w:highlight w:val="none"/>
          <w:lang w:val="en-US" w:eastAsia="zh-CN"/>
        </w:rPr>
        <w:t>（</w:t>
      </w:r>
      <w:r>
        <w:rPr>
          <w:rStyle w:val="19"/>
          <w:rFonts w:hint="eastAsia" w:ascii="仿宋_GB2312" w:hAnsi="仿宋_GB2312" w:eastAsia="仿宋_GB2312" w:cs="仿宋_GB2312"/>
          <w:b w:val="0"/>
          <w:bCs/>
          <w:color w:val="000000"/>
          <w:sz w:val="32"/>
          <w:szCs w:val="32"/>
          <w:highlight w:val="none"/>
          <w:lang w:eastAsia="zh-CN"/>
        </w:rPr>
        <w:t>项</w:t>
      </w:r>
      <w:r>
        <w:rPr>
          <w:rStyle w:val="19"/>
          <w:rFonts w:hint="eastAsia" w:ascii="仿宋_GB2312" w:hAnsi="仿宋_GB2312" w:eastAsia="仿宋_GB2312" w:cs="仿宋_GB2312"/>
          <w:b w:val="0"/>
          <w:bCs/>
          <w:color w:val="auto"/>
          <w:sz w:val="32"/>
          <w:szCs w:val="32"/>
          <w:highlight w:val="none"/>
          <w:lang w:val="en-US" w:eastAsia="zh-CN"/>
        </w:rPr>
        <w:t>）：</w:t>
      </w:r>
      <w:r>
        <w:rPr>
          <w:rStyle w:val="19"/>
          <w:rFonts w:hint="eastAsia" w:ascii="仿宋_GB2312" w:hAnsi="仿宋_GB2312" w:eastAsia="仿宋_GB2312" w:cs="仿宋_GB2312"/>
          <w:b w:val="0"/>
          <w:bCs/>
          <w:color w:val="auto"/>
          <w:sz w:val="32"/>
          <w:szCs w:val="32"/>
          <w:highlight w:val="none"/>
          <w:lang w:eastAsia="zh-CN"/>
        </w:rPr>
        <w:t>支</w:t>
      </w:r>
      <w:r>
        <w:rPr>
          <w:rStyle w:val="19"/>
          <w:rFonts w:hint="eastAsia" w:ascii="仿宋_GB2312" w:hAnsi="仿宋_GB2312" w:eastAsia="仿宋_GB2312" w:cs="仿宋_GB2312"/>
          <w:b w:val="0"/>
          <w:bCs/>
          <w:color w:val="000000"/>
          <w:sz w:val="32"/>
          <w:szCs w:val="32"/>
          <w:highlight w:val="none"/>
          <w:lang w:eastAsia="zh-CN"/>
        </w:rPr>
        <w:t>出决算为</w:t>
      </w:r>
      <w:r>
        <w:rPr>
          <w:rStyle w:val="19"/>
          <w:rFonts w:hint="eastAsia" w:ascii="仿宋_GB2312" w:hAnsi="仿宋_GB2312" w:eastAsia="仿宋_GB2312" w:cs="仿宋_GB2312"/>
          <w:b w:val="0"/>
          <w:bCs/>
          <w:color w:val="000000"/>
          <w:sz w:val="32"/>
          <w:szCs w:val="32"/>
          <w:highlight w:val="none"/>
          <w:lang w:val="en-US" w:eastAsia="zh-CN"/>
        </w:rPr>
        <w:t>86.53万元，完成预算100%。</w:t>
      </w:r>
    </w:p>
    <w:p>
      <w:pPr>
        <w:ind w:firstLine="640"/>
        <w:rPr>
          <w:rStyle w:val="19"/>
          <w:rFonts w:hint="eastAsia" w:ascii="仿宋_GB2312" w:hAnsi="仿宋_GB2312" w:eastAsia="仿宋_GB2312" w:cs="仿宋_GB2312"/>
          <w:b w:val="0"/>
          <w:bCs/>
          <w:color w:val="000000"/>
          <w:sz w:val="32"/>
          <w:szCs w:val="32"/>
          <w:highlight w:val="none"/>
        </w:rPr>
      </w:pPr>
      <w:r>
        <w:rPr>
          <w:rStyle w:val="19"/>
          <w:rFonts w:hint="eastAsia" w:ascii="仿宋_GB2312" w:hAnsi="仿宋_GB2312" w:eastAsia="仿宋_GB2312" w:cs="仿宋_GB2312"/>
          <w:b w:val="0"/>
          <w:bCs/>
          <w:color w:val="000000"/>
          <w:kern w:val="2"/>
          <w:sz w:val="32"/>
          <w:szCs w:val="32"/>
          <w:highlight w:val="none"/>
          <w:lang w:val="en-US" w:eastAsia="zh-CN" w:bidi="ar-SA"/>
        </w:rPr>
        <w:t>4.一般公</w:t>
      </w:r>
      <w:r>
        <w:rPr>
          <w:rStyle w:val="19"/>
          <w:rFonts w:hint="eastAsia" w:ascii="仿宋_GB2312" w:hAnsi="仿宋_GB2312" w:eastAsia="仿宋_GB2312" w:cs="仿宋_GB2312"/>
          <w:b w:val="0"/>
          <w:bCs/>
          <w:color w:val="000000"/>
          <w:sz w:val="32"/>
          <w:szCs w:val="32"/>
          <w:highlight w:val="none"/>
        </w:rPr>
        <w:t>共服务支出（类）党委办公厅（室）及相关机构事务（款）</w:t>
      </w:r>
      <w:r>
        <w:rPr>
          <w:rStyle w:val="19"/>
          <w:rFonts w:hint="eastAsia" w:ascii="仿宋_GB2312" w:hAnsi="仿宋_GB2312" w:eastAsia="仿宋_GB2312" w:cs="仿宋_GB2312"/>
          <w:b w:val="0"/>
          <w:bCs/>
          <w:color w:val="000000"/>
          <w:sz w:val="32"/>
          <w:szCs w:val="32"/>
          <w:highlight w:val="none"/>
          <w:lang w:eastAsia="zh-CN"/>
        </w:rPr>
        <w:t>其他党委办公厅（室）及相关机构事务支出（项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000000"/>
          <w:sz w:val="32"/>
          <w:szCs w:val="32"/>
          <w:highlight w:val="none"/>
          <w:lang w:eastAsia="zh-CN"/>
        </w:rPr>
        <w:t>支出决算为</w:t>
      </w:r>
      <w:r>
        <w:rPr>
          <w:rStyle w:val="19"/>
          <w:rFonts w:hint="eastAsia" w:ascii="仿宋_GB2312" w:hAnsi="仿宋_GB2312" w:eastAsia="仿宋_GB2312" w:cs="仿宋_GB2312"/>
          <w:b w:val="0"/>
          <w:bCs/>
          <w:color w:val="000000"/>
          <w:sz w:val="32"/>
          <w:szCs w:val="32"/>
          <w:highlight w:val="none"/>
          <w:lang w:val="en-US" w:eastAsia="zh-CN"/>
        </w:rPr>
        <w:t>2568.31万元，</w:t>
      </w:r>
      <w:r>
        <w:rPr>
          <w:rStyle w:val="19"/>
          <w:rFonts w:hint="eastAsia" w:ascii="仿宋_GB2312" w:hAnsi="仿宋_GB2312" w:eastAsia="仿宋_GB2312" w:cs="仿宋_GB2312"/>
          <w:b w:val="0"/>
          <w:bCs/>
          <w:color w:val="000000"/>
          <w:sz w:val="32"/>
          <w:szCs w:val="32"/>
          <w:highlight w:val="none"/>
        </w:rPr>
        <w:t>完成预算100%。</w:t>
      </w:r>
    </w:p>
    <w:p>
      <w:pPr>
        <w:spacing w:line="576" w:lineRule="exact"/>
        <w:ind w:firstLine="640" w:firstLineChars="200"/>
        <w:rPr>
          <w:rFonts w:hint="eastAsia" w:ascii="仿宋_GB2312" w:hAnsi="仿宋_GB2312" w:eastAsia="仿宋_GB2312" w:cs="仿宋_GB2312"/>
          <w:sz w:val="32"/>
          <w:szCs w:val="32"/>
          <w:lang w:val="en-US" w:eastAsia="zh-CN"/>
        </w:rPr>
      </w:pPr>
      <w:r>
        <w:rPr>
          <w:rStyle w:val="19"/>
          <w:rFonts w:hint="eastAsia" w:ascii="仿宋_GB2312" w:hAnsi="仿宋_GB2312" w:eastAsia="仿宋_GB2312" w:cs="仿宋_GB2312"/>
          <w:b w:val="0"/>
          <w:bCs/>
          <w:color w:val="000000"/>
          <w:sz w:val="32"/>
          <w:szCs w:val="32"/>
          <w:highlight w:val="none"/>
          <w:lang w:val="en-US" w:eastAsia="zh-CN"/>
        </w:rPr>
        <w:t>5.</w:t>
      </w:r>
      <w:r>
        <w:rPr>
          <w:rStyle w:val="19"/>
          <w:rFonts w:hint="eastAsia" w:ascii="仿宋_GB2312" w:hAnsi="仿宋_GB2312" w:eastAsia="仿宋_GB2312" w:cs="仿宋_GB2312"/>
          <w:b w:val="0"/>
          <w:bCs/>
          <w:color w:val="000000"/>
          <w:sz w:val="32"/>
          <w:szCs w:val="32"/>
          <w:highlight w:val="none"/>
        </w:rPr>
        <w:t>社会保障和就业支出（类）</w:t>
      </w:r>
      <w:r>
        <w:rPr>
          <w:rStyle w:val="19"/>
          <w:rFonts w:hint="eastAsia" w:ascii="仿宋_GB2312" w:hAnsi="仿宋_GB2312" w:eastAsia="仿宋_GB2312" w:cs="仿宋_GB2312"/>
          <w:b w:val="0"/>
          <w:bCs/>
          <w:color w:val="000000"/>
          <w:sz w:val="32"/>
          <w:szCs w:val="32"/>
          <w:highlight w:val="none"/>
          <w:lang w:eastAsia="zh-CN"/>
        </w:rPr>
        <w:t>人力资源和社会保障管理事务</w:t>
      </w:r>
      <w:r>
        <w:rPr>
          <w:rStyle w:val="19"/>
          <w:rFonts w:hint="eastAsia" w:ascii="仿宋_GB2312" w:hAnsi="仿宋_GB2312" w:eastAsia="仿宋_GB2312" w:cs="仿宋_GB2312"/>
          <w:b w:val="0"/>
          <w:bCs/>
          <w:color w:val="000000"/>
          <w:sz w:val="32"/>
          <w:szCs w:val="32"/>
          <w:highlight w:val="none"/>
          <w:lang w:val="en-US" w:eastAsia="zh-CN"/>
        </w:rPr>
        <w:t>（款）其他人力资源和社会保障管理事务（项</w:t>
      </w:r>
      <w:r>
        <w:rPr>
          <w:rStyle w:val="19"/>
          <w:rFonts w:hint="eastAsia" w:ascii="仿宋_GB2312" w:hAnsi="仿宋_GB2312" w:eastAsia="仿宋_GB2312" w:cs="仿宋_GB2312"/>
          <w:b w:val="0"/>
          <w:bCs/>
          <w:color w:val="auto"/>
          <w:sz w:val="32"/>
          <w:szCs w:val="32"/>
          <w:highlight w:val="none"/>
          <w:lang w:val="en-US" w:eastAsia="zh-CN"/>
        </w:rPr>
        <w:t>）：支</w:t>
      </w:r>
      <w:r>
        <w:rPr>
          <w:rStyle w:val="19"/>
          <w:rFonts w:hint="eastAsia" w:ascii="仿宋_GB2312" w:hAnsi="仿宋_GB2312" w:eastAsia="仿宋_GB2312" w:cs="仿宋_GB2312"/>
          <w:b w:val="0"/>
          <w:bCs/>
          <w:color w:val="000000"/>
          <w:sz w:val="32"/>
          <w:szCs w:val="32"/>
          <w:highlight w:val="none"/>
          <w:lang w:val="en-US" w:eastAsia="zh-CN"/>
        </w:rPr>
        <w:t>出决算为12万元，</w:t>
      </w:r>
      <w:r>
        <w:rPr>
          <w:rStyle w:val="19"/>
          <w:rFonts w:hint="eastAsia" w:ascii="仿宋_GB2312" w:hAnsi="仿宋_GB2312" w:eastAsia="仿宋_GB2312" w:cs="仿宋_GB2312"/>
          <w:b w:val="0"/>
          <w:bCs/>
          <w:color w:val="000000"/>
          <w:sz w:val="32"/>
          <w:szCs w:val="32"/>
          <w:highlight w:val="none"/>
        </w:rPr>
        <w:t>完成预算100%。</w:t>
      </w:r>
    </w:p>
    <w:p>
      <w:pPr>
        <w:spacing w:line="576" w:lineRule="exact"/>
        <w:ind w:firstLine="640" w:firstLineChars="200"/>
        <w:rPr>
          <w:rStyle w:val="19"/>
          <w:rFonts w:hint="eastAsia" w:ascii="仿宋_GB2312" w:hAnsi="仿宋_GB2312" w:eastAsia="仿宋_GB2312" w:cs="仿宋_GB2312"/>
          <w:b w:val="0"/>
          <w:bCs/>
          <w:color w:val="000000"/>
          <w:sz w:val="32"/>
          <w:szCs w:val="32"/>
          <w:highlight w:val="none"/>
          <w:lang w:val="en-US" w:eastAsia="zh-CN"/>
        </w:rPr>
      </w:pPr>
      <w:r>
        <w:rPr>
          <w:rStyle w:val="19"/>
          <w:rFonts w:hint="eastAsia" w:ascii="仿宋_GB2312" w:hAnsi="仿宋_GB2312" w:eastAsia="仿宋_GB2312" w:cs="仿宋_GB2312"/>
          <w:b w:val="0"/>
          <w:bCs/>
          <w:color w:val="000000"/>
          <w:sz w:val="32"/>
          <w:szCs w:val="32"/>
          <w:highlight w:val="none"/>
          <w:lang w:val="en-US" w:eastAsia="zh-CN"/>
        </w:rPr>
        <w:t>6</w:t>
      </w:r>
      <w:r>
        <w:rPr>
          <w:rStyle w:val="19"/>
          <w:rFonts w:hint="eastAsia" w:ascii="仿宋_GB2312" w:hAnsi="仿宋_GB2312" w:eastAsia="仿宋_GB2312" w:cs="仿宋_GB2312"/>
          <w:b w:val="0"/>
          <w:bCs/>
          <w:color w:val="000000"/>
          <w:sz w:val="32"/>
          <w:szCs w:val="32"/>
          <w:highlight w:val="none"/>
        </w:rPr>
        <w:t>.社会保障和就业支出（类）行政事业单位养老支出（款）机关事业单位基本养老保险缴费支出（</w:t>
      </w:r>
      <w:r>
        <w:rPr>
          <w:rStyle w:val="19"/>
          <w:rFonts w:hint="eastAsia" w:ascii="仿宋_GB2312" w:hAnsi="仿宋_GB2312" w:eastAsia="仿宋_GB2312" w:cs="仿宋_GB2312"/>
          <w:b w:val="0"/>
          <w:bCs/>
          <w:color w:val="auto"/>
          <w:sz w:val="32"/>
          <w:szCs w:val="32"/>
          <w:highlight w:val="none"/>
        </w:rPr>
        <w:t>项）</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000000"/>
          <w:sz w:val="32"/>
          <w:szCs w:val="32"/>
          <w:highlight w:val="none"/>
        </w:rPr>
        <w:t>支出决算为</w:t>
      </w:r>
      <w:r>
        <w:rPr>
          <w:rStyle w:val="19"/>
          <w:rFonts w:hint="eastAsia" w:ascii="仿宋_GB2312" w:hAnsi="仿宋_GB2312" w:eastAsia="仿宋_GB2312" w:cs="仿宋_GB2312"/>
          <w:b w:val="0"/>
          <w:bCs/>
          <w:color w:val="000000"/>
          <w:sz w:val="32"/>
          <w:szCs w:val="32"/>
          <w:highlight w:val="none"/>
          <w:lang w:val="en-US" w:eastAsia="zh-CN"/>
        </w:rPr>
        <w:t>142.89</w:t>
      </w:r>
      <w:r>
        <w:rPr>
          <w:rStyle w:val="19"/>
          <w:rFonts w:hint="eastAsia" w:ascii="仿宋_GB2312" w:hAnsi="仿宋_GB2312" w:eastAsia="仿宋_GB2312" w:cs="仿宋_GB2312"/>
          <w:b w:val="0"/>
          <w:bCs/>
          <w:color w:val="000000"/>
          <w:sz w:val="32"/>
          <w:szCs w:val="32"/>
          <w:highlight w:val="none"/>
        </w:rPr>
        <w:t>万元，完成预算100%。</w:t>
      </w:r>
    </w:p>
    <w:p>
      <w:pPr>
        <w:spacing w:line="576" w:lineRule="exact"/>
        <w:ind w:firstLine="640" w:firstLineChars="200"/>
        <w:rPr>
          <w:rStyle w:val="19"/>
          <w:rFonts w:hint="eastAsia" w:ascii="仿宋_GB2312" w:hAnsi="仿宋_GB2312" w:eastAsia="仿宋_GB2312" w:cs="仿宋_GB2312"/>
          <w:b w:val="0"/>
          <w:bCs/>
          <w:color w:val="000000"/>
          <w:sz w:val="32"/>
          <w:szCs w:val="32"/>
          <w:highlight w:val="yellow"/>
        </w:rPr>
      </w:pPr>
      <w:r>
        <w:rPr>
          <w:rStyle w:val="19"/>
          <w:rFonts w:hint="eastAsia" w:ascii="仿宋_GB2312" w:hAnsi="仿宋_GB2312" w:eastAsia="仿宋_GB2312" w:cs="仿宋_GB2312"/>
          <w:b w:val="0"/>
          <w:bCs/>
          <w:color w:val="000000"/>
          <w:sz w:val="32"/>
          <w:szCs w:val="32"/>
          <w:highlight w:val="none"/>
          <w:lang w:val="en-US" w:eastAsia="zh-CN"/>
        </w:rPr>
        <w:t>7</w:t>
      </w:r>
      <w:r>
        <w:rPr>
          <w:rStyle w:val="19"/>
          <w:rFonts w:hint="eastAsia" w:ascii="仿宋_GB2312" w:hAnsi="仿宋_GB2312" w:eastAsia="仿宋_GB2312" w:cs="仿宋_GB2312"/>
          <w:b w:val="0"/>
          <w:bCs/>
          <w:color w:val="000000"/>
          <w:sz w:val="32"/>
          <w:szCs w:val="32"/>
          <w:highlight w:val="none"/>
        </w:rPr>
        <w:t>.社会保障和就业支出（类）行政事业单位养老支出（款）机关事业单位职业年金缴费支出（项）</w:t>
      </w:r>
      <w:r>
        <w:rPr>
          <w:rStyle w:val="19"/>
          <w:rFonts w:hint="eastAsia" w:ascii="仿宋_GB2312" w:hAnsi="仿宋_GB2312" w:eastAsia="仿宋_GB2312" w:cs="仿宋_GB2312"/>
          <w:b w:val="0"/>
          <w:bCs/>
          <w:color w:val="000000"/>
          <w:sz w:val="32"/>
          <w:szCs w:val="32"/>
          <w:highlight w:val="none"/>
          <w:lang w:eastAsia="zh-CN"/>
        </w:rPr>
        <w:t>：</w:t>
      </w:r>
      <w:r>
        <w:rPr>
          <w:rStyle w:val="19"/>
          <w:rFonts w:hint="eastAsia" w:ascii="仿宋_GB2312" w:hAnsi="仿宋_GB2312" w:eastAsia="仿宋_GB2312" w:cs="仿宋_GB2312"/>
          <w:b w:val="0"/>
          <w:bCs/>
          <w:color w:val="000000"/>
          <w:sz w:val="32"/>
          <w:szCs w:val="32"/>
          <w:highlight w:val="none"/>
        </w:rPr>
        <w:t>支出决算为43.</w:t>
      </w:r>
      <w:r>
        <w:rPr>
          <w:rStyle w:val="19"/>
          <w:rFonts w:hint="eastAsia" w:ascii="仿宋_GB2312" w:hAnsi="仿宋_GB2312" w:eastAsia="仿宋_GB2312" w:cs="仿宋_GB2312"/>
          <w:b w:val="0"/>
          <w:bCs/>
          <w:color w:val="000000"/>
          <w:sz w:val="32"/>
          <w:szCs w:val="32"/>
          <w:highlight w:val="none"/>
          <w:lang w:val="en-US" w:eastAsia="zh-CN"/>
        </w:rPr>
        <w:t>66</w:t>
      </w:r>
      <w:r>
        <w:rPr>
          <w:rStyle w:val="19"/>
          <w:rFonts w:hint="eastAsia" w:ascii="仿宋_GB2312" w:hAnsi="仿宋_GB2312" w:eastAsia="仿宋_GB2312" w:cs="仿宋_GB2312"/>
          <w:b w:val="0"/>
          <w:bCs/>
          <w:color w:val="000000"/>
          <w:sz w:val="32"/>
          <w:szCs w:val="32"/>
          <w:highlight w:val="none"/>
        </w:rPr>
        <w:t>万元，完成预算100%。</w:t>
      </w:r>
    </w:p>
    <w:p>
      <w:pPr>
        <w:spacing w:line="576" w:lineRule="exact"/>
        <w:ind w:firstLine="640" w:firstLineChars="200"/>
        <w:rPr>
          <w:rFonts w:hint="eastAsia" w:ascii="仿宋_GB2312" w:hAnsi="仿宋_GB2312" w:eastAsia="仿宋_GB2312" w:cs="仿宋_GB2312"/>
          <w:color w:val="000000"/>
          <w:sz w:val="32"/>
          <w:szCs w:val="32"/>
          <w:highlight w:val="none"/>
        </w:rPr>
      </w:pPr>
      <w:r>
        <w:rPr>
          <w:rStyle w:val="19"/>
          <w:rFonts w:hint="eastAsia" w:ascii="仿宋_GB2312" w:hAnsi="仿宋_GB2312" w:eastAsia="仿宋_GB2312" w:cs="仿宋_GB2312"/>
          <w:b w:val="0"/>
          <w:bCs/>
          <w:color w:val="000000"/>
          <w:sz w:val="32"/>
          <w:szCs w:val="32"/>
          <w:highlight w:val="none"/>
          <w:lang w:val="en-US" w:eastAsia="zh-CN"/>
        </w:rPr>
        <w:t>8</w:t>
      </w:r>
      <w:r>
        <w:rPr>
          <w:rStyle w:val="19"/>
          <w:rFonts w:hint="eastAsia" w:ascii="仿宋_GB2312" w:hAnsi="仿宋_GB2312" w:eastAsia="仿宋_GB2312" w:cs="仿宋_GB2312"/>
          <w:b w:val="0"/>
          <w:bCs/>
          <w:color w:val="000000"/>
          <w:sz w:val="32"/>
          <w:szCs w:val="32"/>
          <w:highlight w:val="none"/>
        </w:rPr>
        <w:t>.</w:t>
      </w:r>
      <w:r>
        <w:rPr>
          <w:rFonts w:hint="eastAsia" w:ascii="仿宋_GB2312" w:hAnsi="仿宋_GB2312" w:eastAsia="仿宋_GB2312" w:cs="仿宋_GB2312"/>
          <w:bCs/>
          <w:color w:val="000000"/>
          <w:sz w:val="32"/>
          <w:szCs w:val="32"/>
          <w:highlight w:val="none"/>
        </w:rPr>
        <w:t>卫生健康支出</w:t>
      </w:r>
      <w:r>
        <w:rPr>
          <w:rStyle w:val="19"/>
          <w:rFonts w:hint="eastAsia" w:ascii="仿宋_GB2312" w:hAnsi="仿宋_GB2312" w:eastAsia="仿宋_GB2312" w:cs="仿宋_GB2312"/>
          <w:b w:val="0"/>
          <w:bCs/>
          <w:color w:val="000000"/>
          <w:sz w:val="32"/>
          <w:szCs w:val="32"/>
          <w:highlight w:val="none"/>
        </w:rPr>
        <w:t>（类）行政事业单位医疗（款）行政单位医疗（项）</w:t>
      </w:r>
      <w:r>
        <w:rPr>
          <w:rStyle w:val="19"/>
          <w:rFonts w:hint="eastAsia" w:ascii="仿宋_GB2312" w:hAnsi="仿宋_GB2312" w:eastAsia="仿宋_GB2312" w:cs="仿宋_GB2312"/>
          <w:b w:val="0"/>
          <w:bCs/>
          <w:color w:val="000000"/>
          <w:sz w:val="32"/>
          <w:szCs w:val="32"/>
          <w:highlight w:val="none"/>
          <w:lang w:eastAsia="zh-CN"/>
        </w:rPr>
        <w:t>：</w:t>
      </w:r>
      <w:r>
        <w:rPr>
          <w:rStyle w:val="19"/>
          <w:rFonts w:hint="eastAsia" w:ascii="仿宋_GB2312" w:hAnsi="仿宋_GB2312" w:eastAsia="仿宋_GB2312" w:cs="仿宋_GB2312"/>
          <w:b w:val="0"/>
          <w:bCs/>
          <w:color w:val="000000"/>
          <w:sz w:val="32"/>
          <w:szCs w:val="32"/>
          <w:highlight w:val="none"/>
        </w:rPr>
        <w:t>支出决算为</w:t>
      </w:r>
      <w:r>
        <w:rPr>
          <w:rStyle w:val="19"/>
          <w:rFonts w:hint="eastAsia" w:ascii="仿宋_GB2312" w:hAnsi="仿宋_GB2312" w:eastAsia="仿宋_GB2312" w:cs="仿宋_GB2312"/>
          <w:b w:val="0"/>
          <w:bCs/>
          <w:color w:val="000000"/>
          <w:sz w:val="32"/>
          <w:szCs w:val="32"/>
          <w:highlight w:val="none"/>
          <w:lang w:val="en-US" w:eastAsia="zh-CN"/>
        </w:rPr>
        <w:t>73.14</w:t>
      </w:r>
      <w:r>
        <w:rPr>
          <w:rStyle w:val="19"/>
          <w:rFonts w:hint="eastAsia" w:ascii="仿宋_GB2312" w:hAnsi="仿宋_GB2312" w:eastAsia="仿宋_GB2312" w:cs="仿宋_GB2312"/>
          <w:b w:val="0"/>
          <w:bCs/>
          <w:color w:val="000000"/>
          <w:sz w:val="32"/>
          <w:szCs w:val="32"/>
          <w:highlight w:val="none"/>
        </w:rPr>
        <w:t>万元，完成预算100%。</w:t>
      </w:r>
    </w:p>
    <w:p>
      <w:pPr>
        <w:spacing w:line="576"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.住房保障支出（类）住房改革支出（款）住房公积金（项）</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支出决算数为1</w:t>
      </w:r>
      <w:r>
        <w:rPr>
          <w:rFonts w:hint="eastAsia" w:ascii="仿宋_GB2312" w:hAnsi="仿宋_GB2312" w:eastAsia="仿宋_GB2312" w:cs="仿宋_GB2312"/>
          <w:color w:val="000000"/>
          <w:sz w:val="32"/>
          <w:szCs w:val="32"/>
          <w:highlight w:val="none"/>
          <w:lang w:val="en-US" w:eastAsia="zh-CN"/>
        </w:rPr>
        <w:t>54.49</w:t>
      </w:r>
      <w:r>
        <w:rPr>
          <w:rFonts w:hint="eastAsia" w:ascii="仿宋_GB2312" w:hAnsi="仿宋_GB2312" w:eastAsia="仿宋_GB2312" w:cs="仿宋_GB2312"/>
          <w:color w:val="000000"/>
          <w:sz w:val="32"/>
          <w:szCs w:val="32"/>
          <w:highlight w:val="none"/>
        </w:rPr>
        <w:t>万元，完成预算100%。</w:t>
      </w:r>
    </w:p>
    <w:p>
      <w:pPr>
        <w:tabs>
          <w:tab w:val="right" w:pos="8306"/>
        </w:tabs>
        <w:spacing w:line="600" w:lineRule="exact"/>
        <w:ind w:firstLine="640"/>
        <w:outlineLvl w:val="1"/>
        <w:rPr>
          <w:rStyle w:val="22"/>
          <w:color w:val="auto"/>
          <w:highlight w:val="none"/>
        </w:rPr>
      </w:pPr>
      <w:bookmarkStart w:id="47" w:name="_Toc23549"/>
      <w:bookmarkStart w:id="48" w:name="_Toc15377214"/>
      <w:bookmarkStart w:id="4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47"/>
      <w:bookmarkEnd w:id="48"/>
      <w:bookmarkEnd w:id="49"/>
      <w:r>
        <w:rPr>
          <w:rStyle w:val="22"/>
          <w:rFonts w:ascii="黑体" w:hAnsi="黑体" w:eastAsia="黑体"/>
          <w:b w:val="0"/>
          <w:color w:val="auto"/>
          <w:highlight w:val="none"/>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2520.76</w:t>
      </w:r>
      <w:r>
        <w:rPr>
          <w:rFonts w:hint="eastAsia" w:ascii="仿宋_GB2312" w:hAnsi="仿宋_GB2312" w:eastAsia="仿宋_GB2312" w:cs="仿宋_GB2312"/>
          <w:color w:val="auto"/>
          <w:sz w:val="32"/>
          <w:szCs w:val="32"/>
          <w:highlight w:val="none"/>
        </w:rPr>
        <w:t>万元，其中：</w:t>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2150.63</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其他社会保障缴费、住房公积金、其他工资福利支出、生活补助、奖励金、其他对个人和家庭的补助支出等。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370.13</w:t>
      </w:r>
      <w:r>
        <w:rPr>
          <w:rFonts w:hint="eastAsia" w:ascii="仿宋_GB2312" w:hAnsi="仿宋_GB2312" w:eastAsia="仿宋_GB2312" w:cs="仿宋_GB2312"/>
          <w:color w:val="auto"/>
          <w:sz w:val="32"/>
          <w:szCs w:val="32"/>
          <w:highlight w:val="none"/>
        </w:rPr>
        <w:t>万元，主要包括：办公费、印刷费、水费、电费、邮电费、物业管理费、差旅费、维修（护）费、会议费、培训费、公务接待费、劳务费、工会经费、福利费、公务用车运行维护费、其他交通费、其他商品和服务支出等。</w:t>
      </w:r>
    </w:p>
    <w:p>
      <w:pPr>
        <w:spacing w:line="600" w:lineRule="exact"/>
        <w:ind w:firstLine="640"/>
        <w:outlineLvl w:val="1"/>
        <w:rPr>
          <w:rStyle w:val="22"/>
          <w:rFonts w:ascii="黑体" w:hAnsi="黑体" w:eastAsia="黑体"/>
          <w:b w:val="0"/>
          <w:color w:val="auto"/>
          <w:highlight w:val="none"/>
        </w:rPr>
      </w:pPr>
      <w:bookmarkStart w:id="50" w:name="_Toc15377215"/>
      <w:bookmarkStart w:id="51" w:name="_Toc15396609"/>
      <w:bookmarkStart w:id="52" w:name="_Toc21350"/>
      <w:r>
        <w:rPr>
          <w:rFonts w:hint="eastAsia" w:ascii="黑体" w:eastAsia="黑体"/>
          <w:color w:val="auto"/>
          <w:sz w:val="32"/>
          <w:szCs w:val="32"/>
          <w:highlight w:val="none"/>
        </w:rPr>
        <w:t>七、</w:t>
      </w:r>
      <w:r>
        <w:rPr>
          <w:rStyle w:val="22"/>
          <w:rFonts w:hint="eastAsia" w:ascii="黑体" w:hAnsi="黑体" w:eastAsia="黑体"/>
          <w:b w:val="0"/>
          <w:color w:val="auto"/>
          <w:highlight w:val="none"/>
        </w:rPr>
        <w:t>财政拨款</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三公”经费支出决算情况说明</w:t>
      </w:r>
      <w:bookmarkEnd w:id="50"/>
      <w:bookmarkEnd w:id="51"/>
      <w:bookmarkEnd w:id="52"/>
    </w:p>
    <w:p>
      <w:pPr>
        <w:spacing w:line="600" w:lineRule="exact"/>
        <w:ind w:firstLine="640"/>
        <w:outlineLvl w:val="2"/>
        <w:rPr>
          <w:rFonts w:ascii="仿宋" w:hAnsi="仿宋" w:eastAsia="仿宋"/>
          <w:b/>
          <w:color w:val="auto"/>
          <w:sz w:val="32"/>
          <w:szCs w:val="32"/>
          <w:highlight w:val="none"/>
        </w:rPr>
      </w:pPr>
      <w:bookmarkStart w:id="53" w:name="_Toc15377216"/>
      <w:r>
        <w:rPr>
          <w:rFonts w:hint="eastAsia" w:ascii="仿宋" w:hAnsi="仿宋" w:eastAsia="仿宋"/>
          <w:b/>
          <w:color w:val="auto"/>
          <w:sz w:val="32"/>
          <w:szCs w:val="32"/>
          <w:highlight w:val="none"/>
        </w:rPr>
        <w:t>（一）“三公”经费财政拨款支出决算总体情况说明</w:t>
      </w:r>
      <w:bookmarkEnd w:id="53"/>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年“三公”经费财政拨款支出决算为101.65万元，完成预算</w:t>
      </w:r>
      <w:r>
        <w:rPr>
          <w:rFonts w:hint="eastAsia" w:ascii="仿宋_GB2312" w:hAnsi="仿宋_GB2312" w:eastAsia="仿宋_GB2312" w:cs="仿宋_GB2312"/>
          <w:color w:val="auto"/>
          <w:sz w:val="32"/>
          <w:szCs w:val="32"/>
          <w:highlight w:val="none"/>
          <w:lang w:val="en-US" w:eastAsia="zh-CN"/>
        </w:rPr>
        <w:t>93.52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减少14.95万元，下降12.82%。</w:t>
      </w:r>
      <w:r>
        <w:rPr>
          <w:rFonts w:hint="eastAsia" w:ascii="仿宋_GB2312" w:hAnsi="仿宋_GB2312" w:eastAsia="仿宋_GB2312" w:cs="仿宋_GB2312"/>
          <w:color w:val="auto"/>
          <w:sz w:val="32"/>
          <w:szCs w:val="32"/>
          <w:highlight w:val="none"/>
        </w:rPr>
        <w:t>决算数小于预算数的主要原因是公务接待费</w:t>
      </w:r>
      <w:r>
        <w:rPr>
          <w:rFonts w:hint="eastAsia" w:ascii="仿宋_GB2312" w:hAnsi="仿宋_GB2312" w:eastAsia="仿宋_GB2312" w:cs="仿宋_GB2312"/>
          <w:color w:val="000000"/>
          <w:sz w:val="32"/>
          <w:szCs w:val="32"/>
          <w:highlight w:val="none"/>
        </w:rPr>
        <w:t>减少。</w:t>
      </w:r>
    </w:p>
    <w:p>
      <w:pPr>
        <w:spacing w:line="600" w:lineRule="exact"/>
        <w:ind w:firstLine="640"/>
        <w:outlineLvl w:val="2"/>
        <w:rPr>
          <w:rFonts w:ascii="仿宋" w:hAnsi="仿宋" w:eastAsia="仿宋"/>
          <w:b/>
          <w:color w:val="auto"/>
          <w:sz w:val="32"/>
          <w:szCs w:val="32"/>
          <w:highlight w:val="none"/>
        </w:rPr>
      </w:pPr>
      <w:bookmarkStart w:id="54" w:name="_Toc15377217"/>
      <w:r>
        <w:rPr>
          <w:rFonts w:hint="eastAsia" w:ascii="仿宋" w:hAnsi="仿宋" w:eastAsia="仿宋"/>
          <w:b/>
          <w:color w:val="auto"/>
          <w:sz w:val="32"/>
          <w:szCs w:val="32"/>
          <w:highlight w:val="none"/>
        </w:rPr>
        <w:t>（二）“三公”经费财政拨款支出决算具体情况说明</w:t>
      </w:r>
      <w:bookmarkEnd w:id="54"/>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%；公务用车购置及运行维护费支出决算81.39万元，占</w:t>
      </w:r>
      <w:r>
        <w:rPr>
          <w:rFonts w:hint="eastAsia" w:ascii="仿宋_GB2312" w:hAnsi="仿宋_GB2312" w:eastAsia="仿宋_GB2312" w:cs="仿宋_GB2312"/>
          <w:color w:val="auto"/>
          <w:sz w:val="32"/>
          <w:szCs w:val="32"/>
          <w:highlight w:val="none"/>
          <w:lang w:val="en-US" w:eastAsia="zh-CN"/>
        </w:rPr>
        <w:t>80.07</w:t>
      </w:r>
      <w:r>
        <w:rPr>
          <w:rFonts w:hint="eastAsia" w:ascii="仿宋_GB2312" w:hAnsi="仿宋_GB2312" w:eastAsia="仿宋_GB2312" w:cs="仿宋_GB2312"/>
          <w:color w:val="auto"/>
          <w:sz w:val="32"/>
          <w:szCs w:val="32"/>
          <w:highlight w:val="none"/>
        </w:rPr>
        <w:t>%；公务接待费支出决算20.26万元，占</w:t>
      </w:r>
      <w:r>
        <w:rPr>
          <w:rFonts w:hint="eastAsia" w:ascii="仿宋_GB2312" w:hAnsi="仿宋_GB2312" w:eastAsia="仿宋_GB2312" w:cs="仿宋_GB2312"/>
          <w:color w:val="auto"/>
          <w:sz w:val="32"/>
          <w:szCs w:val="32"/>
          <w:highlight w:val="none"/>
          <w:lang w:val="en-US" w:eastAsia="zh-CN"/>
        </w:rPr>
        <w:t>19.93</w:t>
      </w:r>
      <w:r>
        <w:rPr>
          <w:rFonts w:hint="eastAsia" w:ascii="仿宋_GB2312" w:hAnsi="仿宋_GB2312" w:eastAsia="仿宋_GB2312" w:cs="仿宋_GB2312"/>
          <w:color w:val="auto"/>
          <w:sz w:val="32"/>
          <w:szCs w:val="32"/>
          <w:highlight w:val="none"/>
        </w:rPr>
        <w:t>%。具体情况如下：</w:t>
      </w:r>
    </w:p>
    <w:p/>
    <w:p>
      <w:pPr>
        <w:pStyle w:val="24"/>
        <w:jc w:val="center"/>
      </w:pPr>
      <w:r>
        <w:drawing>
          <wp:inline distT="0" distB="0" distL="114300" distR="114300">
            <wp:extent cx="3050540" cy="1992630"/>
            <wp:effectExtent l="4445" t="4445" r="12065" b="22225"/>
            <wp:docPr id="103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w:t>
      </w:r>
    </w:p>
    <w:p>
      <w:pPr>
        <w:numPr>
          <w:ilvl w:val="0"/>
          <w:numId w:val="0"/>
        </w:numPr>
        <w:spacing w:line="576"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sz w:val="32"/>
          <w:szCs w:val="32"/>
          <w:highlight w:val="none"/>
        </w:rPr>
        <w:t>1.因公出国（境）经费支出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000000"/>
          <w:sz w:val="32"/>
          <w:szCs w:val="32"/>
          <w:lang w:eastAsia="zh-CN"/>
        </w:rPr>
        <w:t>年初未安排预算。因公出国（境）支出决算较202</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eastAsia="zh-CN"/>
        </w:rPr>
        <w:t>年无变化。</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2.公务用车购置及运行维护费支出81.39万元</w:t>
      </w:r>
      <w:r>
        <w:rPr>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公务用车购置及运行维护费支出决算比20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年减少</w:t>
      </w:r>
      <w:r>
        <w:rPr>
          <w:rFonts w:hint="eastAsia" w:ascii="仿宋_GB2312" w:hAnsi="仿宋_GB2312" w:eastAsia="仿宋_GB2312" w:cs="仿宋_GB2312"/>
          <w:b w:val="0"/>
          <w:bCs/>
          <w:color w:val="auto"/>
          <w:sz w:val="32"/>
          <w:szCs w:val="32"/>
          <w:highlight w:val="none"/>
          <w:lang w:val="en-US" w:eastAsia="zh-CN"/>
        </w:rPr>
        <w:t>1.37</w:t>
      </w:r>
      <w:r>
        <w:rPr>
          <w:rFonts w:hint="eastAsia" w:ascii="仿宋_GB2312" w:hAnsi="仿宋_GB2312" w:eastAsia="仿宋_GB2312" w:cs="仿宋_GB2312"/>
          <w:b w:val="0"/>
          <w:bCs/>
          <w:color w:val="auto"/>
          <w:sz w:val="32"/>
          <w:szCs w:val="32"/>
          <w:highlight w:val="none"/>
        </w:rPr>
        <w:t>万元，下降</w:t>
      </w:r>
      <w:r>
        <w:rPr>
          <w:rFonts w:hint="eastAsia" w:ascii="仿宋_GB2312" w:hAnsi="仿宋_GB2312" w:eastAsia="仿宋_GB2312" w:cs="仿宋_GB2312"/>
          <w:b w:val="0"/>
          <w:bCs/>
          <w:color w:val="auto"/>
          <w:sz w:val="32"/>
          <w:szCs w:val="32"/>
          <w:highlight w:val="none"/>
          <w:lang w:val="en-US" w:eastAsia="zh-CN"/>
        </w:rPr>
        <w:t>1.66</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主要原因是公务用车运行维护费</w:t>
      </w:r>
      <w:r>
        <w:rPr>
          <w:rFonts w:hint="eastAsia" w:ascii="仿宋_GB2312" w:hAnsi="仿宋_GB2312" w:eastAsia="仿宋_GB2312" w:cs="仿宋_GB2312"/>
          <w:b w:val="0"/>
          <w:bCs/>
          <w:color w:val="auto"/>
          <w:sz w:val="32"/>
          <w:szCs w:val="32"/>
          <w:highlight w:val="none"/>
          <w:lang w:eastAsia="zh-CN"/>
        </w:rPr>
        <w:t>减少</w:t>
      </w:r>
      <w:r>
        <w:rPr>
          <w:rFonts w:hint="eastAsia" w:ascii="仿宋_GB2312" w:hAnsi="仿宋_GB2312" w:eastAsia="仿宋_GB2312" w:cs="仿宋_GB2312"/>
          <w:b w:val="0"/>
          <w:bCs/>
          <w:color w:val="auto"/>
          <w:sz w:val="32"/>
          <w:szCs w:val="32"/>
          <w:highlight w:val="none"/>
        </w:rPr>
        <w:t>。</w:t>
      </w:r>
    </w:p>
    <w:p>
      <w:pPr>
        <w:spacing w:line="576"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rPr>
        <w:t>其中：公务用车购置支出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截至</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年12月底，</w:t>
      </w:r>
      <w:r>
        <w:rPr>
          <w:rFonts w:hint="eastAsia" w:ascii="仿宋_GB2312" w:hAnsi="仿宋_GB2312" w:eastAsia="仿宋_GB2312" w:cs="仿宋_GB2312"/>
          <w:color w:val="000000"/>
          <w:sz w:val="32"/>
          <w:szCs w:val="32"/>
          <w:highlight w:val="none"/>
        </w:rPr>
        <w:t>单位共有公务用车10辆，其中：轿车3辆、越野车2辆、</w:t>
      </w:r>
      <w:r>
        <w:rPr>
          <w:rFonts w:hint="eastAsia" w:ascii="仿宋_GB2312" w:hAnsi="仿宋_GB2312" w:eastAsia="仿宋_GB2312" w:cs="仿宋_GB2312"/>
          <w:color w:val="000000"/>
          <w:sz w:val="32"/>
          <w:szCs w:val="32"/>
          <w:highlight w:val="none"/>
          <w:lang w:eastAsia="zh-CN"/>
        </w:rPr>
        <w:t>公务接待中巴车</w:t>
      </w:r>
      <w:r>
        <w:rPr>
          <w:rFonts w:hint="eastAsia" w:ascii="仿宋_GB2312" w:hAnsi="仿宋_GB2312" w:eastAsia="仿宋_GB2312" w:cs="仿宋_GB2312"/>
          <w:color w:val="000000"/>
          <w:sz w:val="32"/>
          <w:szCs w:val="32"/>
          <w:highlight w:val="none"/>
        </w:rPr>
        <w:t>5辆。</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公务用车运行维护费支出81.39万元。</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000000"/>
          <w:sz w:val="32"/>
          <w:szCs w:val="32"/>
        </w:rPr>
        <w:t>公务活动</w:t>
      </w:r>
      <w:r>
        <w:rPr>
          <w:rFonts w:hint="eastAsia" w:ascii="仿宋_GB2312" w:hAnsi="仿宋_GB2312" w:eastAsia="仿宋_GB2312" w:cs="仿宋_GB2312"/>
          <w:color w:val="auto"/>
          <w:sz w:val="32"/>
          <w:szCs w:val="32"/>
          <w:highlight w:val="none"/>
        </w:rPr>
        <w:t>等所需的公务用车燃料费、维修费、过路过桥费、保险费等支出。</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3.公务接待费支出20.26万元，</w:t>
      </w:r>
      <w:r>
        <w:rPr>
          <w:rStyle w:val="19"/>
          <w:rFonts w:hint="eastAsia" w:ascii="仿宋_GB2312" w:hAnsi="仿宋_GB2312" w:eastAsia="仿宋_GB2312" w:cs="仿宋_GB2312"/>
          <w:b w:val="0"/>
          <w:bCs/>
          <w:color w:val="auto"/>
          <w:sz w:val="32"/>
          <w:szCs w:val="32"/>
          <w:highlight w:val="none"/>
        </w:rPr>
        <w:t>完成预算</w:t>
      </w:r>
      <w:r>
        <w:rPr>
          <w:rStyle w:val="19"/>
          <w:rFonts w:hint="eastAsia" w:ascii="仿宋_GB2312" w:hAnsi="仿宋_GB2312" w:eastAsia="仿宋_GB2312" w:cs="仿宋_GB2312"/>
          <w:b w:val="0"/>
          <w:bCs/>
          <w:color w:val="auto"/>
          <w:sz w:val="32"/>
          <w:szCs w:val="32"/>
          <w:highlight w:val="none"/>
          <w:lang w:val="en-US" w:eastAsia="zh-CN"/>
        </w:rPr>
        <w:t>74.21</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公务接待费支出决算比20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年减少</w:t>
      </w:r>
      <w:r>
        <w:rPr>
          <w:rFonts w:hint="eastAsia" w:ascii="仿宋_GB2312" w:hAnsi="仿宋_GB2312" w:eastAsia="仿宋_GB2312" w:cs="仿宋_GB2312"/>
          <w:b w:val="0"/>
          <w:bCs/>
          <w:color w:val="auto"/>
          <w:sz w:val="32"/>
          <w:szCs w:val="32"/>
          <w:highlight w:val="none"/>
          <w:lang w:val="en-US" w:eastAsia="zh-CN"/>
        </w:rPr>
        <w:t>13.58</w:t>
      </w:r>
      <w:r>
        <w:rPr>
          <w:rFonts w:hint="eastAsia" w:ascii="仿宋_GB2312" w:hAnsi="仿宋_GB2312" w:eastAsia="仿宋_GB2312" w:cs="仿宋_GB2312"/>
          <w:b w:val="0"/>
          <w:bCs/>
          <w:color w:val="auto"/>
          <w:sz w:val="32"/>
          <w:szCs w:val="32"/>
          <w:highlight w:val="none"/>
        </w:rPr>
        <w:t>万元，下降</w:t>
      </w:r>
      <w:r>
        <w:rPr>
          <w:rFonts w:hint="eastAsia" w:ascii="仿宋_GB2312" w:hAnsi="仿宋_GB2312" w:eastAsia="仿宋_GB2312" w:cs="仿宋_GB2312"/>
          <w:b w:val="0"/>
          <w:bCs/>
          <w:color w:val="auto"/>
          <w:sz w:val="32"/>
          <w:szCs w:val="32"/>
          <w:highlight w:val="none"/>
          <w:lang w:val="en-US" w:eastAsia="zh-CN"/>
        </w:rPr>
        <w:t>40.13</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color w:val="000000"/>
          <w:sz w:val="32"/>
          <w:szCs w:val="32"/>
          <w:highlight w:val="none"/>
          <w:lang w:eastAsia="zh-CN"/>
        </w:rPr>
        <w:t>受疫情影响公务接待减少</w:t>
      </w:r>
      <w:r>
        <w:rPr>
          <w:rFonts w:hint="eastAsia" w:ascii="仿宋_GB2312" w:hAnsi="仿宋_GB2312" w:eastAsia="仿宋_GB2312" w:cs="仿宋_GB2312"/>
          <w:b w:val="0"/>
          <w:bCs/>
          <w:color w:val="auto"/>
          <w:sz w:val="32"/>
          <w:szCs w:val="32"/>
          <w:highlight w:val="none"/>
        </w:rPr>
        <w:t>。其中：</w:t>
      </w:r>
    </w:p>
    <w:p>
      <w:pPr>
        <w:spacing w:line="576"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国内公务接待支出20.26万元，主要用于</w:t>
      </w:r>
      <w:r>
        <w:rPr>
          <w:rFonts w:hint="eastAsia" w:ascii="仿宋_GB2312" w:hAnsi="仿宋_GB2312" w:eastAsia="仿宋_GB2312" w:cs="仿宋_GB2312"/>
          <w:b w:val="0"/>
          <w:bCs/>
          <w:color w:val="000000"/>
          <w:sz w:val="32"/>
          <w:szCs w:val="32"/>
          <w:highlight w:val="none"/>
        </w:rPr>
        <w:t>执行公务、开展业务活动开支的交通费、住宿费、用餐费等</w:t>
      </w:r>
      <w:r>
        <w:rPr>
          <w:rFonts w:hint="eastAsia" w:ascii="仿宋_GB2312" w:hAnsi="仿宋_GB2312" w:eastAsia="仿宋_GB2312" w:cs="仿宋_GB2312"/>
          <w:color w:val="000000"/>
          <w:sz w:val="32"/>
          <w:szCs w:val="32"/>
          <w:highlight w:val="none"/>
        </w:rPr>
        <w:t>公务接待费用。</w:t>
      </w:r>
      <w:r>
        <w:rPr>
          <w:rFonts w:hint="eastAsia" w:ascii="仿宋_GB2312" w:hAnsi="仿宋_GB2312" w:eastAsia="仿宋_GB2312" w:cs="仿宋_GB2312"/>
          <w:color w:val="auto"/>
          <w:sz w:val="32"/>
          <w:szCs w:val="32"/>
          <w:highlight w:val="none"/>
        </w:rPr>
        <w:t>国内公务接待</w:t>
      </w:r>
      <w:r>
        <w:rPr>
          <w:rFonts w:hint="eastAsia" w:ascii="仿宋_GB2312" w:hAnsi="仿宋_GB2312" w:eastAsia="仿宋_GB2312" w:cs="仿宋_GB2312"/>
          <w:color w:val="auto"/>
          <w:sz w:val="32"/>
          <w:szCs w:val="32"/>
          <w:highlight w:val="none"/>
          <w:lang w:val="en-US" w:eastAsia="zh-CN"/>
        </w:rPr>
        <w:t>150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1139</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万元，具体内容包括：</w:t>
      </w:r>
      <w:r>
        <w:rPr>
          <w:rFonts w:hint="eastAsia" w:ascii="仿宋_GB2312" w:hAnsi="仿宋_GB2312" w:eastAsia="仿宋_GB2312" w:cs="仿宋_GB2312"/>
          <w:color w:val="000000"/>
          <w:sz w:val="32"/>
          <w:szCs w:val="32"/>
          <w:highlight w:val="none"/>
        </w:rPr>
        <w:t>市公务服务中心专项接待费所发生的费用，全市的大型接待及市委办公室零星接待等支出。</w:t>
      </w:r>
    </w:p>
    <w:p>
      <w:pPr>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spacing w:line="600" w:lineRule="exact"/>
        <w:ind w:firstLine="640"/>
        <w:outlineLvl w:val="1"/>
        <w:rPr>
          <w:rFonts w:ascii="仿宋_GB2312" w:eastAsia="仿宋_GB2312"/>
          <w:color w:val="auto"/>
          <w:sz w:val="32"/>
          <w:szCs w:val="32"/>
          <w:highlight w:val="none"/>
        </w:rPr>
      </w:pPr>
      <w:bookmarkStart w:id="55" w:name="_Toc15396610"/>
      <w:bookmarkStart w:id="56" w:name="_Toc15377218"/>
      <w:bookmarkStart w:id="57" w:name="_Toc8112"/>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55"/>
      <w:bookmarkEnd w:id="56"/>
      <w:bookmarkEnd w:id="57"/>
    </w:p>
    <w:p>
      <w:pPr>
        <w:spacing w:line="24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000000"/>
          <w:sz w:val="32"/>
          <w:szCs w:val="32"/>
        </w:rPr>
        <w:t>市委办公室（含市委目标绩效办、市委党史研究室）无政府性基金预算拨款支出。</w:t>
      </w:r>
    </w:p>
    <w:p>
      <w:pPr>
        <w:numPr>
          <w:ilvl w:val="0"/>
          <w:numId w:val="3"/>
        </w:numPr>
        <w:spacing w:line="600" w:lineRule="exact"/>
        <w:ind w:firstLine="640"/>
        <w:outlineLvl w:val="1"/>
        <w:rPr>
          <w:rStyle w:val="22"/>
          <w:rFonts w:ascii="黑体" w:hAnsi="黑体" w:eastAsia="黑体"/>
          <w:b w:val="0"/>
          <w:color w:val="auto"/>
          <w:highlight w:val="none"/>
        </w:rPr>
      </w:pPr>
      <w:bookmarkStart w:id="58" w:name="_Toc15396611"/>
      <w:bookmarkStart w:id="59" w:name="_Toc15377219"/>
      <w:bookmarkStart w:id="60" w:name="_Toc2479"/>
      <w:r>
        <w:rPr>
          <w:rStyle w:val="22"/>
          <w:rFonts w:hint="eastAsia" w:ascii="黑体" w:hAnsi="黑体" w:eastAsia="黑体"/>
          <w:b w:val="0"/>
          <w:color w:val="auto"/>
          <w:highlight w:val="none"/>
        </w:rPr>
        <w:t>国有资本经营预算支出决算情况说明</w:t>
      </w:r>
      <w:bookmarkEnd w:id="58"/>
      <w:bookmarkEnd w:id="59"/>
      <w:bookmarkEnd w:id="60"/>
    </w:p>
    <w:p>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000000"/>
          <w:sz w:val="32"/>
          <w:szCs w:val="32"/>
        </w:rPr>
        <w:t>市委办公室（含市委目标绩效办、市委党史研究室）</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auto"/>
          <w:sz w:val="32"/>
          <w:szCs w:val="32"/>
          <w:highlight w:val="none"/>
        </w:rPr>
        <w:t>国有资本经营预算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p>
    <w:p>
      <w:pPr>
        <w:numPr>
          <w:ilvl w:val="0"/>
          <w:numId w:val="3"/>
        </w:numPr>
        <w:spacing w:line="600" w:lineRule="exact"/>
        <w:ind w:firstLine="640"/>
        <w:outlineLvl w:val="1"/>
        <w:rPr>
          <w:rStyle w:val="22"/>
          <w:rFonts w:hint="eastAsia" w:ascii="黑体" w:hAnsi="黑体" w:eastAsia="黑体"/>
          <w:b w:val="0"/>
          <w:color w:val="auto"/>
          <w:highlight w:val="none"/>
        </w:rPr>
      </w:pPr>
      <w:bookmarkStart w:id="61" w:name="_Toc15377221"/>
      <w:bookmarkStart w:id="62" w:name="_Toc15396612"/>
      <w:bookmarkStart w:id="63" w:name="_Toc27598"/>
      <w:r>
        <w:rPr>
          <w:rStyle w:val="22"/>
          <w:rFonts w:hint="eastAsia" w:ascii="黑体" w:hAnsi="黑体" w:eastAsia="黑体"/>
          <w:b w:val="0"/>
          <w:color w:val="auto"/>
          <w:highlight w:val="none"/>
        </w:rPr>
        <w:t>其他重要事项的情况说明</w:t>
      </w:r>
      <w:bookmarkEnd w:id="61"/>
      <w:bookmarkEnd w:id="62"/>
      <w:bookmarkEnd w:id="63"/>
    </w:p>
    <w:p>
      <w:pPr>
        <w:spacing w:line="600" w:lineRule="exact"/>
        <w:ind w:firstLine="643" w:firstLineChars="200"/>
        <w:outlineLvl w:val="2"/>
        <w:rPr>
          <w:rFonts w:ascii="仿宋" w:hAnsi="仿宋" w:eastAsia="仿宋"/>
          <w:color w:val="auto"/>
          <w:sz w:val="32"/>
          <w:szCs w:val="32"/>
          <w:highlight w:val="none"/>
        </w:rPr>
      </w:pPr>
      <w:bookmarkStart w:id="64" w:name="_Toc15377222"/>
      <w:r>
        <w:rPr>
          <w:rFonts w:hint="eastAsia" w:ascii="仿宋" w:hAnsi="仿宋" w:eastAsia="仿宋"/>
          <w:b/>
          <w:color w:val="auto"/>
          <w:sz w:val="32"/>
          <w:szCs w:val="32"/>
          <w:highlight w:val="none"/>
        </w:rPr>
        <w:t>（一）机关运行经费支出情况</w:t>
      </w:r>
      <w:bookmarkEnd w:id="64"/>
    </w:p>
    <w:p>
      <w:pPr>
        <w:spacing w:line="600" w:lineRule="exact"/>
        <w:ind w:firstLine="640" w:firstLineChars="200"/>
        <w:rPr>
          <w:rFonts w:hint="eastAsia" w:ascii="仿宋_GB2312" w:eastAsia="仿宋_GB2312"/>
          <w:color w:val="auto"/>
          <w:sz w:val="32"/>
          <w:szCs w:val="32"/>
          <w:highlight w:val="cyan"/>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hAnsi="仿宋" w:eastAsia="仿宋_GB2312"/>
          <w:color w:val="000000"/>
          <w:sz w:val="32"/>
          <w:szCs w:val="32"/>
          <w:highlight w:val="none"/>
        </w:rPr>
        <w:t>市委办公室（含</w:t>
      </w:r>
      <w:r>
        <w:rPr>
          <w:rFonts w:hint="eastAsia" w:ascii="仿宋_GB2312" w:hAnsi="仿宋" w:eastAsia="仿宋_GB2312"/>
          <w:color w:val="000000"/>
          <w:sz w:val="32"/>
          <w:szCs w:val="32"/>
        </w:rPr>
        <w:t>市委目标绩效办、市委党史研究室</w:t>
      </w:r>
      <w:r>
        <w:rPr>
          <w:rFonts w:hint="eastAsia" w:ascii="仿宋_GB2312" w:hAnsi="仿宋" w:eastAsia="仿宋_GB2312"/>
          <w:color w:val="000000"/>
          <w:sz w:val="32"/>
          <w:szCs w:val="32"/>
          <w:highlight w:val="none"/>
        </w:rPr>
        <w:t>）</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370.13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w:t>
      </w:r>
      <w:r>
        <w:rPr>
          <w:rFonts w:hint="eastAsia" w:ascii="仿宋_GB2312" w:eastAsia="仿宋_GB2312"/>
          <w:color w:val="auto"/>
          <w:sz w:val="32"/>
          <w:szCs w:val="32"/>
          <w:highlight w:val="none"/>
          <w:lang w:val="en-US" w:eastAsia="zh-CN"/>
        </w:rPr>
        <w:t>23.57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6.8</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hAnsi="仿宋" w:eastAsia="仿宋_GB2312"/>
          <w:color w:val="000000"/>
          <w:sz w:val="32"/>
          <w:szCs w:val="32"/>
          <w:highlight w:val="none"/>
          <w:lang w:eastAsia="zh-CN"/>
        </w:rPr>
        <w:t>人员增加</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5" w:name="_Toc15377223"/>
      <w:r>
        <w:rPr>
          <w:rFonts w:hint="eastAsia" w:ascii="仿宋" w:hAnsi="仿宋" w:eastAsia="仿宋"/>
          <w:b/>
          <w:color w:val="auto"/>
          <w:sz w:val="32"/>
          <w:szCs w:val="32"/>
          <w:highlight w:val="none"/>
        </w:rPr>
        <w:t>（二）政府采购支出情况</w:t>
      </w:r>
      <w:bookmarkEnd w:id="6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hAnsi="仿宋" w:eastAsia="仿宋_GB2312"/>
          <w:color w:val="000000"/>
          <w:sz w:val="32"/>
          <w:szCs w:val="32"/>
          <w:highlight w:val="none"/>
        </w:rPr>
        <w:t>市委办公室（含市委目标绩效办、市委党史研究室）</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2584.9</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2558.38</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26.52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市级机关国产办公设备替换、办公设备、家具用具、办公消耗用品购置</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2582.33</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99.9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1.43</w:t>
      </w:r>
      <w:r>
        <w:rPr>
          <w:rFonts w:hint="eastAsia" w:ascii="仿宋_GB2312" w:eastAsia="仿宋_GB2312"/>
          <w:color w:val="auto"/>
          <w:sz w:val="32"/>
          <w:szCs w:val="32"/>
          <w:highlight w:val="none"/>
        </w:rPr>
        <w:t>万元，占政府采购支出总额</w:t>
      </w:r>
      <w:r>
        <w:rPr>
          <w:rFonts w:hint="eastAsia" w:ascii="仿宋_GB2312" w:eastAsia="仿宋_GB2312"/>
          <w:color w:val="auto"/>
          <w:sz w:val="32"/>
          <w:szCs w:val="32"/>
          <w:highlight w:val="none"/>
          <w:lang w:val="en-US" w:eastAsia="zh-CN"/>
        </w:rPr>
        <w:t>0.06</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6" w:name="_Toc15377224"/>
      <w:r>
        <w:rPr>
          <w:rFonts w:hint="eastAsia" w:ascii="仿宋" w:hAnsi="仿宋" w:eastAsia="仿宋"/>
          <w:b/>
          <w:color w:val="auto"/>
          <w:sz w:val="32"/>
          <w:szCs w:val="32"/>
          <w:highlight w:val="none"/>
        </w:rPr>
        <w:t>（三）国有资产占有使用情况</w:t>
      </w:r>
      <w:bookmarkEnd w:id="66"/>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日，市委办公室（含市委目标绩效办、市委党史研究室）共有车辆</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辆，其中：主要领导用车1辆、其他用车9辆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其他用车主要是用于市委办</w:t>
      </w:r>
      <w:r>
        <w:rPr>
          <w:rFonts w:hint="eastAsia" w:ascii="仿宋_GB2312" w:eastAsia="仿宋_GB2312"/>
          <w:color w:val="auto"/>
          <w:sz w:val="32"/>
          <w:szCs w:val="32"/>
          <w:highlight w:val="none"/>
          <w:lang w:eastAsia="zh-CN"/>
        </w:rPr>
        <w:t>公室</w:t>
      </w:r>
      <w:r>
        <w:rPr>
          <w:rFonts w:hint="eastAsia" w:ascii="仿宋_GB2312" w:eastAsia="仿宋_GB2312"/>
          <w:color w:val="auto"/>
          <w:sz w:val="32"/>
          <w:szCs w:val="32"/>
          <w:highlight w:val="none"/>
        </w:rPr>
        <w:t>应急保障用车</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市公务服务中心调研</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接待用车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 w:eastAsia="zh-CN"/>
        </w:rPr>
        <w:t>公文处理及日常文印等补助经费</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个项目开展绩效监控。</w:t>
      </w:r>
    </w:p>
    <w:p>
      <w:pPr>
        <w:spacing w:line="576"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组织对2022年度一般公共预算全面开展绩效自评，形成</w:t>
      </w:r>
      <w:r>
        <w:rPr>
          <w:rFonts w:hint="eastAsia" w:ascii="仿宋_GB2312" w:hAnsi="仿宋_GB2312" w:eastAsia="仿宋_GB2312" w:cs="仿宋_GB2312"/>
          <w:b w:val="0"/>
          <w:bCs/>
          <w:color w:val="auto"/>
          <w:sz w:val="32"/>
          <w:szCs w:val="32"/>
          <w:highlight w:val="none"/>
          <w:lang w:eastAsia="zh-CN"/>
        </w:rPr>
        <w:t>市委办公室</w:t>
      </w:r>
      <w:r>
        <w:rPr>
          <w:rFonts w:hint="eastAsia" w:ascii="仿宋_GB2312" w:hAnsi="仿宋_GB2312" w:eastAsia="仿宋_GB2312" w:cs="仿宋_GB2312"/>
          <w:b w:val="0"/>
          <w:bCs/>
          <w:color w:val="auto"/>
          <w:sz w:val="32"/>
          <w:szCs w:val="32"/>
          <w:highlight w:val="none"/>
        </w:rPr>
        <w:t>部门整体（含部门预算项目）绩效自评报告、</w:t>
      </w:r>
      <w:r>
        <w:rPr>
          <w:rFonts w:hint="eastAsia" w:ascii="仿宋_GB2312" w:hAnsi="仿宋_GB2312" w:eastAsia="仿宋_GB2312" w:cs="仿宋_GB2312"/>
          <w:b w:val="0"/>
          <w:bCs/>
          <w:color w:val="auto"/>
          <w:sz w:val="32"/>
          <w:szCs w:val="32"/>
          <w:highlight w:val="none"/>
          <w:lang w:eastAsia="zh-CN"/>
        </w:rPr>
        <w:t>市委办公室</w:t>
      </w:r>
      <w:r>
        <w:rPr>
          <w:rFonts w:hint="eastAsia" w:ascii="仿宋_GB2312" w:hAnsi="仿宋_GB2312" w:eastAsia="仿宋_GB2312" w:cs="仿宋_GB2312"/>
          <w:b w:val="0"/>
          <w:bCs/>
          <w:color w:val="auto"/>
          <w:sz w:val="32"/>
          <w:szCs w:val="32"/>
          <w:highlight w:val="none"/>
        </w:rPr>
        <w:t>专项预算项目绩效自评报告，</w:t>
      </w:r>
      <w:r>
        <w:rPr>
          <w:rFonts w:hint="eastAsia" w:ascii="仿宋_GB2312" w:hAnsi="仿宋_GB2312" w:eastAsia="仿宋_GB2312" w:cs="仿宋_GB2312"/>
          <w:b w:val="0"/>
          <w:bCs/>
          <w:color w:val="auto"/>
          <w:sz w:val="32"/>
          <w:szCs w:val="32"/>
          <w:highlight w:val="none"/>
          <w:lang w:eastAsia="zh-CN"/>
        </w:rPr>
        <w:t>市委办公室</w:t>
      </w:r>
      <w:r>
        <w:rPr>
          <w:rFonts w:hint="eastAsia" w:ascii="仿宋_GB2312" w:hAnsi="仿宋_GB2312" w:eastAsia="仿宋_GB2312" w:cs="仿宋_GB2312"/>
          <w:b w:val="0"/>
          <w:bCs/>
          <w:color w:val="auto"/>
          <w:sz w:val="32"/>
          <w:szCs w:val="32"/>
          <w:highlight w:val="none"/>
        </w:rPr>
        <w:t>部门整体（含部门预算项目）绩效自评得分为9</w:t>
      </w:r>
      <w:r>
        <w:rPr>
          <w:rFonts w:hint="eastAsia" w:ascii="仿宋_GB2312" w:hAnsi="仿宋_GB2312" w:eastAsia="仿宋_GB2312" w:cs="仿宋_GB2312"/>
          <w:b w:val="0"/>
          <w:bCs/>
          <w:color w:val="auto"/>
          <w:sz w:val="32"/>
          <w:szCs w:val="32"/>
          <w:highlight w:val="none"/>
          <w:lang w:val="en-US" w:eastAsia="zh-CN"/>
        </w:rPr>
        <w:t>8.85</w:t>
      </w:r>
      <w:r>
        <w:rPr>
          <w:rFonts w:hint="eastAsia" w:ascii="仿宋_GB2312" w:hAnsi="仿宋_GB2312" w:eastAsia="仿宋_GB2312" w:cs="仿宋_GB2312"/>
          <w:b w:val="0"/>
          <w:bCs/>
          <w:color w:val="auto"/>
          <w:sz w:val="32"/>
          <w:szCs w:val="32"/>
          <w:highlight w:val="none"/>
        </w:rPr>
        <w:t>分，</w:t>
      </w:r>
      <w:r>
        <w:rPr>
          <w:rFonts w:hint="eastAsia" w:ascii="仿宋_GB2312" w:hAnsi="仿宋_GB2312" w:eastAsia="仿宋_GB2312" w:cs="仿宋_GB2312"/>
          <w:b w:val="0"/>
          <w:bCs/>
          <w:color w:val="auto"/>
          <w:sz w:val="32"/>
          <w:szCs w:val="32"/>
          <w:highlight w:val="none"/>
          <w:lang w:eastAsia="zh-CN"/>
        </w:rPr>
        <w:t>全年高质量、高标准完成全年预算项目</w:t>
      </w:r>
      <w:r>
        <w:rPr>
          <w:rFonts w:hint="eastAsia" w:ascii="仿宋_GB2312" w:hAnsi="仿宋_GB2312" w:eastAsia="仿宋_GB2312" w:cs="仿宋_GB2312"/>
          <w:b w:val="0"/>
          <w:bCs/>
          <w:color w:val="auto"/>
          <w:sz w:val="32"/>
          <w:szCs w:val="32"/>
          <w:highlight w:val="none"/>
          <w:lang w:val="zh-CN"/>
        </w:rPr>
        <w:t>。</w:t>
      </w:r>
      <w:r>
        <w:rPr>
          <w:rFonts w:hint="eastAsia" w:ascii="仿宋_GB2312" w:hAnsi="仿宋_GB2312" w:eastAsia="仿宋_GB2312" w:cs="仿宋_GB2312"/>
          <w:b w:val="0"/>
          <w:bCs/>
          <w:color w:val="auto"/>
          <w:sz w:val="32"/>
          <w:szCs w:val="32"/>
          <w:highlight w:val="none"/>
        </w:rPr>
        <w:t>绩效自评报告详见附件。</w:t>
      </w:r>
    </w:p>
    <w:p/>
    <w:p>
      <w:pPr>
        <w:numPr>
          <w:ilvl w:val="0"/>
          <w:numId w:val="4"/>
        </w:numPr>
        <w:spacing w:line="240" w:lineRule="auto"/>
        <w:ind w:firstLine="0" w:firstLineChars="0"/>
        <w:jc w:val="center"/>
        <w:outlineLvl w:val="0"/>
        <w:rPr>
          <w:rStyle w:val="21"/>
          <w:rFonts w:ascii="黑体" w:hAnsi="黑体" w:eastAsia="黑体"/>
          <w:b w:val="0"/>
          <w:color w:val="auto"/>
          <w:highlight w:val="none"/>
        </w:rPr>
      </w:pPr>
      <w:bookmarkStart w:id="67" w:name="_Toc15396613"/>
      <w:bookmarkStart w:id="68" w:name="_Toc15377225"/>
      <w:bookmarkStart w:id="69" w:name="_Toc32520"/>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67"/>
      <w:bookmarkEnd w:id="68"/>
      <w:bookmarkEnd w:id="69"/>
    </w:p>
    <w:p>
      <w:pPr>
        <w:spacing w:line="600" w:lineRule="exact"/>
        <w:jc w:val="left"/>
        <w:rPr>
          <w:rFonts w:ascii="宋体"/>
          <w:b/>
          <w:color w:val="auto"/>
          <w:sz w:val="44"/>
          <w:szCs w:val="44"/>
          <w:highlight w:val="none"/>
        </w:rPr>
      </w:pPr>
    </w:p>
    <w:p>
      <w:pPr>
        <w:pStyle w:val="32"/>
        <w:numPr>
          <w:ilvl w:val="0"/>
          <w:numId w:val="5"/>
        </w:numPr>
        <w:spacing w:line="560" w:lineRule="exact"/>
        <w:ind w:left="0" w:leftChars="0" w:firstLine="400" w:firstLineChars="0"/>
        <w:outlineLvl w:val="1"/>
        <w:rPr>
          <w:rFonts w:ascii="仿宋_GB2312" w:eastAsia="仿宋_GB2312"/>
          <w:color w:val="auto"/>
          <w:sz w:val="32"/>
          <w:szCs w:val="32"/>
          <w:highlight w:val="none"/>
        </w:rPr>
      </w:pPr>
      <w:bookmarkStart w:id="70" w:name="_Toc2758"/>
      <w:r>
        <w:rPr>
          <w:rFonts w:hint="eastAsia" w:ascii="仿宋_GB2312" w:eastAsia="仿宋_GB2312"/>
          <w:color w:val="auto"/>
          <w:sz w:val="32"/>
          <w:szCs w:val="32"/>
          <w:highlight w:val="none"/>
        </w:rPr>
        <w:t>财政拨款收入：指单位从同级财政部门取得的财政预算资金。</w:t>
      </w:r>
      <w:bookmarkEnd w:id="70"/>
    </w:p>
    <w:p>
      <w:pPr>
        <w:pStyle w:val="32"/>
        <w:numPr>
          <w:ilvl w:val="0"/>
          <w:numId w:val="5"/>
        </w:numPr>
        <w:spacing w:line="560" w:lineRule="exact"/>
        <w:ind w:left="0" w:leftChars="0" w:firstLine="40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年初结转和结余：指以前年度尚未完成、结转到本年按有关规定继续使用的资金。</w:t>
      </w:r>
    </w:p>
    <w:p>
      <w:pPr>
        <w:pStyle w:val="32"/>
        <w:numPr>
          <w:ilvl w:val="0"/>
          <w:numId w:val="5"/>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pPr>
        <w:pStyle w:val="32"/>
        <w:numPr>
          <w:ilvl w:val="0"/>
          <w:numId w:val="5"/>
        </w:numPr>
        <w:spacing w:line="560" w:lineRule="exact"/>
        <w:ind w:left="0" w:leftChars="0" w:firstLine="40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rPr>
        <w:t>一般公共服务支出（类）党委办公厅（室）及相关机构事务（款）行政运行（项）：反映行政单位（包括实行公务员管理的事业单位）的基本支出。</w:t>
      </w:r>
    </w:p>
    <w:p>
      <w:pPr>
        <w:numPr>
          <w:ilvl w:val="0"/>
          <w:numId w:val="5"/>
        </w:numPr>
        <w:ind w:left="0" w:leftChars="0" w:firstLine="400" w:firstLineChars="0"/>
        <w:rPr>
          <w:rFonts w:hint="eastAsia" w:ascii="仿宋_GB2312" w:eastAsia="仿宋_GB2312"/>
          <w:color w:val="auto"/>
          <w:sz w:val="32"/>
          <w:szCs w:val="32"/>
        </w:rPr>
      </w:pPr>
      <w:r>
        <w:rPr>
          <w:rFonts w:hint="eastAsia" w:ascii="仿宋_GB2312" w:eastAsia="仿宋_GB2312"/>
          <w:color w:val="auto"/>
          <w:sz w:val="32"/>
          <w:szCs w:val="32"/>
        </w:rPr>
        <w:t>一般公共服务支出（类）党委办公厅（室）及相关机构事务（款）一般行政管理事务（项）</w:t>
      </w:r>
      <w:r>
        <w:rPr>
          <w:rFonts w:hint="eastAsia" w:ascii="仿宋_GB2312" w:eastAsia="仿宋_GB2312"/>
          <w:color w:val="auto"/>
          <w:sz w:val="32"/>
          <w:szCs w:val="32"/>
          <w:lang w:eastAsia="zh-CN"/>
        </w:rPr>
        <w:t>：</w:t>
      </w:r>
      <w:r>
        <w:rPr>
          <w:rFonts w:hint="eastAsia" w:ascii="仿宋_GB2312" w:eastAsia="仿宋_GB2312"/>
          <w:color w:val="auto"/>
          <w:sz w:val="32"/>
          <w:szCs w:val="32"/>
        </w:rPr>
        <w:t>反映行政单位（包括实行公务员管理的事业单位）未单独设置项级科目的其他项目支出。</w:t>
      </w:r>
    </w:p>
    <w:p>
      <w:pPr>
        <w:pStyle w:val="6"/>
        <w:numPr>
          <w:ilvl w:val="0"/>
          <w:numId w:val="5"/>
        </w:numPr>
        <w:ind w:left="0" w:leftChars="0" w:firstLine="400" w:firstLineChars="0"/>
        <w:rPr>
          <w:rFonts w:hint="eastAsia" w:ascii="仿宋_GB2312" w:eastAsia="仿宋_GB2312"/>
          <w:color w:val="auto"/>
          <w:sz w:val="32"/>
          <w:szCs w:val="32"/>
          <w:lang w:eastAsia="zh-CN"/>
        </w:rPr>
      </w:pPr>
      <w:r>
        <w:rPr>
          <w:rFonts w:hint="eastAsia" w:ascii="仿宋_GB2312" w:eastAsia="仿宋_GB2312"/>
          <w:color w:val="auto"/>
          <w:sz w:val="32"/>
          <w:szCs w:val="32"/>
        </w:rPr>
        <w:t>一般公共服务支出（类）党委办公厅（室）及相关机构事务（款）</w:t>
      </w:r>
      <w:r>
        <w:rPr>
          <w:rFonts w:hint="eastAsia" w:ascii="仿宋_GB2312" w:eastAsia="仿宋_GB2312"/>
          <w:color w:val="auto"/>
          <w:sz w:val="32"/>
          <w:szCs w:val="32"/>
          <w:lang w:eastAsia="zh-CN"/>
        </w:rPr>
        <w:t>事业运行（项）：反映事业单位的基本支出，不包括行政单位（包括实行公务员管理的事业单位）后勤服务中心、医务室等附属事业单位。</w:t>
      </w:r>
    </w:p>
    <w:p>
      <w:pPr>
        <w:pStyle w:val="6"/>
        <w:numPr>
          <w:ilvl w:val="0"/>
          <w:numId w:val="5"/>
        </w:numPr>
        <w:ind w:left="0" w:leftChars="0" w:firstLine="400" w:firstLineChars="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一般公共服务支出（类）党委办公厅（室）及相关机构事</w:t>
      </w:r>
      <w:r>
        <w:rPr>
          <w:rFonts w:hint="eastAsia" w:ascii="仿宋_GB2312" w:eastAsia="仿宋_GB2312"/>
          <w:color w:val="auto"/>
          <w:sz w:val="32"/>
          <w:szCs w:val="32"/>
          <w:highlight w:val="none"/>
          <w:lang w:val="en-US" w:eastAsia="zh-CN"/>
        </w:rPr>
        <w:t>务（款）其他党委办公厅（室）及相关机构事务支出（项）：</w:t>
      </w:r>
      <w:r>
        <w:rPr>
          <w:rFonts w:hint="eastAsia" w:ascii="仿宋_GB2312" w:eastAsia="仿宋_GB2312"/>
          <w:color w:val="auto"/>
          <w:sz w:val="32"/>
          <w:szCs w:val="32"/>
          <w:highlight w:val="none"/>
          <w:lang w:eastAsia="zh-CN"/>
        </w:rPr>
        <w:t>反映除上述项目以外其他用于党委办公厅（室）及相关机构事务支出。</w:t>
      </w:r>
      <w:r>
        <w:rPr>
          <w:rFonts w:ascii="宋体" w:hAnsi="宋体" w:eastAsia="宋体" w:cs="宋体"/>
          <w:sz w:val="24"/>
          <w:szCs w:val="24"/>
          <w:highlight w:val="none"/>
        </w:rPr>
        <w:t xml:space="preserve"> </w:t>
      </w:r>
    </w:p>
    <w:p>
      <w:pPr>
        <w:numPr>
          <w:ilvl w:val="0"/>
          <w:numId w:val="5"/>
        </w:numPr>
        <w:ind w:left="0" w:leftChars="0" w:firstLine="400" w:firstLineChars="0"/>
        <w:rPr>
          <w:rFonts w:hint="eastAsia" w:ascii="仿宋_GB2312" w:eastAsia="仿宋_GB2312"/>
          <w:color w:val="auto"/>
          <w:sz w:val="32"/>
          <w:szCs w:val="32"/>
          <w:lang w:eastAsia="zh-CN"/>
        </w:rPr>
      </w:pPr>
      <w:r>
        <w:rPr>
          <w:rFonts w:hint="eastAsia" w:ascii="仿宋_GB2312" w:eastAsia="仿宋_GB2312" w:cs="Times New Roman"/>
          <w:color w:val="auto"/>
          <w:sz w:val="32"/>
          <w:szCs w:val="32"/>
        </w:rPr>
        <w:t>社会保障和就业支出（类）人力资源和社会保障管理事务</w:t>
      </w:r>
      <w:r>
        <w:rPr>
          <w:rStyle w:val="19"/>
          <w:rFonts w:hint="eastAsia" w:ascii="仿宋_GB2312" w:hAnsi="仿宋" w:eastAsia="仿宋_GB2312"/>
          <w:b w:val="0"/>
          <w:bCs/>
          <w:color w:val="auto"/>
          <w:sz w:val="32"/>
          <w:szCs w:val="32"/>
        </w:rPr>
        <w:t>（款）  其他人力资源和社会保障管理事务支出（项）</w:t>
      </w:r>
      <w:r>
        <w:rPr>
          <w:rStyle w:val="19"/>
          <w:rFonts w:hint="eastAsia" w:ascii="仿宋_GB2312" w:hAnsi="仿宋" w:eastAsia="仿宋_GB2312"/>
          <w:b w:val="0"/>
          <w:bCs/>
          <w:color w:val="auto"/>
          <w:sz w:val="32"/>
          <w:szCs w:val="32"/>
          <w:lang w:eastAsia="zh-CN"/>
        </w:rPr>
        <w:t>：反映除上述项目以外其他用于社会保障和就业方面的支出。</w:t>
      </w:r>
    </w:p>
    <w:p>
      <w:pPr>
        <w:numPr>
          <w:ilvl w:val="0"/>
          <w:numId w:val="5"/>
        </w:numPr>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社会保障和就业支出（类）行政事业单位养老支出（款）机关事业单位基本养老保险缴费支出（项）</w:t>
      </w:r>
      <w:r>
        <w:rPr>
          <w:rFonts w:hint="eastAsia" w:ascii="仿宋_GB2312" w:eastAsia="仿宋_GB2312"/>
          <w:color w:val="auto"/>
          <w:sz w:val="32"/>
          <w:szCs w:val="32"/>
          <w:lang w:eastAsia="zh-CN"/>
        </w:rPr>
        <w:t>：</w:t>
      </w:r>
      <w:r>
        <w:rPr>
          <w:rFonts w:hint="eastAsia" w:ascii="仿宋_GB2312" w:eastAsia="仿宋_GB2312"/>
          <w:color w:val="auto"/>
          <w:sz w:val="32"/>
          <w:szCs w:val="32"/>
        </w:rPr>
        <w:t>反映机关事业单位实施养老保险制度由单位缴纳的基本养老保险费支出。</w:t>
      </w:r>
    </w:p>
    <w:p>
      <w:pPr>
        <w:numPr>
          <w:ilvl w:val="0"/>
          <w:numId w:val="5"/>
        </w:numPr>
        <w:ind w:left="0" w:leftChars="0" w:firstLine="400" w:firstLineChars="0"/>
        <w:rPr>
          <w:rFonts w:hint="eastAsia" w:ascii="仿宋_GB2312" w:eastAsia="仿宋_GB2312" w:cs="Times New Roman"/>
          <w:color w:val="auto"/>
          <w:sz w:val="32"/>
          <w:szCs w:val="32"/>
        </w:rPr>
      </w:pPr>
      <w:r>
        <w:rPr>
          <w:rFonts w:hint="eastAsia" w:ascii="仿宋_GB2312" w:eastAsia="仿宋_GB2312"/>
          <w:color w:val="auto"/>
          <w:sz w:val="32"/>
          <w:szCs w:val="32"/>
        </w:rPr>
        <w:t>社会保障和就业支出（类）行政事业单位养老支出（款）机关事业单位职业年金缴费支出（项）</w:t>
      </w:r>
      <w:r>
        <w:rPr>
          <w:rFonts w:hint="eastAsia" w:ascii="仿宋_GB2312" w:eastAsia="仿宋_GB2312"/>
          <w:color w:val="auto"/>
          <w:sz w:val="32"/>
          <w:szCs w:val="32"/>
          <w:lang w:eastAsia="zh-CN"/>
        </w:rPr>
        <w:t>：</w:t>
      </w:r>
      <w:r>
        <w:rPr>
          <w:rFonts w:hint="eastAsia" w:ascii="仿宋_GB2312" w:eastAsia="仿宋_GB2312"/>
          <w:color w:val="auto"/>
          <w:sz w:val="32"/>
          <w:szCs w:val="32"/>
        </w:rPr>
        <w:t>反映机关</w:t>
      </w:r>
      <w:r>
        <w:rPr>
          <w:rFonts w:hint="eastAsia" w:ascii="仿宋_GB2312" w:eastAsia="仿宋_GB2312" w:cs="Times New Roman"/>
          <w:color w:val="auto"/>
          <w:sz w:val="32"/>
          <w:szCs w:val="32"/>
        </w:rPr>
        <w:t>事业单位实施养老保险制度由单位实际缴纳的职业年金支出。</w:t>
      </w:r>
    </w:p>
    <w:p>
      <w:pPr>
        <w:pStyle w:val="32"/>
        <w:numPr>
          <w:ilvl w:val="0"/>
          <w:numId w:val="5"/>
        </w:numPr>
        <w:spacing w:line="560" w:lineRule="exact"/>
        <w:ind w:left="0" w:leftChars="0" w:firstLine="400" w:firstLineChars="0"/>
        <w:rPr>
          <w:rFonts w:hint="eastAsia" w:ascii="仿宋_GB2312" w:eastAsia="仿宋_GB2312"/>
          <w:color w:val="auto"/>
          <w:sz w:val="32"/>
          <w:szCs w:val="32"/>
        </w:rPr>
      </w:pPr>
      <w:r>
        <w:rPr>
          <w:rFonts w:hint="eastAsia" w:ascii="仿宋_GB2312" w:eastAsia="仿宋_GB2312"/>
          <w:color w:val="auto"/>
          <w:sz w:val="32"/>
          <w:szCs w:val="32"/>
        </w:rPr>
        <w:t>卫生健康支出（类）行政事业单位医疗（款）行政单位医疗（项）</w:t>
      </w:r>
      <w:r>
        <w:rPr>
          <w:rFonts w:hint="eastAsia" w:ascii="仿宋_GB2312" w:eastAsia="仿宋_GB2312"/>
          <w:color w:val="auto"/>
          <w:sz w:val="32"/>
          <w:szCs w:val="32"/>
          <w:lang w:eastAsia="zh-CN"/>
        </w:rPr>
        <w:t>：</w:t>
      </w:r>
      <w:r>
        <w:rPr>
          <w:rFonts w:hint="eastAsia" w:ascii="仿宋_GB2312" w:eastAsia="仿宋_GB2312"/>
          <w:color w:val="auto"/>
          <w:sz w:val="32"/>
          <w:szCs w:val="32"/>
        </w:rPr>
        <w:t>反映财政部门安排的行政单位（包括实行公务员管理的事业单位）基本医疗保险缴费经费，未参加医疗保险的行政单位的公费医疗经费，按国家规定享受离休人员、红军老战士待遇人员的医疗经费。</w:t>
      </w:r>
    </w:p>
    <w:p>
      <w:pPr>
        <w:numPr>
          <w:ilvl w:val="0"/>
          <w:numId w:val="5"/>
        </w:numPr>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住房保障（类）住房改革支出（款）住房公积金（项）</w:t>
      </w:r>
      <w:r>
        <w:rPr>
          <w:rFonts w:hint="eastAsia" w:ascii="仿宋_GB2312" w:eastAsia="仿宋_GB2312"/>
          <w:color w:val="auto"/>
          <w:sz w:val="32"/>
          <w:szCs w:val="32"/>
          <w:lang w:eastAsia="zh-CN"/>
        </w:rPr>
        <w:t>：</w:t>
      </w:r>
      <w:r>
        <w:rPr>
          <w:rFonts w:hint="eastAsia" w:ascii="仿宋_GB2312" w:eastAsia="仿宋_GB2312"/>
          <w:color w:val="auto"/>
          <w:sz w:val="32"/>
          <w:szCs w:val="32"/>
        </w:rPr>
        <w:t>反映行政事业单位按人力资源和社会保障部、财政部规定的基本工资和津贴补贴以及规定</w:t>
      </w:r>
      <w:r>
        <w:rPr>
          <w:rFonts w:hint="eastAsia" w:ascii="仿宋_GB2312" w:eastAsia="仿宋_GB2312"/>
          <w:color w:val="auto"/>
          <w:sz w:val="32"/>
          <w:szCs w:val="32"/>
          <w:lang w:eastAsia="zh-CN"/>
        </w:rPr>
        <w:t>比例为</w:t>
      </w:r>
      <w:r>
        <w:rPr>
          <w:rFonts w:hint="eastAsia" w:ascii="仿宋_GB2312" w:eastAsia="仿宋_GB2312"/>
          <w:color w:val="auto"/>
          <w:sz w:val="32"/>
          <w:szCs w:val="32"/>
        </w:rPr>
        <w:t>职工缴纳的住房公积金。</w:t>
      </w:r>
    </w:p>
    <w:p>
      <w:pPr>
        <w:numPr>
          <w:ilvl w:val="0"/>
          <w:numId w:val="5"/>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5"/>
        </w:numPr>
        <w:ind w:left="0" w:leftChars="0" w:firstLine="400" w:firstLineChars="0"/>
        <w:rPr>
          <w:rFonts w:hint="eastAsia" w:ascii="仿宋_GB2312" w:eastAsia="仿宋_GB2312"/>
          <w:color w:val="auto"/>
          <w:sz w:val="32"/>
          <w:szCs w:val="32"/>
          <w:lang w:eastAsia="zh-CN"/>
        </w:rPr>
      </w:pPr>
      <w:r>
        <w:rPr>
          <w:rFonts w:hint="eastAsia" w:ascii="仿宋_GB2312" w:eastAsia="仿宋_GB2312"/>
          <w:color w:val="auto"/>
          <w:sz w:val="32"/>
          <w:szCs w:val="32"/>
        </w:rPr>
        <w:t>项目支出：</w:t>
      </w:r>
      <w:r>
        <w:rPr>
          <w:rFonts w:hint="eastAsia" w:ascii="仿宋_GB2312" w:eastAsia="仿宋_GB2312"/>
          <w:color w:val="auto"/>
          <w:sz w:val="32"/>
          <w:szCs w:val="32"/>
          <w:highlight w:val="none"/>
        </w:rPr>
        <w:t>指在基本支出之外为完成特定行政任务和事业发展目标所发生的支出。</w:t>
      </w:r>
    </w:p>
    <w:p>
      <w:pPr>
        <w:pStyle w:val="32"/>
        <w:numPr>
          <w:ilvl w:val="0"/>
          <w:numId w:val="5"/>
        </w:numPr>
        <w:spacing w:line="560"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2"/>
        <w:numPr>
          <w:ilvl w:val="0"/>
          <w:numId w:val="5"/>
        </w:numPr>
        <w:spacing w:line="560"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2"/>
        <w:spacing w:line="560" w:lineRule="exact"/>
        <w:ind w:firstLine="640" w:firstLineChars="200"/>
        <w:rPr>
          <w:rFonts w:hint="default" w:ascii="仿宋_GB2312" w:eastAsia="仿宋_GB2312"/>
          <w:color w:val="auto"/>
          <w:sz w:val="32"/>
          <w:szCs w:val="32"/>
          <w:lang w:val="en-US" w:eastAsia="zh-CN"/>
        </w:rPr>
      </w:pPr>
    </w:p>
    <w:p>
      <w:pPr>
        <w:pStyle w:val="32"/>
        <w:spacing w:line="560" w:lineRule="exact"/>
        <w:ind w:firstLine="640" w:firstLineChars="200"/>
        <w:rPr>
          <w:rFonts w:hint="eastAsia" w:ascii="仿宋_GB2312" w:eastAsia="仿宋_GB2312"/>
          <w:color w:val="auto"/>
          <w:sz w:val="32"/>
          <w:szCs w:val="32"/>
          <w:highlight w:val="none"/>
        </w:rPr>
      </w:pPr>
    </w:p>
    <w:p>
      <w:pPr>
        <w:spacing w:line="600" w:lineRule="exact"/>
        <w:jc w:val="center"/>
        <w:outlineLvl w:val="9"/>
        <w:rPr>
          <w:rFonts w:hint="eastAsia" w:ascii="黑体" w:hAnsi="黑体" w:eastAsia="黑体"/>
          <w:color w:val="auto"/>
          <w:sz w:val="32"/>
          <w:szCs w:val="32"/>
          <w:highlight w:val="none"/>
        </w:rPr>
      </w:pPr>
      <w:bookmarkStart w:id="71" w:name="_Toc15396614"/>
      <w:bookmarkStart w:id="72" w:name="_Toc15377226"/>
    </w:p>
    <w:p>
      <w:pPr>
        <w:spacing w:line="600" w:lineRule="exact"/>
        <w:jc w:val="center"/>
        <w:outlineLvl w:val="9"/>
        <w:rPr>
          <w:rFonts w:hint="eastAsia" w:ascii="黑体" w:hAnsi="黑体" w:eastAsia="黑体"/>
          <w:color w:val="auto"/>
          <w:sz w:val="32"/>
          <w:szCs w:val="32"/>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rPr>
          <w:rFonts w:hint="eastAsia"/>
        </w:rPr>
      </w:pPr>
    </w:p>
    <w:p>
      <w:pPr>
        <w:spacing w:line="600" w:lineRule="exact"/>
        <w:jc w:val="center"/>
        <w:outlineLvl w:val="0"/>
        <w:rPr>
          <w:rStyle w:val="21"/>
          <w:rFonts w:hint="eastAsia" w:ascii="黑体" w:hAnsi="黑体" w:eastAsia="黑体"/>
          <w:b w:val="0"/>
          <w:color w:val="auto"/>
          <w:highlight w:val="none"/>
          <w:lang w:eastAsia="zh-CN"/>
        </w:rPr>
      </w:pPr>
      <w:bookmarkStart w:id="73" w:name="_Toc185"/>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四部分附件</w:t>
      </w:r>
      <w:bookmarkEnd w:id="71"/>
      <w:bookmarkEnd w:id="73"/>
    </w:p>
    <w:p>
      <w:pPr>
        <w:keepNext w:val="0"/>
        <w:keepLines w:val="0"/>
        <w:pageBreakBefore w:val="0"/>
        <w:kinsoku/>
        <w:wordWrap/>
        <w:overflowPunct/>
        <w:topLinePunct w:val="0"/>
        <w:autoSpaceDE/>
        <w:autoSpaceDN/>
        <w:bidi w:val="0"/>
        <w:spacing w:line="572" w:lineRule="exact"/>
        <w:jc w:val="left"/>
        <w:textAlignment w:val="auto"/>
        <w:outlineLvl w:val="1"/>
        <w:rPr>
          <w:rFonts w:ascii="方正小标宋简体" w:hAnsi="方正小标宋简体" w:eastAsia="方正小标宋简体" w:cs="方正小标宋简体"/>
          <w:color w:val="auto"/>
          <w:sz w:val="44"/>
          <w:szCs w:val="44"/>
          <w:highlight w:val="none"/>
        </w:rPr>
      </w:pPr>
      <w:bookmarkStart w:id="74" w:name="_Toc22282"/>
      <w:r>
        <w:rPr>
          <w:rFonts w:hint="eastAsia" w:ascii="黑体" w:hAnsi="黑体" w:eastAsia="黑体" w:cs="黑体"/>
          <w:color w:val="auto"/>
          <w:sz w:val="32"/>
          <w:szCs w:val="32"/>
          <w:highlight w:val="none"/>
        </w:rPr>
        <w:t>附件</w:t>
      </w:r>
      <w:bookmarkEnd w:id="74"/>
    </w:p>
    <w:p>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6"/>
          <w:szCs w:val="36"/>
          <w:highlight w:val="none"/>
          <w:shd w:val="clear" w:color="auto" w:fill="FFFFFF"/>
        </w:rPr>
      </w:pPr>
      <w:r>
        <w:rPr>
          <w:rFonts w:hint="eastAsia" w:ascii="宋体" w:hAnsi="宋体" w:eastAsia="宋体"/>
          <w:b/>
          <w:color w:val="auto"/>
          <w:sz w:val="36"/>
          <w:szCs w:val="36"/>
          <w:highlight w:val="none"/>
          <w:shd w:val="clear" w:color="auto" w:fill="FFFFFF"/>
        </w:rPr>
        <w:t>20</w:t>
      </w:r>
      <w:r>
        <w:rPr>
          <w:rFonts w:hint="eastAsia" w:ascii="宋体" w:hAnsi="宋体" w:eastAsia="宋体"/>
          <w:b/>
          <w:color w:val="auto"/>
          <w:sz w:val="36"/>
          <w:szCs w:val="36"/>
          <w:highlight w:val="none"/>
          <w:shd w:val="clear" w:color="auto" w:fill="FFFFFF"/>
          <w:lang w:val="en-US" w:eastAsia="zh-CN"/>
        </w:rPr>
        <w:t>2</w:t>
      </w:r>
      <w:r>
        <w:rPr>
          <w:rFonts w:hint="eastAsia" w:ascii="宋体" w:hAnsi="宋体"/>
          <w:b/>
          <w:color w:val="auto"/>
          <w:sz w:val="36"/>
          <w:szCs w:val="36"/>
          <w:highlight w:val="none"/>
          <w:shd w:val="clear" w:color="auto" w:fill="FFFFFF"/>
          <w:lang w:val="en-US" w:eastAsia="zh-CN"/>
        </w:rPr>
        <w:t>2</w:t>
      </w:r>
      <w:r>
        <w:rPr>
          <w:rFonts w:hint="eastAsia" w:ascii="宋体" w:hAnsi="宋体" w:eastAsia="宋体"/>
          <w:b/>
          <w:color w:val="auto"/>
          <w:sz w:val="36"/>
          <w:szCs w:val="36"/>
          <w:highlight w:val="none"/>
          <w:shd w:val="clear" w:color="auto" w:fill="FFFFFF"/>
        </w:rPr>
        <w:t>年</w:t>
      </w:r>
      <w:r>
        <w:rPr>
          <w:rFonts w:hint="eastAsia" w:ascii="宋体" w:hAnsi="宋体"/>
          <w:b/>
          <w:color w:val="auto"/>
          <w:sz w:val="36"/>
          <w:szCs w:val="36"/>
          <w:highlight w:val="none"/>
          <w:shd w:val="clear" w:color="auto" w:fill="FFFFFF"/>
          <w:lang w:eastAsia="zh-CN"/>
        </w:rPr>
        <w:t>市委办公室</w:t>
      </w:r>
      <w:r>
        <w:rPr>
          <w:rFonts w:hint="eastAsia" w:ascii="宋体" w:hAnsi="宋体" w:eastAsia="宋体"/>
          <w:b/>
          <w:color w:val="auto"/>
          <w:sz w:val="36"/>
          <w:szCs w:val="36"/>
          <w:highlight w:val="none"/>
          <w:shd w:val="clear" w:color="auto" w:fill="FFFFFF"/>
        </w:rPr>
        <w:t>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75" w:name="_Toc24718"/>
      <w:r>
        <w:rPr>
          <w:rFonts w:hint="eastAsia" w:ascii="黑体" w:hAnsi="宋体" w:eastAsia="黑体" w:cs="宋体"/>
          <w:color w:val="auto"/>
          <w:kern w:val="0"/>
          <w:sz w:val="32"/>
          <w:szCs w:val="32"/>
          <w:highlight w:val="none"/>
          <w:shd w:val="clear" w:color="auto" w:fill="FFFFFF"/>
          <w:lang w:val="zh-CN"/>
        </w:rPr>
        <w:t>部门（单位）基本情况</w:t>
      </w:r>
      <w:bookmarkEnd w:id="75"/>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机构组成</w:t>
      </w:r>
    </w:p>
    <w:p>
      <w:pPr>
        <w:ind w:firstLine="624" w:firstLineChars="200"/>
        <w:rPr>
          <w:rFonts w:hint="eastAsia" w:ascii="仿宋_GB2312" w:hAnsi="Times New Roman" w:eastAsia="仿宋_GB2312"/>
          <w:color w:val="000000"/>
          <w:spacing w:val="-4"/>
          <w:kern w:val="0"/>
          <w:sz w:val="32"/>
          <w:szCs w:val="32"/>
          <w:lang w:val="en-US" w:eastAsia="zh-CN" w:bidi="ar-SA"/>
        </w:rPr>
      </w:pPr>
      <w:r>
        <w:rPr>
          <w:rFonts w:hint="eastAsia" w:ascii="仿宋_GB2312" w:hAnsi="Times New Roman" w:eastAsia="仿宋_GB2312"/>
          <w:color w:val="000000"/>
          <w:spacing w:val="-4"/>
          <w:kern w:val="0"/>
          <w:sz w:val="32"/>
          <w:szCs w:val="32"/>
          <w:lang w:val="en-US" w:eastAsia="zh-CN" w:bidi="ar-SA"/>
        </w:rPr>
        <w:t>中共广元市委办公室下属二级</w:t>
      </w:r>
      <w:r>
        <w:rPr>
          <w:rFonts w:hint="eastAsia" w:ascii="仿宋_GB2312" w:eastAsia="仿宋_GB2312"/>
          <w:color w:val="000000"/>
          <w:spacing w:val="-4"/>
          <w:kern w:val="0"/>
          <w:sz w:val="32"/>
          <w:szCs w:val="32"/>
          <w:lang w:val="en-US" w:eastAsia="zh-CN" w:bidi="ar-SA"/>
        </w:rPr>
        <w:t>预算</w:t>
      </w:r>
      <w:r>
        <w:rPr>
          <w:rFonts w:hint="eastAsia" w:ascii="仿宋_GB2312" w:hAnsi="Times New Roman" w:eastAsia="仿宋_GB2312"/>
          <w:color w:val="000000"/>
          <w:spacing w:val="-4"/>
          <w:kern w:val="0"/>
          <w:sz w:val="32"/>
          <w:szCs w:val="32"/>
          <w:lang w:val="en-US" w:eastAsia="zh-CN" w:bidi="ar-SA"/>
        </w:rPr>
        <w:t>单位2个，其中行政单位1个，参照公务员法管理的事业单位1个。</w:t>
      </w:r>
    </w:p>
    <w:p>
      <w:pPr>
        <w:ind w:firstLine="624" w:firstLineChars="200"/>
        <w:rPr>
          <w:rFonts w:hint="eastAsia" w:ascii="仿宋_GB2312" w:hAnsi="Times New Roman" w:eastAsia="仿宋_GB2312"/>
          <w:color w:val="000000"/>
          <w:spacing w:val="-4"/>
          <w:kern w:val="0"/>
          <w:sz w:val="32"/>
          <w:szCs w:val="32"/>
          <w:lang w:val="en-US" w:eastAsia="zh-CN" w:bidi="ar-SA"/>
        </w:rPr>
      </w:pPr>
      <w:r>
        <w:rPr>
          <w:rFonts w:hint="eastAsia" w:ascii="仿宋_GB2312" w:hAnsi="Times New Roman" w:eastAsia="仿宋_GB2312"/>
          <w:color w:val="000000"/>
          <w:spacing w:val="-4"/>
          <w:kern w:val="0"/>
          <w:sz w:val="32"/>
          <w:szCs w:val="32"/>
          <w:lang w:val="en-US" w:eastAsia="zh-CN" w:bidi="ar-SA"/>
        </w:rPr>
        <w:t>纳入中共广元市委办公室202</w:t>
      </w:r>
      <w:r>
        <w:rPr>
          <w:rFonts w:hint="eastAsia" w:ascii="仿宋_GB2312" w:eastAsia="仿宋_GB2312"/>
          <w:color w:val="000000"/>
          <w:spacing w:val="-4"/>
          <w:kern w:val="0"/>
          <w:sz w:val="32"/>
          <w:szCs w:val="32"/>
          <w:lang w:val="en-US" w:eastAsia="zh-CN" w:bidi="ar-SA"/>
        </w:rPr>
        <w:t>2</w:t>
      </w:r>
      <w:r>
        <w:rPr>
          <w:rFonts w:hint="eastAsia" w:ascii="仿宋_GB2312" w:hAnsi="Times New Roman" w:eastAsia="仿宋_GB2312"/>
          <w:color w:val="000000"/>
          <w:spacing w:val="-4"/>
          <w:kern w:val="0"/>
          <w:sz w:val="32"/>
          <w:szCs w:val="32"/>
          <w:lang w:val="en-US" w:eastAsia="zh-CN" w:bidi="ar-SA"/>
        </w:rPr>
        <w:t>年度部门决算编制范围的二级预算单位包括：</w:t>
      </w:r>
    </w:p>
    <w:p>
      <w:pPr>
        <w:pStyle w:val="7"/>
        <w:numPr>
          <w:ilvl w:val="0"/>
          <w:numId w:val="8"/>
        </w:numPr>
        <w:adjustRightInd w:val="0"/>
        <w:snapToGrid w:val="0"/>
        <w:spacing w:before="93" w:line="600" w:lineRule="exact"/>
        <w:ind w:left="630"/>
        <w:outlineLvl w:val="2"/>
        <w:rPr>
          <w:rFonts w:hint="eastAsia" w:ascii="仿宋_GB2312" w:hAnsi="Times New Roman" w:eastAsia="仿宋_GB2312"/>
          <w:color w:val="000000"/>
          <w:spacing w:val="-4"/>
          <w:kern w:val="0"/>
          <w:sz w:val="32"/>
          <w:szCs w:val="32"/>
          <w:highlight w:val="none"/>
          <w:lang w:val="en-US" w:eastAsia="zh-CN" w:bidi="ar-SA"/>
        </w:rPr>
      </w:pPr>
      <w:r>
        <w:rPr>
          <w:rFonts w:hint="eastAsia" w:hAnsi="仿宋" w:cs="Times New Roman"/>
          <w:color w:val="000000"/>
          <w:sz w:val="32"/>
          <w:szCs w:val="32"/>
          <w:lang w:val="en-US" w:eastAsia="zh-CN"/>
        </w:rPr>
        <w:t>中共广元市委办公室机关(含市公务服务中心）</w:t>
      </w:r>
    </w:p>
    <w:p>
      <w:pPr>
        <w:pStyle w:val="7"/>
        <w:numPr>
          <w:ilvl w:val="0"/>
          <w:numId w:val="8"/>
        </w:numPr>
        <w:adjustRightInd w:val="0"/>
        <w:snapToGrid w:val="0"/>
        <w:spacing w:before="93" w:line="600" w:lineRule="exact"/>
        <w:ind w:left="630" w:leftChars="0" w:firstLine="0" w:firstLineChars="0"/>
        <w:outlineLvl w:val="2"/>
        <w:rPr>
          <w:rFonts w:hint="eastAsia" w:ascii="仿宋_GB2312" w:hAnsi="Times New Roman" w:eastAsia="仿宋_GB2312"/>
          <w:color w:val="000000"/>
          <w:spacing w:val="-4"/>
          <w:kern w:val="0"/>
          <w:sz w:val="32"/>
          <w:szCs w:val="32"/>
          <w:highlight w:val="none"/>
          <w:lang w:val="en-US" w:eastAsia="zh-CN" w:bidi="ar-SA"/>
        </w:rPr>
      </w:pPr>
      <w:r>
        <w:rPr>
          <w:rFonts w:hint="eastAsia" w:ascii="仿宋_GB2312" w:hAnsi="Times New Roman" w:eastAsia="仿宋_GB2312"/>
          <w:color w:val="000000"/>
          <w:spacing w:val="-4"/>
          <w:kern w:val="0"/>
          <w:sz w:val="32"/>
          <w:szCs w:val="32"/>
          <w:highlight w:val="none"/>
          <w:lang w:val="en-US" w:eastAsia="zh-CN" w:bidi="ar-SA"/>
        </w:rPr>
        <w:t>中共广元市委目标绩效管理办公室</w:t>
      </w:r>
    </w:p>
    <w:p>
      <w:pPr>
        <w:pStyle w:val="7"/>
        <w:numPr>
          <w:ilvl w:val="0"/>
          <w:numId w:val="8"/>
        </w:numPr>
        <w:adjustRightInd w:val="0"/>
        <w:snapToGrid w:val="0"/>
        <w:spacing w:before="93" w:line="600" w:lineRule="exact"/>
        <w:ind w:left="630" w:leftChars="0" w:firstLine="0" w:firstLineChars="0"/>
        <w:outlineLvl w:val="2"/>
        <w:rPr>
          <w:rFonts w:hint="eastAsia"/>
          <w:sz w:val="32"/>
          <w:szCs w:val="32"/>
          <w:lang w:val="zh-CN"/>
        </w:rPr>
      </w:pPr>
      <w:r>
        <w:rPr>
          <w:rFonts w:hint="eastAsia" w:ascii="仿宋_GB2312" w:hAnsi="Times New Roman" w:eastAsia="仿宋_GB2312"/>
          <w:color w:val="000000"/>
          <w:spacing w:val="-4"/>
          <w:kern w:val="0"/>
          <w:sz w:val="32"/>
          <w:szCs w:val="32"/>
          <w:highlight w:val="none"/>
          <w:lang w:val="en-US" w:eastAsia="zh-CN" w:bidi="ar-SA"/>
        </w:rPr>
        <w:t>中共广元市委党史研究室</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机构职能和人员概况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中共广元</w:t>
      </w:r>
      <w:r>
        <w:rPr>
          <w:rFonts w:hint="eastAsia" w:ascii="仿宋_GB2312" w:hAnsi="仿宋_GB2312" w:eastAsia="仿宋_GB2312" w:cs="仿宋_GB2312"/>
          <w:sz w:val="32"/>
          <w:szCs w:val="32"/>
          <w:lang w:eastAsia="zh-CN"/>
        </w:rPr>
        <w:t>市委办公室：负责中央、省委和市委重要工作部署贯彻落实的协调、督促、检查，中央、省委和市委工作指示、领导同志批示的传达和督办；负责市委会议、重大活动的准备和实施工作，市委领导同志活动的协调安排，市委领导同志文稿的撰写、修改和印制；围绕中央、省委和市委工作部署，搜集信息、反映动态、综合调研；负责市委日常公文的承办工作，负责中央、省委和市委文件的分发、管理等工作；负责市委规范性文件报送省委备案工作，承办全市党内规范性文件备案工作；负责党务公开工作，承担市委党务公开协调小组日常工作；统筹指导市级议事协调机构工作；承担市委机关和市委领导后勤服务保障工作；负责管理市委机关公共设施、办公设备等固定资产；负责市委领导办公区域的安全保卫和市委机关大院社会治安综合治理及安全防范工作；负责市委办公室及财务归口管理部门的财务管理；负责市委日常值班、统筹节假日值班；承担市委机关人事劳资工作及离退休人员管理工作；承担市档案局、市党史办（市地方志办）的行政职能；承担全市党政专用通信规划建设工作；代管市公务服务中心、市委党史研究室，归口管理市委保密机要局、市委目标绩效办的工作；负责党群口日常牵头工作；完成市委交办的其他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广元市公务服务中心：</w:t>
      </w:r>
      <w:r>
        <w:rPr>
          <w:rFonts w:hint="eastAsia" w:ascii="仿宋_GB2312" w:hAnsi="仿宋_GB2312" w:eastAsia="仿宋_GB2312" w:cs="仿宋_GB2312"/>
          <w:sz w:val="32"/>
          <w:szCs w:val="32"/>
          <w:highlight w:val="none"/>
        </w:rPr>
        <w:t>承担副部（省、军）级以上领导（含曾经担任）来广的服务保障；负责和参与省委、省政府及以上派出的各类巡视、检查、督查（督导、督察）、考察、调研、考核、审计等工作组来广的服务保障；会同有关部门做好中央、国家机关各部委（含各民主党派、工商联等）和省级部门厅级实职领导来广的服务保障；负责外市（州）党政代表团和人大、政协主要领导率队的考察团来广的协调联络和服务保障；负责我市党政代表团赴外地考察的协调联络和服务保障；负责市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政府交办的由市公务服务中心承担的公务服务和招商引资事项的服务保障；负责联系协调市级有关部门及关联单位承办市委、市政府重大公务活动的服务工作；会同市级有关部门承担市委、市政府交办的大型会议、活动的接待服务保障工作；指导全市公务活动服务保障工作；负责管理市接待服务中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lang w:val="en-US" w:eastAsia="zh-CN"/>
        </w:rPr>
        <w:t>中共广元</w:t>
      </w:r>
      <w:r>
        <w:rPr>
          <w:rFonts w:hint="eastAsia" w:ascii="仿宋_GB2312" w:hAnsi="仿宋_GB2312" w:eastAsia="仿宋_GB2312" w:cs="仿宋_GB2312"/>
          <w:sz w:val="32"/>
          <w:szCs w:val="32"/>
          <w:highlight w:val="none"/>
        </w:rPr>
        <w:t>市委目标绩效管理办公室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市委、市政府重大决策、重要工作部署落实情况督促检查，承担市委、市政府领导批交办事项专项督查或督查调研，统筹规范管理市本级督查检查考核事项；负责省委、省政府下达的绩效目标任务的运行管理；负责县区和市级部门目标绩效管理，开展运行监控，牵头组织考评；负责年度民生实事任务统筹管理，拟订全市民生实事实施方案，开展日常推进督促检查；负责市人大代表建议和市政协委员提案的督办工作；负责督办市委常委会决定事项</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市委</w:t>
      </w:r>
      <w:r>
        <w:rPr>
          <w:rFonts w:hint="eastAsia" w:ascii="仿宋_GB2312" w:hAnsi="仿宋_GB2312" w:eastAsia="仿宋_GB2312" w:cs="仿宋_GB2312"/>
          <w:sz w:val="32"/>
          <w:szCs w:val="32"/>
          <w:highlight w:val="none"/>
          <w:lang w:eastAsia="zh-CN"/>
        </w:rPr>
        <w:t>、市政府</w:t>
      </w:r>
      <w:r>
        <w:rPr>
          <w:rFonts w:hint="eastAsia" w:ascii="仿宋_GB2312" w:hAnsi="仿宋_GB2312" w:eastAsia="仿宋_GB2312" w:cs="仿宋_GB2312"/>
          <w:sz w:val="32"/>
          <w:szCs w:val="32"/>
          <w:highlight w:val="none"/>
        </w:rPr>
        <w:t>主要领导批示件办理工作；负责承办省委督查室、省政府督查室交办事项的督办落实和情况反馈工作；承担市督促检查和目标绩效管理领导小组日常工作。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lang w:val="en-US" w:eastAsia="zh-CN"/>
        </w:rPr>
        <w:t>中共广元</w:t>
      </w:r>
      <w:r>
        <w:rPr>
          <w:rFonts w:hint="eastAsia" w:ascii="仿宋_GB2312" w:hAnsi="仿宋_GB2312" w:eastAsia="仿宋_GB2312" w:cs="仿宋_GB2312"/>
          <w:sz w:val="32"/>
          <w:szCs w:val="32"/>
          <w:highlight w:val="none"/>
        </w:rPr>
        <w:t>市委党史研究室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研究中国共产党广元历史、广元市地方志，及时记载、总结、研究市委、市政府重大决策部署；参与制定贯彻党委政府党史地方志工作法规、政策的落实措施；征集、整理中国共产党广元历史、广元市地方志重要资料，建立广元市情信息数据库，为市委、市政府决策提供史志资料和资政建议；组织编写出版中国共产党广元历史书籍和广元市地方志书籍；组织中国共产党广元历史、广元市地方志理论研讨及学术交流，开展党史、地方志业务培训；开展中国共产党广元历史、广元市地方志学习、教育和宣传活动，普及党史、地方志知识；参与拟制全市党史、地方志工作规划和编纂方案，指导全市党史、地方志业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highlight w:val="none"/>
          <w:lang w:val="zh-CN"/>
        </w:rPr>
        <w:t>人员概况：</w:t>
      </w:r>
      <w:r>
        <w:rPr>
          <w:rFonts w:hint="eastAsia" w:ascii="仿宋_GB2312" w:hAnsi="仿宋_GB2312" w:eastAsia="仿宋_GB2312" w:cs="仿宋_GB2312"/>
          <w:sz w:val="32"/>
          <w:szCs w:val="32"/>
          <w:highlight w:val="none"/>
        </w:rPr>
        <w:t>市委办公室（含市委目标绩效办、市委党史研究室）年末独立核算机构3个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年末实有数11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。其中：行政人员</w:t>
      </w:r>
      <w:r>
        <w:rPr>
          <w:rFonts w:hint="eastAsia" w:ascii="仿宋_GB2312" w:hAnsi="仿宋_GB2312" w:eastAsia="仿宋_GB2312" w:cs="仿宋_GB2312"/>
          <w:sz w:val="32"/>
          <w:szCs w:val="32"/>
          <w:highlight w:val="none"/>
          <w:lang w:val="en-US" w:eastAsia="zh-CN"/>
        </w:rPr>
        <w:t>80</w:t>
      </w:r>
      <w:r>
        <w:rPr>
          <w:rFonts w:hint="eastAsia" w:ascii="仿宋_GB2312" w:hAnsi="仿宋_GB2312" w:eastAsia="仿宋_GB2312" w:cs="仿宋_GB2312"/>
          <w:sz w:val="32"/>
          <w:szCs w:val="32"/>
          <w:highlight w:val="none"/>
        </w:rPr>
        <w:t>人，参照公务员法管理事业人员</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事业人员</w:t>
      </w:r>
      <w:r>
        <w:rPr>
          <w:rFonts w:hint="eastAsia" w:ascii="仿宋_GB2312" w:hAnsi="仿宋_GB2312" w:eastAsia="仿宋_GB2312" w:cs="仿宋_GB2312"/>
          <w:sz w:val="32"/>
          <w:szCs w:val="32"/>
          <w:highlight w:val="none"/>
          <w:lang w:val="en-US" w:eastAsia="zh-CN"/>
        </w:rPr>
        <w:t>14人</w:t>
      </w:r>
      <w:r>
        <w:rPr>
          <w:rFonts w:hint="eastAsia" w:ascii="仿宋_GB2312" w:hAnsi="仿宋_GB2312" w:eastAsia="仿宋_GB2312" w:cs="仿宋_GB2312"/>
          <w:sz w:val="32"/>
          <w:szCs w:val="32"/>
          <w:highlight w:val="none"/>
        </w:rPr>
        <w:t>，遗属1人。</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年度主要工作任务</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中共广元</w:t>
      </w:r>
      <w:r>
        <w:rPr>
          <w:rFonts w:hint="eastAsia" w:ascii="仿宋_GB2312" w:hAnsi="仿宋_GB2312" w:eastAsia="仿宋_GB2312" w:cs="仿宋_GB2312"/>
          <w:sz w:val="32"/>
          <w:szCs w:val="32"/>
        </w:rPr>
        <w:t>市委办公室</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i w:val="0"/>
          <w:iCs w:val="0"/>
          <w:caps w:val="0"/>
          <w:color w:val="000000"/>
          <w:spacing w:val="0"/>
          <w:sz w:val="32"/>
          <w:szCs w:val="32"/>
          <w:shd w:val="clear" w:color="auto" w:fill="FFFFFF"/>
        </w:rPr>
        <w:t>市委日常公文的</w:t>
      </w:r>
      <w:r>
        <w:rPr>
          <w:rFonts w:hint="eastAsia" w:ascii="仿宋_GB2312" w:hAnsi="仿宋_GB2312" w:eastAsia="仿宋_GB2312" w:cs="仿宋_GB2312"/>
          <w:i w:val="0"/>
          <w:iCs w:val="0"/>
          <w:caps w:val="0"/>
          <w:color w:val="000000"/>
          <w:spacing w:val="0"/>
          <w:sz w:val="32"/>
          <w:szCs w:val="32"/>
          <w:shd w:val="clear" w:color="auto" w:fill="FFFFFF"/>
          <w:lang w:eastAsia="zh-CN"/>
        </w:rPr>
        <w:t>办理</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做好</w:t>
      </w:r>
      <w:r>
        <w:rPr>
          <w:rFonts w:hint="eastAsia" w:ascii="仿宋_GB2312" w:hAnsi="仿宋_GB2312" w:eastAsia="仿宋_GB2312" w:cs="仿宋_GB2312"/>
          <w:i w:val="0"/>
          <w:iCs w:val="0"/>
          <w:caps w:val="0"/>
          <w:color w:val="000000"/>
          <w:spacing w:val="0"/>
          <w:sz w:val="32"/>
          <w:szCs w:val="32"/>
          <w:shd w:val="clear" w:color="auto" w:fill="FFFFFF"/>
        </w:rPr>
        <w:t>中央</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省委</w:t>
      </w:r>
      <w:r>
        <w:rPr>
          <w:rFonts w:hint="eastAsia" w:ascii="仿宋_GB2312" w:hAnsi="仿宋_GB2312" w:eastAsia="仿宋_GB2312" w:cs="仿宋_GB2312"/>
          <w:i w:val="0"/>
          <w:iCs w:val="0"/>
          <w:caps w:val="0"/>
          <w:color w:val="000000"/>
          <w:spacing w:val="0"/>
          <w:sz w:val="32"/>
          <w:szCs w:val="32"/>
          <w:shd w:val="clear" w:color="auto" w:fill="FFFFFF"/>
          <w:lang w:eastAsia="zh-CN"/>
        </w:rPr>
        <w:t>和</w:t>
      </w:r>
      <w:r>
        <w:rPr>
          <w:rFonts w:hint="eastAsia" w:ascii="仿宋_GB2312" w:hAnsi="仿宋_GB2312" w:eastAsia="仿宋_GB2312" w:cs="仿宋_GB2312"/>
          <w:i w:val="0"/>
          <w:iCs w:val="0"/>
          <w:caps w:val="0"/>
          <w:color w:val="000000"/>
          <w:spacing w:val="0"/>
          <w:sz w:val="32"/>
          <w:szCs w:val="32"/>
          <w:shd w:val="clear" w:color="auto" w:fill="FFFFFF"/>
        </w:rPr>
        <w:t>市委文件的分发、管理等工作；围绕中央</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省委</w:t>
      </w:r>
      <w:r>
        <w:rPr>
          <w:rFonts w:hint="eastAsia" w:ascii="仿宋_GB2312" w:hAnsi="仿宋_GB2312" w:eastAsia="仿宋_GB2312" w:cs="仿宋_GB2312"/>
          <w:i w:val="0"/>
          <w:iCs w:val="0"/>
          <w:caps w:val="0"/>
          <w:color w:val="000000"/>
          <w:spacing w:val="0"/>
          <w:sz w:val="32"/>
          <w:szCs w:val="32"/>
          <w:shd w:val="clear" w:color="auto" w:fill="FFFFFF"/>
          <w:lang w:eastAsia="zh-CN"/>
        </w:rPr>
        <w:t>和</w:t>
      </w:r>
      <w:r>
        <w:rPr>
          <w:rFonts w:hint="eastAsia" w:ascii="仿宋_GB2312" w:hAnsi="仿宋_GB2312" w:eastAsia="仿宋_GB2312" w:cs="仿宋_GB2312"/>
          <w:i w:val="0"/>
          <w:iCs w:val="0"/>
          <w:caps w:val="0"/>
          <w:color w:val="000000"/>
          <w:spacing w:val="0"/>
          <w:sz w:val="32"/>
          <w:szCs w:val="32"/>
          <w:shd w:val="clear" w:color="auto" w:fill="FFFFFF"/>
        </w:rPr>
        <w:t>市委各项部署，</w:t>
      </w:r>
      <w:r>
        <w:rPr>
          <w:rFonts w:hint="eastAsia" w:ascii="仿宋_GB2312" w:hAnsi="仿宋_GB2312" w:eastAsia="仿宋_GB2312" w:cs="仿宋_GB2312"/>
          <w:i w:val="0"/>
          <w:iCs w:val="0"/>
          <w:caps w:val="0"/>
          <w:color w:val="000000"/>
          <w:spacing w:val="0"/>
          <w:sz w:val="32"/>
          <w:szCs w:val="32"/>
          <w:shd w:val="clear" w:color="auto" w:fill="FFFFFF"/>
          <w:lang w:eastAsia="zh-CN"/>
        </w:rPr>
        <w:t>加强</w:t>
      </w:r>
      <w:r>
        <w:rPr>
          <w:rFonts w:hint="eastAsia" w:ascii="仿宋_GB2312" w:hAnsi="仿宋_GB2312" w:eastAsia="仿宋_GB2312" w:cs="仿宋_GB2312"/>
          <w:i w:val="0"/>
          <w:iCs w:val="0"/>
          <w:caps w:val="0"/>
          <w:color w:val="000000"/>
          <w:spacing w:val="0"/>
          <w:sz w:val="32"/>
          <w:szCs w:val="32"/>
          <w:shd w:val="clear" w:color="auto" w:fill="FFFFFF"/>
        </w:rPr>
        <w:t>搜集信息、反映动态、综合调研，为市委决策提供参考；</w:t>
      </w:r>
      <w:r>
        <w:rPr>
          <w:rFonts w:hint="eastAsia" w:ascii="仿宋_GB2312" w:hAnsi="仿宋_GB2312" w:eastAsia="仿宋_GB2312" w:cs="仿宋_GB2312"/>
          <w:i w:val="0"/>
          <w:iCs w:val="0"/>
          <w:caps w:val="0"/>
          <w:color w:val="000000"/>
          <w:spacing w:val="0"/>
          <w:sz w:val="32"/>
          <w:szCs w:val="32"/>
          <w:shd w:val="clear" w:color="auto" w:fill="FFFFFF"/>
          <w:lang w:eastAsia="zh-CN"/>
        </w:rPr>
        <w:t>做好</w:t>
      </w:r>
      <w:r>
        <w:rPr>
          <w:rFonts w:hint="eastAsia" w:ascii="仿宋_GB2312" w:hAnsi="仿宋_GB2312" w:eastAsia="仿宋_GB2312" w:cs="仿宋_GB2312"/>
          <w:i w:val="0"/>
          <w:iCs w:val="0"/>
          <w:caps w:val="0"/>
          <w:color w:val="000000"/>
          <w:spacing w:val="0"/>
          <w:sz w:val="32"/>
          <w:szCs w:val="32"/>
          <w:shd w:val="clear" w:color="auto" w:fill="FFFFFF"/>
        </w:rPr>
        <w:t>中央</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省委</w:t>
      </w:r>
      <w:r>
        <w:rPr>
          <w:rFonts w:hint="eastAsia" w:ascii="仿宋_GB2312" w:hAnsi="仿宋_GB2312" w:eastAsia="仿宋_GB2312" w:cs="仿宋_GB2312"/>
          <w:i w:val="0"/>
          <w:iCs w:val="0"/>
          <w:caps w:val="0"/>
          <w:color w:val="000000"/>
          <w:spacing w:val="0"/>
          <w:sz w:val="32"/>
          <w:szCs w:val="32"/>
          <w:shd w:val="clear" w:color="auto" w:fill="FFFFFF"/>
          <w:lang w:eastAsia="zh-CN"/>
        </w:rPr>
        <w:t>和</w:t>
      </w:r>
      <w:r>
        <w:rPr>
          <w:rFonts w:hint="eastAsia" w:ascii="仿宋_GB2312" w:hAnsi="仿宋_GB2312" w:eastAsia="仿宋_GB2312" w:cs="仿宋_GB2312"/>
          <w:i w:val="0"/>
          <w:iCs w:val="0"/>
          <w:caps w:val="0"/>
          <w:color w:val="000000"/>
          <w:spacing w:val="0"/>
          <w:sz w:val="32"/>
          <w:szCs w:val="32"/>
          <w:shd w:val="clear" w:color="auto" w:fill="FFFFFF"/>
        </w:rPr>
        <w:t>市委重要工作部署贯彻落实的协调、督促、检查，中央</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省委</w:t>
      </w:r>
      <w:r>
        <w:rPr>
          <w:rFonts w:hint="eastAsia" w:ascii="仿宋_GB2312" w:hAnsi="仿宋_GB2312" w:eastAsia="仿宋_GB2312" w:cs="仿宋_GB2312"/>
          <w:i w:val="0"/>
          <w:iCs w:val="0"/>
          <w:caps w:val="0"/>
          <w:color w:val="000000"/>
          <w:spacing w:val="0"/>
          <w:sz w:val="32"/>
          <w:szCs w:val="32"/>
          <w:shd w:val="clear" w:color="auto" w:fill="FFFFFF"/>
          <w:lang w:eastAsia="zh-CN"/>
        </w:rPr>
        <w:t>和</w:t>
      </w:r>
      <w:r>
        <w:rPr>
          <w:rFonts w:hint="eastAsia" w:ascii="仿宋_GB2312" w:hAnsi="仿宋_GB2312" w:eastAsia="仿宋_GB2312" w:cs="仿宋_GB2312"/>
          <w:i w:val="0"/>
          <w:iCs w:val="0"/>
          <w:caps w:val="0"/>
          <w:color w:val="000000"/>
          <w:spacing w:val="0"/>
          <w:sz w:val="32"/>
          <w:szCs w:val="32"/>
          <w:shd w:val="clear" w:color="auto" w:fill="FFFFFF"/>
        </w:rPr>
        <w:t>市委领导同志指示批示的转达和督办；</w:t>
      </w:r>
      <w:r>
        <w:rPr>
          <w:rFonts w:hint="eastAsia" w:ascii="仿宋_GB2312" w:hAnsi="仿宋_GB2312" w:eastAsia="仿宋_GB2312" w:cs="仿宋_GB2312"/>
          <w:i w:val="0"/>
          <w:iCs w:val="0"/>
          <w:caps w:val="0"/>
          <w:color w:val="000000"/>
          <w:spacing w:val="0"/>
          <w:sz w:val="32"/>
          <w:szCs w:val="32"/>
          <w:shd w:val="clear" w:color="auto" w:fill="FFFFFF"/>
          <w:lang w:eastAsia="zh-CN"/>
        </w:rPr>
        <w:t>做好</w:t>
      </w:r>
      <w:r>
        <w:rPr>
          <w:rFonts w:hint="eastAsia" w:ascii="仿宋_GB2312" w:hAnsi="仿宋_GB2312" w:eastAsia="仿宋_GB2312" w:cs="仿宋_GB2312"/>
          <w:i w:val="0"/>
          <w:iCs w:val="0"/>
          <w:caps w:val="0"/>
          <w:color w:val="000000"/>
          <w:spacing w:val="0"/>
          <w:sz w:val="32"/>
          <w:szCs w:val="32"/>
          <w:shd w:val="clear" w:color="auto" w:fill="FFFFFF"/>
        </w:rPr>
        <w:t>市委</w:t>
      </w:r>
      <w:r>
        <w:rPr>
          <w:rFonts w:hint="eastAsia" w:ascii="仿宋_GB2312" w:hAnsi="仿宋_GB2312" w:eastAsia="仿宋_GB2312" w:cs="仿宋_GB2312"/>
          <w:i w:val="0"/>
          <w:iCs w:val="0"/>
          <w:caps w:val="0"/>
          <w:color w:val="000000"/>
          <w:spacing w:val="0"/>
          <w:sz w:val="32"/>
          <w:szCs w:val="32"/>
          <w:shd w:val="clear" w:color="auto" w:fill="FFFFFF"/>
          <w:lang w:eastAsia="zh-CN"/>
        </w:rPr>
        <w:t>全委会、市委常委会</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和全市综合性重大会议（活动）</w:t>
      </w:r>
      <w:r>
        <w:rPr>
          <w:rFonts w:hint="eastAsia" w:ascii="仿宋_GB2312" w:hAnsi="仿宋_GB2312" w:eastAsia="仿宋_GB2312" w:cs="仿宋_GB2312"/>
          <w:i w:val="0"/>
          <w:iCs w:val="0"/>
          <w:caps w:val="0"/>
          <w:color w:val="000000"/>
          <w:spacing w:val="0"/>
          <w:sz w:val="32"/>
          <w:szCs w:val="32"/>
          <w:shd w:val="clear" w:color="auto" w:fill="FFFFFF"/>
        </w:rPr>
        <w:t>的</w:t>
      </w:r>
      <w:r>
        <w:rPr>
          <w:rFonts w:hint="eastAsia" w:ascii="仿宋_GB2312" w:hAnsi="仿宋_GB2312" w:eastAsia="仿宋_GB2312" w:cs="仿宋_GB2312"/>
          <w:i w:val="0"/>
          <w:iCs w:val="0"/>
          <w:caps w:val="0"/>
          <w:color w:val="000000"/>
          <w:spacing w:val="0"/>
          <w:sz w:val="32"/>
          <w:szCs w:val="32"/>
          <w:shd w:val="clear" w:color="auto" w:fill="FFFFFF"/>
          <w:lang w:eastAsia="zh-CN"/>
        </w:rPr>
        <w:t>筹备</w:t>
      </w:r>
      <w:r>
        <w:rPr>
          <w:rFonts w:hint="eastAsia" w:ascii="仿宋_GB2312" w:hAnsi="仿宋_GB2312" w:eastAsia="仿宋_GB2312" w:cs="仿宋_GB2312"/>
          <w:i w:val="0"/>
          <w:iCs w:val="0"/>
          <w:caps w:val="0"/>
          <w:color w:val="000000"/>
          <w:spacing w:val="0"/>
          <w:sz w:val="32"/>
          <w:szCs w:val="32"/>
          <w:shd w:val="clear" w:color="auto" w:fill="FFFFFF"/>
        </w:rPr>
        <w:t>和</w:t>
      </w:r>
      <w:r>
        <w:rPr>
          <w:rFonts w:hint="eastAsia" w:ascii="仿宋_GB2312" w:hAnsi="仿宋_GB2312" w:eastAsia="仿宋_GB2312" w:cs="仿宋_GB2312"/>
          <w:i w:val="0"/>
          <w:iCs w:val="0"/>
          <w:caps w:val="0"/>
          <w:color w:val="000000"/>
          <w:spacing w:val="0"/>
          <w:sz w:val="32"/>
          <w:szCs w:val="32"/>
          <w:shd w:val="clear" w:color="auto" w:fill="FFFFFF"/>
          <w:lang w:eastAsia="zh-CN"/>
        </w:rPr>
        <w:t>组织</w:t>
      </w:r>
      <w:r>
        <w:rPr>
          <w:rFonts w:hint="eastAsia" w:ascii="仿宋_GB2312" w:hAnsi="仿宋_GB2312" w:eastAsia="仿宋_GB2312" w:cs="仿宋_GB2312"/>
          <w:i w:val="0"/>
          <w:iCs w:val="0"/>
          <w:caps w:val="0"/>
          <w:color w:val="000000"/>
          <w:spacing w:val="0"/>
          <w:sz w:val="32"/>
          <w:szCs w:val="32"/>
          <w:shd w:val="clear" w:color="auto" w:fill="FFFFFF"/>
        </w:rPr>
        <w:t>工作，</w:t>
      </w:r>
      <w:r>
        <w:rPr>
          <w:rFonts w:hint="eastAsia" w:ascii="仿宋_GB2312" w:hAnsi="仿宋_GB2312" w:eastAsia="仿宋_GB2312" w:cs="仿宋_GB2312"/>
          <w:i w:val="0"/>
          <w:iCs w:val="0"/>
          <w:caps w:val="0"/>
          <w:color w:val="000000"/>
          <w:spacing w:val="0"/>
          <w:sz w:val="32"/>
          <w:szCs w:val="32"/>
          <w:shd w:val="clear" w:color="auto" w:fill="FFFFFF"/>
          <w:lang w:eastAsia="zh-CN"/>
        </w:rPr>
        <w:t>统筹好</w:t>
      </w:r>
      <w:r>
        <w:rPr>
          <w:rFonts w:hint="eastAsia" w:ascii="仿宋_GB2312" w:hAnsi="仿宋_GB2312" w:eastAsia="仿宋_GB2312" w:cs="仿宋_GB2312"/>
          <w:i w:val="0"/>
          <w:iCs w:val="0"/>
          <w:caps w:val="0"/>
          <w:color w:val="000000"/>
          <w:spacing w:val="0"/>
          <w:sz w:val="32"/>
          <w:szCs w:val="32"/>
          <w:shd w:val="clear" w:color="auto" w:fill="FFFFFF"/>
        </w:rPr>
        <w:t>市委领导同志活动协调安排</w:t>
      </w:r>
      <w:r>
        <w:rPr>
          <w:rFonts w:hint="eastAsia" w:ascii="仿宋_GB2312" w:hAnsi="仿宋_GB2312" w:eastAsia="仿宋_GB2312" w:cs="仿宋_GB2312"/>
          <w:i w:val="0"/>
          <w:iCs w:val="0"/>
          <w:caps w:val="0"/>
          <w:color w:val="000000"/>
          <w:spacing w:val="0"/>
          <w:sz w:val="32"/>
          <w:szCs w:val="32"/>
          <w:shd w:val="clear" w:color="auto" w:fill="FFFFFF"/>
          <w:lang w:eastAsia="zh-CN"/>
        </w:rPr>
        <w:t>工作</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做好</w:t>
      </w:r>
      <w:r>
        <w:rPr>
          <w:rFonts w:hint="eastAsia" w:ascii="仿宋_GB2312" w:hAnsi="仿宋_GB2312" w:eastAsia="仿宋_GB2312" w:cs="仿宋_GB2312"/>
          <w:i w:val="0"/>
          <w:iCs w:val="0"/>
          <w:caps w:val="0"/>
          <w:color w:val="000000"/>
          <w:spacing w:val="0"/>
          <w:sz w:val="32"/>
          <w:szCs w:val="32"/>
          <w:shd w:val="clear" w:color="auto" w:fill="FFFFFF"/>
        </w:rPr>
        <w:t>市委办公室机关和市委领导后勤服务保障工作；</w:t>
      </w:r>
      <w:r>
        <w:rPr>
          <w:rFonts w:hint="eastAsia" w:ascii="仿宋_GB2312" w:hAnsi="仿宋_GB2312" w:eastAsia="仿宋_GB2312" w:cs="仿宋_GB2312"/>
          <w:i w:val="0"/>
          <w:iCs w:val="0"/>
          <w:caps w:val="0"/>
          <w:color w:val="000000"/>
          <w:spacing w:val="0"/>
          <w:sz w:val="32"/>
          <w:szCs w:val="32"/>
          <w:shd w:val="clear" w:color="auto" w:fill="FFFFFF"/>
          <w:lang w:eastAsia="zh-CN"/>
        </w:rPr>
        <w:t>按照省下目标任务，做好党史、档案、专用通信等工作。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SA"/>
        </w:rPr>
        <w:t>广元市公务服务中心：承担部级（省、军）级以上领导（含曾经担任）来广的服务保障</w:t>
      </w:r>
      <w:r>
        <w:rPr>
          <w:rFonts w:hint="eastAsia" w:ascii="仿宋_GB2312" w:hAnsi="仿宋_GB2312" w:eastAsia="仿宋_GB2312" w:cs="仿宋_GB2312"/>
          <w:sz w:val="32"/>
          <w:szCs w:val="32"/>
        </w:rPr>
        <w:t>；按照有关规定负责和参与省委、省政府及以上派出的巡视、检查、督查、考察、调研、审计等工作组来广的服务保障；负责外市（州）党政代表团和人大常委会、政协主要领导率队的考察团来广的协调联络和服务保障；负责我市党政代表团赴外地考察的协调联络和服务保障；完成市委、市政府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中共广元</w:t>
      </w:r>
      <w:r>
        <w:rPr>
          <w:rFonts w:hint="eastAsia" w:ascii="仿宋_GB2312" w:hAnsi="仿宋_GB2312" w:eastAsia="仿宋_GB2312" w:cs="仿宋_GB2312"/>
          <w:sz w:val="32"/>
          <w:szCs w:val="32"/>
          <w:lang w:val="en-US" w:eastAsia="zh-CN"/>
        </w:rPr>
        <w:t>市委目标绩效管理办公室：</w:t>
      </w:r>
      <w:r>
        <w:rPr>
          <w:rFonts w:hint="eastAsia" w:ascii="仿宋_GB2312" w:hAnsi="仿宋_GB2312" w:eastAsia="仿宋_GB2312" w:cs="仿宋_GB2312"/>
          <w:sz w:val="32"/>
          <w:szCs w:val="32"/>
        </w:rPr>
        <w:t>对市委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市政府主要领导批示督办事项，第一时间启动跟进，深入一线核查、发现问题、提出建议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对产业集聚、城市能级提升、民生保障等中心工作既定年度重点事项，系统谋划、分批分层、精准督办、跟踪问效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统筹开展民生实事实施，牵头制定民生实事方案，细化分解任务，定期开展实地督查，持续加强民生实事成效宣传，全力把民生实事办好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统筹推进为基层减负，制定年度任务清单，统筹抓好常规整治和突出问题治理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统筹开展巡视整改工作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统筹建议提案办理督办工作，对市人大代表建议和市政协提案办理工作进行跟踪督办，推动办理质量提升。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color w:val="000000"/>
          <w:sz w:val="32"/>
          <w:szCs w:val="32"/>
          <w:lang w:val="en-US" w:eastAsia="zh-CN"/>
        </w:rPr>
        <w:t>中共广元</w:t>
      </w:r>
      <w:r>
        <w:rPr>
          <w:rFonts w:hint="eastAsia" w:ascii="仿宋_GB2312" w:hAnsi="仿宋_GB2312" w:eastAsia="仿宋_GB2312" w:cs="仿宋_GB2312"/>
          <w:sz w:val="32"/>
          <w:szCs w:val="32"/>
          <w:lang w:val="en-US" w:eastAsia="zh-CN"/>
        </w:rPr>
        <w:t>市委党史研究室：收集《中共广元历史》第三卷（1978年-2002年）广元地方党史文字、图片资料，为党史第三卷的正式编写打下坚实基础；扎实开展党史、地方志宣传“七进”活动，举办系列史志宣传活动，大力宣传党的光辉历史；加强全市史志干部教育培训，提升史志干部综合素质和适应新形势下史志工作的能力；启动史志文献数据库、数字馆建设工作，完成规划设计，完成部分史志资料数字化；收录市四大班子领导机关和市级部门（单位）各县区（园区）2021年资料；完成省委党史目标考核任务；举办纪念木门会议召开90周年学术研讨；开展资政课题研究；编纂地情读物；开展古志、旧志整理。</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部门整体支出绩效目标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充分发挥党办牵头抓总作用，切实履行狠抓落实的基本职能，不断提升新形势下“三服务”水平。2022年承办或统筹协调市委重要活动；完成中央、省委领导来广调研和协调服务工作；向中办、省委办报送信息，信息工作排名全省第</w:t>
      </w:r>
      <w:r>
        <w:rPr>
          <w:rFonts w:hint="eastAsia" w:ascii="仿宋_GB2312" w:hAnsi="仿宋_GB2312" w:eastAsia="仿宋_GB2312" w:cs="仿宋_GB2312"/>
          <w:sz w:val="32"/>
          <w:szCs w:val="32"/>
          <w:lang w:val="en-US" w:eastAsia="zh-CN"/>
        </w:rPr>
        <w:t>5位，创历史最好成绩</w:t>
      </w:r>
      <w:r>
        <w:rPr>
          <w:rFonts w:hint="eastAsia" w:ascii="仿宋_GB2312" w:hAnsi="仿宋_GB2312" w:eastAsia="仿宋_GB2312" w:cs="仿宋_GB2312"/>
          <w:sz w:val="32"/>
          <w:szCs w:val="32"/>
          <w:lang w:val="zh-CN" w:eastAsia="zh-CN"/>
        </w:rPr>
        <w:t>；突出精简文件提高发文质量，完成精文减会“硬杠杠”，错差“零通报”；完成2022年各类接待任务及省下达的各项目标任务。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6" w:name="_Toc16333"/>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76"/>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spacing w:line="600" w:lineRule="exact"/>
        <w:ind w:firstLine="640" w:firstLineChars="200"/>
        <w:outlineLvl w:val="1"/>
        <w:rPr>
          <w:rFonts w:hint="eastAsia" w:ascii="仿宋_GB2312" w:hAnsi="仿宋_GB2312" w:eastAsia="仿宋_GB2312" w:cs="仿宋_GB2312"/>
          <w:sz w:val="32"/>
          <w:szCs w:val="32"/>
          <w:lang w:val="en-US" w:eastAsia="zh-CN"/>
        </w:rPr>
      </w:pPr>
      <w:bookmarkStart w:id="77" w:name="_Toc2843"/>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5727.48</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5727.48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bookmarkEnd w:id="77"/>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部门总体支出情况</w:t>
      </w:r>
    </w:p>
    <w:p>
      <w:pPr>
        <w:spacing w:line="600" w:lineRule="exact"/>
        <w:ind w:firstLine="640" w:firstLineChars="200"/>
        <w:outlineLvl w:val="1"/>
        <w:rPr>
          <w:rFonts w:hint="eastAsia" w:ascii="仿宋_GB2312" w:hAnsi="仿宋_GB2312" w:eastAsia="仿宋_GB2312" w:cs="仿宋_GB2312"/>
          <w:sz w:val="32"/>
          <w:szCs w:val="32"/>
          <w:lang w:val="en-US" w:eastAsia="zh-CN"/>
        </w:rPr>
      </w:pPr>
      <w:bookmarkStart w:id="78" w:name="_Toc6337"/>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5801.22</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2520.76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43.45</w:t>
      </w:r>
      <w:r>
        <w:rPr>
          <w:rFonts w:hint="eastAsia" w:ascii="仿宋_GB2312" w:hAnsi="仿宋_GB2312" w:eastAsia="仿宋_GB2312" w:cs="仿宋_GB2312"/>
          <w:color w:val="000000"/>
          <w:sz w:val="32"/>
          <w:szCs w:val="32"/>
        </w:rPr>
        <w:t>%；项目支出3</w:t>
      </w:r>
      <w:r>
        <w:rPr>
          <w:rFonts w:hint="eastAsia" w:ascii="仿宋_GB2312" w:hAnsi="仿宋_GB2312" w:eastAsia="仿宋_GB2312" w:cs="仿宋_GB2312"/>
          <w:color w:val="000000"/>
          <w:sz w:val="32"/>
          <w:szCs w:val="32"/>
          <w:lang w:val="en-US" w:eastAsia="zh-CN"/>
        </w:rPr>
        <w:t>280.46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56.55</w:t>
      </w:r>
      <w:r>
        <w:rPr>
          <w:rFonts w:hint="eastAsia" w:ascii="仿宋_GB2312" w:hAnsi="仿宋_GB2312" w:eastAsia="仿宋_GB2312" w:cs="仿宋_GB2312"/>
          <w:color w:val="000000"/>
          <w:sz w:val="32"/>
          <w:szCs w:val="32"/>
        </w:rPr>
        <w:t>%。</w:t>
      </w:r>
      <w:bookmarkEnd w:id="78"/>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部门总体结转结余情况</w:t>
      </w:r>
    </w:p>
    <w:p>
      <w:pPr>
        <w:pStyle w:val="6"/>
        <w:numPr>
          <w:ilvl w:val="0"/>
          <w:numId w:val="0"/>
        </w:numPr>
        <w:ind w:left="0" w:leftChars="0"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2022年年末部门总体结转结余192.45万元。</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pStyle w:val="6"/>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lang w:val="en-US" w:eastAsia="zh-CN"/>
        </w:rPr>
        <w:t>5727.48万元。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pStyle w:val="6"/>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5801.22</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pStyle w:val="6"/>
        <w:numPr>
          <w:ilvl w:val="0"/>
          <w:numId w:val="0"/>
        </w:numPr>
        <w:ind w:left="0" w:leftChars="0"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2022年年末部门</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财政拨款</w:t>
      </w:r>
      <w:r>
        <w:rPr>
          <w:rFonts w:hint="eastAsia" w:ascii="仿宋_GB2312" w:hAnsi="仿宋_GB2312" w:eastAsia="仿宋_GB2312" w:cs="仿宋_GB2312"/>
          <w:color w:val="000000"/>
          <w:kern w:val="2"/>
          <w:sz w:val="32"/>
          <w:szCs w:val="32"/>
          <w:highlight w:val="none"/>
          <w:lang w:val="en-US" w:eastAsia="zh-CN" w:bidi="ar-SA"/>
        </w:rPr>
        <w:t>结转结余192.45万元。</w:t>
      </w:r>
    </w:p>
    <w:p>
      <w:pPr>
        <w:pStyle w:val="6"/>
        <w:numPr>
          <w:ilvl w:val="0"/>
          <w:numId w:val="0"/>
        </w:numPr>
        <w:ind w:left="0" w:leftChars="0" w:firstLine="640" w:firstLineChars="200"/>
        <w:outlineLvl w:val="1"/>
        <w:rPr>
          <w:rFonts w:ascii="黑体" w:hAnsi="宋体" w:eastAsia="黑体" w:cs="宋体"/>
          <w:color w:val="auto"/>
          <w:kern w:val="0"/>
          <w:sz w:val="32"/>
          <w:szCs w:val="32"/>
          <w:highlight w:val="none"/>
          <w:shd w:val="clear" w:color="auto" w:fill="FFFFFF"/>
        </w:rPr>
      </w:pPr>
      <w:bookmarkStart w:id="79" w:name="_Toc24849"/>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79"/>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eastAsia="zh-CN"/>
        </w:rPr>
      </w:pPr>
      <w:r>
        <w:rPr>
          <w:rFonts w:hint="eastAsia" w:ascii="仿宋" w:hAnsi="仿宋" w:eastAsia="仿宋" w:cs="仿宋"/>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认真落实市财政局《关于编制202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年度预算的通知》要求，及时召开专题会，安排本单位预算编制工作，各科室提供预算基础数据，由财务科汇总编制202</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年预算。年初高质量、高标准完成绩效目标制定，做到绩效目标制定规范、完整无漏项，项目名称、绩效指标、项目内容说明等符合规范，项目使用过程中及时处置，执行进度较好，无违规违纪等情况。</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640" w:firstLineChars="200"/>
        <w:contextualSpacing/>
        <w:jc w:val="left"/>
        <w:textAlignment w:val="auto"/>
        <w:rPr>
          <w:rFonts w:hint="default"/>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中共广元市委办公室</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年人员类支出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2150.63万元，主要用于基本工资、津贴补贴、奖金、绩效工资、社会保障缴费、住房公积金、生活补助等支出。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中共广元市委办公室</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年运转类支出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370.13万元，主要用于办公费、印刷费、水费、电费、邮电费、物业管理费、差旅费、公务接待费、公务用车运行维护费、工会经费、福利费、其他交通费用、其他商品和服务支出等支出。</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中共广元市委办公室</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年共</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有27个部门预算项目，其中市委办机关有11个预算项目和5个追加项目，广元市委目标绩效管理办公室有5个预算项目，广元市委党史研究室2022年有6个预算项目。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2022年，中共广元市委办公室坚定以习近平新时代中国特色社会主义思想为指导，深入学习贯彻党的二十大和习近平总书记来川视察重要指示精神，认真贯彻落实省委十二届二次全会，市委八届五次全会精神，认真落实党中央国务院、省委省政府和市委市政府决策部署，高质量完成</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2022年部门整体支出绩效目标任务。</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（三）结果应用情况</w:t>
      </w:r>
    </w:p>
    <w:p>
      <w:pPr>
        <w:spacing w:line="58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市委办公室将各科室和下属单位绩效自评纳入考核体系，建立部门内部绩效结果与预算挂钩的机制。按照财政预算决算及绩效公开的相关文件，按要求公开的内容、格式，在规定时间内在广元市人民政府网站公开。</w:t>
      </w:r>
    </w:p>
    <w:p>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按照财政部门要求，市委办公室落实相关人员组成绩效评价工作组，按照相关规范及时准确开展绩效自评工作，自评质量较好。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0" w:name="_Toc13449"/>
      <w:r>
        <w:rPr>
          <w:rFonts w:hint="eastAsia" w:ascii="黑体" w:hAnsi="宋体" w:eastAsia="黑体" w:cs="宋体"/>
          <w:color w:val="auto"/>
          <w:kern w:val="0"/>
          <w:sz w:val="32"/>
          <w:szCs w:val="32"/>
          <w:highlight w:val="none"/>
          <w:shd w:val="clear" w:color="auto" w:fill="FFFFFF"/>
        </w:rPr>
        <w:t>四、评价结论及建议</w:t>
      </w:r>
      <w:bookmarkEnd w:id="80"/>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（一）评价结论</w:t>
      </w:r>
    </w:p>
    <w:p>
      <w:pPr>
        <w:spacing w:line="580" w:lineRule="exact"/>
        <w:ind w:firstLine="640" w:firstLineChars="200"/>
        <w:rPr>
          <w:rFonts w:hint="eastAsia"/>
          <w:sz w:val="32"/>
          <w:szCs w:val="32"/>
          <w:highlight w:val="none"/>
          <w:lang w:val="zh-CN"/>
        </w:rPr>
      </w:pPr>
      <w:r>
        <w:rPr>
          <w:rFonts w:hint="eastAsia" w:ascii="仿宋_GB2312" w:hAnsi="仿宋" w:eastAsia="仿宋_GB2312" w:cs="仿宋_GB2312"/>
          <w:sz w:val="32"/>
          <w:szCs w:val="32"/>
          <w:highlight w:val="none"/>
        </w:rPr>
        <w:t>从自评情况来看，市委办公室（含委市目标绩效办、市委党史研究室）整体上完成了年初设定的绩效目标，保障市委、市委办公室（含市委目标绩效办、市委党史研究室）的正常运转，圆满完成省委、市委下达的目标任务。</w:t>
      </w:r>
      <w:r>
        <w:rPr>
          <w:rFonts w:hint="eastAsia" w:ascii="仿宋_GB2312" w:hAnsi="仿宋_GB2312" w:eastAsia="仿宋_GB2312" w:cs="仿宋_GB2312"/>
          <w:color w:val="000000"/>
          <w:sz w:val="32"/>
          <w:szCs w:val="32"/>
        </w:rPr>
        <w:t>总体绩效评价得分为9</w:t>
      </w:r>
      <w:r>
        <w:rPr>
          <w:rFonts w:hint="eastAsia" w:ascii="仿宋_GB2312" w:hAnsi="仿宋_GB2312" w:cs="仿宋_GB2312"/>
          <w:color w:val="000000"/>
          <w:sz w:val="32"/>
          <w:szCs w:val="32"/>
          <w:lang w:val="en-US" w:eastAsia="zh-CN"/>
        </w:rPr>
        <w:t>8.85</w:t>
      </w:r>
      <w:r>
        <w:rPr>
          <w:rFonts w:hint="eastAsia" w:ascii="仿宋_GB2312" w:hAnsi="仿宋_GB2312" w:eastAsia="仿宋_GB2312" w:cs="仿宋_GB2312"/>
          <w:color w:val="000000"/>
          <w:sz w:val="32"/>
          <w:szCs w:val="32"/>
        </w:rPr>
        <w:t>分</w:t>
      </w:r>
      <w:r>
        <w:rPr>
          <w:rFonts w:hint="eastAsia" w:ascii="仿宋_GB2312" w:hAnsi="仿宋_GB2312" w:eastAsia="仿宋_GB2312" w:cs="仿宋_GB2312"/>
          <w:color w:val="000000"/>
          <w:sz w:val="32"/>
          <w:szCs w:val="32"/>
          <w:lang w:eastAsia="zh-CN"/>
        </w:rPr>
        <w:t>。</w:t>
      </w:r>
    </w:p>
    <w:p>
      <w:pPr>
        <w:keepNext w:val="0"/>
        <w:keepLines w:val="0"/>
        <w:pageBreakBefore w:val="0"/>
        <w:widowControl/>
        <w:numPr>
          <w:ilvl w:val="0"/>
          <w:numId w:val="11"/>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存在问题</w:t>
      </w:r>
    </w:p>
    <w:p>
      <w:pPr>
        <w:spacing w:line="58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从自评情况来看，部门支出预算执行过程还存在一些问题：一是预算编制工作需进一步精细化。二是绩效管理还需进一步加强。三是预算执行效率还需进一步提升。四是公务卡使用还有差距。</w:t>
      </w:r>
    </w:p>
    <w:p>
      <w:pPr>
        <w:keepNext w:val="0"/>
        <w:keepLines w:val="0"/>
        <w:pageBreakBefore w:val="0"/>
        <w:widowControl/>
        <w:numPr>
          <w:ilvl w:val="0"/>
          <w:numId w:val="11"/>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改进建议</w:t>
      </w:r>
    </w:p>
    <w:p>
      <w:pPr>
        <w:spacing w:line="58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1.加强预算绩效管理。进一步加强单位预算资金管理，减少预算资金使用的随意性，对预算的事前、事中、事后进行全过程控制，加大对预算编制与执行的监督管理力度，提高预算资金使用率。</w:t>
      </w:r>
    </w:p>
    <w:p>
      <w:pPr>
        <w:spacing w:line="58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2.进一步完善绩效目标管理的制度和办法，规范预算绩效的管理工作。</w:t>
      </w:r>
    </w:p>
    <w:p>
      <w:pPr>
        <w:spacing w:line="58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3.加强财务管理，严格财务审核。进一步完善内部控制制度，健全财务制度，规范财务行为。加强财务人员的业务培训，提高财务人员业务水平和管理能力。</w:t>
      </w:r>
    </w:p>
    <w:p>
      <w:pPr>
        <w:spacing w:line="58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4.加强公务卡使用管理。及时提醒新进机关工作人员办理公务卡，督促因公出差人员规范使用公务卡结算。</w:t>
      </w:r>
    </w:p>
    <w:p>
      <w:pPr>
        <w:pStyle w:val="6"/>
        <w:numPr>
          <w:ilvl w:val="0"/>
          <w:numId w:val="0"/>
        </w:numPr>
        <w:ind w:leftChars="200"/>
        <w:rPr>
          <w:rFonts w:hint="eastAsia"/>
          <w:sz w:val="32"/>
          <w:szCs w:val="32"/>
          <w:highlight w:val="none"/>
          <w:lang w:val="zh-CN"/>
        </w:rPr>
      </w:pPr>
    </w:p>
    <w:p>
      <w:pPr>
        <w:rPr>
          <w:rFonts w:hint="eastAsia"/>
          <w:sz w:val="32"/>
          <w:szCs w:val="32"/>
          <w:highlight w:val="none"/>
          <w:lang w:val="zh-CN"/>
        </w:rPr>
      </w:pPr>
    </w:p>
    <w:p>
      <w:pPr>
        <w:pStyle w:val="16"/>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tbl>
      <w:tblPr>
        <w:tblStyle w:val="17"/>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889"/>
        <w:gridCol w:w="1117"/>
        <w:gridCol w:w="941"/>
        <w:gridCol w:w="233"/>
        <w:gridCol w:w="1011"/>
        <w:gridCol w:w="1000"/>
        <w:gridCol w:w="776"/>
        <w:gridCol w:w="882"/>
        <w:gridCol w:w="277"/>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60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中共广元市委办公室部门整体支出绩效目标自评表（2022年度）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4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部门名称</w:t>
            </w:r>
          </w:p>
        </w:tc>
        <w:tc>
          <w:tcPr>
            <w:tcW w:w="7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中国共产党广元市委员会办公室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年度</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主要</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任务</w:t>
            </w:r>
          </w:p>
        </w:tc>
        <w:tc>
          <w:tcPr>
            <w:tcW w:w="93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任务名称</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主要内容</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预算金额（万元）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财政拨款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其他资金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总额</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财政拨款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党内规范性文件备案审查及文件汇编经费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负责市委规范性文件的审核，报送省委备案解释、评估、清理等工作，清理并编印2021年市委党内规范性文件汇编。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公文处理及日常文印等补助经费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做好2022年省市文件分发和印制工作，负责市委文印室工作。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40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35.46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35.46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市委办乡村振兴工作经费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完成2022年乡村振兴工作。</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5.46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5.46</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5.46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5.46</w:t>
            </w:r>
          </w:p>
        </w:tc>
        <w:tc>
          <w:tcPr>
            <w:tcW w:w="100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市委、市委办会议补助经费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完成2022年市委、市委办各类会议。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市委办临聘人员补助经费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保证临聘人员工资、福利和保险发放及缴纳工作。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114</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94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94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市委办综合性工作经费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保障市委机关和市委领导的后勤服务工作。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279.2</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279.2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178.96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178.96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张国平同志职业健康监护费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完成张国平同志职业健康监护费的使用。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5</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1.72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1.72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驻市委办纪检组工作经费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履行监督、执纪、问责职责；检查处理违纪案件。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10.09</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10.09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市委国家安全委员会办公室工作经费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完成每年4月15日国家安全日宣传工作；分类参加国家安全培训，提升履职能力；负责市委国家安全委员会办公室日常工作。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市公务服务中心工作经费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完成符合公务接待范围的公务接待，完成国家、省委、省政府派出的巡视、检查、督查、考察、调研、考核、审计等工作组的服务保障，完成市委、市政府交办的大型会议活动的服务保障工作。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190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104.71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104.71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全市党办系统以文辅政大比武工作经费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负责开展全市“以文辅政”大比武工作，进一步提升全市好公文、好文稿、好信息、好调研水平。</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3.13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3.13</w:t>
            </w:r>
          </w:p>
        </w:tc>
        <w:tc>
          <w:tcPr>
            <w:tcW w:w="100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急需紧缺专业选调生安家补助</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追加2021年急需紧缺专业选调生安家补助费。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2022年一季度公务接待经费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完成符合公务接待范围的公务接待。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5.71</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5.71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5.71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5.71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2022年二季度公务接待经费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完成符合公务接待范围的公务接待。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8.21</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8.21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8.03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8.03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2022年三季度公务接待经费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完成符合公务接待范围的公务接待。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8.51</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8.51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代管资金</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市委食堂生活补助费、市委机关代收水电费、代管车辆运行费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127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127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人员经费及公用经费</w:t>
            </w:r>
          </w:p>
        </w:tc>
        <w:tc>
          <w:tcPr>
            <w:tcW w:w="11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保证单位日常工作运转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1826.27</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1826.27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1798.06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1798.06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金额合计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2687.36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2687.36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2428.84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2428.84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年度</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总体</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目标</w:t>
            </w:r>
          </w:p>
        </w:tc>
        <w:tc>
          <w:tcPr>
            <w:tcW w:w="211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预期目标</w:t>
            </w:r>
          </w:p>
        </w:tc>
        <w:tc>
          <w:tcPr>
            <w:tcW w:w="50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5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充分发挥党办牵头抓总作用，切实履行狠抓落实的基本职能，不断提升新形势下“三服务”水平。2022年承办或统筹协调市委重要活动；完成中央、省委领导来广调研和协调服务工作；向中办、省委办报送信息；突出精简文件提高发文质量；完成2022年各类接待任务及省下达的各项目标任务。</w:t>
            </w:r>
          </w:p>
        </w:tc>
        <w:tc>
          <w:tcPr>
            <w:tcW w:w="502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充分发挥党办牵头抓总作用，切实履行狠抓落实的基本职能，不断提升新形势下“三服务”水平。2022年承办或统筹协调市委重要活动；完成中央、省委领导来广调研和协调服务工作；向中办、省委办报送信息；突出精简文件提高发文质量；完成2022年各类接待任务及省下达的各项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年</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度</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绩</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效</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指</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一级指标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二级指标</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指标值（包含数字及文字描述）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实际完成指标值（包含数字及文字描述）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部门自评得分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财政部门科室复评得分</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产出指标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数量指标</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党内规范性文件备案审查及文件汇编经费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印制党内规范性文件数量≥300本</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印制党内规范性文件数量300本</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公文处理及日常文印等补助经费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收文发文办理文件数量≥1900件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收文发文办理文件数量＞1900件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市委办乡村振兴工作经费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驻村队员人数3人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驻村队员人数3人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市委、市委办会议补助经费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参会人数≥15000人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参会人数＞15000人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承办市委全委会、市委常委扩大会等≥70场次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承办市委全委会、市委常委扩大会等＞70场次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市委办会议室数量5个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市委办会议室数量5个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承办市委办公室主任会等会议≥2场次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承办市委办公室主任会等会议≥2场次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市委办临聘人员补助经费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临聘人员及劳务派遣人数20人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临聘人员及劳务派遣人数20人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市委办综合性工作经费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办公电梯数量2部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办公电梯数量2部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食堂每餐就餐200人左右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食堂每餐就餐200人左右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张国平同志职业健康监护费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需要监护的人数1人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需要监护的人数1人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驻市委办纪检组工作经费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第一种形态处置数量≥3件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第一种形态处置数量≥3件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市委国家安全委员会办公室工作经费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印制宣传单资料≥1000份</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印制宣传单资料＞1000份</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市公务服务中心工作经费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临聘人员数量7人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临聘人员数量7人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调研接待及工作用车7辆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调研接待及工作用车7辆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用车次数≥1000余次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用车次数≥1000余次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全市党办系统以文辅政大比武工作经费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参加比赛的人数≥300人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参加比赛的人数≥300人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急需紧缺专业选调生安家补助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选调生人数2人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选调生人数2人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质量指标</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党内规范性文件备案审查及文件汇编经费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按质按量完成2022年省下目标任务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按质按量完成2022年省下目标任务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公文处理及日常文印等补助经费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文件办结率≥100%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文件办结率≥100%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市委办乡村振兴工作经费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通过驻村帮扶要求达到乡村振兴要求</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通过驻村帮扶要求达到乡村振兴要求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市委、市委办会议补助经费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办会质量≥100%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办会质量≥100%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市委办临聘人员补助经费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保障临聘人员各项工作的推进</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保障临聘人员各项工作的推进</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张国平同志职业健康监护费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保障定期治疗和日常护理完成率≥100%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保障定期治疗和日常护理完成率≥100%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驻市委办纪检组工作经费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优秀案卷数量增加</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优秀案卷数量增加</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市委国家安全委员会办公室工作经费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营造浓厚的氛围，增强群众国家安全责任感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营造浓厚的氛围，增强群众国家安全责任感</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市公务服务中心工作经费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持续提升公务服务水平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持续提升公务服务水平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全市党办系统以文辅政大比武工作经费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提升全市党办系统以文辅政质效</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提升全市党办系统以文辅政质效</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2022年一季度公务接待经费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持续提升公务服务水平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持续提升公务服务水平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2022年二季度公务接待经费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持续提升公务服务水平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持续提升公务服务水平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2022年三季度公务接待经费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持续提升公务服务水平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持续提升公务服务水平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时效指标</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党内规范性文件备案审查及文件汇编经费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公文处理及日常文印等补助经费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市委办乡村振兴工作经费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完成2022年乡村振兴任务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完成2022年乡村振兴任务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市委、市委办会议补助经费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市委办临聘人员补助经费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项目完成及时率≥95%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项目完成及时率82.46%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中途有临聘人员辞职，因此项目完成及时率不高。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市委办综合性工作经费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项目完成率≥90%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项目完成率64.1%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信息调研、各类信息编报费用减少，综合性日常工作经费支出减少。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张国平同志职业健康监护费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2022年12月31日完成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2022年12月31日完成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驻市委办纪检组工作经费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2022年12月完成指标率≥95%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2022年12月完成指标率50.46%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因疫情原因，外出减少，支出费用减少。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市委国家安全委员会办公室工作经费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项目完成及时率≥95%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项目完成及时率100%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市公务服务中心工作经费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项目完成率55.11%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因疫情原因公务接待减少，工作经费支出减少。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全市党办系统以文辅政大比武工作经费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项目完成率≥98%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项目完成率31.27%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本着厉行节约的原则举办活动。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急需紧缺专业选调生安家补助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2022年一季度公务接待经费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2022年二季度公务接待经费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项目完成率97.81%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2022年三季度公务接待经费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项目完成率100%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成本指标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成本指标</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党内规范性文件备案审查及文件汇编经费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印刷费及清理费10万元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印刷费及清理费10万元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公文处理及日常文印等补助经费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文印室及各科室文印耗材40万元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文印室及各科室文印耗材35.46万元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提高资源利用率，节约使用经费，降低能耗，办公耗材及文印费用减少。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市委办乡村振兴工作经费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财政核定标准18200元/年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全年合计经费5.46万元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市委、市委办会议补助经费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会议经费及会议室补助经费20万元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会议经费及会议室补助经费20万元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市委办临聘人员补助经费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与市委办签订合同工资保险及福利82万元，劳务派遣费用32万元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临聘人员补助经费支出94万元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中途有临聘人员辞职，因此项目预算执行数未全部使用完。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市委办综合性工作经费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办公设备采购经费20万元，人事档案数字化、档案评审及老干部工作经费16万元，信息调研、各类信息编报费10万元，党政网数据迁移费9万元，综合性工作经费213.2万元，档案整理及培训费7万元，电梯运行维护费4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综合性工作经费支出178.96万元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信息调研、各类信息编报费用减少，综合性日常工作经费支出减少。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张国平同志职业健康监护费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健康监护费用5万元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健康监护费用支出1.72万元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由于疫情原因，张国平同志外出就医次数减少，康复治疗费用减少。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驻市委办纪检组工作经费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工作经费20万元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驻办纪检组工作经费支出10.09万元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因疫情原因，外出减少，支出费用减少。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市委国家安全委员会办公室工作经费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集中宣传、印制资料5万元，组织及参加培训2万元，日常工作经费3万元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市委国家安全委员会办公室工作经费支出10万元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市公务服务中心工作经费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党政代表团赴外地考察经费20万元，临时接待及车辆运行费76万元，业务培训费10万元，临聘人员工资及福利79万元，调研点平台维护费1万元，办公家具采购4万元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市公务服务中心工作经费支出104.71万元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因疫情原因公务接待减少，工作经费支出减少。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全市党办系统以文辅政大比武工作经费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先进奖金、试卷出题费、印刷费及评审人员工作人员劳务费8万元，党办业务培训专家讲课费2万元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全市党办系统以文辅政大比武工作经费支出3.13万元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本着厉行节约的原则举办活动。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急需紧缺专业选调生安家补助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急需紧缺专业选调生安家补助费8万元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急需紧缺专业选调生安家补助费8万元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2022年一季度公务接待经费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2022年一季度公务接待经费5.71万元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2022年一季度公务接待经费5.71万元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2022年二季度公务接待经费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2022年二季度公务接待经费8.21万元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2022年二季度公务接待经费8.03万元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2022年三季度公务接待经费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2022年三季度公务接待经费8.51万元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2022年三季度公务接待经费8.51万元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社会效益</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指标</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党内规范性文件备案审查及文件汇编经费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推动上报备案文件标准更高质量更优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推动上报备案文件标准更高质量更优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公文处理及日常文印等补助经费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推动上级重大决策部署落地落实，推动广元经济社会高质量发展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推动上级重大决策部署落地落实，推动广元经济社会高质量发展</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市委办乡村振兴工作经费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圆满完成乡村振兴各项目标任务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圆满完成乡村振兴各项目标任务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市委办综合性工作经费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保障市委、市委办高效运转</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保障市委、市委办高效运转</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张国平同志职业健康监护费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研究职业病得到更好的推广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研究职业病得到更好的推广</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驻市委办纪检组工作经费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营造敬畏法纪的氛围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营造敬畏法纪的氛围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净化综合监督单位政治生态</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净化综合监督单位政治生态</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市委国家安全委员会办公室工作经费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国家安全氛围基本形成</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国家安全氛围基本形成</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市公务服务中心工作经费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全市公务活动协调联络和服务保障工作更好更优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全市公务活动协调联络和服务保障工作更好更优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全市党办系统以文辅政大比武工作经费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进一步提升全市好公文、好文稿、好信息、好调研水平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进一步提升全市好公文、好文稿、好信息、好调研水平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2022年一季度公务接待经费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全市公务活动协调联络和服务保障工作更好更优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全市公务活动协调联络和服务保障工作更好更优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2022年二季度公务接待经费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全市公务活动协调联络和服务保障工作更好更优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全市公务活动协调联络和服务保障工作更好更优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2022年三季度公务接待经费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全市公务活动协调联络和服务保障工作更好更优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全市公务活动协调联络和服务保障工作更好更优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可持续影响</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指标</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党内规范性文件备案审查及文件汇编经费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对表上级重大决策部署，不折补扣抓好落实</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对表上级重大决策部署，不折补扣抓好落实</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市委办乡村振兴工作经费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影响驻村工作队开展工作质量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影响驻村工作队开展工作质量</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市委、市委办会议补助经费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推动中央、省市精神落地落实</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推动中央、省市精神落地落实</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市委办临聘人员补助经费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保障临聘人员稳定</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保障临聘人员稳定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市委办综合性工作经费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促进市委办三服务工作更好更优的发展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促进市委办三服务工作更好更优的发展</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张国平同志职业健康监护费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研究职业病得到更好的推广</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研究职业病得到更好的推广</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驻市委办纪检组工作经费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风气清正的政治环境巩固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风气清正的政治环境巩固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市委国家安全委员会办公室工作经费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推动国家安全工作高质量发展</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推动国家安全工作高质量发展</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市公务服务中心工作经费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提升全市公务接待水平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提升全市公务接待水平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全市党办系统以文辅政大比武工作经费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通过大比武，切实发挥以文辅政作用</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通过大比武，切实发挥以文辅政作用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2022年一季度公务接待经费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提升全市公务接待水平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提升全市公务接待水平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2022年二季度公务接待经费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提升全市公务接待水平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提升全市公务接待水平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2022年三季度公务接待经费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提升全市公务接待水平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提升全市公务接待水平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满意度</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满意度指标</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党内规范性文件备案审查及文件汇编经费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市县对法规科工作人员满意度≥98%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市县对法规科工作人员满意度≥98%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公文处理及日常文印等补助经费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办文满意度≥100%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办文满意度≥100%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市委办乡村振兴工作经费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帮扶乡镇、贫困户满意度≥95%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帮扶乡镇、贫困户满意度≥95%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市委、市委办会议补助经费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办会满意度≥100%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办会满意度≥100%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市委办临聘人员补助经费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市委办对临聘人员工作质量满意度≥90%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市委办对临聘人员工作质量满意度≥90%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市委办综合性工作经费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市委领导、干部职工对后勤工作满意度100%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市委领导、干部职工对后勤工作满意度100%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张国平同志职业健康监护费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本人对监护费的满意度≥100%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本人对监护费的满意度100%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驻市委办纪检组工作经费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市纪委监委及干部职工满意度≥100%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市纪委监委及干部职工满意度≥100%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市委国家安全委员会办公室工作经费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全市对国家安全宣传满意度≥98%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全市对国家安全宣传满意度≥98%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市公务服务中心工作经费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受接待单位及个人满意度达到≥100%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受接待单位及个人满意度100%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全市党办系统以文辅政大比武工作经费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党委系统对大比武满意度≥100%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党委系统对大比武满意度100%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急需紧缺专业选调生安家补助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选调生满意度≥100%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选调生满意度100%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2022年一季度公务接待经费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受接待单位及个人满意度达到≥100%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受接待单位及个人满意度100%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2022年二季度公务接待经费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受接待单位及个人满意度达到≥100%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受接待单位及个人满意度100%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16"/>
                <w:szCs w:val="16"/>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2022年三季度公务接待经费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受接待单位及个人满意度达到≥100%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受接待单位及个人满意度100%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部门（单位）自评结论</w:t>
            </w:r>
          </w:p>
        </w:tc>
        <w:tc>
          <w:tcPr>
            <w:tcW w:w="70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我办高度重视绩效评价工作，在预算管理过程中，加强与各科室的沟通配合，高质量完成2022年绩效自评工作。从评价情况来看：我办部门整体支出绩效评价得分为69分，项目支出绩效评价平均得分99.5分，按0.3的比例换算得分为29.85分，我办部门总体绩效评价最终得分为98.85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部门（单位）自评存在问题</w:t>
            </w:r>
          </w:p>
        </w:tc>
        <w:tc>
          <w:tcPr>
            <w:tcW w:w="70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从自评情况来看，部门支出预算执行过程还存在一些问题：一是预算编制工作需进一步精细化。二是绩效管理还需进一步加强。三是预算执行效率还需进一步提升。四是公务卡使用还有差距。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部门（单位）自评改进措施</w:t>
            </w:r>
          </w:p>
        </w:tc>
        <w:tc>
          <w:tcPr>
            <w:tcW w:w="70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1.加强预算绩效管理。进一步加强单位预算资金管理，减少预算资金使用的随意性，对预算的事前、事中、事后进行全过程控制，加大对预算编制与执行的监督管理力度，提高预算资金使用率。</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2.进一步完善绩效目标管理的制度和办法，规范预算绩效的管理工作。</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3.加强财务管理，严格财务审核。进一步完善内部控制制度，健全财务制度，规范财务行为。加强财务人员的业务培训，提高财务人员业务水平和管理能力。</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4.加强公务卡使用管理。及时提醒新进机关工作人员办理公务卡，督促因公出差人员规范使用公务卡结算。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财政部门对口科室复评结论及整改要求</w:t>
            </w:r>
          </w:p>
        </w:tc>
        <w:tc>
          <w:tcPr>
            <w:tcW w:w="70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单位项目负责人：杨光辉</w:t>
            </w:r>
          </w:p>
        </w:tc>
        <w:tc>
          <w:tcPr>
            <w:tcW w:w="4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单位财务负责人：伍宗林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部门项目负责人：伍宗林</w:t>
            </w:r>
          </w:p>
        </w:tc>
        <w:tc>
          <w:tcPr>
            <w:tcW w:w="4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部门财务负责人：白桦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财政部门科室负责人：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605" w:type="dxa"/>
            <w:gridSpan w:val="11"/>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注：部门整体支出绩效目标自评表在年度预算执行完毕后填报。</w:t>
            </w:r>
          </w:p>
        </w:tc>
      </w:tr>
    </w:tbl>
    <w:p>
      <w:pPr>
        <w:rPr>
          <w:rFonts w:hint="eastAsia" w:ascii="仿宋_GB2312" w:hAnsi="仿宋_GB2312" w:eastAsia="仿宋_GB2312" w:cs="仿宋_GB2312"/>
          <w:color w:val="FF0000"/>
          <w:sz w:val="32"/>
          <w:szCs w:val="32"/>
          <w:highlight w:val="none"/>
          <w:lang w:val="en-US" w:eastAsia="zh-CN"/>
        </w:rPr>
      </w:pPr>
    </w:p>
    <w:p>
      <w:pPr>
        <w:pStyle w:val="6"/>
        <w:rPr>
          <w:rFonts w:hint="eastAsia" w:ascii="仿宋_GB2312" w:hAnsi="仿宋_GB2312" w:eastAsia="仿宋_GB2312" w:cs="仿宋_GB2312"/>
          <w:color w:val="auto"/>
          <w:sz w:val="32"/>
          <w:szCs w:val="32"/>
          <w:highlight w:val="none"/>
          <w:lang w:val="en-US" w:eastAsia="zh-CN"/>
        </w:rPr>
      </w:pPr>
    </w:p>
    <w:p>
      <w:pPr>
        <w:rPr>
          <w:rFonts w:hint="eastAsia"/>
          <w:lang w:val="en-US" w:eastAsia="zh-CN"/>
        </w:rPr>
      </w:pPr>
    </w:p>
    <w:p>
      <w:pPr>
        <w:pStyle w:val="6"/>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pStyle w:val="6"/>
        <w:rPr>
          <w:rFonts w:hint="eastAsia" w:ascii="仿宋_GB2312" w:hAnsi="仿宋_GB2312" w:eastAsia="仿宋_GB2312" w:cs="仿宋_GB2312"/>
          <w:color w:val="auto"/>
          <w:sz w:val="32"/>
          <w:szCs w:val="32"/>
          <w:highlight w:val="none"/>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pStyle w:val="6"/>
        <w:rPr>
          <w:rFonts w:hint="eastAsia"/>
          <w:lang w:val="zh-CN"/>
        </w:rPr>
      </w:pPr>
    </w:p>
    <w:p>
      <w:pPr>
        <w:pStyle w:val="7"/>
        <w:outlineLvl w:val="1"/>
        <w:rPr>
          <w:rFonts w:hint="eastAsia" w:hAnsi="宋体" w:cs="宋体"/>
          <w:color w:val="auto"/>
          <w:kern w:val="0"/>
          <w:sz w:val="32"/>
          <w:szCs w:val="32"/>
          <w:highlight w:val="none"/>
          <w:shd w:val="clear" w:color="auto" w:fill="FFFFFF"/>
          <w:lang w:val="en-US" w:eastAsia="zh-CN"/>
        </w:rPr>
      </w:pPr>
      <w:bookmarkStart w:id="81" w:name="_Toc29782"/>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81"/>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公文处理及日常文印等补助经费项目支出绩效自评</w:t>
      </w:r>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报告</w:t>
      </w:r>
    </w:p>
    <w:p>
      <w:pPr>
        <w:spacing w:line="580" w:lineRule="exact"/>
        <w:rPr>
          <w:rFonts w:hint="eastAsia" w:ascii="黑体" w:hAnsi="黑体" w:eastAsia="黑体" w:cs="黑体"/>
          <w:b w:val="0"/>
          <w:bCs/>
          <w:color w:val="000000"/>
          <w:sz w:val="36"/>
          <w:szCs w:val="36"/>
          <w:highlight w:val="none"/>
        </w:rPr>
      </w:pPr>
    </w:p>
    <w:p>
      <w:pPr>
        <w:numPr>
          <w:ilvl w:val="0"/>
          <w:numId w:val="12"/>
        </w:numPr>
        <w:spacing w:line="576" w:lineRule="exact"/>
        <w:ind w:firstLine="640"/>
        <w:outlineLvl w:val="1"/>
        <w:rPr>
          <w:rFonts w:hint="eastAsia" w:ascii="黑体" w:hAnsi="宋体" w:eastAsia="黑体"/>
          <w:bCs/>
          <w:kern w:val="0"/>
          <w:sz w:val="32"/>
          <w:szCs w:val="32"/>
          <w:highlight w:val="none"/>
        </w:rPr>
      </w:pPr>
      <w:bookmarkStart w:id="82" w:name="_Toc2048"/>
      <w:r>
        <w:rPr>
          <w:rFonts w:hint="eastAsia" w:ascii="黑体" w:hAnsi="宋体" w:eastAsia="黑体"/>
          <w:bCs/>
          <w:kern w:val="0"/>
          <w:sz w:val="32"/>
          <w:szCs w:val="32"/>
          <w:highlight w:val="none"/>
        </w:rPr>
        <w:t>项目基本情况</w:t>
      </w:r>
      <w:bookmarkEnd w:id="82"/>
    </w:p>
    <w:p>
      <w:pPr>
        <w:spacing w:line="576" w:lineRule="exact"/>
        <w:ind w:firstLine="640" w:firstLineChars="200"/>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（一）</w:t>
      </w:r>
      <w:r>
        <w:rPr>
          <w:rFonts w:hint="eastAsia" w:ascii="楷体_GB2312" w:eastAsia="楷体_GB2312"/>
          <w:sz w:val="32"/>
          <w:szCs w:val="32"/>
          <w:highlight w:val="none"/>
        </w:rPr>
        <w:t>项目基本情况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公文处理及日常文印等补助经费项目执行科室是市委办公室秘书一科。其职能：负责中央、省委来电和各地各部门报送市委（市委办）请示报告，负责中央、省委文件的印制、分发管理，负责市委（市委办）文件（市委规范性文件除外）的审核办理，承担部分市委（市委办公室）文件的起草工作，负责全市党委办公室系统公文处理工作业务指导和督促检查，负责市委办公室文印室的管理工作。</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《中共广元市委办公室职能配置、内设机构和人员编制方案》</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广委办〔2001〕156号</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的通知以及《市委办公室各内设机构工作职责》</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广委室字〔2020〕28号</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的通知。</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3.资金管理办法制定制定情况，资金支持具体项目的条件、范围与支持方式概况</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公文处理及日常文印等补助经费项目按市委办公室财务制度管理印刷费管理办法管理。主要用于市委、市委办公室文件收发及文件、材料打印的各类耗材等。</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4.资金分配的原则及考虑因素</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按照预算管理办法及市委办财务制度，结合实际工作情况分配公文处理及日常文印等补助经费。</w:t>
      </w:r>
    </w:p>
    <w:p>
      <w:pPr>
        <w:spacing w:line="580"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（二）项目绩效目标</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1.项目主要内容</w:t>
      </w:r>
    </w:p>
    <w:p>
      <w:pPr>
        <w:spacing w:line="580" w:lineRule="exact"/>
        <w:ind w:firstLine="800" w:firstLineChars="25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认真落实中央和省委、市委各项决策部署，忠诚履职，守正创新，扎实服务市委日常文书的处理；负责中央、省委文件的印制、分发工作。</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eastAsia="zh-CN"/>
        </w:rPr>
        <w:t>高效</w:t>
      </w:r>
      <w:r>
        <w:rPr>
          <w:rFonts w:hint="eastAsia" w:ascii="仿宋_GB2312" w:hAnsi="仿宋" w:eastAsia="仿宋_GB2312"/>
          <w:color w:val="000000"/>
          <w:sz w:val="32"/>
          <w:szCs w:val="32"/>
          <w:highlight w:val="none"/>
        </w:rPr>
        <w:t>办理文件1</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00</w:t>
      </w:r>
      <w:r>
        <w:rPr>
          <w:rFonts w:hint="eastAsia" w:ascii="仿宋_GB2312" w:hAnsi="仿宋" w:eastAsia="仿宋_GB2312"/>
          <w:color w:val="000000"/>
          <w:sz w:val="32"/>
          <w:szCs w:val="32"/>
          <w:highlight w:val="none"/>
          <w:lang w:eastAsia="zh-CN"/>
        </w:rPr>
        <w:t>余</w:t>
      </w:r>
      <w:r>
        <w:rPr>
          <w:rFonts w:hint="eastAsia" w:ascii="仿宋_GB2312" w:hAnsi="仿宋" w:eastAsia="仿宋_GB2312"/>
          <w:color w:val="000000"/>
          <w:sz w:val="32"/>
          <w:szCs w:val="32"/>
          <w:highlight w:val="none"/>
        </w:rPr>
        <w:t>件，</w:t>
      </w:r>
      <w:r>
        <w:rPr>
          <w:rFonts w:hint="eastAsia" w:ascii="仿宋_GB2312" w:hAnsi="仿宋" w:eastAsia="仿宋_GB2312"/>
          <w:color w:val="000000"/>
          <w:sz w:val="32"/>
          <w:szCs w:val="32"/>
          <w:highlight w:val="none"/>
          <w:lang w:eastAsia="zh-CN"/>
        </w:rPr>
        <w:t>制发文件</w:t>
      </w:r>
      <w:r>
        <w:rPr>
          <w:rFonts w:hint="eastAsia" w:ascii="仿宋_GB2312" w:hAnsi="仿宋" w:eastAsia="仿宋_GB2312"/>
          <w:color w:val="000000"/>
          <w:sz w:val="32"/>
          <w:szCs w:val="32"/>
          <w:highlight w:val="none"/>
          <w:lang w:val="en-US" w:eastAsia="zh-CN"/>
        </w:rPr>
        <w:t>392件，分发清退文件1.8万余份</w:t>
      </w:r>
      <w:r>
        <w:rPr>
          <w:rFonts w:hint="eastAsia" w:ascii="仿宋_GB2312" w:hAnsi="仿宋" w:eastAsia="仿宋_GB2312"/>
          <w:color w:val="000000"/>
          <w:sz w:val="32"/>
          <w:szCs w:val="32"/>
          <w:highlight w:val="none"/>
        </w:rPr>
        <w:t>。</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80"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（三）项目自评步骤及方法</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numPr>
          <w:ilvl w:val="0"/>
          <w:numId w:val="12"/>
        </w:numPr>
        <w:spacing w:line="576" w:lineRule="exact"/>
        <w:ind w:left="0" w:leftChars="0" w:firstLine="640" w:firstLineChars="0"/>
        <w:outlineLvl w:val="1"/>
        <w:rPr>
          <w:rFonts w:hint="eastAsia" w:ascii="黑体" w:hAnsi="宋体" w:eastAsia="黑体"/>
          <w:bCs/>
          <w:kern w:val="0"/>
          <w:sz w:val="32"/>
          <w:szCs w:val="32"/>
          <w:highlight w:val="none"/>
        </w:rPr>
      </w:pPr>
      <w:bookmarkStart w:id="83" w:name="_Toc3772"/>
      <w:r>
        <w:rPr>
          <w:rFonts w:hint="eastAsia" w:ascii="黑体" w:hAnsi="宋体" w:eastAsia="黑体"/>
          <w:bCs/>
          <w:kern w:val="0"/>
          <w:sz w:val="32"/>
          <w:szCs w:val="32"/>
          <w:highlight w:val="none"/>
        </w:rPr>
        <w:t>项目资金申报及使用情况</w:t>
      </w:r>
      <w:bookmarkEnd w:id="83"/>
    </w:p>
    <w:p>
      <w:pPr>
        <w:numPr>
          <w:numId w:val="0"/>
        </w:numPr>
        <w:spacing w:line="576" w:lineRule="exact"/>
        <w:ind w:firstLine="320" w:firstLineChars="100"/>
        <w:outlineLvl w:val="1"/>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（一）项目资金申报及批复情况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年预算编制时申报“公文处理及日常文印等补助经费”项目，财政于202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日下达项目经费</w:t>
      </w:r>
      <w:r>
        <w:rPr>
          <w:rFonts w:hint="eastAsia" w:ascii="仿宋_GB2312" w:hAnsi="仿宋" w:eastAsia="仿宋_GB2312"/>
          <w:color w:val="000000"/>
          <w:sz w:val="32"/>
          <w:szCs w:val="32"/>
          <w:highlight w:val="none"/>
          <w:lang w:val="en-US" w:eastAsia="zh-CN"/>
        </w:rPr>
        <w:t>40</w:t>
      </w:r>
      <w:r>
        <w:rPr>
          <w:rFonts w:hint="eastAsia" w:ascii="仿宋_GB2312" w:hAnsi="仿宋" w:eastAsia="仿宋_GB2312"/>
          <w:color w:val="000000"/>
          <w:sz w:val="32"/>
          <w:szCs w:val="32"/>
          <w:highlight w:val="none"/>
        </w:rPr>
        <w:t>万元。</w:t>
      </w:r>
    </w:p>
    <w:p>
      <w:pPr>
        <w:spacing w:line="576" w:lineRule="exact"/>
        <w:ind w:firstLine="640" w:firstLineChars="200"/>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（二）资金计划、到位及使用情况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1.资金计划。市本级财政资金安排项目经费</w:t>
      </w:r>
      <w:r>
        <w:rPr>
          <w:rFonts w:hint="eastAsia" w:ascii="仿宋_GB2312" w:hAnsi="仿宋" w:eastAsia="仿宋_GB2312"/>
          <w:color w:val="000000"/>
          <w:sz w:val="32"/>
          <w:szCs w:val="32"/>
          <w:highlight w:val="none"/>
          <w:lang w:val="en-US" w:eastAsia="zh-CN"/>
        </w:rPr>
        <w:t>40</w:t>
      </w:r>
      <w:r>
        <w:rPr>
          <w:rFonts w:hint="eastAsia" w:ascii="仿宋_GB2312" w:hAnsi="仿宋" w:eastAsia="仿宋_GB2312"/>
          <w:color w:val="000000"/>
          <w:sz w:val="32"/>
          <w:szCs w:val="32"/>
          <w:highlight w:val="none"/>
        </w:rPr>
        <w:t>万元。</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月全部下达到位。</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w:t>
      </w:r>
      <w:r>
        <w:rPr>
          <w:rFonts w:hint="eastAsia" w:ascii="仿宋_GB2312" w:hAnsi="仿宋" w:eastAsia="仿宋_GB2312"/>
          <w:color w:val="000000"/>
          <w:sz w:val="32"/>
          <w:szCs w:val="32"/>
          <w:highlight w:val="none"/>
          <w:lang w:val="en-US" w:eastAsia="zh-CN"/>
        </w:rPr>
        <w:t>35.46</w:t>
      </w:r>
      <w:r>
        <w:rPr>
          <w:rFonts w:hint="eastAsia" w:ascii="仿宋_GB2312" w:hAnsi="仿宋" w:eastAsia="仿宋_GB2312"/>
          <w:color w:val="000000"/>
          <w:sz w:val="32"/>
          <w:szCs w:val="32"/>
          <w:highlight w:val="none"/>
        </w:rPr>
        <w:t>万元。主要用于办公耗材及在外印制的资料、材料印刷费。支付标准、支付进度、支付依据等合规合法，与预算相符。</w:t>
      </w:r>
    </w:p>
    <w:p>
      <w:pPr>
        <w:spacing w:line="576" w:lineRule="exact"/>
        <w:ind w:firstLine="640" w:firstLineChars="200"/>
        <w:rPr>
          <w:rFonts w:hint="eastAsia" w:ascii="楷体_GB2312" w:eastAsia="楷体_GB2312"/>
          <w:sz w:val="32"/>
          <w:szCs w:val="32"/>
          <w:highlight w:val="none"/>
          <w:lang w:eastAsia="zh-CN"/>
        </w:rPr>
      </w:pPr>
      <w:r>
        <w:rPr>
          <w:rFonts w:hint="eastAsia" w:ascii="楷体_GB2312" w:eastAsia="楷体_GB2312"/>
          <w:sz w:val="32"/>
          <w:szCs w:val="32"/>
          <w:highlight w:val="none"/>
          <w:lang w:eastAsia="zh-CN"/>
        </w:rPr>
        <w:t>（三）项目财务管理情况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numPr>
          <w:ilvl w:val="0"/>
          <w:numId w:val="0"/>
        </w:numPr>
        <w:spacing w:line="576" w:lineRule="exact"/>
        <w:ind w:firstLine="640" w:firstLineChars="200"/>
        <w:outlineLvl w:val="1"/>
        <w:rPr>
          <w:rFonts w:hint="eastAsia" w:ascii="黑体" w:hAnsi="宋体" w:eastAsia="黑体"/>
          <w:bCs/>
          <w:kern w:val="0"/>
          <w:sz w:val="32"/>
          <w:szCs w:val="32"/>
          <w:highlight w:val="none"/>
          <w:lang w:val="en-US" w:eastAsia="zh-CN"/>
        </w:rPr>
      </w:pPr>
      <w:bookmarkStart w:id="84" w:name="_Toc17547"/>
      <w:r>
        <w:rPr>
          <w:rFonts w:hint="eastAsia" w:ascii="黑体" w:hAnsi="宋体" w:eastAsia="黑体"/>
          <w:bCs/>
          <w:kern w:val="0"/>
          <w:sz w:val="32"/>
          <w:szCs w:val="32"/>
          <w:highlight w:val="none"/>
          <w:lang w:val="en-US" w:eastAsia="zh-CN"/>
        </w:rPr>
        <w:t>三、项目实施及管理情况</w:t>
      </w:r>
      <w:bookmarkEnd w:id="84"/>
    </w:p>
    <w:p>
      <w:pPr>
        <w:spacing w:line="576"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（一）项目组织架构及实施流程</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部门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76" w:lineRule="exact"/>
        <w:ind w:firstLine="64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（二）项目管理情况</w:t>
      </w:r>
    </w:p>
    <w:p>
      <w:pPr>
        <w:spacing w:line="576" w:lineRule="exact"/>
        <w:ind w:firstLine="640"/>
        <w:rPr>
          <w:rStyle w:val="41"/>
          <w:rFonts w:hint="eastAsia" w:ascii="仿宋_GB2312" w:hAnsi="黑体" w:eastAsia="仿宋_GB2312"/>
          <w:b w:val="0"/>
          <w:sz w:val="32"/>
          <w:szCs w:val="32"/>
          <w:highlight w:val="none"/>
        </w:rPr>
      </w:pPr>
      <w:bookmarkStart w:id="85" w:name="_Toc22408"/>
      <w:r>
        <w:rPr>
          <w:rStyle w:val="41"/>
          <w:rFonts w:hint="eastAsia" w:ascii="仿宋_GB2312" w:hAnsi="黑体" w:eastAsia="仿宋_GB2312"/>
          <w:b w:val="0"/>
          <w:sz w:val="32"/>
          <w:szCs w:val="32"/>
          <w:highlight w:val="none"/>
        </w:rPr>
        <w:t>本项目由使用预算资金的科室负责，其他科室积极配合，由单位领导负责协调相关工作，由财务科负责项目资金使用的合理性、规范性。</w:t>
      </w:r>
    </w:p>
    <w:bookmarkEnd w:id="85"/>
    <w:p>
      <w:pPr>
        <w:spacing w:line="576"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（三）项目监管情况</w:t>
      </w:r>
    </w:p>
    <w:p>
      <w:pPr>
        <w:widowControl/>
        <w:ind w:firstLine="640" w:firstLineChars="200"/>
        <w:jc w:val="left"/>
        <w:rPr>
          <w:rStyle w:val="41"/>
          <w:rFonts w:hint="eastAsia" w:ascii="仿宋_GB2312" w:hAnsi="黑体" w:eastAsia="仿宋_GB2312"/>
          <w:b w:val="0"/>
          <w:sz w:val="32"/>
          <w:szCs w:val="32"/>
          <w:highlight w:val="none"/>
        </w:rPr>
      </w:pPr>
      <w:bookmarkStart w:id="86" w:name="_Toc2563"/>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86"/>
    <w:p>
      <w:pPr>
        <w:numPr>
          <w:ilvl w:val="0"/>
          <w:numId w:val="0"/>
        </w:numPr>
        <w:spacing w:line="576" w:lineRule="exact"/>
        <w:ind w:firstLine="640" w:firstLineChars="200"/>
        <w:outlineLvl w:val="1"/>
        <w:rPr>
          <w:rFonts w:hint="eastAsia" w:ascii="黑体" w:hAnsi="宋体" w:eastAsia="黑体"/>
          <w:bCs/>
          <w:kern w:val="0"/>
          <w:sz w:val="32"/>
          <w:szCs w:val="32"/>
          <w:highlight w:val="none"/>
          <w:lang w:val="en-US" w:eastAsia="zh-CN"/>
        </w:rPr>
      </w:pPr>
      <w:bookmarkStart w:id="87" w:name="_Toc22062"/>
      <w:r>
        <w:rPr>
          <w:rFonts w:hint="eastAsia" w:ascii="黑体" w:hAnsi="宋体" w:eastAsia="黑体"/>
          <w:bCs/>
          <w:kern w:val="0"/>
          <w:sz w:val="32"/>
          <w:szCs w:val="32"/>
          <w:highlight w:val="none"/>
          <w:lang w:val="en-US" w:eastAsia="zh-CN"/>
        </w:rPr>
        <w:t>四、项目绩效情况</w:t>
      </w:r>
      <w:bookmarkEnd w:id="87"/>
    </w:p>
    <w:p>
      <w:pPr>
        <w:spacing w:line="576" w:lineRule="exact"/>
        <w:ind w:firstLine="320" w:firstLineChars="1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（一）项目完成情况</w:t>
      </w:r>
    </w:p>
    <w:p>
      <w:pPr>
        <w:widowControl/>
        <w:ind w:firstLine="640" w:firstLineChars="200"/>
        <w:jc w:val="left"/>
        <w:rPr>
          <w:rStyle w:val="41"/>
          <w:rFonts w:hint="eastAsia" w:ascii="仿宋_GB2312" w:hAnsi="黑体" w:eastAsia="仿宋_GB2312"/>
          <w:b w:val="0"/>
          <w:sz w:val="32"/>
          <w:szCs w:val="32"/>
          <w:highlight w:val="none"/>
        </w:rPr>
      </w:pPr>
      <w:bookmarkStart w:id="88" w:name="_Toc5381"/>
      <w:r>
        <w:rPr>
          <w:rStyle w:val="41"/>
          <w:rFonts w:hint="eastAsia" w:ascii="仿宋_GB2312" w:hAnsi="黑体" w:eastAsia="仿宋_GB2312"/>
          <w:b w:val="0"/>
          <w:sz w:val="32"/>
          <w:szCs w:val="32"/>
          <w:highlight w:val="none"/>
        </w:rPr>
        <w:t>202</w:t>
      </w:r>
      <w:r>
        <w:rPr>
          <w:rStyle w:val="41"/>
          <w:rFonts w:hint="eastAsia" w:ascii="仿宋_GB2312" w:hAnsi="黑体" w:eastAsia="仿宋_GB2312"/>
          <w:b w:val="0"/>
          <w:sz w:val="32"/>
          <w:szCs w:val="32"/>
          <w:highlight w:val="none"/>
          <w:lang w:val="en-US"/>
        </w:rPr>
        <w:t>2</w:t>
      </w:r>
      <w:r>
        <w:rPr>
          <w:rStyle w:val="41"/>
          <w:rFonts w:hint="eastAsia" w:ascii="仿宋_GB2312" w:hAnsi="黑体" w:eastAsia="仿宋_GB2312"/>
          <w:b w:val="0"/>
          <w:sz w:val="32"/>
          <w:szCs w:val="32"/>
          <w:highlight w:val="none"/>
        </w:rPr>
        <w:t>年完成市委日常文书的处理情况，完成了中央、省委文印的印制、分发工作，保障市委办公室文印室的正常运转。</w:t>
      </w:r>
    </w:p>
    <w:bookmarkEnd w:id="88"/>
    <w:p>
      <w:pPr>
        <w:spacing w:line="576" w:lineRule="exact"/>
        <w:ind w:firstLine="320" w:firstLineChars="1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（二）项目效益情况</w:t>
      </w:r>
    </w:p>
    <w:p>
      <w:pPr>
        <w:widowControl/>
        <w:ind w:firstLine="640" w:firstLineChars="200"/>
        <w:jc w:val="left"/>
        <w:rPr>
          <w:rStyle w:val="41"/>
          <w:rFonts w:hint="eastAsia" w:ascii="仿宋_GB2312" w:hAnsi="黑体" w:eastAsia="仿宋_GB2312"/>
          <w:b w:val="0"/>
          <w:sz w:val="32"/>
          <w:szCs w:val="32"/>
          <w:highlight w:val="none"/>
        </w:rPr>
      </w:pPr>
      <w:bookmarkStart w:id="89" w:name="_Toc17387"/>
      <w:r>
        <w:rPr>
          <w:rStyle w:val="41"/>
          <w:rFonts w:hint="eastAsia" w:ascii="仿宋_GB2312" w:hAnsi="黑体" w:eastAsia="仿宋_GB2312"/>
          <w:b w:val="0"/>
          <w:sz w:val="32"/>
          <w:szCs w:val="32"/>
          <w:highlight w:val="none"/>
        </w:rPr>
        <w:t>高质量、高标准、高效率完成202</w:t>
      </w:r>
      <w:r>
        <w:rPr>
          <w:rStyle w:val="41"/>
          <w:rFonts w:hint="eastAsia" w:ascii="仿宋_GB2312" w:hAnsi="黑体" w:eastAsia="仿宋_GB2312"/>
          <w:b w:val="0"/>
          <w:sz w:val="32"/>
          <w:szCs w:val="32"/>
          <w:highlight w:val="none"/>
          <w:lang w:val="en-US"/>
        </w:rPr>
        <w:t>2</w:t>
      </w:r>
      <w:r>
        <w:rPr>
          <w:rStyle w:val="41"/>
          <w:rFonts w:hint="eastAsia" w:ascii="仿宋_GB2312" w:hAnsi="黑体" w:eastAsia="仿宋_GB2312"/>
          <w:b w:val="0"/>
          <w:sz w:val="32"/>
          <w:szCs w:val="32"/>
          <w:highlight w:val="none"/>
        </w:rPr>
        <w:t>年工作任务，推动全市公文处理提质增效，办文满意度达100%。</w:t>
      </w:r>
    </w:p>
    <w:bookmarkEnd w:id="89"/>
    <w:p>
      <w:pPr>
        <w:numPr>
          <w:ilvl w:val="0"/>
          <w:numId w:val="0"/>
        </w:numPr>
        <w:spacing w:line="576" w:lineRule="exact"/>
        <w:ind w:firstLine="640" w:firstLineChars="200"/>
        <w:outlineLvl w:val="1"/>
        <w:rPr>
          <w:rFonts w:hint="eastAsia" w:ascii="黑体" w:hAnsi="宋体" w:eastAsia="黑体"/>
          <w:bCs/>
          <w:kern w:val="0"/>
          <w:sz w:val="32"/>
          <w:szCs w:val="32"/>
          <w:highlight w:val="none"/>
          <w:lang w:val="en-US" w:eastAsia="zh-CN"/>
        </w:rPr>
      </w:pPr>
      <w:bookmarkStart w:id="90" w:name="_Toc13479"/>
      <w:r>
        <w:rPr>
          <w:rFonts w:hint="eastAsia" w:ascii="黑体" w:hAnsi="宋体" w:eastAsia="黑体"/>
          <w:bCs/>
          <w:kern w:val="0"/>
          <w:sz w:val="32"/>
          <w:szCs w:val="32"/>
          <w:highlight w:val="none"/>
          <w:lang w:val="en-US" w:eastAsia="zh-CN"/>
        </w:rPr>
        <w:t>五、评价结论及建议</w:t>
      </w:r>
      <w:bookmarkEnd w:id="90"/>
    </w:p>
    <w:p>
      <w:pPr>
        <w:spacing w:line="576" w:lineRule="exact"/>
        <w:ind w:firstLine="320" w:firstLineChars="1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（一）评价结论</w:t>
      </w:r>
    </w:p>
    <w:p>
      <w:pPr>
        <w:widowControl/>
        <w:ind w:firstLine="640" w:firstLineChars="200"/>
        <w:jc w:val="left"/>
        <w:rPr>
          <w:rStyle w:val="41"/>
          <w:rFonts w:hint="eastAsia" w:ascii="仿宋_GB2312" w:hAnsi="黑体" w:eastAsia="仿宋_GB2312"/>
          <w:b w:val="0"/>
          <w:sz w:val="32"/>
          <w:szCs w:val="32"/>
          <w:highlight w:val="none"/>
        </w:rPr>
      </w:pPr>
      <w:bookmarkStart w:id="91" w:name="_Toc27423"/>
      <w:r>
        <w:rPr>
          <w:rStyle w:val="41"/>
          <w:rFonts w:hint="eastAsia" w:ascii="仿宋_GB2312" w:hAnsi="黑体" w:eastAsia="仿宋_GB2312"/>
          <w:b w:val="0"/>
          <w:sz w:val="32"/>
          <w:szCs w:val="32"/>
          <w:highlight w:val="none"/>
        </w:rPr>
        <w:t>公文处理及日常文印等补助经费项目绩效编制合理，财务管理规范化，内控制度健全，财政资金使用符合要求，预算执行收支平衡，财政支出绩效评价较好。</w:t>
      </w:r>
      <w:bookmarkEnd w:id="91"/>
      <w:r>
        <w:rPr>
          <w:rFonts w:hint="eastAsia" w:ascii="仿宋_GB2312" w:hAnsi="仿宋_GB2312" w:eastAsia="仿宋_GB2312" w:cs="仿宋_GB2312"/>
          <w:sz w:val="32"/>
          <w:szCs w:val="32"/>
          <w:highlight w:val="none"/>
        </w:rPr>
        <w:t>公文处理及日常文印等补助经费项目支出绩效</w:t>
      </w:r>
      <w:r>
        <w:rPr>
          <w:rFonts w:hint="eastAsia" w:ascii="仿宋_GB2312" w:hAnsi="仿宋_GB2312" w:eastAsia="仿宋_GB2312" w:cs="仿宋_GB2312"/>
          <w:sz w:val="32"/>
          <w:szCs w:val="32"/>
          <w:highlight w:val="none"/>
          <w:lang w:eastAsia="zh-CN"/>
        </w:rPr>
        <w:t>自评得分</w:t>
      </w:r>
      <w:r>
        <w:rPr>
          <w:rFonts w:hint="eastAsia" w:ascii="仿宋_GB2312" w:hAnsi="仿宋_GB2312" w:eastAsia="仿宋_GB2312" w:cs="仿宋_GB2312"/>
          <w:sz w:val="32"/>
          <w:szCs w:val="32"/>
          <w:highlight w:val="none"/>
          <w:lang w:val="en-US" w:eastAsia="zh-CN"/>
        </w:rPr>
        <w:t>99分。</w:t>
      </w:r>
    </w:p>
    <w:p>
      <w:pPr>
        <w:spacing w:line="576" w:lineRule="exact"/>
        <w:ind w:firstLine="320" w:firstLineChars="1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（二）存在问题</w:t>
      </w:r>
    </w:p>
    <w:p>
      <w:pPr>
        <w:widowControl/>
        <w:ind w:firstLine="640" w:firstLineChars="200"/>
        <w:jc w:val="left"/>
        <w:rPr>
          <w:rStyle w:val="41"/>
          <w:rFonts w:hint="eastAsia" w:ascii="仿宋_GB2312" w:hAnsi="黑体" w:eastAsia="仿宋_GB2312"/>
          <w:b w:val="0"/>
          <w:sz w:val="32"/>
          <w:szCs w:val="32"/>
          <w:highlight w:val="none"/>
        </w:rPr>
      </w:pPr>
      <w:bookmarkStart w:id="92" w:name="_Toc27357"/>
      <w:r>
        <w:rPr>
          <w:rStyle w:val="41"/>
          <w:rFonts w:hint="eastAsia" w:ascii="仿宋_GB2312" w:hAnsi="黑体" w:eastAsia="仿宋_GB2312"/>
          <w:b w:val="0"/>
          <w:sz w:val="32"/>
          <w:szCs w:val="32"/>
          <w:highlight w:val="none"/>
        </w:rPr>
        <w:t>办公耗材成本使用越来越高</w:t>
      </w:r>
      <w:r>
        <w:rPr>
          <w:rStyle w:val="41"/>
          <w:rFonts w:hint="eastAsia" w:ascii="仿宋_GB2312" w:hAnsi="黑体" w:eastAsia="仿宋_GB2312"/>
          <w:b w:val="0"/>
          <w:sz w:val="32"/>
          <w:szCs w:val="32"/>
          <w:highlight w:val="none"/>
          <w:lang w:eastAsia="zh-CN"/>
        </w:rPr>
        <w:t>；因条件不具备，广告类业务需在外开展</w:t>
      </w:r>
      <w:r>
        <w:rPr>
          <w:rStyle w:val="41"/>
          <w:rFonts w:hint="eastAsia" w:ascii="仿宋_GB2312" w:hAnsi="黑体" w:eastAsia="仿宋_GB2312"/>
          <w:b w:val="0"/>
          <w:sz w:val="32"/>
          <w:szCs w:val="32"/>
          <w:highlight w:val="none"/>
        </w:rPr>
        <w:t>。</w:t>
      </w:r>
    </w:p>
    <w:bookmarkEnd w:id="92"/>
    <w:p>
      <w:pPr>
        <w:spacing w:line="576" w:lineRule="exact"/>
        <w:ind w:firstLine="320" w:firstLineChars="1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（三）相关建议</w:t>
      </w:r>
    </w:p>
    <w:p>
      <w:pPr>
        <w:widowControl/>
        <w:ind w:firstLine="640" w:firstLineChars="200"/>
        <w:jc w:val="left"/>
        <w:rPr>
          <w:rStyle w:val="41"/>
          <w:rFonts w:hint="eastAsia" w:ascii="仿宋_GB2312" w:hAnsi="黑体" w:eastAsia="仿宋_GB2312"/>
          <w:b w:val="0"/>
          <w:sz w:val="32"/>
          <w:szCs w:val="32"/>
          <w:highlight w:val="none"/>
        </w:rPr>
      </w:pPr>
      <w:bookmarkStart w:id="93" w:name="_Toc2718"/>
      <w:r>
        <w:rPr>
          <w:rStyle w:val="41"/>
          <w:rFonts w:hint="eastAsia" w:ascii="仿宋_GB2312" w:hAnsi="黑体" w:eastAsia="仿宋_GB2312"/>
          <w:b w:val="0"/>
          <w:sz w:val="32"/>
          <w:szCs w:val="32"/>
          <w:highlight w:val="none"/>
        </w:rPr>
        <w:t>一是解决市本级预算体系性，加大日常公用经费的核算。</w:t>
      </w:r>
    </w:p>
    <w:bookmarkEnd w:id="93"/>
    <w:p>
      <w:pPr>
        <w:widowControl/>
        <w:ind w:firstLine="640" w:firstLineChars="200"/>
        <w:jc w:val="left"/>
        <w:rPr>
          <w:rStyle w:val="41"/>
          <w:rFonts w:hint="eastAsia" w:ascii="仿宋_GB2312" w:hAnsi="黑体" w:eastAsia="仿宋_GB2312"/>
          <w:b w:val="0"/>
          <w:sz w:val="32"/>
          <w:szCs w:val="32"/>
          <w:highlight w:val="none"/>
        </w:rPr>
      </w:pPr>
      <w:bookmarkStart w:id="94" w:name="_Toc29982"/>
      <w:r>
        <w:rPr>
          <w:rStyle w:val="41"/>
          <w:rFonts w:hint="eastAsia" w:ascii="仿宋_GB2312" w:hAnsi="黑体" w:eastAsia="仿宋_GB2312"/>
          <w:b w:val="0"/>
          <w:sz w:val="32"/>
          <w:szCs w:val="32"/>
          <w:highlight w:val="none"/>
        </w:rPr>
        <w:t>二是加大预算执行力度，发挥绩效评价结果的作用，提高资金使用效率。</w:t>
      </w:r>
      <w:bookmarkEnd w:id="94"/>
    </w:p>
    <w:p>
      <w:pPr>
        <w:widowControl/>
        <w:jc w:val="left"/>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附表：</w:t>
      </w:r>
    </w:p>
    <w:tbl>
      <w:tblPr>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38"/>
        <w:gridCol w:w="1047"/>
        <w:gridCol w:w="1030"/>
        <w:gridCol w:w="838"/>
        <w:gridCol w:w="630"/>
        <w:gridCol w:w="576"/>
        <w:gridCol w:w="405"/>
        <w:gridCol w:w="869"/>
        <w:gridCol w:w="659"/>
        <w:gridCol w:w="762"/>
        <w:gridCol w:w="747"/>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21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公文处理及日常文印等补助经费支出绩效目标自评表（2022年度）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32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公文处理及日常文印等补助经费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4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298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4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8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4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完成2022年市委日常公文的承办；完成市委、市委办公室文件的起草、修改、审核工作，完成中央、省委、市委文件的印制、分发等管理工作。</w:t>
            </w:r>
          </w:p>
        </w:tc>
        <w:tc>
          <w:tcPr>
            <w:tcW w:w="38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完成2022年市委日常公文的承办；完成市委、市委办公室文件的起草、修改、审核工作，完成中央、省委、市委文件的印制、分发等管理工作。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32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做好2022年省市文件分发和印制工作，负责市委文印室工作。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59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159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35.46</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88.65%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提高资源利用率，节约使用经费，降低能耗，办公耗材及文印费用减少。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159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35.46</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88.65%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9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9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103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4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590"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7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6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收文发文办理文件数量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1900</w:t>
            </w:r>
          </w:p>
        </w:tc>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1900件</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文件办结率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完成项目及时率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文印室及各科室文印耗材</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35.46万元</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提高资源利用率，节约使用经费，降低能耗，办公耗材及文印费用减少。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推动上级重大决策部署落地落实、推动广元经济社会高质量发展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办文满意度</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225"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84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370"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公文处理及日常文印等补助经费项目绩效编制合理，财务管理规范化，内控制度健全，财政资金使用符合要求，预算执行收支平衡，财政支出绩效评价较好。公文处理及日常文印等补助经费项目支出绩效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37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办公耗材成本使用越来越高。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37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一是解决市本级预算体系性，加大日常公用经费的核算。二是加大预算执行力度，发挥绩效评价结果的作用，提高资金使用效率。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370"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pStyle w:val="2"/>
        <w:rPr>
          <w:rFonts w:hint="eastAsia"/>
          <w:lang w:val="en-US" w:eastAsia="zh-CN"/>
        </w:rPr>
      </w:pPr>
    </w:p>
    <w:p>
      <w:pPr>
        <w:widowControl/>
        <w:ind w:firstLine="640" w:firstLineChars="200"/>
        <w:jc w:val="left"/>
        <w:rPr>
          <w:rStyle w:val="41"/>
          <w:rFonts w:hint="eastAsia" w:ascii="仿宋_GB2312" w:hAnsi="黑体" w:eastAsia="仿宋_GB2312"/>
          <w:b w:val="0"/>
          <w:sz w:val="32"/>
          <w:szCs w:val="32"/>
          <w:highlight w:val="none"/>
        </w:rPr>
      </w:pPr>
    </w:p>
    <w:p>
      <w:pPr>
        <w:pStyle w:val="40"/>
        <w:rPr>
          <w:rStyle w:val="41"/>
          <w:rFonts w:hint="eastAsia" w:ascii="仿宋_GB2312" w:hAnsi="黑体" w:eastAsia="仿宋_GB2312"/>
          <w:b w:val="0"/>
          <w:sz w:val="32"/>
          <w:szCs w:val="32"/>
          <w:highlight w:val="none"/>
        </w:rPr>
      </w:pPr>
    </w:p>
    <w:p>
      <w:pPr>
        <w:rPr>
          <w:rStyle w:val="41"/>
          <w:rFonts w:hint="eastAsia" w:ascii="仿宋_GB2312" w:hAnsi="黑体" w:eastAsia="仿宋_GB2312"/>
          <w:b w:val="0"/>
          <w:sz w:val="32"/>
          <w:szCs w:val="32"/>
          <w:highlight w:val="none"/>
        </w:rPr>
      </w:pPr>
    </w:p>
    <w:p>
      <w:pPr>
        <w:pStyle w:val="40"/>
        <w:rPr>
          <w:rStyle w:val="41"/>
          <w:rFonts w:hint="eastAsia" w:ascii="仿宋_GB2312" w:hAnsi="黑体" w:eastAsia="仿宋_GB2312"/>
          <w:b w:val="0"/>
          <w:sz w:val="32"/>
          <w:szCs w:val="32"/>
          <w:highlight w:val="none"/>
        </w:rPr>
      </w:pPr>
    </w:p>
    <w:p>
      <w:pPr>
        <w:rPr>
          <w:rStyle w:val="41"/>
          <w:rFonts w:hint="eastAsia" w:ascii="仿宋_GB2312" w:hAnsi="黑体" w:eastAsia="仿宋_GB2312"/>
          <w:b w:val="0"/>
          <w:sz w:val="32"/>
          <w:szCs w:val="32"/>
          <w:highlight w:val="none"/>
        </w:rPr>
      </w:pPr>
    </w:p>
    <w:p>
      <w:pPr>
        <w:pStyle w:val="40"/>
        <w:rPr>
          <w:rStyle w:val="41"/>
          <w:rFonts w:hint="eastAsia" w:ascii="仿宋_GB2312" w:hAnsi="黑体" w:eastAsia="仿宋_GB2312"/>
          <w:b w:val="0"/>
          <w:sz w:val="32"/>
          <w:szCs w:val="32"/>
          <w:highlight w:val="none"/>
        </w:rPr>
      </w:pPr>
    </w:p>
    <w:p>
      <w:pPr>
        <w:rPr>
          <w:rStyle w:val="41"/>
          <w:rFonts w:hint="eastAsia" w:ascii="仿宋_GB2312" w:hAnsi="黑体" w:eastAsia="仿宋_GB2312"/>
          <w:b w:val="0"/>
          <w:sz w:val="32"/>
          <w:szCs w:val="32"/>
          <w:highlight w:val="none"/>
        </w:rPr>
      </w:pPr>
    </w:p>
    <w:p>
      <w:pPr>
        <w:pStyle w:val="40"/>
        <w:rPr>
          <w:rStyle w:val="41"/>
          <w:rFonts w:hint="eastAsia" w:ascii="仿宋_GB2312" w:hAnsi="黑体" w:eastAsia="仿宋_GB2312"/>
          <w:b w:val="0"/>
          <w:sz w:val="32"/>
          <w:szCs w:val="32"/>
          <w:highlight w:val="none"/>
        </w:rPr>
      </w:pPr>
    </w:p>
    <w:p>
      <w:pPr>
        <w:rPr>
          <w:rStyle w:val="41"/>
          <w:rFonts w:hint="eastAsia" w:ascii="仿宋_GB2312" w:hAnsi="黑体" w:eastAsia="仿宋_GB2312"/>
          <w:b w:val="0"/>
          <w:sz w:val="32"/>
          <w:szCs w:val="32"/>
          <w:highlight w:val="none"/>
        </w:rPr>
      </w:pPr>
    </w:p>
    <w:p>
      <w:pPr>
        <w:spacing w:line="580" w:lineRule="exact"/>
        <w:jc w:val="both"/>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bookmarkStart w:id="95" w:name="_Toc9287"/>
      <w:r>
        <w:rPr>
          <w:rFonts w:hint="eastAsia" w:ascii="方正小标宋简体" w:hAnsi="方正小标宋简体" w:eastAsia="方正小标宋简体" w:cs="方正小标宋简体"/>
          <w:b w:val="0"/>
          <w:bCs/>
          <w:color w:val="000000"/>
          <w:sz w:val="36"/>
          <w:szCs w:val="36"/>
          <w:highlight w:val="none"/>
        </w:rPr>
        <w:t>党内规范性文件备案审查及文件汇编经费</w:t>
      </w:r>
      <w:bookmarkEnd w:id="95"/>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项目支出绩效自评报告</w:t>
      </w:r>
    </w:p>
    <w:p>
      <w:pPr>
        <w:pStyle w:val="40"/>
        <w:rPr>
          <w:rFonts w:hint="eastAsia"/>
          <w:highlight w:val="none"/>
        </w:rPr>
      </w:pPr>
    </w:p>
    <w:p>
      <w:pPr>
        <w:numPr>
          <w:ilvl w:val="0"/>
          <w:numId w:val="13"/>
        </w:numPr>
        <w:spacing w:line="576" w:lineRule="exact"/>
        <w:ind w:firstLine="640"/>
        <w:outlineLvl w:val="1"/>
        <w:rPr>
          <w:rFonts w:hint="eastAsia" w:ascii="黑体" w:hAnsi="宋体" w:eastAsia="黑体"/>
          <w:bCs/>
          <w:kern w:val="0"/>
          <w:sz w:val="32"/>
          <w:szCs w:val="32"/>
          <w:highlight w:val="none"/>
          <w:lang w:val="en-US" w:eastAsia="zh-CN"/>
        </w:rPr>
      </w:pPr>
      <w:bookmarkStart w:id="96" w:name="_Toc9984"/>
      <w:r>
        <w:rPr>
          <w:rFonts w:hint="eastAsia" w:ascii="黑体" w:hAnsi="宋体" w:eastAsia="黑体"/>
          <w:bCs/>
          <w:kern w:val="0"/>
          <w:sz w:val="32"/>
          <w:szCs w:val="32"/>
          <w:highlight w:val="none"/>
          <w:lang w:val="en-US" w:eastAsia="zh-CN"/>
        </w:rPr>
        <w:t>项目概况</w:t>
      </w:r>
      <w:bookmarkEnd w:id="96"/>
    </w:p>
    <w:p>
      <w:pPr>
        <w:numPr>
          <w:ilvl w:val="0"/>
          <w:numId w:val="0"/>
        </w:numPr>
        <w:spacing w:line="576" w:lineRule="exact"/>
        <w:ind w:firstLine="320" w:firstLineChars="1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（一）项目基本情况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党内规范性文件备案审查及文件汇编经费项目执行科室是市委办法规科。其职能：负责市委规范性文件的审核、报送省委备案、解释、评估、清理等工作，负责牵头做好请示报告工作。指导有关县区开展党内法规性文件直报备案等。</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spacing w:line="580" w:lineRule="exact"/>
        <w:rPr>
          <w:rFonts w:hint="eastAsia" w:ascii="仿宋_GB2312" w:eastAsia="仿宋_GB2312"/>
          <w:sz w:val="32"/>
          <w:szCs w:val="32"/>
          <w:highlight w:val="none"/>
        </w:rPr>
      </w:pPr>
      <w:r>
        <w:rPr>
          <w:rFonts w:hint="eastAsia" w:ascii="仿宋_GB2312" w:eastAsia="仿宋_GB2312"/>
          <w:sz w:val="32"/>
          <w:szCs w:val="32"/>
          <w:highlight w:val="none"/>
          <w:lang w:val="en-US" w:eastAsia="zh-CN"/>
        </w:rPr>
        <w:t>根据</w:t>
      </w:r>
      <w:r>
        <w:rPr>
          <w:rFonts w:hint="eastAsia" w:ascii="仿宋_GB2312" w:eastAsia="仿宋_GB2312"/>
          <w:sz w:val="32"/>
          <w:szCs w:val="32"/>
          <w:highlight w:val="none"/>
        </w:rPr>
        <w:t>《市委办公室各内设机构工作职责》</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广委室字〔2020〕28号</w:t>
      </w:r>
      <w:r>
        <w:rPr>
          <w:rFonts w:hint="eastAsia" w:ascii="仿宋_GB2312" w:eastAsia="仿宋_GB2312"/>
          <w:sz w:val="32"/>
          <w:szCs w:val="32"/>
          <w:highlight w:val="none"/>
          <w:lang w:eastAsia="zh-CN"/>
        </w:rPr>
        <w:t>）文件，</w:t>
      </w:r>
      <w:r>
        <w:rPr>
          <w:rFonts w:hint="eastAsia" w:ascii="仿宋_GB2312" w:eastAsia="仿宋_GB2312"/>
          <w:sz w:val="32"/>
          <w:szCs w:val="32"/>
          <w:highlight w:val="none"/>
        </w:rPr>
        <w:t>审核市委规范性文件以及各县区党委、市级各部门规范性文件的备案审查工作。</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主要用于印制20</w:t>
      </w:r>
      <w:r>
        <w:rPr>
          <w:rFonts w:hint="eastAsia" w:ascii="仿宋_GB2312" w:hAnsi="仿宋" w:eastAsia="仿宋_GB2312"/>
          <w:color w:val="000000"/>
          <w:sz w:val="32"/>
          <w:szCs w:val="32"/>
          <w:highlight w:val="none"/>
          <w:lang w:val="en-US" w:eastAsia="zh-CN"/>
        </w:rPr>
        <w:t>21</w:t>
      </w:r>
      <w:r>
        <w:rPr>
          <w:rFonts w:hint="eastAsia" w:ascii="仿宋_GB2312" w:hAnsi="仿宋" w:eastAsia="仿宋_GB2312"/>
          <w:color w:val="000000"/>
          <w:sz w:val="32"/>
          <w:szCs w:val="32"/>
          <w:highlight w:val="none"/>
        </w:rPr>
        <w:t>年规范性文件。</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4.资金分配的原则及考虑因素</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按照预算管理办法及市委办财务制度，结合实际工作情况分配党内规范性文件备案审查及文件汇编经费。</w:t>
      </w:r>
    </w:p>
    <w:p>
      <w:pPr>
        <w:spacing w:line="576" w:lineRule="exact"/>
        <w:ind w:firstLine="320" w:firstLineChars="1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（二）项目绩效目标</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牵头抓好党内法规制度的贯彻执行作为重要政治任务，服务市委专题学习法规制度，持续开展党内法规性文件实施评估和党内法规执行情况专项检查，有力提升党内法规执行力。</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年印制20</w:t>
      </w:r>
      <w:r>
        <w:rPr>
          <w:rFonts w:hint="eastAsia" w:ascii="仿宋_GB2312" w:hAnsi="仿宋" w:eastAsia="仿宋_GB2312"/>
          <w:color w:val="000000"/>
          <w:sz w:val="32"/>
          <w:szCs w:val="32"/>
          <w:highlight w:val="none"/>
          <w:lang w:val="en-US" w:eastAsia="zh-CN"/>
        </w:rPr>
        <w:t>21</w:t>
      </w:r>
      <w:r>
        <w:rPr>
          <w:rFonts w:hint="eastAsia" w:ascii="仿宋_GB2312" w:hAnsi="仿宋" w:eastAsia="仿宋_GB2312"/>
          <w:color w:val="000000"/>
          <w:sz w:val="32"/>
          <w:szCs w:val="32"/>
          <w:highlight w:val="none"/>
        </w:rPr>
        <w:t>年市委规范性文件数量</w:t>
      </w:r>
      <w:r>
        <w:rPr>
          <w:rFonts w:hint="eastAsia" w:ascii="仿宋_GB2312" w:hAnsi="仿宋" w:eastAsia="仿宋_GB2312"/>
          <w:color w:val="000000"/>
          <w:sz w:val="32"/>
          <w:szCs w:val="32"/>
          <w:highlight w:val="none"/>
          <w:lang w:val="en-US" w:eastAsia="zh-CN"/>
        </w:rPr>
        <w:t>750</w:t>
      </w:r>
      <w:r>
        <w:rPr>
          <w:rFonts w:hint="eastAsia" w:ascii="仿宋_GB2312" w:hAnsi="仿宋" w:eastAsia="仿宋_GB2312"/>
          <w:color w:val="000000"/>
          <w:sz w:val="32"/>
          <w:szCs w:val="32"/>
          <w:highlight w:val="none"/>
        </w:rPr>
        <w:t>本。</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76"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（三）项目自评步骤及方法</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numPr>
          <w:ilvl w:val="0"/>
          <w:numId w:val="0"/>
        </w:numPr>
        <w:spacing w:line="576" w:lineRule="exact"/>
        <w:ind w:firstLine="640" w:firstLineChars="200"/>
        <w:outlineLvl w:val="1"/>
        <w:rPr>
          <w:rFonts w:hint="eastAsia" w:ascii="黑体" w:hAnsi="宋体" w:eastAsia="黑体"/>
          <w:bCs/>
          <w:kern w:val="0"/>
          <w:sz w:val="32"/>
          <w:szCs w:val="32"/>
          <w:highlight w:val="none"/>
          <w:lang w:val="en-US" w:eastAsia="zh-CN"/>
        </w:rPr>
      </w:pPr>
      <w:bookmarkStart w:id="97" w:name="_Toc6568"/>
      <w:r>
        <w:rPr>
          <w:rFonts w:hint="eastAsia" w:ascii="黑体" w:hAnsi="宋体" w:eastAsia="黑体"/>
          <w:bCs/>
          <w:kern w:val="0"/>
          <w:sz w:val="32"/>
          <w:szCs w:val="32"/>
          <w:highlight w:val="none"/>
          <w:lang w:val="en-US" w:eastAsia="zh-CN"/>
        </w:rPr>
        <w:t>二、项目资金申报及使用情况</w:t>
      </w:r>
      <w:bookmarkEnd w:id="97"/>
    </w:p>
    <w:p>
      <w:pPr>
        <w:spacing w:line="576"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（一）项目资金申报及批复情况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年预算编制时申报“党内规范性文件备案审查及文件汇编经费”项目，财政于202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日下达项目经费1</w:t>
      </w:r>
      <w:r>
        <w:rPr>
          <w:rFonts w:hint="eastAsia" w:ascii="仿宋_GB2312" w:hAnsi="仿宋" w:eastAsia="仿宋_GB2312"/>
          <w:color w:val="000000"/>
          <w:sz w:val="32"/>
          <w:szCs w:val="32"/>
          <w:highlight w:val="none"/>
          <w:lang w:val="en-US" w:eastAsia="zh-CN"/>
        </w:rPr>
        <w:t>0</w:t>
      </w:r>
      <w:r>
        <w:rPr>
          <w:rFonts w:hint="eastAsia" w:ascii="仿宋_GB2312" w:hAnsi="仿宋" w:eastAsia="仿宋_GB2312"/>
          <w:color w:val="000000"/>
          <w:sz w:val="32"/>
          <w:szCs w:val="32"/>
          <w:highlight w:val="none"/>
        </w:rPr>
        <w:t>万元。</w:t>
      </w:r>
    </w:p>
    <w:p>
      <w:pPr>
        <w:spacing w:line="576"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（二）资金计划、到位及使用情况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1.资金计划。市本级财政资金安排项目经费1</w:t>
      </w:r>
      <w:r>
        <w:rPr>
          <w:rFonts w:hint="eastAsia" w:ascii="仿宋_GB2312" w:hAnsi="仿宋" w:eastAsia="仿宋_GB2312"/>
          <w:color w:val="000000"/>
          <w:sz w:val="32"/>
          <w:szCs w:val="32"/>
          <w:highlight w:val="none"/>
          <w:lang w:val="en-US" w:eastAsia="zh-CN"/>
        </w:rPr>
        <w:t>0</w:t>
      </w:r>
      <w:r>
        <w:rPr>
          <w:rFonts w:hint="eastAsia" w:ascii="仿宋_GB2312" w:hAnsi="仿宋" w:eastAsia="仿宋_GB2312"/>
          <w:color w:val="000000"/>
          <w:sz w:val="32"/>
          <w:szCs w:val="32"/>
          <w:highlight w:val="none"/>
        </w:rPr>
        <w:t>万元。</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月全部下达到位。</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年共支出1</w:t>
      </w:r>
      <w:r>
        <w:rPr>
          <w:rFonts w:hint="eastAsia" w:ascii="仿宋_GB2312" w:hAnsi="仿宋" w:eastAsia="仿宋_GB2312"/>
          <w:color w:val="000000"/>
          <w:sz w:val="32"/>
          <w:szCs w:val="32"/>
          <w:highlight w:val="none"/>
          <w:lang w:val="en-US" w:eastAsia="zh-CN"/>
        </w:rPr>
        <w:t>0</w:t>
      </w:r>
      <w:r>
        <w:rPr>
          <w:rFonts w:hint="eastAsia" w:ascii="仿宋_GB2312" w:hAnsi="仿宋" w:eastAsia="仿宋_GB2312"/>
          <w:color w:val="000000"/>
          <w:sz w:val="32"/>
          <w:szCs w:val="32"/>
          <w:highlight w:val="none"/>
        </w:rPr>
        <w:t>万元。主要用于印制20</w:t>
      </w:r>
      <w:r>
        <w:rPr>
          <w:rFonts w:hint="eastAsia" w:ascii="仿宋_GB2312" w:hAnsi="仿宋" w:eastAsia="仿宋_GB2312"/>
          <w:color w:val="000000"/>
          <w:sz w:val="32"/>
          <w:szCs w:val="32"/>
          <w:highlight w:val="none"/>
          <w:lang w:val="en-US" w:eastAsia="zh-CN"/>
        </w:rPr>
        <w:t>21</w:t>
      </w:r>
      <w:r>
        <w:rPr>
          <w:rFonts w:hint="eastAsia" w:ascii="仿宋_GB2312" w:hAnsi="仿宋" w:eastAsia="仿宋_GB2312"/>
          <w:color w:val="000000"/>
          <w:sz w:val="32"/>
          <w:szCs w:val="32"/>
          <w:highlight w:val="none"/>
        </w:rPr>
        <w:t>年规范性文件。支付标准、支付进度、支付依据等合规合法，与预算相符。</w:t>
      </w:r>
    </w:p>
    <w:p>
      <w:pPr>
        <w:spacing w:line="576"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（三）项目财务管理情况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spacing w:line="580" w:lineRule="exact"/>
        <w:ind w:firstLine="640" w:firstLineChars="200"/>
        <w:outlineLvl w:val="1"/>
        <w:rPr>
          <w:rFonts w:hint="eastAsia" w:ascii="黑体" w:hAnsi="宋体" w:eastAsia="黑体"/>
          <w:bCs/>
          <w:kern w:val="0"/>
          <w:sz w:val="32"/>
          <w:szCs w:val="32"/>
          <w:highlight w:val="none"/>
          <w:lang w:val="en-US" w:eastAsia="zh-CN"/>
        </w:rPr>
      </w:pPr>
      <w:bookmarkStart w:id="98" w:name="_Toc3814"/>
      <w:r>
        <w:rPr>
          <w:rFonts w:hint="eastAsia" w:ascii="黑体" w:hAnsi="宋体" w:eastAsia="黑体"/>
          <w:bCs/>
          <w:kern w:val="0"/>
          <w:sz w:val="32"/>
          <w:szCs w:val="32"/>
          <w:highlight w:val="none"/>
          <w:lang w:val="en-US" w:eastAsia="zh-CN"/>
        </w:rPr>
        <w:t>三、项目实施及管理情况</w:t>
      </w:r>
      <w:bookmarkEnd w:id="98"/>
    </w:p>
    <w:p>
      <w:pPr>
        <w:spacing w:line="576"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（一）项目组织架构及实施流程</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科室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76" w:lineRule="exact"/>
        <w:ind w:firstLine="64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（二）项目管理情况</w:t>
      </w:r>
    </w:p>
    <w:p>
      <w:pPr>
        <w:spacing w:line="576" w:lineRule="exact"/>
        <w:ind w:firstLine="640"/>
        <w:rPr>
          <w:rStyle w:val="41"/>
          <w:rFonts w:hint="eastAsia" w:ascii="仿宋_GB2312" w:hAnsi="黑体" w:eastAsia="仿宋_GB2312"/>
          <w:b w:val="0"/>
          <w:sz w:val="32"/>
          <w:szCs w:val="32"/>
          <w:highlight w:val="none"/>
        </w:rPr>
      </w:pPr>
      <w:bookmarkStart w:id="99" w:name="_Toc20091"/>
      <w:r>
        <w:rPr>
          <w:rStyle w:val="41"/>
          <w:rFonts w:hint="eastAsia" w:ascii="仿宋_GB2312" w:hAnsi="黑体" w:eastAsia="仿宋_GB2312"/>
          <w:b w:val="0"/>
          <w:sz w:val="32"/>
          <w:szCs w:val="32"/>
          <w:highlight w:val="none"/>
        </w:rPr>
        <w:t>本项目由使用预算资金的科室负责，其他科室积极配合，由单位领导负责协调相关工作，由财务科负责项目资金使用的合理性、规范性。</w:t>
      </w:r>
    </w:p>
    <w:bookmarkEnd w:id="99"/>
    <w:p>
      <w:pPr>
        <w:spacing w:line="576"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（三）项目监管情况</w:t>
      </w:r>
    </w:p>
    <w:p>
      <w:pPr>
        <w:widowControl/>
        <w:ind w:firstLine="640" w:firstLineChars="200"/>
        <w:jc w:val="left"/>
        <w:rPr>
          <w:rStyle w:val="41"/>
          <w:rFonts w:hint="eastAsia" w:ascii="仿宋_GB2312" w:hAnsi="黑体" w:eastAsia="仿宋_GB2312"/>
          <w:b w:val="0"/>
          <w:sz w:val="32"/>
          <w:szCs w:val="32"/>
          <w:highlight w:val="none"/>
        </w:rPr>
      </w:pPr>
      <w:bookmarkStart w:id="100" w:name="_Toc23801"/>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100"/>
    <w:p>
      <w:pPr>
        <w:numPr>
          <w:ilvl w:val="0"/>
          <w:numId w:val="0"/>
        </w:numPr>
        <w:spacing w:line="576" w:lineRule="exact"/>
        <w:ind w:firstLine="640" w:firstLineChars="200"/>
        <w:outlineLvl w:val="1"/>
        <w:rPr>
          <w:rFonts w:hint="eastAsia" w:ascii="黑体" w:hAnsi="宋体" w:eastAsia="黑体"/>
          <w:bCs/>
          <w:kern w:val="0"/>
          <w:sz w:val="32"/>
          <w:szCs w:val="32"/>
          <w:highlight w:val="none"/>
          <w:lang w:val="en-US" w:eastAsia="zh-CN"/>
        </w:rPr>
      </w:pPr>
      <w:bookmarkStart w:id="101" w:name="_Toc2106"/>
      <w:r>
        <w:rPr>
          <w:rFonts w:hint="eastAsia" w:ascii="黑体" w:hAnsi="宋体" w:eastAsia="黑体"/>
          <w:bCs/>
          <w:kern w:val="0"/>
          <w:sz w:val="32"/>
          <w:szCs w:val="32"/>
          <w:highlight w:val="none"/>
          <w:lang w:val="en-US" w:eastAsia="zh-CN"/>
        </w:rPr>
        <w:t>四、项目绩效情况</w:t>
      </w:r>
      <w:bookmarkEnd w:id="101"/>
    </w:p>
    <w:p>
      <w:pPr>
        <w:spacing w:line="576" w:lineRule="exact"/>
        <w:ind w:firstLine="320" w:firstLineChars="1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（一）项目完成情况</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精心服务市委推进党内法规制度落实。</w:t>
      </w:r>
    </w:p>
    <w:p>
      <w:pPr>
        <w:spacing w:line="576" w:lineRule="exact"/>
        <w:ind w:firstLine="320" w:firstLineChars="1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（二）项目效益情况</w:t>
      </w:r>
    </w:p>
    <w:p>
      <w:pPr>
        <w:widowControl/>
        <w:ind w:firstLine="640" w:firstLineChars="200"/>
        <w:jc w:val="left"/>
        <w:rPr>
          <w:rStyle w:val="41"/>
          <w:rFonts w:hint="eastAsia" w:ascii="仿宋_GB2312" w:hAnsi="黑体" w:eastAsia="仿宋_GB2312"/>
          <w:b w:val="0"/>
          <w:sz w:val="32"/>
          <w:szCs w:val="32"/>
          <w:highlight w:val="none"/>
        </w:rPr>
      </w:pPr>
      <w:bookmarkStart w:id="102" w:name="_Toc1788"/>
      <w:r>
        <w:rPr>
          <w:rStyle w:val="41"/>
          <w:rFonts w:hint="eastAsia" w:ascii="仿宋_GB2312" w:hAnsi="黑体" w:eastAsia="仿宋_GB2312"/>
          <w:b w:val="0"/>
          <w:sz w:val="32"/>
          <w:szCs w:val="32"/>
          <w:highlight w:val="none"/>
        </w:rPr>
        <w:t>高质量、高标准、高效率完成202</w:t>
      </w:r>
      <w:r>
        <w:rPr>
          <w:rStyle w:val="41"/>
          <w:rFonts w:hint="eastAsia" w:ascii="仿宋_GB2312" w:hAnsi="黑体" w:eastAsia="仿宋_GB2312"/>
          <w:b w:val="0"/>
          <w:sz w:val="32"/>
          <w:szCs w:val="32"/>
          <w:highlight w:val="none"/>
          <w:lang w:val="en-US"/>
        </w:rPr>
        <w:t>2</w:t>
      </w:r>
      <w:r>
        <w:rPr>
          <w:rStyle w:val="41"/>
          <w:rFonts w:hint="eastAsia" w:ascii="仿宋_GB2312" w:hAnsi="黑体" w:eastAsia="仿宋_GB2312"/>
          <w:b w:val="0"/>
          <w:sz w:val="32"/>
          <w:szCs w:val="32"/>
          <w:highlight w:val="none"/>
        </w:rPr>
        <w:t>年省下目标任务。</w:t>
      </w:r>
    </w:p>
    <w:bookmarkEnd w:id="102"/>
    <w:p>
      <w:pPr>
        <w:numPr>
          <w:ilvl w:val="0"/>
          <w:numId w:val="0"/>
        </w:numPr>
        <w:spacing w:line="576" w:lineRule="exact"/>
        <w:ind w:firstLine="640" w:firstLineChars="200"/>
        <w:outlineLvl w:val="1"/>
        <w:rPr>
          <w:rFonts w:hint="eastAsia" w:ascii="黑体" w:hAnsi="宋体" w:eastAsia="黑体"/>
          <w:bCs/>
          <w:kern w:val="0"/>
          <w:sz w:val="32"/>
          <w:szCs w:val="32"/>
          <w:highlight w:val="none"/>
          <w:lang w:val="en-US" w:eastAsia="zh-CN"/>
        </w:rPr>
      </w:pPr>
      <w:bookmarkStart w:id="103" w:name="_Toc15130"/>
      <w:r>
        <w:rPr>
          <w:rFonts w:hint="eastAsia" w:ascii="黑体" w:hAnsi="宋体" w:eastAsia="黑体"/>
          <w:bCs/>
          <w:kern w:val="0"/>
          <w:sz w:val="32"/>
          <w:szCs w:val="32"/>
          <w:highlight w:val="none"/>
          <w:lang w:val="en-US" w:eastAsia="zh-CN"/>
        </w:rPr>
        <w:t>五、评价结论及建议</w:t>
      </w:r>
      <w:bookmarkEnd w:id="103"/>
    </w:p>
    <w:p>
      <w:pPr>
        <w:spacing w:line="576"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（一）评价结论</w:t>
      </w:r>
    </w:p>
    <w:p>
      <w:pPr>
        <w:widowControl/>
        <w:ind w:firstLine="640" w:firstLineChars="200"/>
        <w:jc w:val="left"/>
        <w:rPr>
          <w:rStyle w:val="41"/>
          <w:rFonts w:hint="eastAsia" w:ascii="仿宋_GB2312" w:hAnsi="黑体" w:eastAsia="仿宋_GB2312"/>
          <w:b w:val="0"/>
          <w:sz w:val="32"/>
          <w:szCs w:val="32"/>
          <w:highlight w:val="none"/>
        </w:rPr>
      </w:pPr>
      <w:r>
        <w:rPr>
          <w:rFonts w:hint="eastAsia" w:ascii="仿宋_GB2312" w:hAnsi="仿宋" w:eastAsia="仿宋_GB2312"/>
          <w:color w:val="000000"/>
          <w:sz w:val="32"/>
          <w:szCs w:val="32"/>
          <w:highlight w:val="none"/>
        </w:rPr>
        <w:t>党内规范性文件备案审查及文件汇编经费</w:t>
      </w:r>
      <w:r>
        <w:rPr>
          <w:rStyle w:val="41"/>
          <w:rFonts w:hint="eastAsia" w:ascii="仿宋_GB2312" w:hAnsi="黑体" w:eastAsia="仿宋_GB2312"/>
          <w:b w:val="0"/>
          <w:sz w:val="32"/>
          <w:szCs w:val="32"/>
          <w:highlight w:val="none"/>
        </w:rPr>
        <w:t>项目绩效编制合理，财务管理规范化，内控制度健全，财政资金使用符合要求，预算执行收支平衡，财政支出绩效评价较好。</w:t>
      </w:r>
      <w:r>
        <w:rPr>
          <w:rFonts w:hint="eastAsia" w:ascii="仿宋_GB2312" w:hAnsi="仿宋_GB2312" w:eastAsia="仿宋_GB2312" w:cs="仿宋_GB2312"/>
          <w:sz w:val="32"/>
          <w:szCs w:val="32"/>
          <w:highlight w:val="none"/>
          <w:lang w:val="en-US" w:eastAsia="zh-CN"/>
        </w:rPr>
        <w:t>党内规范性文件备案审查及文件汇编经费项目支出绩效</w:t>
      </w:r>
      <w:r>
        <w:rPr>
          <w:rFonts w:hint="eastAsia" w:ascii="仿宋_GB2312" w:hAnsi="仿宋_GB2312" w:eastAsia="仿宋_GB2312" w:cs="仿宋_GB2312"/>
          <w:sz w:val="32"/>
          <w:szCs w:val="32"/>
          <w:highlight w:val="none"/>
          <w:lang w:eastAsia="zh-CN"/>
        </w:rPr>
        <w:t>自评得分</w:t>
      </w:r>
      <w:r>
        <w:rPr>
          <w:rFonts w:hint="eastAsia" w:ascii="仿宋_GB2312" w:hAnsi="仿宋_GB2312" w:eastAsia="仿宋_GB2312" w:cs="仿宋_GB2312"/>
          <w:sz w:val="32"/>
          <w:szCs w:val="32"/>
          <w:highlight w:val="none"/>
          <w:lang w:val="en-US" w:eastAsia="zh-CN"/>
        </w:rPr>
        <w:t>100分。</w:t>
      </w:r>
    </w:p>
    <w:p>
      <w:pPr>
        <w:spacing w:line="576"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（二）存在问题</w:t>
      </w:r>
    </w:p>
    <w:p>
      <w:pPr>
        <w:widowControl/>
        <w:ind w:firstLine="640" w:firstLineChars="200"/>
        <w:jc w:val="left"/>
        <w:rPr>
          <w:rStyle w:val="41"/>
          <w:rFonts w:hint="eastAsia" w:ascii="仿宋_GB2312" w:hAnsi="黑体" w:eastAsia="仿宋_GB2312"/>
          <w:b w:val="0"/>
          <w:sz w:val="32"/>
          <w:szCs w:val="32"/>
          <w:highlight w:val="none"/>
        </w:rPr>
      </w:pPr>
      <w:bookmarkStart w:id="104" w:name="_Toc14274"/>
      <w:r>
        <w:rPr>
          <w:rStyle w:val="41"/>
          <w:rFonts w:hint="eastAsia" w:ascii="仿宋_GB2312" w:hAnsi="黑体" w:eastAsia="仿宋_GB2312"/>
          <w:b w:val="0"/>
          <w:sz w:val="32"/>
          <w:szCs w:val="32"/>
          <w:highlight w:val="none"/>
        </w:rPr>
        <w:t>部分绩效指标预算不够精准。</w:t>
      </w:r>
    </w:p>
    <w:bookmarkEnd w:id="104"/>
    <w:p>
      <w:pPr>
        <w:spacing w:line="576" w:lineRule="exact"/>
        <w:ind w:firstLine="640" w:firstLineChars="200"/>
        <w:rPr>
          <w:rFonts w:hint="eastAsia" w:ascii="楷体_GB2312" w:eastAsia="楷体_GB2312"/>
          <w:sz w:val="32"/>
          <w:szCs w:val="32"/>
          <w:highlight w:val="none"/>
          <w:lang w:val="en-US" w:eastAsia="zh-CN"/>
        </w:rPr>
      </w:pPr>
      <w:r>
        <w:rPr>
          <w:rFonts w:hint="eastAsia" w:ascii="楷体_GB2312" w:eastAsia="楷体_GB2312"/>
          <w:sz w:val="32"/>
          <w:szCs w:val="32"/>
          <w:highlight w:val="none"/>
          <w:lang w:val="en-US" w:eastAsia="zh-CN"/>
        </w:rPr>
        <w:t>（三）相关建议</w:t>
      </w:r>
    </w:p>
    <w:p>
      <w:pPr>
        <w:widowControl/>
        <w:ind w:firstLine="640" w:firstLineChars="200"/>
        <w:jc w:val="left"/>
        <w:rPr>
          <w:rStyle w:val="41"/>
          <w:rFonts w:hint="eastAsia" w:ascii="仿宋_GB2312" w:hAnsi="黑体" w:eastAsia="仿宋_GB2312"/>
          <w:b w:val="0"/>
          <w:sz w:val="32"/>
          <w:szCs w:val="32"/>
          <w:highlight w:val="none"/>
        </w:rPr>
      </w:pPr>
      <w:bookmarkStart w:id="105" w:name="_Toc14388"/>
      <w:r>
        <w:rPr>
          <w:rStyle w:val="41"/>
          <w:rFonts w:hint="eastAsia" w:ascii="仿宋_GB2312" w:hAnsi="黑体" w:eastAsia="仿宋_GB2312"/>
          <w:b w:val="0"/>
          <w:sz w:val="32"/>
          <w:szCs w:val="32"/>
          <w:highlight w:val="none"/>
        </w:rPr>
        <w:t>一是加大党内法规知识的培训。</w:t>
      </w:r>
    </w:p>
    <w:bookmarkEnd w:id="105"/>
    <w:p>
      <w:pPr>
        <w:widowControl/>
        <w:ind w:firstLine="640" w:firstLineChars="200"/>
        <w:jc w:val="left"/>
        <w:rPr>
          <w:rStyle w:val="41"/>
          <w:rFonts w:hint="eastAsia" w:ascii="仿宋_GB2312" w:hAnsi="黑体" w:eastAsia="仿宋_GB2312"/>
          <w:b w:val="0"/>
          <w:sz w:val="32"/>
          <w:szCs w:val="32"/>
          <w:highlight w:val="none"/>
        </w:rPr>
      </w:pPr>
      <w:bookmarkStart w:id="106" w:name="_Toc20301"/>
      <w:r>
        <w:rPr>
          <w:rStyle w:val="41"/>
          <w:rFonts w:hint="eastAsia" w:ascii="仿宋_GB2312" w:hAnsi="黑体" w:eastAsia="仿宋_GB2312"/>
          <w:b w:val="0"/>
          <w:sz w:val="32"/>
          <w:szCs w:val="32"/>
          <w:highlight w:val="none"/>
        </w:rPr>
        <w:t>二是加大预算执行力度，发挥绩效评价结果的作用，提高资金使用效率。</w:t>
      </w:r>
    </w:p>
    <w:bookmarkEnd w:id="106"/>
    <w:p>
      <w:pPr>
        <w:widowControl/>
        <w:jc w:val="left"/>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附表：</w:t>
      </w:r>
    </w:p>
    <w:tbl>
      <w:tblPr>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4"/>
        <w:gridCol w:w="846"/>
        <w:gridCol w:w="805"/>
        <w:gridCol w:w="892"/>
        <w:gridCol w:w="628"/>
        <w:gridCol w:w="524"/>
        <w:gridCol w:w="550"/>
        <w:gridCol w:w="846"/>
        <w:gridCol w:w="582"/>
        <w:gridCol w:w="770"/>
        <w:gridCol w:w="651"/>
        <w:gridCol w:w="2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987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党内规范性文件备案审查及文件汇编经费支出绩效目标自评表（2022年度）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47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840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党内规范性文件备案审查及文件汇编经费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147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42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423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42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498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42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精心服务市委推进党内法规制度落实。</w:t>
            </w:r>
          </w:p>
        </w:tc>
        <w:tc>
          <w:tcPr>
            <w:tcW w:w="498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精心服务市委推进党内法规制度落实。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840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负责市委规范性文件的审核，报送省委备案解释、评估、清理等工作，清理并编印2021年市委党内规范性文件汇编。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71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171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171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1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71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81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0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710"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58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按质按量完成2022年省下目标任务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印制2021年党内规范性文件数量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300本</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项目完成率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印刷费及清理费</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万元 </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10万元</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推动上报备案文件标准更高质量更优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对标上级重大决策部署、不折不扣抓好落实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市县对法规科工作人员的满意度</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4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1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9255"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党内规范性文件备案审查及文件汇编经费项目绩效编制合理，财务管理规范化，内控制度健全，财政资金使用符合要求，预算执行收支平衡，财政支出绩效评价较好。党内规范性文件备案审查及文件汇编经费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925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925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9255"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widowControl/>
        <w:ind w:firstLine="640" w:firstLineChars="200"/>
        <w:jc w:val="left"/>
        <w:rPr>
          <w:rStyle w:val="41"/>
          <w:rFonts w:hint="eastAsia" w:ascii="仿宋_GB2312" w:hAnsi="黑体" w:eastAsia="仿宋_GB2312"/>
          <w:b w:val="0"/>
          <w:sz w:val="32"/>
          <w:szCs w:val="32"/>
          <w:highlight w:val="none"/>
        </w:rPr>
      </w:pPr>
    </w:p>
    <w:p>
      <w:pPr>
        <w:spacing w:line="580" w:lineRule="exact"/>
        <w:ind w:left="1789" w:leftChars="630" w:hanging="466" w:hangingChars="145"/>
        <w:rPr>
          <w:rFonts w:hint="eastAsia" w:ascii="仿宋_GB2312" w:hAnsi="仿宋" w:eastAsia="仿宋_GB2312"/>
          <w:b/>
          <w:color w:val="000000"/>
          <w:sz w:val="32"/>
          <w:szCs w:val="32"/>
          <w:highlight w:val="none"/>
        </w:rPr>
      </w:pPr>
    </w:p>
    <w:p>
      <w:pPr>
        <w:spacing w:line="580" w:lineRule="exact"/>
        <w:jc w:val="both"/>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2"/>
        <w:rPr>
          <w:rFonts w:hint="eastAsia" w:ascii="方正小标宋简体" w:hAnsi="方正小标宋简体" w:eastAsia="方正小标宋简体" w:cs="方正小标宋简体"/>
          <w:b w:val="0"/>
          <w:bCs/>
          <w:color w:val="000000"/>
          <w:sz w:val="36"/>
          <w:szCs w:val="36"/>
          <w:highlight w:val="none"/>
          <w:lang w:eastAsia="zh-CN"/>
        </w:rPr>
      </w:pPr>
    </w:p>
    <w:p>
      <w:pPr>
        <w:pStyle w:val="16"/>
        <w:ind w:left="0" w:leftChars="0" w:firstLine="0" w:firstLineChars="0"/>
        <w:rPr>
          <w:rFonts w:hint="eastAsia"/>
          <w:lang w:eastAsia="zh-CN"/>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lang w:eastAsia="zh-CN"/>
        </w:rPr>
      </w:pPr>
      <w:bookmarkStart w:id="107" w:name="_Toc3495"/>
      <w:r>
        <w:rPr>
          <w:rFonts w:hint="eastAsia" w:ascii="方正小标宋简体" w:hAnsi="方正小标宋简体" w:eastAsia="方正小标宋简体" w:cs="方正小标宋简体"/>
          <w:b w:val="0"/>
          <w:bCs/>
          <w:color w:val="000000"/>
          <w:sz w:val="36"/>
          <w:szCs w:val="36"/>
          <w:highlight w:val="none"/>
          <w:lang w:eastAsia="zh-CN"/>
        </w:rPr>
        <w:t>全市党办系统以文辅政大比武工作经费</w:t>
      </w:r>
      <w:bookmarkEnd w:id="107"/>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项目支出绩效自评报告</w:t>
      </w:r>
    </w:p>
    <w:p>
      <w:pPr>
        <w:pStyle w:val="40"/>
        <w:rPr>
          <w:rFonts w:hint="eastAsia"/>
          <w:highlight w:val="none"/>
        </w:rPr>
      </w:pPr>
    </w:p>
    <w:p>
      <w:pPr>
        <w:numPr>
          <w:ilvl w:val="0"/>
          <w:numId w:val="14"/>
        </w:numPr>
        <w:spacing w:line="580" w:lineRule="exact"/>
        <w:ind w:firstLine="640"/>
        <w:outlineLvl w:val="1"/>
        <w:rPr>
          <w:rFonts w:hint="eastAsia" w:ascii="楷体_GB2312" w:hAnsi="楷体_GB2312" w:eastAsia="楷体_GB2312" w:cs="楷体_GB2312"/>
          <w:color w:val="000000"/>
          <w:sz w:val="32"/>
          <w:szCs w:val="32"/>
          <w:highlight w:val="none"/>
        </w:rPr>
      </w:pPr>
      <w:bookmarkStart w:id="108" w:name="_Toc8410"/>
      <w:r>
        <w:rPr>
          <w:rFonts w:hint="eastAsia" w:ascii="黑体" w:hAnsi="黑体" w:eastAsia="黑体" w:cs="黑体"/>
          <w:b w:val="0"/>
          <w:bCs w:val="0"/>
          <w:color w:val="000000"/>
          <w:sz w:val="32"/>
          <w:szCs w:val="32"/>
          <w:highlight w:val="none"/>
        </w:rPr>
        <w:t>项目概况</w:t>
      </w:r>
      <w:bookmarkEnd w:id="108"/>
    </w:p>
    <w:p>
      <w:pPr>
        <w:numPr>
          <w:ilvl w:val="0"/>
          <w:numId w:val="0"/>
        </w:numPr>
        <w:spacing w:line="580" w:lineRule="exact"/>
        <w:ind w:firstLine="64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（一）项目基本情况</w:t>
      </w:r>
    </w:p>
    <w:p>
      <w:pPr>
        <w:numPr>
          <w:ilvl w:val="0"/>
          <w:numId w:val="0"/>
        </w:num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w:t>
      </w:r>
      <w:r>
        <w:rPr>
          <w:rFonts w:hint="eastAsia" w:ascii="仿宋_GB2312" w:hAnsi="仿宋" w:eastAsia="仿宋_GB2312"/>
          <w:color w:val="000000"/>
          <w:sz w:val="32"/>
          <w:szCs w:val="32"/>
          <w:highlight w:val="none"/>
          <w:lang w:eastAsia="zh-CN"/>
        </w:rPr>
        <w:t>全市党办系统以文辅政大比武工作经费</w:t>
      </w:r>
      <w:r>
        <w:rPr>
          <w:rFonts w:hint="eastAsia" w:ascii="仿宋_GB2312" w:hAnsi="仿宋" w:eastAsia="仿宋_GB2312"/>
          <w:color w:val="000000"/>
          <w:sz w:val="32"/>
          <w:szCs w:val="32"/>
          <w:highlight w:val="none"/>
        </w:rPr>
        <w:t>项目执行科室是市委办公室</w:t>
      </w:r>
      <w:r>
        <w:rPr>
          <w:rFonts w:hint="eastAsia" w:ascii="仿宋_GB2312" w:hAnsi="仿宋" w:eastAsia="仿宋_GB2312"/>
          <w:color w:val="000000"/>
          <w:sz w:val="32"/>
          <w:szCs w:val="32"/>
          <w:highlight w:val="none"/>
          <w:lang w:eastAsia="zh-CN"/>
        </w:rPr>
        <w:t>市改革发展研究中心、信息科和秘书一科，机关党委配合</w:t>
      </w:r>
      <w:r>
        <w:rPr>
          <w:rFonts w:hint="eastAsia" w:ascii="仿宋_GB2312" w:hAnsi="仿宋" w:eastAsia="仿宋_GB2312"/>
          <w:color w:val="000000"/>
          <w:sz w:val="32"/>
          <w:szCs w:val="32"/>
          <w:highlight w:val="none"/>
        </w:rPr>
        <w:t>。其职能：负责</w:t>
      </w:r>
      <w:r>
        <w:rPr>
          <w:rFonts w:hint="eastAsia" w:ascii="仿宋_GB2312" w:hAnsi="仿宋" w:eastAsia="仿宋_GB2312"/>
          <w:color w:val="000000"/>
          <w:sz w:val="32"/>
          <w:szCs w:val="32"/>
          <w:highlight w:val="none"/>
          <w:lang w:eastAsia="zh-CN"/>
        </w:rPr>
        <w:t>开展全市以文辅政大比武工作，进一步提升全市好公文、好文稿、好信息、好调研工作水平</w:t>
      </w:r>
      <w:r>
        <w:rPr>
          <w:rFonts w:hint="eastAsia" w:ascii="仿宋_GB2312" w:hAnsi="仿宋" w:eastAsia="仿宋_GB2312"/>
          <w:color w:val="000000"/>
          <w:sz w:val="32"/>
          <w:szCs w:val="32"/>
          <w:highlight w:val="none"/>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根据</w:t>
      </w:r>
      <w:r>
        <w:rPr>
          <w:rFonts w:hint="eastAsia" w:ascii="仿宋_GB2312" w:eastAsia="仿宋_GB2312"/>
          <w:sz w:val="32"/>
          <w:szCs w:val="32"/>
          <w:highlight w:val="none"/>
        </w:rPr>
        <w:t>《市委办公室各内设机构工作职责》</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广委室字〔2020〕28号</w:t>
      </w:r>
      <w:r>
        <w:rPr>
          <w:rFonts w:hint="eastAsia" w:ascii="仿宋_GB2312" w:eastAsia="仿宋_GB2312"/>
          <w:sz w:val="32"/>
          <w:szCs w:val="32"/>
          <w:highlight w:val="none"/>
          <w:lang w:eastAsia="zh-CN"/>
        </w:rPr>
        <w:t>）文件要求，《关于开展</w:t>
      </w:r>
      <w:r>
        <w:rPr>
          <w:rFonts w:hint="eastAsia" w:ascii="仿宋_GB2312" w:eastAsia="仿宋_GB2312"/>
          <w:sz w:val="32"/>
          <w:szCs w:val="32"/>
          <w:highlight w:val="none"/>
          <w:lang w:val="en-US" w:eastAsia="zh-CN"/>
        </w:rPr>
        <w:t>2022年全市以文辅政大比武通知</w:t>
      </w:r>
      <w:r>
        <w:rPr>
          <w:rFonts w:hint="eastAsia" w:ascii="仿宋_GB2312" w:eastAsia="仿宋_GB2312"/>
          <w:sz w:val="32"/>
          <w:szCs w:val="32"/>
          <w:highlight w:val="none"/>
          <w:lang w:eastAsia="zh-CN"/>
        </w:rPr>
        <w:t>》工作安排。</w:t>
      </w:r>
    </w:p>
    <w:p>
      <w:pPr>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该项目按市委办公室财务制度管理。主要用于</w:t>
      </w:r>
      <w:r>
        <w:rPr>
          <w:rFonts w:hint="eastAsia" w:ascii="仿宋_GB2312" w:hAnsi="仿宋" w:eastAsia="仿宋_GB2312"/>
          <w:color w:val="000000"/>
          <w:sz w:val="32"/>
          <w:szCs w:val="32"/>
          <w:highlight w:val="none"/>
          <w:lang w:eastAsia="zh-CN"/>
        </w:rPr>
        <w:t>“好文稿”、“好公文”、“好信息”和党内法规知识比赛</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highlight w:val="none"/>
          <w:lang w:eastAsia="zh-CN"/>
        </w:rPr>
        <w:t>费用</w:t>
      </w:r>
      <w:r>
        <w:rPr>
          <w:rFonts w:hint="eastAsia" w:ascii="仿宋_GB2312" w:hAnsi="仿宋" w:eastAsia="仿宋_GB2312"/>
          <w:color w:val="000000"/>
          <w:sz w:val="32"/>
          <w:szCs w:val="32"/>
          <w:highlight w:val="none"/>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color w:val="000000"/>
          <w:sz w:val="32"/>
          <w:szCs w:val="32"/>
          <w:highlight w:val="none"/>
        </w:rPr>
        <w:t>资金分配的原则及考虑因素</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w:t>
      </w:r>
      <w:r>
        <w:rPr>
          <w:rFonts w:hint="eastAsia" w:ascii="仿宋_GB2312" w:hAnsi="仿宋" w:eastAsia="仿宋_GB2312"/>
          <w:color w:val="000000"/>
          <w:sz w:val="32"/>
          <w:szCs w:val="32"/>
          <w:highlight w:val="none"/>
          <w:lang w:eastAsia="zh-CN"/>
        </w:rPr>
        <w:t>按照工作惯例和比赛方案</w:t>
      </w:r>
      <w:r>
        <w:rPr>
          <w:rFonts w:hint="eastAsia" w:ascii="仿宋_GB2312" w:hAnsi="仿宋" w:eastAsia="仿宋_GB2312"/>
          <w:color w:val="000000"/>
          <w:sz w:val="32"/>
          <w:szCs w:val="32"/>
          <w:highlight w:val="none"/>
        </w:rPr>
        <w:t>。</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rPr>
        <w:t>）项目绩效目标</w:t>
      </w:r>
    </w:p>
    <w:p>
      <w:pPr>
        <w:spacing w:line="580" w:lineRule="exact"/>
        <w:ind w:firstLine="64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spacing w:line="580" w:lineRule="exact"/>
        <w:ind w:firstLine="640"/>
        <w:rPr>
          <w:rFonts w:hint="eastAsia" w:ascii="仿宋_GB2312" w:hAnsi="仿宋" w:eastAsia="仿宋_GB2312"/>
          <w:color w:val="000000"/>
          <w:sz w:val="32"/>
          <w:szCs w:val="32"/>
          <w:highlight w:val="none"/>
          <w:lang w:eastAsia="zh-CN"/>
        </w:rPr>
      </w:pPr>
      <w:r>
        <w:rPr>
          <w:rFonts w:hint="eastAsia" w:ascii="仿宋_GB2312" w:hAnsi="仿宋" w:eastAsia="仿宋_GB2312"/>
          <w:color w:val="000000"/>
          <w:sz w:val="32"/>
          <w:szCs w:val="32"/>
          <w:highlight w:val="none"/>
          <w:lang w:eastAsia="zh-CN"/>
        </w:rPr>
        <w:t>通过好公文、好文稿、好信息大比武，切实发挥以文辅政作用。</w:t>
      </w:r>
    </w:p>
    <w:p>
      <w:pPr>
        <w:spacing w:line="580" w:lineRule="exact"/>
        <w:ind w:firstLine="64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eastAsia="zh-CN"/>
        </w:rPr>
        <w:t>举办全市以文辅政大比武，</w:t>
      </w:r>
      <w:r>
        <w:rPr>
          <w:rFonts w:hint="eastAsia" w:ascii="仿宋_GB2312" w:hAnsi="仿宋" w:eastAsia="仿宋_GB2312"/>
          <w:color w:val="000000"/>
          <w:sz w:val="32"/>
          <w:szCs w:val="32"/>
          <w:highlight w:val="none"/>
        </w:rPr>
        <w:t>预期指标值与实际完成指标相符。</w:t>
      </w:r>
    </w:p>
    <w:p>
      <w:pPr>
        <w:spacing w:line="580" w:lineRule="exact"/>
        <w:ind w:firstLine="640" w:firstLineChars="200"/>
        <w:rPr>
          <w:rFonts w:hint="eastAsia" w:ascii="仿宋_GB2312" w:hAnsi="仿宋" w:eastAsia="仿宋_GB2312"/>
          <w:color w:val="000000"/>
          <w:w w:val="100"/>
          <w:sz w:val="32"/>
          <w:szCs w:val="32"/>
          <w:highlight w:val="none"/>
        </w:rPr>
      </w:pPr>
      <w:r>
        <w:rPr>
          <w:rFonts w:hint="eastAsia" w:ascii="仿宋_GB2312" w:hAnsi="仿宋" w:eastAsia="仿宋_GB2312"/>
          <w:color w:val="000000"/>
          <w:w w:val="100"/>
          <w:sz w:val="32"/>
          <w:szCs w:val="32"/>
          <w:highlight w:val="none"/>
        </w:rPr>
        <w:t>3.分析评价申报内容是否与实际相符，申报目标是否合理可行</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80" w:lineRule="exact"/>
        <w:ind w:firstLine="320" w:firstLineChars="100"/>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（三）项目自评步骤及方法</w:t>
      </w:r>
    </w:p>
    <w:p>
      <w:pPr>
        <w:spacing w:line="580" w:lineRule="exact"/>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109" w:name="_Toc12523"/>
      <w:r>
        <w:rPr>
          <w:rFonts w:hint="eastAsia" w:ascii="黑体" w:hAnsi="黑体" w:eastAsia="黑体" w:cs="黑体"/>
          <w:b w:val="0"/>
          <w:bCs w:val="0"/>
          <w:color w:val="000000"/>
          <w:sz w:val="32"/>
          <w:szCs w:val="32"/>
          <w:highlight w:val="none"/>
        </w:rPr>
        <w:t>二、项目资金申报及使用情况</w:t>
      </w:r>
      <w:bookmarkEnd w:id="109"/>
    </w:p>
    <w:p>
      <w:pPr>
        <w:spacing w:line="580" w:lineRule="exact"/>
        <w:ind w:firstLine="320" w:firstLineChars="1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（一）项目资金申报及批复情况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年预算编制时申报“</w:t>
      </w:r>
      <w:r>
        <w:rPr>
          <w:rFonts w:hint="eastAsia" w:ascii="仿宋_GB2312" w:hAnsi="仿宋" w:eastAsia="仿宋_GB2312"/>
          <w:color w:val="000000"/>
          <w:sz w:val="32"/>
          <w:szCs w:val="32"/>
          <w:highlight w:val="none"/>
          <w:lang w:eastAsia="zh-CN"/>
        </w:rPr>
        <w:t>全市党办系统以文辅政大比武工作经费</w:t>
      </w:r>
      <w:r>
        <w:rPr>
          <w:rFonts w:hint="eastAsia" w:ascii="仿宋_GB2312" w:hAnsi="仿宋" w:eastAsia="仿宋_GB2312"/>
          <w:color w:val="000000"/>
          <w:sz w:val="32"/>
          <w:szCs w:val="32"/>
          <w:highlight w:val="none"/>
        </w:rPr>
        <w:t>”项目，财政于202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日下达项目经费</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万元。</w:t>
      </w:r>
    </w:p>
    <w:p>
      <w:pPr>
        <w:spacing w:line="580" w:lineRule="exact"/>
        <w:ind w:firstLine="320" w:firstLineChars="1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（二）资金计划、到位及使用情况</w:t>
      </w:r>
    </w:p>
    <w:p>
      <w:pPr>
        <w:spacing w:line="580" w:lineRule="exact"/>
        <w:ind w:firstLine="320" w:firstLineChars="1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1.资金计划。市本级财政资金安排项目经费</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0万元。</w:t>
      </w:r>
    </w:p>
    <w:p>
      <w:pPr>
        <w:spacing w:line="580" w:lineRule="exact"/>
        <w:ind w:firstLine="320" w:firstLineChars="1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月全部下达到位。</w:t>
      </w:r>
    </w:p>
    <w:p>
      <w:pPr>
        <w:spacing w:line="580" w:lineRule="exact"/>
        <w:ind w:firstLine="320" w:firstLineChars="1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w:t>
      </w:r>
      <w:r>
        <w:rPr>
          <w:rFonts w:hint="eastAsia" w:ascii="仿宋_GB2312" w:hAnsi="仿宋" w:eastAsia="仿宋_GB2312"/>
          <w:color w:val="000000"/>
          <w:sz w:val="32"/>
          <w:szCs w:val="32"/>
          <w:highlight w:val="none"/>
          <w:lang w:val="en-US" w:eastAsia="zh-CN"/>
        </w:rPr>
        <w:t>3.13</w:t>
      </w:r>
      <w:r>
        <w:rPr>
          <w:rFonts w:hint="eastAsia" w:ascii="仿宋_GB2312" w:hAnsi="仿宋" w:eastAsia="仿宋_GB2312"/>
          <w:color w:val="000000"/>
          <w:sz w:val="32"/>
          <w:szCs w:val="32"/>
          <w:highlight w:val="none"/>
        </w:rPr>
        <w:t>万元。主要用于</w:t>
      </w:r>
      <w:r>
        <w:rPr>
          <w:rFonts w:hint="eastAsia" w:ascii="仿宋_GB2312" w:hAnsi="仿宋" w:eastAsia="仿宋_GB2312"/>
          <w:color w:val="000000"/>
          <w:sz w:val="32"/>
          <w:szCs w:val="32"/>
          <w:highlight w:val="none"/>
          <w:lang w:eastAsia="zh-CN"/>
        </w:rPr>
        <w:t>大比武试题</w:t>
      </w:r>
      <w:r>
        <w:rPr>
          <w:rFonts w:hint="eastAsia" w:ascii="仿宋_GB2312" w:hAnsi="仿宋" w:eastAsia="仿宋_GB2312"/>
          <w:color w:val="000000"/>
          <w:sz w:val="32"/>
          <w:szCs w:val="32"/>
          <w:highlight w:val="none"/>
        </w:rPr>
        <w:t>打印</w:t>
      </w:r>
      <w:r>
        <w:rPr>
          <w:rFonts w:hint="eastAsia" w:ascii="仿宋_GB2312" w:hAnsi="仿宋" w:eastAsia="仿宋_GB2312"/>
          <w:color w:val="000000"/>
          <w:sz w:val="32"/>
          <w:szCs w:val="32"/>
          <w:highlight w:val="none"/>
          <w:lang w:eastAsia="zh-CN"/>
        </w:rPr>
        <w:t>，先进人员奖金及评审人员工作人员劳务费</w:t>
      </w:r>
      <w:r>
        <w:rPr>
          <w:rFonts w:hint="eastAsia" w:ascii="仿宋_GB2312" w:hAnsi="仿宋" w:eastAsia="仿宋_GB2312"/>
          <w:color w:val="000000"/>
          <w:sz w:val="32"/>
          <w:szCs w:val="32"/>
          <w:highlight w:val="none"/>
        </w:rPr>
        <w:t>等。支付标准、支付进度、支付依据等合规合法，与预算相符。</w:t>
      </w:r>
    </w:p>
    <w:p>
      <w:pPr>
        <w:spacing w:line="580" w:lineRule="exact"/>
        <w:ind w:firstLine="320" w:firstLineChars="1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（三）项目财务管理情况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110" w:name="_Toc18029"/>
      <w:r>
        <w:rPr>
          <w:rFonts w:hint="eastAsia" w:ascii="黑体" w:hAnsi="黑体" w:eastAsia="黑体" w:cs="黑体"/>
          <w:b w:val="0"/>
          <w:bCs w:val="0"/>
          <w:color w:val="000000"/>
          <w:sz w:val="32"/>
          <w:szCs w:val="32"/>
          <w:highlight w:val="none"/>
        </w:rPr>
        <w:t>三、项目实施及管理情况</w:t>
      </w:r>
      <w:bookmarkEnd w:id="110"/>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（一）项目组织架构及实施流程</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科室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80" w:lineRule="exact"/>
        <w:ind w:firstLine="64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（二）项目管理情况</w:t>
      </w:r>
    </w:p>
    <w:p>
      <w:pPr>
        <w:spacing w:line="580" w:lineRule="exact"/>
        <w:ind w:firstLine="640"/>
        <w:rPr>
          <w:rStyle w:val="41"/>
          <w:rFonts w:hint="eastAsia" w:ascii="仿宋_GB2312" w:hAnsi="黑体" w:eastAsia="仿宋_GB2312"/>
          <w:b w:val="0"/>
          <w:sz w:val="32"/>
          <w:szCs w:val="32"/>
          <w:highlight w:val="none"/>
        </w:rPr>
      </w:pPr>
      <w:bookmarkStart w:id="111" w:name="_Toc3255"/>
      <w:r>
        <w:rPr>
          <w:rStyle w:val="41"/>
          <w:rFonts w:hint="eastAsia" w:ascii="仿宋_GB2312" w:hAnsi="黑体" w:eastAsia="仿宋_GB2312"/>
          <w:b w:val="0"/>
          <w:sz w:val="32"/>
          <w:szCs w:val="32"/>
          <w:highlight w:val="none"/>
        </w:rPr>
        <w:t>本项目由使用预算资金的科室负责，其他科室积极配合，由单位领导负责协调相关工作，由财务科负责项目资金使用的合理性、规范性。</w:t>
      </w:r>
    </w:p>
    <w:bookmarkEnd w:id="111"/>
    <w:p>
      <w:pPr>
        <w:widowControl/>
        <w:ind w:firstLine="640"/>
        <w:jc w:val="left"/>
        <w:rPr>
          <w:rStyle w:val="41"/>
          <w:rFonts w:hint="eastAsia" w:ascii="楷体_GB2312" w:hAnsi="楷体_GB2312" w:eastAsia="楷体_GB2312" w:cs="楷体_GB2312"/>
          <w:b w:val="0"/>
          <w:sz w:val="32"/>
          <w:szCs w:val="32"/>
          <w:highlight w:val="none"/>
        </w:rPr>
      </w:pPr>
      <w:bookmarkStart w:id="112" w:name="_Toc23959"/>
      <w:r>
        <w:rPr>
          <w:rStyle w:val="41"/>
          <w:rFonts w:hint="eastAsia" w:ascii="楷体_GB2312" w:hAnsi="楷体_GB2312" w:eastAsia="楷体_GB2312" w:cs="楷体_GB2312"/>
          <w:b w:val="0"/>
          <w:sz w:val="32"/>
          <w:szCs w:val="32"/>
          <w:highlight w:val="none"/>
        </w:rPr>
        <w:t>（三）项目监管情况</w:t>
      </w:r>
    </w:p>
    <w:bookmarkEnd w:id="112"/>
    <w:p>
      <w:pPr>
        <w:widowControl/>
        <w:ind w:firstLine="640"/>
        <w:jc w:val="left"/>
        <w:rPr>
          <w:rStyle w:val="41"/>
          <w:rFonts w:hint="eastAsia" w:ascii="仿宋_GB2312" w:hAnsi="黑体" w:eastAsia="仿宋_GB2312"/>
          <w:b w:val="0"/>
          <w:sz w:val="32"/>
          <w:szCs w:val="32"/>
          <w:highlight w:val="none"/>
        </w:rPr>
      </w:pPr>
      <w:bookmarkStart w:id="113" w:name="_Toc5929"/>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113"/>
    <w:p>
      <w:pPr>
        <w:widowControl/>
        <w:ind w:firstLine="640" w:firstLineChars="200"/>
        <w:jc w:val="left"/>
        <w:outlineLvl w:val="1"/>
        <w:rPr>
          <w:rStyle w:val="41"/>
          <w:rFonts w:hint="eastAsia" w:ascii="黑体" w:hAnsi="黑体" w:eastAsia="黑体" w:cs="黑体"/>
          <w:b w:val="0"/>
          <w:bCs w:val="0"/>
          <w:sz w:val="32"/>
          <w:szCs w:val="32"/>
          <w:highlight w:val="none"/>
        </w:rPr>
      </w:pPr>
      <w:bookmarkStart w:id="114" w:name="_Toc24459"/>
      <w:r>
        <w:rPr>
          <w:rStyle w:val="41"/>
          <w:rFonts w:hint="eastAsia" w:ascii="黑体" w:hAnsi="黑体" w:eastAsia="黑体" w:cs="黑体"/>
          <w:b w:val="0"/>
          <w:bCs w:val="0"/>
          <w:sz w:val="32"/>
          <w:szCs w:val="32"/>
          <w:highlight w:val="none"/>
        </w:rPr>
        <w:t>四、项目绩效情况</w:t>
      </w:r>
      <w:bookmarkEnd w:id="114"/>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15" w:name="_Toc31246"/>
      <w:r>
        <w:rPr>
          <w:rStyle w:val="41"/>
          <w:rFonts w:hint="eastAsia" w:ascii="楷体_GB2312" w:hAnsi="楷体_GB2312" w:eastAsia="楷体_GB2312" w:cs="楷体_GB2312"/>
          <w:b w:val="0"/>
          <w:sz w:val="32"/>
          <w:szCs w:val="32"/>
          <w:highlight w:val="none"/>
        </w:rPr>
        <w:t>（一）项目完成情况</w:t>
      </w:r>
    </w:p>
    <w:bookmarkEnd w:id="115"/>
    <w:p>
      <w:pPr>
        <w:spacing w:line="580" w:lineRule="exact"/>
        <w:ind w:firstLine="640" w:firstLineChars="200"/>
        <w:rPr>
          <w:rFonts w:hint="eastAsia" w:ascii="仿宋_GB2312" w:hAnsi="仿宋" w:eastAsia="仿宋_GB2312"/>
          <w:color w:val="000000"/>
          <w:sz w:val="32"/>
          <w:szCs w:val="32"/>
          <w:highlight w:val="none"/>
          <w:lang w:eastAsia="zh-CN"/>
        </w:rPr>
      </w:pPr>
      <w:r>
        <w:rPr>
          <w:rFonts w:hint="eastAsia" w:ascii="仿宋_GB2312" w:hAnsi="仿宋" w:eastAsia="仿宋_GB2312"/>
          <w:color w:val="000000"/>
          <w:sz w:val="32"/>
          <w:szCs w:val="32"/>
          <w:highlight w:val="none"/>
        </w:rPr>
        <w:t>通过</w:t>
      </w:r>
      <w:r>
        <w:rPr>
          <w:rStyle w:val="41"/>
          <w:rFonts w:hint="eastAsia" w:ascii="仿宋_GB2312" w:hAnsi="黑体" w:eastAsia="仿宋_GB2312"/>
          <w:b w:val="0"/>
          <w:sz w:val="32"/>
          <w:szCs w:val="32"/>
          <w:highlight w:val="none"/>
        </w:rPr>
        <w:t>全市</w:t>
      </w:r>
      <w:r>
        <w:rPr>
          <w:rFonts w:hint="eastAsia" w:ascii="仿宋_GB2312" w:hAnsi="仿宋" w:eastAsia="仿宋_GB2312"/>
          <w:color w:val="000000"/>
          <w:sz w:val="32"/>
          <w:szCs w:val="32"/>
          <w:highlight w:val="none"/>
          <w:lang w:eastAsia="zh-CN"/>
        </w:rPr>
        <w:t>党办系统以文辅政大比武，进一步提升全市好公文、好文稿、好信息工作水平，并首次开展党内法规知识竞赛。</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16" w:name="_Toc5822"/>
      <w:r>
        <w:rPr>
          <w:rStyle w:val="41"/>
          <w:rFonts w:hint="eastAsia" w:ascii="楷体_GB2312" w:hAnsi="楷体_GB2312" w:eastAsia="楷体_GB2312" w:cs="楷体_GB2312"/>
          <w:b w:val="0"/>
          <w:sz w:val="32"/>
          <w:szCs w:val="32"/>
          <w:highlight w:val="none"/>
        </w:rPr>
        <w:t>（二）项目效益情况</w:t>
      </w:r>
    </w:p>
    <w:bookmarkEnd w:id="116"/>
    <w:p>
      <w:pPr>
        <w:widowControl/>
        <w:ind w:firstLine="640" w:firstLineChars="200"/>
        <w:jc w:val="left"/>
        <w:rPr>
          <w:rStyle w:val="41"/>
          <w:rFonts w:hint="eastAsia" w:ascii="仿宋_GB2312" w:hAnsi="黑体" w:eastAsia="仿宋_GB2312"/>
          <w:b w:val="0"/>
          <w:sz w:val="32"/>
          <w:szCs w:val="32"/>
          <w:highlight w:val="none"/>
        </w:rPr>
      </w:pPr>
      <w:bookmarkStart w:id="117" w:name="_Toc26230"/>
      <w:r>
        <w:rPr>
          <w:rStyle w:val="41"/>
          <w:rFonts w:hint="eastAsia" w:ascii="仿宋_GB2312" w:hAnsi="黑体" w:eastAsia="仿宋_GB2312"/>
          <w:b w:val="0"/>
          <w:sz w:val="32"/>
          <w:szCs w:val="32"/>
          <w:highlight w:val="none"/>
        </w:rPr>
        <w:t>高质量、高标准、高效率完成202</w:t>
      </w:r>
      <w:r>
        <w:rPr>
          <w:rStyle w:val="41"/>
          <w:rFonts w:hint="eastAsia" w:ascii="仿宋_GB2312" w:hAnsi="黑体" w:eastAsia="仿宋_GB2312"/>
          <w:b w:val="0"/>
          <w:sz w:val="32"/>
          <w:szCs w:val="32"/>
          <w:highlight w:val="none"/>
          <w:lang w:val="en-US"/>
        </w:rPr>
        <w:t>2</w:t>
      </w:r>
      <w:r>
        <w:rPr>
          <w:rStyle w:val="41"/>
          <w:rFonts w:hint="eastAsia" w:ascii="仿宋_GB2312" w:hAnsi="黑体" w:eastAsia="仿宋_GB2312"/>
          <w:b w:val="0"/>
          <w:sz w:val="32"/>
          <w:szCs w:val="32"/>
          <w:highlight w:val="none"/>
        </w:rPr>
        <w:t>年全市</w:t>
      </w:r>
      <w:bookmarkEnd w:id="117"/>
      <w:r>
        <w:rPr>
          <w:rFonts w:hint="eastAsia" w:ascii="仿宋_GB2312" w:hAnsi="仿宋" w:eastAsia="仿宋_GB2312"/>
          <w:color w:val="000000"/>
          <w:sz w:val="32"/>
          <w:szCs w:val="32"/>
          <w:highlight w:val="none"/>
          <w:lang w:eastAsia="zh-CN"/>
        </w:rPr>
        <w:t>党办系统以文辅政大比武工作，为提升“三服务”水平和全市党办系统工作人员的业务本领发挥了积极作用</w:t>
      </w:r>
      <w:r>
        <w:rPr>
          <w:rStyle w:val="41"/>
          <w:rFonts w:hint="eastAsia" w:ascii="仿宋_GB2312" w:hAnsi="黑体" w:eastAsia="仿宋_GB2312"/>
          <w:b w:val="0"/>
          <w:sz w:val="32"/>
          <w:szCs w:val="32"/>
          <w:highlight w:val="none"/>
        </w:rPr>
        <w:t>。</w:t>
      </w:r>
    </w:p>
    <w:p>
      <w:pPr>
        <w:widowControl/>
        <w:ind w:firstLine="640" w:firstLineChars="200"/>
        <w:jc w:val="left"/>
        <w:outlineLvl w:val="1"/>
        <w:rPr>
          <w:rStyle w:val="41"/>
          <w:rFonts w:hint="eastAsia" w:ascii="黑体" w:hAnsi="黑体" w:eastAsia="黑体" w:cs="黑体"/>
          <w:b w:val="0"/>
          <w:bCs w:val="0"/>
          <w:sz w:val="32"/>
          <w:szCs w:val="32"/>
          <w:highlight w:val="none"/>
        </w:rPr>
      </w:pPr>
      <w:bookmarkStart w:id="118" w:name="_Toc1701"/>
      <w:r>
        <w:rPr>
          <w:rStyle w:val="41"/>
          <w:rFonts w:hint="eastAsia" w:ascii="黑体" w:hAnsi="黑体" w:eastAsia="黑体" w:cs="黑体"/>
          <w:b w:val="0"/>
          <w:bCs w:val="0"/>
          <w:sz w:val="32"/>
          <w:szCs w:val="32"/>
          <w:highlight w:val="none"/>
        </w:rPr>
        <w:t>五、评价结论及建议</w:t>
      </w:r>
      <w:bookmarkEnd w:id="118"/>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19" w:name="_Toc32337"/>
      <w:r>
        <w:rPr>
          <w:rStyle w:val="41"/>
          <w:rFonts w:hint="eastAsia" w:ascii="楷体_GB2312" w:hAnsi="楷体_GB2312" w:eastAsia="楷体_GB2312" w:cs="楷体_GB2312"/>
          <w:b w:val="0"/>
          <w:sz w:val="32"/>
          <w:szCs w:val="32"/>
          <w:highlight w:val="none"/>
        </w:rPr>
        <w:t>（一）评价结论</w:t>
      </w:r>
    </w:p>
    <w:bookmarkEnd w:id="119"/>
    <w:p>
      <w:pPr>
        <w:widowControl/>
        <w:ind w:firstLine="640" w:firstLineChars="200"/>
        <w:jc w:val="left"/>
        <w:rPr>
          <w:rStyle w:val="41"/>
          <w:rFonts w:hint="eastAsia" w:ascii="楷体_GB2312" w:hAnsi="楷体_GB2312" w:eastAsia="楷体_GB2312" w:cs="楷体_GB2312"/>
          <w:b w:val="0"/>
          <w:sz w:val="32"/>
          <w:szCs w:val="32"/>
          <w:highlight w:val="none"/>
          <w:lang w:val="en-US"/>
        </w:rPr>
      </w:pPr>
      <w:r>
        <w:rPr>
          <w:rFonts w:hint="eastAsia" w:ascii="仿宋_GB2312" w:hAnsi="仿宋" w:eastAsia="仿宋_GB2312"/>
          <w:color w:val="000000"/>
          <w:sz w:val="32"/>
          <w:szCs w:val="32"/>
          <w:highlight w:val="none"/>
          <w:lang w:eastAsia="zh-CN"/>
        </w:rPr>
        <w:t>全市党办系统以文辅政大比武工作经费</w:t>
      </w:r>
      <w:r>
        <w:rPr>
          <w:rStyle w:val="41"/>
          <w:rFonts w:hint="eastAsia" w:ascii="仿宋_GB2312" w:hAnsi="黑体" w:eastAsia="仿宋_GB2312"/>
          <w:b w:val="0"/>
          <w:sz w:val="32"/>
          <w:szCs w:val="32"/>
          <w:highlight w:val="none"/>
        </w:rPr>
        <w:t>项目绩效编制合理，财务管理规范化，内控制度健全，财政资金使用符合要求，预算执行收支平衡，财政支出绩效评价较好。</w:t>
      </w:r>
      <w:r>
        <w:rPr>
          <w:rFonts w:hint="eastAsia" w:ascii="仿宋_GB2312" w:hAnsi="仿宋" w:eastAsia="仿宋_GB2312"/>
          <w:color w:val="000000"/>
          <w:sz w:val="32"/>
          <w:szCs w:val="32"/>
          <w:highlight w:val="none"/>
          <w:lang w:eastAsia="zh-CN"/>
        </w:rPr>
        <w:t>全市党办系统以文辅政大比武工作经费</w:t>
      </w:r>
      <w:r>
        <w:rPr>
          <w:rFonts w:hint="eastAsia" w:ascii="仿宋_GB2312" w:hAnsi="仿宋_GB2312" w:eastAsia="仿宋_GB2312" w:cs="仿宋_GB2312"/>
          <w:sz w:val="32"/>
          <w:szCs w:val="32"/>
          <w:highlight w:val="none"/>
          <w:lang w:val="en-US" w:eastAsia="zh-CN"/>
        </w:rPr>
        <w:t>项目支出绩效</w:t>
      </w:r>
      <w:r>
        <w:rPr>
          <w:rFonts w:hint="eastAsia" w:ascii="仿宋_GB2312" w:hAnsi="仿宋_GB2312" w:eastAsia="仿宋_GB2312" w:cs="仿宋_GB2312"/>
          <w:sz w:val="32"/>
          <w:szCs w:val="32"/>
          <w:highlight w:val="none"/>
          <w:lang w:eastAsia="zh-CN"/>
        </w:rPr>
        <w:t>自评得分</w:t>
      </w:r>
      <w:r>
        <w:rPr>
          <w:rFonts w:hint="eastAsia" w:ascii="仿宋_GB2312" w:hAnsi="仿宋_GB2312" w:eastAsia="仿宋_GB2312" w:cs="仿宋_GB2312"/>
          <w:sz w:val="32"/>
          <w:szCs w:val="32"/>
          <w:highlight w:val="none"/>
          <w:lang w:val="en-US" w:eastAsia="zh-CN"/>
        </w:rPr>
        <w:t>99分。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jc w:val="left"/>
        <w:textAlignment w:val="auto"/>
        <w:outlineLvl w:val="9"/>
        <w:rPr>
          <w:rStyle w:val="41"/>
          <w:rFonts w:hint="eastAsia" w:ascii="楷体_GB2312" w:hAnsi="楷体_GB2312" w:eastAsia="楷体_GB2312" w:cs="楷体_GB2312"/>
          <w:b w:val="0"/>
          <w:sz w:val="32"/>
          <w:szCs w:val="32"/>
          <w:highlight w:val="none"/>
        </w:rPr>
      </w:pPr>
      <w:bookmarkStart w:id="120" w:name="_Toc20374"/>
      <w:r>
        <w:rPr>
          <w:rStyle w:val="41"/>
          <w:rFonts w:hint="eastAsia" w:ascii="楷体_GB2312" w:hAnsi="楷体_GB2312" w:eastAsia="楷体_GB2312" w:cs="楷体_GB2312"/>
          <w:b w:val="0"/>
          <w:sz w:val="32"/>
          <w:szCs w:val="32"/>
          <w:highlight w:val="none"/>
        </w:rPr>
        <w:t>（二）存在问题</w:t>
      </w:r>
    </w:p>
    <w:bookmarkEnd w:id="120"/>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因疫情原因，部分比赛项目推迟到2023年初完成。</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Style w:val="41"/>
          <w:rFonts w:hint="eastAsia" w:ascii="楷体_GB2312" w:hAnsi="楷体_GB2312" w:eastAsia="楷体_GB2312" w:cs="楷体_GB2312"/>
          <w:b w:val="0"/>
          <w:sz w:val="32"/>
          <w:szCs w:val="32"/>
          <w:highlight w:val="none"/>
        </w:rPr>
      </w:pPr>
      <w:bookmarkStart w:id="121" w:name="_Toc5368"/>
      <w:r>
        <w:rPr>
          <w:rStyle w:val="41"/>
          <w:rFonts w:hint="eastAsia" w:ascii="楷体_GB2312" w:hAnsi="楷体_GB2312" w:eastAsia="楷体_GB2312" w:cs="楷体_GB2312"/>
          <w:b w:val="0"/>
          <w:sz w:val="32"/>
          <w:szCs w:val="32"/>
          <w:highlight w:val="none"/>
        </w:rPr>
        <w:t>（三）相关建议</w:t>
      </w:r>
    </w:p>
    <w:bookmarkEnd w:id="121"/>
    <w:p>
      <w:pPr>
        <w:widowControl/>
        <w:ind w:firstLine="640" w:firstLineChars="200"/>
        <w:jc w:val="left"/>
        <w:rPr>
          <w:rStyle w:val="41"/>
          <w:rFonts w:hint="eastAsia" w:ascii="仿宋_GB2312" w:hAnsi="黑体" w:eastAsia="仿宋_GB2312"/>
          <w:b w:val="0"/>
          <w:sz w:val="32"/>
          <w:szCs w:val="32"/>
          <w:highlight w:val="yellow"/>
        </w:rPr>
      </w:pPr>
      <w:bookmarkStart w:id="122" w:name="_Toc12847"/>
      <w:r>
        <w:rPr>
          <w:rStyle w:val="41"/>
          <w:rFonts w:hint="eastAsia" w:ascii="仿宋_GB2312" w:hAnsi="黑体" w:eastAsia="仿宋_GB2312"/>
          <w:b w:val="0"/>
          <w:sz w:val="32"/>
          <w:szCs w:val="32"/>
          <w:highlight w:val="none"/>
          <w:lang w:val="en-US"/>
        </w:rPr>
        <w:t>提前合理安排时间，确保项目按时完成。</w:t>
      </w:r>
    </w:p>
    <w:bookmarkEnd w:id="122"/>
    <w:p>
      <w:pPr>
        <w:widowControl/>
        <w:jc w:val="left"/>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附表：</w:t>
      </w:r>
    </w:p>
    <w:tbl>
      <w:tblPr>
        <w:tblW w:w="98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50"/>
        <w:gridCol w:w="960"/>
        <w:gridCol w:w="930"/>
        <w:gridCol w:w="870"/>
        <w:gridCol w:w="615"/>
        <w:gridCol w:w="675"/>
        <w:gridCol w:w="615"/>
        <w:gridCol w:w="765"/>
        <w:gridCol w:w="600"/>
        <w:gridCol w:w="855"/>
        <w:gridCol w:w="915"/>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981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全市党办系统以文辅政大比武工作经费支出绩效目标自评表（2022年度）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810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全市党办系统以文辅政大比武工作经费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70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63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70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439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70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负责开展全市“以文辅政”大比武工作，进一步提升全市好公文、好文稿、好信息、好调研水平。</w:t>
            </w:r>
          </w:p>
        </w:tc>
        <w:tc>
          <w:tcPr>
            <w:tcW w:w="439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负责开展全市“以文辅政”大比武工作，进一步提升全市好公文、好文稿、好信息、好调研水平。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810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负责开展全市“以文辅政”大比武工作，进一步提升全市好公文、好文稿、好信息、好调研水平。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90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90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本着厉行节约的原则举办活动。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90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0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0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93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7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905"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9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87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1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6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61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6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60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85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91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26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参加比赛的人数</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＞300人</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nil"/>
              <w:right w:val="nil"/>
            </w:tcBorders>
            <w:shd w:val="clear"/>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提升全市党办系统以文辅政质效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nil"/>
              <w:right w:val="nil"/>
            </w:tcBorders>
            <w:shd w:val="clear"/>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87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项目完成率</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61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6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1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本着厉行节约的原则举办活动。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nil"/>
              <w:right w:val="nil"/>
            </w:tcBorders>
            <w:shd w:val="clear"/>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先进奖金、试卷出题费、印刷费及评审人员工作人员劳务费</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3.13万元</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本着厉行节约的原则举办活动。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进一步提升全市好文稿、好信息、好公文、好调研</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nil"/>
              <w:right w:val="nil"/>
            </w:tcBorders>
            <w:shd w:val="clear"/>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通过大比武切实发挥资政辅政作用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93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党委系统对大比武满意度</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67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1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15" w:type="dxa"/>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8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9060"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全市党办系统以文辅政大比武工作经费项目绩效编制合理，财务管理规范化，内控制度健全，财政资金使用符合要求，预算执行收支平衡，财政支出绩效评价较好。全市党办系统以文辅政大比武工作经费项目支出绩效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906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906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9060"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pStyle w:val="24"/>
        <w:ind w:left="0" w:leftChars="0" w:firstLine="0" w:firstLineChars="0"/>
        <w:rPr>
          <w:rFonts w:hint="default" w:eastAsia="宋体"/>
          <w:lang w:val="en-US" w:eastAsia="zh-CN"/>
        </w:rPr>
      </w:pPr>
    </w:p>
    <w:p>
      <w:pPr>
        <w:rPr>
          <w:rFonts w:hint="eastAsia"/>
        </w:rPr>
      </w:pPr>
    </w:p>
    <w:p>
      <w:pPr>
        <w:pStyle w:val="2"/>
        <w:rPr>
          <w:rFonts w:hint="eastAsia"/>
        </w:rPr>
      </w:pPr>
    </w:p>
    <w:p>
      <w:pPr>
        <w:pStyle w:val="2"/>
        <w:rPr>
          <w:rFonts w:hint="eastAsia"/>
        </w:rPr>
      </w:pPr>
    </w:p>
    <w:p>
      <w:pPr>
        <w:pStyle w:val="2"/>
        <w:rPr>
          <w:rFonts w:hint="eastAsia"/>
        </w:rPr>
      </w:pPr>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bookmarkStart w:id="123" w:name="_Toc1960"/>
      <w:r>
        <w:rPr>
          <w:rFonts w:hint="eastAsia" w:ascii="方正小标宋简体" w:hAnsi="方正小标宋简体" w:eastAsia="方正小标宋简体" w:cs="方正小标宋简体"/>
          <w:b w:val="0"/>
          <w:bCs/>
          <w:color w:val="000000"/>
          <w:sz w:val="36"/>
          <w:szCs w:val="36"/>
          <w:highlight w:val="none"/>
        </w:rPr>
        <w:t>市委、市委办会议补助经费项目支出绩效自评报告</w:t>
      </w:r>
      <w:bookmarkEnd w:id="123"/>
    </w:p>
    <w:p>
      <w:pPr>
        <w:pStyle w:val="40"/>
        <w:rPr>
          <w:rFonts w:hint="eastAsia"/>
          <w:highlight w:val="none"/>
        </w:rPr>
      </w:pPr>
    </w:p>
    <w:p>
      <w:pPr>
        <w:numPr>
          <w:ilvl w:val="0"/>
          <w:numId w:val="0"/>
        </w:numPr>
        <w:spacing w:line="576" w:lineRule="exact"/>
        <w:ind w:firstLine="640" w:firstLineChars="200"/>
        <w:outlineLvl w:val="1"/>
        <w:rPr>
          <w:rFonts w:hint="eastAsia" w:ascii="黑体" w:hAnsi="宋体" w:eastAsia="黑体"/>
          <w:bCs/>
          <w:kern w:val="0"/>
          <w:sz w:val="32"/>
          <w:szCs w:val="32"/>
          <w:highlight w:val="none"/>
        </w:rPr>
      </w:pPr>
      <w:bookmarkStart w:id="124" w:name="_Toc24659"/>
      <w:r>
        <w:rPr>
          <w:rFonts w:hint="eastAsia" w:ascii="黑体" w:hAnsi="宋体" w:eastAsia="黑体"/>
          <w:bCs/>
          <w:kern w:val="0"/>
          <w:sz w:val="32"/>
          <w:szCs w:val="32"/>
          <w:highlight w:val="none"/>
        </w:rPr>
        <w:t>一、项目概况</w:t>
      </w:r>
      <w:bookmarkEnd w:id="124"/>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(一)项目基本情况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按照市委办公室职责职能，市委、市委办会议补助经费项目执行科室是市委办公室</w:t>
      </w:r>
      <w:r>
        <w:rPr>
          <w:rFonts w:hint="eastAsia" w:ascii="仿宋_GB2312" w:hAnsi="仿宋" w:eastAsia="仿宋_GB2312"/>
          <w:color w:val="000000"/>
          <w:sz w:val="32"/>
          <w:szCs w:val="32"/>
          <w:highlight w:val="none"/>
          <w:lang w:eastAsia="zh-CN"/>
        </w:rPr>
        <w:t>常委办、会议和督查科、秘书一科、信息科等</w:t>
      </w:r>
      <w:r>
        <w:rPr>
          <w:rFonts w:hint="eastAsia" w:ascii="仿宋_GB2312" w:hAnsi="仿宋" w:eastAsia="仿宋_GB2312"/>
          <w:color w:val="000000"/>
          <w:sz w:val="32"/>
          <w:szCs w:val="32"/>
          <w:highlight w:val="none"/>
        </w:rPr>
        <w:t>。其职能：负责市委全委会、市委经济工作会、市委主要领导出席的会议以及以市委名义召开的其他各类会议；负责市委办公室机关会议室统筹安排及会务人员管理工作等等</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rPr>
          <w:rFonts w:hint="eastAsia" w:ascii="仿宋_GB2312" w:hAnsi="宋体" w:eastAsia="仿宋_GB2312" w:cs="宋体"/>
          <w:sz w:val="32"/>
          <w:szCs w:val="32"/>
          <w:highlight w:val="none"/>
        </w:rPr>
      </w:pPr>
      <w:r>
        <w:rPr>
          <w:rFonts w:hint="eastAsia" w:ascii="仿宋_GB2312" w:eastAsia="仿宋_GB2312"/>
          <w:sz w:val="32"/>
          <w:szCs w:val="32"/>
          <w:highlight w:val="none"/>
        </w:rPr>
        <w:t>《市委办公室各内设机构工作职责》</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该项目按市委办公室财务制度管理。主要用于会议有关的伙食费、住宿、会场租金、租车、文件印制等补助费用。</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color w:val="000000"/>
          <w:sz w:val="32"/>
          <w:szCs w:val="32"/>
          <w:highlight w:val="none"/>
        </w:rPr>
        <w:t>资金分配的原则及考虑因素</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按照预算管理办法及市委办财务制度，结合实际工作情况分配市委、市委办会议补助经费。</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（二）项目绩效目标</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常委办承办的</w:t>
      </w:r>
      <w:r>
        <w:rPr>
          <w:rFonts w:hint="eastAsia" w:ascii="仿宋_GB2312" w:hAnsi="仿宋" w:eastAsia="仿宋_GB2312"/>
          <w:color w:val="000000"/>
          <w:sz w:val="32"/>
          <w:szCs w:val="32"/>
          <w:highlight w:val="none"/>
          <w:lang w:eastAsia="zh-CN"/>
        </w:rPr>
        <w:t>中共广元市代表会议</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市委八届五次全会、</w:t>
      </w:r>
      <w:r>
        <w:rPr>
          <w:rFonts w:hint="eastAsia" w:ascii="仿宋_GB2312" w:hAnsi="仿宋" w:eastAsia="仿宋_GB2312"/>
          <w:color w:val="000000"/>
          <w:sz w:val="32"/>
          <w:szCs w:val="32"/>
          <w:highlight w:val="none"/>
        </w:rPr>
        <w:t>市委常委扩大会、常委会及全市性会议；信息科承办全市党委信息工作会、党委信息推动会、全市党委公开会；秘书一科承办全市公文处理及《中办通讯》座谈会、全市党办办公室主任会议。</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常委办承办的市委全委会、市委常委扩大会、常委会及全市性会议7</w:t>
      </w:r>
      <w:r>
        <w:rPr>
          <w:rFonts w:hint="eastAsia" w:ascii="仿宋_GB2312" w:hAnsi="仿宋" w:eastAsia="仿宋_GB2312"/>
          <w:color w:val="000000"/>
          <w:sz w:val="32"/>
          <w:szCs w:val="32"/>
          <w:highlight w:val="none"/>
          <w:lang w:val="en-US" w:eastAsia="zh-CN"/>
        </w:rPr>
        <w:t>0余</w:t>
      </w:r>
      <w:r>
        <w:rPr>
          <w:rFonts w:hint="eastAsia" w:ascii="仿宋_GB2312" w:hAnsi="仿宋" w:eastAsia="仿宋_GB2312"/>
          <w:color w:val="000000"/>
          <w:sz w:val="32"/>
          <w:szCs w:val="32"/>
          <w:highlight w:val="none"/>
        </w:rPr>
        <w:t>次；秘书一科承办全市公文处理及《中办通讯》座谈会、全市党办办公室主任会议2次，预期指标值与实际完成指标相符。</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（三）项目自评步骤及方法</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numPr>
          <w:ilvl w:val="0"/>
          <w:numId w:val="0"/>
        </w:numPr>
        <w:spacing w:line="576" w:lineRule="exact"/>
        <w:ind w:firstLine="640" w:firstLineChars="200"/>
        <w:outlineLvl w:val="1"/>
        <w:rPr>
          <w:rFonts w:hint="eastAsia" w:ascii="黑体" w:hAnsi="宋体" w:eastAsia="黑体"/>
          <w:bCs/>
          <w:kern w:val="0"/>
          <w:sz w:val="32"/>
          <w:szCs w:val="32"/>
          <w:highlight w:val="none"/>
        </w:rPr>
      </w:pPr>
      <w:bookmarkStart w:id="125" w:name="_Toc27067"/>
      <w:r>
        <w:rPr>
          <w:rFonts w:hint="eastAsia" w:ascii="黑体" w:hAnsi="宋体" w:eastAsia="黑体"/>
          <w:bCs/>
          <w:kern w:val="0"/>
          <w:sz w:val="32"/>
          <w:szCs w:val="32"/>
          <w:highlight w:val="none"/>
        </w:rPr>
        <w:t>二、项目资金申报及使用情况</w:t>
      </w:r>
      <w:bookmarkEnd w:id="125"/>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（一）项目资金申报及批复情况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年预算编制时申报“市委、市委办会议补助经费”项目，财政于202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日下达项目经费2</w:t>
      </w:r>
      <w:r>
        <w:rPr>
          <w:rFonts w:hint="eastAsia" w:ascii="仿宋_GB2312" w:hAnsi="仿宋" w:eastAsia="仿宋_GB2312"/>
          <w:color w:val="000000"/>
          <w:sz w:val="32"/>
          <w:szCs w:val="32"/>
          <w:highlight w:val="none"/>
          <w:lang w:val="en-US" w:eastAsia="zh-CN"/>
        </w:rPr>
        <w:t>0</w:t>
      </w:r>
      <w:r>
        <w:rPr>
          <w:rFonts w:hint="eastAsia" w:ascii="仿宋_GB2312" w:hAnsi="仿宋" w:eastAsia="仿宋_GB2312"/>
          <w:color w:val="000000"/>
          <w:sz w:val="32"/>
          <w:szCs w:val="32"/>
          <w:highlight w:val="none"/>
        </w:rPr>
        <w:t>万元。</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（二）资金计划、到位及使用情况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1.资金计划。市本级财政资金安排项目经费2</w:t>
      </w:r>
      <w:r>
        <w:rPr>
          <w:rFonts w:hint="eastAsia" w:ascii="仿宋_GB2312" w:hAnsi="仿宋" w:eastAsia="仿宋_GB2312"/>
          <w:color w:val="000000"/>
          <w:sz w:val="32"/>
          <w:szCs w:val="32"/>
          <w:highlight w:val="none"/>
          <w:lang w:val="en-US" w:eastAsia="zh-CN"/>
        </w:rPr>
        <w:t>0</w:t>
      </w:r>
      <w:r>
        <w:rPr>
          <w:rFonts w:hint="eastAsia" w:ascii="仿宋_GB2312" w:hAnsi="仿宋" w:eastAsia="仿宋_GB2312"/>
          <w:color w:val="000000"/>
          <w:sz w:val="32"/>
          <w:szCs w:val="32"/>
          <w:highlight w:val="none"/>
        </w:rPr>
        <w:t>万元。</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月全部下达到位。</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年共支出2</w:t>
      </w:r>
      <w:r>
        <w:rPr>
          <w:rFonts w:hint="eastAsia" w:ascii="仿宋_GB2312" w:hAnsi="仿宋" w:eastAsia="仿宋_GB2312"/>
          <w:color w:val="000000"/>
          <w:sz w:val="32"/>
          <w:szCs w:val="32"/>
          <w:highlight w:val="none"/>
          <w:lang w:val="en-US" w:eastAsia="zh-CN"/>
        </w:rPr>
        <w:t>0</w:t>
      </w:r>
      <w:r>
        <w:rPr>
          <w:rFonts w:hint="eastAsia" w:ascii="仿宋_GB2312" w:hAnsi="仿宋" w:eastAsia="仿宋_GB2312"/>
          <w:color w:val="000000"/>
          <w:sz w:val="32"/>
          <w:szCs w:val="32"/>
          <w:highlight w:val="none"/>
        </w:rPr>
        <w:t>万元。主要用于会议有关的伙食费、住宿、会场租金、租车、文件印制等补助费用。支付标准、支付进度、支付依据等合规合法，与预算相符。</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（三）项目财务管理情况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numPr>
          <w:ilvl w:val="0"/>
          <w:numId w:val="0"/>
        </w:numPr>
        <w:spacing w:line="576" w:lineRule="exact"/>
        <w:ind w:firstLine="960" w:firstLineChars="300"/>
        <w:outlineLvl w:val="1"/>
        <w:rPr>
          <w:rFonts w:hint="eastAsia" w:ascii="黑体" w:hAnsi="宋体" w:eastAsia="黑体"/>
          <w:bCs/>
          <w:kern w:val="0"/>
          <w:sz w:val="32"/>
          <w:szCs w:val="32"/>
          <w:highlight w:val="none"/>
        </w:rPr>
      </w:pPr>
      <w:bookmarkStart w:id="126" w:name="_Toc30523"/>
      <w:r>
        <w:rPr>
          <w:rFonts w:hint="eastAsia" w:ascii="黑体" w:hAnsi="宋体" w:eastAsia="黑体"/>
          <w:bCs/>
          <w:kern w:val="0"/>
          <w:sz w:val="32"/>
          <w:szCs w:val="32"/>
          <w:highlight w:val="none"/>
        </w:rPr>
        <w:t>三、项目实施及管理情况</w:t>
      </w:r>
      <w:bookmarkEnd w:id="126"/>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（一）项目组织架构及实施流程</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科室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80" w:lineRule="exact"/>
        <w:ind w:firstLine="64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（二）项目管理情况</w:t>
      </w:r>
    </w:p>
    <w:p>
      <w:pPr>
        <w:spacing w:line="580" w:lineRule="exact"/>
        <w:ind w:firstLine="640"/>
        <w:rPr>
          <w:rStyle w:val="41"/>
          <w:rFonts w:hint="eastAsia" w:ascii="仿宋_GB2312" w:hAnsi="黑体" w:eastAsia="仿宋_GB2312"/>
          <w:b w:val="0"/>
          <w:sz w:val="32"/>
          <w:szCs w:val="32"/>
          <w:highlight w:val="none"/>
        </w:rPr>
      </w:pPr>
      <w:bookmarkStart w:id="127" w:name="_Toc26051"/>
      <w:r>
        <w:rPr>
          <w:rStyle w:val="41"/>
          <w:rFonts w:hint="eastAsia" w:ascii="仿宋_GB2312" w:hAnsi="黑体" w:eastAsia="仿宋_GB2312"/>
          <w:b w:val="0"/>
          <w:sz w:val="32"/>
          <w:szCs w:val="32"/>
          <w:highlight w:val="none"/>
        </w:rPr>
        <w:t>本项目由使用预算资金的科室负责，其他科室积极配合，由单位领导负责协调相关工作，由财务科负责项目资金使用的合理性、规范性。</w:t>
      </w:r>
    </w:p>
    <w:bookmarkEnd w:id="127"/>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（三）项目监管情况</w:t>
      </w:r>
    </w:p>
    <w:p>
      <w:pPr>
        <w:widowControl/>
        <w:ind w:firstLine="640" w:firstLineChars="200"/>
        <w:jc w:val="left"/>
        <w:rPr>
          <w:rStyle w:val="41"/>
          <w:rFonts w:hint="eastAsia" w:ascii="仿宋_GB2312" w:hAnsi="黑体" w:eastAsia="仿宋_GB2312"/>
          <w:b w:val="0"/>
          <w:sz w:val="32"/>
          <w:szCs w:val="32"/>
          <w:highlight w:val="none"/>
        </w:rPr>
      </w:pPr>
      <w:bookmarkStart w:id="128" w:name="_Toc22653"/>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128"/>
    <w:p>
      <w:pPr>
        <w:numPr>
          <w:ilvl w:val="0"/>
          <w:numId w:val="0"/>
        </w:numPr>
        <w:spacing w:line="576" w:lineRule="exact"/>
        <w:ind w:firstLine="640" w:firstLineChars="200"/>
        <w:outlineLvl w:val="1"/>
        <w:rPr>
          <w:rFonts w:hint="eastAsia" w:ascii="黑体" w:hAnsi="宋体" w:eastAsia="黑体"/>
          <w:bCs/>
          <w:kern w:val="0"/>
          <w:sz w:val="32"/>
          <w:szCs w:val="32"/>
          <w:highlight w:val="none"/>
        </w:rPr>
      </w:pPr>
      <w:bookmarkStart w:id="129" w:name="_Toc31500"/>
      <w:r>
        <w:rPr>
          <w:rFonts w:hint="eastAsia" w:ascii="黑体" w:hAnsi="宋体" w:eastAsia="黑体"/>
          <w:bCs/>
          <w:kern w:val="0"/>
          <w:sz w:val="32"/>
          <w:szCs w:val="32"/>
          <w:highlight w:val="none"/>
        </w:rPr>
        <w:t>四、项目绩效情况</w:t>
      </w:r>
      <w:bookmarkEnd w:id="129"/>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（一）项目完成情况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lang w:eastAsia="zh-CN"/>
        </w:rPr>
        <w:t>圆满</w:t>
      </w:r>
      <w:r>
        <w:rPr>
          <w:rFonts w:hint="eastAsia" w:ascii="仿宋_GB2312" w:hAnsi="仿宋" w:eastAsia="仿宋_GB2312"/>
          <w:color w:val="000000"/>
          <w:sz w:val="32"/>
          <w:szCs w:val="32"/>
          <w:highlight w:val="none"/>
        </w:rPr>
        <w:t>完成202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年市委、市委办各类会议。</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（二）项目效益情况</w:t>
      </w:r>
    </w:p>
    <w:p>
      <w:pPr>
        <w:widowControl/>
        <w:ind w:firstLine="640" w:firstLineChars="200"/>
        <w:jc w:val="left"/>
        <w:rPr>
          <w:rStyle w:val="41"/>
          <w:rFonts w:hint="eastAsia" w:ascii="仿宋_GB2312" w:hAnsi="黑体" w:eastAsia="仿宋_GB2312"/>
          <w:b w:val="0"/>
          <w:sz w:val="32"/>
          <w:szCs w:val="32"/>
          <w:highlight w:val="none"/>
        </w:rPr>
      </w:pPr>
      <w:bookmarkStart w:id="130" w:name="_Toc16924"/>
      <w:r>
        <w:rPr>
          <w:rStyle w:val="41"/>
          <w:rFonts w:hint="eastAsia" w:ascii="仿宋_GB2312" w:hAnsi="黑体" w:eastAsia="仿宋_GB2312"/>
          <w:b w:val="0"/>
          <w:sz w:val="32"/>
          <w:szCs w:val="32"/>
          <w:highlight w:val="none"/>
        </w:rPr>
        <w:t>及时会议传达贯彻中央、省委及市委会议精神，推动上级各项决策部署落地落细，全面完成202</w:t>
      </w:r>
      <w:r>
        <w:rPr>
          <w:rStyle w:val="41"/>
          <w:rFonts w:hint="eastAsia" w:ascii="仿宋_GB2312" w:hAnsi="黑体" w:eastAsia="仿宋_GB2312"/>
          <w:b w:val="0"/>
          <w:sz w:val="32"/>
          <w:szCs w:val="32"/>
          <w:highlight w:val="none"/>
          <w:lang w:val="en-US"/>
        </w:rPr>
        <w:t>2</w:t>
      </w:r>
      <w:r>
        <w:rPr>
          <w:rStyle w:val="41"/>
          <w:rFonts w:hint="eastAsia" w:ascii="仿宋_GB2312" w:hAnsi="黑体" w:eastAsia="仿宋_GB2312"/>
          <w:b w:val="0"/>
          <w:sz w:val="32"/>
          <w:szCs w:val="32"/>
          <w:highlight w:val="none"/>
        </w:rPr>
        <w:t>年各项工作任务。</w:t>
      </w:r>
    </w:p>
    <w:bookmarkEnd w:id="130"/>
    <w:p>
      <w:pPr>
        <w:numPr>
          <w:ilvl w:val="0"/>
          <w:numId w:val="0"/>
        </w:numPr>
        <w:spacing w:line="576" w:lineRule="exact"/>
        <w:ind w:firstLine="640" w:firstLineChars="200"/>
        <w:outlineLvl w:val="1"/>
        <w:rPr>
          <w:rFonts w:hint="eastAsia" w:ascii="黑体" w:hAnsi="宋体" w:eastAsia="黑体"/>
          <w:bCs/>
          <w:kern w:val="0"/>
          <w:sz w:val="32"/>
          <w:szCs w:val="32"/>
          <w:highlight w:val="none"/>
        </w:rPr>
      </w:pPr>
      <w:bookmarkStart w:id="131" w:name="_Toc17375"/>
      <w:r>
        <w:rPr>
          <w:rFonts w:hint="eastAsia" w:ascii="黑体" w:hAnsi="宋体" w:eastAsia="黑体"/>
          <w:bCs/>
          <w:kern w:val="0"/>
          <w:sz w:val="32"/>
          <w:szCs w:val="32"/>
          <w:highlight w:val="none"/>
        </w:rPr>
        <w:t>五、评价结论及建议</w:t>
      </w:r>
      <w:bookmarkEnd w:id="131"/>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（一）评价结论</w:t>
      </w:r>
    </w:p>
    <w:p>
      <w:pPr>
        <w:widowControl/>
        <w:ind w:firstLine="640" w:firstLineChars="200"/>
        <w:jc w:val="left"/>
        <w:rPr>
          <w:rStyle w:val="41"/>
          <w:rFonts w:hint="eastAsia" w:ascii="仿宋_GB2312" w:hAnsi="黑体" w:eastAsia="仿宋_GB2312"/>
          <w:b w:val="0"/>
          <w:sz w:val="32"/>
          <w:szCs w:val="32"/>
          <w:highlight w:val="none"/>
        </w:rPr>
      </w:pPr>
      <w:r>
        <w:rPr>
          <w:rFonts w:hint="eastAsia" w:ascii="仿宋_GB2312" w:hAnsi="仿宋" w:eastAsia="仿宋_GB2312"/>
          <w:color w:val="000000"/>
          <w:sz w:val="32"/>
          <w:szCs w:val="32"/>
          <w:highlight w:val="none"/>
        </w:rPr>
        <w:t>市委、市委办会议补助经费</w:t>
      </w:r>
      <w:r>
        <w:rPr>
          <w:rStyle w:val="41"/>
          <w:rFonts w:hint="eastAsia" w:ascii="仿宋_GB2312" w:hAnsi="黑体" w:eastAsia="仿宋_GB2312"/>
          <w:b w:val="0"/>
          <w:sz w:val="32"/>
          <w:szCs w:val="32"/>
          <w:highlight w:val="none"/>
        </w:rPr>
        <w:t>项目绩效编制合理，财务管理规范化，内控制度健全，财政资金使用符合要求，预算执行收支平衡，财政支出绩效评价较好。</w:t>
      </w:r>
      <w:r>
        <w:rPr>
          <w:rFonts w:hint="eastAsia" w:ascii="仿宋_GB2312" w:hAnsi="仿宋_GB2312" w:eastAsia="仿宋_GB2312" w:cs="仿宋_GB2312"/>
          <w:sz w:val="32"/>
          <w:szCs w:val="32"/>
          <w:highlight w:val="none"/>
          <w:lang w:val="en-US" w:eastAsia="zh-CN"/>
        </w:rPr>
        <w:t>市委、市委办会议补助经费项目支出绩效</w:t>
      </w:r>
      <w:r>
        <w:rPr>
          <w:rFonts w:hint="eastAsia" w:ascii="仿宋_GB2312" w:hAnsi="仿宋_GB2312" w:eastAsia="仿宋_GB2312" w:cs="仿宋_GB2312"/>
          <w:sz w:val="32"/>
          <w:szCs w:val="32"/>
          <w:highlight w:val="none"/>
          <w:lang w:eastAsia="zh-CN"/>
        </w:rPr>
        <w:t>自评得分</w:t>
      </w:r>
      <w:r>
        <w:rPr>
          <w:rFonts w:hint="eastAsia" w:ascii="仿宋_GB2312" w:hAnsi="仿宋_GB2312" w:eastAsia="仿宋_GB2312" w:cs="仿宋_GB2312"/>
          <w:sz w:val="32"/>
          <w:szCs w:val="32"/>
          <w:highlight w:val="none"/>
          <w:lang w:val="en-US" w:eastAsia="zh-CN"/>
        </w:rPr>
        <w:t>100分。</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（二）存在问题</w:t>
      </w:r>
    </w:p>
    <w:p>
      <w:pPr>
        <w:widowControl/>
        <w:ind w:firstLine="800" w:firstLineChars="250"/>
        <w:jc w:val="left"/>
        <w:rPr>
          <w:rStyle w:val="41"/>
          <w:rFonts w:hint="eastAsia" w:ascii="仿宋_GB2312" w:hAnsi="黑体" w:eastAsia="仿宋_GB2312"/>
          <w:b w:val="0"/>
          <w:sz w:val="32"/>
          <w:szCs w:val="32"/>
          <w:highlight w:val="none"/>
        </w:rPr>
      </w:pPr>
      <w:bookmarkStart w:id="132" w:name="_Toc20526"/>
      <w:r>
        <w:rPr>
          <w:rStyle w:val="41"/>
          <w:rFonts w:hint="eastAsia" w:ascii="仿宋_GB2312" w:hAnsi="黑体" w:eastAsia="仿宋_GB2312"/>
          <w:b w:val="0"/>
          <w:sz w:val="32"/>
          <w:szCs w:val="32"/>
          <w:highlight w:val="none"/>
        </w:rPr>
        <w:t>无。</w:t>
      </w:r>
    </w:p>
    <w:bookmarkEnd w:id="132"/>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（三）相关建议</w:t>
      </w:r>
    </w:p>
    <w:p>
      <w:pPr>
        <w:widowControl/>
        <w:ind w:firstLine="960" w:firstLineChars="300"/>
        <w:jc w:val="left"/>
        <w:rPr>
          <w:rStyle w:val="41"/>
          <w:rFonts w:hint="eastAsia" w:ascii="仿宋_GB2312" w:hAnsi="黑体" w:eastAsia="仿宋_GB2312"/>
          <w:b w:val="0"/>
          <w:sz w:val="32"/>
          <w:szCs w:val="32"/>
          <w:highlight w:val="none"/>
        </w:rPr>
      </w:pPr>
      <w:bookmarkStart w:id="133" w:name="_Toc29483"/>
      <w:r>
        <w:rPr>
          <w:rStyle w:val="41"/>
          <w:rFonts w:hint="eastAsia" w:ascii="仿宋_GB2312" w:hAnsi="黑体" w:eastAsia="仿宋_GB2312"/>
          <w:b w:val="0"/>
          <w:sz w:val="32"/>
          <w:szCs w:val="32"/>
          <w:highlight w:val="none"/>
          <w:lang w:val="en-US"/>
        </w:rPr>
        <w:t>无。</w:t>
      </w:r>
    </w:p>
    <w:bookmarkEnd w:id="133"/>
    <w:p>
      <w:pPr>
        <w:widowControl/>
        <w:jc w:val="left"/>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附表：</w:t>
      </w:r>
    </w:p>
    <w:tbl>
      <w:tblPr>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0"/>
        <w:gridCol w:w="900"/>
        <w:gridCol w:w="750"/>
        <w:gridCol w:w="780"/>
        <w:gridCol w:w="720"/>
        <w:gridCol w:w="750"/>
        <w:gridCol w:w="645"/>
        <w:gridCol w:w="765"/>
        <w:gridCol w:w="570"/>
        <w:gridCol w:w="765"/>
        <w:gridCol w:w="57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585"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市委、市委办会议补助经费支出绩效目标自评表（2022年度）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78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市委、市委办会议补助经费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6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37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6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414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6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完成2022年市委、市委办各类会议。</w:t>
            </w:r>
          </w:p>
        </w:tc>
        <w:tc>
          <w:tcPr>
            <w:tcW w:w="414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完成2022年市委、市委办各类会议。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78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传达中央、省委及市委的有关精神，完成2022年各项工作的部署。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 </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 </w:t>
            </w:r>
          </w:p>
        </w:tc>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 </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 </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 </w:t>
            </w:r>
          </w:p>
        </w:tc>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 </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11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7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115"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办会质量</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承办市委全委会、市委常委扩大会等会议</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＞70次</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参会人数</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15000</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＞15000人</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市委办会议室数量</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5个</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秘书一科承办全市办公室主任会议等会议</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＞2次</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项目完成率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会议经费及会议室补助经费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20万元</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推动中央、省市精神落地落实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办会满意度</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1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0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685"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市委、市委办会议补助经费项目绩效编制合理，财务管理规范化，内控制度健全，财政资金使用符合要求，预算执行收支平衡，财政支出绩效评价较好。市委、市委办会议补助经费项目支出绩效自评得分100分。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68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68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685"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widowControl/>
        <w:ind w:firstLine="640" w:firstLineChars="200"/>
        <w:jc w:val="left"/>
        <w:rPr>
          <w:rStyle w:val="41"/>
          <w:rFonts w:hint="eastAsia" w:ascii="仿宋_GB2312" w:hAnsi="黑体" w:eastAsia="仿宋_GB2312"/>
          <w:b w:val="0"/>
          <w:sz w:val="32"/>
          <w:szCs w:val="32"/>
          <w:highlight w:val="none"/>
        </w:rPr>
      </w:pPr>
    </w:p>
    <w:p>
      <w:pPr>
        <w:pStyle w:val="40"/>
        <w:rPr>
          <w:rStyle w:val="41"/>
          <w:rFonts w:hint="eastAsia" w:ascii="仿宋_GB2312" w:hAnsi="黑体" w:eastAsia="仿宋_GB2312"/>
          <w:b w:val="0"/>
          <w:sz w:val="32"/>
          <w:szCs w:val="32"/>
          <w:highlight w:val="none"/>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16"/>
        <w:rPr>
          <w:rFonts w:hint="eastAsia"/>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bookmarkStart w:id="134" w:name="_Toc31848"/>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市委国家安全委员会办公室工作经费</w:t>
      </w:r>
      <w:bookmarkEnd w:id="134"/>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项目支出绩效自评报告</w:t>
      </w:r>
    </w:p>
    <w:p>
      <w:pPr>
        <w:pStyle w:val="40"/>
        <w:rPr>
          <w:rFonts w:hint="eastAsia"/>
          <w:highlight w:val="none"/>
        </w:rPr>
      </w:pPr>
    </w:p>
    <w:p>
      <w:pPr>
        <w:spacing w:line="580" w:lineRule="exact"/>
        <w:ind w:firstLine="640" w:firstLineChars="200"/>
        <w:jc w:val="both"/>
        <w:outlineLvl w:val="1"/>
        <w:rPr>
          <w:rFonts w:hint="eastAsia" w:ascii="黑体" w:hAnsi="黑体" w:eastAsia="黑体" w:cs="黑体"/>
          <w:b w:val="0"/>
          <w:bCs/>
          <w:color w:val="000000"/>
          <w:sz w:val="32"/>
          <w:szCs w:val="32"/>
          <w:highlight w:val="none"/>
        </w:rPr>
      </w:pPr>
      <w:bookmarkStart w:id="135" w:name="_Toc27719"/>
      <w:r>
        <w:rPr>
          <w:rFonts w:hint="eastAsia" w:ascii="黑体" w:hAnsi="黑体" w:eastAsia="黑体" w:cs="黑体"/>
          <w:b w:val="0"/>
          <w:bCs/>
          <w:color w:val="000000"/>
          <w:sz w:val="32"/>
          <w:szCs w:val="32"/>
          <w:highlight w:val="none"/>
        </w:rPr>
        <w:t>一、项目概况</w:t>
      </w:r>
      <w:bookmarkEnd w:id="135"/>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sz w:val="32"/>
          <w:szCs w:val="32"/>
          <w:highlight w:val="none"/>
        </w:rPr>
        <w:t>项目基本情况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按照市委办公室职责职能，市委国家安全委员会办公室202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年工作经费项目执行科室是市委国家安全委员会办公室秘书科。其职能：承担市委国家安全委员会办公室日常工作。</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spacing w:line="580" w:lineRule="exact"/>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rPr>
        <w:t>《中华人民共和国国家安全法》、《关于新时代加强国家安全体系和能力建设的意见》及《市委办公室各内设机构工作职责》</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该项目按市委办公室财务制度管理。主要用于国家安全宣传资料的印制等费用。</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color w:val="000000"/>
          <w:sz w:val="32"/>
          <w:szCs w:val="32"/>
          <w:highlight w:val="none"/>
        </w:rPr>
        <w:t>资金分配的原则及考虑因素</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按照预算管理办法及市委办财务制度，结合实际工作情况分配市委国家安全委员会办公室202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年工作经费。</w:t>
      </w:r>
    </w:p>
    <w:p>
      <w:pPr>
        <w:spacing w:line="580" w:lineRule="exact"/>
        <w:ind w:firstLine="640" w:firstLineChars="2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（二）项目绩效目标</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每年4月15日为国家安全教育日进行宣传；分类开展国家安全培训，提升履职能力；负责市委国家安全委员会办公室日常工作。</w:t>
      </w:r>
      <w:r>
        <w:rPr>
          <w:rFonts w:hint="eastAsia" w:ascii="仿宋_GB2312" w:hAnsi="仿宋" w:eastAsia="仿宋_GB2312"/>
          <w:color w:val="000000"/>
          <w:sz w:val="32"/>
          <w:szCs w:val="32"/>
          <w:highlight w:val="none"/>
        </w:rPr>
        <w:br w:type="textWrapping"/>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2.项目应实现的具体绩效目标</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营造浓厚的氛围，增强群众国家安全</w:t>
      </w:r>
      <w:r>
        <w:rPr>
          <w:rFonts w:hint="eastAsia" w:ascii="仿宋_GB2312" w:hAnsi="仿宋" w:eastAsia="仿宋_GB2312"/>
          <w:color w:val="000000"/>
          <w:sz w:val="32"/>
          <w:szCs w:val="32"/>
          <w:highlight w:val="none"/>
          <w:lang w:eastAsia="zh-CN"/>
        </w:rPr>
        <w:t>意识，提升安全责任</w:t>
      </w:r>
      <w:r>
        <w:rPr>
          <w:rFonts w:hint="eastAsia" w:ascii="仿宋_GB2312" w:hAnsi="仿宋" w:eastAsia="仿宋_GB2312"/>
          <w:color w:val="000000"/>
          <w:sz w:val="32"/>
          <w:szCs w:val="32"/>
          <w:highlight w:val="none"/>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该项目申报的内容与实际基本相符，申报目标合理可行。</w:t>
      </w:r>
    </w:p>
    <w:p>
      <w:pPr>
        <w:spacing w:line="580" w:lineRule="exact"/>
        <w:ind w:firstLine="640" w:firstLineChars="2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（三）项目自评步骤及方法</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spacing w:line="580" w:lineRule="exact"/>
        <w:ind w:firstLine="640" w:firstLineChars="200"/>
        <w:jc w:val="both"/>
        <w:outlineLvl w:val="1"/>
        <w:rPr>
          <w:rFonts w:hint="eastAsia" w:ascii="黑体" w:hAnsi="黑体" w:eastAsia="黑体" w:cs="黑体"/>
          <w:b w:val="0"/>
          <w:bCs/>
          <w:color w:val="000000"/>
          <w:sz w:val="32"/>
          <w:szCs w:val="32"/>
          <w:highlight w:val="none"/>
          <w:lang w:val="en-US" w:eastAsia="zh-CN"/>
        </w:rPr>
      </w:pPr>
      <w:bookmarkStart w:id="136" w:name="_Toc4946"/>
      <w:r>
        <w:rPr>
          <w:rFonts w:hint="eastAsia" w:ascii="黑体" w:hAnsi="黑体" w:eastAsia="黑体" w:cs="黑体"/>
          <w:b w:val="0"/>
          <w:bCs/>
          <w:color w:val="000000"/>
          <w:sz w:val="32"/>
          <w:szCs w:val="32"/>
          <w:highlight w:val="none"/>
          <w:lang w:val="en-US" w:eastAsia="zh-CN"/>
        </w:rPr>
        <w:t>二、项目资金申报及使用情况</w:t>
      </w:r>
      <w:bookmarkEnd w:id="136"/>
    </w:p>
    <w:p>
      <w:pPr>
        <w:spacing w:line="580" w:lineRule="exact"/>
        <w:ind w:firstLine="320" w:firstLineChars="1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（一）项目资金申报及批复情况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年预算编制时申报“市委国家安全委员会办公室工作经费”项目，财政于202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日下达项目经费10万元。</w:t>
      </w:r>
    </w:p>
    <w:p>
      <w:pPr>
        <w:spacing w:line="580" w:lineRule="exact"/>
        <w:ind w:firstLine="320" w:firstLineChars="1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（二）资金计划、到位及使用情况</w:t>
      </w:r>
    </w:p>
    <w:p>
      <w:pPr>
        <w:numPr>
          <w:numId w:val="0"/>
        </w:num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资金计划。市本级财政资金安排项目经费10万元。</w:t>
      </w:r>
    </w:p>
    <w:p>
      <w:pPr>
        <w:numPr>
          <w:ilvl w:val="0"/>
          <w:numId w:val="0"/>
        </w:num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月全部下达到位。</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年共支出10万元。主要用于国家安全宣传、资料印制等费用。支付标准、支付进度、支付依据等合规合法，与预算相符。</w:t>
      </w:r>
    </w:p>
    <w:p>
      <w:pPr>
        <w:spacing w:line="580" w:lineRule="exact"/>
        <w:ind w:firstLine="640" w:firstLineChars="2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（三）项目财务管理情况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spacing w:line="580" w:lineRule="exact"/>
        <w:ind w:firstLine="640" w:firstLineChars="200"/>
        <w:jc w:val="both"/>
        <w:outlineLvl w:val="1"/>
        <w:rPr>
          <w:rFonts w:hint="eastAsia" w:ascii="黑体" w:hAnsi="黑体" w:eastAsia="黑体" w:cs="黑体"/>
          <w:b w:val="0"/>
          <w:bCs/>
          <w:color w:val="000000"/>
          <w:sz w:val="32"/>
          <w:szCs w:val="32"/>
          <w:highlight w:val="none"/>
          <w:lang w:val="en-US" w:eastAsia="zh-CN"/>
        </w:rPr>
      </w:pPr>
      <w:bookmarkStart w:id="137" w:name="_Toc11750"/>
      <w:r>
        <w:rPr>
          <w:rFonts w:hint="eastAsia" w:ascii="黑体" w:hAnsi="黑体" w:eastAsia="黑体" w:cs="黑体"/>
          <w:b w:val="0"/>
          <w:bCs/>
          <w:color w:val="000000"/>
          <w:sz w:val="32"/>
          <w:szCs w:val="32"/>
          <w:highlight w:val="none"/>
          <w:lang w:val="en-US" w:eastAsia="zh-CN"/>
        </w:rPr>
        <w:t>三、项目实施及管理情况</w:t>
      </w:r>
      <w:bookmarkEnd w:id="137"/>
    </w:p>
    <w:p>
      <w:pPr>
        <w:spacing w:line="580" w:lineRule="exact"/>
        <w:ind w:firstLine="640" w:firstLineChars="2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（一）项目组织架构及实施流程</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科室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80" w:lineRule="exact"/>
        <w:ind w:firstLine="640" w:firstLineChars="2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（二）项目管理情况</w:t>
      </w:r>
    </w:p>
    <w:p>
      <w:pPr>
        <w:widowControl/>
        <w:ind w:firstLine="640" w:firstLineChars="200"/>
        <w:jc w:val="left"/>
        <w:rPr>
          <w:rStyle w:val="41"/>
          <w:rFonts w:hint="eastAsia" w:ascii="仿宋_GB2312" w:hAnsi="黑体" w:eastAsia="仿宋_GB2312"/>
          <w:b w:val="0"/>
          <w:sz w:val="32"/>
          <w:szCs w:val="32"/>
          <w:highlight w:val="none"/>
        </w:rPr>
      </w:pPr>
      <w:bookmarkStart w:id="138" w:name="_Toc5118"/>
      <w:r>
        <w:rPr>
          <w:rStyle w:val="41"/>
          <w:rFonts w:hint="eastAsia" w:ascii="仿宋_GB2312" w:hAnsi="黑体" w:eastAsia="仿宋_GB2312"/>
          <w:b w:val="0"/>
          <w:sz w:val="32"/>
          <w:szCs w:val="32"/>
          <w:highlight w:val="none"/>
        </w:rPr>
        <w:t>本项目由使用预算资金的科室负责，其他科室积极配合，由单位领导负责协调相关工作，由财务科负责项目资金使用的合理性、规范性。</w:t>
      </w:r>
    </w:p>
    <w:bookmarkEnd w:id="138"/>
    <w:p>
      <w:pPr>
        <w:numPr>
          <w:ilvl w:val="0"/>
          <w:numId w:val="0"/>
        </w:numPr>
        <w:spacing w:line="580" w:lineRule="exact"/>
        <w:ind w:firstLine="640" w:firstLineChars="2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（三）项目监管情况</w:t>
      </w:r>
    </w:p>
    <w:p>
      <w:pPr>
        <w:numPr>
          <w:ilvl w:val="0"/>
          <w:numId w:val="0"/>
        </w:numPr>
        <w:spacing w:line="580" w:lineRule="exact"/>
        <w:ind w:firstLine="640" w:firstLineChars="200"/>
        <w:rPr>
          <w:rStyle w:val="41"/>
          <w:rFonts w:hint="eastAsia" w:ascii="仿宋_GB2312" w:hAnsi="黑体" w:eastAsia="仿宋_GB2312"/>
          <w:b w:val="0"/>
          <w:sz w:val="32"/>
          <w:szCs w:val="32"/>
          <w:highlight w:val="none"/>
        </w:rPr>
      </w:pPr>
      <w:bookmarkStart w:id="139" w:name="_Toc20845"/>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139"/>
    <w:p>
      <w:pPr>
        <w:spacing w:line="580" w:lineRule="exact"/>
        <w:ind w:firstLine="640" w:firstLineChars="200"/>
        <w:jc w:val="both"/>
        <w:outlineLvl w:val="1"/>
        <w:rPr>
          <w:rFonts w:hint="eastAsia" w:ascii="黑体" w:hAnsi="黑体" w:eastAsia="黑体" w:cs="黑体"/>
          <w:b w:val="0"/>
          <w:bCs/>
          <w:color w:val="000000"/>
          <w:sz w:val="32"/>
          <w:szCs w:val="32"/>
          <w:highlight w:val="none"/>
          <w:lang w:val="en-US" w:eastAsia="zh-CN"/>
        </w:rPr>
      </w:pPr>
      <w:bookmarkStart w:id="140" w:name="_Toc22119"/>
      <w:r>
        <w:rPr>
          <w:rFonts w:hint="eastAsia" w:ascii="黑体" w:hAnsi="黑体" w:eastAsia="黑体" w:cs="黑体"/>
          <w:b w:val="0"/>
          <w:bCs/>
          <w:color w:val="000000"/>
          <w:sz w:val="32"/>
          <w:szCs w:val="32"/>
          <w:highlight w:val="none"/>
          <w:lang w:val="en-US" w:eastAsia="zh-CN"/>
        </w:rPr>
        <w:t>四、项目绩效情况</w:t>
      </w:r>
      <w:bookmarkEnd w:id="140"/>
    </w:p>
    <w:p>
      <w:pPr>
        <w:spacing w:line="580" w:lineRule="exact"/>
        <w:ind w:firstLine="640" w:firstLineChars="2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（一）项目完成情况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通过全民国家安全教育日暨国家安全教育宣传月活动，在全市营造浓厚的国家安全氛围，进一步增强广大群众的国家安全意识，</w:t>
      </w:r>
    </w:p>
    <w:p>
      <w:pPr>
        <w:spacing w:line="580" w:lineRule="exact"/>
        <w:ind w:firstLine="640" w:firstLineChars="2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（二）项目效益情况</w:t>
      </w:r>
    </w:p>
    <w:p>
      <w:pPr>
        <w:widowControl/>
        <w:ind w:firstLine="640" w:firstLineChars="200"/>
        <w:jc w:val="left"/>
        <w:rPr>
          <w:rStyle w:val="41"/>
          <w:rFonts w:hint="eastAsia" w:ascii="仿宋_GB2312" w:hAnsi="黑体" w:eastAsia="仿宋_GB2312"/>
          <w:b w:val="0"/>
          <w:sz w:val="32"/>
          <w:szCs w:val="32"/>
          <w:highlight w:val="none"/>
        </w:rPr>
      </w:pPr>
      <w:bookmarkStart w:id="141" w:name="_Toc10836"/>
      <w:r>
        <w:rPr>
          <w:rStyle w:val="41"/>
          <w:rFonts w:hint="eastAsia" w:ascii="仿宋_GB2312" w:hAnsi="黑体" w:eastAsia="仿宋_GB2312"/>
          <w:b w:val="0"/>
          <w:sz w:val="32"/>
          <w:szCs w:val="32"/>
          <w:highlight w:val="none"/>
          <w:lang w:val="en-US"/>
        </w:rPr>
        <w:t>安全教育宣传成效好，</w:t>
      </w:r>
      <w:r>
        <w:rPr>
          <w:rStyle w:val="41"/>
          <w:rFonts w:hint="eastAsia" w:ascii="仿宋_GB2312" w:hAnsi="黑体" w:eastAsia="仿宋_GB2312"/>
          <w:b w:val="0"/>
          <w:sz w:val="32"/>
          <w:szCs w:val="32"/>
          <w:highlight w:val="none"/>
        </w:rPr>
        <w:t>国家安全氛围营造好，国家总体安全意识进一步增强。</w:t>
      </w:r>
    </w:p>
    <w:bookmarkEnd w:id="141"/>
    <w:p>
      <w:pPr>
        <w:spacing w:line="580" w:lineRule="exact"/>
        <w:ind w:firstLine="640" w:firstLineChars="200"/>
        <w:jc w:val="both"/>
        <w:outlineLvl w:val="1"/>
        <w:rPr>
          <w:rFonts w:hint="eastAsia" w:ascii="黑体" w:hAnsi="黑体" w:eastAsia="黑体" w:cs="黑体"/>
          <w:b w:val="0"/>
          <w:bCs/>
          <w:color w:val="000000"/>
          <w:sz w:val="32"/>
          <w:szCs w:val="32"/>
          <w:highlight w:val="none"/>
          <w:lang w:val="en-US" w:eastAsia="zh-CN"/>
        </w:rPr>
      </w:pPr>
      <w:bookmarkStart w:id="142" w:name="_Toc30188"/>
      <w:r>
        <w:rPr>
          <w:rFonts w:hint="eastAsia" w:ascii="黑体" w:hAnsi="黑体" w:eastAsia="黑体" w:cs="黑体"/>
          <w:b w:val="0"/>
          <w:bCs/>
          <w:color w:val="000000"/>
          <w:sz w:val="32"/>
          <w:szCs w:val="32"/>
          <w:highlight w:val="none"/>
          <w:lang w:val="en-US" w:eastAsia="zh-CN"/>
        </w:rPr>
        <w:t>五、评价结论及建议</w:t>
      </w:r>
      <w:bookmarkEnd w:id="142"/>
    </w:p>
    <w:p>
      <w:pPr>
        <w:spacing w:line="580" w:lineRule="exact"/>
        <w:ind w:firstLine="640" w:firstLineChars="2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（一）评价结论</w:t>
      </w:r>
    </w:p>
    <w:p>
      <w:pPr>
        <w:widowControl/>
        <w:ind w:firstLine="640" w:firstLineChars="200"/>
        <w:jc w:val="left"/>
        <w:rPr>
          <w:rStyle w:val="41"/>
          <w:rFonts w:hint="eastAsia" w:ascii="仿宋_GB2312" w:hAnsi="黑体" w:eastAsia="仿宋_GB2312"/>
          <w:b w:val="0"/>
          <w:sz w:val="32"/>
          <w:szCs w:val="32"/>
          <w:highlight w:val="none"/>
        </w:rPr>
      </w:pPr>
      <w:r>
        <w:rPr>
          <w:rFonts w:hint="eastAsia" w:ascii="仿宋_GB2312" w:hAnsi="仿宋" w:eastAsia="仿宋_GB2312"/>
          <w:color w:val="000000"/>
          <w:sz w:val="32"/>
          <w:szCs w:val="32"/>
          <w:highlight w:val="none"/>
        </w:rPr>
        <w:t>市委国家安全委员会办公室202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年工作经费</w:t>
      </w:r>
      <w:r>
        <w:rPr>
          <w:rStyle w:val="41"/>
          <w:rFonts w:hint="eastAsia" w:ascii="仿宋_GB2312" w:hAnsi="黑体" w:eastAsia="仿宋_GB2312"/>
          <w:b w:val="0"/>
          <w:sz w:val="32"/>
          <w:szCs w:val="32"/>
          <w:highlight w:val="none"/>
        </w:rPr>
        <w:t>项目绩效编制合理，财务管理规范化，内控制度健全，财政资金使用符合要求，预算执行收支平衡，财政支出绩效评价较好。</w:t>
      </w:r>
      <w:r>
        <w:rPr>
          <w:rFonts w:hint="eastAsia" w:ascii="仿宋_GB2312" w:hAnsi="仿宋_GB2312" w:eastAsia="仿宋_GB2312" w:cs="仿宋_GB2312"/>
          <w:sz w:val="32"/>
          <w:szCs w:val="32"/>
          <w:highlight w:val="none"/>
          <w:lang w:val="en-US" w:eastAsia="zh-CN"/>
        </w:rPr>
        <w:t>市委国家安全委员会办公室工作经费项目支出绩效</w:t>
      </w:r>
      <w:r>
        <w:rPr>
          <w:rFonts w:hint="eastAsia" w:ascii="仿宋_GB2312" w:hAnsi="仿宋_GB2312" w:eastAsia="仿宋_GB2312" w:cs="仿宋_GB2312"/>
          <w:sz w:val="32"/>
          <w:szCs w:val="32"/>
          <w:highlight w:val="none"/>
          <w:lang w:eastAsia="zh-CN"/>
        </w:rPr>
        <w:t>自评得分</w:t>
      </w:r>
      <w:r>
        <w:rPr>
          <w:rFonts w:hint="eastAsia" w:ascii="仿宋_GB2312" w:hAnsi="仿宋_GB2312" w:eastAsia="仿宋_GB2312" w:cs="仿宋_GB2312"/>
          <w:sz w:val="32"/>
          <w:szCs w:val="32"/>
          <w:highlight w:val="none"/>
          <w:lang w:val="en-US" w:eastAsia="zh-CN"/>
        </w:rPr>
        <w:t>100分。</w:t>
      </w:r>
    </w:p>
    <w:p>
      <w:pPr>
        <w:spacing w:line="580" w:lineRule="exact"/>
        <w:ind w:firstLine="640" w:firstLineChars="2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（二）存在问题</w:t>
      </w:r>
    </w:p>
    <w:p>
      <w:pPr>
        <w:widowControl/>
        <w:ind w:firstLine="800" w:firstLineChars="250"/>
        <w:jc w:val="left"/>
        <w:rPr>
          <w:rStyle w:val="41"/>
          <w:rFonts w:hint="eastAsia" w:ascii="仿宋_GB2312" w:hAnsi="黑体" w:eastAsia="仿宋_GB2312"/>
          <w:b w:val="0"/>
          <w:sz w:val="32"/>
          <w:szCs w:val="32"/>
          <w:highlight w:val="none"/>
        </w:rPr>
      </w:pPr>
      <w:bookmarkStart w:id="143" w:name="_Toc11577"/>
      <w:r>
        <w:rPr>
          <w:rStyle w:val="41"/>
          <w:rFonts w:hint="eastAsia" w:ascii="仿宋_GB2312" w:hAnsi="黑体" w:eastAsia="仿宋_GB2312"/>
          <w:b w:val="0"/>
          <w:sz w:val="32"/>
          <w:szCs w:val="32"/>
          <w:highlight w:val="none"/>
        </w:rPr>
        <w:t>无。</w:t>
      </w:r>
    </w:p>
    <w:bookmarkEnd w:id="143"/>
    <w:p>
      <w:pPr>
        <w:spacing w:line="580" w:lineRule="exact"/>
        <w:ind w:firstLine="640" w:firstLineChars="20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（三）相关建议</w:t>
      </w:r>
    </w:p>
    <w:p>
      <w:pPr>
        <w:widowControl/>
        <w:ind w:firstLine="800" w:firstLineChars="250"/>
        <w:jc w:val="left"/>
        <w:rPr>
          <w:rStyle w:val="41"/>
          <w:rFonts w:hint="eastAsia" w:ascii="仿宋_GB2312" w:hAnsi="黑体" w:eastAsia="仿宋_GB2312"/>
          <w:b w:val="0"/>
          <w:sz w:val="32"/>
          <w:szCs w:val="32"/>
          <w:highlight w:val="none"/>
        </w:rPr>
      </w:pPr>
      <w:r>
        <w:rPr>
          <w:rStyle w:val="41"/>
          <w:rFonts w:hint="eastAsia" w:ascii="仿宋_GB2312" w:hAnsi="黑体" w:eastAsia="仿宋_GB2312"/>
          <w:b w:val="0"/>
          <w:sz w:val="32"/>
          <w:szCs w:val="32"/>
          <w:highlight w:val="none"/>
        </w:rPr>
        <w:t>无。</w:t>
      </w:r>
    </w:p>
    <w:p>
      <w:pPr>
        <w:widowControl/>
        <w:jc w:val="left"/>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附表：</w:t>
      </w:r>
    </w:p>
    <w:tbl>
      <w:tblPr>
        <w:tblW w:w="9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6"/>
        <w:gridCol w:w="997"/>
        <w:gridCol w:w="788"/>
        <w:gridCol w:w="732"/>
        <w:gridCol w:w="629"/>
        <w:gridCol w:w="576"/>
        <w:gridCol w:w="493"/>
        <w:gridCol w:w="791"/>
        <w:gridCol w:w="613"/>
        <w:gridCol w:w="804"/>
        <w:gridCol w:w="627"/>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0" w:hRule="atLeast"/>
        </w:trPr>
        <w:tc>
          <w:tcPr>
            <w:tcW w:w="9315"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市委国家安全委员会办公室工作经费支出绩效目标自评表（2022年度）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7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53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市委国家安全委员会办公室工作经费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17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18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55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18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43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18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完成每年4月15日国家安全日宣传工作；分类参加国家安全培训，提升履职能力；负责市委国家安全委员会办公室日常工作。</w:t>
            </w:r>
          </w:p>
        </w:tc>
        <w:tc>
          <w:tcPr>
            <w:tcW w:w="43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完成每年4月15日国家安全日宣传工作；分类参加国家安全培训，提升履职能力；负责市委国家安全委员会办公室日常工作。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53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完成国家安全宣传，“4.15”全民国家安全教育日暨国家安全教育月活动，分类组织、参加国家安全培训，提升履职能力；负责市委国家安全委员会办公室日常工作。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65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65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65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79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3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650"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1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795" w:type="dxa"/>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73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印制宣传单、资料</w:t>
            </w:r>
          </w:p>
        </w:tc>
        <w:tc>
          <w:tcPr>
            <w:tcW w:w="0" w:type="auto"/>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w:t>
            </w:r>
          </w:p>
        </w:tc>
        <w:tc>
          <w:tcPr>
            <w:tcW w:w="4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份</w:t>
            </w:r>
          </w:p>
        </w:tc>
        <w:tc>
          <w:tcPr>
            <w:tcW w:w="7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1000份</w:t>
            </w:r>
          </w:p>
        </w:tc>
        <w:tc>
          <w:tcPr>
            <w:tcW w:w="61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1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3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营造浓厚的氛围，增强群众国家安全责任</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市委国家安全委员会办公室工作经费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10万元</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vMerge w:val="restar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国家安全氛围基本形成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vMerge w:val="continue"/>
            <w:tcBorders>
              <w:top w:val="single" w:color="000000" w:sz="4" w:space="0"/>
              <w:left w:val="single" w:color="000000" w:sz="4" w:space="0"/>
              <w:bottom w:val="nil"/>
              <w:right w:val="nil"/>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推动国家安全工作高质量发展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全市人民对国家安全宣传满意度</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61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81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30" w:type="dxa"/>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500" w:type="dxa"/>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535"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市委国家安全委员会办公室2022年工作经费项目绩效编制合理，财务管理规范化，内控制度健全，财政资金使用符合要求，预算执行收支平衡，财政支出绩效评价较好。市委国家安全委员会办公室工作经费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53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535"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535"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spacing w:line="580" w:lineRule="exact"/>
        <w:jc w:val="both"/>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bookmarkStart w:id="144" w:name="_Toc10370"/>
      <w:r>
        <w:rPr>
          <w:rFonts w:hint="eastAsia" w:ascii="方正小标宋简体" w:hAnsi="方正小标宋简体" w:eastAsia="方正小标宋简体" w:cs="方正小标宋简体"/>
          <w:b w:val="0"/>
          <w:bCs/>
          <w:color w:val="000000"/>
          <w:sz w:val="36"/>
          <w:szCs w:val="36"/>
          <w:highlight w:val="none"/>
        </w:rPr>
        <w:t>市委办乡村振兴工作经费项目支出绩效自评报告</w:t>
      </w:r>
      <w:bookmarkEnd w:id="144"/>
    </w:p>
    <w:p>
      <w:pPr>
        <w:pStyle w:val="40"/>
        <w:rPr>
          <w:rFonts w:hint="eastAsia"/>
          <w:highlight w:val="none"/>
        </w:rPr>
      </w:pPr>
    </w:p>
    <w:p>
      <w:pPr>
        <w:spacing w:line="580" w:lineRule="exact"/>
        <w:ind w:firstLine="640" w:firstLineChars="200"/>
        <w:outlineLvl w:val="1"/>
        <w:rPr>
          <w:rFonts w:hint="eastAsia" w:ascii="方正小标宋简体" w:hAnsi="方正小标宋简体" w:eastAsia="方正小标宋简体" w:cs="方正小标宋简体"/>
          <w:b w:val="0"/>
          <w:bCs w:val="0"/>
          <w:color w:val="000000"/>
          <w:sz w:val="32"/>
          <w:szCs w:val="32"/>
          <w:highlight w:val="none"/>
        </w:rPr>
      </w:pPr>
      <w:bookmarkStart w:id="145" w:name="_Toc17606"/>
      <w:r>
        <w:rPr>
          <w:rFonts w:hint="eastAsia" w:ascii="方正小标宋简体" w:hAnsi="方正小标宋简体" w:eastAsia="方正小标宋简体" w:cs="方正小标宋简体"/>
          <w:b w:val="0"/>
          <w:bCs w:val="0"/>
          <w:color w:val="000000"/>
          <w:sz w:val="32"/>
          <w:szCs w:val="32"/>
          <w:highlight w:val="none"/>
        </w:rPr>
        <w:t>一、项目概况</w:t>
      </w:r>
      <w:bookmarkEnd w:id="145"/>
    </w:p>
    <w:p>
      <w:pPr>
        <w:spacing w:line="580" w:lineRule="exact"/>
        <w:ind w:firstLine="64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(一)项目基本情况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按照市委办公室职责职能，市委办乡村振兴工作经费项目执行科室是机关党委。其职能：负责市委办公室帮扶</w:t>
      </w:r>
      <w:r>
        <w:rPr>
          <w:rFonts w:hint="eastAsia" w:ascii="仿宋_GB2312" w:hAnsi="仿宋" w:eastAsia="仿宋_GB2312"/>
          <w:color w:val="000000"/>
          <w:sz w:val="32"/>
          <w:szCs w:val="32"/>
          <w:highlight w:val="none"/>
          <w:lang w:eastAsia="zh-CN"/>
        </w:rPr>
        <w:t>村乡村振兴</w:t>
      </w:r>
      <w:r>
        <w:rPr>
          <w:rFonts w:hint="eastAsia" w:ascii="仿宋_GB2312" w:hAnsi="仿宋" w:eastAsia="仿宋_GB2312"/>
          <w:color w:val="000000"/>
          <w:sz w:val="32"/>
          <w:szCs w:val="32"/>
          <w:highlight w:val="none"/>
        </w:rPr>
        <w:t>等工作。</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spacing w:line="580" w:lineRule="exact"/>
        <w:ind w:firstLine="640" w:firstLineChars="200"/>
        <w:rPr>
          <w:rFonts w:hint="eastAsia"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val="en-US" w:eastAsia="zh-CN"/>
        </w:rPr>
        <w:t>乡村振兴发展资金需求。</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该项目按市委办公室财务制度管理。主要用于202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eastAsia="zh-CN"/>
        </w:rPr>
        <w:t>乡村振兴</w:t>
      </w:r>
      <w:r>
        <w:rPr>
          <w:rFonts w:hint="eastAsia" w:ascii="仿宋_GB2312" w:hAnsi="仿宋" w:eastAsia="仿宋_GB2312"/>
          <w:color w:val="000000"/>
          <w:sz w:val="32"/>
          <w:szCs w:val="32"/>
          <w:highlight w:val="none"/>
        </w:rPr>
        <w:t>工作经费。</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color w:val="000000"/>
          <w:sz w:val="32"/>
          <w:szCs w:val="32"/>
          <w:highlight w:val="none"/>
        </w:rPr>
        <w:t>资金分配的原则及考虑因素</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按照预算管理办法及市委办财务制度，结合实际工作情况分配市委办乡村振兴工作经费。</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（二）项目绩效目标</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spacing w:line="580" w:lineRule="exact"/>
        <w:ind w:firstLine="640" w:firstLineChars="200"/>
        <w:rPr>
          <w:rFonts w:hint="eastAsia" w:ascii="仿宋_GB2312" w:hAnsi="仿宋" w:eastAsia="仿宋_GB2312"/>
          <w:color w:val="000000"/>
          <w:sz w:val="32"/>
          <w:szCs w:val="32"/>
          <w:highlight w:val="yellow"/>
        </w:rPr>
      </w:pPr>
      <w:r>
        <w:rPr>
          <w:rFonts w:hint="eastAsia" w:ascii="仿宋_GB2312" w:hAnsi="仿宋" w:eastAsia="仿宋_GB2312"/>
          <w:color w:val="000000"/>
          <w:sz w:val="32"/>
          <w:szCs w:val="32"/>
          <w:highlight w:val="none"/>
        </w:rPr>
        <w:t>严格落实宣传党的政策、建强基层组织、</w:t>
      </w:r>
      <w:r>
        <w:rPr>
          <w:rFonts w:hint="eastAsia" w:ascii="仿宋_GB2312" w:hAnsi="仿宋" w:eastAsia="仿宋_GB2312"/>
          <w:color w:val="000000"/>
          <w:sz w:val="32"/>
          <w:szCs w:val="32"/>
          <w:highlight w:val="none"/>
          <w:lang w:eastAsia="zh-CN"/>
        </w:rPr>
        <w:t>持续乡村振兴</w:t>
      </w:r>
      <w:r>
        <w:rPr>
          <w:rFonts w:hint="eastAsia" w:ascii="仿宋_GB2312" w:hAnsi="仿宋" w:eastAsia="仿宋_GB2312"/>
          <w:color w:val="000000"/>
          <w:sz w:val="32"/>
          <w:szCs w:val="32"/>
          <w:highlight w:val="none"/>
        </w:rPr>
        <w:t>、为民办事服务、提升治理水平</w:t>
      </w:r>
      <w:r>
        <w:rPr>
          <w:rFonts w:hint="eastAsia" w:ascii="仿宋_GB2312" w:hAnsi="仿宋" w:eastAsia="仿宋_GB2312"/>
          <w:color w:val="000000"/>
          <w:sz w:val="32"/>
          <w:szCs w:val="32"/>
          <w:highlight w:val="none"/>
          <w:lang w:eastAsia="zh-CN"/>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完成202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eastAsia="zh-CN"/>
        </w:rPr>
        <w:t>乡村振兴</w:t>
      </w:r>
      <w:r>
        <w:rPr>
          <w:rFonts w:hint="eastAsia" w:ascii="仿宋_GB2312" w:hAnsi="仿宋" w:eastAsia="仿宋_GB2312"/>
          <w:color w:val="000000"/>
          <w:sz w:val="32"/>
          <w:szCs w:val="32"/>
          <w:highlight w:val="none"/>
        </w:rPr>
        <w:t>目标任务。</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80" w:lineRule="exact"/>
        <w:ind w:firstLine="640" w:firstLineChars="200"/>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（三）项目自评步骤及方法</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spacing w:line="580" w:lineRule="exact"/>
        <w:ind w:firstLine="800" w:firstLineChars="250"/>
        <w:outlineLvl w:val="1"/>
        <w:rPr>
          <w:rFonts w:hint="eastAsia" w:ascii="方正小标宋简体" w:hAnsi="方正小标宋简体" w:eastAsia="方正小标宋简体" w:cs="方正小标宋简体"/>
          <w:b w:val="0"/>
          <w:bCs w:val="0"/>
          <w:color w:val="000000"/>
          <w:sz w:val="32"/>
          <w:szCs w:val="32"/>
          <w:highlight w:val="none"/>
        </w:rPr>
      </w:pPr>
      <w:bookmarkStart w:id="146" w:name="_Toc12432"/>
      <w:r>
        <w:rPr>
          <w:rFonts w:hint="eastAsia" w:ascii="方正小标宋简体" w:hAnsi="方正小标宋简体" w:eastAsia="方正小标宋简体" w:cs="方正小标宋简体"/>
          <w:b w:val="0"/>
          <w:bCs w:val="0"/>
          <w:color w:val="000000"/>
          <w:sz w:val="32"/>
          <w:szCs w:val="32"/>
          <w:highlight w:val="none"/>
        </w:rPr>
        <w:t>二、项目资金申报及使用情况</w:t>
      </w:r>
      <w:bookmarkEnd w:id="146"/>
    </w:p>
    <w:p>
      <w:pPr>
        <w:spacing w:line="580" w:lineRule="exact"/>
        <w:ind w:firstLine="800" w:firstLineChars="25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（一）项目资金申报及批复情况</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年预算编制时申报“市委办乡村振兴工作经费”项目，财政于202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日下达项目经费</w:t>
      </w:r>
      <w:r>
        <w:rPr>
          <w:rFonts w:hint="eastAsia" w:ascii="仿宋_GB2312" w:hAnsi="仿宋" w:eastAsia="仿宋_GB2312"/>
          <w:color w:val="000000"/>
          <w:sz w:val="32"/>
          <w:szCs w:val="32"/>
          <w:highlight w:val="none"/>
          <w:lang w:val="en-US" w:eastAsia="zh-CN"/>
        </w:rPr>
        <w:t>5.46</w:t>
      </w:r>
      <w:r>
        <w:rPr>
          <w:rFonts w:hint="eastAsia" w:ascii="仿宋_GB2312" w:hAnsi="仿宋" w:eastAsia="仿宋_GB2312"/>
          <w:color w:val="000000"/>
          <w:sz w:val="32"/>
          <w:szCs w:val="32"/>
          <w:highlight w:val="none"/>
        </w:rPr>
        <w:t>万元。</w:t>
      </w:r>
    </w:p>
    <w:p>
      <w:pPr>
        <w:spacing w:line="580" w:lineRule="exact"/>
        <w:ind w:firstLine="800" w:firstLineChars="25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（二）资金计划、到位及使用情况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1.资金计划。市本级财政资金安排项目经费</w:t>
      </w:r>
      <w:r>
        <w:rPr>
          <w:rFonts w:hint="eastAsia" w:ascii="仿宋_GB2312" w:hAnsi="仿宋" w:eastAsia="仿宋_GB2312"/>
          <w:color w:val="000000"/>
          <w:sz w:val="32"/>
          <w:szCs w:val="32"/>
          <w:highlight w:val="none"/>
          <w:lang w:val="en-US" w:eastAsia="zh-CN"/>
        </w:rPr>
        <w:t>5.46</w:t>
      </w:r>
      <w:r>
        <w:rPr>
          <w:rFonts w:hint="eastAsia" w:ascii="仿宋_GB2312" w:hAnsi="仿宋" w:eastAsia="仿宋_GB2312"/>
          <w:color w:val="000000"/>
          <w:sz w:val="32"/>
          <w:szCs w:val="32"/>
          <w:highlight w:val="none"/>
        </w:rPr>
        <w:t>万元。</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月全部下达到位。</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w:t>
      </w:r>
      <w:r>
        <w:rPr>
          <w:rFonts w:hint="eastAsia" w:ascii="仿宋_GB2312" w:hAnsi="仿宋" w:eastAsia="仿宋_GB2312"/>
          <w:color w:val="000000"/>
          <w:sz w:val="32"/>
          <w:szCs w:val="32"/>
          <w:highlight w:val="none"/>
          <w:lang w:val="en-US" w:eastAsia="zh-CN"/>
        </w:rPr>
        <w:t>5.46</w:t>
      </w:r>
      <w:r>
        <w:rPr>
          <w:rFonts w:hint="eastAsia" w:ascii="仿宋_GB2312" w:hAnsi="仿宋" w:eastAsia="仿宋_GB2312"/>
          <w:color w:val="000000"/>
          <w:sz w:val="32"/>
          <w:szCs w:val="32"/>
          <w:highlight w:val="none"/>
        </w:rPr>
        <w:t>万元。主要用于202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年市委办乡村振兴工作经费。支付标准、支付进度、支付依据等合规合法，与预算相符。</w:t>
      </w:r>
    </w:p>
    <w:p>
      <w:pPr>
        <w:spacing w:line="580" w:lineRule="exact"/>
        <w:ind w:firstLine="800" w:firstLineChars="25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（三）项目财务管理情况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spacing w:line="580" w:lineRule="exact"/>
        <w:ind w:firstLine="800" w:firstLineChars="250"/>
        <w:outlineLvl w:val="1"/>
        <w:rPr>
          <w:rFonts w:hint="eastAsia" w:ascii="方正小标宋简体" w:hAnsi="方正小标宋简体" w:eastAsia="方正小标宋简体" w:cs="方正小标宋简体"/>
          <w:b w:val="0"/>
          <w:bCs w:val="0"/>
          <w:color w:val="000000"/>
          <w:sz w:val="32"/>
          <w:szCs w:val="32"/>
          <w:highlight w:val="none"/>
        </w:rPr>
      </w:pPr>
      <w:bookmarkStart w:id="147" w:name="_Toc10913"/>
      <w:r>
        <w:rPr>
          <w:rFonts w:hint="eastAsia" w:ascii="方正小标宋简体" w:hAnsi="方正小标宋简体" w:eastAsia="方正小标宋简体" w:cs="方正小标宋简体"/>
          <w:b w:val="0"/>
          <w:bCs w:val="0"/>
          <w:color w:val="000000"/>
          <w:sz w:val="32"/>
          <w:szCs w:val="32"/>
          <w:highlight w:val="none"/>
        </w:rPr>
        <w:t>三、项目实施及管理情况</w:t>
      </w:r>
      <w:bookmarkEnd w:id="147"/>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（一）项目组织架构及实施流程</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科室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（二）项目管理情况</w:t>
      </w:r>
    </w:p>
    <w:p>
      <w:pPr>
        <w:widowControl/>
        <w:ind w:firstLine="640" w:firstLineChars="200"/>
        <w:jc w:val="left"/>
        <w:rPr>
          <w:rStyle w:val="41"/>
          <w:rFonts w:hint="eastAsia" w:ascii="仿宋_GB2312" w:hAnsi="黑体" w:eastAsia="仿宋_GB2312"/>
          <w:b w:val="0"/>
          <w:sz w:val="32"/>
          <w:szCs w:val="32"/>
          <w:highlight w:val="none"/>
        </w:rPr>
      </w:pPr>
      <w:bookmarkStart w:id="148" w:name="_Toc18067"/>
      <w:r>
        <w:rPr>
          <w:rStyle w:val="41"/>
          <w:rFonts w:hint="eastAsia" w:ascii="仿宋_GB2312" w:hAnsi="黑体" w:eastAsia="仿宋_GB2312"/>
          <w:b w:val="0"/>
          <w:sz w:val="32"/>
          <w:szCs w:val="32"/>
          <w:highlight w:val="none"/>
        </w:rPr>
        <w:t>本项目由使用预算资金的科室负责，其他科室积极配合，由单位领导负责协调相关工作，由财务科负责项目资金使用的合理性、规范性。</w:t>
      </w:r>
    </w:p>
    <w:bookmarkEnd w:id="148"/>
    <w:p>
      <w:pPr>
        <w:widowControl/>
        <w:ind w:firstLine="640" w:firstLineChars="200"/>
        <w:jc w:val="left"/>
        <w:rPr>
          <w:rStyle w:val="41"/>
          <w:rFonts w:hint="eastAsia" w:ascii="楷体_GB2312" w:hAnsi="楷体_GB2312" w:eastAsia="楷体_GB2312" w:cs="楷体_GB2312"/>
          <w:b w:val="0"/>
          <w:sz w:val="32"/>
          <w:szCs w:val="32"/>
          <w:highlight w:val="none"/>
        </w:rPr>
      </w:pPr>
      <w:bookmarkStart w:id="149" w:name="_Toc19707"/>
      <w:r>
        <w:rPr>
          <w:rStyle w:val="41"/>
          <w:rFonts w:hint="eastAsia" w:ascii="楷体_GB2312" w:hAnsi="楷体_GB2312" w:eastAsia="楷体_GB2312" w:cs="楷体_GB2312"/>
          <w:b w:val="0"/>
          <w:sz w:val="32"/>
          <w:szCs w:val="32"/>
          <w:highlight w:val="none"/>
        </w:rPr>
        <w:t>（三）项目监管情况</w:t>
      </w:r>
    </w:p>
    <w:bookmarkEnd w:id="149"/>
    <w:p>
      <w:pPr>
        <w:widowControl/>
        <w:ind w:firstLine="640" w:firstLineChars="200"/>
        <w:jc w:val="left"/>
        <w:rPr>
          <w:rStyle w:val="41"/>
          <w:rFonts w:hint="eastAsia" w:ascii="仿宋_GB2312" w:hAnsi="黑体" w:eastAsia="仿宋_GB2312"/>
          <w:b w:val="0"/>
          <w:sz w:val="32"/>
          <w:szCs w:val="32"/>
          <w:highlight w:val="none"/>
        </w:rPr>
      </w:pPr>
      <w:bookmarkStart w:id="150" w:name="_Toc253"/>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150"/>
    <w:p>
      <w:pPr>
        <w:widowControl/>
        <w:ind w:firstLine="640" w:firstLineChars="200"/>
        <w:jc w:val="left"/>
        <w:outlineLvl w:val="1"/>
        <w:rPr>
          <w:rStyle w:val="41"/>
          <w:rFonts w:hint="eastAsia" w:ascii="方正小标宋简体" w:hAnsi="方正小标宋简体" w:eastAsia="方正小标宋简体" w:cs="方正小标宋简体"/>
          <w:b w:val="0"/>
          <w:bCs w:val="0"/>
          <w:sz w:val="32"/>
          <w:szCs w:val="32"/>
          <w:highlight w:val="none"/>
        </w:rPr>
      </w:pPr>
      <w:bookmarkStart w:id="151" w:name="_Toc19834"/>
      <w:r>
        <w:rPr>
          <w:rStyle w:val="41"/>
          <w:rFonts w:hint="eastAsia" w:ascii="方正小标宋简体" w:hAnsi="方正小标宋简体" w:eastAsia="方正小标宋简体" w:cs="方正小标宋简体"/>
          <w:b w:val="0"/>
          <w:bCs w:val="0"/>
          <w:sz w:val="32"/>
          <w:szCs w:val="32"/>
          <w:highlight w:val="none"/>
        </w:rPr>
        <w:t>四、项目绩效情况</w:t>
      </w:r>
      <w:bookmarkEnd w:id="151"/>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52" w:name="_Toc13289"/>
      <w:r>
        <w:rPr>
          <w:rStyle w:val="41"/>
          <w:rFonts w:hint="eastAsia" w:ascii="楷体_GB2312" w:hAnsi="楷体_GB2312" w:eastAsia="楷体_GB2312" w:cs="楷体_GB2312"/>
          <w:b w:val="0"/>
          <w:sz w:val="32"/>
          <w:szCs w:val="32"/>
          <w:highlight w:val="none"/>
        </w:rPr>
        <w:t>（一）项目完成情况</w:t>
      </w:r>
    </w:p>
    <w:bookmarkEnd w:id="152"/>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完成202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eastAsia="zh-CN"/>
        </w:rPr>
        <w:t>乡村振兴</w:t>
      </w:r>
      <w:r>
        <w:rPr>
          <w:rFonts w:hint="eastAsia" w:ascii="仿宋_GB2312" w:hAnsi="仿宋" w:eastAsia="仿宋_GB2312"/>
          <w:color w:val="000000"/>
          <w:sz w:val="32"/>
          <w:szCs w:val="32"/>
          <w:highlight w:val="none"/>
        </w:rPr>
        <w:t>目标任务。</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53" w:name="_Toc19603"/>
      <w:r>
        <w:rPr>
          <w:rStyle w:val="41"/>
          <w:rFonts w:hint="eastAsia" w:ascii="楷体_GB2312" w:hAnsi="楷体_GB2312" w:eastAsia="楷体_GB2312" w:cs="楷体_GB2312"/>
          <w:b w:val="0"/>
          <w:sz w:val="32"/>
          <w:szCs w:val="32"/>
          <w:highlight w:val="none"/>
        </w:rPr>
        <w:t>（二）项目效益情况</w:t>
      </w:r>
    </w:p>
    <w:bookmarkEnd w:id="153"/>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完成202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eastAsia="zh-CN"/>
        </w:rPr>
        <w:t>乡村振兴</w:t>
      </w:r>
      <w:r>
        <w:rPr>
          <w:rFonts w:hint="eastAsia" w:ascii="仿宋_GB2312" w:hAnsi="仿宋" w:eastAsia="仿宋_GB2312"/>
          <w:color w:val="000000"/>
          <w:sz w:val="32"/>
          <w:szCs w:val="32"/>
          <w:highlight w:val="none"/>
        </w:rPr>
        <w:t>目标任务。</w:t>
      </w:r>
    </w:p>
    <w:p>
      <w:pPr>
        <w:widowControl/>
        <w:ind w:firstLine="640" w:firstLineChars="200"/>
        <w:jc w:val="left"/>
        <w:outlineLvl w:val="1"/>
        <w:rPr>
          <w:rStyle w:val="41"/>
          <w:rFonts w:hint="eastAsia" w:ascii="方正小标宋简体" w:hAnsi="方正小标宋简体" w:eastAsia="方正小标宋简体" w:cs="方正小标宋简体"/>
          <w:b w:val="0"/>
          <w:bCs w:val="0"/>
          <w:sz w:val="32"/>
          <w:szCs w:val="32"/>
          <w:highlight w:val="none"/>
        </w:rPr>
      </w:pPr>
      <w:bookmarkStart w:id="154" w:name="_Toc20383"/>
      <w:r>
        <w:rPr>
          <w:rStyle w:val="41"/>
          <w:rFonts w:hint="eastAsia" w:ascii="方正小标宋简体" w:hAnsi="方正小标宋简体" w:eastAsia="方正小标宋简体" w:cs="方正小标宋简体"/>
          <w:b w:val="0"/>
          <w:bCs w:val="0"/>
          <w:sz w:val="32"/>
          <w:szCs w:val="32"/>
          <w:highlight w:val="none"/>
        </w:rPr>
        <w:t>五、评价结论及建议</w:t>
      </w:r>
      <w:bookmarkEnd w:id="154"/>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55" w:name="_Toc3214"/>
      <w:r>
        <w:rPr>
          <w:rStyle w:val="41"/>
          <w:rFonts w:hint="eastAsia" w:ascii="楷体_GB2312" w:hAnsi="楷体_GB2312" w:eastAsia="楷体_GB2312" w:cs="楷体_GB2312"/>
          <w:b w:val="0"/>
          <w:sz w:val="32"/>
          <w:szCs w:val="32"/>
          <w:highlight w:val="none"/>
        </w:rPr>
        <w:t>（一）评价结论</w:t>
      </w:r>
    </w:p>
    <w:bookmarkEnd w:id="155"/>
    <w:p>
      <w:pPr>
        <w:widowControl/>
        <w:ind w:firstLine="640" w:firstLineChars="200"/>
        <w:jc w:val="left"/>
        <w:rPr>
          <w:rStyle w:val="41"/>
          <w:rFonts w:hint="eastAsia" w:ascii="仿宋_GB2312" w:hAnsi="黑体" w:eastAsia="仿宋_GB2312"/>
          <w:b w:val="0"/>
          <w:sz w:val="32"/>
          <w:szCs w:val="32"/>
          <w:highlight w:val="none"/>
        </w:rPr>
      </w:pPr>
      <w:r>
        <w:rPr>
          <w:rFonts w:hint="eastAsia" w:ascii="仿宋_GB2312" w:hAnsi="仿宋" w:eastAsia="仿宋_GB2312"/>
          <w:color w:val="000000"/>
          <w:sz w:val="32"/>
          <w:szCs w:val="32"/>
          <w:highlight w:val="none"/>
        </w:rPr>
        <w:t>市委办乡村振兴工作经费</w:t>
      </w:r>
      <w:r>
        <w:rPr>
          <w:rStyle w:val="41"/>
          <w:rFonts w:hint="eastAsia" w:ascii="仿宋_GB2312" w:hAnsi="黑体" w:eastAsia="仿宋_GB2312"/>
          <w:b w:val="0"/>
          <w:sz w:val="32"/>
          <w:szCs w:val="32"/>
          <w:highlight w:val="none"/>
        </w:rPr>
        <w:t>项目绩效编制合理，财务管理规范化，内控制度健全，财政资金使用符合要求，预算执行收支平衡，财政支出绩效评价较好。</w:t>
      </w:r>
      <w:r>
        <w:rPr>
          <w:rFonts w:hint="eastAsia" w:ascii="仿宋_GB2312" w:hAnsi="仿宋_GB2312" w:eastAsia="仿宋_GB2312" w:cs="仿宋_GB2312"/>
          <w:sz w:val="32"/>
          <w:szCs w:val="32"/>
          <w:highlight w:val="none"/>
          <w:lang w:val="en-US" w:eastAsia="zh-CN"/>
        </w:rPr>
        <w:t>脱贫攻坚部门工作经费项目支出绩效</w:t>
      </w:r>
      <w:r>
        <w:rPr>
          <w:rFonts w:hint="eastAsia" w:ascii="仿宋_GB2312" w:hAnsi="仿宋_GB2312" w:eastAsia="仿宋_GB2312" w:cs="仿宋_GB2312"/>
          <w:sz w:val="32"/>
          <w:szCs w:val="32"/>
          <w:highlight w:val="none"/>
          <w:lang w:eastAsia="zh-CN"/>
        </w:rPr>
        <w:t>自评得分</w:t>
      </w:r>
      <w:r>
        <w:rPr>
          <w:rFonts w:hint="eastAsia" w:ascii="仿宋_GB2312" w:hAnsi="仿宋_GB2312" w:eastAsia="仿宋_GB2312" w:cs="仿宋_GB2312"/>
          <w:sz w:val="32"/>
          <w:szCs w:val="32"/>
          <w:highlight w:val="none"/>
          <w:lang w:val="en-US" w:eastAsia="zh-CN"/>
        </w:rPr>
        <w:t>100分。</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56" w:name="_Toc15353"/>
      <w:r>
        <w:rPr>
          <w:rStyle w:val="41"/>
          <w:rFonts w:hint="eastAsia" w:ascii="楷体_GB2312" w:hAnsi="楷体_GB2312" w:eastAsia="楷体_GB2312" w:cs="楷体_GB2312"/>
          <w:b w:val="0"/>
          <w:sz w:val="32"/>
          <w:szCs w:val="32"/>
          <w:highlight w:val="none"/>
        </w:rPr>
        <w:t>（二）存在问题</w:t>
      </w:r>
    </w:p>
    <w:bookmarkEnd w:id="156"/>
    <w:p>
      <w:pPr>
        <w:widowControl/>
        <w:ind w:firstLine="640" w:firstLineChars="200"/>
        <w:jc w:val="left"/>
        <w:rPr>
          <w:rStyle w:val="41"/>
          <w:rFonts w:hint="eastAsia" w:ascii="仿宋_GB2312" w:hAnsi="黑体" w:eastAsia="仿宋_GB2312"/>
          <w:b w:val="0"/>
          <w:sz w:val="32"/>
          <w:szCs w:val="32"/>
          <w:highlight w:val="none"/>
        </w:rPr>
      </w:pPr>
      <w:bookmarkStart w:id="157" w:name="_Toc4550"/>
      <w:r>
        <w:rPr>
          <w:rStyle w:val="41"/>
          <w:rFonts w:hint="eastAsia" w:ascii="仿宋_GB2312" w:hAnsi="黑体" w:eastAsia="仿宋_GB2312"/>
          <w:b w:val="0"/>
          <w:sz w:val="32"/>
          <w:szCs w:val="32"/>
          <w:highlight w:val="none"/>
        </w:rPr>
        <w:t>无。</w:t>
      </w:r>
    </w:p>
    <w:bookmarkEnd w:id="157"/>
    <w:p>
      <w:pPr>
        <w:widowControl/>
        <w:ind w:firstLine="640" w:firstLineChars="200"/>
        <w:jc w:val="left"/>
        <w:rPr>
          <w:rStyle w:val="41"/>
          <w:rFonts w:hint="eastAsia" w:ascii="楷体_GB2312" w:hAnsi="楷体_GB2312" w:eastAsia="楷体_GB2312" w:cs="楷体_GB2312"/>
          <w:b w:val="0"/>
          <w:sz w:val="32"/>
          <w:szCs w:val="32"/>
          <w:highlight w:val="none"/>
        </w:rPr>
      </w:pPr>
      <w:bookmarkStart w:id="158" w:name="_Toc24611"/>
      <w:r>
        <w:rPr>
          <w:rStyle w:val="41"/>
          <w:rFonts w:hint="eastAsia" w:ascii="楷体_GB2312" w:hAnsi="楷体_GB2312" w:eastAsia="楷体_GB2312" w:cs="楷体_GB2312"/>
          <w:b w:val="0"/>
          <w:sz w:val="32"/>
          <w:szCs w:val="32"/>
          <w:highlight w:val="none"/>
        </w:rPr>
        <w:t>（三）相关建议</w:t>
      </w:r>
    </w:p>
    <w:bookmarkEnd w:id="158"/>
    <w:p>
      <w:pPr>
        <w:pStyle w:val="40"/>
        <w:rPr>
          <w:rStyle w:val="41"/>
          <w:rFonts w:hint="eastAsia" w:ascii="仿宋_GB2312" w:hAnsi="黑体" w:eastAsia="仿宋_GB2312"/>
          <w:b w:val="0"/>
          <w:sz w:val="32"/>
          <w:szCs w:val="32"/>
          <w:highlight w:val="none"/>
        </w:rPr>
      </w:pPr>
      <w:bookmarkStart w:id="159" w:name="_Toc20974"/>
      <w:r>
        <w:rPr>
          <w:rStyle w:val="41"/>
          <w:rFonts w:hint="eastAsia" w:ascii="仿宋_GB2312" w:hAnsi="黑体" w:eastAsia="仿宋_GB2312"/>
          <w:b w:val="0"/>
          <w:sz w:val="32"/>
          <w:szCs w:val="32"/>
          <w:highlight w:val="none"/>
        </w:rPr>
        <w:t>无。</w:t>
      </w:r>
    </w:p>
    <w:bookmarkEnd w:id="159"/>
    <w:p>
      <w:pPr>
        <w:widowControl/>
        <w:jc w:val="left"/>
        <w:rPr>
          <w:rStyle w:val="41"/>
          <w:rFonts w:hint="eastAsia" w:ascii="仿宋_GB2312" w:hAnsi="黑体" w:eastAsia="仿宋_GB2312"/>
          <w:b w:val="0"/>
          <w:sz w:val="32"/>
          <w:szCs w:val="32"/>
          <w:highlight w:val="none"/>
        </w:rPr>
      </w:pPr>
      <w:r>
        <w:rPr>
          <w:rFonts w:hint="eastAsia" w:ascii="仿宋_GB2312" w:hAnsi="仿宋_GB2312" w:eastAsia="仿宋_GB2312"/>
          <w:color w:val="auto"/>
          <w:sz w:val="32"/>
          <w:szCs w:val="24"/>
          <w:lang w:val="en-US" w:eastAsia="zh-CN"/>
        </w:rPr>
        <w:t>附表：</w:t>
      </w:r>
    </w:p>
    <w:tbl>
      <w:tblPr>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06"/>
        <w:gridCol w:w="865"/>
        <w:gridCol w:w="821"/>
        <w:gridCol w:w="881"/>
        <w:gridCol w:w="576"/>
        <w:gridCol w:w="600"/>
        <w:gridCol w:w="538"/>
        <w:gridCol w:w="846"/>
        <w:gridCol w:w="598"/>
        <w:gridCol w:w="804"/>
        <w:gridCol w:w="862"/>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942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市委办乡村振兴工作经费支出绩效目标自评表（2022年度）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74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市委办乡村振兴工作经费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68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40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51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40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433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40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完成2022年乡村振兴目标任务。</w:t>
            </w:r>
          </w:p>
        </w:tc>
        <w:tc>
          <w:tcPr>
            <w:tcW w:w="433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完成2022年乡村振兴目标任务。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74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严格落实党的政策宣传，大力实施乡村振兴战略，建强基层组织，为民办事服务，提升治理水平。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5.46</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5.46</w:t>
            </w:r>
          </w:p>
        </w:tc>
        <w:tc>
          <w:tcPr>
            <w:tcW w:w="169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5.46</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5.46</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5.46</w:t>
            </w:r>
          </w:p>
        </w:tc>
        <w:tc>
          <w:tcPr>
            <w:tcW w:w="169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5.46</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8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695"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通过驻村帮扶要求达到乡村振兴要求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驻村队员人数</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完成2022年乡村振兴任务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18200元/人/年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5.46</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5.46万元</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圆满完成乡村振兴各项目标任务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影响驻村工作队开展工作质量</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1年</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帮扶乡镇、村民满意度</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91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81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610"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市委办乡村振兴工作经费项目绩效编制合理，财务管理规范化，内控制度健全，财政资金使用符合要求，预算执行收支平衡，财政支出绩效评价较好。市委办乡村振兴工作经费项目支出绩效自评得分100分。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61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61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610"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pStyle w:val="16"/>
        <w:rPr>
          <w:rStyle w:val="41"/>
          <w:rFonts w:hint="eastAsia" w:ascii="仿宋_GB2312" w:hAnsi="黑体" w:eastAsia="仿宋_GB2312"/>
          <w:b w:val="0"/>
          <w:sz w:val="32"/>
          <w:szCs w:val="32"/>
          <w:highlight w:val="none"/>
        </w:rPr>
      </w:pPr>
    </w:p>
    <w:p>
      <w:pPr>
        <w:rPr>
          <w:rStyle w:val="41"/>
          <w:rFonts w:hint="eastAsia" w:ascii="仿宋_GB2312" w:hAnsi="黑体" w:eastAsia="仿宋_GB2312"/>
          <w:b w:val="0"/>
          <w:sz w:val="32"/>
          <w:szCs w:val="32"/>
          <w:highlight w:val="none"/>
        </w:rPr>
      </w:pPr>
    </w:p>
    <w:p>
      <w:pPr>
        <w:pStyle w:val="2"/>
        <w:rPr>
          <w:rStyle w:val="41"/>
          <w:rFonts w:hint="eastAsia" w:ascii="仿宋_GB2312" w:hAnsi="黑体" w:eastAsia="仿宋_GB2312"/>
          <w:b w:val="0"/>
          <w:sz w:val="32"/>
          <w:szCs w:val="32"/>
          <w:highlight w:val="none"/>
        </w:rPr>
      </w:pPr>
    </w:p>
    <w:p>
      <w:pPr>
        <w:pStyle w:val="2"/>
        <w:rPr>
          <w:rStyle w:val="41"/>
          <w:rFonts w:hint="eastAsia" w:ascii="仿宋_GB2312" w:hAnsi="黑体" w:eastAsia="仿宋_GB2312"/>
          <w:b w:val="0"/>
          <w:sz w:val="32"/>
          <w:szCs w:val="32"/>
          <w:highlight w:val="none"/>
        </w:rPr>
      </w:pPr>
    </w:p>
    <w:p>
      <w:pPr>
        <w:pStyle w:val="2"/>
        <w:rPr>
          <w:rStyle w:val="41"/>
          <w:rFonts w:hint="eastAsia" w:ascii="仿宋_GB2312" w:hAnsi="黑体" w:eastAsia="仿宋_GB2312"/>
          <w:b w:val="0"/>
          <w:sz w:val="32"/>
          <w:szCs w:val="32"/>
          <w:highlight w:val="none"/>
        </w:rPr>
      </w:pPr>
    </w:p>
    <w:p>
      <w:pPr>
        <w:rPr>
          <w:rFonts w:hint="eastAsia"/>
        </w:rPr>
      </w:pPr>
    </w:p>
    <w:p>
      <w:pPr>
        <w:pStyle w:val="16"/>
        <w:ind w:left="0" w:leftChars="0" w:firstLine="0" w:firstLineChars="0"/>
        <w:rPr>
          <w:rFonts w:hint="eastAsia"/>
        </w:rPr>
      </w:pPr>
    </w:p>
    <w:p>
      <w:pPr>
        <w:rPr>
          <w:rFonts w:hint="eastAsia"/>
          <w:highlight w:val="none"/>
        </w:rPr>
      </w:pPr>
    </w:p>
    <w:p>
      <w:pPr>
        <w:pStyle w:val="16"/>
        <w:rPr>
          <w:rFonts w:hint="eastAsia"/>
          <w:highlight w:val="none"/>
        </w:rPr>
      </w:pPr>
    </w:p>
    <w:p>
      <w:pPr>
        <w:rPr>
          <w:rFonts w:hint="eastAsia"/>
          <w:highlight w:val="none"/>
        </w:rPr>
      </w:pPr>
    </w:p>
    <w:p>
      <w:pPr>
        <w:pStyle w:val="16"/>
        <w:rPr>
          <w:rFonts w:hint="eastAsia"/>
          <w:highlight w:val="none"/>
        </w:rPr>
      </w:pPr>
    </w:p>
    <w:p>
      <w:pPr>
        <w:rPr>
          <w:rFonts w:hint="eastAsia"/>
          <w:highlight w:val="none"/>
        </w:rPr>
      </w:pPr>
    </w:p>
    <w:p>
      <w:pPr>
        <w:pStyle w:val="16"/>
        <w:rPr>
          <w:rFonts w:hint="eastAsia"/>
          <w:highlight w:val="none"/>
        </w:rPr>
      </w:pPr>
    </w:p>
    <w:p>
      <w:pPr>
        <w:rPr>
          <w:rFonts w:hint="eastAsia"/>
          <w:highlight w:val="none"/>
        </w:rPr>
      </w:pPr>
    </w:p>
    <w:p>
      <w:pPr>
        <w:spacing w:line="580" w:lineRule="exact"/>
        <w:jc w:val="both"/>
        <w:rPr>
          <w:rFonts w:hint="eastAsia" w:ascii="方正小标宋简体" w:hAnsi="方正小标宋简体" w:eastAsia="方正小标宋简体" w:cs="方正小标宋简体"/>
          <w:b w:val="0"/>
          <w:bCs/>
          <w:color w:val="000000"/>
          <w:sz w:val="36"/>
          <w:szCs w:val="36"/>
          <w:highlight w:val="none"/>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bookmarkStart w:id="160" w:name="_Toc16731"/>
      <w:r>
        <w:rPr>
          <w:rFonts w:hint="eastAsia" w:ascii="方正小标宋简体" w:hAnsi="方正小标宋简体" w:eastAsia="方正小标宋简体" w:cs="方正小标宋简体"/>
          <w:b w:val="0"/>
          <w:bCs/>
          <w:color w:val="000000"/>
          <w:sz w:val="36"/>
          <w:szCs w:val="36"/>
          <w:highlight w:val="none"/>
        </w:rPr>
        <w:t>市委办临聘人员补助经费项目支出绩效自评报告</w:t>
      </w:r>
      <w:bookmarkEnd w:id="160"/>
    </w:p>
    <w:p>
      <w:pPr>
        <w:pStyle w:val="40"/>
        <w:rPr>
          <w:rFonts w:hint="eastAsia"/>
          <w:highlight w:val="none"/>
        </w:rPr>
      </w:pP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161" w:name="_Toc21078"/>
      <w:r>
        <w:rPr>
          <w:rFonts w:hint="eastAsia" w:ascii="黑体" w:hAnsi="黑体" w:eastAsia="黑体" w:cs="黑体"/>
          <w:b w:val="0"/>
          <w:bCs w:val="0"/>
          <w:color w:val="000000"/>
          <w:sz w:val="32"/>
          <w:szCs w:val="32"/>
          <w:highlight w:val="none"/>
        </w:rPr>
        <w:t>一、项目概况</w:t>
      </w:r>
      <w:bookmarkEnd w:id="161"/>
    </w:p>
    <w:p>
      <w:pPr>
        <w:spacing w:line="580" w:lineRule="exact"/>
        <w:ind w:firstLine="640" w:firstLineChars="200"/>
        <w:rPr>
          <w:rFonts w:hint="eastAsia" w:ascii="仿宋_GB2312" w:hAnsi="仿宋" w:eastAsia="仿宋_GB2312"/>
          <w:color w:val="000000"/>
          <w:sz w:val="32"/>
          <w:szCs w:val="32"/>
          <w:highlight w:val="none"/>
        </w:rPr>
      </w:pPr>
      <w:r>
        <w:rPr>
          <w:rFonts w:hint="eastAsia" w:ascii="楷体_GB2312" w:hAnsi="楷体_GB2312" w:eastAsia="楷体_GB2312" w:cs="楷体_GB2312"/>
          <w:color w:val="000000"/>
          <w:sz w:val="32"/>
          <w:szCs w:val="32"/>
          <w:highlight w:val="none"/>
        </w:rPr>
        <w:t>（一）项目基本情况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按照市委办公室职责职能，市委办临聘人员补助经费项目执行科室是行政科及人事科。其职能：负责临聘人员的选聘、管理和考核工作。</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保障市委后勤工作运转。</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该项目按市委办公室财务制度管理。主要用于市委办临聘人员工资、保险、福利等费用。</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color w:val="000000"/>
          <w:sz w:val="32"/>
          <w:szCs w:val="32"/>
          <w:highlight w:val="none"/>
        </w:rPr>
        <w:t>资金分配的原则及考虑因素</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按照预算管理办法及市委办财务制度，结合实际工作情况分配市委办临聘人员补助经费。</w:t>
      </w:r>
    </w:p>
    <w:p>
      <w:pPr>
        <w:spacing w:line="580" w:lineRule="exact"/>
        <w:ind w:firstLine="320" w:firstLineChars="1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rPr>
        <w:t>）项目绩效目标</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按月支付临聘人员工资、保险及福利；按合同支付劳务派遣人员的费用。</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保障市委后勤工作运转。</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80" w:lineRule="exact"/>
        <w:ind w:firstLine="640" w:firstLineChars="200"/>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三</w:t>
      </w: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kern w:val="0"/>
          <w:sz w:val="32"/>
          <w:szCs w:val="32"/>
          <w:highlight w:val="none"/>
        </w:rPr>
        <w:t>项目自评步骤及方法</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spacing w:line="580" w:lineRule="exact"/>
        <w:ind w:firstLine="800" w:firstLineChars="250"/>
        <w:outlineLvl w:val="1"/>
        <w:rPr>
          <w:rFonts w:hint="eastAsia" w:ascii="黑体" w:hAnsi="黑体" w:eastAsia="黑体" w:cs="黑体"/>
          <w:b w:val="0"/>
          <w:bCs w:val="0"/>
          <w:color w:val="000000"/>
          <w:sz w:val="32"/>
          <w:szCs w:val="32"/>
          <w:highlight w:val="none"/>
        </w:rPr>
      </w:pPr>
      <w:bookmarkStart w:id="162" w:name="_Toc14481"/>
      <w:r>
        <w:rPr>
          <w:rFonts w:hint="eastAsia" w:ascii="黑体" w:hAnsi="黑体" w:eastAsia="黑体" w:cs="黑体"/>
          <w:b w:val="0"/>
          <w:bCs w:val="0"/>
          <w:color w:val="000000"/>
          <w:sz w:val="32"/>
          <w:szCs w:val="32"/>
          <w:highlight w:val="none"/>
        </w:rPr>
        <w:t>二、项目资金申报及使用情况</w:t>
      </w:r>
      <w:bookmarkEnd w:id="162"/>
    </w:p>
    <w:p>
      <w:pPr>
        <w:spacing w:line="580" w:lineRule="exact"/>
        <w:ind w:firstLine="800" w:firstLineChars="250"/>
        <w:rPr>
          <w:rFonts w:hint="eastAsia" w:ascii="楷体_GB2312" w:hAnsi="楷体_GB2312" w:eastAsia="楷体_GB2312" w:cs="楷体_GB2312"/>
          <w:color w:val="000000"/>
          <w:sz w:val="32"/>
          <w:szCs w:val="32"/>
          <w:highlight w:val="none"/>
        </w:rPr>
      </w:pPr>
      <w:bookmarkStart w:id="163" w:name="OLE_LINK3"/>
      <w:r>
        <w:rPr>
          <w:rFonts w:hint="eastAsia" w:ascii="楷体_GB2312" w:hAnsi="楷体_GB2312" w:eastAsia="楷体_GB2312" w:cs="楷体_GB2312"/>
          <w:color w:val="000000"/>
          <w:sz w:val="32"/>
          <w:szCs w:val="32"/>
          <w:highlight w:val="none"/>
        </w:rPr>
        <w:t>（一）</w:t>
      </w:r>
      <w:bookmarkEnd w:id="163"/>
      <w:r>
        <w:rPr>
          <w:rFonts w:hint="eastAsia" w:ascii="楷体_GB2312" w:hAnsi="楷体_GB2312" w:eastAsia="楷体_GB2312" w:cs="楷体_GB2312"/>
          <w:color w:val="000000"/>
          <w:sz w:val="32"/>
          <w:szCs w:val="32"/>
          <w:highlight w:val="none"/>
        </w:rPr>
        <w:t>项目资金申报及批复情况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年预算编制时申报“市委办临聘人员补助经费”项目，财政于202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日下达项目经费</w:t>
      </w:r>
      <w:r>
        <w:rPr>
          <w:rFonts w:hint="eastAsia" w:ascii="仿宋_GB2312" w:hAnsi="仿宋" w:eastAsia="仿宋_GB2312"/>
          <w:color w:val="000000"/>
          <w:sz w:val="32"/>
          <w:szCs w:val="32"/>
          <w:highlight w:val="none"/>
          <w:lang w:val="en-US" w:eastAsia="zh-CN"/>
        </w:rPr>
        <w:t>114</w:t>
      </w:r>
      <w:r>
        <w:rPr>
          <w:rFonts w:hint="eastAsia" w:ascii="仿宋_GB2312" w:hAnsi="仿宋" w:eastAsia="仿宋_GB2312"/>
          <w:color w:val="000000"/>
          <w:sz w:val="32"/>
          <w:szCs w:val="32"/>
          <w:highlight w:val="none"/>
        </w:rPr>
        <w:t>万元。</w:t>
      </w:r>
    </w:p>
    <w:p>
      <w:pPr>
        <w:spacing w:line="580" w:lineRule="exact"/>
        <w:ind w:firstLine="800" w:firstLineChars="25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（二）资金计划、到位及使用情况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1.资金计划。市本级财政资金安排项目经费</w:t>
      </w:r>
      <w:r>
        <w:rPr>
          <w:rFonts w:hint="eastAsia" w:ascii="仿宋_GB2312" w:hAnsi="仿宋" w:eastAsia="仿宋_GB2312"/>
          <w:color w:val="000000"/>
          <w:sz w:val="32"/>
          <w:szCs w:val="32"/>
          <w:highlight w:val="none"/>
          <w:lang w:val="en-US" w:eastAsia="zh-CN"/>
        </w:rPr>
        <w:t>114</w:t>
      </w:r>
      <w:r>
        <w:rPr>
          <w:rFonts w:hint="eastAsia" w:ascii="仿宋_GB2312" w:hAnsi="仿宋" w:eastAsia="仿宋_GB2312"/>
          <w:color w:val="000000"/>
          <w:sz w:val="32"/>
          <w:szCs w:val="32"/>
          <w:highlight w:val="none"/>
        </w:rPr>
        <w:t>万元。</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月全部下达到位。</w:t>
      </w:r>
    </w:p>
    <w:p>
      <w:pPr>
        <w:spacing w:line="580" w:lineRule="exact"/>
        <w:rPr>
          <w:rFonts w:hint="eastAsia" w:ascii="仿宋_GB2312" w:hAnsi="仿宋" w:eastAsia="仿宋_GB2312"/>
          <w:color w:val="000000"/>
          <w:sz w:val="32"/>
          <w:szCs w:val="32"/>
          <w:highlight w:val="yellow"/>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年共支出94万元。主要用于市委办临聘人员工资、福利及五险一金的发放及缴纳等费用。支付标准、支付进度、支付依据等合规合法，与预算相符。</w:t>
      </w:r>
    </w:p>
    <w:p>
      <w:pPr>
        <w:spacing w:line="580" w:lineRule="exact"/>
        <w:ind w:firstLine="800" w:firstLineChars="25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（三）项目财务管理情况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spacing w:line="580" w:lineRule="exact"/>
        <w:ind w:firstLine="640"/>
        <w:outlineLvl w:val="1"/>
        <w:rPr>
          <w:rFonts w:hint="eastAsia" w:ascii="黑体" w:hAnsi="黑体" w:eastAsia="黑体" w:cs="黑体"/>
          <w:b w:val="0"/>
          <w:bCs w:val="0"/>
          <w:color w:val="000000"/>
          <w:sz w:val="32"/>
          <w:szCs w:val="32"/>
          <w:highlight w:val="none"/>
        </w:rPr>
      </w:pPr>
      <w:bookmarkStart w:id="164" w:name="_Toc21898"/>
      <w:r>
        <w:rPr>
          <w:rFonts w:hint="eastAsia" w:ascii="黑体" w:hAnsi="黑体" w:eastAsia="黑体" w:cs="黑体"/>
          <w:b w:val="0"/>
          <w:bCs w:val="0"/>
          <w:color w:val="000000"/>
          <w:sz w:val="32"/>
          <w:szCs w:val="32"/>
          <w:highlight w:val="none"/>
        </w:rPr>
        <w:t>三、项目实施及管理情况</w:t>
      </w:r>
      <w:bookmarkEnd w:id="164"/>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（一）项目组织架构及实施流程</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科室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（二）项目管理情况</w:t>
      </w:r>
    </w:p>
    <w:p>
      <w:pPr>
        <w:widowControl/>
        <w:jc w:val="left"/>
        <w:rPr>
          <w:rStyle w:val="41"/>
          <w:rFonts w:hint="eastAsia" w:ascii="仿宋_GB2312" w:hAnsi="黑体" w:eastAsia="仿宋_GB2312"/>
          <w:b w:val="0"/>
          <w:sz w:val="32"/>
          <w:szCs w:val="32"/>
          <w:highlight w:val="none"/>
        </w:rPr>
      </w:pPr>
      <w:bookmarkStart w:id="165" w:name="_Toc32277"/>
      <w:r>
        <w:rPr>
          <w:rStyle w:val="41"/>
          <w:rFonts w:hint="eastAsia" w:ascii="仿宋_GB2312" w:hAnsi="黑体" w:eastAsia="仿宋_GB2312"/>
          <w:b w:val="0"/>
          <w:sz w:val="32"/>
          <w:szCs w:val="32"/>
          <w:highlight w:val="none"/>
        </w:rPr>
        <w:t>本项目由使用预算资金的科室负责，其他科室积极配合，由单位领导负责协调相关工作，由财务科负责项目资金使用的合理性、规范性。</w:t>
      </w:r>
    </w:p>
    <w:bookmarkEnd w:id="165"/>
    <w:p>
      <w:pPr>
        <w:widowControl/>
        <w:ind w:firstLine="640" w:firstLineChars="200"/>
        <w:jc w:val="left"/>
        <w:rPr>
          <w:rStyle w:val="41"/>
          <w:rFonts w:hint="eastAsia" w:ascii="楷体_GB2312" w:hAnsi="楷体_GB2312" w:eastAsia="楷体_GB2312" w:cs="楷体_GB2312"/>
          <w:b w:val="0"/>
          <w:sz w:val="32"/>
          <w:szCs w:val="32"/>
          <w:highlight w:val="none"/>
        </w:rPr>
      </w:pPr>
      <w:bookmarkStart w:id="166" w:name="_Toc31426"/>
      <w:r>
        <w:rPr>
          <w:rStyle w:val="41"/>
          <w:rFonts w:hint="eastAsia" w:ascii="楷体_GB2312" w:hAnsi="楷体_GB2312" w:eastAsia="楷体_GB2312" w:cs="楷体_GB2312"/>
          <w:b w:val="0"/>
          <w:sz w:val="32"/>
          <w:szCs w:val="32"/>
          <w:highlight w:val="none"/>
        </w:rPr>
        <w:t>（三）项目监管情况</w:t>
      </w:r>
    </w:p>
    <w:bookmarkEnd w:id="166"/>
    <w:p>
      <w:pPr>
        <w:widowControl/>
        <w:ind w:firstLine="640" w:firstLineChars="200"/>
        <w:jc w:val="left"/>
        <w:rPr>
          <w:rStyle w:val="41"/>
          <w:rFonts w:hint="eastAsia" w:ascii="仿宋_GB2312" w:hAnsi="黑体" w:eastAsia="仿宋_GB2312"/>
          <w:b w:val="0"/>
          <w:sz w:val="32"/>
          <w:szCs w:val="32"/>
          <w:highlight w:val="none"/>
        </w:rPr>
      </w:pPr>
      <w:bookmarkStart w:id="167" w:name="_Toc955"/>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167"/>
    <w:p>
      <w:pPr>
        <w:widowControl/>
        <w:ind w:firstLine="640" w:firstLineChars="200"/>
        <w:jc w:val="left"/>
        <w:outlineLvl w:val="1"/>
        <w:rPr>
          <w:rStyle w:val="41"/>
          <w:rFonts w:hint="eastAsia" w:ascii="黑体" w:hAnsi="黑体" w:eastAsia="黑体" w:cs="黑体"/>
          <w:b w:val="0"/>
          <w:bCs w:val="0"/>
          <w:sz w:val="32"/>
          <w:szCs w:val="32"/>
          <w:highlight w:val="none"/>
        </w:rPr>
      </w:pPr>
      <w:bookmarkStart w:id="168" w:name="_Toc1534"/>
      <w:r>
        <w:rPr>
          <w:rStyle w:val="41"/>
          <w:rFonts w:hint="eastAsia" w:ascii="黑体" w:hAnsi="黑体" w:eastAsia="黑体" w:cs="黑体"/>
          <w:b w:val="0"/>
          <w:bCs w:val="0"/>
          <w:sz w:val="32"/>
          <w:szCs w:val="32"/>
          <w:highlight w:val="none"/>
        </w:rPr>
        <w:t>四、项目绩效情况</w:t>
      </w:r>
      <w:bookmarkEnd w:id="168"/>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69" w:name="_Toc6428"/>
      <w:r>
        <w:rPr>
          <w:rStyle w:val="41"/>
          <w:rFonts w:hint="eastAsia" w:ascii="楷体_GB2312" w:hAnsi="楷体_GB2312" w:eastAsia="楷体_GB2312" w:cs="楷体_GB2312"/>
          <w:b w:val="0"/>
          <w:sz w:val="32"/>
          <w:szCs w:val="32"/>
          <w:highlight w:val="none"/>
        </w:rPr>
        <w:t>（一）项目完成情况</w:t>
      </w:r>
    </w:p>
    <w:bookmarkEnd w:id="169"/>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完成202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年临聘人员工资、福利及五险一金的发放及缴纳工作。</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70" w:name="_Toc32189"/>
      <w:r>
        <w:rPr>
          <w:rStyle w:val="41"/>
          <w:rFonts w:hint="eastAsia" w:ascii="楷体_GB2312" w:hAnsi="楷体_GB2312" w:eastAsia="楷体_GB2312" w:cs="楷体_GB2312"/>
          <w:b w:val="0"/>
          <w:sz w:val="32"/>
          <w:szCs w:val="32"/>
          <w:highlight w:val="none"/>
        </w:rPr>
        <w:t>（二）项目效益情况</w:t>
      </w:r>
    </w:p>
    <w:bookmarkEnd w:id="170"/>
    <w:p>
      <w:pPr>
        <w:widowControl/>
        <w:ind w:firstLine="640" w:firstLineChars="200"/>
        <w:jc w:val="left"/>
        <w:rPr>
          <w:rStyle w:val="41"/>
          <w:rFonts w:hint="eastAsia" w:ascii="仿宋_GB2312" w:hAnsi="黑体" w:eastAsia="仿宋_GB2312"/>
          <w:b w:val="0"/>
          <w:sz w:val="32"/>
          <w:szCs w:val="32"/>
          <w:highlight w:val="none"/>
        </w:rPr>
      </w:pPr>
      <w:bookmarkStart w:id="171" w:name="_Toc29403"/>
      <w:r>
        <w:rPr>
          <w:rStyle w:val="41"/>
          <w:rFonts w:hint="eastAsia" w:ascii="仿宋_GB2312" w:hAnsi="黑体" w:eastAsia="仿宋_GB2312"/>
          <w:b w:val="0"/>
          <w:sz w:val="32"/>
          <w:szCs w:val="32"/>
          <w:highlight w:val="none"/>
        </w:rPr>
        <w:t>保障市委办临聘人员工资福利，提升后勤服务水平，有力保障了市委机关高效运转和领导干部办公需要。</w:t>
      </w:r>
    </w:p>
    <w:bookmarkEnd w:id="171"/>
    <w:p>
      <w:pPr>
        <w:widowControl/>
        <w:ind w:firstLine="640" w:firstLineChars="200"/>
        <w:jc w:val="left"/>
        <w:outlineLvl w:val="1"/>
        <w:rPr>
          <w:rStyle w:val="41"/>
          <w:rFonts w:hint="eastAsia" w:ascii="黑体" w:hAnsi="黑体" w:eastAsia="黑体" w:cs="黑体"/>
          <w:b w:val="0"/>
          <w:bCs w:val="0"/>
          <w:sz w:val="32"/>
          <w:szCs w:val="32"/>
          <w:highlight w:val="none"/>
        </w:rPr>
      </w:pPr>
      <w:bookmarkStart w:id="172" w:name="_Toc29615"/>
      <w:r>
        <w:rPr>
          <w:rStyle w:val="41"/>
          <w:rFonts w:hint="eastAsia" w:ascii="黑体" w:hAnsi="黑体" w:eastAsia="黑体" w:cs="黑体"/>
          <w:b w:val="0"/>
          <w:bCs w:val="0"/>
          <w:sz w:val="32"/>
          <w:szCs w:val="32"/>
          <w:highlight w:val="none"/>
        </w:rPr>
        <w:t>五、评价结论及建议</w:t>
      </w:r>
      <w:bookmarkEnd w:id="172"/>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73" w:name="_Toc13592"/>
      <w:r>
        <w:rPr>
          <w:rStyle w:val="41"/>
          <w:rFonts w:hint="eastAsia" w:ascii="楷体_GB2312" w:hAnsi="楷体_GB2312" w:eastAsia="楷体_GB2312" w:cs="楷体_GB2312"/>
          <w:b w:val="0"/>
          <w:sz w:val="32"/>
          <w:szCs w:val="32"/>
          <w:highlight w:val="none"/>
        </w:rPr>
        <w:t>（一）评价结论</w:t>
      </w:r>
    </w:p>
    <w:bookmarkEnd w:id="173"/>
    <w:p>
      <w:pPr>
        <w:widowControl/>
        <w:ind w:firstLine="640" w:firstLineChars="200"/>
        <w:jc w:val="left"/>
        <w:rPr>
          <w:rStyle w:val="41"/>
          <w:rFonts w:hint="eastAsia" w:ascii="仿宋_GB2312" w:hAnsi="黑体" w:eastAsia="仿宋_GB2312"/>
          <w:b w:val="0"/>
          <w:sz w:val="32"/>
          <w:szCs w:val="32"/>
          <w:highlight w:val="yellow"/>
        </w:rPr>
      </w:pPr>
      <w:r>
        <w:rPr>
          <w:rFonts w:hint="eastAsia" w:ascii="仿宋_GB2312" w:hAnsi="仿宋" w:eastAsia="仿宋_GB2312"/>
          <w:color w:val="000000"/>
          <w:sz w:val="32"/>
          <w:szCs w:val="32"/>
          <w:highlight w:val="none"/>
        </w:rPr>
        <w:t>市委办临聘人员补助经费</w:t>
      </w:r>
      <w:r>
        <w:rPr>
          <w:rStyle w:val="41"/>
          <w:rFonts w:hint="eastAsia" w:ascii="仿宋_GB2312" w:hAnsi="黑体" w:eastAsia="仿宋_GB2312"/>
          <w:b w:val="0"/>
          <w:sz w:val="32"/>
          <w:szCs w:val="32"/>
          <w:highlight w:val="none"/>
        </w:rPr>
        <w:t>项目绩效编制合理，财务管理规范化，内控制度健全，财政资金使用符合要求，预算执行收支平衡，财政支出绩效评价较好。</w:t>
      </w:r>
      <w:r>
        <w:rPr>
          <w:rFonts w:hint="eastAsia" w:ascii="仿宋_GB2312" w:hAnsi="仿宋_GB2312" w:eastAsia="仿宋_GB2312" w:cs="仿宋_GB2312"/>
          <w:sz w:val="32"/>
          <w:szCs w:val="32"/>
          <w:highlight w:val="none"/>
          <w:lang w:val="en-US" w:eastAsia="zh-CN"/>
        </w:rPr>
        <w:t>市委办临聘人员补助经费项目支出绩效</w:t>
      </w:r>
      <w:r>
        <w:rPr>
          <w:rFonts w:hint="eastAsia" w:ascii="仿宋_GB2312" w:hAnsi="仿宋_GB2312" w:eastAsia="仿宋_GB2312" w:cs="仿宋_GB2312"/>
          <w:sz w:val="32"/>
          <w:szCs w:val="32"/>
          <w:highlight w:val="none"/>
          <w:lang w:eastAsia="zh-CN"/>
        </w:rPr>
        <w:t>自评得分</w:t>
      </w:r>
      <w:r>
        <w:rPr>
          <w:rStyle w:val="41"/>
          <w:rFonts w:hint="eastAsia" w:ascii="仿宋_GB2312" w:hAnsi="黑体" w:eastAsia="仿宋_GB2312"/>
          <w:b w:val="0"/>
          <w:bCs w:val="0"/>
          <w:sz w:val="32"/>
          <w:szCs w:val="32"/>
          <w:highlight w:val="none"/>
          <w:lang w:val="en-US" w:eastAsia="zh-CN"/>
        </w:rPr>
        <w:t>98分。</w:t>
      </w:r>
    </w:p>
    <w:p>
      <w:pPr>
        <w:widowControl/>
        <w:numPr>
          <w:ilvl w:val="0"/>
          <w:numId w:val="15"/>
        </w:numPr>
        <w:ind w:firstLine="640" w:firstLineChars="200"/>
        <w:jc w:val="left"/>
        <w:rPr>
          <w:rStyle w:val="41"/>
          <w:rFonts w:hint="eastAsia" w:ascii="仿宋_GB2312" w:hAnsi="黑体" w:eastAsia="仿宋_GB2312"/>
          <w:b w:val="0"/>
          <w:sz w:val="32"/>
          <w:szCs w:val="32"/>
          <w:highlight w:val="none"/>
        </w:rPr>
      </w:pPr>
      <w:bookmarkStart w:id="174" w:name="_Toc14302"/>
      <w:r>
        <w:rPr>
          <w:rStyle w:val="41"/>
          <w:rFonts w:hint="eastAsia" w:ascii="楷体_GB2312" w:hAnsi="楷体_GB2312" w:eastAsia="楷体_GB2312" w:cs="楷体_GB2312"/>
          <w:b w:val="0"/>
          <w:sz w:val="32"/>
          <w:szCs w:val="32"/>
          <w:highlight w:val="none"/>
        </w:rPr>
        <w:t>存在问题</w:t>
      </w:r>
    </w:p>
    <w:bookmarkEnd w:id="174"/>
    <w:p>
      <w:pPr>
        <w:widowControl/>
        <w:numPr>
          <w:ilvl w:val="0"/>
          <w:numId w:val="0"/>
        </w:numPr>
        <w:jc w:val="left"/>
        <w:rPr>
          <w:rStyle w:val="41"/>
          <w:rFonts w:hint="eastAsia" w:ascii="仿宋_GB2312" w:hAnsi="黑体" w:eastAsia="仿宋_GB2312"/>
          <w:b w:val="0"/>
          <w:sz w:val="32"/>
          <w:szCs w:val="32"/>
          <w:highlight w:val="none"/>
        </w:rPr>
      </w:pPr>
      <w:bookmarkStart w:id="175" w:name="_Toc25208"/>
      <w:r>
        <w:rPr>
          <w:rStyle w:val="41"/>
          <w:rFonts w:hint="eastAsia" w:ascii="仿宋_GB2312" w:hAnsi="黑体" w:eastAsia="仿宋_GB2312"/>
          <w:b w:val="0"/>
          <w:sz w:val="32"/>
          <w:szCs w:val="32"/>
          <w:highlight w:val="none"/>
        </w:rPr>
        <w:t>机关编外人员用工方式多，人员工资待遇随国家政策调整变化大。</w:t>
      </w:r>
    </w:p>
    <w:bookmarkEnd w:id="175"/>
    <w:p>
      <w:pPr>
        <w:widowControl/>
        <w:ind w:firstLine="640" w:firstLineChars="200"/>
        <w:jc w:val="left"/>
        <w:rPr>
          <w:rStyle w:val="41"/>
          <w:rFonts w:hint="eastAsia" w:ascii="楷体_GB2312" w:hAnsi="楷体_GB2312" w:eastAsia="楷体_GB2312" w:cs="楷体_GB2312"/>
          <w:b w:val="0"/>
          <w:sz w:val="32"/>
          <w:szCs w:val="32"/>
          <w:highlight w:val="none"/>
        </w:rPr>
      </w:pPr>
      <w:bookmarkStart w:id="176" w:name="_Toc29207"/>
      <w:r>
        <w:rPr>
          <w:rStyle w:val="41"/>
          <w:rFonts w:hint="eastAsia" w:ascii="楷体_GB2312" w:hAnsi="楷体_GB2312" w:eastAsia="楷体_GB2312" w:cs="楷体_GB2312"/>
          <w:b w:val="0"/>
          <w:sz w:val="32"/>
          <w:szCs w:val="32"/>
          <w:highlight w:val="none"/>
        </w:rPr>
        <w:t>（三）相关建议</w:t>
      </w:r>
    </w:p>
    <w:bookmarkEnd w:id="176"/>
    <w:p>
      <w:pPr>
        <w:widowControl/>
        <w:ind w:firstLine="640" w:firstLineChars="200"/>
        <w:jc w:val="left"/>
        <w:rPr>
          <w:rFonts w:hint="eastAsia"/>
          <w:highlight w:val="none"/>
        </w:rPr>
      </w:pPr>
      <w:bookmarkStart w:id="177" w:name="_Toc23656"/>
      <w:r>
        <w:rPr>
          <w:rStyle w:val="41"/>
          <w:rFonts w:hint="eastAsia" w:ascii="仿宋_GB2312" w:hAnsi="黑体" w:eastAsia="仿宋_GB2312"/>
          <w:b w:val="0"/>
          <w:sz w:val="32"/>
          <w:szCs w:val="32"/>
          <w:highlight w:val="none"/>
        </w:rPr>
        <w:t>加大预算执行力度，发挥绩效评价结果的作用，提高资金使用效。</w:t>
      </w:r>
      <w:bookmarkEnd w:id="177"/>
    </w:p>
    <w:p>
      <w:pPr>
        <w:widowControl/>
        <w:jc w:val="left"/>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附表：</w:t>
      </w:r>
    </w:p>
    <w:tbl>
      <w:tblPr>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5"/>
        <w:gridCol w:w="900"/>
        <w:gridCol w:w="645"/>
        <w:gridCol w:w="1020"/>
        <w:gridCol w:w="576"/>
        <w:gridCol w:w="570"/>
        <w:gridCol w:w="615"/>
        <w:gridCol w:w="930"/>
        <w:gridCol w:w="645"/>
        <w:gridCol w:w="795"/>
        <w:gridCol w:w="780"/>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525" w:type="dxa"/>
            <w:gridSpan w:val="12"/>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市委办临聘人员补助经费支出绩效目标自评表（2022年度）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89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市委办临聘人员补助经费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63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3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61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3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45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3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保证临聘人员工资、福利和保险发放及缴纳工作。</w:t>
            </w:r>
          </w:p>
        </w:tc>
        <w:tc>
          <w:tcPr>
            <w:tcW w:w="454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保证临聘人员工资、福利和保险发放及缴纳工作。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89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1.保证市委办临聘人员工资、福利及五险一金的发放及缴纳工作。2.劳务派遣人员费用的支付。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6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w:t>
            </w:r>
          </w:p>
        </w:tc>
        <w:tc>
          <w:tcPr>
            <w:tcW w:w="16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82.46%</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中途有临聘人员辞职，因此项目预算执行数未全部使用完。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w:t>
            </w:r>
          </w:p>
        </w:tc>
        <w:tc>
          <w:tcPr>
            <w:tcW w:w="16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82.46%</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6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64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02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680"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3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保障临聘人员各项工作的推进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临聘人员及劳务派遣人数</w:t>
            </w:r>
          </w:p>
        </w:tc>
        <w:tc>
          <w:tcPr>
            <w:tcW w:w="4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20人</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82.46%</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中途有临聘人员辞职，因此项目完成及时率不高。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市委办临聘人员补助经费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94万元</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中途有临聘人员辞职，因此项目预算执行数未全部使用完。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保证市委办正常运转，保障临聘人员安定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市委办对临聘人员工作质量满意度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91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73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790"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市委办临聘人员补助经费项目绩效编制合理，财务管理规范化，内控制度健全，财政资金使用符合要求，预算执行收支平衡，财政支出绩效评价较好。市委办临聘人员补助经费项目支出绩效自评得分98分。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79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管理部门应加强临聘人员考核制度，建立相应的目标绩效管理制度。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79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加大预算执行力度，发挥绩效评价结果的作用，提高资金使用效。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790"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spacing w:line="580" w:lineRule="exact"/>
        <w:jc w:val="both"/>
        <w:rPr>
          <w:rFonts w:hint="eastAsia" w:ascii="方正小标宋简体" w:hAnsi="方正小标宋简体" w:eastAsia="方正小标宋简体" w:cs="方正小标宋简体"/>
          <w:b w:val="0"/>
          <w:bCs/>
          <w:color w:val="000000"/>
          <w:sz w:val="36"/>
          <w:szCs w:val="36"/>
          <w:highlight w:val="none"/>
        </w:rPr>
      </w:pPr>
    </w:p>
    <w:p>
      <w:pPr>
        <w:spacing w:line="580" w:lineRule="exact"/>
        <w:jc w:val="both"/>
        <w:rPr>
          <w:rFonts w:hint="eastAsia" w:ascii="方正小标宋简体" w:hAnsi="方正小标宋简体" w:eastAsia="方正小标宋简体" w:cs="方正小标宋简体"/>
          <w:b w:val="0"/>
          <w:bCs/>
          <w:color w:val="000000"/>
          <w:sz w:val="36"/>
          <w:szCs w:val="36"/>
          <w:highlight w:val="none"/>
        </w:rPr>
      </w:pPr>
    </w:p>
    <w:p>
      <w:pPr>
        <w:pStyle w:val="16"/>
        <w:rPr>
          <w:rFonts w:hint="eastAsia" w:ascii="方正小标宋简体" w:hAnsi="方正小标宋简体" w:eastAsia="方正小标宋简体" w:cs="方正小标宋简体"/>
          <w:b w:val="0"/>
          <w:bCs/>
          <w:color w:val="000000"/>
          <w:sz w:val="36"/>
          <w:szCs w:val="36"/>
          <w:highlight w:val="none"/>
        </w:rPr>
      </w:pPr>
    </w:p>
    <w:p>
      <w:pPr>
        <w:rPr>
          <w:rFonts w:hint="eastAsia" w:ascii="方正小标宋简体" w:hAnsi="方正小标宋简体" w:eastAsia="方正小标宋简体" w:cs="方正小标宋简体"/>
          <w:b w:val="0"/>
          <w:bCs/>
          <w:color w:val="000000"/>
          <w:sz w:val="36"/>
          <w:szCs w:val="36"/>
          <w:highlight w:val="none"/>
        </w:rPr>
      </w:pPr>
    </w:p>
    <w:p>
      <w:pPr>
        <w:pStyle w:val="16"/>
        <w:rPr>
          <w:rFonts w:hint="eastAsia" w:ascii="方正小标宋简体" w:hAnsi="方正小标宋简体" w:eastAsia="方正小标宋简体" w:cs="方正小标宋简体"/>
          <w:b w:val="0"/>
          <w:bCs/>
          <w:color w:val="000000"/>
          <w:sz w:val="36"/>
          <w:szCs w:val="36"/>
          <w:highlight w:val="none"/>
        </w:rPr>
      </w:pPr>
    </w:p>
    <w:p>
      <w:pPr>
        <w:pStyle w:val="16"/>
        <w:ind w:left="0" w:leftChars="0" w:firstLine="0" w:firstLineChars="0"/>
        <w:rPr>
          <w:rFonts w:hint="eastAsia" w:ascii="方正小标宋简体" w:hAnsi="方正小标宋简体" w:eastAsia="方正小标宋简体" w:cs="方正小标宋简体"/>
          <w:b w:val="0"/>
          <w:bCs/>
          <w:color w:val="000000"/>
          <w:sz w:val="36"/>
          <w:szCs w:val="36"/>
          <w:highlight w:val="none"/>
        </w:rPr>
      </w:pPr>
    </w:p>
    <w:p>
      <w:pPr>
        <w:pStyle w:val="16"/>
        <w:ind w:left="0" w:leftChars="0" w:firstLine="0" w:firstLineChars="0"/>
        <w:rPr>
          <w:rFonts w:hint="eastAsia"/>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bookmarkStart w:id="178" w:name="_Toc15257"/>
      <w:r>
        <w:rPr>
          <w:rFonts w:hint="eastAsia" w:ascii="方正小标宋简体" w:hAnsi="方正小标宋简体" w:eastAsia="方正小标宋简体" w:cs="方正小标宋简体"/>
          <w:b w:val="0"/>
          <w:bCs/>
          <w:color w:val="000000"/>
          <w:sz w:val="36"/>
          <w:szCs w:val="36"/>
          <w:highlight w:val="none"/>
        </w:rPr>
        <w:t>市委办综合性工作经费项目支出绩效自评报告</w:t>
      </w:r>
      <w:bookmarkEnd w:id="178"/>
    </w:p>
    <w:p>
      <w:pPr>
        <w:pStyle w:val="40"/>
        <w:rPr>
          <w:rFonts w:hint="eastAsia"/>
          <w:highlight w:val="none"/>
        </w:rPr>
      </w:pP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179" w:name="_Toc18057"/>
      <w:r>
        <w:rPr>
          <w:rFonts w:hint="eastAsia" w:ascii="黑体" w:hAnsi="黑体" w:eastAsia="黑体" w:cs="黑体"/>
          <w:b w:val="0"/>
          <w:bCs w:val="0"/>
          <w:color w:val="000000"/>
          <w:sz w:val="32"/>
          <w:szCs w:val="32"/>
          <w:highlight w:val="none"/>
        </w:rPr>
        <w:t>一、项目概况</w:t>
      </w:r>
      <w:bookmarkEnd w:id="179"/>
    </w:p>
    <w:p>
      <w:pPr>
        <w:spacing w:line="580" w:lineRule="exact"/>
        <w:ind w:firstLine="640" w:firstLineChars="200"/>
        <w:rPr>
          <w:rFonts w:hint="eastAsia" w:ascii="楷体_GB2312" w:hAnsi="楷体_GB2312" w:eastAsia="楷体_GB2312" w:cs="楷体_GB2312"/>
          <w:color w:val="000000"/>
          <w:sz w:val="32"/>
          <w:szCs w:val="32"/>
          <w:highlight w:val="none"/>
        </w:rPr>
      </w:pPr>
      <w:bookmarkStart w:id="180" w:name="OLE_LINK6"/>
      <w:r>
        <w:rPr>
          <w:rFonts w:hint="eastAsia" w:ascii="楷体_GB2312" w:hAnsi="楷体_GB2312" w:eastAsia="楷体_GB2312" w:cs="楷体_GB2312"/>
          <w:color w:val="000000"/>
          <w:sz w:val="32"/>
          <w:szCs w:val="32"/>
          <w:highlight w:val="none"/>
        </w:rPr>
        <w:t>（一）</w:t>
      </w:r>
      <w:bookmarkEnd w:id="180"/>
      <w:r>
        <w:rPr>
          <w:rFonts w:hint="eastAsia" w:ascii="楷体_GB2312" w:hAnsi="楷体_GB2312" w:eastAsia="楷体_GB2312" w:cs="楷体_GB2312"/>
          <w:color w:val="000000"/>
          <w:sz w:val="32"/>
          <w:szCs w:val="32"/>
          <w:highlight w:val="none"/>
        </w:rPr>
        <w:t>项目基本情况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按照市委办公室职责职能，市委办综合性工作经费项目执行科室是行政科。其职能：负责市委办车辆管理；负责市委办公室公务接待、机关职工食堂的管理等。</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spacing w:line="580" w:lineRule="exact"/>
        <w:rPr>
          <w:rFonts w:hint="eastAsia" w:ascii="仿宋_GB2312" w:eastAsia="仿宋_GB2312"/>
          <w:sz w:val="32"/>
          <w:szCs w:val="32"/>
          <w:highlight w:val="none"/>
        </w:rPr>
      </w:pPr>
      <w:r>
        <w:rPr>
          <w:rFonts w:hint="eastAsia" w:ascii="仿宋_GB2312" w:eastAsia="仿宋_GB2312"/>
          <w:sz w:val="32"/>
          <w:szCs w:val="32"/>
          <w:highlight w:val="none"/>
        </w:rPr>
        <w:t>《中</w:t>
      </w:r>
      <w:r>
        <w:rPr>
          <w:rFonts w:hint="eastAsia" w:ascii="仿宋_GB2312" w:eastAsia="仿宋_GB2312"/>
          <w:sz w:val="32"/>
          <w:szCs w:val="32"/>
          <w:highlight w:val="none"/>
          <w:lang w:eastAsia="zh-CN"/>
        </w:rPr>
        <w:t>共</w:t>
      </w:r>
      <w:r>
        <w:rPr>
          <w:rFonts w:hint="eastAsia" w:ascii="仿宋_GB2312" w:eastAsia="仿宋_GB2312"/>
          <w:sz w:val="32"/>
          <w:szCs w:val="32"/>
          <w:highlight w:val="none"/>
        </w:rPr>
        <w:t>广元市委办公室制度汇编》及《市委办公室各科室内设机构工作职责》第十三值班室工作职责和第十一行政科工作职责</w:t>
      </w:r>
      <w:r>
        <w:rPr>
          <w:rFonts w:hint="eastAsia" w:ascii="仿宋_GB2312" w:eastAsia="仿宋_GB2312"/>
          <w:sz w:val="32"/>
          <w:szCs w:val="32"/>
          <w:highlight w:val="none"/>
          <w:lang w:eastAsia="zh-CN"/>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该项目按市委办公室财务制度管理。主要用于市委办食堂及日常工作经费缺口等费用。</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color w:val="000000"/>
          <w:sz w:val="32"/>
          <w:szCs w:val="32"/>
          <w:highlight w:val="none"/>
        </w:rPr>
        <w:t>资金分配的原则及考虑因素</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按照预算管理办法及市委办财务制度，结合实际工作情况分配市委办综合性工作经费。</w:t>
      </w:r>
    </w:p>
    <w:p>
      <w:pPr>
        <w:spacing w:line="580" w:lineRule="exact"/>
        <w:ind w:firstLine="320" w:firstLineChars="1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rPr>
        <w:t>）项目绩效目标</w:t>
      </w:r>
    </w:p>
    <w:p>
      <w:pPr>
        <w:spacing w:line="580" w:lineRule="exact"/>
        <w:ind w:firstLine="320" w:firstLineChars="1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办公区域（办公楼、会议室、食堂、公共区域）维修维护；</w:t>
      </w:r>
      <w:r>
        <w:rPr>
          <w:rFonts w:hint="eastAsia" w:ascii="仿宋_GB2312" w:hAnsi="仿宋" w:eastAsia="仿宋_GB2312"/>
          <w:color w:val="000000"/>
          <w:sz w:val="32"/>
          <w:szCs w:val="32"/>
          <w:highlight w:val="none"/>
          <w:lang w:eastAsia="zh-CN"/>
        </w:rPr>
        <w:t>车辆维修；</w:t>
      </w:r>
      <w:r>
        <w:rPr>
          <w:rFonts w:hint="eastAsia" w:ascii="仿宋_GB2312" w:hAnsi="仿宋" w:eastAsia="仿宋_GB2312"/>
          <w:color w:val="000000"/>
          <w:sz w:val="32"/>
          <w:szCs w:val="32"/>
          <w:highlight w:val="none"/>
        </w:rPr>
        <w:t>食堂差额补助（保障四大班子领导、下派干部、交流干部以及市委办及代管单位职工就餐）；弥补办公经费不足。</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为市委高效运转提供</w:t>
      </w:r>
      <w:r>
        <w:rPr>
          <w:rFonts w:hint="eastAsia" w:ascii="仿宋_GB2312" w:eastAsia="仿宋_GB2312"/>
          <w:sz w:val="32"/>
          <w:szCs w:val="32"/>
          <w:highlight w:val="none"/>
          <w:lang w:eastAsia="zh-CN"/>
        </w:rPr>
        <w:t>服务</w:t>
      </w:r>
      <w:r>
        <w:rPr>
          <w:rFonts w:hint="eastAsia" w:ascii="仿宋_GB2312" w:eastAsia="仿宋_GB2312"/>
          <w:sz w:val="32"/>
          <w:szCs w:val="32"/>
          <w:highlight w:val="none"/>
        </w:rPr>
        <w:t>保障。</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80" w:lineRule="exact"/>
        <w:ind w:firstLine="640" w:firstLineChars="200"/>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（三）项目自评步骤及方法</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181" w:name="_Toc25437"/>
      <w:r>
        <w:rPr>
          <w:rFonts w:hint="eastAsia" w:ascii="黑体" w:hAnsi="黑体" w:eastAsia="黑体" w:cs="黑体"/>
          <w:b w:val="0"/>
          <w:bCs w:val="0"/>
          <w:color w:val="000000"/>
          <w:sz w:val="32"/>
          <w:szCs w:val="32"/>
          <w:highlight w:val="none"/>
        </w:rPr>
        <w:t>二、项目资金申报及使用情况</w:t>
      </w:r>
      <w:bookmarkEnd w:id="181"/>
    </w:p>
    <w:p>
      <w:pPr>
        <w:spacing w:line="580" w:lineRule="exact"/>
        <w:ind w:firstLine="640" w:firstLineChars="200"/>
        <w:rPr>
          <w:rFonts w:hint="eastAsia" w:ascii="楷体_GB2312" w:hAnsi="楷体_GB2312" w:eastAsia="楷体_GB2312" w:cs="楷体_GB2312"/>
          <w:color w:val="000000"/>
          <w:sz w:val="32"/>
          <w:szCs w:val="32"/>
          <w:highlight w:val="none"/>
        </w:rPr>
      </w:pPr>
      <w:bookmarkStart w:id="182" w:name="OLE_LINK4"/>
      <w:r>
        <w:rPr>
          <w:rFonts w:hint="eastAsia" w:ascii="楷体_GB2312" w:hAnsi="楷体_GB2312" w:eastAsia="楷体_GB2312" w:cs="楷体_GB2312"/>
          <w:color w:val="000000"/>
          <w:sz w:val="32"/>
          <w:szCs w:val="32"/>
          <w:highlight w:val="none"/>
        </w:rPr>
        <w:t>（一）</w:t>
      </w:r>
      <w:bookmarkEnd w:id="182"/>
      <w:r>
        <w:rPr>
          <w:rFonts w:hint="eastAsia" w:ascii="楷体_GB2312" w:hAnsi="楷体_GB2312" w:eastAsia="楷体_GB2312" w:cs="楷体_GB2312"/>
          <w:color w:val="000000"/>
          <w:sz w:val="32"/>
          <w:szCs w:val="32"/>
          <w:highlight w:val="none"/>
        </w:rPr>
        <w:t>项目资金申报及批复情况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年预算编制时申报“市委办综合性工作经费”项目，财政于202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日下达项目经费279.2万元。</w:t>
      </w:r>
    </w:p>
    <w:p>
      <w:pPr>
        <w:spacing w:line="580" w:lineRule="exact"/>
        <w:ind w:firstLine="640" w:firstLineChars="200"/>
        <w:rPr>
          <w:rFonts w:hint="eastAsia" w:ascii="楷体_GB2312" w:hAnsi="楷体_GB2312" w:eastAsia="楷体_GB2312" w:cs="楷体_GB2312"/>
          <w:color w:val="000000"/>
          <w:sz w:val="32"/>
          <w:szCs w:val="32"/>
          <w:highlight w:val="none"/>
        </w:rPr>
      </w:pPr>
      <w:bookmarkStart w:id="183" w:name="OLE_LINK5"/>
      <w:r>
        <w:rPr>
          <w:rFonts w:hint="eastAsia" w:ascii="楷体_GB2312" w:hAnsi="楷体_GB2312" w:eastAsia="楷体_GB2312" w:cs="楷体_GB2312"/>
          <w:color w:val="000000"/>
          <w:sz w:val="32"/>
          <w:szCs w:val="32"/>
          <w:highlight w:val="none"/>
        </w:rPr>
        <w:t>（二）</w:t>
      </w:r>
      <w:bookmarkEnd w:id="183"/>
      <w:r>
        <w:rPr>
          <w:rFonts w:hint="eastAsia" w:ascii="楷体_GB2312" w:hAnsi="楷体_GB2312" w:eastAsia="楷体_GB2312" w:cs="楷体_GB2312"/>
          <w:color w:val="000000"/>
          <w:sz w:val="32"/>
          <w:szCs w:val="32"/>
          <w:highlight w:val="none"/>
        </w:rPr>
        <w:t>资金计划、到位及使用情况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1.资金计划。市本级财政资金安排项目经费279.2万元。</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月全部下达到位。</w:t>
      </w:r>
    </w:p>
    <w:p>
      <w:pPr>
        <w:spacing w:line="580" w:lineRule="exact"/>
        <w:ind w:firstLine="640" w:firstLineChars="200"/>
        <w:rPr>
          <w:rFonts w:hint="eastAsia" w:ascii="仿宋_GB2312" w:hAnsi="仿宋" w:eastAsia="仿宋_GB2312"/>
          <w:color w:val="000000"/>
          <w:sz w:val="32"/>
          <w:szCs w:val="32"/>
          <w:highlight w:val="yellow"/>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w:t>
      </w:r>
      <w:r>
        <w:rPr>
          <w:rFonts w:hint="eastAsia" w:ascii="仿宋_GB2312" w:hAnsi="仿宋" w:eastAsia="仿宋_GB2312"/>
          <w:color w:val="000000"/>
          <w:sz w:val="32"/>
          <w:szCs w:val="32"/>
          <w:highlight w:val="none"/>
          <w:lang w:val="en-US" w:eastAsia="zh-CN"/>
        </w:rPr>
        <w:t>178.96</w:t>
      </w:r>
      <w:r>
        <w:rPr>
          <w:rFonts w:hint="eastAsia" w:ascii="仿宋_GB2312" w:hAnsi="仿宋" w:eastAsia="仿宋_GB2312"/>
          <w:color w:val="000000"/>
          <w:sz w:val="32"/>
          <w:szCs w:val="32"/>
          <w:highlight w:val="none"/>
        </w:rPr>
        <w:t>万元。主要用于市委食堂差额补助以及日常公用经费缺口等费用。支付标准、支付进度、支付依据等合规合法，与预算相符。</w:t>
      </w:r>
    </w:p>
    <w:p>
      <w:pPr>
        <w:spacing w:line="580" w:lineRule="exact"/>
        <w:ind w:firstLine="800" w:firstLineChars="25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（三）项目财务管理情况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spacing w:line="580" w:lineRule="exact"/>
        <w:ind w:firstLine="800" w:firstLineChars="250"/>
        <w:outlineLvl w:val="1"/>
        <w:rPr>
          <w:rFonts w:hint="eastAsia" w:ascii="黑体" w:hAnsi="黑体" w:eastAsia="黑体" w:cs="黑体"/>
          <w:b w:val="0"/>
          <w:bCs w:val="0"/>
          <w:color w:val="000000"/>
          <w:sz w:val="32"/>
          <w:szCs w:val="32"/>
          <w:highlight w:val="none"/>
        </w:rPr>
      </w:pPr>
      <w:bookmarkStart w:id="184" w:name="_Toc28262"/>
      <w:r>
        <w:rPr>
          <w:rFonts w:hint="eastAsia" w:ascii="黑体" w:hAnsi="黑体" w:eastAsia="黑体" w:cs="黑体"/>
          <w:b w:val="0"/>
          <w:bCs w:val="0"/>
          <w:color w:val="000000"/>
          <w:sz w:val="32"/>
          <w:szCs w:val="32"/>
          <w:highlight w:val="none"/>
        </w:rPr>
        <w:t>三、项目实施及管理情况。</w:t>
      </w:r>
      <w:bookmarkEnd w:id="184"/>
    </w:p>
    <w:p>
      <w:pPr>
        <w:spacing w:line="580" w:lineRule="exact"/>
        <w:ind w:firstLine="800" w:firstLineChars="25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（一）项目组织架构及实施流程。</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科室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（二）项目管理情况</w:t>
      </w:r>
    </w:p>
    <w:p>
      <w:pPr>
        <w:widowControl/>
        <w:ind w:firstLine="640" w:firstLineChars="200"/>
        <w:jc w:val="left"/>
        <w:rPr>
          <w:rStyle w:val="41"/>
          <w:rFonts w:hint="eastAsia" w:ascii="仿宋_GB2312" w:hAnsi="黑体" w:eastAsia="仿宋_GB2312"/>
          <w:b w:val="0"/>
          <w:sz w:val="32"/>
          <w:szCs w:val="32"/>
          <w:highlight w:val="none"/>
        </w:rPr>
      </w:pPr>
      <w:bookmarkStart w:id="185" w:name="_Toc6510"/>
      <w:r>
        <w:rPr>
          <w:rStyle w:val="41"/>
          <w:rFonts w:hint="eastAsia" w:ascii="仿宋_GB2312" w:hAnsi="黑体" w:eastAsia="仿宋_GB2312"/>
          <w:b w:val="0"/>
          <w:sz w:val="32"/>
          <w:szCs w:val="32"/>
          <w:highlight w:val="none"/>
        </w:rPr>
        <w:t>本项目由使用预算资金的科室负责，其他科室积极配合，由单位领导负责协调相关工作，由财务科负责项目资金使用的合理性、规范性。</w:t>
      </w:r>
    </w:p>
    <w:bookmarkEnd w:id="185"/>
    <w:p>
      <w:pPr>
        <w:spacing w:line="580" w:lineRule="exact"/>
        <w:ind w:firstLine="640"/>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（三）项目监管情况</w:t>
      </w:r>
    </w:p>
    <w:p>
      <w:pPr>
        <w:spacing w:line="580" w:lineRule="exact"/>
        <w:ind w:firstLine="640"/>
        <w:rPr>
          <w:rStyle w:val="41"/>
          <w:rFonts w:hint="eastAsia" w:ascii="仿宋_GB2312" w:hAnsi="黑体" w:eastAsia="仿宋_GB2312"/>
          <w:b w:val="0"/>
          <w:sz w:val="32"/>
          <w:szCs w:val="32"/>
          <w:highlight w:val="none"/>
        </w:rPr>
      </w:pPr>
      <w:bookmarkStart w:id="186" w:name="_Toc8669"/>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186"/>
    <w:p>
      <w:pPr>
        <w:widowControl/>
        <w:ind w:firstLine="640" w:firstLineChars="200"/>
        <w:jc w:val="left"/>
        <w:outlineLvl w:val="1"/>
        <w:rPr>
          <w:rStyle w:val="41"/>
          <w:rFonts w:hint="eastAsia" w:ascii="黑体" w:hAnsi="黑体" w:eastAsia="黑体" w:cs="黑体"/>
          <w:b w:val="0"/>
          <w:bCs w:val="0"/>
          <w:sz w:val="32"/>
          <w:szCs w:val="32"/>
          <w:highlight w:val="none"/>
        </w:rPr>
      </w:pPr>
      <w:bookmarkStart w:id="187" w:name="_Toc25129"/>
      <w:r>
        <w:rPr>
          <w:rStyle w:val="41"/>
          <w:rFonts w:hint="eastAsia" w:ascii="黑体" w:hAnsi="黑体" w:eastAsia="黑体" w:cs="黑体"/>
          <w:b w:val="0"/>
          <w:bCs w:val="0"/>
          <w:sz w:val="32"/>
          <w:szCs w:val="32"/>
          <w:highlight w:val="none"/>
        </w:rPr>
        <w:t>四、项目绩效情况</w:t>
      </w:r>
      <w:bookmarkEnd w:id="187"/>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88" w:name="_Toc29164"/>
      <w:r>
        <w:rPr>
          <w:rStyle w:val="41"/>
          <w:rFonts w:hint="eastAsia" w:ascii="楷体_GB2312" w:hAnsi="楷体_GB2312" w:eastAsia="楷体_GB2312" w:cs="楷体_GB2312"/>
          <w:b w:val="0"/>
          <w:sz w:val="32"/>
          <w:szCs w:val="32"/>
          <w:highlight w:val="none"/>
        </w:rPr>
        <w:t>（一）项目完成情况</w:t>
      </w:r>
    </w:p>
    <w:bookmarkEnd w:id="188"/>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为市委高效运行提供后勤保障。</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89" w:name="_Toc30816"/>
      <w:r>
        <w:rPr>
          <w:rStyle w:val="41"/>
          <w:rFonts w:hint="eastAsia" w:ascii="楷体_GB2312" w:hAnsi="楷体_GB2312" w:eastAsia="楷体_GB2312" w:cs="楷体_GB2312"/>
          <w:b w:val="0"/>
          <w:sz w:val="32"/>
          <w:szCs w:val="32"/>
          <w:highlight w:val="none"/>
        </w:rPr>
        <w:t>（二）项目效益情况</w:t>
      </w:r>
    </w:p>
    <w:bookmarkEnd w:id="189"/>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为市委高效运行提供后勤保障。</w:t>
      </w:r>
    </w:p>
    <w:p>
      <w:pPr>
        <w:widowControl/>
        <w:ind w:firstLine="640" w:firstLineChars="200"/>
        <w:jc w:val="left"/>
        <w:outlineLvl w:val="1"/>
        <w:rPr>
          <w:rStyle w:val="41"/>
          <w:rFonts w:hint="eastAsia" w:ascii="黑体" w:hAnsi="黑体" w:eastAsia="黑体" w:cs="黑体"/>
          <w:b w:val="0"/>
          <w:bCs w:val="0"/>
          <w:sz w:val="32"/>
          <w:szCs w:val="32"/>
          <w:highlight w:val="none"/>
        </w:rPr>
      </w:pPr>
      <w:bookmarkStart w:id="190" w:name="_Toc3258"/>
      <w:r>
        <w:rPr>
          <w:rStyle w:val="41"/>
          <w:rFonts w:hint="eastAsia" w:ascii="黑体" w:hAnsi="黑体" w:eastAsia="黑体" w:cs="黑体"/>
          <w:b w:val="0"/>
          <w:bCs w:val="0"/>
          <w:sz w:val="32"/>
          <w:szCs w:val="32"/>
          <w:highlight w:val="none"/>
        </w:rPr>
        <w:t>五、评价结论及建议</w:t>
      </w:r>
      <w:bookmarkEnd w:id="190"/>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91" w:name="_Toc15798"/>
      <w:r>
        <w:rPr>
          <w:rStyle w:val="41"/>
          <w:rFonts w:hint="eastAsia" w:ascii="楷体_GB2312" w:hAnsi="楷体_GB2312" w:eastAsia="楷体_GB2312" w:cs="楷体_GB2312"/>
          <w:b w:val="0"/>
          <w:sz w:val="32"/>
          <w:szCs w:val="32"/>
          <w:highlight w:val="none"/>
        </w:rPr>
        <w:t>（一）评价结论</w:t>
      </w:r>
    </w:p>
    <w:bookmarkEnd w:id="191"/>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市委办综合性工作经费项目绩效编制合理，财务管理规范化，内控制度健全，财政资金使用符合要求，预算执行收支平衡，财政支出绩效评价较好。</w:t>
      </w:r>
      <w:r>
        <w:rPr>
          <w:rFonts w:hint="eastAsia" w:ascii="仿宋_GB2312" w:hAnsi="仿宋" w:eastAsia="仿宋_GB2312"/>
          <w:color w:val="000000"/>
          <w:sz w:val="32"/>
          <w:szCs w:val="32"/>
          <w:highlight w:val="none"/>
          <w:lang w:val="en-US" w:eastAsia="zh-CN"/>
        </w:rPr>
        <w:t>市委办综合性工作经费项目支出绩效</w:t>
      </w:r>
      <w:r>
        <w:rPr>
          <w:rFonts w:hint="eastAsia" w:ascii="仿宋_GB2312" w:hAnsi="仿宋" w:eastAsia="仿宋_GB2312"/>
          <w:color w:val="000000"/>
          <w:sz w:val="32"/>
          <w:szCs w:val="32"/>
          <w:highlight w:val="none"/>
          <w:lang w:eastAsia="zh-CN"/>
        </w:rPr>
        <w:t>自评得分</w:t>
      </w:r>
      <w:r>
        <w:rPr>
          <w:rFonts w:hint="eastAsia" w:ascii="仿宋_GB2312" w:hAnsi="仿宋" w:eastAsia="仿宋_GB2312"/>
          <w:color w:val="000000"/>
          <w:sz w:val="32"/>
          <w:szCs w:val="32"/>
          <w:highlight w:val="none"/>
          <w:lang w:val="en-US" w:eastAsia="zh-CN"/>
        </w:rPr>
        <w:t>98分。</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192" w:name="_Toc28951"/>
      <w:r>
        <w:rPr>
          <w:rStyle w:val="41"/>
          <w:rFonts w:hint="eastAsia" w:ascii="楷体_GB2312" w:hAnsi="楷体_GB2312" w:eastAsia="楷体_GB2312" w:cs="楷体_GB2312"/>
          <w:b w:val="0"/>
          <w:sz w:val="32"/>
          <w:szCs w:val="32"/>
          <w:highlight w:val="none"/>
        </w:rPr>
        <w:t>（二）存在问题</w:t>
      </w:r>
    </w:p>
    <w:bookmarkEnd w:id="192"/>
    <w:p>
      <w:pPr>
        <w:widowControl/>
        <w:ind w:firstLine="640" w:firstLineChars="200"/>
        <w:jc w:val="left"/>
        <w:rPr>
          <w:rStyle w:val="41"/>
          <w:rFonts w:hint="eastAsia" w:ascii="仿宋_GB2312" w:hAnsi="黑体" w:eastAsia="仿宋_GB2312"/>
          <w:b w:val="0"/>
          <w:sz w:val="32"/>
          <w:szCs w:val="32"/>
          <w:highlight w:val="none"/>
        </w:rPr>
      </w:pPr>
      <w:bookmarkStart w:id="193" w:name="_Toc4777"/>
      <w:r>
        <w:rPr>
          <w:rStyle w:val="41"/>
          <w:rFonts w:hint="eastAsia" w:ascii="仿宋_GB2312" w:hAnsi="黑体" w:eastAsia="仿宋_GB2312"/>
          <w:b w:val="0"/>
          <w:sz w:val="32"/>
          <w:szCs w:val="32"/>
          <w:highlight w:val="none"/>
        </w:rPr>
        <w:t>因疫情原因，项目执行进度较慢。</w:t>
      </w:r>
    </w:p>
    <w:bookmarkEnd w:id="193"/>
    <w:p>
      <w:pPr>
        <w:widowControl/>
        <w:ind w:firstLine="640" w:firstLineChars="200"/>
        <w:jc w:val="left"/>
        <w:rPr>
          <w:rStyle w:val="41"/>
          <w:rFonts w:hint="eastAsia" w:ascii="楷体_GB2312" w:hAnsi="楷体_GB2312" w:eastAsia="楷体_GB2312" w:cs="楷体_GB2312"/>
          <w:b w:val="0"/>
          <w:sz w:val="32"/>
          <w:szCs w:val="32"/>
          <w:highlight w:val="none"/>
        </w:rPr>
      </w:pPr>
      <w:bookmarkStart w:id="194" w:name="_Toc3781"/>
      <w:r>
        <w:rPr>
          <w:rStyle w:val="41"/>
          <w:rFonts w:hint="eastAsia" w:ascii="楷体_GB2312" w:hAnsi="楷体_GB2312" w:eastAsia="楷体_GB2312" w:cs="楷体_GB2312"/>
          <w:b w:val="0"/>
          <w:sz w:val="32"/>
          <w:szCs w:val="32"/>
          <w:highlight w:val="none"/>
        </w:rPr>
        <w:t>（三）相关建议</w:t>
      </w:r>
    </w:p>
    <w:bookmarkEnd w:id="194"/>
    <w:p>
      <w:pPr>
        <w:widowControl/>
        <w:ind w:firstLine="640" w:firstLineChars="200"/>
        <w:jc w:val="left"/>
        <w:rPr>
          <w:rFonts w:hint="eastAsia" w:ascii="方正小标宋简体" w:hAnsi="方正小标宋简体" w:eastAsia="方正小标宋简体" w:cs="方正小标宋简体"/>
          <w:b w:val="0"/>
          <w:bCs/>
          <w:color w:val="000000"/>
          <w:sz w:val="36"/>
          <w:szCs w:val="36"/>
          <w:highlight w:val="none"/>
        </w:rPr>
      </w:pPr>
      <w:bookmarkStart w:id="195" w:name="_Toc31785"/>
      <w:r>
        <w:rPr>
          <w:rStyle w:val="41"/>
          <w:rFonts w:hint="eastAsia" w:ascii="仿宋_GB2312" w:hAnsi="黑体" w:eastAsia="仿宋_GB2312"/>
          <w:b w:val="0"/>
          <w:sz w:val="32"/>
          <w:szCs w:val="32"/>
          <w:highlight w:val="none"/>
        </w:rPr>
        <w:t>加大日常公用经费核算，严格收支管理。</w:t>
      </w:r>
      <w:bookmarkEnd w:id="195"/>
    </w:p>
    <w:p>
      <w:pPr>
        <w:widowControl/>
        <w:jc w:val="left"/>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附表：</w:t>
      </w:r>
    </w:p>
    <w:tbl>
      <w:tblPr>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15"/>
        <w:gridCol w:w="1005"/>
        <w:gridCol w:w="733"/>
        <w:gridCol w:w="848"/>
        <w:gridCol w:w="802"/>
        <w:gridCol w:w="666"/>
        <w:gridCol w:w="550"/>
        <w:gridCol w:w="765"/>
        <w:gridCol w:w="726"/>
        <w:gridCol w:w="709"/>
        <w:gridCol w:w="723"/>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435"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市委办综合性工作经费支出绩效目标自评表（2022年度）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69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市委办综合性工作经费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52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4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52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417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52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为市委高效运行提供财务保障。</w:t>
            </w:r>
          </w:p>
        </w:tc>
        <w:tc>
          <w:tcPr>
            <w:tcW w:w="417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为市委高效运行提供财务保障。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69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保障市委机关和市委领导的后勤服务工作。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93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279.2</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279.2</w:t>
            </w:r>
          </w:p>
        </w:tc>
        <w:tc>
          <w:tcPr>
            <w:tcW w:w="193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178.96</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64.1%</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信息调研、各类信息编报费用减少，综合性日常工作经费支出减少。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279.2</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279.2</w:t>
            </w:r>
          </w:p>
        </w:tc>
        <w:tc>
          <w:tcPr>
            <w:tcW w:w="193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178.96</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64.1%</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3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3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73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935"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3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735"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办公电梯数量</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2部</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食堂每餐就餐200人左右</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≥200人</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信息调研、各类信息编报费用减少，综合性日常工作经费支出减少。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综合性工作经费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279.2</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178.96万元</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信息调研、各类信息编报费用减少，综合性日常工作经费支出减少。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保障市委、市委办高效运转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促进市委办三服务工作更好更优的发展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市委领导、干部职工对后勤保障工作的满意度</w:t>
            </w:r>
          </w:p>
        </w:tc>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3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715"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市委办综合性工作经费项目绩效编制合理，财务管理规范化，内控制度健全，财政资金使用符合要求，预算执行收支平衡，财政支出绩效评价较好。市委办综合性工作经费项目支出绩效自评得分98分。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71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日常公用经费标准低，不能保障单位正常运转。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71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加大日常公用经费的核算。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715"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pStyle w:val="16"/>
        <w:ind w:left="0" w:leftChars="0" w:firstLine="0" w:firstLineChars="0"/>
        <w:rPr>
          <w:rFonts w:hint="eastAsia"/>
          <w:lang w:eastAsia="zh-CN"/>
        </w:rPr>
      </w:pPr>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bookmarkStart w:id="196" w:name="_Toc16970"/>
      <w:r>
        <w:rPr>
          <w:rFonts w:hint="eastAsia" w:ascii="方正小标宋简体" w:hAnsi="方正小标宋简体" w:eastAsia="方正小标宋简体" w:cs="方正小标宋简体"/>
          <w:b w:val="0"/>
          <w:bCs/>
          <w:color w:val="000000"/>
          <w:sz w:val="36"/>
          <w:szCs w:val="36"/>
          <w:highlight w:val="none"/>
        </w:rPr>
        <w:t>驻市委办纪检监察组工作经费项目</w:t>
      </w:r>
      <w:bookmarkEnd w:id="196"/>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支出绩效自评报告</w:t>
      </w:r>
    </w:p>
    <w:p>
      <w:pPr>
        <w:pStyle w:val="40"/>
        <w:rPr>
          <w:rFonts w:hint="eastAsia"/>
          <w:highlight w:val="none"/>
        </w:rPr>
      </w:pP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197" w:name="_Toc27308"/>
      <w:r>
        <w:rPr>
          <w:rFonts w:hint="eastAsia" w:ascii="黑体" w:hAnsi="黑体" w:eastAsia="黑体" w:cs="黑体"/>
          <w:b w:val="0"/>
          <w:bCs w:val="0"/>
          <w:color w:val="000000"/>
          <w:sz w:val="32"/>
          <w:szCs w:val="32"/>
          <w:highlight w:val="none"/>
        </w:rPr>
        <w:t>一、项目概况</w:t>
      </w:r>
      <w:bookmarkEnd w:id="197"/>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（一）项目基本情况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按照市委办公室职责职能，驻市委办纪检监察组202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工作经费项目执行科室是市纪委监委驻市委办公室纪检监察组。其职能：履行监督、执纪、问责职责；对党员进行遵守纪律教育；对履行职责、行使权利进行监督检查；受理检举举报、开展谈话提醒、约谈函询；检查和处理违纪案件，决定或取消处分；进行问责或提出责任追究的建议等。</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根据市委文件，财政统一安排工作经费。</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该项目按市委办公室财务制度管理。主要用于纪检</w:t>
      </w:r>
      <w:r>
        <w:rPr>
          <w:rFonts w:hint="eastAsia" w:ascii="仿宋_GB2312" w:hAnsi="仿宋" w:eastAsia="仿宋_GB2312"/>
          <w:color w:val="000000"/>
          <w:sz w:val="32"/>
          <w:szCs w:val="32"/>
          <w:highlight w:val="none"/>
          <w:lang w:eastAsia="zh-CN"/>
        </w:rPr>
        <w:t>监督</w:t>
      </w:r>
      <w:r>
        <w:rPr>
          <w:rFonts w:hint="eastAsia" w:ascii="仿宋_GB2312" w:hAnsi="仿宋" w:eastAsia="仿宋_GB2312"/>
          <w:color w:val="000000"/>
          <w:sz w:val="32"/>
          <w:szCs w:val="32"/>
          <w:highlight w:val="none"/>
        </w:rPr>
        <w:t>组工作经费等费用。</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color w:val="000000"/>
          <w:sz w:val="32"/>
          <w:szCs w:val="32"/>
          <w:highlight w:val="none"/>
        </w:rPr>
        <w:t>资金分配的原则及考虑因素</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按照预算管理办法及市委办财务制度，结合实际工作情况分配驻市委办纪检监察组202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年工作经费。</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rPr>
        <w:t>）项目绩效目标</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lang w:val="en-US" w:eastAsia="zh-CN"/>
        </w:rPr>
        <w:t>添置办案设备、整理案卷资料、办案费用开支</w:t>
      </w:r>
      <w:r>
        <w:rPr>
          <w:rFonts w:hint="eastAsia" w:ascii="仿宋_GB2312" w:hAnsi="仿宋" w:eastAsia="仿宋_GB2312"/>
          <w:color w:val="000000"/>
          <w:sz w:val="32"/>
          <w:szCs w:val="32"/>
          <w:highlight w:val="none"/>
        </w:rPr>
        <w:t>，对涉嫌违纪违法实事开展审查调查。</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优秀案卷数量增加，营造敬畏法纪的氛围，净化综合监督单位政治生态。</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80" w:lineRule="exact"/>
        <w:ind w:firstLine="640" w:firstLineChars="200"/>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三</w:t>
      </w: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kern w:val="0"/>
          <w:sz w:val="32"/>
          <w:szCs w:val="32"/>
          <w:highlight w:val="none"/>
        </w:rPr>
        <w:t>项目自评步骤及方法</w:t>
      </w:r>
    </w:p>
    <w:p>
      <w:pPr>
        <w:spacing w:line="580" w:lineRule="exact"/>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198" w:name="_Toc20513"/>
      <w:r>
        <w:rPr>
          <w:rFonts w:hint="eastAsia" w:ascii="黑体" w:hAnsi="黑体" w:eastAsia="黑体" w:cs="黑体"/>
          <w:b w:val="0"/>
          <w:bCs w:val="0"/>
          <w:color w:val="000000"/>
          <w:sz w:val="32"/>
          <w:szCs w:val="32"/>
          <w:highlight w:val="none"/>
        </w:rPr>
        <w:t>二、项目资金申报及使用情况</w:t>
      </w:r>
      <w:bookmarkEnd w:id="198"/>
    </w:p>
    <w:p>
      <w:pPr>
        <w:spacing w:line="580" w:lineRule="exact"/>
        <w:ind w:firstLine="640" w:firstLineChars="200"/>
        <w:rPr>
          <w:rFonts w:hint="eastAsia" w:ascii="楷体_GB2312" w:hAnsi="楷体_GB2312" w:eastAsia="楷体_GB2312" w:cs="楷体_GB2312"/>
          <w:color w:val="000000"/>
          <w:sz w:val="32"/>
          <w:szCs w:val="32"/>
          <w:highlight w:val="none"/>
        </w:rPr>
      </w:pPr>
      <w:bookmarkStart w:id="199" w:name="OLE_LINK7"/>
      <w:r>
        <w:rPr>
          <w:rFonts w:hint="eastAsia" w:ascii="楷体_GB2312" w:hAnsi="楷体_GB2312" w:eastAsia="楷体_GB2312" w:cs="楷体_GB2312"/>
          <w:color w:val="000000"/>
          <w:sz w:val="32"/>
          <w:szCs w:val="32"/>
          <w:highlight w:val="none"/>
        </w:rPr>
        <w:t>（一）</w:t>
      </w:r>
      <w:bookmarkEnd w:id="199"/>
      <w:r>
        <w:rPr>
          <w:rFonts w:hint="eastAsia" w:ascii="楷体_GB2312" w:hAnsi="楷体_GB2312" w:eastAsia="楷体_GB2312" w:cs="楷体_GB2312"/>
          <w:color w:val="000000"/>
          <w:sz w:val="32"/>
          <w:szCs w:val="32"/>
          <w:highlight w:val="none"/>
        </w:rPr>
        <w:t>项目资金申报及批复情况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年预算编制时申报“驻市委办纪检监察组工作经费”项目，财政于202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日下达项目经费20万元。</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（二）资金计划、到位及使用情况</w:t>
      </w:r>
    </w:p>
    <w:p>
      <w:pPr>
        <w:spacing w:line="240" w:lineRule="auto"/>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1.资金计划。市本级财政资金安排项目经费20万元。</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月全部下达到位。</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3.资金使用。20</w:t>
      </w:r>
      <w:r>
        <w:rPr>
          <w:rFonts w:hint="eastAsia" w:ascii="仿宋_GB2312" w:hAnsi="仿宋" w:eastAsia="仿宋_GB2312"/>
          <w:color w:val="000000"/>
          <w:sz w:val="32"/>
          <w:szCs w:val="32"/>
          <w:highlight w:val="none"/>
          <w:lang w:val="en-US" w:eastAsia="zh-CN"/>
        </w:rPr>
        <w:t>22</w:t>
      </w:r>
      <w:r>
        <w:rPr>
          <w:rFonts w:hint="eastAsia" w:ascii="仿宋_GB2312" w:hAnsi="仿宋" w:eastAsia="仿宋_GB2312"/>
          <w:color w:val="000000"/>
          <w:sz w:val="32"/>
          <w:szCs w:val="32"/>
          <w:highlight w:val="none"/>
        </w:rPr>
        <w:t>年共支出</w:t>
      </w:r>
      <w:r>
        <w:rPr>
          <w:rFonts w:hint="eastAsia" w:ascii="仿宋_GB2312" w:hAnsi="仿宋" w:eastAsia="仿宋_GB2312"/>
          <w:color w:val="000000"/>
          <w:sz w:val="32"/>
          <w:szCs w:val="32"/>
          <w:highlight w:val="none"/>
          <w:lang w:val="en-US" w:eastAsia="zh-CN"/>
        </w:rPr>
        <w:t>10.09</w:t>
      </w:r>
      <w:r>
        <w:rPr>
          <w:rFonts w:hint="eastAsia" w:ascii="仿宋_GB2312" w:hAnsi="仿宋" w:eastAsia="仿宋_GB2312"/>
          <w:color w:val="000000"/>
          <w:sz w:val="32"/>
          <w:szCs w:val="32"/>
          <w:highlight w:val="none"/>
        </w:rPr>
        <w:t>万元。主要用于纪检组日常工作经费。支付标准、支付进度、支付依据等合规合法，与预算相符。</w:t>
      </w:r>
    </w:p>
    <w:p>
      <w:pPr>
        <w:spacing w:line="580" w:lineRule="exact"/>
        <w:ind w:firstLine="800" w:firstLineChars="25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（三）项目财务管理情况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spacing w:line="580" w:lineRule="exact"/>
        <w:ind w:firstLine="800" w:firstLineChars="250"/>
        <w:outlineLvl w:val="1"/>
        <w:rPr>
          <w:rFonts w:hint="eastAsia" w:ascii="黑体" w:hAnsi="黑体" w:eastAsia="黑体" w:cs="黑体"/>
          <w:b w:val="0"/>
          <w:bCs w:val="0"/>
          <w:color w:val="000000"/>
          <w:sz w:val="32"/>
          <w:szCs w:val="32"/>
          <w:highlight w:val="none"/>
        </w:rPr>
      </w:pPr>
      <w:bookmarkStart w:id="200" w:name="_Toc22305"/>
      <w:r>
        <w:rPr>
          <w:rFonts w:hint="eastAsia" w:ascii="黑体" w:hAnsi="黑体" w:eastAsia="黑体" w:cs="黑体"/>
          <w:b w:val="0"/>
          <w:bCs w:val="0"/>
          <w:color w:val="000000"/>
          <w:sz w:val="32"/>
          <w:szCs w:val="32"/>
          <w:highlight w:val="none"/>
        </w:rPr>
        <w:t>三、项目实施及管理情况</w:t>
      </w:r>
      <w:bookmarkEnd w:id="200"/>
    </w:p>
    <w:p>
      <w:pPr>
        <w:spacing w:line="580" w:lineRule="exact"/>
        <w:ind w:firstLine="800" w:firstLineChars="25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（一）项目组织架构及实施流程</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科室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（二）项目管理情况</w:t>
      </w:r>
    </w:p>
    <w:p>
      <w:pPr>
        <w:widowControl/>
        <w:ind w:firstLine="640" w:firstLineChars="200"/>
        <w:jc w:val="left"/>
        <w:rPr>
          <w:rStyle w:val="41"/>
          <w:rFonts w:hint="eastAsia" w:ascii="仿宋_GB2312" w:hAnsi="黑体" w:eastAsia="仿宋_GB2312"/>
          <w:b w:val="0"/>
          <w:sz w:val="32"/>
          <w:szCs w:val="32"/>
          <w:highlight w:val="none"/>
        </w:rPr>
      </w:pPr>
      <w:bookmarkStart w:id="201" w:name="_Toc25206"/>
      <w:r>
        <w:rPr>
          <w:rStyle w:val="41"/>
          <w:rFonts w:hint="eastAsia" w:ascii="仿宋_GB2312" w:hAnsi="黑体" w:eastAsia="仿宋_GB2312"/>
          <w:b w:val="0"/>
          <w:sz w:val="32"/>
          <w:szCs w:val="32"/>
          <w:highlight w:val="none"/>
        </w:rPr>
        <w:t>本项目由使用预算资金的科室负责，其他科室积极配合，由单位领导负责协调相关工作，由财务科负责项目资金使用的合理性、规范性。</w:t>
      </w:r>
    </w:p>
    <w:bookmarkEnd w:id="201"/>
    <w:p>
      <w:pPr>
        <w:widowControl/>
        <w:ind w:firstLine="640" w:firstLineChars="200"/>
        <w:jc w:val="left"/>
        <w:rPr>
          <w:rStyle w:val="41"/>
          <w:rFonts w:hint="eastAsia" w:ascii="楷体_GB2312" w:hAnsi="楷体_GB2312" w:eastAsia="楷体_GB2312" w:cs="楷体_GB2312"/>
          <w:b w:val="0"/>
          <w:sz w:val="32"/>
          <w:szCs w:val="32"/>
          <w:highlight w:val="none"/>
        </w:rPr>
      </w:pPr>
      <w:bookmarkStart w:id="202" w:name="_Toc19499"/>
      <w:r>
        <w:rPr>
          <w:rStyle w:val="41"/>
          <w:rFonts w:hint="eastAsia" w:ascii="楷体_GB2312" w:hAnsi="楷体_GB2312" w:eastAsia="楷体_GB2312" w:cs="楷体_GB2312"/>
          <w:b w:val="0"/>
          <w:sz w:val="32"/>
          <w:szCs w:val="32"/>
          <w:highlight w:val="none"/>
        </w:rPr>
        <w:t>（三）项目监管情况</w:t>
      </w:r>
    </w:p>
    <w:bookmarkEnd w:id="202"/>
    <w:p>
      <w:pPr>
        <w:widowControl/>
        <w:ind w:firstLine="640" w:firstLineChars="200"/>
        <w:jc w:val="left"/>
        <w:rPr>
          <w:rStyle w:val="41"/>
          <w:rFonts w:hint="eastAsia" w:ascii="仿宋_GB2312" w:hAnsi="黑体" w:eastAsia="仿宋_GB2312"/>
          <w:b w:val="0"/>
          <w:sz w:val="32"/>
          <w:szCs w:val="32"/>
          <w:highlight w:val="none"/>
        </w:rPr>
      </w:pPr>
      <w:bookmarkStart w:id="203" w:name="_Toc26075"/>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203"/>
    <w:p>
      <w:pPr>
        <w:widowControl/>
        <w:ind w:firstLine="640" w:firstLineChars="200"/>
        <w:jc w:val="left"/>
        <w:outlineLvl w:val="1"/>
        <w:rPr>
          <w:rStyle w:val="41"/>
          <w:rFonts w:hint="eastAsia" w:ascii="黑体" w:hAnsi="黑体" w:eastAsia="黑体" w:cs="黑体"/>
          <w:b w:val="0"/>
          <w:bCs w:val="0"/>
          <w:sz w:val="32"/>
          <w:szCs w:val="32"/>
          <w:highlight w:val="none"/>
        </w:rPr>
      </w:pPr>
      <w:bookmarkStart w:id="204" w:name="_Toc26255"/>
      <w:r>
        <w:rPr>
          <w:rStyle w:val="41"/>
          <w:rFonts w:hint="eastAsia" w:ascii="黑体" w:hAnsi="黑体" w:eastAsia="黑体" w:cs="黑体"/>
          <w:b w:val="0"/>
          <w:bCs w:val="0"/>
          <w:sz w:val="32"/>
          <w:szCs w:val="32"/>
          <w:highlight w:val="none"/>
        </w:rPr>
        <w:t>四、项目绩效情况</w:t>
      </w:r>
      <w:bookmarkEnd w:id="204"/>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05" w:name="_Toc17561"/>
      <w:r>
        <w:rPr>
          <w:rStyle w:val="41"/>
          <w:rFonts w:hint="eastAsia" w:ascii="楷体_GB2312" w:hAnsi="楷体_GB2312" w:eastAsia="楷体_GB2312" w:cs="楷体_GB2312"/>
          <w:b w:val="0"/>
          <w:sz w:val="32"/>
          <w:szCs w:val="32"/>
          <w:highlight w:val="none"/>
        </w:rPr>
        <w:t>（一）项目完成情况</w:t>
      </w:r>
    </w:p>
    <w:bookmarkEnd w:id="205"/>
    <w:p>
      <w:pPr>
        <w:spacing w:line="580" w:lineRule="exact"/>
        <w:ind w:firstLine="800" w:firstLineChars="250"/>
        <w:rPr>
          <w:rFonts w:hint="eastAsia" w:ascii="仿宋_GB2312" w:hAnsi="仿宋" w:eastAsia="仿宋_GB2312"/>
          <w:color w:val="000000"/>
          <w:sz w:val="32"/>
          <w:szCs w:val="32"/>
          <w:highlight w:val="none"/>
        </w:rPr>
      </w:pPr>
      <w:bookmarkStart w:id="206" w:name="OLE_LINK8"/>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年执行数</w:t>
      </w:r>
      <w:r>
        <w:rPr>
          <w:rFonts w:hint="eastAsia" w:ascii="仿宋_GB2312" w:hAnsi="仿宋" w:eastAsia="仿宋_GB2312"/>
          <w:color w:val="000000"/>
          <w:sz w:val="32"/>
          <w:szCs w:val="32"/>
          <w:highlight w:val="none"/>
          <w:lang w:val="en-US" w:eastAsia="zh-CN"/>
        </w:rPr>
        <w:t>10.09</w:t>
      </w:r>
      <w:r>
        <w:rPr>
          <w:rFonts w:hint="eastAsia" w:ascii="仿宋_GB2312" w:hAnsi="仿宋" w:eastAsia="仿宋_GB2312"/>
          <w:color w:val="000000"/>
          <w:sz w:val="32"/>
          <w:szCs w:val="32"/>
          <w:highlight w:val="none"/>
        </w:rPr>
        <w:t>万元。</w:t>
      </w:r>
    </w:p>
    <w:bookmarkEnd w:id="206"/>
    <w:p>
      <w:pPr>
        <w:widowControl/>
        <w:numPr>
          <w:ilvl w:val="0"/>
          <w:numId w:val="16"/>
        </w:numPr>
        <w:ind w:firstLine="640" w:firstLineChars="200"/>
        <w:jc w:val="left"/>
        <w:rPr>
          <w:rStyle w:val="41"/>
          <w:rFonts w:hint="eastAsia" w:ascii="楷体_GB2312" w:hAnsi="楷体_GB2312" w:eastAsia="楷体_GB2312" w:cs="楷体_GB2312"/>
          <w:b w:val="0"/>
          <w:sz w:val="32"/>
          <w:szCs w:val="32"/>
          <w:highlight w:val="none"/>
        </w:rPr>
      </w:pPr>
      <w:bookmarkStart w:id="207" w:name="_Toc28090"/>
      <w:r>
        <w:rPr>
          <w:rStyle w:val="41"/>
          <w:rFonts w:hint="eastAsia" w:ascii="楷体_GB2312" w:hAnsi="楷体_GB2312" w:eastAsia="楷体_GB2312" w:cs="楷体_GB2312"/>
          <w:b w:val="0"/>
          <w:sz w:val="32"/>
          <w:szCs w:val="32"/>
          <w:highlight w:val="none"/>
        </w:rPr>
        <w:t>项目效益情况</w:t>
      </w:r>
    </w:p>
    <w:bookmarkEnd w:id="207"/>
    <w:p>
      <w:pPr>
        <w:widowControl/>
        <w:numPr>
          <w:ilvl w:val="0"/>
          <w:numId w:val="0"/>
        </w:numPr>
        <w:ind w:firstLine="640" w:firstLineChars="200"/>
        <w:jc w:val="lef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形成风气清正的政治环境。</w:t>
      </w:r>
    </w:p>
    <w:p>
      <w:pPr>
        <w:widowControl/>
        <w:ind w:firstLine="640" w:firstLineChars="200"/>
        <w:jc w:val="left"/>
        <w:outlineLvl w:val="1"/>
        <w:rPr>
          <w:rStyle w:val="41"/>
          <w:rFonts w:hint="eastAsia" w:ascii="楷体_GB2312" w:hAnsi="楷体_GB2312" w:eastAsia="楷体_GB2312" w:cs="楷体_GB2312"/>
          <w:b w:val="0"/>
          <w:bCs w:val="0"/>
          <w:sz w:val="32"/>
          <w:szCs w:val="32"/>
          <w:highlight w:val="none"/>
        </w:rPr>
      </w:pPr>
      <w:bookmarkStart w:id="208" w:name="_Toc15750"/>
      <w:r>
        <w:rPr>
          <w:rStyle w:val="41"/>
          <w:rFonts w:hint="eastAsia" w:ascii="楷体_GB2312" w:hAnsi="楷体_GB2312" w:eastAsia="楷体_GB2312" w:cs="楷体_GB2312"/>
          <w:b w:val="0"/>
          <w:bCs w:val="0"/>
          <w:sz w:val="32"/>
          <w:szCs w:val="32"/>
          <w:highlight w:val="none"/>
        </w:rPr>
        <w:t>五、评价结论及建议</w:t>
      </w:r>
      <w:bookmarkEnd w:id="208"/>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09" w:name="_Toc28104"/>
      <w:r>
        <w:rPr>
          <w:rStyle w:val="41"/>
          <w:rFonts w:hint="eastAsia" w:ascii="楷体_GB2312" w:hAnsi="楷体_GB2312" w:eastAsia="楷体_GB2312" w:cs="楷体_GB2312"/>
          <w:b w:val="0"/>
          <w:sz w:val="32"/>
          <w:szCs w:val="32"/>
          <w:highlight w:val="none"/>
        </w:rPr>
        <w:t>（一）评价结论</w:t>
      </w:r>
    </w:p>
    <w:bookmarkEnd w:id="209"/>
    <w:p>
      <w:pPr>
        <w:widowControl/>
        <w:ind w:firstLine="640" w:firstLineChars="200"/>
        <w:jc w:val="left"/>
        <w:rPr>
          <w:rStyle w:val="41"/>
          <w:rFonts w:hint="eastAsia" w:ascii="仿宋_GB2312" w:hAnsi="黑体" w:eastAsia="仿宋_GB2312"/>
          <w:b/>
          <w:bCs/>
          <w:sz w:val="32"/>
          <w:szCs w:val="32"/>
          <w:highlight w:val="none"/>
        </w:rPr>
      </w:pPr>
      <w:r>
        <w:rPr>
          <w:rFonts w:hint="eastAsia" w:ascii="仿宋_GB2312" w:hAnsi="仿宋" w:eastAsia="仿宋_GB2312"/>
          <w:color w:val="000000"/>
          <w:sz w:val="32"/>
          <w:szCs w:val="32"/>
          <w:highlight w:val="none"/>
        </w:rPr>
        <w:t>驻市委办纪检监察组202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年工作经费</w:t>
      </w:r>
      <w:r>
        <w:rPr>
          <w:rStyle w:val="41"/>
          <w:rFonts w:hint="eastAsia" w:ascii="仿宋_GB2312" w:hAnsi="黑体" w:eastAsia="仿宋_GB2312"/>
          <w:b w:val="0"/>
          <w:sz w:val="32"/>
          <w:szCs w:val="32"/>
          <w:highlight w:val="none"/>
        </w:rPr>
        <w:t>项目绩效编制合理，财务管理规范化，内控制度健全，财政资金使用符合要求，预算执行收支平衡，财政支出绩效评价较好。</w:t>
      </w:r>
      <w:r>
        <w:rPr>
          <w:rFonts w:hint="eastAsia" w:ascii="仿宋_GB2312" w:hAnsi="仿宋_GB2312" w:eastAsia="仿宋_GB2312" w:cs="仿宋_GB2312"/>
          <w:sz w:val="32"/>
          <w:szCs w:val="32"/>
          <w:highlight w:val="none"/>
          <w:lang w:val="en-US" w:eastAsia="zh-CN"/>
        </w:rPr>
        <w:t>驻市委办纪检监察组工作经费项目支</w:t>
      </w:r>
      <w:r>
        <w:rPr>
          <w:rFonts w:hint="eastAsia" w:ascii="仿宋_GB2312" w:hAnsi="仿宋_GB2312" w:eastAsia="仿宋_GB2312" w:cs="仿宋_GB2312"/>
          <w:b w:val="0"/>
          <w:bCs w:val="0"/>
          <w:sz w:val="32"/>
          <w:szCs w:val="32"/>
          <w:highlight w:val="none"/>
          <w:lang w:val="en-US" w:eastAsia="zh-CN"/>
        </w:rPr>
        <w:t>出绩效</w:t>
      </w:r>
      <w:r>
        <w:rPr>
          <w:rFonts w:hint="eastAsia" w:ascii="仿宋_GB2312" w:hAnsi="仿宋_GB2312" w:eastAsia="仿宋_GB2312" w:cs="仿宋_GB2312"/>
          <w:b w:val="0"/>
          <w:bCs w:val="0"/>
          <w:sz w:val="32"/>
          <w:szCs w:val="32"/>
          <w:highlight w:val="none"/>
          <w:lang w:eastAsia="zh-CN"/>
        </w:rPr>
        <w:t>自评得分</w:t>
      </w:r>
      <w:r>
        <w:rPr>
          <w:rStyle w:val="41"/>
          <w:rFonts w:hint="eastAsia" w:ascii="仿宋_GB2312" w:hAnsi="黑体" w:eastAsia="仿宋_GB2312"/>
          <w:b w:val="0"/>
          <w:bCs w:val="0"/>
          <w:sz w:val="32"/>
          <w:szCs w:val="32"/>
          <w:highlight w:val="none"/>
          <w:lang w:val="en-US" w:eastAsia="zh-CN"/>
        </w:rPr>
        <w:t>99分。</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10" w:name="_Toc14981"/>
      <w:r>
        <w:rPr>
          <w:rStyle w:val="41"/>
          <w:rFonts w:hint="eastAsia" w:ascii="楷体_GB2312" w:hAnsi="楷体_GB2312" w:eastAsia="楷体_GB2312" w:cs="楷体_GB2312"/>
          <w:b w:val="0"/>
          <w:sz w:val="32"/>
          <w:szCs w:val="32"/>
          <w:highlight w:val="none"/>
        </w:rPr>
        <w:t>（二）存在问题</w:t>
      </w:r>
    </w:p>
    <w:bookmarkEnd w:id="210"/>
    <w:p>
      <w:pPr>
        <w:ind w:firstLine="640" w:firstLineChars="200"/>
        <w:rPr>
          <w:rFonts w:hint="eastAsia" w:ascii="仿宋_GB2312" w:hAnsi="宋体" w:eastAsia="仿宋_GB2312" w:cs="宋体"/>
          <w:sz w:val="32"/>
          <w:szCs w:val="32"/>
          <w:highlight w:val="none"/>
        </w:rPr>
      </w:pPr>
      <w:r>
        <w:rPr>
          <w:rFonts w:hint="eastAsia" w:ascii="仿宋_GB2312" w:eastAsia="仿宋_GB2312"/>
          <w:sz w:val="32"/>
          <w:szCs w:val="32"/>
          <w:highlight w:val="none"/>
        </w:rPr>
        <w:t>财政统一安排工作经费，项目绩效无法细化。</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11" w:name="_Toc18036"/>
      <w:r>
        <w:rPr>
          <w:rStyle w:val="41"/>
          <w:rFonts w:hint="eastAsia" w:ascii="楷体_GB2312" w:hAnsi="楷体_GB2312" w:eastAsia="楷体_GB2312" w:cs="楷体_GB2312"/>
          <w:b w:val="0"/>
          <w:sz w:val="32"/>
          <w:szCs w:val="32"/>
          <w:highlight w:val="none"/>
        </w:rPr>
        <w:t>（三）相关建议</w:t>
      </w:r>
    </w:p>
    <w:bookmarkEnd w:id="211"/>
    <w:p>
      <w:pPr>
        <w:widowControl/>
        <w:ind w:firstLine="640" w:firstLineChars="200"/>
        <w:jc w:val="left"/>
        <w:rPr>
          <w:rFonts w:hint="eastAsia" w:ascii="方正小标宋简体" w:hAnsi="方正小标宋简体" w:eastAsia="方正小标宋简体" w:cs="方正小标宋简体"/>
          <w:b w:val="0"/>
          <w:bCs/>
          <w:color w:val="000000"/>
          <w:sz w:val="36"/>
          <w:szCs w:val="36"/>
          <w:highlight w:val="none"/>
        </w:rPr>
      </w:pPr>
      <w:bookmarkStart w:id="212" w:name="_Toc27682"/>
      <w:r>
        <w:rPr>
          <w:rStyle w:val="41"/>
          <w:rFonts w:hint="eastAsia" w:ascii="仿宋_GB2312" w:hAnsi="黑体" w:eastAsia="仿宋_GB2312"/>
          <w:b w:val="0"/>
          <w:sz w:val="32"/>
          <w:szCs w:val="32"/>
          <w:highlight w:val="none"/>
        </w:rPr>
        <w:t>加大日常公用经费核算，严格收支管理。</w:t>
      </w:r>
      <w:bookmarkEnd w:id="212"/>
    </w:p>
    <w:p>
      <w:pPr>
        <w:widowControl/>
        <w:jc w:val="left"/>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附表：</w:t>
      </w:r>
    </w:p>
    <w:tbl>
      <w:tblPr>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50"/>
        <w:gridCol w:w="1080"/>
        <w:gridCol w:w="780"/>
        <w:gridCol w:w="945"/>
        <w:gridCol w:w="720"/>
        <w:gridCol w:w="630"/>
        <w:gridCol w:w="690"/>
        <w:gridCol w:w="765"/>
        <w:gridCol w:w="630"/>
        <w:gridCol w:w="660"/>
        <w:gridCol w:w="7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9510"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驻市委办纪检监察组工作经费支出绩效目标自评表（2022年度）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68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驻市委办纪检监察组工作经费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7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15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7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91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7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履行监督、执纪、问责职责；检查处理违纪案件。</w:t>
            </w:r>
          </w:p>
        </w:tc>
        <w:tc>
          <w:tcPr>
            <w:tcW w:w="391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履行监督、执纪、问责职责；检查处理违纪案件。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68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开展宣传教育预防工作，对涉嫌违纪违法实事开展审查调研工作。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20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20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50.45%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因疫情原因，外出减少，支出费用减少。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20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50.45%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78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040"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3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10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7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94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72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6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76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6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66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0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优秀案卷数量增加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第一种形态处置数量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2022年12月底完成当年指标率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50.45%</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因疫情原因，外出减少，支出费用减少。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工作经费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10.09万元</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因疫情原因，外出减少，支出费用减少。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营造敬畏法纪的氛围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净化综合监督单位政治生态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可持续影响指标</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风清气正的政治环境继续巩固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市纪委监委及干部职工满意度</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36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63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6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w:t>
            </w:r>
          </w:p>
        </w:tc>
        <w:tc>
          <w:tcPr>
            <w:tcW w:w="780" w:type="dxa"/>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080" w:type="dxa"/>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75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760"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驻市委办纪检监察组2022年工作经费项目绩效编制合理，财务管理规范化，内控制度健全，财政资金使用符合要求，预算执行收支平衡，财政支出绩效评价较好。驻市委办纪检监察组工作经费项目支出绩效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76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财政统一安排工作经费，项目绩效无法细化。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76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加大日常公用经费的核算。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760"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widowControl/>
        <w:jc w:val="left"/>
        <w:rPr>
          <w:rStyle w:val="41"/>
          <w:rFonts w:hint="eastAsia" w:ascii="仿宋_GB2312" w:hAnsi="黑体" w:eastAsia="仿宋_GB2312"/>
          <w:b w:val="0"/>
          <w:sz w:val="32"/>
          <w:szCs w:val="32"/>
          <w:highlight w:val="yellow"/>
        </w:rPr>
      </w:pPr>
    </w:p>
    <w:p>
      <w:pPr>
        <w:rPr>
          <w:rFonts w:hint="eastAsia"/>
        </w:rPr>
      </w:pPr>
    </w:p>
    <w:p>
      <w:pPr>
        <w:pStyle w:val="40"/>
        <w:rPr>
          <w:rFonts w:hint="eastAsia"/>
          <w:highlight w:val="none"/>
        </w:rPr>
      </w:pPr>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p>
    <w:p>
      <w:pPr>
        <w:spacing w:line="580" w:lineRule="exact"/>
        <w:jc w:val="both"/>
        <w:rPr>
          <w:rFonts w:hint="eastAsia" w:ascii="方正小标宋简体" w:hAnsi="方正小标宋简体" w:eastAsia="方正小标宋简体" w:cs="方正小标宋简体"/>
          <w:b w:val="0"/>
          <w:bCs/>
          <w:color w:val="000000"/>
          <w:sz w:val="36"/>
          <w:szCs w:val="36"/>
          <w:highlight w:val="none"/>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bookmarkStart w:id="213" w:name="_Toc32472"/>
      <w:r>
        <w:rPr>
          <w:rFonts w:hint="eastAsia" w:ascii="方正小标宋简体" w:hAnsi="方正小标宋简体" w:eastAsia="方正小标宋简体" w:cs="方正小标宋简体"/>
          <w:b w:val="0"/>
          <w:bCs/>
          <w:color w:val="000000"/>
          <w:sz w:val="36"/>
          <w:szCs w:val="36"/>
          <w:highlight w:val="none"/>
        </w:rPr>
        <w:t>张国平同志职业健康监护费项目</w:t>
      </w:r>
      <w:bookmarkEnd w:id="213"/>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支出绩效自评报告</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214" w:name="_Toc23267"/>
      <w:r>
        <w:rPr>
          <w:rFonts w:hint="eastAsia" w:ascii="黑体" w:hAnsi="黑体" w:eastAsia="黑体" w:cs="黑体"/>
          <w:b w:val="0"/>
          <w:bCs w:val="0"/>
          <w:color w:val="000000"/>
          <w:sz w:val="32"/>
          <w:szCs w:val="32"/>
          <w:highlight w:val="none"/>
        </w:rPr>
        <w:t>一、项目概况</w:t>
      </w:r>
      <w:bookmarkEnd w:id="214"/>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（一）项目基本情况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《中华人民共和国职业病防治法》和广卫发〔2007〕112号《关于职业病人病人张国平同志职业健康监护方案的报告》</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《中华人民共和国职业病防治法》和广卫发〔2007〕112号《关于职业病人病人张国平同志职业健康监护方案的报告》</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主要用于张国平职业健康监护费。</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color w:val="000000"/>
          <w:sz w:val="32"/>
          <w:szCs w:val="32"/>
          <w:highlight w:val="none"/>
        </w:rPr>
        <w:t>资金分配的原则及考虑因素</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按照预算管理办法及市委办财务制度，结合实际工作情况分配张国平同志职业健康监护费。</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（二）项目绩效目标</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ind w:firstLine="640" w:firstLineChars="200"/>
        <w:rPr>
          <w:rFonts w:hint="eastAsia" w:ascii="仿宋_GB2312" w:hAnsi="宋体" w:eastAsia="仿宋_GB2312" w:cs="宋体"/>
          <w:sz w:val="32"/>
          <w:szCs w:val="32"/>
          <w:highlight w:val="none"/>
        </w:rPr>
      </w:pPr>
      <w:r>
        <w:rPr>
          <w:rFonts w:hint="eastAsia" w:ascii="仿宋_GB2312" w:eastAsia="仿宋_GB2312"/>
          <w:sz w:val="32"/>
          <w:szCs w:val="32"/>
          <w:highlight w:val="none"/>
        </w:rPr>
        <w:t>每年定期在苏州大学附属第二医院观察一次；定期康复治疗和日常护理；不定期在华西医大及重医大复查、诊断。</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职业病得到好的治疗效果，并对职业病研究提供有效数据。</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8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（三）项目自评步骤及方法</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215" w:name="_Toc27628"/>
      <w:r>
        <w:rPr>
          <w:rFonts w:hint="eastAsia" w:ascii="黑体" w:hAnsi="黑体" w:eastAsia="黑体" w:cs="黑体"/>
          <w:b w:val="0"/>
          <w:bCs w:val="0"/>
          <w:color w:val="000000"/>
          <w:sz w:val="32"/>
          <w:szCs w:val="32"/>
          <w:highlight w:val="none"/>
        </w:rPr>
        <w:t>二、项目资金申报及使用情况</w:t>
      </w:r>
      <w:bookmarkEnd w:id="215"/>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（一）项目资金申报及批复情况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年预算编制时申报“张国平同志职业健康监护费”项目，财政于202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日下达项目经费5万元。</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（二）资金计划、到位及使用情况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1.资金计划。市本级财政资金安排项目经费5万元。</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月全部下达到位。</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w:t>
      </w:r>
      <w:r>
        <w:rPr>
          <w:rFonts w:hint="eastAsia" w:ascii="仿宋_GB2312" w:hAnsi="仿宋" w:eastAsia="仿宋_GB2312"/>
          <w:color w:val="000000"/>
          <w:sz w:val="32"/>
          <w:szCs w:val="32"/>
          <w:highlight w:val="none"/>
          <w:lang w:val="en-US" w:eastAsia="zh-CN"/>
        </w:rPr>
        <w:t>1.72</w:t>
      </w:r>
      <w:r>
        <w:rPr>
          <w:rFonts w:hint="eastAsia" w:ascii="仿宋_GB2312" w:hAnsi="仿宋" w:eastAsia="仿宋_GB2312"/>
          <w:color w:val="000000"/>
          <w:sz w:val="32"/>
          <w:szCs w:val="32"/>
          <w:highlight w:val="none"/>
        </w:rPr>
        <w:t>万元。主要用于治病往返交通费、住宿费以及生活补助费等。支付标准、支付进度、支付依据等合规合法，与预算相符。</w:t>
      </w:r>
      <w:r>
        <w:rPr>
          <w:rFonts w:hint="eastAsia" w:ascii="仿宋_GB2312" w:hAnsi="仿宋" w:eastAsia="仿宋_GB2312"/>
          <w:color w:val="000000"/>
          <w:sz w:val="32"/>
          <w:szCs w:val="32"/>
          <w:highlight w:val="none"/>
          <w:lang w:eastAsia="zh-CN"/>
        </w:rPr>
        <w:t>由于疫情原因外出减少，因此该</w:t>
      </w:r>
      <w:r>
        <w:rPr>
          <w:rFonts w:hint="eastAsia" w:ascii="仿宋_GB2312" w:hAnsi="仿宋" w:eastAsia="仿宋_GB2312"/>
          <w:b w:val="0"/>
          <w:bCs w:val="0"/>
          <w:color w:val="000000"/>
          <w:sz w:val="32"/>
          <w:szCs w:val="32"/>
          <w:highlight w:val="none"/>
          <w:lang w:val="en-US" w:eastAsia="zh-CN"/>
        </w:rPr>
        <w:t>项目预算执行数未全部使用完。</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（三）项目财务管理情况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216" w:name="_Toc25667"/>
      <w:r>
        <w:rPr>
          <w:rFonts w:hint="eastAsia" w:ascii="黑体" w:hAnsi="黑体" w:eastAsia="黑体" w:cs="黑体"/>
          <w:b w:val="0"/>
          <w:bCs w:val="0"/>
          <w:color w:val="000000"/>
          <w:sz w:val="32"/>
          <w:szCs w:val="32"/>
          <w:highlight w:val="none"/>
        </w:rPr>
        <w:t>三、项目实施及管理情况</w:t>
      </w:r>
      <w:bookmarkEnd w:id="216"/>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（一）项目组织架构及实施流程</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张国平按相关制度规定，前往苏州大学附属第二医院定期康复治疗和日常护理；不定期在华西医大及重医大复查、诊断。根据实际发生票据，按报销流程进行报账。</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（二）项目管理情况</w:t>
      </w:r>
    </w:p>
    <w:p>
      <w:pPr>
        <w:widowControl/>
        <w:jc w:val="left"/>
        <w:rPr>
          <w:rStyle w:val="41"/>
          <w:rFonts w:hint="eastAsia" w:ascii="仿宋_GB2312" w:hAnsi="黑体" w:eastAsia="仿宋_GB2312"/>
          <w:b w:val="0"/>
          <w:sz w:val="32"/>
          <w:szCs w:val="32"/>
          <w:highlight w:val="none"/>
        </w:rPr>
      </w:pPr>
      <w:bookmarkStart w:id="217" w:name="_Toc26649"/>
      <w:r>
        <w:rPr>
          <w:rStyle w:val="41"/>
          <w:rFonts w:hint="eastAsia" w:ascii="仿宋_GB2312" w:hAnsi="黑体" w:eastAsia="仿宋_GB2312"/>
          <w:b w:val="0"/>
          <w:sz w:val="32"/>
          <w:szCs w:val="32"/>
          <w:highlight w:val="none"/>
        </w:rPr>
        <w:t>本项目由预算资金的管理由财务科负责，张国平本人使用该项目资金，由财务科负责项目资金使用的合理性、规范性。</w:t>
      </w:r>
    </w:p>
    <w:bookmarkEnd w:id="217"/>
    <w:p>
      <w:pPr>
        <w:widowControl/>
        <w:ind w:firstLine="640" w:firstLineChars="200"/>
        <w:jc w:val="left"/>
        <w:rPr>
          <w:rStyle w:val="41"/>
          <w:rFonts w:hint="eastAsia" w:ascii="仿宋_GB2312" w:hAnsi="黑体" w:eastAsia="仿宋_GB2312"/>
          <w:b w:val="0"/>
          <w:sz w:val="32"/>
          <w:szCs w:val="32"/>
          <w:highlight w:val="none"/>
        </w:rPr>
      </w:pPr>
      <w:bookmarkStart w:id="218" w:name="_Toc2167"/>
      <w:r>
        <w:rPr>
          <w:rStyle w:val="41"/>
          <w:rFonts w:hint="eastAsia" w:ascii="仿宋_GB2312" w:hAnsi="黑体" w:eastAsia="仿宋_GB2312"/>
          <w:b w:val="0"/>
          <w:sz w:val="32"/>
          <w:szCs w:val="32"/>
          <w:highlight w:val="none"/>
        </w:rPr>
        <w:t>（三）项目监管情况</w:t>
      </w:r>
    </w:p>
    <w:bookmarkEnd w:id="218"/>
    <w:p>
      <w:pPr>
        <w:widowControl/>
        <w:ind w:firstLine="640" w:firstLineChars="200"/>
        <w:jc w:val="left"/>
        <w:rPr>
          <w:rStyle w:val="41"/>
          <w:rFonts w:hint="eastAsia" w:ascii="仿宋_GB2312" w:hAnsi="黑体" w:eastAsia="仿宋_GB2312"/>
          <w:b w:val="0"/>
          <w:sz w:val="32"/>
          <w:szCs w:val="32"/>
          <w:highlight w:val="none"/>
        </w:rPr>
      </w:pPr>
      <w:bookmarkStart w:id="219" w:name="_Toc3175"/>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219"/>
    <w:p>
      <w:pPr>
        <w:widowControl/>
        <w:ind w:firstLine="640" w:firstLineChars="200"/>
        <w:jc w:val="left"/>
        <w:outlineLvl w:val="1"/>
        <w:rPr>
          <w:rStyle w:val="41"/>
          <w:rFonts w:hint="eastAsia" w:ascii="黑体" w:hAnsi="黑体" w:eastAsia="黑体" w:cs="黑体"/>
          <w:b w:val="0"/>
          <w:bCs w:val="0"/>
          <w:sz w:val="32"/>
          <w:szCs w:val="32"/>
          <w:highlight w:val="none"/>
        </w:rPr>
      </w:pPr>
      <w:bookmarkStart w:id="220" w:name="_Toc22383"/>
      <w:r>
        <w:rPr>
          <w:rStyle w:val="41"/>
          <w:rFonts w:hint="eastAsia" w:ascii="黑体" w:hAnsi="黑体" w:eastAsia="黑体" w:cs="黑体"/>
          <w:b w:val="0"/>
          <w:bCs w:val="0"/>
          <w:sz w:val="32"/>
          <w:szCs w:val="32"/>
          <w:highlight w:val="none"/>
        </w:rPr>
        <w:t>四、项目绩效情况</w:t>
      </w:r>
      <w:bookmarkEnd w:id="220"/>
    </w:p>
    <w:p>
      <w:pPr>
        <w:widowControl/>
        <w:ind w:firstLine="640" w:firstLineChars="200"/>
        <w:jc w:val="left"/>
        <w:rPr>
          <w:rStyle w:val="41"/>
          <w:rFonts w:hint="eastAsia" w:ascii="仿宋_GB2312" w:hAnsi="黑体" w:eastAsia="仿宋_GB2312"/>
          <w:b w:val="0"/>
          <w:sz w:val="32"/>
          <w:szCs w:val="32"/>
          <w:highlight w:val="none"/>
        </w:rPr>
      </w:pPr>
      <w:bookmarkStart w:id="221" w:name="_Toc8197"/>
      <w:r>
        <w:rPr>
          <w:rStyle w:val="41"/>
          <w:rFonts w:hint="eastAsia" w:ascii="仿宋_GB2312" w:hAnsi="黑体" w:eastAsia="仿宋_GB2312"/>
          <w:b w:val="0"/>
          <w:sz w:val="32"/>
          <w:szCs w:val="32"/>
          <w:highlight w:val="none"/>
        </w:rPr>
        <w:t>（一）项目完成情况</w:t>
      </w:r>
    </w:p>
    <w:bookmarkEnd w:id="221"/>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年使用经费</w:t>
      </w:r>
      <w:r>
        <w:rPr>
          <w:rFonts w:hint="eastAsia" w:ascii="仿宋_GB2312" w:hAnsi="仿宋" w:eastAsia="仿宋_GB2312"/>
          <w:color w:val="000000"/>
          <w:sz w:val="32"/>
          <w:szCs w:val="32"/>
          <w:highlight w:val="none"/>
          <w:lang w:val="en-US" w:eastAsia="zh-CN"/>
        </w:rPr>
        <w:t>1.72</w:t>
      </w:r>
      <w:r>
        <w:rPr>
          <w:rFonts w:hint="eastAsia" w:ascii="仿宋_GB2312" w:hAnsi="仿宋" w:eastAsia="仿宋_GB2312"/>
          <w:color w:val="000000"/>
          <w:sz w:val="32"/>
          <w:szCs w:val="32"/>
          <w:highlight w:val="none"/>
        </w:rPr>
        <w:t>万元，主要是由于疫情原因减少外出就医。</w:t>
      </w:r>
    </w:p>
    <w:p>
      <w:pPr>
        <w:widowControl/>
        <w:ind w:firstLine="640" w:firstLineChars="200"/>
        <w:jc w:val="left"/>
        <w:rPr>
          <w:rStyle w:val="41"/>
          <w:rFonts w:hint="eastAsia" w:ascii="仿宋_GB2312" w:hAnsi="黑体" w:eastAsia="仿宋_GB2312"/>
          <w:b w:val="0"/>
          <w:sz w:val="32"/>
          <w:szCs w:val="32"/>
          <w:highlight w:val="none"/>
        </w:rPr>
      </w:pPr>
      <w:bookmarkStart w:id="222" w:name="_Toc32422"/>
      <w:r>
        <w:rPr>
          <w:rStyle w:val="41"/>
          <w:rFonts w:hint="eastAsia" w:ascii="仿宋_GB2312" w:hAnsi="黑体" w:eastAsia="仿宋_GB2312"/>
          <w:b w:val="0"/>
          <w:sz w:val="32"/>
          <w:szCs w:val="32"/>
          <w:highlight w:val="none"/>
        </w:rPr>
        <w:t>（二）项目效益情况</w:t>
      </w:r>
    </w:p>
    <w:bookmarkEnd w:id="222"/>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职业病得到好的治疗效果，并对职业病研究提供有效数据。</w:t>
      </w:r>
    </w:p>
    <w:p>
      <w:pPr>
        <w:widowControl/>
        <w:ind w:firstLine="640" w:firstLineChars="200"/>
        <w:jc w:val="left"/>
        <w:outlineLvl w:val="1"/>
        <w:rPr>
          <w:rStyle w:val="41"/>
          <w:rFonts w:hint="eastAsia" w:ascii="黑体" w:hAnsi="黑体" w:eastAsia="黑体" w:cs="黑体"/>
          <w:b w:val="0"/>
          <w:bCs w:val="0"/>
          <w:sz w:val="32"/>
          <w:szCs w:val="32"/>
          <w:highlight w:val="none"/>
        </w:rPr>
      </w:pPr>
      <w:bookmarkStart w:id="223" w:name="_Toc22856"/>
      <w:r>
        <w:rPr>
          <w:rStyle w:val="41"/>
          <w:rFonts w:hint="eastAsia" w:ascii="黑体" w:hAnsi="黑体" w:eastAsia="黑体" w:cs="黑体"/>
          <w:b w:val="0"/>
          <w:bCs w:val="0"/>
          <w:sz w:val="32"/>
          <w:szCs w:val="32"/>
          <w:highlight w:val="none"/>
        </w:rPr>
        <w:t>五、评价结论及建议</w:t>
      </w:r>
      <w:bookmarkEnd w:id="223"/>
    </w:p>
    <w:p>
      <w:pPr>
        <w:widowControl/>
        <w:ind w:firstLine="640" w:firstLineChars="200"/>
        <w:jc w:val="left"/>
        <w:rPr>
          <w:rStyle w:val="41"/>
          <w:rFonts w:hint="eastAsia" w:ascii="仿宋_GB2312" w:hAnsi="黑体" w:eastAsia="仿宋_GB2312"/>
          <w:b w:val="0"/>
          <w:sz w:val="32"/>
          <w:szCs w:val="32"/>
          <w:highlight w:val="none"/>
        </w:rPr>
      </w:pPr>
      <w:bookmarkStart w:id="224" w:name="_Toc18119"/>
      <w:r>
        <w:rPr>
          <w:rStyle w:val="41"/>
          <w:rFonts w:hint="eastAsia" w:ascii="仿宋_GB2312" w:hAnsi="黑体" w:eastAsia="仿宋_GB2312"/>
          <w:b w:val="0"/>
          <w:sz w:val="32"/>
          <w:szCs w:val="32"/>
          <w:highlight w:val="none"/>
        </w:rPr>
        <w:t>（一）评价结论</w:t>
      </w:r>
    </w:p>
    <w:bookmarkEnd w:id="224"/>
    <w:p>
      <w:pPr>
        <w:widowControl/>
        <w:ind w:firstLine="640" w:firstLineChars="200"/>
        <w:jc w:val="left"/>
        <w:rPr>
          <w:rStyle w:val="41"/>
          <w:rFonts w:hint="eastAsia" w:ascii="仿宋_GB2312" w:hAnsi="黑体" w:eastAsia="仿宋_GB2312"/>
          <w:b w:val="0"/>
          <w:sz w:val="32"/>
          <w:szCs w:val="32"/>
          <w:highlight w:val="none"/>
        </w:rPr>
      </w:pPr>
      <w:r>
        <w:rPr>
          <w:rFonts w:hint="eastAsia" w:ascii="仿宋_GB2312" w:hAnsi="仿宋" w:eastAsia="仿宋_GB2312"/>
          <w:color w:val="000000"/>
          <w:sz w:val="32"/>
          <w:szCs w:val="32"/>
          <w:highlight w:val="none"/>
        </w:rPr>
        <w:t>张国平同志职业健康监护费</w:t>
      </w:r>
      <w:r>
        <w:rPr>
          <w:rStyle w:val="41"/>
          <w:rFonts w:hint="eastAsia" w:ascii="仿宋_GB2312" w:hAnsi="黑体" w:eastAsia="仿宋_GB2312"/>
          <w:b w:val="0"/>
          <w:sz w:val="32"/>
          <w:szCs w:val="32"/>
          <w:highlight w:val="none"/>
        </w:rPr>
        <w:t>项目绩效编制合理，财务管理规范化，内控制度健全，财政资金使用符合要求，预算执行收支平衡，财政支出绩效评价较好。</w:t>
      </w:r>
      <w:r>
        <w:rPr>
          <w:rFonts w:hint="eastAsia" w:ascii="仿宋_GB2312" w:hAnsi="仿宋_GB2312" w:eastAsia="仿宋_GB2312" w:cs="仿宋_GB2312"/>
          <w:sz w:val="32"/>
          <w:szCs w:val="32"/>
          <w:highlight w:val="none"/>
          <w:lang w:val="en-US" w:eastAsia="zh-CN"/>
        </w:rPr>
        <w:t>张国平同志职业健康监护费项目支出绩效</w:t>
      </w:r>
      <w:r>
        <w:rPr>
          <w:rFonts w:hint="eastAsia" w:ascii="仿宋_GB2312" w:hAnsi="仿宋_GB2312" w:eastAsia="仿宋_GB2312" w:cs="仿宋_GB2312"/>
          <w:sz w:val="32"/>
          <w:szCs w:val="32"/>
          <w:highlight w:val="none"/>
          <w:lang w:eastAsia="zh-CN"/>
        </w:rPr>
        <w:t>自评得分</w:t>
      </w:r>
      <w:r>
        <w:rPr>
          <w:rFonts w:hint="eastAsia" w:ascii="仿宋_GB2312" w:hAnsi="仿宋_GB2312" w:eastAsia="仿宋_GB2312" w:cs="仿宋_GB2312"/>
          <w:sz w:val="32"/>
          <w:szCs w:val="32"/>
          <w:highlight w:val="none"/>
          <w:lang w:val="en-US" w:eastAsia="zh-CN"/>
        </w:rPr>
        <w:t>100分。</w:t>
      </w:r>
    </w:p>
    <w:p>
      <w:pPr>
        <w:widowControl/>
        <w:ind w:firstLine="640" w:firstLineChars="200"/>
        <w:jc w:val="left"/>
        <w:rPr>
          <w:rStyle w:val="41"/>
          <w:rFonts w:hint="eastAsia" w:ascii="仿宋_GB2312" w:hAnsi="黑体" w:eastAsia="仿宋_GB2312"/>
          <w:b w:val="0"/>
          <w:sz w:val="32"/>
          <w:szCs w:val="32"/>
          <w:highlight w:val="none"/>
        </w:rPr>
      </w:pPr>
      <w:bookmarkStart w:id="225" w:name="_Toc9033"/>
      <w:r>
        <w:rPr>
          <w:rStyle w:val="41"/>
          <w:rFonts w:hint="eastAsia" w:ascii="仿宋_GB2312" w:hAnsi="黑体" w:eastAsia="仿宋_GB2312"/>
          <w:b w:val="0"/>
          <w:sz w:val="32"/>
          <w:szCs w:val="32"/>
          <w:highlight w:val="none"/>
        </w:rPr>
        <w:t>（二）存在问题</w:t>
      </w:r>
    </w:p>
    <w:bookmarkEnd w:id="225"/>
    <w:p>
      <w:pPr>
        <w:ind w:firstLine="640" w:firstLineChars="200"/>
        <w:rPr>
          <w:rFonts w:hint="eastAsia" w:ascii="仿宋_GB2312" w:hAnsi="宋体" w:eastAsia="仿宋_GB2312" w:cs="宋体"/>
          <w:sz w:val="32"/>
          <w:szCs w:val="32"/>
          <w:highlight w:val="none"/>
        </w:rPr>
      </w:pPr>
      <w:r>
        <w:rPr>
          <w:rFonts w:hint="eastAsia" w:ascii="仿宋_GB2312" w:eastAsia="仿宋_GB2312"/>
          <w:sz w:val="32"/>
          <w:szCs w:val="32"/>
          <w:highlight w:val="none"/>
          <w:lang w:val="en-US" w:eastAsia="zh-CN"/>
        </w:rPr>
        <w:t>无</w:t>
      </w:r>
      <w:r>
        <w:rPr>
          <w:rFonts w:hint="eastAsia" w:ascii="仿宋_GB2312" w:eastAsia="仿宋_GB2312"/>
          <w:sz w:val="32"/>
          <w:szCs w:val="32"/>
          <w:highlight w:val="none"/>
        </w:rPr>
        <w:t>。</w:t>
      </w:r>
    </w:p>
    <w:p>
      <w:pPr>
        <w:widowControl/>
        <w:ind w:firstLine="640" w:firstLineChars="200"/>
        <w:jc w:val="left"/>
        <w:rPr>
          <w:rStyle w:val="41"/>
          <w:rFonts w:hint="eastAsia" w:ascii="仿宋_GB2312" w:hAnsi="黑体" w:eastAsia="仿宋_GB2312"/>
          <w:b w:val="0"/>
          <w:sz w:val="32"/>
          <w:szCs w:val="32"/>
          <w:highlight w:val="none"/>
        </w:rPr>
      </w:pPr>
      <w:bookmarkStart w:id="226" w:name="_Toc1845"/>
      <w:r>
        <w:rPr>
          <w:rStyle w:val="41"/>
          <w:rFonts w:hint="eastAsia" w:ascii="仿宋_GB2312" w:hAnsi="黑体" w:eastAsia="仿宋_GB2312"/>
          <w:b w:val="0"/>
          <w:sz w:val="32"/>
          <w:szCs w:val="32"/>
          <w:highlight w:val="none"/>
        </w:rPr>
        <w:t>（三）相关建议</w:t>
      </w:r>
    </w:p>
    <w:bookmarkEnd w:id="226"/>
    <w:p>
      <w:pPr>
        <w:widowControl/>
        <w:ind w:firstLine="640" w:firstLineChars="200"/>
        <w:jc w:val="left"/>
        <w:rPr>
          <w:rStyle w:val="41"/>
          <w:rFonts w:hint="eastAsia" w:ascii="仿宋_GB2312" w:hAnsi="黑体" w:eastAsia="仿宋_GB2312"/>
          <w:b w:val="0"/>
          <w:sz w:val="32"/>
          <w:szCs w:val="32"/>
          <w:highlight w:val="none"/>
        </w:rPr>
      </w:pPr>
      <w:bookmarkStart w:id="227" w:name="_Toc30155"/>
      <w:r>
        <w:rPr>
          <w:rStyle w:val="41"/>
          <w:rFonts w:hint="eastAsia" w:ascii="仿宋_GB2312" w:hAnsi="黑体" w:eastAsia="仿宋_GB2312"/>
          <w:b w:val="0"/>
          <w:sz w:val="32"/>
          <w:szCs w:val="32"/>
          <w:highlight w:val="none"/>
          <w:lang w:val="en-US"/>
        </w:rPr>
        <w:t>无</w:t>
      </w:r>
      <w:r>
        <w:rPr>
          <w:rStyle w:val="41"/>
          <w:rFonts w:hint="eastAsia" w:ascii="仿宋_GB2312" w:hAnsi="黑体" w:eastAsia="仿宋_GB2312"/>
          <w:b w:val="0"/>
          <w:sz w:val="32"/>
          <w:szCs w:val="32"/>
          <w:highlight w:val="none"/>
        </w:rPr>
        <w:t>。</w:t>
      </w:r>
    </w:p>
    <w:bookmarkEnd w:id="227"/>
    <w:p>
      <w:pPr>
        <w:widowControl/>
        <w:jc w:val="left"/>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附表：</w:t>
      </w:r>
    </w:p>
    <w:tbl>
      <w:tblPr>
        <w:tblW w:w="9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05"/>
        <w:gridCol w:w="960"/>
        <w:gridCol w:w="720"/>
        <w:gridCol w:w="720"/>
        <w:gridCol w:w="585"/>
        <w:gridCol w:w="525"/>
        <w:gridCol w:w="765"/>
        <w:gridCol w:w="840"/>
        <w:gridCol w:w="780"/>
        <w:gridCol w:w="735"/>
        <w:gridCol w:w="94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975" w:type="dxa"/>
            <w:gridSpan w:val="12"/>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张国平同志职业健康监护费支出绩效目标自评表（2022年度）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801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张国平同志职业健康监护费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96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31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85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31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469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31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完成张国平同志职业健康监护费的使用。</w:t>
            </w:r>
          </w:p>
        </w:tc>
        <w:tc>
          <w:tcPr>
            <w:tcW w:w="469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完成张国平同志职业健康监护费的使用。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801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张国平按相关制度规定，前往苏州大学附属第二医院定期康复治疗和日常护理；不定期在华西医大及重医大复查、诊断。根据实际发生票据，按报销流程进行报账。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87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87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由于疫情原因，张国平同志外出就医次数减少，康复治疗费用减少。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87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87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72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2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875"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4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72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72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58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52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76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84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7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3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94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需要健康监护人数</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1人</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保障定期治疗和日常护理完成率</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由于疫情原因，张国平同志外出就医次数减少，康复治疗费用减少。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完成时间2022年12月31日</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1年</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健康监护费用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1.72万元</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由于疫情原因，张国平同志外出就医次数减少，康复治疗费用减少。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研究职业病得到更好的推广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45" w:type="dxa"/>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本人对监护费的满意度</w:t>
            </w:r>
          </w:p>
        </w:tc>
        <w:tc>
          <w:tcPr>
            <w:tcW w:w="5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2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970"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 xml:space="preserve"> 张国平同志职业健康监护费项目绩效编制合理，财务管理规范化，内控制度健全，财政资金使用符合要求，预算执行收支平衡，财政支出绩效评价较好。张国平同志职业健康监护费项目支出绩效自评得分100分。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97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97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0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970"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widowControl/>
        <w:jc w:val="left"/>
        <w:rPr>
          <w:rStyle w:val="41"/>
          <w:rFonts w:hint="eastAsia" w:ascii="仿宋_GB2312" w:hAnsi="黑体" w:eastAsia="仿宋_GB2312"/>
          <w:b w:val="0"/>
          <w:sz w:val="32"/>
          <w:szCs w:val="32"/>
          <w:highlight w:val="none"/>
        </w:rPr>
      </w:pPr>
    </w:p>
    <w:p>
      <w:pPr>
        <w:pStyle w:val="40"/>
        <w:rPr>
          <w:rStyle w:val="41"/>
          <w:rFonts w:hint="eastAsia" w:ascii="仿宋_GB2312" w:hAnsi="黑体" w:eastAsia="仿宋_GB2312"/>
          <w:b w:val="0"/>
          <w:sz w:val="32"/>
          <w:szCs w:val="32"/>
          <w:highlight w:val="none"/>
        </w:rPr>
      </w:pPr>
    </w:p>
    <w:p>
      <w:pPr>
        <w:rPr>
          <w:rStyle w:val="41"/>
          <w:rFonts w:hint="eastAsia" w:ascii="仿宋_GB2312" w:hAnsi="黑体" w:eastAsia="仿宋_GB2312"/>
          <w:b w:val="0"/>
          <w:sz w:val="32"/>
          <w:szCs w:val="32"/>
          <w:highlight w:val="none"/>
        </w:rPr>
      </w:pPr>
    </w:p>
    <w:p>
      <w:pPr>
        <w:pStyle w:val="40"/>
        <w:rPr>
          <w:rStyle w:val="41"/>
          <w:rFonts w:hint="eastAsia" w:ascii="仿宋_GB2312" w:hAnsi="黑体" w:eastAsia="仿宋_GB2312"/>
          <w:b w:val="0"/>
          <w:sz w:val="32"/>
          <w:szCs w:val="32"/>
          <w:highlight w:val="none"/>
        </w:rPr>
      </w:pPr>
    </w:p>
    <w:p>
      <w:pPr>
        <w:rPr>
          <w:rStyle w:val="41"/>
          <w:rFonts w:hint="eastAsia" w:ascii="仿宋_GB2312" w:hAnsi="黑体" w:eastAsia="仿宋_GB2312"/>
          <w:b w:val="0"/>
          <w:sz w:val="32"/>
          <w:szCs w:val="32"/>
          <w:highlight w:val="none"/>
        </w:rPr>
      </w:pPr>
    </w:p>
    <w:p>
      <w:pPr>
        <w:pStyle w:val="16"/>
        <w:rPr>
          <w:rStyle w:val="41"/>
          <w:rFonts w:hint="eastAsia" w:ascii="仿宋_GB2312" w:hAnsi="黑体" w:eastAsia="仿宋_GB2312"/>
          <w:b w:val="0"/>
          <w:sz w:val="32"/>
          <w:szCs w:val="32"/>
          <w:highlight w:val="none"/>
        </w:rPr>
      </w:pPr>
    </w:p>
    <w:p>
      <w:pPr>
        <w:rPr>
          <w:rStyle w:val="41"/>
          <w:rFonts w:hint="eastAsia" w:ascii="仿宋_GB2312" w:hAnsi="黑体" w:eastAsia="仿宋_GB2312"/>
          <w:b w:val="0"/>
          <w:sz w:val="32"/>
          <w:szCs w:val="32"/>
          <w:highlight w:val="none"/>
        </w:rPr>
      </w:pPr>
    </w:p>
    <w:p>
      <w:pPr>
        <w:pStyle w:val="16"/>
        <w:rPr>
          <w:rStyle w:val="41"/>
          <w:rFonts w:hint="eastAsia" w:ascii="仿宋_GB2312" w:hAnsi="黑体" w:eastAsia="仿宋_GB2312"/>
          <w:b w:val="0"/>
          <w:sz w:val="32"/>
          <w:szCs w:val="32"/>
          <w:highlight w:val="none"/>
        </w:rPr>
      </w:pPr>
    </w:p>
    <w:p>
      <w:pPr>
        <w:rPr>
          <w:rStyle w:val="41"/>
          <w:rFonts w:hint="eastAsia" w:ascii="仿宋_GB2312" w:hAnsi="黑体" w:eastAsia="仿宋_GB2312"/>
          <w:b w:val="0"/>
          <w:sz w:val="32"/>
          <w:szCs w:val="32"/>
          <w:highlight w:val="none"/>
        </w:rPr>
      </w:pPr>
    </w:p>
    <w:p>
      <w:pPr>
        <w:pStyle w:val="16"/>
        <w:rPr>
          <w:rFonts w:hint="eastAsia"/>
        </w:rPr>
      </w:pPr>
    </w:p>
    <w:p>
      <w:pPr>
        <w:pStyle w:val="16"/>
        <w:ind w:left="0" w:leftChars="0" w:firstLine="0" w:firstLineChars="0"/>
        <w:rPr>
          <w:rStyle w:val="41"/>
          <w:rFonts w:hint="eastAsia" w:ascii="仿宋_GB2312" w:hAnsi="黑体" w:eastAsia="仿宋_GB2312"/>
          <w:b w:val="0"/>
          <w:sz w:val="32"/>
          <w:szCs w:val="32"/>
          <w:highlight w:val="none"/>
        </w:rPr>
      </w:pPr>
    </w:p>
    <w:p>
      <w:pPr>
        <w:rPr>
          <w:rStyle w:val="41"/>
          <w:rFonts w:hint="eastAsia" w:ascii="仿宋_GB2312" w:hAnsi="黑体" w:eastAsia="仿宋_GB2312"/>
          <w:b w:val="0"/>
          <w:sz w:val="32"/>
          <w:szCs w:val="32"/>
          <w:highlight w:val="none"/>
        </w:rPr>
      </w:pPr>
    </w:p>
    <w:p>
      <w:pPr>
        <w:pStyle w:val="2"/>
        <w:rPr>
          <w:rStyle w:val="41"/>
          <w:rFonts w:hint="eastAsia" w:ascii="仿宋_GB2312" w:hAnsi="黑体" w:eastAsia="仿宋_GB2312"/>
          <w:b w:val="0"/>
          <w:sz w:val="32"/>
          <w:szCs w:val="32"/>
          <w:highlight w:val="none"/>
        </w:rPr>
      </w:pPr>
    </w:p>
    <w:p>
      <w:pPr>
        <w:pStyle w:val="2"/>
        <w:rPr>
          <w:rStyle w:val="41"/>
          <w:rFonts w:hint="eastAsia" w:ascii="仿宋_GB2312" w:hAnsi="黑体" w:eastAsia="仿宋_GB2312"/>
          <w:b w:val="0"/>
          <w:sz w:val="32"/>
          <w:szCs w:val="32"/>
          <w:highlight w:val="none"/>
        </w:rPr>
      </w:pPr>
    </w:p>
    <w:p>
      <w:pPr>
        <w:pStyle w:val="2"/>
        <w:rPr>
          <w:rStyle w:val="41"/>
          <w:rFonts w:hint="eastAsia" w:ascii="仿宋_GB2312" w:hAnsi="黑体" w:eastAsia="仿宋_GB2312"/>
          <w:b w:val="0"/>
          <w:sz w:val="32"/>
          <w:szCs w:val="32"/>
          <w:highlight w:val="none"/>
        </w:rPr>
      </w:pPr>
    </w:p>
    <w:p>
      <w:pPr>
        <w:pStyle w:val="2"/>
        <w:rPr>
          <w:rStyle w:val="41"/>
          <w:rFonts w:hint="eastAsia" w:ascii="仿宋_GB2312" w:hAnsi="黑体" w:eastAsia="仿宋_GB2312"/>
          <w:b w:val="0"/>
          <w:sz w:val="32"/>
          <w:szCs w:val="32"/>
          <w:highlight w:val="none"/>
        </w:rPr>
      </w:pPr>
    </w:p>
    <w:p>
      <w:pPr>
        <w:rPr>
          <w:rFonts w:hint="eastAsia" w:eastAsia="宋体"/>
          <w:lang w:eastAsia="zh-CN"/>
        </w:rPr>
      </w:pPr>
    </w:p>
    <w:p>
      <w:pPr>
        <w:pStyle w:val="40"/>
        <w:rPr>
          <w:rFonts w:hint="eastAsia"/>
          <w:highlight w:val="none"/>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bookmarkStart w:id="228" w:name="_Toc1769"/>
      <w:r>
        <w:rPr>
          <w:rFonts w:hint="eastAsia" w:ascii="方正小标宋简体" w:hAnsi="方正小标宋简体" w:eastAsia="方正小标宋简体" w:cs="方正小标宋简体"/>
          <w:b w:val="0"/>
          <w:bCs/>
          <w:color w:val="000000"/>
          <w:sz w:val="36"/>
          <w:szCs w:val="36"/>
          <w:highlight w:val="none"/>
        </w:rPr>
        <w:t>市公务服务中心工作经费项目支出绩效自评报告</w:t>
      </w:r>
      <w:bookmarkEnd w:id="228"/>
    </w:p>
    <w:p>
      <w:pPr>
        <w:pStyle w:val="40"/>
        <w:rPr>
          <w:rFonts w:hint="eastAsia"/>
          <w:highlight w:val="none"/>
        </w:rPr>
      </w:pP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229" w:name="_Toc31002"/>
      <w:r>
        <w:rPr>
          <w:rFonts w:hint="eastAsia" w:ascii="黑体" w:hAnsi="黑体" w:eastAsia="黑体" w:cs="黑体"/>
          <w:b w:val="0"/>
          <w:bCs w:val="0"/>
          <w:color w:val="000000"/>
          <w:sz w:val="32"/>
          <w:szCs w:val="32"/>
          <w:highlight w:val="none"/>
        </w:rPr>
        <w:t>一、项目概况</w:t>
      </w:r>
      <w:bookmarkEnd w:id="229"/>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（一）项目基本情况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市公务服务中心工作经费项目执行科室是市公务服务中心。其职能：完成符合公务接待范围的公务接待，完成国家、省委、省政府派出的巡视、检查、督查、考察、调研、考核、审计等工作组的服务保障，完成市委、市政府交办的大型会议活动的服务保障工作。</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lang w:val="en-US" w:eastAsia="zh-CN"/>
        </w:rPr>
        <w:t>根据</w:t>
      </w:r>
      <w:r>
        <w:rPr>
          <w:rFonts w:hint="eastAsia" w:ascii="仿宋_GB2312" w:hAnsi="仿宋" w:eastAsia="仿宋_GB2312"/>
          <w:color w:val="000000"/>
          <w:sz w:val="32"/>
          <w:szCs w:val="32"/>
          <w:highlight w:val="none"/>
        </w:rPr>
        <w:t>关于印发《广元市公务和外事服务中心职能配置、内设机构和人员编制规定》</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广委办函〔2019〕89号</w:t>
      </w:r>
      <w:r>
        <w:rPr>
          <w:rFonts w:hint="eastAsia" w:ascii="仿宋_GB2312" w:hAnsi="仿宋" w:eastAsia="仿宋_GB2312"/>
          <w:color w:val="000000"/>
          <w:sz w:val="32"/>
          <w:szCs w:val="32"/>
          <w:highlight w:val="none"/>
          <w:lang w:eastAsia="zh-CN"/>
        </w:rPr>
        <w:t>）文件</w:t>
      </w:r>
      <w:r>
        <w:rPr>
          <w:rFonts w:hint="eastAsia" w:ascii="仿宋_GB2312" w:hAnsi="仿宋" w:eastAsia="仿宋_GB2312"/>
          <w:color w:val="000000"/>
          <w:sz w:val="32"/>
          <w:szCs w:val="32"/>
          <w:highlight w:val="none"/>
        </w:rPr>
        <w:t>通知。</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该项目按市委办公室财务制度管理。主要用于市公务服务中心临聘人员经费、调研接待及工作用车经费以及</w:t>
      </w:r>
      <w:r>
        <w:rPr>
          <w:rFonts w:hint="eastAsia" w:ascii="仿宋_GB2312" w:hAnsi="仿宋" w:eastAsia="仿宋_GB2312"/>
          <w:color w:val="000000"/>
          <w:sz w:val="32"/>
          <w:szCs w:val="32"/>
          <w:highlight w:val="none"/>
          <w:lang w:eastAsia="zh-CN"/>
        </w:rPr>
        <w:t>日常工作经费</w:t>
      </w:r>
      <w:r>
        <w:rPr>
          <w:rFonts w:hint="eastAsia" w:ascii="仿宋_GB2312" w:hAnsi="仿宋" w:eastAsia="仿宋_GB2312"/>
          <w:color w:val="000000"/>
          <w:sz w:val="32"/>
          <w:szCs w:val="32"/>
          <w:highlight w:val="none"/>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color w:val="000000"/>
          <w:sz w:val="32"/>
          <w:szCs w:val="32"/>
          <w:highlight w:val="none"/>
        </w:rPr>
        <w:t>资金分配的原则及考虑因素</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按照预算管理办法及市委办财务制度，结合实际工作情况分配市公务服务中心工作经费。</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rPr>
        <w:t>）项目绩效目标</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临时接待和7辆接待调研车经费保障；临聘人员</w:t>
      </w:r>
      <w:r>
        <w:rPr>
          <w:rFonts w:hint="eastAsia" w:ascii="仿宋_GB2312" w:hAnsi="仿宋" w:eastAsia="仿宋_GB2312"/>
          <w:color w:val="000000"/>
          <w:sz w:val="32"/>
          <w:szCs w:val="32"/>
          <w:highlight w:val="none"/>
          <w:lang w:val="en-US" w:eastAsia="zh-CN"/>
        </w:rPr>
        <w:t>7</w:t>
      </w:r>
      <w:r>
        <w:rPr>
          <w:rFonts w:hint="eastAsia" w:ascii="仿宋_GB2312" w:hAnsi="仿宋" w:eastAsia="仿宋_GB2312"/>
          <w:color w:val="000000"/>
          <w:sz w:val="32"/>
          <w:szCs w:val="32"/>
          <w:highlight w:val="none"/>
        </w:rPr>
        <w:t>人工资、福利及各种保险和日常公用经费；办公设备采购等。</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完成市委、市政府交办的服务保障工作。</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80" w:lineRule="exact"/>
        <w:ind w:firstLine="640" w:firstLineChars="200"/>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（三）项目自评步骤及方法</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230" w:name="_Toc15699"/>
      <w:r>
        <w:rPr>
          <w:rFonts w:hint="eastAsia" w:ascii="黑体" w:hAnsi="黑体" w:eastAsia="黑体" w:cs="黑体"/>
          <w:b w:val="0"/>
          <w:bCs w:val="0"/>
          <w:color w:val="000000"/>
          <w:sz w:val="32"/>
          <w:szCs w:val="32"/>
          <w:highlight w:val="none"/>
        </w:rPr>
        <w:t>二、项目资金申报及使用情况</w:t>
      </w:r>
      <w:bookmarkEnd w:id="230"/>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（一）项目资金申报及批复情况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年预算编制时申报“市公务服务中心工作经费”项目，财政于202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日下达项目经费</w:t>
      </w:r>
      <w:r>
        <w:rPr>
          <w:rFonts w:hint="eastAsia" w:ascii="仿宋_GB2312" w:hAnsi="仿宋" w:eastAsia="仿宋_GB2312"/>
          <w:color w:val="000000"/>
          <w:sz w:val="32"/>
          <w:szCs w:val="32"/>
          <w:highlight w:val="none"/>
          <w:lang w:val="en-US" w:eastAsia="zh-CN"/>
        </w:rPr>
        <w:t>190</w:t>
      </w:r>
      <w:r>
        <w:rPr>
          <w:rFonts w:hint="eastAsia" w:ascii="仿宋_GB2312" w:hAnsi="仿宋" w:eastAsia="仿宋_GB2312"/>
          <w:color w:val="000000"/>
          <w:sz w:val="32"/>
          <w:szCs w:val="32"/>
          <w:highlight w:val="none"/>
        </w:rPr>
        <w:t>万元。</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（二）资金计划、到位及使用情况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1.资金计划。市本级财政资金安排项目经费</w:t>
      </w:r>
      <w:r>
        <w:rPr>
          <w:rFonts w:hint="eastAsia" w:ascii="仿宋_GB2312" w:hAnsi="仿宋" w:eastAsia="仿宋_GB2312"/>
          <w:color w:val="000000"/>
          <w:sz w:val="32"/>
          <w:szCs w:val="32"/>
          <w:highlight w:val="none"/>
          <w:lang w:val="en-US" w:eastAsia="zh-CN"/>
        </w:rPr>
        <w:t>190</w:t>
      </w:r>
      <w:r>
        <w:rPr>
          <w:rFonts w:hint="eastAsia" w:ascii="仿宋_GB2312" w:hAnsi="仿宋" w:eastAsia="仿宋_GB2312"/>
          <w:color w:val="000000"/>
          <w:sz w:val="32"/>
          <w:szCs w:val="32"/>
          <w:highlight w:val="none"/>
        </w:rPr>
        <w:t>万元。</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rPr>
        <w:t>月全部下达到位。</w:t>
      </w:r>
    </w:p>
    <w:p>
      <w:pPr>
        <w:pStyle w:val="40"/>
        <w:spacing w:line="240" w:lineRule="auto"/>
        <w:ind w:leftChars="0" w:firstLine="640" w:firstLineChars="0"/>
        <w:jc w:val="lef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年共支出104.71万元。主要用于主要用于市公务服务中心临聘人员经费、调研接待及工作用车经费以及办公设备采购等。支付标准、支付进度、支付依据等合规合法，与预算相符。</w:t>
      </w:r>
      <w:r>
        <w:rPr>
          <w:rFonts w:hint="eastAsia" w:ascii="仿宋_GB2312" w:hAnsi="仿宋" w:eastAsia="仿宋_GB2312"/>
          <w:b w:val="0"/>
          <w:bCs w:val="0"/>
          <w:color w:val="000000"/>
          <w:kern w:val="2"/>
          <w:sz w:val="32"/>
          <w:szCs w:val="32"/>
          <w:highlight w:val="none"/>
          <w:lang w:val="en-US" w:eastAsia="zh-CN" w:bidi="ar-SA"/>
        </w:rPr>
        <w:t>因疫情原因外出调研减少，调研车辆使用减少。</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（三）项目财务管理情况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231" w:name="_Toc15862"/>
      <w:r>
        <w:rPr>
          <w:rFonts w:hint="eastAsia" w:ascii="黑体" w:hAnsi="黑体" w:eastAsia="黑体" w:cs="黑体"/>
          <w:b w:val="0"/>
          <w:bCs w:val="0"/>
          <w:color w:val="000000"/>
          <w:sz w:val="32"/>
          <w:szCs w:val="32"/>
          <w:highlight w:val="none"/>
        </w:rPr>
        <w:t>三、项目实施及管理情况</w:t>
      </w:r>
      <w:bookmarkEnd w:id="231"/>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（一）项目组织架构及实施流程</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科室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（二）项目管理情况</w:t>
      </w:r>
    </w:p>
    <w:p>
      <w:pPr>
        <w:spacing w:line="580" w:lineRule="exact"/>
        <w:ind w:firstLine="640"/>
        <w:rPr>
          <w:rStyle w:val="41"/>
          <w:rFonts w:hint="eastAsia" w:ascii="仿宋_GB2312" w:hAnsi="黑体" w:eastAsia="仿宋_GB2312"/>
          <w:b w:val="0"/>
          <w:sz w:val="32"/>
          <w:szCs w:val="32"/>
          <w:highlight w:val="none"/>
        </w:rPr>
      </w:pPr>
      <w:bookmarkStart w:id="232" w:name="_Toc15126"/>
      <w:r>
        <w:rPr>
          <w:rStyle w:val="41"/>
          <w:rFonts w:hint="eastAsia" w:ascii="仿宋_GB2312" w:hAnsi="黑体" w:eastAsia="仿宋_GB2312"/>
          <w:b w:val="0"/>
          <w:sz w:val="32"/>
          <w:szCs w:val="32"/>
          <w:highlight w:val="none"/>
        </w:rPr>
        <w:t>本项目由市公务服务中心负责，其他科室积极配合，由市公务服务中心领导负责协调相关工作，由财务科负责项目资金使用的合理性、规范性。</w:t>
      </w:r>
    </w:p>
    <w:bookmarkEnd w:id="232"/>
    <w:p>
      <w:pPr>
        <w:widowControl/>
        <w:ind w:firstLine="640" w:firstLineChars="200"/>
        <w:jc w:val="left"/>
        <w:rPr>
          <w:rStyle w:val="41"/>
          <w:rFonts w:hint="eastAsia" w:ascii="楷体_GB2312" w:hAnsi="楷体_GB2312" w:eastAsia="楷体_GB2312" w:cs="楷体_GB2312"/>
          <w:b w:val="0"/>
          <w:sz w:val="32"/>
          <w:szCs w:val="32"/>
          <w:highlight w:val="none"/>
        </w:rPr>
      </w:pPr>
      <w:bookmarkStart w:id="233" w:name="_Toc20940"/>
      <w:r>
        <w:rPr>
          <w:rStyle w:val="41"/>
          <w:rFonts w:hint="eastAsia" w:ascii="楷体_GB2312" w:hAnsi="楷体_GB2312" w:eastAsia="楷体_GB2312" w:cs="楷体_GB2312"/>
          <w:b w:val="0"/>
          <w:sz w:val="32"/>
          <w:szCs w:val="32"/>
          <w:highlight w:val="none"/>
        </w:rPr>
        <w:t>（三）项目监管情况</w:t>
      </w:r>
    </w:p>
    <w:bookmarkEnd w:id="233"/>
    <w:p>
      <w:pPr>
        <w:widowControl/>
        <w:ind w:firstLine="640" w:firstLineChars="200"/>
        <w:jc w:val="left"/>
        <w:rPr>
          <w:rStyle w:val="41"/>
          <w:rFonts w:hint="eastAsia" w:ascii="仿宋_GB2312" w:hAnsi="黑体" w:eastAsia="仿宋_GB2312"/>
          <w:b w:val="0"/>
          <w:sz w:val="32"/>
          <w:szCs w:val="32"/>
          <w:highlight w:val="none"/>
        </w:rPr>
      </w:pPr>
      <w:bookmarkStart w:id="234" w:name="_Toc474"/>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234"/>
    <w:p>
      <w:pPr>
        <w:widowControl/>
        <w:ind w:firstLine="640" w:firstLineChars="200"/>
        <w:jc w:val="left"/>
        <w:outlineLvl w:val="1"/>
        <w:rPr>
          <w:rStyle w:val="41"/>
          <w:rFonts w:hint="eastAsia" w:ascii="黑体" w:hAnsi="黑体" w:eastAsia="黑体" w:cs="黑体"/>
          <w:b w:val="0"/>
          <w:bCs w:val="0"/>
          <w:sz w:val="32"/>
          <w:szCs w:val="32"/>
          <w:highlight w:val="none"/>
        </w:rPr>
      </w:pPr>
      <w:bookmarkStart w:id="235" w:name="_Toc31181"/>
      <w:r>
        <w:rPr>
          <w:rStyle w:val="41"/>
          <w:rFonts w:hint="eastAsia" w:ascii="黑体" w:hAnsi="黑体" w:eastAsia="黑体" w:cs="黑体"/>
          <w:b w:val="0"/>
          <w:bCs w:val="0"/>
          <w:sz w:val="32"/>
          <w:szCs w:val="32"/>
          <w:highlight w:val="none"/>
        </w:rPr>
        <w:t>四、项目绩效情况</w:t>
      </w:r>
      <w:bookmarkEnd w:id="235"/>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36" w:name="_Toc2960"/>
      <w:r>
        <w:rPr>
          <w:rStyle w:val="41"/>
          <w:rFonts w:hint="eastAsia" w:ascii="楷体_GB2312" w:hAnsi="楷体_GB2312" w:eastAsia="楷体_GB2312" w:cs="楷体_GB2312"/>
          <w:b w:val="0"/>
          <w:sz w:val="32"/>
          <w:szCs w:val="32"/>
          <w:highlight w:val="none"/>
        </w:rPr>
        <w:t>（一）项目完成情况</w:t>
      </w:r>
    </w:p>
    <w:bookmarkEnd w:id="236"/>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年完成市公务服务中心临聘人员工资、福利及五险一金的发放和清缴工作；保障调研及接待用车的燃油费、过路费、保险费等。</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37" w:name="_Toc29601"/>
      <w:r>
        <w:rPr>
          <w:rStyle w:val="41"/>
          <w:rFonts w:hint="eastAsia" w:ascii="楷体_GB2312" w:hAnsi="楷体_GB2312" w:eastAsia="楷体_GB2312" w:cs="楷体_GB2312"/>
          <w:b w:val="0"/>
          <w:sz w:val="32"/>
          <w:szCs w:val="32"/>
          <w:highlight w:val="none"/>
        </w:rPr>
        <w:t>（二）项目效益情况</w:t>
      </w:r>
    </w:p>
    <w:bookmarkEnd w:id="237"/>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完成市委、市政府交办的服务保障工作。</w:t>
      </w:r>
    </w:p>
    <w:p>
      <w:pPr>
        <w:widowControl/>
        <w:ind w:firstLine="640" w:firstLineChars="200"/>
        <w:jc w:val="left"/>
        <w:outlineLvl w:val="1"/>
        <w:rPr>
          <w:rStyle w:val="41"/>
          <w:rFonts w:hint="eastAsia" w:ascii="黑体" w:hAnsi="黑体" w:eastAsia="黑体" w:cs="黑体"/>
          <w:b w:val="0"/>
          <w:bCs w:val="0"/>
          <w:sz w:val="32"/>
          <w:szCs w:val="32"/>
          <w:highlight w:val="none"/>
        </w:rPr>
      </w:pPr>
      <w:bookmarkStart w:id="238" w:name="_Toc1234"/>
      <w:r>
        <w:rPr>
          <w:rStyle w:val="41"/>
          <w:rFonts w:hint="eastAsia" w:ascii="黑体" w:hAnsi="黑体" w:eastAsia="黑体" w:cs="黑体"/>
          <w:b w:val="0"/>
          <w:bCs w:val="0"/>
          <w:sz w:val="32"/>
          <w:szCs w:val="32"/>
          <w:highlight w:val="none"/>
        </w:rPr>
        <w:t>五、评价结论及建议</w:t>
      </w:r>
      <w:bookmarkEnd w:id="238"/>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39" w:name="_Toc20678"/>
      <w:r>
        <w:rPr>
          <w:rStyle w:val="41"/>
          <w:rFonts w:hint="eastAsia" w:ascii="楷体_GB2312" w:hAnsi="楷体_GB2312" w:eastAsia="楷体_GB2312" w:cs="楷体_GB2312"/>
          <w:b w:val="0"/>
          <w:sz w:val="32"/>
          <w:szCs w:val="32"/>
          <w:highlight w:val="none"/>
        </w:rPr>
        <w:t>（一）评价结论</w:t>
      </w:r>
    </w:p>
    <w:bookmarkEnd w:id="239"/>
    <w:p>
      <w:pPr>
        <w:widowControl/>
        <w:ind w:firstLine="640" w:firstLineChars="200"/>
        <w:jc w:val="left"/>
        <w:rPr>
          <w:rStyle w:val="41"/>
          <w:rFonts w:hint="eastAsia" w:ascii="仿宋_GB2312" w:hAnsi="黑体" w:eastAsia="仿宋_GB2312"/>
          <w:b w:val="0"/>
          <w:sz w:val="32"/>
          <w:szCs w:val="32"/>
          <w:highlight w:val="none"/>
        </w:rPr>
      </w:pPr>
      <w:r>
        <w:rPr>
          <w:rFonts w:hint="eastAsia" w:ascii="仿宋_GB2312" w:hAnsi="仿宋" w:eastAsia="仿宋_GB2312"/>
          <w:color w:val="000000"/>
          <w:sz w:val="32"/>
          <w:szCs w:val="32"/>
          <w:highlight w:val="none"/>
        </w:rPr>
        <w:t>市公务服务中心工作经费项目</w:t>
      </w:r>
      <w:r>
        <w:rPr>
          <w:rStyle w:val="41"/>
          <w:rFonts w:hint="eastAsia" w:ascii="仿宋_GB2312" w:hAnsi="黑体" w:eastAsia="仿宋_GB2312"/>
          <w:b w:val="0"/>
          <w:sz w:val="32"/>
          <w:szCs w:val="32"/>
          <w:highlight w:val="none"/>
        </w:rPr>
        <w:t>绩效编制合理，财务管理规范化，内控制度健全，财政资金使用符合要求，预算执行收支平衡，财政支出绩效评价较好。</w:t>
      </w:r>
      <w:r>
        <w:rPr>
          <w:rFonts w:hint="eastAsia" w:ascii="仿宋_GB2312" w:hAnsi="仿宋_GB2312" w:eastAsia="仿宋_GB2312" w:cs="仿宋_GB2312"/>
          <w:sz w:val="32"/>
          <w:szCs w:val="32"/>
          <w:highlight w:val="none"/>
          <w:lang w:val="en-US" w:eastAsia="zh-CN"/>
        </w:rPr>
        <w:t>市公务服务中心工作经费项目支出绩效</w:t>
      </w:r>
      <w:r>
        <w:rPr>
          <w:rFonts w:hint="eastAsia" w:ascii="仿宋_GB2312" w:hAnsi="仿宋_GB2312" w:eastAsia="仿宋_GB2312" w:cs="仿宋_GB2312"/>
          <w:sz w:val="32"/>
          <w:szCs w:val="32"/>
          <w:highlight w:val="none"/>
          <w:lang w:eastAsia="zh-CN"/>
        </w:rPr>
        <w:t>自评得分</w:t>
      </w:r>
      <w:r>
        <w:rPr>
          <w:rFonts w:hint="eastAsia" w:ascii="仿宋_GB2312" w:hAnsi="仿宋_GB2312" w:eastAsia="仿宋_GB2312" w:cs="仿宋_GB2312"/>
          <w:sz w:val="32"/>
          <w:szCs w:val="32"/>
          <w:highlight w:val="none"/>
          <w:lang w:val="en-US" w:eastAsia="zh-CN"/>
        </w:rPr>
        <w:t>99分。</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40" w:name="_Toc6982"/>
      <w:r>
        <w:rPr>
          <w:rStyle w:val="41"/>
          <w:rFonts w:hint="eastAsia" w:ascii="楷体_GB2312" w:hAnsi="楷体_GB2312" w:eastAsia="楷体_GB2312" w:cs="楷体_GB2312"/>
          <w:b w:val="0"/>
          <w:sz w:val="32"/>
          <w:szCs w:val="32"/>
          <w:highlight w:val="none"/>
        </w:rPr>
        <w:t>（二）存在问题</w:t>
      </w:r>
    </w:p>
    <w:bookmarkEnd w:id="240"/>
    <w:p>
      <w:pPr>
        <w:ind w:firstLine="640" w:firstLineChars="200"/>
        <w:rPr>
          <w:rFonts w:hint="eastAsia" w:ascii="仿宋_GB2312" w:hAnsi="宋体" w:eastAsia="仿宋_GB2312" w:cs="宋体"/>
          <w:sz w:val="32"/>
          <w:szCs w:val="32"/>
          <w:highlight w:val="none"/>
        </w:rPr>
      </w:pPr>
      <w:r>
        <w:rPr>
          <w:rFonts w:hint="eastAsia" w:ascii="仿宋_GB2312" w:eastAsia="仿宋_GB2312"/>
          <w:sz w:val="32"/>
          <w:szCs w:val="32"/>
          <w:highlight w:val="none"/>
        </w:rPr>
        <w:t>市公务服务中心是市委办代管的副县级参公事业单位，由于工作性质特殊性</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目标绩效</w:t>
      </w:r>
      <w:r>
        <w:rPr>
          <w:rFonts w:hint="eastAsia" w:ascii="仿宋_GB2312" w:eastAsia="仿宋_GB2312"/>
          <w:sz w:val="32"/>
          <w:szCs w:val="32"/>
          <w:highlight w:val="none"/>
          <w:lang w:eastAsia="zh-CN"/>
        </w:rPr>
        <w:t>指标需进一步</w:t>
      </w:r>
      <w:r>
        <w:rPr>
          <w:rFonts w:hint="eastAsia" w:ascii="仿宋_GB2312" w:eastAsia="仿宋_GB2312"/>
          <w:sz w:val="32"/>
          <w:szCs w:val="32"/>
          <w:highlight w:val="none"/>
        </w:rPr>
        <w:t>细化。</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41" w:name="_Toc27103"/>
      <w:r>
        <w:rPr>
          <w:rStyle w:val="41"/>
          <w:rFonts w:hint="eastAsia" w:ascii="楷体_GB2312" w:hAnsi="楷体_GB2312" w:eastAsia="楷体_GB2312" w:cs="楷体_GB2312"/>
          <w:b w:val="0"/>
          <w:sz w:val="32"/>
          <w:szCs w:val="32"/>
          <w:highlight w:val="none"/>
        </w:rPr>
        <w:t>（三）相关建议</w:t>
      </w:r>
    </w:p>
    <w:bookmarkEnd w:id="241"/>
    <w:p>
      <w:pPr>
        <w:widowControl/>
        <w:ind w:firstLine="640" w:firstLineChars="200"/>
        <w:jc w:val="left"/>
        <w:rPr>
          <w:rStyle w:val="41"/>
          <w:rFonts w:hint="eastAsia" w:ascii="仿宋_GB2312" w:hAnsi="黑体" w:eastAsia="仿宋_GB2312"/>
          <w:b w:val="0"/>
          <w:sz w:val="32"/>
          <w:szCs w:val="32"/>
          <w:highlight w:val="none"/>
        </w:rPr>
      </w:pPr>
      <w:bookmarkStart w:id="242" w:name="_Toc2103"/>
      <w:r>
        <w:rPr>
          <w:rStyle w:val="41"/>
          <w:rFonts w:hint="eastAsia" w:ascii="仿宋_GB2312" w:hAnsi="黑体" w:eastAsia="仿宋_GB2312"/>
          <w:b w:val="0"/>
          <w:sz w:val="32"/>
          <w:szCs w:val="32"/>
          <w:highlight w:val="none"/>
        </w:rPr>
        <w:t>一是解决市本级预算体系性，加大日常公用经费的核算。</w:t>
      </w:r>
    </w:p>
    <w:bookmarkEnd w:id="242"/>
    <w:p>
      <w:pPr>
        <w:widowControl/>
        <w:ind w:firstLine="640" w:firstLineChars="200"/>
        <w:jc w:val="left"/>
        <w:rPr>
          <w:rStyle w:val="41"/>
          <w:rFonts w:hint="eastAsia" w:ascii="仿宋_GB2312" w:hAnsi="黑体" w:eastAsia="仿宋_GB2312"/>
          <w:b w:val="0"/>
          <w:sz w:val="32"/>
          <w:szCs w:val="32"/>
          <w:highlight w:val="none"/>
        </w:rPr>
      </w:pPr>
      <w:bookmarkStart w:id="243" w:name="_Toc4476"/>
      <w:r>
        <w:rPr>
          <w:rStyle w:val="41"/>
          <w:rFonts w:hint="eastAsia" w:ascii="仿宋_GB2312" w:hAnsi="黑体" w:eastAsia="仿宋_GB2312"/>
          <w:b w:val="0"/>
          <w:sz w:val="32"/>
          <w:szCs w:val="32"/>
          <w:highlight w:val="none"/>
        </w:rPr>
        <w:t>二是加大预算执行力度，发挥绩效评价结果的作用，提高资金使用效率。</w:t>
      </w:r>
    </w:p>
    <w:bookmarkEnd w:id="243"/>
    <w:p>
      <w:pPr>
        <w:widowControl/>
        <w:jc w:val="left"/>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附表：</w:t>
      </w:r>
    </w:p>
    <w:tbl>
      <w:tblPr>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90"/>
        <w:gridCol w:w="990"/>
        <w:gridCol w:w="705"/>
        <w:gridCol w:w="990"/>
        <w:gridCol w:w="690"/>
        <w:gridCol w:w="616"/>
        <w:gridCol w:w="555"/>
        <w:gridCol w:w="855"/>
        <w:gridCol w:w="630"/>
        <w:gridCol w:w="840"/>
        <w:gridCol w:w="944"/>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855" w:type="dxa"/>
            <w:gridSpan w:val="12"/>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市公务服务中心工作经费支出绩效目标自评表（2022年度）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87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市公务服务中心工作经费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5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51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5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43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51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完成符合公务接待范围的公务接待，完成国家、省委、省政府派出的巡视、检查、督查、考察、调研、考核、审计等工作组的服务保障，完成市委、市政府交办的大型会议活动的服务保障工作。</w:t>
            </w:r>
          </w:p>
        </w:tc>
        <w:tc>
          <w:tcPr>
            <w:tcW w:w="436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完成符合公务接待范围的公务接待，完成国家、省委、省政府派出的巡视、检查、督查、考察、调研、考核、审计等工作组的服务保障，完成市委、市政府交办的大型会议活动的服务保障工作。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87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完成符合公务接待范围的公务接待，完成国家、省委、省政府派出的巡视、检查、督查、考察、调研、考核、审计等工作组的服务保障，完成市委、市政府交办的大型会议活动的服务保障工作。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8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w:t>
            </w:r>
          </w:p>
        </w:tc>
        <w:tc>
          <w:tcPr>
            <w:tcW w:w="18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104.71</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55.11%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因疫情原因公务接待减少，工作经费支出减少。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190</w:t>
            </w:r>
          </w:p>
        </w:tc>
        <w:tc>
          <w:tcPr>
            <w:tcW w:w="181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104.71</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55.11%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81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81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70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9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815"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63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70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9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57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55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85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6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84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9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0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临聘人员数量</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7人</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调研接待及工作用车数量</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辆</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7辆</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用车数量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＞1000次</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项目完成率</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55.11%</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因疫情原因公务接待减少，工作经费支出减少。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市公务服务中心工作经费</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104.71万元</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tcBorders>
              <w:top w:val="nil"/>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因疫情原因公务接待减少，工作经费支出减少。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为全市公务活动协调联络和服务保障工作更好更优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可持续影响指标</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提升全市公务接待水平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服务对象满意度指标</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受接待单位及个人满意度</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345"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63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84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w:t>
            </w:r>
          </w:p>
        </w:tc>
        <w:tc>
          <w:tcPr>
            <w:tcW w:w="990" w:type="dxa"/>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99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865"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市公务服务中心工作经费项目绩效编制合理，财务管理规范化，内控制度健全，财政资金使用符合要求，预算执行收支平衡，财政支出绩效评价较好。市公务服务中心工作经费项目支出绩效自评得分99分。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86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市公务服务中心是市委办代管的副县级参公事业单位，由于工作性质特殊性目标绩效无法细化。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86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一是解决市本级预算体系性，加大日常公用经费的核算。二是加大预算执行力度，发挥绩效评价结果的作用，提高资金使用效率。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865"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widowControl/>
        <w:jc w:val="left"/>
        <w:rPr>
          <w:rStyle w:val="41"/>
          <w:rFonts w:hint="eastAsia" w:ascii="仿宋_GB2312" w:hAnsi="黑体" w:eastAsia="仿宋_GB2312"/>
          <w:b w:val="0"/>
          <w:sz w:val="32"/>
          <w:szCs w:val="32"/>
          <w:highlight w:val="none"/>
        </w:rPr>
      </w:pPr>
    </w:p>
    <w:p>
      <w:pPr>
        <w:spacing w:line="580" w:lineRule="exact"/>
        <w:jc w:val="both"/>
        <w:rPr>
          <w:rFonts w:hint="eastAsia" w:ascii="方正小标宋简体" w:hAnsi="方正小标宋简体" w:eastAsia="方正小标宋简体" w:cs="方正小标宋简体"/>
          <w:b w:val="0"/>
          <w:bCs/>
          <w:color w:val="000000"/>
          <w:sz w:val="36"/>
          <w:szCs w:val="36"/>
          <w:highlight w:val="none"/>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bookmarkStart w:id="244" w:name="_Toc179"/>
      <w:r>
        <w:rPr>
          <w:rFonts w:hint="eastAsia" w:ascii="方正小标宋简体" w:hAnsi="方正小标宋简体" w:eastAsia="方正小标宋简体" w:cs="方正小标宋简体"/>
          <w:b w:val="0"/>
          <w:bCs/>
          <w:color w:val="000000"/>
          <w:sz w:val="36"/>
          <w:szCs w:val="36"/>
          <w:highlight w:val="none"/>
        </w:rPr>
        <w:t>市公务服务中心</w:t>
      </w:r>
      <w:r>
        <w:rPr>
          <w:rFonts w:hint="eastAsia" w:ascii="方正小标宋简体" w:hAnsi="方正小标宋简体" w:eastAsia="方正小标宋简体" w:cs="方正小标宋简体"/>
          <w:b w:val="0"/>
          <w:bCs/>
          <w:color w:val="000000"/>
          <w:sz w:val="36"/>
          <w:szCs w:val="36"/>
          <w:highlight w:val="none"/>
          <w:lang w:eastAsia="zh-CN"/>
        </w:rPr>
        <w:t>专项接待</w:t>
      </w:r>
      <w:r>
        <w:rPr>
          <w:rFonts w:hint="eastAsia" w:ascii="方正小标宋简体" w:hAnsi="方正小标宋简体" w:eastAsia="方正小标宋简体" w:cs="方正小标宋简体"/>
          <w:b w:val="0"/>
          <w:bCs/>
          <w:color w:val="000000"/>
          <w:sz w:val="36"/>
          <w:szCs w:val="36"/>
          <w:highlight w:val="none"/>
        </w:rPr>
        <w:t>费项目支出绩效自评报告</w:t>
      </w:r>
      <w:bookmarkEnd w:id="244"/>
    </w:p>
    <w:p>
      <w:pPr>
        <w:pStyle w:val="40"/>
        <w:rPr>
          <w:rFonts w:hint="eastAsia" w:ascii="黑体" w:hAnsi="黑体" w:eastAsia="黑体" w:cs="黑体"/>
          <w:b w:val="0"/>
          <w:bCs w:val="0"/>
          <w:highlight w:val="none"/>
        </w:rPr>
      </w:pP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245" w:name="_Toc10789"/>
      <w:r>
        <w:rPr>
          <w:rFonts w:hint="eastAsia" w:ascii="黑体" w:hAnsi="黑体" w:eastAsia="黑体" w:cs="黑体"/>
          <w:b w:val="0"/>
          <w:bCs w:val="0"/>
          <w:color w:val="000000"/>
          <w:sz w:val="32"/>
          <w:szCs w:val="32"/>
          <w:highlight w:val="none"/>
        </w:rPr>
        <w:t>一、项目概况</w:t>
      </w:r>
      <w:bookmarkEnd w:id="245"/>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（一）项目基本情况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按照市委办公室职责职能，市公务服务中心</w:t>
      </w:r>
      <w:r>
        <w:rPr>
          <w:rFonts w:hint="eastAsia" w:ascii="仿宋_GB2312" w:hAnsi="仿宋" w:eastAsia="仿宋_GB2312"/>
          <w:color w:val="000000"/>
          <w:sz w:val="32"/>
          <w:szCs w:val="32"/>
          <w:highlight w:val="none"/>
          <w:lang w:eastAsia="zh-CN"/>
        </w:rPr>
        <w:t>专项接待</w:t>
      </w:r>
      <w:r>
        <w:rPr>
          <w:rFonts w:hint="eastAsia" w:ascii="仿宋_GB2312" w:hAnsi="仿宋" w:eastAsia="仿宋_GB2312"/>
          <w:color w:val="000000"/>
          <w:sz w:val="32"/>
          <w:szCs w:val="32"/>
          <w:highlight w:val="none"/>
        </w:rPr>
        <w:t>费项目执行科室是市公务服务中心。其职能：完成符合公务接待范围的公务接待，完成国家、省委、省政府派出的巡视、检查、督查、考察、调研、考核、审计等工作组的服务保障，完成市委、市政府交办的大型会议活动的服务保障工作。</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lang w:val="en-US" w:eastAsia="zh-CN"/>
        </w:rPr>
        <w:t>根据</w:t>
      </w:r>
      <w:r>
        <w:rPr>
          <w:rFonts w:hint="eastAsia" w:ascii="仿宋_GB2312" w:hAnsi="仿宋" w:eastAsia="仿宋_GB2312"/>
          <w:color w:val="000000"/>
          <w:sz w:val="32"/>
          <w:szCs w:val="32"/>
          <w:highlight w:val="none"/>
        </w:rPr>
        <w:t>《关于印发〈广元市公务和外事服务中心职能配置、内设机构和人员编制规定〉</w:t>
      </w:r>
      <w:r>
        <w:rPr>
          <w:rFonts w:hint="eastAsia" w:ascii="仿宋_GB2312" w:hAnsi="仿宋" w:eastAsia="仿宋_GB2312"/>
          <w:color w:val="000000"/>
          <w:sz w:val="32"/>
          <w:szCs w:val="32"/>
          <w:highlight w:val="none"/>
          <w:lang w:eastAsia="zh-CN"/>
        </w:rPr>
        <w:t>的通知</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广委办函〔2019〕89号</w:t>
      </w:r>
      <w:r>
        <w:rPr>
          <w:rFonts w:hint="eastAsia" w:ascii="仿宋_GB2312" w:hAnsi="仿宋" w:eastAsia="仿宋_GB2312"/>
          <w:color w:val="000000"/>
          <w:sz w:val="32"/>
          <w:szCs w:val="32"/>
          <w:highlight w:val="none"/>
          <w:lang w:eastAsia="zh-CN"/>
        </w:rPr>
        <w:t>）执行</w:t>
      </w:r>
      <w:r>
        <w:rPr>
          <w:rFonts w:hint="eastAsia" w:ascii="仿宋_GB2312" w:hAnsi="仿宋" w:eastAsia="仿宋_GB2312"/>
          <w:color w:val="000000"/>
          <w:sz w:val="32"/>
          <w:szCs w:val="32"/>
          <w:highlight w:val="none"/>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该项目按市委办公室财务制度管理。主要用于市公务服务中心</w:t>
      </w:r>
      <w:r>
        <w:rPr>
          <w:rFonts w:hint="eastAsia" w:ascii="仿宋_GB2312" w:hAnsi="仿宋" w:eastAsia="仿宋_GB2312"/>
          <w:color w:val="000000"/>
          <w:sz w:val="32"/>
          <w:szCs w:val="32"/>
          <w:highlight w:val="none"/>
          <w:lang w:eastAsia="zh-CN"/>
        </w:rPr>
        <w:t>专项接待支出</w:t>
      </w:r>
      <w:r>
        <w:rPr>
          <w:rFonts w:hint="eastAsia" w:ascii="仿宋_GB2312" w:hAnsi="仿宋" w:eastAsia="仿宋_GB2312"/>
          <w:color w:val="000000"/>
          <w:sz w:val="32"/>
          <w:szCs w:val="32"/>
          <w:highlight w:val="none"/>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color w:val="000000"/>
          <w:sz w:val="32"/>
          <w:szCs w:val="32"/>
          <w:highlight w:val="none"/>
        </w:rPr>
        <w:t>资金分配的原则及考虑因素</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按照预算管理办法及市委办财务制度，结合实际工作情况分配市公务服务中心</w:t>
      </w:r>
      <w:r>
        <w:rPr>
          <w:rFonts w:hint="eastAsia" w:ascii="仿宋_GB2312" w:hAnsi="仿宋" w:eastAsia="仿宋_GB2312"/>
          <w:color w:val="000000"/>
          <w:sz w:val="32"/>
          <w:szCs w:val="32"/>
          <w:highlight w:val="none"/>
          <w:lang w:eastAsia="zh-CN"/>
        </w:rPr>
        <w:t>专项接待</w:t>
      </w:r>
      <w:r>
        <w:rPr>
          <w:rFonts w:hint="eastAsia" w:ascii="仿宋_GB2312" w:hAnsi="仿宋" w:eastAsia="仿宋_GB2312"/>
          <w:color w:val="000000"/>
          <w:sz w:val="32"/>
          <w:szCs w:val="32"/>
          <w:highlight w:val="none"/>
        </w:rPr>
        <w:t>费。</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（二）项目绩效目标</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spacing w:line="580" w:lineRule="exact"/>
        <w:rPr>
          <w:rFonts w:hint="eastAsia" w:eastAsia="仿宋_GB2312"/>
          <w:highlight w:val="yellow"/>
          <w:lang w:eastAsia="zh-CN"/>
        </w:rPr>
      </w:pPr>
      <w:r>
        <w:rPr>
          <w:rFonts w:hint="eastAsia" w:ascii="仿宋_GB2312" w:hAnsi="仿宋" w:eastAsia="仿宋_GB2312"/>
          <w:color w:val="000000"/>
          <w:sz w:val="32"/>
          <w:szCs w:val="32"/>
          <w:highlight w:val="none"/>
          <w:lang w:val="en-US" w:eastAsia="zh-CN"/>
        </w:rPr>
        <w:t>严格按照要求，高标准高质量完成接待任务。</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完成符合公务接待范围的公务接待。</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8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（三）项目自评步骤及方法</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246" w:name="_Toc16379"/>
      <w:r>
        <w:rPr>
          <w:rFonts w:hint="eastAsia" w:ascii="黑体" w:hAnsi="黑体" w:eastAsia="黑体" w:cs="黑体"/>
          <w:b w:val="0"/>
          <w:bCs w:val="0"/>
          <w:color w:val="000000"/>
          <w:sz w:val="32"/>
          <w:szCs w:val="32"/>
          <w:highlight w:val="none"/>
        </w:rPr>
        <w:t>二、项目资金申报及使用情况</w:t>
      </w:r>
      <w:bookmarkEnd w:id="246"/>
    </w:p>
    <w:p>
      <w:pPr>
        <w:spacing w:line="580" w:lineRule="exact"/>
        <w:ind w:firstLine="64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（一）项目资金申报及批复情况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财政下达</w:t>
      </w:r>
      <w:r>
        <w:rPr>
          <w:rFonts w:hint="eastAsia" w:ascii="仿宋_GB2312" w:hAnsi="仿宋" w:eastAsia="仿宋_GB2312"/>
          <w:color w:val="000000"/>
          <w:sz w:val="32"/>
          <w:szCs w:val="32"/>
          <w:highlight w:val="none"/>
          <w:lang w:eastAsia="zh-CN"/>
        </w:rPr>
        <w:t>追加资金</w:t>
      </w:r>
      <w:r>
        <w:rPr>
          <w:rFonts w:hint="eastAsia" w:ascii="仿宋_GB2312" w:hAnsi="仿宋" w:eastAsia="仿宋_GB2312"/>
          <w:color w:val="000000"/>
          <w:sz w:val="32"/>
          <w:szCs w:val="32"/>
          <w:highlight w:val="none"/>
          <w:lang w:val="en-US" w:eastAsia="zh-CN"/>
        </w:rPr>
        <w:t>22.43</w:t>
      </w:r>
      <w:r>
        <w:rPr>
          <w:rFonts w:hint="eastAsia" w:ascii="仿宋_GB2312" w:hAnsi="仿宋" w:eastAsia="仿宋_GB2312"/>
          <w:color w:val="000000"/>
          <w:sz w:val="32"/>
          <w:szCs w:val="32"/>
          <w:highlight w:val="none"/>
        </w:rPr>
        <w:t>万元。</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（二）资金计划、到位及使用情况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财政下达</w:t>
      </w:r>
      <w:r>
        <w:rPr>
          <w:rFonts w:hint="eastAsia" w:ascii="仿宋_GB2312" w:hAnsi="仿宋" w:eastAsia="仿宋_GB2312"/>
          <w:color w:val="000000"/>
          <w:sz w:val="32"/>
          <w:szCs w:val="32"/>
          <w:highlight w:val="none"/>
          <w:lang w:eastAsia="zh-CN"/>
        </w:rPr>
        <w:t>追加资金</w:t>
      </w:r>
      <w:r>
        <w:rPr>
          <w:rFonts w:hint="eastAsia" w:ascii="仿宋_GB2312" w:hAnsi="仿宋" w:eastAsia="仿宋_GB2312"/>
          <w:color w:val="000000"/>
          <w:sz w:val="32"/>
          <w:szCs w:val="32"/>
          <w:highlight w:val="none"/>
          <w:lang w:val="en-US" w:eastAsia="zh-CN"/>
        </w:rPr>
        <w:t>22.43</w:t>
      </w:r>
      <w:r>
        <w:rPr>
          <w:rFonts w:hint="eastAsia" w:ascii="仿宋_GB2312" w:hAnsi="仿宋" w:eastAsia="仿宋_GB2312"/>
          <w:color w:val="000000"/>
          <w:sz w:val="32"/>
          <w:szCs w:val="32"/>
          <w:highlight w:val="none"/>
        </w:rPr>
        <w:t>万元。</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w:t>
      </w:r>
      <w:r>
        <w:rPr>
          <w:rFonts w:hint="eastAsia" w:ascii="仿宋_GB2312" w:hAnsi="仿宋" w:eastAsia="仿宋_GB2312"/>
          <w:color w:val="000000"/>
          <w:sz w:val="32"/>
          <w:szCs w:val="32"/>
          <w:highlight w:val="none"/>
          <w:lang w:eastAsia="zh-CN"/>
        </w:rPr>
        <w:t>财政</w:t>
      </w:r>
      <w:r>
        <w:rPr>
          <w:rFonts w:hint="eastAsia" w:ascii="仿宋_GB2312" w:hAnsi="仿宋" w:eastAsia="仿宋_GB2312"/>
          <w:color w:val="000000"/>
          <w:sz w:val="32"/>
          <w:szCs w:val="32"/>
          <w:highlight w:val="none"/>
        </w:rPr>
        <w:t>资金</w:t>
      </w:r>
      <w:r>
        <w:rPr>
          <w:rFonts w:hint="eastAsia" w:ascii="仿宋_GB2312" w:hAnsi="仿宋" w:eastAsia="仿宋_GB2312"/>
          <w:color w:val="000000"/>
          <w:sz w:val="32"/>
          <w:szCs w:val="32"/>
          <w:highlight w:val="none"/>
          <w:lang w:eastAsia="zh-CN"/>
        </w:rPr>
        <w:t>及时</w:t>
      </w:r>
      <w:r>
        <w:rPr>
          <w:rFonts w:hint="eastAsia" w:ascii="仿宋_GB2312" w:hAnsi="仿宋" w:eastAsia="仿宋_GB2312"/>
          <w:color w:val="000000"/>
          <w:sz w:val="32"/>
          <w:szCs w:val="32"/>
          <w:highlight w:val="none"/>
        </w:rPr>
        <w:t>下达到位。</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w:t>
      </w:r>
      <w:r>
        <w:rPr>
          <w:rFonts w:hint="eastAsia" w:ascii="仿宋_GB2312" w:hAnsi="仿宋" w:eastAsia="仿宋_GB2312"/>
          <w:color w:val="000000"/>
          <w:sz w:val="32"/>
          <w:szCs w:val="32"/>
          <w:highlight w:val="none"/>
          <w:lang w:val="en-US" w:eastAsia="zh-CN"/>
        </w:rPr>
        <w:t>22.25</w:t>
      </w:r>
      <w:r>
        <w:rPr>
          <w:rFonts w:hint="eastAsia" w:ascii="仿宋_GB2312" w:hAnsi="仿宋" w:eastAsia="仿宋_GB2312"/>
          <w:color w:val="000000"/>
          <w:sz w:val="32"/>
          <w:szCs w:val="32"/>
          <w:highlight w:val="none"/>
        </w:rPr>
        <w:t>万元。主要用于主要用于符合公务接待范围的公务接待</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支付标准、支付进度、支付依据等合规合法，与预算相符。</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（三）项目财务管理情况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247" w:name="_Toc8615"/>
      <w:r>
        <w:rPr>
          <w:rFonts w:hint="eastAsia" w:ascii="黑体" w:hAnsi="黑体" w:eastAsia="黑体" w:cs="黑体"/>
          <w:b w:val="0"/>
          <w:bCs w:val="0"/>
          <w:color w:val="000000"/>
          <w:sz w:val="32"/>
          <w:szCs w:val="32"/>
          <w:highlight w:val="none"/>
        </w:rPr>
        <w:t>三、项目实施及管理情况</w:t>
      </w:r>
      <w:bookmarkEnd w:id="247"/>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（一）项目组织架构及实施流程</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科室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（二）项目管理情况</w:t>
      </w:r>
    </w:p>
    <w:p>
      <w:pPr>
        <w:widowControl/>
        <w:ind w:firstLine="640" w:firstLineChars="200"/>
        <w:jc w:val="left"/>
        <w:rPr>
          <w:rStyle w:val="41"/>
          <w:rFonts w:hint="eastAsia" w:ascii="仿宋_GB2312" w:hAnsi="黑体" w:eastAsia="仿宋_GB2312"/>
          <w:b w:val="0"/>
          <w:sz w:val="32"/>
          <w:szCs w:val="32"/>
          <w:highlight w:val="none"/>
        </w:rPr>
      </w:pPr>
      <w:bookmarkStart w:id="248" w:name="_Toc17924"/>
      <w:r>
        <w:rPr>
          <w:rStyle w:val="41"/>
          <w:rFonts w:hint="eastAsia" w:ascii="仿宋_GB2312" w:hAnsi="黑体" w:eastAsia="仿宋_GB2312"/>
          <w:b w:val="0"/>
          <w:sz w:val="32"/>
          <w:szCs w:val="32"/>
          <w:highlight w:val="none"/>
        </w:rPr>
        <w:t>本项目由市公务服务中心负责，其他科室积极配合，由市公务服务中心领导负责协调相关工作，由财务科负责项目资金使用的合理性、规范性。</w:t>
      </w:r>
    </w:p>
    <w:bookmarkEnd w:id="248"/>
    <w:p>
      <w:pPr>
        <w:widowControl/>
        <w:ind w:firstLine="640" w:firstLineChars="200"/>
        <w:jc w:val="left"/>
        <w:rPr>
          <w:rStyle w:val="41"/>
          <w:rFonts w:hint="eastAsia" w:ascii="仿宋_GB2312" w:hAnsi="黑体" w:eastAsia="仿宋_GB2312"/>
          <w:b w:val="0"/>
          <w:sz w:val="32"/>
          <w:szCs w:val="32"/>
          <w:highlight w:val="none"/>
        </w:rPr>
      </w:pPr>
      <w:bookmarkStart w:id="249" w:name="_Toc9214"/>
      <w:r>
        <w:rPr>
          <w:rStyle w:val="41"/>
          <w:rFonts w:hint="eastAsia" w:ascii="仿宋_GB2312" w:hAnsi="黑体" w:eastAsia="仿宋_GB2312"/>
          <w:b w:val="0"/>
          <w:sz w:val="32"/>
          <w:szCs w:val="32"/>
          <w:highlight w:val="none"/>
        </w:rPr>
        <w:t>（三）项目监管情况</w:t>
      </w:r>
    </w:p>
    <w:bookmarkEnd w:id="249"/>
    <w:p>
      <w:pPr>
        <w:widowControl/>
        <w:ind w:firstLine="640" w:firstLineChars="200"/>
        <w:jc w:val="left"/>
        <w:rPr>
          <w:rStyle w:val="41"/>
          <w:rFonts w:hint="eastAsia" w:ascii="仿宋_GB2312" w:hAnsi="黑体" w:eastAsia="仿宋_GB2312"/>
          <w:b w:val="0"/>
          <w:sz w:val="32"/>
          <w:szCs w:val="32"/>
          <w:highlight w:val="none"/>
        </w:rPr>
      </w:pPr>
      <w:bookmarkStart w:id="250" w:name="_Toc29519"/>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250"/>
    <w:p>
      <w:pPr>
        <w:widowControl/>
        <w:ind w:firstLine="960" w:firstLineChars="300"/>
        <w:jc w:val="left"/>
        <w:outlineLvl w:val="1"/>
        <w:rPr>
          <w:rStyle w:val="41"/>
          <w:rFonts w:hint="eastAsia" w:ascii="黑体" w:hAnsi="黑体" w:eastAsia="黑体" w:cs="黑体"/>
          <w:b w:val="0"/>
          <w:bCs w:val="0"/>
          <w:sz w:val="32"/>
          <w:szCs w:val="32"/>
          <w:highlight w:val="none"/>
        </w:rPr>
      </w:pPr>
      <w:bookmarkStart w:id="251" w:name="_Toc10828"/>
      <w:r>
        <w:rPr>
          <w:rStyle w:val="41"/>
          <w:rFonts w:hint="eastAsia" w:ascii="黑体" w:hAnsi="黑体" w:eastAsia="黑体" w:cs="黑体"/>
          <w:b w:val="0"/>
          <w:bCs w:val="0"/>
          <w:sz w:val="32"/>
          <w:szCs w:val="32"/>
          <w:highlight w:val="none"/>
        </w:rPr>
        <w:t>四、项目绩效情况</w:t>
      </w:r>
      <w:bookmarkEnd w:id="251"/>
    </w:p>
    <w:p>
      <w:pPr>
        <w:widowControl/>
        <w:ind w:firstLine="640" w:firstLineChars="200"/>
        <w:jc w:val="left"/>
        <w:rPr>
          <w:rStyle w:val="41"/>
          <w:rFonts w:hint="eastAsia" w:ascii="仿宋_GB2312" w:hAnsi="黑体" w:eastAsia="仿宋_GB2312"/>
          <w:b w:val="0"/>
          <w:sz w:val="32"/>
          <w:szCs w:val="32"/>
          <w:highlight w:val="none"/>
        </w:rPr>
      </w:pPr>
      <w:bookmarkStart w:id="252" w:name="_Toc13433"/>
      <w:r>
        <w:rPr>
          <w:rStyle w:val="41"/>
          <w:rFonts w:hint="eastAsia" w:ascii="仿宋_GB2312" w:hAnsi="黑体" w:eastAsia="仿宋_GB2312"/>
          <w:b w:val="0"/>
          <w:sz w:val="32"/>
          <w:szCs w:val="32"/>
          <w:highlight w:val="none"/>
        </w:rPr>
        <w:t>（一）项目完成情况</w:t>
      </w:r>
    </w:p>
    <w:bookmarkEnd w:id="252"/>
    <w:p>
      <w:pPr>
        <w:spacing w:line="240" w:lineRule="auto"/>
        <w:ind w:firstLine="800" w:firstLineChars="250"/>
        <w:rPr>
          <w:rFonts w:hint="eastAsia"/>
          <w:highlight w:val="none"/>
        </w:rPr>
      </w:pPr>
      <w:r>
        <w:rPr>
          <w:rFonts w:hint="eastAsia" w:ascii="仿宋_GB2312" w:hAnsi="仿宋" w:eastAsia="仿宋_GB2312"/>
          <w:color w:val="000000"/>
          <w:sz w:val="32"/>
          <w:szCs w:val="32"/>
          <w:highlight w:val="none"/>
          <w:lang w:val="en-US" w:eastAsia="zh-CN"/>
        </w:rPr>
        <w:t>高质量完成接待任务150余批、1100余人次。</w:t>
      </w:r>
    </w:p>
    <w:p>
      <w:pPr>
        <w:widowControl/>
        <w:ind w:firstLine="640" w:firstLineChars="200"/>
        <w:jc w:val="left"/>
        <w:rPr>
          <w:rStyle w:val="41"/>
          <w:rFonts w:hint="eastAsia" w:ascii="仿宋_GB2312" w:hAnsi="黑体" w:eastAsia="仿宋_GB2312"/>
          <w:b w:val="0"/>
          <w:sz w:val="32"/>
          <w:szCs w:val="32"/>
          <w:highlight w:val="none"/>
        </w:rPr>
      </w:pPr>
      <w:bookmarkStart w:id="253" w:name="_Toc28343"/>
      <w:r>
        <w:rPr>
          <w:rStyle w:val="41"/>
          <w:rFonts w:hint="eastAsia" w:ascii="仿宋_GB2312" w:hAnsi="黑体" w:eastAsia="仿宋_GB2312"/>
          <w:b w:val="0"/>
          <w:sz w:val="32"/>
          <w:szCs w:val="32"/>
          <w:highlight w:val="none"/>
        </w:rPr>
        <w:t>（二）项目效益情况</w:t>
      </w:r>
    </w:p>
    <w:bookmarkEnd w:id="253"/>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完成符合公务接待范围的公务接待。</w:t>
      </w:r>
    </w:p>
    <w:p>
      <w:pPr>
        <w:widowControl/>
        <w:ind w:firstLine="640" w:firstLineChars="200"/>
        <w:jc w:val="left"/>
        <w:outlineLvl w:val="1"/>
        <w:rPr>
          <w:rStyle w:val="41"/>
          <w:rFonts w:hint="eastAsia" w:ascii="黑体" w:hAnsi="黑体" w:eastAsia="黑体" w:cs="黑体"/>
          <w:b w:val="0"/>
          <w:bCs w:val="0"/>
          <w:sz w:val="32"/>
          <w:szCs w:val="32"/>
          <w:highlight w:val="none"/>
        </w:rPr>
      </w:pPr>
      <w:bookmarkStart w:id="254" w:name="_Toc17183"/>
      <w:r>
        <w:rPr>
          <w:rStyle w:val="41"/>
          <w:rFonts w:hint="eastAsia" w:ascii="黑体" w:hAnsi="黑体" w:eastAsia="黑体" w:cs="黑体"/>
          <w:b w:val="0"/>
          <w:bCs w:val="0"/>
          <w:sz w:val="32"/>
          <w:szCs w:val="32"/>
          <w:highlight w:val="none"/>
        </w:rPr>
        <w:t>五、评价结论及建议</w:t>
      </w:r>
      <w:bookmarkEnd w:id="254"/>
    </w:p>
    <w:p>
      <w:pPr>
        <w:widowControl/>
        <w:ind w:firstLine="640" w:firstLineChars="200"/>
        <w:jc w:val="left"/>
        <w:rPr>
          <w:rStyle w:val="41"/>
          <w:rFonts w:hint="eastAsia" w:ascii="仿宋_GB2312" w:hAnsi="黑体" w:eastAsia="仿宋_GB2312"/>
          <w:b w:val="0"/>
          <w:sz w:val="32"/>
          <w:szCs w:val="32"/>
          <w:highlight w:val="none"/>
        </w:rPr>
      </w:pPr>
      <w:bookmarkStart w:id="255" w:name="_Toc21553"/>
      <w:r>
        <w:rPr>
          <w:rStyle w:val="41"/>
          <w:rFonts w:hint="eastAsia" w:ascii="仿宋_GB2312" w:hAnsi="黑体" w:eastAsia="仿宋_GB2312"/>
          <w:b w:val="0"/>
          <w:sz w:val="32"/>
          <w:szCs w:val="32"/>
          <w:highlight w:val="none"/>
        </w:rPr>
        <w:t>（一）评价结论</w:t>
      </w:r>
    </w:p>
    <w:bookmarkEnd w:id="255"/>
    <w:p>
      <w:pPr>
        <w:widowControl/>
        <w:ind w:firstLine="640" w:firstLineChars="200"/>
        <w:jc w:val="left"/>
        <w:rPr>
          <w:rStyle w:val="41"/>
          <w:rFonts w:hint="eastAsia" w:ascii="仿宋_GB2312" w:hAnsi="黑体" w:eastAsia="仿宋_GB2312"/>
          <w:b w:val="0"/>
          <w:sz w:val="32"/>
          <w:szCs w:val="32"/>
          <w:highlight w:val="none"/>
        </w:rPr>
      </w:pPr>
      <w:r>
        <w:rPr>
          <w:rFonts w:hint="eastAsia" w:ascii="仿宋_GB2312" w:hAnsi="仿宋" w:eastAsia="仿宋_GB2312"/>
          <w:color w:val="000000"/>
          <w:sz w:val="32"/>
          <w:szCs w:val="32"/>
          <w:highlight w:val="none"/>
        </w:rPr>
        <w:t>市公务服务中心</w:t>
      </w:r>
      <w:r>
        <w:rPr>
          <w:rFonts w:hint="eastAsia" w:ascii="仿宋_GB2312" w:hAnsi="仿宋" w:eastAsia="仿宋_GB2312"/>
          <w:color w:val="000000"/>
          <w:sz w:val="32"/>
          <w:szCs w:val="32"/>
          <w:highlight w:val="none"/>
          <w:lang w:eastAsia="zh-CN"/>
        </w:rPr>
        <w:t>专项接待</w:t>
      </w:r>
      <w:r>
        <w:rPr>
          <w:rFonts w:hint="eastAsia" w:ascii="仿宋_GB2312" w:hAnsi="仿宋" w:eastAsia="仿宋_GB2312"/>
          <w:color w:val="000000"/>
          <w:sz w:val="32"/>
          <w:szCs w:val="32"/>
          <w:highlight w:val="none"/>
        </w:rPr>
        <w:t>费</w:t>
      </w:r>
      <w:r>
        <w:rPr>
          <w:rStyle w:val="41"/>
          <w:rFonts w:hint="eastAsia" w:ascii="仿宋_GB2312" w:hAnsi="黑体" w:eastAsia="仿宋_GB2312"/>
          <w:b w:val="0"/>
          <w:sz w:val="32"/>
          <w:szCs w:val="32"/>
          <w:highlight w:val="none"/>
        </w:rPr>
        <w:t>项目绩效编制合理，财务管理规范化，内控制度健全，财政资金使用符合要求，预算执行收支平衡，财政支出绩效评价较好。</w:t>
      </w:r>
      <w:r>
        <w:rPr>
          <w:rFonts w:hint="eastAsia" w:ascii="仿宋_GB2312" w:hAnsi="仿宋_GB2312" w:eastAsia="仿宋_GB2312" w:cs="仿宋_GB2312"/>
          <w:sz w:val="32"/>
          <w:szCs w:val="32"/>
          <w:highlight w:val="none"/>
          <w:lang w:val="en-US" w:eastAsia="zh-CN"/>
        </w:rPr>
        <w:t>市公务服务中心专项接待费项目支出绩效</w:t>
      </w:r>
      <w:r>
        <w:rPr>
          <w:rFonts w:hint="eastAsia" w:ascii="仿宋_GB2312" w:hAnsi="仿宋_GB2312" w:eastAsia="仿宋_GB2312" w:cs="仿宋_GB2312"/>
          <w:sz w:val="32"/>
          <w:szCs w:val="32"/>
          <w:highlight w:val="none"/>
          <w:lang w:eastAsia="zh-CN"/>
        </w:rPr>
        <w:t>自评得分</w:t>
      </w:r>
      <w:r>
        <w:rPr>
          <w:rFonts w:hint="eastAsia" w:ascii="仿宋_GB2312" w:hAnsi="仿宋_GB2312" w:eastAsia="仿宋_GB2312" w:cs="仿宋_GB2312"/>
          <w:sz w:val="32"/>
          <w:szCs w:val="32"/>
          <w:highlight w:val="none"/>
          <w:lang w:val="en-US" w:eastAsia="zh-CN"/>
        </w:rPr>
        <w:t>100分。</w:t>
      </w:r>
    </w:p>
    <w:p>
      <w:pPr>
        <w:widowControl/>
        <w:ind w:firstLine="640" w:firstLineChars="200"/>
        <w:jc w:val="left"/>
        <w:rPr>
          <w:rStyle w:val="41"/>
          <w:rFonts w:hint="eastAsia" w:ascii="仿宋_GB2312" w:hAnsi="黑体" w:eastAsia="仿宋_GB2312"/>
          <w:b w:val="0"/>
          <w:sz w:val="32"/>
          <w:szCs w:val="32"/>
          <w:highlight w:val="none"/>
        </w:rPr>
      </w:pPr>
      <w:bookmarkStart w:id="256" w:name="_Toc28429"/>
      <w:r>
        <w:rPr>
          <w:rStyle w:val="41"/>
          <w:rFonts w:hint="eastAsia" w:ascii="仿宋_GB2312" w:hAnsi="黑体" w:eastAsia="仿宋_GB2312"/>
          <w:b w:val="0"/>
          <w:sz w:val="32"/>
          <w:szCs w:val="32"/>
          <w:highlight w:val="none"/>
        </w:rPr>
        <w:t>（二）存在问题</w:t>
      </w:r>
    </w:p>
    <w:bookmarkEnd w:id="256"/>
    <w:p>
      <w:pPr>
        <w:ind w:firstLine="640" w:firstLineChars="200"/>
        <w:rPr>
          <w:rFonts w:hint="eastAsia" w:ascii="仿宋_GB2312" w:hAnsi="宋体" w:eastAsia="仿宋_GB2312" w:cs="宋体"/>
          <w:sz w:val="32"/>
          <w:szCs w:val="32"/>
          <w:highlight w:val="none"/>
        </w:rPr>
      </w:pPr>
      <w:r>
        <w:rPr>
          <w:rFonts w:hint="eastAsia" w:ascii="仿宋_GB2312" w:eastAsia="仿宋_GB2312"/>
          <w:sz w:val="32"/>
          <w:szCs w:val="32"/>
          <w:highlight w:val="none"/>
          <w:lang w:eastAsia="zh-CN"/>
        </w:rPr>
        <w:t>无</w:t>
      </w:r>
      <w:r>
        <w:rPr>
          <w:rFonts w:hint="eastAsia" w:ascii="仿宋_GB2312" w:eastAsia="仿宋_GB2312"/>
          <w:sz w:val="32"/>
          <w:szCs w:val="32"/>
          <w:highlight w:val="none"/>
        </w:rPr>
        <w:t>。</w:t>
      </w:r>
    </w:p>
    <w:p>
      <w:pPr>
        <w:widowControl/>
        <w:ind w:firstLine="640" w:firstLineChars="200"/>
        <w:jc w:val="left"/>
        <w:rPr>
          <w:rStyle w:val="41"/>
          <w:rFonts w:hint="eastAsia" w:ascii="仿宋_GB2312" w:hAnsi="黑体" w:eastAsia="仿宋_GB2312"/>
          <w:b w:val="0"/>
          <w:sz w:val="32"/>
          <w:szCs w:val="32"/>
          <w:highlight w:val="none"/>
        </w:rPr>
      </w:pPr>
      <w:bookmarkStart w:id="257" w:name="_Toc2414"/>
      <w:r>
        <w:rPr>
          <w:rStyle w:val="41"/>
          <w:rFonts w:hint="eastAsia" w:ascii="仿宋_GB2312" w:hAnsi="黑体" w:eastAsia="仿宋_GB2312"/>
          <w:b w:val="0"/>
          <w:sz w:val="32"/>
          <w:szCs w:val="32"/>
          <w:highlight w:val="none"/>
        </w:rPr>
        <w:t>（三）相关建议</w:t>
      </w:r>
    </w:p>
    <w:bookmarkEnd w:id="257"/>
    <w:p>
      <w:pPr>
        <w:widowControl/>
        <w:ind w:firstLine="640" w:firstLineChars="200"/>
        <w:jc w:val="left"/>
        <w:rPr>
          <w:rStyle w:val="41"/>
          <w:rFonts w:hint="eastAsia" w:ascii="仿宋_GB2312" w:hAnsi="黑体" w:eastAsia="仿宋_GB2312"/>
          <w:b w:val="0"/>
          <w:sz w:val="32"/>
          <w:szCs w:val="32"/>
          <w:highlight w:val="none"/>
        </w:rPr>
      </w:pPr>
      <w:bookmarkStart w:id="258" w:name="_Toc14811"/>
      <w:r>
        <w:rPr>
          <w:rStyle w:val="41"/>
          <w:rFonts w:hint="eastAsia" w:ascii="仿宋_GB2312" w:hAnsi="黑体" w:eastAsia="仿宋_GB2312"/>
          <w:b w:val="0"/>
          <w:sz w:val="32"/>
          <w:szCs w:val="32"/>
          <w:highlight w:val="none"/>
        </w:rPr>
        <w:t>一是解决市本级预算体系性，加大日常公用经费的核算。</w:t>
      </w:r>
    </w:p>
    <w:bookmarkEnd w:id="258"/>
    <w:p>
      <w:pPr>
        <w:widowControl/>
        <w:ind w:firstLine="640" w:firstLineChars="200"/>
        <w:jc w:val="left"/>
        <w:rPr>
          <w:rStyle w:val="41"/>
          <w:rFonts w:hint="eastAsia" w:ascii="仿宋_GB2312" w:hAnsi="黑体" w:eastAsia="仿宋_GB2312"/>
          <w:b w:val="0"/>
          <w:sz w:val="32"/>
          <w:szCs w:val="32"/>
          <w:highlight w:val="none"/>
        </w:rPr>
      </w:pPr>
      <w:bookmarkStart w:id="259" w:name="_Toc10388"/>
      <w:r>
        <w:rPr>
          <w:rStyle w:val="41"/>
          <w:rFonts w:hint="eastAsia" w:ascii="仿宋_GB2312" w:hAnsi="黑体" w:eastAsia="仿宋_GB2312"/>
          <w:b w:val="0"/>
          <w:sz w:val="32"/>
          <w:szCs w:val="32"/>
          <w:highlight w:val="none"/>
        </w:rPr>
        <w:t>二是加大预算执行力度，发挥绩效评价结果的作用，提高资金使用效率。</w:t>
      </w:r>
    </w:p>
    <w:bookmarkEnd w:id="259"/>
    <w:p>
      <w:pPr>
        <w:widowControl/>
        <w:jc w:val="left"/>
        <w:rPr>
          <w:rFonts w:hint="eastAsia"/>
          <w:highlight w:val="none"/>
        </w:rPr>
      </w:pPr>
      <w:r>
        <w:rPr>
          <w:rFonts w:hint="eastAsia" w:ascii="仿宋_GB2312" w:hAnsi="仿宋_GB2312" w:eastAsia="仿宋_GB2312"/>
          <w:color w:val="auto"/>
          <w:sz w:val="32"/>
          <w:szCs w:val="24"/>
          <w:lang w:val="en-US" w:eastAsia="zh-CN"/>
        </w:rPr>
        <w:t>附表：</w:t>
      </w:r>
    </w:p>
    <w:tbl>
      <w:tblPr>
        <w:tblW w:w="9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25"/>
        <w:gridCol w:w="960"/>
        <w:gridCol w:w="765"/>
        <w:gridCol w:w="825"/>
        <w:gridCol w:w="690"/>
        <w:gridCol w:w="870"/>
        <w:gridCol w:w="525"/>
        <w:gridCol w:w="855"/>
        <w:gridCol w:w="780"/>
        <w:gridCol w:w="660"/>
        <w:gridCol w:w="79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885"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市公务服务中心专项接待费支出绩效目标自评表（2022年度）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7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810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市公务服务中心专项接待费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7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67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357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67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442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67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完成符合公务接待范围的公务接待，完成国家、省委、省政府派出的巡视、检查、督查、考察、调研、考核、审计等工作组的服务保障，完成市委、市政府交办的大型会议活动的服务保障工作。</w:t>
            </w:r>
          </w:p>
        </w:tc>
        <w:tc>
          <w:tcPr>
            <w:tcW w:w="442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完成符合公务接待范围的公务接待，完成国家、省委、省政府派出的巡视、检查、督查、考察、调研、考核、审计等工作组的服务保障，完成市委、市政府交办的大型会议活动的服务保障工作。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8100"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完成符合公务接待范围的公务接待，完成国家、省委、省政府派出的巡视、检查、督查、考察、调研、考核、审计等工作组的服务保障，完成市委、市政府交办的大型会议活动的服务保障工作。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追加预算</w:t>
            </w:r>
            <w:bookmarkStart w:id="303" w:name="_GoBack"/>
            <w:bookmarkEnd w:id="303"/>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208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22.43</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22.43</w:t>
            </w:r>
          </w:p>
        </w:tc>
        <w:tc>
          <w:tcPr>
            <w:tcW w:w="208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22.25</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按要求每季度追加市公务服务中心专项公务接待费。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22.43</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22.43</w:t>
            </w:r>
          </w:p>
        </w:tc>
        <w:tc>
          <w:tcPr>
            <w:tcW w:w="208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22.25</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99.20%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8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76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2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2085"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6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76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82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69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87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52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85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7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66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9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133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项目完成率</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市公务服务中心工作经费</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22.43</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22.25万元</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为全市公务活动协调联络和服务保障工作更好更优</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可持续影响指标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提升全市公务接待水平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级</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优</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服务对象满意度指标</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受接待单位及个人满意度</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6315"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7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66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95" w:type="dxa"/>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825"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9060"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市公务服务中心专项接待费项目绩效编制合理，财务管理规范化，内控制度健全，财政资金使用符合要求，预算执行收支平衡，财政支出绩效评价较好。市公务服务中心专项接待费项目支出绩效自评得分100分。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0" w:hRule="atLeast"/>
        </w:trPr>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906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906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9060"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spacing w:line="580" w:lineRule="exact"/>
        <w:jc w:val="both"/>
        <w:rPr>
          <w:rFonts w:hint="eastAsia" w:ascii="方正小标宋简体" w:hAnsi="方正小标宋简体" w:eastAsia="方正小标宋简体" w:cs="方正小标宋简体"/>
          <w:b w:val="0"/>
          <w:bCs/>
          <w:color w:val="000000"/>
          <w:sz w:val="36"/>
          <w:szCs w:val="36"/>
          <w:highlight w:val="none"/>
          <w:lang w:val="en-US" w:eastAsia="zh-CN"/>
        </w:rPr>
      </w:pPr>
    </w:p>
    <w:p>
      <w:pPr>
        <w:spacing w:line="580" w:lineRule="exact"/>
        <w:jc w:val="both"/>
        <w:rPr>
          <w:rFonts w:hint="eastAsia" w:ascii="方正小标宋简体" w:hAnsi="方正小标宋简体" w:eastAsia="方正小标宋简体" w:cs="方正小标宋简体"/>
          <w:b w:val="0"/>
          <w:bCs/>
          <w:color w:val="000000"/>
          <w:sz w:val="36"/>
          <w:szCs w:val="36"/>
          <w:highlight w:val="none"/>
          <w:lang w:val="en-US" w:eastAsia="zh-CN"/>
        </w:rPr>
      </w:pPr>
    </w:p>
    <w:p>
      <w:pPr>
        <w:pStyle w:val="16"/>
        <w:rPr>
          <w:rFonts w:hint="eastAsia" w:ascii="方正小标宋简体" w:hAnsi="方正小标宋简体" w:eastAsia="方正小标宋简体" w:cs="方正小标宋简体"/>
          <w:b w:val="0"/>
          <w:bCs/>
          <w:color w:val="000000"/>
          <w:sz w:val="36"/>
          <w:szCs w:val="36"/>
          <w:highlight w:val="none"/>
          <w:lang w:val="en-US" w:eastAsia="zh-CN"/>
        </w:rPr>
      </w:pPr>
    </w:p>
    <w:p>
      <w:pPr>
        <w:rPr>
          <w:rFonts w:hint="eastAsia" w:ascii="方正小标宋简体" w:hAnsi="方正小标宋简体" w:eastAsia="方正小标宋简体" w:cs="方正小标宋简体"/>
          <w:b w:val="0"/>
          <w:bCs/>
          <w:color w:val="000000"/>
          <w:sz w:val="36"/>
          <w:szCs w:val="36"/>
          <w:highlight w:val="none"/>
          <w:lang w:val="en-US" w:eastAsia="zh-CN"/>
        </w:rPr>
      </w:pPr>
    </w:p>
    <w:p>
      <w:pPr>
        <w:pStyle w:val="16"/>
        <w:rPr>
          <w:rFonts w:hint="eastAsia" w:ascii="方正小标宋简体" w:hAnsi="方正小标宋简体" w:eastAsia="方正小标宋简体" w:cs="方正小标宋简体"/>
          <w:b w:val="0"/>
          <w:bCs/>
          <w:color w:val="000000"/>
          <w:sz w:val="36"/>
          <w:szCs w:val="36"/>
          <w:highlight w:val="none"/>
          <w:lang w:val="en-US" w:eastAsia="zh-CN"/>
        </w:rPr>
      </w:pPr>
    </w:p>
    <w:p>
      <w:pPr>
        <w:rPr>
          <w:rFonts w:hint="eastAsia" w:ascii="方正小标宋简体" w:hAnsi="方正小标宋简体" w:eastAsia="方正小标宋简体" w:cs="方正小标宋简体"/>
          <w:b w:val="0"/>
          <w:bCs/>
          <w:color w:val="000000"/>
          <w:sz w:val="36"/>
          <w:szCs w:val="36"/>
          <w:highlight w:val="none"/>
          <w:lang w:val="en-US" w:eastAsia="zh-CN"/>
        </w:rPr>
      </w:pPr>
    </w:p>
    <w:p>
      <w:pPr>
        <w:pStyle w:val="16"/>
        <w:rPr>
          <w:rFonts w:hint="eastAsia" w:ascii="方正小标宋简体" w:hAnsi="方正小标宋简体" w:eastAsia="方正小标宋简体" w:cs="方正小标宋简体"/>
          <w:b w:val="0"/>
          <w:bCs/>
          <w:color w:val="000000"/>
          <w:sz w:val="36"/>
          <w:szCs w:val="36"/>
          <w:highlight w:val="none"/>
          <w:lang w:val="en-US" w:eastAsia="zh-CN"/>
        </w:rPr>
      </w:pPr>
    </w:p>
    <w:p>
      <w:pPr>
        <w:rPr>
          <w:rFonts w:hint="eastAsia" w:ascii="方正小标宋简体" w:hAnsi="方正小标宋简体" w:eastAsia="方正小标宋简体" w:cs="方正小标宋简体"/>
          <w:b w:val="0"/>
          <w:bCs/>
          <w:color w:val="000000"/>
          <w:sz w:val="36"/>
          <w:szCs w:val="36"/>
          <w:highlight w:val="none"/>
          <w:lang w:val="en-US" w:eastAsia="zh-CN"/>
        </w:rPr>
      </w:pPr>
    </w:p>
    <w:p>
      <w:pPr>
        <w:pStyle w:val="2"/>
        <w:rPr>
          <w:rFonts w:hint="eastAsia" w:ascii="方正小标宋简体" w:hAnsi="方正小标宋简体" w:eastAsia="方正小标宋简体" w:cs="方正小标宋简体"/>
          <w:b w:val="0"/>
          <w:bCs/>
          <w:color w:val="000000"/>
          <w:sz w:val="36"/>
          <w:szCs w:val="36"/>
          <w:highlight w:val="none"/>
          <w:lang w:val="en-US" w:eastAsia="zh-CN"/>
        </w:rPr>
      </w:pPr>
    </w:p>
    <w:p>
      <w:pPr>
        <w:pStyle w:val="2"/>
        <w:rPr>
          <w:rFonts w:hint="eastAsia" w:ascii="方正小标宋简体" w:hAnsi="方正小标宋简体" w:eastAsia="方正小标宋简体" w:cs="方正小标宋简体"/>
          <w:b w:val="0"/>
          <w:bCs/>
          <w:color w:val="000000"/>
          <w:sz w:val="36"/>
          <w:szCs w:val="36"/>
          <w:highlight w:val="none"/>
          <w:lang w:val="en-US" w:eastAsia="zh-CN"/>
        </w:rPr>
      </w:pPr>
    </w:p>
    <w:p>
      <w:pPr>
        <w:pStyle w:val="2"/>
        <w:rPr>
          <w:rFonts w:hint="eastAsia" w:ascii="方正小标宋简体" w:hAnsi="方正小标宋简体" w:eastAsia="方正小标宋简体" w:cs="方正小标宋简体"/>
          <w:b w:val="0"/>
          <w:bCs/>
          <w:color w:val="000000"/>
          <w:sz w:val="36"/>
          <w:szCs w:val="36"/>
          <w:highlight w:val="none"/>
          <w:lang w:val="en-US" w:eastAsia="zh-CN"/>
        </w:rPr>
      </w:pPr>
    </w:p>
    <w:p>
      <w:pPr>
        <w:pStyle w:val="2"/>
        <w:rPr>
          <w:rFonts w:hint="eastAsia" w:ascii="方正小标宋简体" w:hAnsi="方正小标宋简体" w:eastAsia="方正小标宋简体" w:cs="方正小标宋简体"/>
          <w:b w:val="0"/>
          <w:bCs/>
          <w:color w:val="000000"/>
          <w:sz w:val="36"/>
          <w:szCs w:val="36"/>
          <w:highlight w:val="none"/>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spacing w:line="580" w:lineRule="exact"/>
        <w:jc w:val="center"/>
        <w:outlineLvl w:val="1"/>
        <w:rPr>
          <w:rFonts w:hint="eastAsia" w:ascii="方正小标宋简体" w:hAnsi="方正小标宋简体" w:eastAsia="方正小标宋简体" w:cs="方正小标宋简体"/>
          <w:b w:val="0"/>
          <w:bCs/>
          <w:color w:val="000000"/>
          <w:sz w:val="36"/>
          <w:szCs w:val="36"/>
          <w:highlight w:val="none"/>
        </w:rPr>
      </w:pPr>
      <w:bookmarkStart w:id="260" w:name="_Toc8281"/>
      <w:r>
        <w:rPr>
          <w:rFonts w:hint="eastAsia" w:ascii="方正小标宋简体" w:hAnsi="方正小标宋简体" w:eastAsia="方正小标宋简体" w:cs="方正小标宋简体"/>
          <w:b w:val="0"/>
          <w:bCs/>
          <w:color w:val="000000"/>
          <w:sz w:val="36"/>
          <w:szCs w:val="36"/>
          <w:highlight w:val="none"/>
          <w:lang w:val="en-US" w:eastAsia="zh-CN"/>
        </w:rPr>
        <w:t>急需紧缺专业选调生安家补助</w:t>
      </w:r>
      <w:r>
        <w:rPr>
          <w:rFonts w:hint="eastAsia" w:ascii="方正小标宋简体" w:hAnsi="方正小标宋简体" w:eastAsia="方正小标宋简体" w:cs="方正小标宋简体"/>
          <w:b w:val="0"/>
          <w:bCs/>
          <w:color w:val="000000"/>
          <w:sz w:val="36"/>
          <w:szCs w:val="36"/>
          <w:highlight w:val="none"/>
        </w:rPr>
        <w:t>项目支出绩效自评报告</w:t>
      </w:r>
      <w:bookmarkEnd w:id="260"/>
    </w:p>
    <w:p>
      <w:pPr>
        <w:pStyle w:val="40"/>
        <w:rPr>
          <w:rFonts w:hint="eastAsia"/>
          <w:highlight w:val="none"/>
        </w:rPr>
      </w:pP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261" w:name="_Toc24940"/>
      <w:r>
        <w:rPr>
          <w:rFonts w:hint="eastAsia" w:ascii="黑体" w:hAnsi="黑体" w:eastAsia="黑体" w:cs="黑体"/>
          <w:b w:val="0"/>
          <w:bCs w:val="0"/>
          <w:color w:val="000000"/>
          <w:sz w:val="32"/>
          <w:szCs w:val="32"/>
          <w:highlight w:val="none"/>
        </w:rPr>
        <w:t>一、项目概况</w:t>
      </w:r>
      <w:bookmarkEnd w:id="261"/>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（一）项目基本情况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1.项目主管部门在该项目管理中的职能</w:t>
      </w:r>
    </w:p>
    <w:p>
      <w:pPr>
        <w:spacing w:line="580" w:lineRule="exact"/>
        <w:ind w:firstLine="640" w:firstLineChars="200"/>
        <w:jc w:val="lef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按照市委办公室职责职能，</w:t>
      </w:r>
      <w:r>
        <w:rPr>
          <w:rFonts w:hint="eastAsia" w:ascii="仿宋_GB2312" w:hAnsi="仿宋" w:eastAsia="仿宋_GB2312"/>
          <w:color w:val="000000"/>
          <w:sz w:val="32"/>
          <w:szCs w:val="32"/>
          <w:highlight w:val="none"/>
          <w:lang w:val="en-US" w:eastAsia="zh-CN"/>
        </w:rPr>
        <w:t>急需紧缺专业选调生安家补助</w:t>
      </w:r>
      <w:r>
        <w:rPr>
          <w:rFonts w:hint="eastAsia" w:ascii="仿宋_GB2312" w:hAnsi="仿宋" w:eastAsia="仿宋_GB2312"/>
          <w:color w:val="000000"/>
          <w:sz w:val="32"/>
          <w:szCs w:val="32"/>
          <w:highlight w:val="none"/>
        </w:rPr>
        <w:t>项目</w:t>
      </w:r>
      <w:r>
        <w:rPr>
          <w:rFonts w:hint="eastAsia" w:ascii="仿宋_GB2312" w:hAnsi="仿宋" w:eastAsia="仿宋_GB2312"/>
          <w:color w:val="000000"/>
          <w:sz w:val="32"/>
          <w:szCs w:val="32"/>
          <w:highlight w:val="none"/>
          <w:lang w:eastAsia="zh-CN"/>
        </w:rPr>
        <w:t>由市委办公室负责</w:t>
      </w:r>
      <w:r>
        <w:rPr>
          <w:rFonts w:hint="eastAsia" w:ascii="仿宋_GB2312" w:hAnsi="仿宋" w:eastAsia="仿宋_GB2312"/>
          <w:color w:val="000000"/>
          <w:sz w:val="32"/>
          <w:szCs w:val="32"/>
          <w:highlight w:val="none"/>
        </w:rPr>
        <w:t>。其职能：</w:t>
      </w:r>
      <w:r>
        <w:rPr>
          <w:rFonts w:hint="eastAsia" w:ascii="仿宋_GB2312" w:hAnsi="仿宋" w:eastAsia="仿宋_GB2312"/>
          <w:color w:val="000000"/>
          <w:sz w:val="32"/>
          <w:szCs w:val="32"/>
          <w:highlight w:val="none"/>
          <w:lang w:eastAsia="zh-CN"/>
        </w:rPr>
        <w:t>完成</w:t>
      </w:r>
      <w:r>
        <w:rPr>
          <w:rFonts w:hint="eastAsia" w:ascii="仿宋_GB2312" w:hAnsi="仿宋" w:eastAsia="仿宋_GB2312"/>
          <w:color w:val="000000"/>
          <w:sz w:val="32"/>
          <w:szCs w:val="32"/>
          <w:highlight w:val="none"/>
          <w:lang w:val="en-US" w:eastAsia="zh-CN"/>
        </w:rPr>
        <w:t>2021年急需紧缺专业选调生安家补助</w:t>
      </w:r>
      <w:r>
        <w:rPr>
          <w:rFonts w:hint="eastAsia" w:ascii="仿宋_GB2312" w:hAnsi="仿宋" w:eastAsia="仿宋_GB2312"/>
          <w:color w:val="000000"/>
          <w:sz w:val="32"/>
          <w:szCs w:val="32"/>
          <w:highlight w:val="none"/>
        </w:rPr>
        <w:t>费</w:t>
      </w:r>
      <w:r>
        <w:rPr>
          <w:rFonts w:hint="eastAsia" w:ascii="仿宋_GB2312" w:hAnsi="仿宋" w:eastAsia="仿宋_GB2312"/>
          <w:color w:val="000000"/>
          <w:sz w:val="32"/>
          <w:szCs w:val="32"/>
          <w:highlight w:val="none"/>
          <w:lang w:eastAsia="zh-CN"/>
        </w:rPr>
        <w:t>支付</w:t>
      </w:r>
      <w:r>
        <w:rPr>
          <w:rFonts w:hint="eastAsia" w:ascii="仿宋_GB2312" w:hAnsi="仿宋" w:eastAsia="仿宋_GB2312"/>
          <w:color w:val="000000"/>
          <w:sz w:val="32"/>
          <w:szCs w:val="32"/>
          <w:highlight w:val="none"/>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2.项目立项、资金申报的依据</w:t>
      </w:r>
    </w:p>
    <w:p>
      <w:pPr>
        <w:rPr>
          <w:rFonts w:hint="eastAsia" w:ascii="仿宋_GB2312" w:hAnsi="宋体" w:eastAsia="仿宋_GB2312" w:cs="宋体"/>
          <w:sz w:val="32"/>
          <w:szCs w:val="32"/>
          <w:highlight w:val="none"/>
        </w:rPr>
      </w:pPr>
      <w:r>
        <w:rPr>
          <w:rFonts w:hint="eastAsia" w:ascii="仿宋_GB2312" w:eastAsia="仿宋_GB2312"/>
          <w:sz w:val="32"/>
          <w:szCs w:val="32"/>
          <w:highlight w:val="none"/>
        </w:rPr>
        <w:t>根据市委文件，财政统一安排工作经费。</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3.资金管理办法制定情况，资金支持具体项目的条件、范围与支持方式概况。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该项目按市委办公室财务制度管理</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主要用于</w:t>
      </w:r>
      <w:r>
        <w:rPr>
          <w:rFonts w:hint="eastAsia" w:ascii="仿宋_GB2312" w:hAnsi="仿宋" w:eastAsia="仿宋_GB2312"/>
          <w:color w:val="000000"/>
          <w:sz w:val="32"/>
          <w:szCs w:val="32"/>
          <w:highlight w:val="none"/>
          <w:lang w:val="en-US" w:eastAsia="zh-CN"/>
        </w:rPr>
        <w:t>急需紧缺专业选调生安家补助</w:t>
      </w:r>
      <w:r>
        <w:rPr>
          <w:rFonts w:hint="eastAsia" w:ascii="仿宋_GB2312" w:hAnsi="仿宋" w:eastAsia="仿宋_GB2312"/>
          <w:color w:val="000000"/>
          <w:sz w:val="32"/>
          <w:szCs w:val="32"/>
          <w:highlight w:val="none"/>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4、资金分配的原则及考虑因素</w:t>
      </w:r>
    </w:p>
    <w:p>
      <w:pPr>
        <w:spacing w:line="580" w:lineRule="exac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按照预算管理办法及市委办财务制度，结合实际工作情况分配</w:t>
      </w:r>
      <w:r>
        <w:rPr>
          <w:rFonts w:hint="eastAsia" w:ascii="仿宋_GB2312" w:hAnsi="仿宋" w:eastAsia="仿宋_GB2312"/>
          <w:color w:val="000000"/>
          <w:sz w:val="32"/>
          <w:szCs w:val="32"/>
          <w:highlight w:val="none"/>
          <w:lang w:val="en-US" w:eastAsia="zh-CN"/>
        </w:rPr>
        <w:t>急需紧缺专业选调生安家补助</w:t>
      </w:r>
      <w:r>
        <w:rPr>
          <w:rFonts w:hint="eastAsia" w:ascii="仿宋_GB2312" w:hAnsi="仿宋" w:eastAsia="仿宋_GB2312"/>
          <w:color w:val="000000"/>
          <w:sz w:val="32"/>
          <w:szCs w:val="32"/>
          <w:highlight w:val="none"/>
        </w:rPr>
        <w:t>费。</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rPr>
        <w:t>）项目绩效目标</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1.项目内容</w:t>
      </w:r>
    </w:p>
    <w:p>
      <w:pPr>
        <w:spacing w:line="580" w:lineRule="exact"/>
        <w:ind w:firstLine="640" w:firstLineChars="200"/>
        <w:jc w:val="left"/>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lang w:eastAsia="zh-CN"/>
        </w:rPr>
        <w:t>完成</w:t>
      </w:r>
      <w:r>
        <w:rPr>
          <w:rFonts w:hint="eastAsia" w:ascii="仿宋_GB2312" w:hAnsi="仿宋" w:eastAsia="仿宋_GB2312"/>
          <w:color w:val="000000"/>
          <w:sz w:val="32"/>
          <w:szCs w:val="32"/>
          <w:highlight w:val="none"/>
          <w:lang w:val="en-US" w:eastAsia="zh-CN"/>
        </w:rPr>
        <w:t>急需紧缺专业选调生安家</w:t>
      </w:r>
      <w:r>
        <w:rPr>
          <w:rFonts w:hint="eastAsia" w:ascii="仿宋_GB2312" w:hAnsi="仿宋" w:eastAsia="仿宋_GB2312"/>
          <w:color w:val="000000"/>
          <w:sz w:val="32"/>
          <w:szCs w:val="32"/>
          <w:highlight w:val="none"/>
        </w:rPr>
        <w:t>费</w:t>
      </w:r>
      <w:r>
        <w:rPr>
          <w:rFonts w:hint="eastAsia" w:ascii="仿宋_GB2312" w:hAnsi="仿宋" w:eastAsia="仿宋_GB2312"/>
          <w:color w:val="000000"/>
          <w:sz w:val="32"/>
          <w:szCs w:val="32"/>
          <w:highlight w:val="none"/>
          <w:lang w:val="en-US" w:eastAsia="zh-CN"/>
        </w:rPr>
        <w:t>补助</w:t>
      </w:r>
      <w:r>
        <w:rPr>
          <w:rFonts w:hint="eastAsia" w:ascii="仿宋_GB2312" w:hAnsi="仿宋" w:eastAsia="仿宋_GB2312"/>
          <w:color w:val="000000"/>
          <w:sz w:val="32"/>
          <w:szCs w:val="32"/>
          <w:highlight w:val="none"/>
          <w:lang w:eastAsia="zh-CN"/>
        </w:rPr>
        <w:t>支付</w:t>
      </w:r>
      <w:r>
        <w:rPr>
          <w:rFonts w:hint="eastAsia" w:ascii="仿宋_GB2312" w:hAnsi="仿宋" w:eastAsia="仿宋_GB2312"/>
          <w:color w:val="000000"/>
          <w:sz w:val="32"/>
          <w:szCs w:val="32"/>
          <w:highlight w:val="none"/>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2.项目应实现的具体绩效目标</w:t>
      </w:r>
    </w:p>
    <w:p>
      <w:pPr>
        <w:spacing w:line="58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完成2人</w:t>
      </w:r>
      <w:r>
        <w:rPr>
          <w:rFonts w:hint="eastAsia" w:ascii="仿宋_GB2312" w:hAnsi="仿宋" w:eastAsia="仿宋_GB2312"/>
          <w:color w:val="000000"/>
          <w:sz w:val="32"/>
          <w:szCs w:val="32"/>
          <w:highlight w:val="none"/>
          <w:lang w:val="en-US" w:eastAsia="zh-CN"/>
        </w:rPr>
        <w:t>急需紧缺专业选调生安家补助</w:t>
      </w:r>
      <w:r>
        <w:rPr>
          <w:rFonts w:hint="eastAsia" w:ascii="仿宋_GB2312" w:hAnsi="仿宋" w:eastAsia="仿宋_GB2312"/>
          <w:color w:val="000000"/>
          <w:sz w:val="32"/>
          <w:szCs w:val="32"/>
          <w:highlight w:val="none"/>
        </w:rPr>
        <w:t>费</w:t>
      </w:r>
      <w:r>
        <w:rPr>
          <w:rFonts w:hint="eastAsia" w:ascii="仿宋_GB2312" w:hAnsi="仿宋" w:eastAsia="仿宋_GB2312"/>
          <w:color w:val="000000"/>
          <w:sz w:val="32"/>
          <w:szCs w:val="32"/>
          <w:highlight w:val="none"/>
          <w:lang w:eastAsia="zh-CN"/>
        </w:rPr>
        <w:t>支付</w:t>
      </w:r>
      <w:r>
        <w:rPr>
          <w:rFonts w:hint="eastAsia" w:ascii="仿宋_GB2312" w:hAnsi="仿宋" w:eastAsia="仿宋_GB2312"/>
          <w:color w:val="000000"/>
          <w:sz w:val="32"/>
          <w:szCs w:val="32"/>
          <w:highlight w:val="none"/>
        </w:rPr>
        <w:t>。</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3.分析评价申报内容是否与实际相符，申报目标是否合理可行</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该项目申报的内容与实际相符，申报目标合理可行。</w:t>
      </w:r>
    </w:p>
    <w:p>
      <w:pPr>
        <w:spacing w:line="580" w:lineRule="exact"/>
        <w:ind w:firstLine="640" w:firstLineChars="200"/>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三</w:t>
      </w: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kern w:val="0"/>
          <w:sz w:val="32"/>
          <w:szCs w:val="32"/>
          <w:highlight w:val="none"/>
        </w:rPr>
        <w:t>项目自评步骤及方法</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宋体" w:eastAsia="仿宋_GB2312" w:cs="宋体"/>
          <w:kern w:val="0"/>
          <w:sz w:val="32"/>
          <w:szCs w:val="32"/>
          <w:highlight w:val="none"/>
        </w:rPr>
        <w:t>为进一步强化财政支出绩效理念，规范财政资金管理，提高资金使用绩效，根据市财政局</w:t>
      </w:r>
      <w:r>
        <w:rPr>
          <w:rFonts w:hint="eastAsia" w:ascii="仿宋_GB2312" w:hAnsi="仿宋" w:eastAsia="仿宋_GB2312"/>
          <w:color w:val="000000"/>
          <w:sz w:val="32"/>
          <w:szCs w:val="32"/>
          <w:highlight w:val="none"/>
        </w:rPr>
        <w:t>《广元市202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年财政支出绩效评价工作要求》，对照《广元市部门支出绩效评价指标体系》和市委办公室《内部控制规范手册》，针对项目内容、实施情况、资金兑现、财务管理、社会效益等作出自我评价。</w:t>
      </w:r>
    </w:p>
    <w:p>
      <w:pPr>
        <w:spacing w:line="580" w:lineRule="exact"/>
        <w:ind w:firstLine="640" w:firstLineChars="200"/>
        <w:outlineLvl w:val="1"/>
        <w:rPr>
          <w:rFonts w:hint="eastAsia" w:ascii="黑体" w:hAnsi="黑体" w:eastAsia="黑体" w:cs="黑体"/>
          <w:b w:val="0"/>
          <w:bCs w:val="0"/>
          <w:color w:val="000000"/>
          <w:sz w:val="32"/>
          <w:szCs w:val="32"/>
          <w:highlight w:val="none"/>
        </w:rPr>
      </w:pPr>
      <w:bookmarkStart w:id="262" w:name="_Toc2173"/>
      <w:r>
        <w:rPr>
          <w:rFonts w:hint="eastAsia" w:ascii="黑体" w:hAnsi="黑体" w:eastAsia="黑体" w:cs="黑体"/>
          <w:b w:val="0"/>
          <w:bCs w:val="0"/>
          <w:color w:val="000000"/>
          <w:sz w:val="32"/>
          <w:szCs w:val="32"/>
          <w:highlight w:val="none"/>
        </w:rPr>
        <w:t>二、项目资金申报及使用情况</w:t>
      </w:r>
      <w:bookmarkEnd w:id="262"/>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（一）项目资金申报及批复情况</w:t>
      </w:r>
    </w:p>
    <w:p>
      <w:pPr>
        <w:spacing w:line="58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财政</w:t>
      </w:r>
      <w:r>
        <w:rPr>
          <w:rFonts w:hint="eastAsia" w:ascii="仿宋_GB2312" w:hAnsi="仿宋" w:eastAsia="仿宋_GB2312"/>
          <w:color w:val="000000"/>
          <w:sz w:val="32"/>
          <w:szCs w:val="32"/>
          <w:highlight w:val="none"/>
          <w:lang w:eastAsia="zh-CN"/>
        </w:rPr>
        <w:t>追加资金</w:t>
      </w:r>
      <w:r>
        <w:rPr>
          <w:rFonts w:hint="eastAsia" w:ascii="仿宋_GB2312" w:hAnsi="仿宋" w:eastAsia="仿宋_GB2312"/>
          <w:color w:val="000000"/>
          <w:sz w:val="32"/>
          <w:szCs w:val="32"/>
          <w:highlight w:val="none"/>
        </w:rPr>
        <w:t>下达</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万元。</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（二）资金计划、到位及使用情况</w:t>
      </w:r>
    </w:p>
    <w:p>
      <w:pPr>
        <w:spacing w:line="240" w:lineRule="auto"/>
        <w:ind w:firstLine="960" w:firstLineChars="3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1.资金计划。财政</w:t>
      </w:r>
      <w:r>
        <w:rPr>
          <w:rFonts w:hint="eastAsia" w:ascii="仿宋_GB2312" w:hAnsi="仿宋" w:eastAsia="仿宋_GB2312"/>
          <w:color w:val="000000"/>
          <w:sz w:val="32"/>
          <w:szCs w:val="32"/>
          <w:highlight w:val="none"/>
          <w:lang w:eastAsia="zh-CN"/>
        </w:rPr>
        <w:t>追加资金</w:t>
      </w:r>
      <w:r>
        <w:rPr>
          <w:rFonts w:hint="eastAsia" w:ascii="仿宋_GB2312" w:hAnsi="仿宋" w:eastAsia="仿宋_GB2312"/>
          <w:color w:val="000000"/>
          <w:sz w:val="32"/>
          <w:szCs w:val="32"/>
          <w:highlight w:val="none"/>
        </w:rPr>
        <w:t>下达</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万元。</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2.资金到位。资金202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7</w:t>
      </w:r>
      <w:r>
        <w:rPr>
          <w:rFonts w:hint="eastAsia" w:ascii="仿宋_GB2312" w:hAnsi="仿宋" w:eastAsia="仿宋_GB2312"/>
          <w:color w:val="000000"/>
          <w:sz w:val="32"/>
          <w:szCs w:val="32"/>
          <w:highlight w:val="none"/>
        </w:rPr>
        <w:t>月全部下达到位。</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3.资金使用。202</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年共支出</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万元。主要用于</w:t>
      </w:r>
      <w:r>
        <w:rPr>
          <w:rFonts w:hint="eastAsia" w:ascii="仿宋_GB2312" w:hAnsi="仿宋" w:eastAsia="仿宋_GB2312"/>
          <w:color w:val="000000"/>
          <w:sz w:val="32"/>
          <w:szCs w:val="32"/>
          <w:highlight w:val="none"/>
          <w:lang w:val="en-US" w:eastAsia="zh-CN"/>
        </w:rPr>
        <w:t>急需紧缺专业选调生安家补助</w:t>
      </w:r>
      <w:r>
        <w:rPr>
          <w:rFonts w:hint="eastAsia" w:ascii="仿宋_GB2312" w:hAnsi="仿宋" w:eastAsia="仿宋_GB2312"/>
          <w:color w:val="000000"/>
          <w:sz w:val="32"/>
          <w:szCs w:val="32"/>
          <w:highlight w:val="none"/>
        </w:rPr>
        <w:t>费。支付标准、支付进度、支付依据等合规合法，与预算相符。</w:t>
      </w:r>
    </w:p>
    <w:p>
      <w:pPr>
        <w:spacing w:line="580" w:lineRule="exact"/>
        <w:ind w:firstLine="800" w:firstLineChars="25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（三）项目财务管理情况</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我办财务制度健全，严格执行财务制度，账务处理及时，会计核算规范。</w:t>
      </w:r>
    </w:p>
    <w:p>
      <w:pPr>
        <w:spacing w:line="580" w:lineRule="exact"/>
        <w:ind w:firstLine="800" w:firstLineChars="250"/>
        <w:outlineLvl w:val="1"/>
        <w:rPr>
          <w:rFonts w:hint="eastAsia" w:ascii="黑体" w:hAnsi="黑体" w:eastAsia="黑体" w:cs="黑体"/>
          <w:b w:val="0"/>
          <w:bCs w:val="0"/>
          <w:color w:val="000000"/>
          <w:sz w:val="32"/>
          <w:szCs w:val="32"/>
          <w:highlight w:val="none"/>
        </w:rPr>
      </w:pPr>
      <w:bookmarkStart w:id="263" w:name="_Toc27164"/>
      <w:r>
        <w:rPr>
          <w:rFonts w:hint="eastAsia" w:ascii="黑体" w:hAnsi="黑体" w:eastAsia="黑体" w:cs="黑体"/>
          <w:b w:val="0"/>
          <w:bCs w:val="0"/>
          <w:color w:val="000000"/>
          <w:sz w:val="32"/>
          <w:szCs w:val="32"/>
          <w:highlight w:val="none"/>
        </w:rPr>
        <w:t>三、项目实施及管理情况</w:t>
      </w:r>
      <w:bookmarkEnd w:id="263"/>
    </w:p>
    <w:p>
      <w:pPr>
        <w:spacing w:line="580" w:lineRule="exact"/>
        <w:ind w:firstLine="800" w:firstLineChars="25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（一）项目组织架构及实施流程</w:t>
      </w:r>
    </w:p>
    <w:p>
      <w:pPr>
        <w:spacing w:line="580" w:lineRule="exact"/>
        <w:ind w:firstLine="800" w:firstLineChars="25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业务科室按相关制度规定，确定业务活动的开展是否需要执行与预算指标相匹配资金，提出申请，由分管部门领导对业务可行性进行审批，财务负责人对预算合理性进行审核，超过权限需要由单位领导进行审批，单位领导对照不同金额对预算指标申请进行决议（其中按规定需要履行政府采购程序的，进入相关采购流程），完成单位内部预算执行审批程序的事项，依据预算批复和相关经费支出规则，进入支付流程。</w:t>
      </w:r>
    </w:p>
    <w:p>
      <w:pPr>
        <w:spacing w:line="58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（二）项目管理情况</w:t>
      </w:r>
    </w:p>
    <w:p>
      <w:pPr>
        <w:widowControl/>
        <w:jc w:val="left"/>
        <w:rPr>
          <w:rStyle w:val="41"/>
          <w:rFonts w:hint="eastAsia" w:ascii="仿宋_GB2312" w:hAnsi="黑体" w:eastAsia="仿宋_GB2312"/>
          <w:b w:val="0"/>
          <w:sz w:val="32"/>
          <w:szCs w:val="32"/>
          <w:highlight w:val="none"/>
        </w:rPr>
      </w:pPr>
      <w:bookmarkStart w:id="264" w:name="_Toc16310"/>
      <w:r>
        <w:rPr>
          <w:rStyle w:val="41"/>
          <w:rFonts w:hint="eastAsia" w:ascii="仿宋_GB2312" w:hAnsi="黑体" w:eastAsia="仿宋_GB2312"/>
          <w:b w:val="0"/>
          <w:sz w:val="32"/>
          <w:szCs w:val="32"/>
          <w:highlight w:val="none"/>
        </w:rPr>
        <w:t>本项目由使用预算资金的科室负责，其他科室积极配合，由单位领导负责协调相关工作，由财务科负责项目资金使用的合理性、规范性。</w:t>
      </w:r>
    </w:p>
    <w:bookmarkEnd w:id="264"/>
    <w:p>
      <w:pPr>
        <w:widowControl/>
        <w:ind w:firstLine="640" w:firstLineChars="200"/>
        <w:jc w:val="left"/>
        <w:rPr>
          <w:rStyle w:val="41"/>
          <w:rFonts w:hint="eastAsia" w:ascii="楷体_GB2312" w:hAnsi="楷体_GB2312" w:eastAsia="楷体_GB2312" w:cs="楷体_GB2312"/>
          <w:b w:val="0"/>
          <w:sz w:val="32"/>
          <w:szCs w:val="32"/>
          <w:highlight w:val="none"/>
        </w:rPr>
      </w:pPr>
      <w:bookmarkStart w:id="265" w:name="_Toc4789"/>
      <w:r>
        <w:rPr>
          <w:rStyle w:val="41"/>
          <w:rFonts w:hint="eastAsia" w:ascii="楷体_GB2312" w:hAnsi="楷体_GB2312" w:eastAsia="楷体_GB2312" w:cs="楷体_GB2312"/>
          <w:b w:val="0"/>
          <w:sz w:val="32"/>
          <w:szCs w:val="32"/>
          <w:highlight w:val="none"/>
        </w:rPr>
        <w:t>（三）项目监管情况</w:t>
      </w:r>
    </w:p>
    <w:bookmarkEnd w:id="265"/>
    <w:p>
      <w:pPr>
        <w:widowControl/>
        <w:jc w:val="left"/>
        <w:rPr>
          <w:rStyle w:val="41"/>
          <w:rFonts w:hint="eastAsia" w:ascii="仿宋_GB2312" w:hAnsi="黑体" w:eastAsia="仿宋_GB2312"/>
          <w:b w:val="0"/>
          <w:sz w:val="32"/>
          <w:szCs w:val="32"/>
          <w:highlight w:val="none"/>
        </w:rPr>
      </w:pPr>
      <w:bookmarkStart w:id="266" w:name="_Toc5320"/>
      <w:r>
        <w:rPr>
          <w:rStyle w:val="41"/>
          <w:rFonts w:hint="eastAsia" w:ascii="仿宋_GB2312" w:hAnsi="黑体" w:eastAsia="仿宋_GB2312"/>
          <w:b w:val="0"/>
          <w:sz w:val="32"/>
          <w:szCs w:val="32"/>
          <w:highlight w:val="none"/>
        </w:rPr>
        <w:t>我办严格执行《预算法》和单位《预算管理制度》，主动接受驻市委办纪检监察组和业务主管部门市财政局、市审计局的监督检查，确保项目的编制合法性、支出的规范性，保障绩效目标有效实现。无违纪违法现象。</w:t>
      </w:r>
    </w:p>
    <w:bookmarkEnd w:id="266"/>
    <w:p>
      <w:pPr>
        <w:widowControl/>
        <w:ind w:firstLine="640" w:firstLineChars="200"/>
        <w:jc w:val="left"/>
        <w:outlineLvl w:val="1"/>
        <w:rPr>
          <w:rStyle w:val="41"/>
          <w:rFonts w:hint="eastAsia" w:ascii="黑体" w:hAnsi="黑体" w:eastAsia="黑体" w:cs="黑体"/>
          <w:b w:val="0"/>
          <w:bCs w:val="0"/>
          <w:sz w:val="32"/>
          <w:szCs w:val="32"/>
          <w:highlight w:val="none"/>
        </w:rPr>
      </w:pPr>
      <w:bookmarkStart w:id="267" w:name="_Toc31248"/>
      <w:r>
        <w:rPr>
          <w:rStyle w:val="41"/>
          <w:rFonts w:hint="eastAsia" w:ascii="黑体" w:hAnsi="黑体" w:eastAsia="黑体" w:cs="黑体"/>
          <w:b w:val="0"/>
          <w:bCs w:val="0"/>
          <w:sz w:val="32"/>
          <w:szCs w:val="32"/>
          <w:highlight w:val="none"/>
        </w:rPr>
        <w:t>四、项目绩效情况</w:t>
      </w:r>
      <w:bookmarkEnd w:id="267"/>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68" w:name="_Toc12706"/>
      <w:r>
        <w:rPr>
          <w:rStyle w:val="41"/>
          <w:rFonts w:hint="eastAsia" w:ascii="楷体_GB2312" w:hAnsi="楷体_GB2312" w:eastAsia="楷体_GB2312" w:cs="楷体_GB2312"/>
          <w:b w:val="0"/>
          <w:sz w:val="32"/>
          <w:szCs w:val="32"/>
          <w:highlight w:val="none"/>
        </w:rPr>
        <w:t>（一）项目完成情况</w:t>
      </w:r>
    </w:p>
    <w:bookmarkEnd w:id="268"/>
    <w:p>
      <w:pPr>
        <w:widowControl/>
        <w:jc w:val="left"/>
        <w:rPr>
          <w:rFonts w:hint="eastAsia" w:ascii="仿宋_GB2312" w:eastAsia="仿宋_GB2312"/>
          <w:sz w:val="32"/>
          <w:szCs w:val="32"/>
          <w:highlight w:val="none"/>
        </w:rPr>
      </w:pPr>
      <w:r>
        <w:rPr>
          <w:rFonts w:hint="eastAsia" w:ascii="仿宋_GB2312" w:eastAsia="仿宋_GB2312"/>
          <w:sz w:val="32"/>
          <w:szCs w:val="32"/>
          <w:highlight w:val="none"/>
          <w:lang w:val="en-US" w:eastAsia="zh-CN"/>
        </w:rPr>
        <w:t>完成2人</w:t>
      </w:r>
      <w:r>
        <w:rPr>
          <w:rFonts w:hint="eastAsia" w:ascii="仿宋_GB2312" w:hAnsi="仿宋" w:eastAsia="仿宋_GB2312"/>
          <w:color w:val="000000"/>
          <w:sz w:val="32"/>
          <w:szCs w:val="32"/>
          <w:highlight w:val="none"/>
          <w:lang w:val="en-US" w:eastAsia="zh-CN"/>
        </w:rPr>
        <w:t>急需紧缺专业选调生安家补助</w:t>
      </w:r>
      <w:r>
        <w:rPr>
          <w:rFonts w:hint="eastAsia" w:ascii="仿宋_GB2312" w:hAnsi="仿宋" w:eastAsia="仿宋_GB2312"/>
          <w:color w:val="000000"/>
          <w:sz w:val="32"/>
          <w:szCs w:val="32"/>
          <w:highlight w:val="none"/>
        </w:rPr>
        <w:t>费</w:t>
      </w:r>
      <w:r>
        <w:rPr>
          <w:rFonts w:hint="eastAsia" w:ascii="仿宋_GB2312" w:hAnsi="仿宋" w:eastAsia="仿宋_GB2312"/>
          <w:color w:val="000000"/>
          <w:sz w:val="32"/>
          <w:szCs w:val="32"/>
          <w:highlight w:val="none"/>
          <w:lang w:eastAsia="zh-CN"/>
        </w:rPr>
        <w:t>支付</w:t>
      </w:r>
      <w:r>
        <w:rPr>
          <w:rFonts w:hint="eastAsia" w:ascii="仿宋_GB2312" w:hAnsi="仿宋" w:eastAsia="仿宋_GB2312"/>
          <w:color w:val="000000"/>
          <w:sz w:val="32"/>
          <w:szCs w:val="32"/>
          <w:highlight w:val="none"/>
        </w:rPr>
        <w:t>。</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69" w:name="_Toc5852"/>
      <w:r>
        <w:rPr>
          <w:rStyle w:val="41"/>
          <w:rFonts w:hint="eastAsia" w:ascii="楷体_GB2312" w:hAnsi="楷体_GB2312" w:eastAsia="楷体_GB2312" w:cs="楷体_GB2312"/>
          <w:b w:val="0"/>
          <w:sz w:val="32"/>
          <w:szCs w:val="32"/>
          <w:highlight w:val="none"/>
        </w:rPr>
        <w:t>（二）项目效益情况</w:t>
      </w:r>
    </w:p>
    <w:bookmarkEnd w:id="269"/>
    <w:p>
      <w:pPr>
        <w:widowControl/>
        <w:jc w:val="left"/>
        <w:rPr>
          <w:rFonts w:hint="eastAsia" w:ascii="仿宋_GB2312" w:eastAsia="仿宋_GB2312"/>
          <w:sz w:val="32"/>
          <w:szCs w:val="32"/>
          <w:highlight w:val="none"/>
        </w:rPr>
      </w:pPr>
      <w:r>
        <w:rPr>
          <w:rFonts w:hint="eastAsia" w:ascii="仿宋_GB2312" w:eastAsia="仿宋_GB2312"/>
          <w:sz w:val="32"/>
          <w:szCs w:val="32"/>
          <w:highlight w:val="none"/>
          <w:lang w:val="en-US" w:eastAsia="zh-CN"/>
        </w:rPr>
        <w:t>完成2人</w:t>
      </w:r>
      <w:r>
        <w:rPr>
          <w:rFonts w:hint="eastAsia" w:ascii="仿宋_GB2312" w:hAnsi="仿宋" w:eastAsia="仿宋_GB2312"/>
          <w:color w:val="000000"/>
          <w:sz w:val="32"/>
          <w:szCs w:val="32"/>
          <w:highlight w:val="none"/>
          <w:lang w:val="en-US" w:eastAsia="zh-CN"/>
        </w:rPr>
        <w:t>急需紧缺专业选调生安家补助</w:t>
      </w:r>
      <w:r>
        <w:rPr>
          <w:rFonts w:hint="eastAsia" w:ascii="仿宋_GB2312" w:hAnsi="仿宋" w:eastAsia="仿宋_GB2312"/>
          <w:color w:val="000000"/>
          <w:sz w:val="32"/>
          <w:szCs w:val="32"/>
          <w:highlight w:val="none"/>
        </w:rPr>
        <w:t>费</w:t>
      </w:r>
      <w:r>
        <w:rPr>
          <w:rFonts w:hint="eastAsia" w:ascii="仿宋_GB2312" w:hAnsi="仿宋" w:eastAsia="仿宋_GB2312"/>
          <w:color w:val="000000"/>
          <w:sz w:val="32"/>
          <w:szCs w:val="32"/>
          <w:highlight w:val="none"/>
          <w:lang w:eastAsia="zh-CN"/>
        </w:rPr>
        <w:t>支付</w:t>
      </w:r>
      <w:r>
        <w:rPr>
          <w:rFonts w:hint="eastAsia" w:ascii="仿宋_GB2312" w:hAnsi="仿宋" w:eastAsia="仿宋_GB2312"/>
          <w:color w:val="000000"/>
          <w:sz w:val="32"/>
          <w:szCs w:val="32"/>
          <w:highlight w:val="none"/>
        </w:rPr>
        <w:t>。</w:t>
      </w:r>
    </w:p>
    <w:p>
      <w:pPr>
        <w:widowControl/>
        <w:ind w:firstLine="640" w:firstLineChars="200"/>
        <w:jc w:val="left"/>
        <w:outlineLvl w:val="1"/>
        <w:rPr>
          <w:rStyle w:val="41"/>
          <w:rFonts w:hint="eastAsia" w:ascii="楷体_GB2312" w:hAnsi="楷体_GB2312" w:eastAsia="楷体_GB2312" w:cs="楷体_GB2312"/>
          <w:b w:val="0"/>
          <w:bCs w:val="0"/>
          <w:sz w:val="32"/>
          <w:szCs w:val="32"/>
          <w:highlight w:val="none"/>
        </w:rPr>
      </w:pPr>
      <w:bookmarkStart w:id="270" w:name="_Toc15565"/>
      <w:r>
        <w:rPr>
          <w:rStyle w:val="41"/>
          <w:rFonts w:hint="eastAsia" w:ascii="楷体_GB2312" w:hAnsi="楷体_GB2312" w:eastAsia="楷体_GB2312" w:cs="楷体_GB2312"/>
          <w:b w:val="0"/>
          <w:bCs w:val="0"/>
          <w:sz w:val="32"/>
          <w:szCs w:val="32"/>
          <w:highlight w:val="none"/>
        </w:rPr>
        <w:t>五、评价结论及建议</w:t>
      </w:r>
      <w:bookmarkEnd w:id="270"/>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71" w:name="_Toc7623"/>
      <w:r>
        <w:rPr>
          <w:rStyle w:val="41"/>
          <w:rFonts w:hint="eastAsia" w:ascii="楷体_GB2312" w:hAnsi="楷体_GB2312" w:eastAsia="楷体_GB2312" w:cs="楷体_GB2312"/>
          <w:b w:val="0"/>
          <w:sz w:val="32"/>
          <w:szCs w:val="32"/>
          <w:highlight w:val="none"/>
        </w:rPr>
        <w:t>（一）评价结论</w:t>
      </w:r>
    </w:p>
    <w:bookmarkEnd w:id="271"/>
    <w:p>
      <w:pPr>
        <w:widowControl/>
        <w:ind w:firstLine="640" w:firstLineChars="200"/>
        <w:jc w:val="left"/>
        <w:rPr>
          <w:rStyle w:val="41"/>
          <w:rFonts w:hint="eastAsia" w:ascii="仿宋_GB2312" w:hAnsi="黑体" w:eastAsia="仿宋_GB2312"/>
          <w:b w:val="0"/>
          <w:sz w:val="32"/>
          <w:szCs w:val="32"/>
          <w:highlight w:val="none"/>
        </w:rPr>
      </w:pPr>
      <w:r>
        <w:rPr>
          <w:rFonts w:hint="eastAsia" w:ascii="仿宋_GB2312" w:hAnsi="仿宋" w:eastAsia="仿宋_GB2312"/>
          <w:color w:val="000000"/>
          <w:sz w:val="32"/>
          <w:szCs w:val="32"/>
          <w:highlight w:val="none"/>
          <w:lang w:val="en-US" w:eastAsia="zh-CN"/>
        </w:rPr>
        <w:t>急需紧缺专业选调生安家补助</w:t>
      </w:r>
      <w:r>
        <w:rPr>
          <w:rFonts w:hint="eastAsia" w:ascii="仿宋_GB2312" w:hAnsi="仿宋" w:eastAsia="仿宋_GB2312"/>
          <w:color w:val="000000"/>
          <w:sz w:val="32"/>
          <w:szCs w:val="32"/>
          <w:highlight w:val="none"/>
        </w:rPr>
        <w:t>费</w:t>
      </w:r>
      <w:r>
        <w:rPr>
          <w:rStyle w:val="41"/>
          <w:rFonts w:hint="eastAsia" w:ascii="仿宋_GB2312" w:hAnsi="黑体" w:eastAsia="仿宋_GB2312"/>
          <w:b w:val="0"/>
          <w:sz w:val="32"/>
          <w:szCs w:val="32"/>
          <w:highlight w:val="none"/>
        </w:rPr>
        <w:t>项目绩效编制合理，财务管理规范化，内控制度健全，财政资金使用符合要求，预算执行收支平衡，财政支出绩效评价较好。</w:t>
      </w:r>
      <w:r>
        <w:rPr>
          <w:rFonts w:hint="eastAsia" w:ascii="仿宋_GB2312" w:hAnsi="仿宋_GB2312" w:eastAsia="仿宋_GB2312" w:cs="仿宋_GB2312"/>
          <w:sz w:val="32"/>
          <w:szCs w:val="32"/>
          <w:highlight w:val="none"/>
          <w:lang w:val="en-US" w:eastAsia="zh-CN"/>
        </w:rPr>
        <w:t>急需紧缺专业选调生安家补助费项目支出绩效</w:t>
      </w:r>
      <w:r>
        <w:rPr>
          <w:rFonts w:hint="eastAsia" w:ascii="仿宋_GB2312" w:hAnsi="仿宋_GB2312" w:eastAsia="仿宋_GB2312" w:cs="仿宋_GB2312"/>
          <w:sz w:val="32"/>
          <w:szCs w:val="32"/>
          <w:highlight w:val="none"/>
          <w:lang w:eastAsia="zh-CN"/>
        </w:rPr>
        <w:t>自评得分</w:t>
      </w:r>
      <w:r>
        <w:rPr>
          <w:rFonts w:hint="eastAsia" w:ascii="仿宋_GB2312" w:hAnsi="仿宋_GB2312" w:eastAsia="仿宋_GB2312" w:cs="仿宋_GB2312"/>
          <w:sz w:val="32"/>
          <w:szCs w:val="32"/>
          <w:highlight w:val="none"/>
          <w:lang w:val="en-US" w:eastAsia="zh-CN"/>
        </w:rPr>
        <w:t>100分</w:t>
      </w:r>
      <w:r>
        <w:rPr>
          <w:rFonts w:hint="eastAsia" w:ascii="仿宋_GB2312" w:hAnsi="仿宋_GB2312" w:eastAsia="仿宋_GB2312" w:cs="仿宋_GB2312"/>
          <w:sz w:val="32"/>
          <w:szCs w:val="32"/>
          <w:highlight w:val="none"/>
        </w:rPr>
        <w:t>。</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72" w:name="_Toc18277"/>
      <w:r>
        <w:rPr>
          <w:rStyle w:val="41"/>
          <w:rFonts w:hint="eastAsia" w:ascii="楷体_GB2312" w:hAnsi="楷体_GB2312" w:eastAsia="楷体_GB2312" w:cs="楷体_GB2312"/>
          <w:b w:val="0"/>
          <w:sz w:val="32"/>
          <w:szCs w:val="32"/>
          <w:highlight w:val="none"/>
        </w:rPr>
        <w:t>（二）存在问题</w:t>
      </w:r>
    </w:p>
    <w:bookmarkEnd w:id="272"/>
    <w:p>
      <w:pPr>
        <w:ind w:firstLine="640" w:firstLineChars="200"/>
        <w:rPr>
          <w:rFonts w:hint="eastAsia"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highlight w:val="none"/>
          <w:lang w:val="en-US" w:eastAsia="zh-CN"/>
        </w:rPr>
        <w:t>无。</w:t>
      </w:r>
    </w:p>
    <w:p>
      <w:pPr>
        <w:widowControl/>
        <w:ind w:firstLine="640" w:firstLineChars="200"/>
        <w:jc w:val="left"/>
        <w:rPr>
          <w:rStyle w:val="41"/>
          <w:rFonts w:hint="eastAsia" w:ascii="楷体_GB2312" w:hAnsi="楷体_GB2312" w:eastAsia="楷体_GB2312" w:cs="楷体_GB2312"/>
          <w:b w:val="0"/>
          <w:sz w:val="32"/>
          <w:szCs w:val="32"/>
          <w:highlight w:val="none"/>
        </w:rPr>
      </w:pPr>
      <w:bookmarkStart w:id="273" w:name="_Toc22044"/>
      <w:r>
        <w:rPr>
          <w:rStyle w:val="41"/>
          <w:rFonts w:hint="eastAsia" w:ascii="楷体_GB2312" w:hAnsi="楷体_GB2312" w:eastAsia="楷体_GB2312" w:cs="楷体_GB2312"/>
          <w:b w:val="0"/>
          <w:sz w:val="32"/>
          <w:szCs w:val="32"/>
          <w:highlight w:val="none"/>
        </w:rPr>
        <w:t>（三）相关建议</w:t>
      </w:r>
    </w:p>
    <w:bookmarkEnd w:id="273"/>
    <w:p>
      <w:pPr>
        <w:widowControl/>
        <w:ind w:firstLine="640" w:firstLineChars="200"/>
        <w:jc w:val="left"/>
        <w:rPr>
          <w:rStyle w:val="41"/>
          <w:rFonts w:hint="eastAsia" w:ascii="仿宋_GB2312" w:hAnsi="黑体" w:eastAsia="仿宋_GB2312"/>
          <w:b w:val="0"/>
          <w:sz w:val="32"/>
          <w:szCs w:val="32"/>
          <w:highlight w:val="none"/>
        </w:rPr>
      </w:pPr>
      <w:bookmarkStart w:id="274" w:name="_Toc29620"/>
      <w:r>
        <w:rPr>
          <w:rStyle w:val="41"/>
          <w:rFonts w:hint="eastAsia" w:ascii="仿宋_GB2312" w:hAnsi="黑体" w:eastAsia="仿宋_GB2312"/>
          <w:b w:val="0"/>
          <w:sz w:val="32"/>
          <w:szCs w:val="32"/>
          <w:highlight w:val="none"/>
        </w:rPr>
        <w:t>加大预算执行力度，发挥绩效评价结果的作用，提高资金使用效率。</w:t>
      </w:r>
    </w:p>
    <w:bookmarkEnd w:id="274"/>
    <w:p>
      <w:pPr>
        <w:widowControl/>
        <w:jc w:val="left"/>
        <w:rPr>
          <w:rFonts w:hint="eastAsia"/>
          <w:highlight w:val="none"/>
        </w:rPr>
      </w:pPr>
      <w:r>
        <w:rPr>
          <w:rFonts w:hint="eastAsia" w:ascii="仿宋_GB2312" w:hAnsi="仿宋_GB2312" w:eastAsia="仿宋_GB2312"/>
          <w:color w:val="auto"/>
          <w:sz w:val="32"/>
          <w:szCs w:val="24"/>
          <w:lang w:val="en-US" w:eastAsia="zh-CN"/>
        </w:rPr>
        <w:t>附表：</w:t>
      </w:r>
    </w:p>
    <w:tbl>
      <w:tblPr>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07"/>
        <w:gridCol w:w="896"/>
        <w:gridCol w:w="731"/>
        <w:gridCol w:w="835"/>
        <w:gridCol w:w="746"/>
        <w:gridCol w:w="673"/>
        <w:gridCol w:w="553"/>
        <w:gridCol w:w="882"/>
        <w:gridCol w:w="488"/>
        <w:gridCol w:w="762"/>
        <w:gridCol w:w="746"/>
        <w:gridCol w:w="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9015" w:type="dxa"/>
            <w:gridSpan w:val="12"/>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急需紧缺专业选调生安家补助支出绩效目标自评表（2022年度）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730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急需紧缺专业选调生安家补助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主管部门（盖章）</w:t>
            </w:r>
          </w:p>
        </w:tc>
        <w:tc>
          <w:tcPr>
            <w:tcW w:w="35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实施单位 （盖章）</w:t>
            </w:r>
          </w:p>
        </w:tc>
        <w:tc>
          <w:tcPr>
            <w:tcW w:w="286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中共广元市委办公室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1.项目年度目标完成情况</w:t>
            </w:r>
          </w:p>
        </w:tc>
        <w:tc>
          <w:tcPr>
            <w:tcW w:w="35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项目年度目标</w:t>
            </w:r>
          </w:p>
        </w:tc>
        <w:tc>
          <w:tcPr>
            <w:tcW w:w="37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35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完成2022年急需紧缺专业选调生安家补助费</w:t>
            </w:r>
          </w:p>
        </w:tc>
        <w:tc>
          <w:tcPr>
            <w:tcW w:w="375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完成2022年急需紧缺专业选调生安家补助费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2.项目实施内容及过程概述</w:t>
            </w:r>
          </w:p>
        </w:tc>
        <w:tc>
          <w:tcPr>
            <w:tcW w:w="7305" w:type="dxa"/>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完成2022年急需紧缺专业选调生安家补助费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年度预算数（万元）</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年初预算</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调整后预算数</w:t>
            </w: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预算执行率</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总额</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根据文件要求，追加2021年2名急需紧缺专业选调生安家补助费。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其中：财政资金</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财政专户管理资金</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单位资金</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9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其他资金</w:t>
            </w:r>
          </w:p>
        </w:tc>
        <w:tc>
          <w:tcPr>
            <w:tcW w:w="73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4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980" w:type="dxa"/>
            <w:gridSpan w:val="3"/>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4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73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84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三级指标</w:t>
            </w:r>
          </w:p>
        </w:tc>
        <w:tc>
          <w:tcPr>
            <w:tcW w:w="7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指标性质</w:t>
            </w:r>
          </w:p>
        </w:tc>
        <w:tc>
          <w:tcPr>
            <w:tcW w:w="67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c>
          <w:tcPr>
            <w:tcW w:w="55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度量单位</w:t>
            </w:r>
          </w:p>
        </w:tc>
        <w:tc>
          <w:tcPr>
            <w:tcW w:w="88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4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权重%</w:t>
            </w:r>
          </w:p>
        </w:tc>
        <w:tc>
          <w:tcPr>
            <w:tcW w:w="76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部门自评得分</w:t>
            </w:r>
          </w:p>
        </w:tc>
        <w:tc>
          <w:tcPr>
            <w:tcW w:w="75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财政部门科室复评得分</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人员数量</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2人</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项目完成率</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追加指标</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8万元</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服务对象满意度指标</w:t>
            </w:r>
          </w:p>
        </w:tc>
        <w:tc>
          <w:tcPr>
            <w:tcW w:w="8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选调生满意度</w:t>
            </w:r>
          </w:p>
        </w:tc>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1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部门（单位）自评结论</w:t>
            </w:r>
          </w:p>
        </w:tc>
        <w:tc>
          <w:tcPr>
            <w:tcW w:w="8205" w:type="dxa"/>
            <w:gridSpan w:val="11"/>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急需紧缺专业选调生安家补助费项目绩效编制合理，财务管理规范化，内控制度健全，财政资金使用符合要求，预算执行收支平衡，财政支出绩效评价较好。急需紧缺专业选调生安家补助费项目支出绩效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部门（单位）自评存在问题</w:t>
            </w:r>
          </w:p>
        </w:tc>
        <w:tc>
          <w:tcPr>
            <w:tcW w:w="820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部门（单位）自评改进措施</w:t>
            </w:r>
          </w:p>
        </w:tc>
        <w:tc>
          <w:tcPr>
            <w:tcW w:w="8205"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财政部门对口科室复评结论及整改要求</w:t>
            </w:r>
          </w:p>
        </w:tc>
        <w:tc>
          <w:tcPr>
            <w:tcW w:w="8205" w:type="dxa"/>
            <w:gridSpan w:val="11"/>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bl>
    <w:p>
      <w:pPr>
        <w:pStyle w:val="7"/>
        <w:rPr>
          <w:rFonts w:hint="eastAsia" w:hAnsi="宋体" w:cs="宋体"/>
          <w:color w:val="auto"/>
          <w:kern w:val="0"/>
          <w:sz w:val="32"/>
          <w:szCs w:val="32"/>
          <w:highlight w:val="none"/>
          <w:shd w:val="clear" w:color="auto" w:fill="FFFFFF"/>
          <w:lang w:val="en-US" w:eastAsia="zh-CN"/>
        </w:rPr>
      </w:pPr>
    </w:p>
    <w:p>
      <w:pPr>
        <w:spacing w:line="580" w:lineRule="exact"/>
        <w:jc w:val="center"/>
        <w:rPr>
          <w:rFonts w:hint="eastAsia" w:ascii="方正小标宋简体" w:hAnsi="方正小标宋简体" w:eastAsia="方正小标宋简体" w:cs="方正小标宋简体"/>
          <w:b w:val="0"/>
          <w:bCs/>
          <w:color w:val="000000"/>
          <w:sz w:val="36"/>
          <w:szCs w:val="36"/>
          <w:highlight w:val="none"/>
        </w:rPr>
      </w:pPr>
      <w:bookmarkStart w:id="275" w:name="_Toc15396618"/>
    </w:p>
    <w:p>
      <w:pPr>
        <w:pStyle w:val="24"/>
        <w:rPr>
          <w:rFonts w:hint="eastAsia" w:ascii="方正小标宋简体" w:hAnsi="方正小标宋简体" w:eastAsia="方正小标宋简体" w:cs="方正小标宋简体"/>
          <w:b w:val="0"/>
          <w:bCs/>
          <w:color w:val="000000"/>
          <w:sz w:val="36"/>
          <w:szCs w:val="36"/>
          <w:highlight w:val="none"/>
        </w:rPr>
      </w:pPr>
    </w:p>
    <w:p>
      <w:pPr>
        <w:rPr>
          <w:rFonts w:hint="eastAsia" w:ascii="方正小标宋简体" w:hAnsi="方正小标宋简体" w:eastAsia="方正小标宋简体" w:cs="方正小标宋简体"/>
          <w:b w:val="0"/>
          <w:bCs/>
          <w:color w:val="000000"/>
          <w:sz w:val="36"/>
          <w:szCs w:val="36"/>
          <w:highlight w:val="none"/>
        </w:rPr>
      </w:pPr>
    </w:p>
    <w:p>
      <w:pPr>
        <w:pStyle w:val="24"/>
        <w:rPr>
          <w:rFonts w:hint="eastAsia" w:ascii="方正小标宋简体" w:hAnsi="方正小标宋简体" w:eastAsia="方正小标宋简体" w:cs="方正小标宋简体"/>
          <w:b w:val="0"/>
          <w:bCs/>
          <w:color w:val="000000"/>
          <w:sz w:val="36"/>
          <w:szCs w:val="36"/>
          <w:highlight w:val="none"/>
        </w:rPr>
      </w:pPr>
    </w:p>
    <w:p>
      <w:pPr>
        <w:rPr>
          <w:rFonts w:hint="eastAsia" w:ascii="方正小标宋简体" w:hAnsi="方正小标宋简体" w:eastAsia="方正小标宋简体" w:cs="方正小标宋简体"/>
          <w:b w:val="0"/>
          <w:bCs/>
          <w:color w:val="000000"/>
          <w:sz w:val="36"/>
          <w:szCs w:val="36"/>
          <w:highlight w:val="none"/>
        </w:rPr>
      </w:pPr>
    </w:p>
    <w:p>
      <w:pPr>
        <w:pStyle w:val="24"/>
        <w:rPr>
          <w:rFonts w:hint="eastAsia" w:ascii="方正小标宋简体" w:hAnsi="方正小标宋简体" w:eastAsia="方正小标宋简体" w:cs="方正小标宋简体"/>
          <w:b w:val="0"/>
          <w:bCs/>
          <w:color w:val="000000"/>
          <w:sz w:val="36"/>
          <w:szCs w:val="36"/>
          <w:highlight w:val="none"/>
        </w:rPr>
      </w:pPr>
    </w:p>
    <w:p>
      <w:pPr>
        <w:rPr>
          <w:rFonts w:hint="eastAsia" w:ascii="方正小标宋简体" w:hAnsi="方正小标宋简体" w:eastAsia="方正小标宋简体" w:cs="方正小标宋简体"/>
          <w:b w:val="0"/>
          <w:bCs/>
          <w:color w:val="000000"/>
          <w:sz w:val="36"/>
          <w:szCs w:val="36"/>
          <w:highlight w:val="none"/>
        </w:rPr>
      </w:pPr>
    </w:p>
    <w:p>
      <w:pPr>
        <w:pStyle w:val="24"/>
        <w:rPr>
          <w:rFonts w:hint="eastAsia" w:ascii="方正小标宋简体" w:hAnsi="方正小标宋简体" w:eastAsia="方正小标宋简体" w:cs="方正小标宋简体"/>
          <w:b w:val="0"/>
          <w:bCs/>
          <w:color w:val="000000"/>
          <w:sz w:val="36"/>
          <w:szCs w:val="36"/>
          <w:highlight w:val="none"/>
        </w:rPr>
      </w:pPr>
    </w:p>
    <w:p>
      <w:pPr>
        <w:rPr>
          <w:rFonts w:hint="eastAsia" w:ascii="方正小标宋简体" w:hAnsi="方正小标宋简体" w:eastAsia="方正小标宋简体" w:cs="方正小标宋简体"/>
          <w:b w:val="0"/>
          <w:bCs/>
          <w:color w:val="000000"/>
          <w:sz w:val="36"/>
          <w:szCs w:val="36"/>
          <w:highlight w:val="none"/>
        </w:rPr>
      </w:pPr>
    </w:p>
    <w:p>
      <w:pPr>
        <w:pStyle w:val="24"/>
        <w:rPr>
          <w:rFonts w:hint="eastAsia" w:ascii="方正小标宋简体" w:hAnsi="方正小标宋简体" w:eastAsia="方正小标宋简体" w:cs="方正小标宋简体"/>
          <w:b w:val="0"/>
          <w:bCs/>
          <w:color w:val="000000"/>
          <w:sz w:val="36"/>
          <w:szCs w:val="36"/>
          <w:highlight w:val="none"/>
        </w:rPr>
      </w:pPr>
    </w:p>
    <w:p>
      <w:pPr>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pStyle w:val="2"/>
        <w:rPr>
          <w:rFonts w:hint="eastAsia" w:ascii="方正小标宋简体" w:hAnsi="方正小标宋简体" w:eastAsia="方正小标宋简体" w:cs="方正小标宋简体"/>
          <w:b w:val="0"/>
          <w:bCs/>
          <w:color w:val="000000"/>
          <w:sz w:val="36"/>
          <w:szCs w:val="36"/>
          <w:highlight w:val="none"/>
        </w:rPr>
      </w:pPr>
    </w:p>
    <w:p>
      <w:pPr>
        <w:spacing w:line="600" w:lineRule="exact"/>
        <w:jc w:val="both"/>
        <w:outlineLvl w:val="9"/>
        <w:rPr>
          <w:rFonts w:hint="eastAsia" w:ascii="黑体" w:hAnsi="黑体" w:eastAsia="黑体"/>
          <w:color w:val="auto"/>
          <w:sz w:val="44"/>
          <w:szCs w:val="44"/>
          <w:highlight w:val="none"/>
        </w:rPr>
      </w:pPr>
    </w:p>
    <w:p>
      <w:pPr>
        <w:pStyle w:val="11"/>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276" w:name="_Toc14432"/>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五部分附表</w:t>
      </w:r>
      <w:bookmarkEnd w:id="72"/>
      <w:bookmarkEnd w:id="275"/>
      <w:bookmarkEnd w:id="276"/>
      <w:bookmarkStart w:id="277" w:name="_Toc15396619"/>
    </w:p>
    <w:p>
      <w:pPr>
        <w:pStyle w:val="4"/>
        <w:rPr>
          <w:rFonts w:ascii="仿宋" w:hAnsi="仿宋" w:eastAsia="仿宋"/>
          <w:color w:val="auto"/>
          <w:highlight w:val="none"/>
        </w:rPr>
      </w:pPr>
      <w:bookmarkStart w:id="278" w:name="_Toc25076"/>
      <w:r>
        <w:rPr>
          <w:rFonts w:hint="eastAsia" w:ascii="仿宋" w:hAnsi="仿宋" w:eastAsia="仿宋"/>
          <w:b w:val="0"/>
          <w:color w:val="auto"/>
          <w:highlight w:val="none"/>
        </w:rPr>
        <w:t>一、收</w:t>
      </w:r>
      <w:r>
        <w:rPr>
          <w:rStyle w:val="22"/>
          <w:rFonts w:hint="eastAsia" w:ascii="仿宋" w:hAnsi="仿宋" w:eastAsia="仿宋"/>
          <w:b w:val="0"/>
          <w:bCs w:val="0"/>
          <w:color w:val="auto"/>
          <w:highlight w:val="none"/>
        </w:rPr>
        <w:t>入支出决算总表</w:t>
      </w:r>
      <w:bookmarkEnd w:id="277"/>
      <w:bookmarkEnd w:id="278"/>
    </w:p>
    <w:p>
      <w:pPr>
        <w:pStyle w:val="4"/>
        <w:rPr>
          <w:rFonts w:ascii="仿宋" w:hAnsi="仿宋" w:eastAsia="仿宋"/>
          <w:color w:val="auto"/>
          <w:highlight w:val="none"/>
        </w:rPr>
      </w:pPr>
      <w:bookmarkStart w:id="279" w:name="_Toc15396620"/>
      <w:bookmarkStart w:id="280" w:name="_Toc20133"/>
      <w:r>
        <w:rPr>
          <w:rFonts w:hint="eastAsia" w:ascii="仿宋" w:hAnsi="仿宋" w:eastAsia="仿宋"/>
          <w:b w:val="0"/>
          <w:color w:val="auto"/>
          <w:highlight w:val="none"/>
        </w:rPr>
        <w:t>二、收</w:t>
      </w:r>
      <w:r>
        <w:rPr>
          <w:rStyle w:val="22"/>
          <w:rFonts w:hint="eastAsia" w:ascii="仿宋" w:hAnsi="仿宋" w:eastAsia="仿宋"/>
          <w:b w:val="0"/>
          <w:bCs w:val="0"/>
          <w:color w:val="auto"/>
          <w:highlight w:val="none"/>
        </w:rPr>
        <w:t>入决算表</w:t>
      </w:r>
      <w:bookmarkEnd w:id="279"/>
      <w:bookmarkEnd w:id="280"/>
    </w:p>
    <w:p>
      <w:pPr>
        <w:pStyle w:val="4"/>
        <w:rPr>
          <w:rFonts w:ascii="仿宋" w:hAnsi="仿宋" w:eastAsia="仿宋"/>
          <w:color w:val="auto"/>
          <w:highlight w:val="none"/>
        </w:rPr>
      </w:pPr>
      <w:bookmarkStart w:id="281" w:name="_Toc7097"/>
      <w:bookmarkStart w:id="282" w:name="_Toc15396621"/>
      <w:r>
        <w:rPr>
          <w:rStyle w:val="2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2"/>
          <w:rFonts w:hint="eastAsia" w:ascii="仿宋" w:hAnsi="仿宋" w:eastAsia="仿宋"/>
          <w:b w:val="0"/>
          <w:bCs w:val="0"/>
          <w:color w:val="auto"/>
          <w:highlight w:val="none"/>
        </w:rPr>
        <w:t>出决算表</w:t>
      </w:r>
      <w:bookmarkEnd w:id="281"/>
      <w:bookmarkEnd w:id="282"/>
    </w:p>
    <w:p>
      <w:pPr>
        <w:pStyle w:val="4"/>
        <w:rPr>
          <w:rFonts w:ascii="仿宋" w:hAnsi="仿宋" w:eastAsia="仿宋"/>
          <w:b w:val="0"/>
          <w:color w:val="auto"/>
          <w:highlight w:val="none"/>
        </w:rPr>
      </w:pPr>
      <w:bookmarkStart w:id="283" w:name="_Toc15396622"/>
      <w:bookmarkStart w:id="284" w:name="_Toc19635"/>
      <w:r>
        <w:rPr>
          <w:rStyle w:val="2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政拨款收入支出决算总表</w:t>
      </w:r>
      <w:bookmarkEnd w:id="283"/>
      <w:bookmarkEnd w:id="284"/>
    </w:p>
    <w:p>
      <w:pPr>
        <w:pStyle w:val="4"/>
        <w:rPr>
          <w:rStyle w:val="22"/>
          <w:rFonts w:ascii="仿宋" w:hAnsi="仿宋" w:eastAsia="仿宋"/>
          <w:b w:val="0"/>
          <w:bCs w:val="0"/>
          <w:color w:val="auto"/>
          <w:highlight w:val="none"/>
        </w:rPr>
      </w:pPr>
      <w:bookmarkStart w:id="285" w:name="_Toc15396623"/>
      <w:bookmarkStart w:id="286" w:name="_Toc15381"/>
      <w:r>
        <w:rPr>
          <w:rStyle w:val="2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政拨款支出决算明细表</w:t>
      </w:r>
      <w:bookmarkEnd w:id="285"/>
      <w:bookmarkEnd w:id="286"/>
      <w:bookmarkStart w:id="287" w:name="_Toc15396624"/>
    </w:p>
    <w:p>
      <w:pPr>
        <w:pStyle w:val="4"/>
        <w:rPr>
          <w:rFonts w:ascii="仿宋" w:hAnsi="仿宋" w:eastAsia="仿宋"/>
          <w:color w:val="auto"/>
          <w:highlight w:val="none"/>
        </w:rPr>
      </w:pPr>
      <w:bookmarkStart w:id="288" w:name="_Toc17972"/>
      <w:r>
        <w:rPr>
          <w:rStyle w:val="2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般公共预算财政拨款支出决算表</w:t>
      </w:r>
      <w:bookmarkEnd w:id="287"/>
      <w:bookmarkEnd w:id="288"/>
    </w:p>
    <w:p>
      <w:pPr>
        <w:pStyle w:val="4"/>
        <w:rPr>
          <w:rFonts w:ascii="仿宋" w:hAnsi="仿宋" w:eastAsia="仿宋"/>
          <w:color w:val="auto"/>
          <w:highlight w:val="none"/>
        </w:rPr>
      </w:pPr>
      <w:bookmarkStart w:id="289" w:name="_Toc15396625"/>
      <w:bookmarkStart w:id="290" w:name="_Toc16757"/>
      <w:r>
        <w:rPr>
          <w:rStyle w:val="2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般公共预算财政拨款支出决算明细表</w:t>
      </w:r>
      <w:bookmarkEnd w:id="289"/>
      <w:bookmarkEnd w:id="290"/>
    </w:p>
    <w:p>
      <w:pPr>
        <w:pStyle w:val="4"/>
        <w:rPr>
          <w:rFonts w:ascii="仿宋" w:hAnsi="仿宋" w:eastAsia="仿宋"/>
          <w:color w:val="auto"/>
          <w:highlight w:val="none"/>
        </w:rPr>
      </w:pPr>
      <w:bookmarkStart w:id="291" w:name="_Toc15396626"/>
      <w:bookmarkStart w:id="292" w:name="_Toc23430"/>
      <w:r>
        <w:rPr>
          <w:rStyle w:val="2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般公共预算财政拨款基本支出决算表</w:t>
      </w:r>
      <w:bookmarkEnd w:id="291"/>
      <w:bookmarkEnd w:id="292"/>
    </w:p>
    <w:p>
      <w:pPr>
        <w:pStyle w:val="4"/>
        <w:rPr>
          <w:rFonts w:ascii="仿宋" w:hAnsi="仿宋" w:eastAsia="仿宋"/>
          <w:color w:val="auto"/>
          <w:highlight w:val="none"/>
        </w:rPr>
      </w:pPr>
      <w:bookmarkStart w:id="293" w:name="_Toc15396627"/>
      <w:bookmarkStart w:id="294" w:name="_Toc8132"/>
      <w:r>
        <w:rPr>
          <w:rStyle w:val="2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般公共预算财政拨款项目支出决算表</w:t>
      </w:r>
      <w:bookmarkEnd w:id="293"/>
      <w:bookmarkEnd w:id="294"/>
    </w:p>
    <w:p>
      <w:pPr>
        <w:pStyle w:val="4"/>
        <w:rPr>
          <w:rFonts w:ascii="仿宋" w:hAnsi="仿宋" w:eastAsia="仿宋"/>
          <w:color w:val="auto"/>
          <w:highlight w:val="none"/>
        </w:rPr>
      </w:pPr>
      <w:bookmarkStart w:id="295" w:name="_Toc15396628"/>
      <w:bookmarkStart w:id="296" w:name="_Toc14822"/>
      <w:r>
        <w:rPr>
          <w:rStyle w:val="22"/>
          <w:rFonts w:hint="eastAsia" w:ascii="仿宋" w:hAnsi="仿宋" w:eastAsia="仿宋"/>
          <w:b w:val="0"/>
          <w:bCs w:val="0"/>
          <w:color w:val="auto"/>
          <w:highlight w:val="none"/>
        </w:rPr>
        <w:t>十、</w:t>
      </w:r>
      <w:bookmarkEnd w:id="295"/>
      <w:r>
        <w:rPr>
          <w:rFonts w:hint="eastAsia" w:ascii="仿宋" w:hAnsi="仿宋" w:eastAsia="仿宋"/>
          <w:b w:val="0"/>
          <w:color w:val="auto"/>
          <w:highlight w:val="none"/>
        </w:rPr>
        <w:t>政</w:t>
      </w:r>
      <w:r>
        <w:rPr>
          <w:rStyle w:val="22"/>
          <w:rFonts w:hint="eastAsia" w:ascii="仿宋" w:hAnsi="仿宋" w:eastAsia="仿宋"/>
          <w:b w:val="0"/>
          <w:bCs w:val="0"/>
          <w:color w:val="auto"/>
          <w:highlight w:val="none"/>
        </w:rPr>
        <w:t>府性基金预算财政拨款收入支出决算表</w:t>
      </w:r>
      <w:bookmarkEnd w:id="296"/>
    </w:p>
    <w:p>
      <w:pPr>
        <w:pStyle w:val="4"/>
        <w:rPr>
          <w:rFonts w:ascii="仿宋" w:hAnsi="仿宋" w:eastAsia="仿宋"/>
          <w:color w:val="auto"/>
          <w:highlight w:val="none"/>
        </w:rPr>
      </w:pPr>
      <w:bookmarkStart w:id="297" w:name="_Toc15396629"/>
      <w:bookmarkStart w:id="298" w:name="_Toc7263"/>
      <w:r>
        <w:rPr>
          <w:rStyle w:val="22"/>
          <w:rFonts w:hint="eastAsia" w:ascii="仿宋" w:hAnsi="仿宋" w:eastAsia="仿宋"/>
          <w:b w:val="0"/>
          <w:bCs w:val="0"/>
          <w:color w:val="auto"/>
          <w:highlight w:val="none"/>
        </w:rPr>
        <w:t>十一、</w:t>
      </w:r>
      <w:bookmarkEnd w:id="297"/>
      <w:r>
        <w:rPr>
          <w:rFonts w:hint="eastAsia" w:ascii="仿宋" w:hAnsi="仿宋" w:eastAsia="仿宋"/>
          <w:b w:val="0"/>
          <w:color w:val="auto"/>
          <w:highlight w:val="none"/>
        </w:rPr>
        <w:t>国</w:t>
      </w:r>
      <w:r>
        <w:rPr>
          <w:rStyle w:val="22"/>
          <w:rFonts w:hint="eastAsia" w:ascii="仿宋" w:hAnsi="仿宋" w:eastAsia="仿宋"/>
          <w:b w:val="0"/>
          <w:bCs w:val="0"/>
          <w:color w:val="auto"/>
          <w:highlight w:val="none"/>
        </w:rPr>
        <w:t>有资本经营预算</w:t>
      </w:r>
      <w:r>
        <w:rPr>
          <w:rStyle w:val="22"/>
          <w:rFonts w:hint="eastAsia" w:ascii="仿宋" w:hAnsi="仿宋" w:eastAsia="仿宋"/>
          <w:b w:val="0"/>
          <w:bCs w:val="0"/>
          <w:color w:val="auto"/>
          <w:highlight w:val="none"/>
          <w:lang w:eastAsia="zh-CN"/>
        </w:rPr>
        <w:t>财政拨款收入</w:t>
      </w:r>
      <w:r>
        <w:rPr>
          <w:rStyle w:val="22"/>
          <w:rFonts w:hint="eastAsia" w:ascii="仿宋" w:hAnsi="仿宋" w:eastAsia="仿宋"/>
          <w:b w:val="0"/>
          <w:bCs w:val="0"/>
          <w:color w:val="auto"/>
          <w:highlight w:val="none"/>
        </w:rPr>
        <w:t>支出决算表</w:t>
      </w:r>
      <w:bookmarkEnd w:id="298"/>
    </w:p>
    <w:p>
      <w:pPr>
        <w:pStyle w:val="4"/>
        <w:rPr>
          <w:rFonts w:ascii="仿宋" w:hAnsi="仿宋" w:eastAsia="仿宋"/>
          <w:color w:val="auto"/>
          <w:highlight w:val="none"/>
        </w:rPr>
      </w:pPr>
      <w:bookmarkStart w:id="299" w:name="_Toc15396630"/>
      <w:bookmarkStart w:id="300" w:name="_Toc29189"/>
      <w:r>
        <w:rPr>
          <w:rStyle w:val="22"/>
          <w:rFonts w:hint="eastAsia" w:ascii="仿宋" w:hAnsi="仿宋" w:eastAsia="仿宋"/>
          <w:b w:val="0"/>
          <w:bCs w:val="0"/>
          <w:color w:val="auto"/>
          <w:highlight w:val="none"/>
        </w:rPr>
        <w:t>十二、</w:t>
      </w:r>
      <w:bookmarkEnd w:id="299"/>
      <w:r>
        <w:rPr>
          <w:rStyle w:val="22"/>
          <w:rFonts w:hint="eastAsia" w:ascii="仿宋" w:hAnsi="仿宋" w:eastAsia="仿宋"/>
          <w:b w:val="0"/>
          <w:bCs w:val="0"/>
          <w:color w:val="auto"/>
          <w:highlight w:val="none"/>
          <w:lang w:eastAsia="zh-CN"/>
        </w:rPr>
        <w:t>国有资本经营预算财政拨款支出决算表</w:t>
      </w:r>
      <w:bookmarkEnd w:id="300"/>
    </w:p>
    <w:p>
      <w:pPr>
        <w:pStyle w:val="4"/>
        <w:rPr>
          <w:rFonts w:hint="eastAsia" w:eastAsia="仿宋"/>
          <w:color w:val="auto"/>
          <w:highlight w:val="none"/>
          <w:lang w:eastAsia="zh-CN"/>
        </w:rPr>
      </w:pPr>
      <w:bookmarkStart w:id="301" w:name="_Toc15396631"/>
      <w:bookmarkStart w:id="302" w:name="_Toc2773"/>
      <w:r>
        <w:rPr>
          <w:rStyle w:val="22"/>
          <w:rFonts w:hint="eastAsia" w:ascii="仿宋" w:hAnsi="仿宋" w:eastAsia="仿宋"/>
          <w:b w:val="0"/>
          <w:bCs w:val="0"/>
          <w:color w:val="auto"/>
          <w:highlight w:val="none"/>
        </w:rPr>
        <w:t>十三、</w:t>
      </w:r>
      <w:bookmarkEnd w:id="301"/>
      <w:r>
        <w:rPr>
          <w:rStyle w:val="22"/>
          <w:rFonts w:hint="eastAsia" w:ascii="仿宋" w:hAnsi="仿宋" w:eastAsia="仿宋"/>
          <w:b w:val="0"/>
          <w:bCs w:val="0"/>
          <w:color w:val="auto"/>
          <w:highlight w:val="none"/>
          <w:lang w:eastAsia="zh-CN"/>
        </w:rPr>
        <w:t>财政拨款“三公”经费支出决算表</w:t>
      </w:r>
      <w:bookmarkEnd w:id="302"/>
    </w:p>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67E911-BB49-4B95-AB00-EF7D02382F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734C9C68-7674-465C-BE28-975B26A89823}"/>
  </w:font>
  <w:font w:name="仿宋_GB2312">
    <w:panose1 w:val="02010609030101010101"/>
    <w:charset w:val="86"/>
    <w:family w:val="modern"/>
    <w:pitch w:val="default"/>
    <w:sig w:usb0="00000001" w:usb1="080E0000" w:usb2="00000000" w:usb3="00000000" w:csb0="00040000" w:csb1="00000000"/>
    <w:embedRegular r:id="rId3" w:fontKey="{66CB7053-60EE-4112-92F9-486B5C27A99C}"/>
  </w:font>
  <w:font w:name="仿宋">
    <w:panose1 w:val="02010609060101010101"/>
    <w:charset w:val="86"/>
    <w:family w:val="auto"/>
    <w:pitch w:val="default"/>
    <w:sig w:usb0="800002BF" w:usb1="38CF7CFA" w:usb2="00000016" w:usb3="00000000" w:csb0="00040001" w:csb1="00000000"/>
    <w:embedRegular r:id="rId4" w:fontKey="{3A21A82A-1C20-450C-81F7-C647B06B4A6D}"/>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D06177EC-DCC9-4A4F-A6D3-246DB0AE3A72}"/>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A9FEA"/>
    <w:multiLevelType w:val="singleLevel"/>
    <w:tmpl w:val="844A9FEA"/>
    <w:lvl w:ilvl="0" w:tentative="0">
      <w:start w:val="2"/>
      <w:numFmt w:val="chineseCounting"/>
      <w:suff w:val="nothing"/>
      <w:lvlText w:val="（%1）"/>
      <w:lvlJc w:val="left"/>
      <w:rPr>
        <w:rFonts w:hint="eastAsia"/>
      </w:rPr>
    </w:lvl>
  </w:abstractNum>
  <w:abstractNum w:abstractNumId="1">
    <w:nsid w:val="90F661A6"/>
    <w:multiLevelType w:val="singleLevel"/>
    <w:tmpl w:val="90F661A6"/>
    <w:lvl w:ilvl="0" w:tentative="0">
      <w:start w:val="1"/>
      <w:numFmt w:val="decimal"/>
      <w:suff w:val="space"/>
      <w:lvlText w:val="%1."/>
      <w:lvlJc w:val="left"/>
    </w:lvl>
  </w:abstractNum>
  <w:abstractNum w:abstractNumId="2">
    <w:nsid w:val="CD7CBFDD"/>
    <w:multiLevelType w:val="singleLevel"/>
    <w:tmpl w:val="CD7CBFDD"/>
    <w:lvl w:ilvl="0" w:tentative="0">
      <w:start w:val="1"/>
      <w:numFmt w:val="decimal"/>
      <w:suff w:val="space"/>
      <w:lvlText w:val="%1."/>
      <w:lvlJc w:val="left"/>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EBEF323"/>
    <w:multiLevelType w:val="singleLevel"/>
    <w:tmpl w:val="DEBEF323"/>
    <w:lvl w:ilvl="0" w:tentative="0">
      <w:start w:val="4"/>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ECE62157"/>
    <w:multiLevelType w:val="singleLevel"/>
    <w:tmpl w:val="ECE62157"/>
    <w:lvl w:ilvl="0" w:tentative="0">
      <w:start w:val="1"/>
      <w:numFmt w:val="chineseCounting"/>
      <w:suff w:val="nothing"/>
      <w:lvlText w:val="（%1）"/>
      <w:lvlJc w:val="left"/>
      <w:rPr>
        <w:rFonts w:hint="eastAsia"/>
      </w:rPr>
    </w:lvl>
  </w:abstractNum>
  <w:abstractNum w:abstractNumId="7">
    <w:nsid w:val="EDD33FE8"/>
    <w:multiLevelType w:val="singleLevel"/>
    <w:tmpl w:val="EDD33FE8"/>
    <w:lvl w:ilvl="0" w:tentative="0">
      <w:start w:val="1"/>
      <w:numFmt w:val="decimal"/>
      <w:suff w:val="space"/>
      <w:lvlText w:val="%1."/>
      <w:lvlJc w:val="left"/>
    </w:lvl>
  </w:abstractNum>
  <w:abstractNum w:abstractNumId="8">
    <w:nsid w:val="FFF674BC"/>
    <w:multiLevelType w:val="singleLevel"/>
    <w:tmpl w:val="FFF674BC"/>
    <w:lvl w:ilvl="0" w:tentative="0">
      <w:start w:val="1"/>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47633EB9"/>
    <w:multiLevelType w:val="singleLevel"/>
    <w:tmpl w:val="47633EB9"/>
    <w:lvl w:ilvl="0" w:tentative="0">
      <w:start w:val="1"/>
      <w:numFmt w:val="decimal"/>
      <w:suff w:val="nothing"/>
      <w:lvlText w:val="%1．"/>
      <w:lvlJc w:val="left"/>
      <w:pPr>
        <w:ind w:left="0" w:firstLine="400"/>
      </w:pPr>
      <w:rPr>
        <w:rFonts w:hint="default"/>
      </w:rPr>
    </w:lvl>
  </w:abstractNum>
  <w:abstractNum w:abstractNumId="11">
    <w:nsid w:val="62B576F6"/>
    <w:multiLevelType w:val="singleLevel"/>
    <w:tmpl w:val="62B576F6"/>
    <w:lvl w:ilvl="0" w:tentative="0">
      <w:start w:val="1"/>
      <w:numFmt w:val="chineseCounting"/>
      <w:suff w:val="nothing"/>
      <w:lvlText w:val="%1、"/>
      <w:lvlJc w:val="left"/>
    </w:lvl>
  </w:abstractNum>
  <w:abstractNum w:abstractNumId="12">
    <w:nsid w:val="62B5812A"/>
    <w:multiLevelType w:val="singleLevel"/>
    <w:tmpl w:val="62B5812A"/>
    <w:lvl w:ilvl="0" w:tentative="0">
      <w:start w:val="1"/>
      <w:numFmt w:val="chineseCounting"/>
      <w:suff w:val="nothing"/>
      <w:lvlText w:val="%1、"/>
      <w:lvlJc w:val="left"/>
    </w:lvl>
  </w:abstractNum>
  <w:abstractNum w:abstractNumId="13">
    <w:nsid w:val="62B80A8A"/>
    <w:multiLevelType w:val="singleLevel"/>
    <w:tmpl w:val="62B80A8A"/>
    <w:lvl w:ilvl="0" w:tentative="0">
      <w:start w:val="1"/>
      <w:numFmt w:val="chineseCounting"/>
      <w:suff w:val="nothing"/>
      <w:lvlText w:val="%1、"/>
      <w:lvlJc w:val="left"/>
    </w:lvl>
  </w:abstractNum>
  <w:abstractNum w:abstractNumId="14">
    <w:nsid w:val="64390B55"/>
    <w:multiLevelType w:val="singleLevel"/>
    <w:tmpl w:val="64390B55"/>
    <w:lvl w:ilvl="0" w:tentative="0">
      <w:start w:val="2"/>
      <w:numFmt w:val="chineseCounting"/>
      <w:suff w:val="nothing"/>
      <w:lvlText w:val="（%1）"/>
      <w:lvlJc w:val="left"/>
    </w:lvl>
  </w:abstractNum>
  <w:abstractNum w:abstractNumId="15">
    <w:nsid w:val="6440EDFE"/>
    <w:multiLevelType w:val="singleLevel"/>
    <w:tmpl w:val="6440EDFE"/>
    <w:lvl w:ilvl="0" w:tentative="0">
      <w:start w:val="2"/>
      <w:numFmt w:val="chineseCounting"/>
      <w:suff w:val="nothing"/>
      <w:lvlText w:val="（%1）"/>
      <w:lvlJc w:val="left"/>
    </w:lvl>
  </w:abstractNum>
  <w:num w:numId="1">
    <w:abstractNumId w:val="2"/>
  </w:num>
  <w:num w:numId="2">
    <w:abstractNumId w:val="9"/>
  </w:num>
  <w:num w:numId="3">
    <w:abstractNumId w:val="3"/>
  </w:num>
  <w:num w:numId="4">
    <w:abstractNumId w:val="5"/>
  </w:num>
  <w:num w:numId="5">
    <w:abstractNumId w:val="10"/>
  </w:num>
  <w:num w:numId="6">
    <w:abstractNumId w:val="8"/>
  </w:num>
  <w:num w:numId="7">
    <w:abstractNumId w:val="6"/>
  </w:num>
  <w:num w:numId="8">
    <w:abstractNumId w:val="7"/>
  </w:num>
  <w:num w:numId="9">
    <w:abstractNumId w:val="1"/>
  </w:num>
  <w:num w:numId="10">
    <w:abstractNumId w:val="4"/>
  </w:num>
  <w:num w:numId="11">
    <w:abstractNumId w:val="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ZjQ0ODNlNmYwMDZjMzY0MjcxMmU2ZTAxZGY0NDM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17330"/>
    <w:rsid w:val="015975B8"/>
    <w:rsid w:val="01A97B6C"/>
    <w:rsid w:val="02143E91"/>
    <w:rsid w:val="02971F02"/>
    <w:rsid w:val="031D147C"/>
    <w:rsid w:val="038A7E04"/>
    <w:rsid w:val="04604905"/>
    <w:rsid w:val="04831488"/>
    <w:rsid w:val="04D631EA"/>
    <w:rsid w:val="050127C5"/>
    <w:rsid w:val="066E0107"/>
    <w:rsid w:val="06D06A4C"/>
    <w:rsid w:val="07996F6E"/>
    <w:rsid w:val="094E3682"/>
    <w:rsid w:val="0A2032A3"/>
    <w:rsid w:val="0AA750DD"/>
    <w:rsid w:val="0B2C354F"/>
    <w:rsid w:val="0E3F500D"/>
    <w:rsid w:val="0E77196C"/>
    <w:rsid w:val="0F98263C"/>
    <w:rsid w:val="0FE224A0"/>
    <w:rsid w:val="101860EC"/>
    <w:rsid w:val="108F5D13"/>
    <w:rsid w:val="10C055FF"/>
    <w:rsid w:val="111F7D5D"/>
    <w:rsid w:val="1122244F"/>
    <w:rsid w:val="114A5D19"/>
    <w:rsid w:val="118107EC"/>
    <w:rsid w:val="12FD628C"/>
    <w:rsid w:val="13D50BC4"/>
    <w:rsid w:val="1598015F"/>
    <w:rsid w:val="15C33632"/>
    <w:rsid w:val="16AC075B"/>
    <w:rsid w:val="16BB723D"/>
    <w:rsid w:val="1776212F"/>
    <w:rsid w:val="177822B0"/>
    <w:rsid w:val="17865FB0"/>
    <w:rsid w:val="18FF6757"/>
    <w:rsid w:val="19D34778"/>
    <w:rsid w:val="1AE041D3"/>
    <w:rsid w:val="1AE13C5B"/>
    <w:rsid w:val="1B59326E"/>
    <w:rsid w:val="1BE8440E"/>
    <w:rsid w:val="1C065731"/>
    <w:rsid w:val="1C463EE1"/>
    <w:rsid w:val="1C6054B1"/>
    <w:rsid w:val="1C7A61E7"/>
    <w:rsid w:val="1C904FA7"/>
    <w:rsid w:val="1D0813CE"/>
    <w:rsid w:val="1D155CEE"/>
    <w:rsid w:val="1D1849F2"/>
    <w:rsid w:val="1E1A54D0"/>
    <w:rsid w:val="1E3E48DE"/>
    <w:rsid w:val="1EE2534B"/>
    <w:rsid w:val="1FF35744"/>
    <w:rsid w:val="222F70DD"/>
    <w:rsid w:val="23860B96"/>
    <w:rsid w:val="240371BF"/>
    <w:rsid w:val="2409047A"/>
    <w:rsid w:val="24A45D57"/>
    <w:rsid w:val="25146FE6"/>
    <w:rsid w:val="2580474D"/>
    <w:rsid w:val="26C26CF7"/>
    <w:rsid w:val="27B60C26"/>
    <w:rsid w:val="293C2A18"/>
    <w:rsid w:val="29866091"/>
    <w:rsid w:val="29FD04D3"/>
    <w:rsid w:val="2BD414DD"/>
    <w:rsid w:val="2C8A61B5"/>
    <w:rsid w:val="2DA61AD6"/>
    <w:rsid w:val="2DE0224B"/>
    <w:rsid w:val="2DF04E50"/>
    <w:rsid w:val="2F040D46"/>
    <w:rsid w:val="306D4B10"/>
    <w:rsid w:val="307418ED"/>
    <w:rsid w:val="319F7F4E"/>
    <w:rsid w:val="31A52B75"/>
    <w:rsid w:val="329E7DB7"/>
    <w:rsid w:val="32A9493D"/>
    <w:rsid w:val="3304709D"/>
    <w:rsid w:val="33E57DDE"/>
    <w:rsid w:val="34B128F9"/>
    <w:rsid w:val="36070CBD"/>
    <w:rsid w:val="36AA5135"/>
    <w:rsid w:val="376D39B2"/>
    <w:rsid w:val="377D7D62"/>
    <w:rsid w:val="37A85E3A"/>
    <w:rsid w:val="37E16F03"/>
    <w:rsid w:val="38917FE7"/>
    <w:rsid w:val="38D469F0"/>
    <w:rsid w:val="39C32926"/>
    <w:rsid w:val="39D771DD"/>
    <w:rsid w:val="3BF042CF"/>
    <w:rsid w:val="3C324297"/>
    <w:rsid w:val="3C9DA4BC"/>
    <w:rsid w:val="3CDE5A8B"/>
    <w:rsid w:val="3CE807A0"/>
    <w:rsid w:val="3D98207C"/>
    <w:rsid w:val="3DF06BD9"/>
    <w:rsid w:val="3E78745D"/>
    <w:rsid w:val="3ED23218"/>
    <w:rsid w:val="41170FBE"/>
    <w:rsid w:val="42D73597"/>
    <w:rsid w:val="4439784F"/>
    <w:rsid w:val="4467501D"/>
    <w:rsid w:val="44E268DA"/>
    <w:rsid w:val="459109DC"/>
    <w:rsid w:val="45D624A1"/>
    <w:rsid w:val="472B5FDC"/>
    <w:rsid w:val="47B538A6"/>
    <w:rsid w:val="49511615"/>
    <w:rsid w:val="4A627F82"/>
    <w:rsid w:val="4B062139"/>
    <w:rsid w:val="4B0E749A"/>
    <w:rsid w:val="4B4F25DA"/>
    <w:rsid w:val="4BC4493F"/>
    <w:rsid w:val="4BE068DB"/>
    <w:rsid w:val="4D381304"/>
    <w:rsid w:val="4D577224"/>
    <w:rsid w:val="4E161558"/>
    <w:rsid w:val="4E6574FC"/>
    <w:rsid w:val="4EAB630A"/>
    <w:rsid w:val="4ECE2238"/>
    <w:rsid w:val="4F717869"/>
    <w:rsid w:val="4F80281D"/>
    <w:rsid w:val="4F9667B6"/>
    <w:rsid w:val="519A0E23"/>
    <w:rsid w:val="524038B6"/>
    <w:rsid w:val="526B5CD8"/>
    <w:rsid w:val="52A64D69"/>
    <w:rsid w:val="533C1422"/>
    <w:rsid w:val="535A23F6"/>
    <w:rsid w:val="537E6D0A"/>
    <w:rsid w:val="56C1680E"/>
    <w:rsid w:val="57C230F2"/>
    <w:rsid w:val="57DC3499"/>
    <w:rsid w:val="57ED286F"/>
    <w:rsid w:val="587C0C3F"/>
    <w:rsid w:val="588801C8"/>
    <w:rsid w:val="59967A28"/>
    <w:rsid w:val="5AF92295"/>
    <w:rsid w:val="5CD71FC4"/>
    <w:rsid w:val="5CF43C41"/>
    <w:rsid w:val="5D5A2B14"/>
    <w:rsid w:val="5DC93C07"/>
    <w:rsid w:val="5EB713FA"/>
    <w:rsid w:val="5FAD6EB4"/>
    <w:rsid w:val="60573DFD"/>
    <w:rsid w:val="60AB6D62"/>
    <w:rsid w:val="615A63C6"/>
    <w:rsid w:val="617A6FB7"/>
    <w:rsid w:val="61CE6ED5"/>
    <w:rsid w:val="61DA0220"/>
    <w:rsid w:val="62A54620"/>
    <w:rsid w:val="6450170B"/>
    <w:rsid w:val="651D7245"/>
    <w:rsid w:val="652A3E46"/>
    <w:rsid w:val="65646CE3"/>
    <w:rsid w:val="65A772B7"/>
    <w:rsid w:val="66746C7A"/>
    <w:rsid w:val="675E5115"/>
    <w:rsid w:val="67716175"/>
    <w:rsid w:val="67982C74"/>
    <w:rsid w:val="67F454B5"/>
    <w:rsid w:val="68896A60"/>
    <w:rsid w:val="689B59A1"/>
    <w:rsid w:val="68C85EE7"/>
    <w:rsid w:val="68FD23E4"/>
    <w:rsid w:val="6900141B"/>
    <w:rsid w:val="6AB21AAC"/>
    <w:rsid w:val="6B172203"/>
    <w:rsid w:val="6B4607ED"/>
    <w:rsid w:val="6BDA47F9"/>
    <w:rsid w:val="6BE16921"/>
    <w:rsid w:val="6C4A05C8"/>
    <w:rsid w:val="6D1B6E09"/>
    <w:rsid w:val="6E4C43C1"/>
    <w:rsid w:val="6E7E3605"/>
    <w:rsid w:val="6E922721"/>
    <w:rsid w:val="6FA80DAC"/>
    <w:rsid w:val="6FF5CC65"/>
    <w:rsid w:val="6FFC5D0E"/>
    <w:rsid w:val="70D74CEB"/>
    <w:rsid w:val="715C0E4B"/>
    <w:rsid w:val="71C979B6"/>
    <w:rsid w:val="72547143"/>
    <w:rsid w:val="72734D90"/>
    <w:rsid w:val="728275F0"/>
    <w:rsid w:val="72C232B3"/>
    <w:rsid w:val="7350281C"/>
    <w:rsid w:val="73506AF8"/>
    <w:rsid w:val="73683F60"/>
    <w:rsid w:val="73AD73D5"/>
    <w:rsid w:val="73B6EB34"/>
    <w:rsid w:val="73B85BA3"/>
    <w:rsid w:val="73F75FB5"/>
    <w:rsid w:val="744731E5"/>
    <w:rsid w:val="750A0501"/>
    <w:rsid w:val="767B5D1D"/>
    <w:rsid w:val="76E3355F"/>
    <w:rsid w:val="778769C8"/>
    <w:rsid w:val="787426CE"/>
    <w:rsid w:val="78745779"/>
    <w:rsid w:val="78BA3601"/>
    <w:rsid w:val="79EE5BA4"/>
    <w:rsid w:val="7A894339"/>
    <w:rsid w:val="7AAD79E7"/>
    <w:rsid w:val="7BC065AB"/>
    <w:rsid w:val="7EE76826"/>
    <w:rsid w:val="7EEF11D3"/>
    <w:rsid w:val="7FA30C79"/>
    <w:rsid w:val="7FB7269E"/>
    <w:rsid w:val="7FC96657"/>
    <w:rsid w:val="9EE76664"/>
    <w:rsid w:val="CFC60280"/>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rPr>
  </w:style>
  <w:style w:type="paragraph" w:styleId="6">
    <w:name w:val="Salutation"/>
    <w:basedOn w:val="1"/>
    <w:next w:val="1"/>
    <w:unhideWhenUsed/>
    <w:qFormat/>
    <w:uiPriority w:val="99"/>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5"/>
    <w:semiHidden/>
    <w:unhideWhenUsed/>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paragraph" w:styleId="16">
    <w:name w:val="Body Text First Indent 2"/>
    <w:basedOn w:val="8"/>
    <w:next w:val="1"/>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3"/>
    <w:qFormat/>
    <w:uiPriority w:val="9"/>
    <w:rPr>
      <w:rFonts w:ascii="Times New Roman" w:hAnsi="Times New Roman"/>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5"/>
    <w:qFormat/>
    <w:uiPriority w:val="9"/>
    <w:rPr>
      <w:rFonts w:ascii="Times New Roman" w:hAnsi="Times New Roman"/>
      <w:b/>
      <w:bCs/>
      <w:kern w:val="2"/>
      <w:sz w:val="32"/>
      <w:szCs w:val="32"/>
    </w:rPr>
  </w:style>
  <w:style w:type="paragraph" w:customStyle="1" w:styleId="24">
    <w:name w:val="正文首行缩进 21"/>
    <w:basedOn w:val="1"/>
    <w:next w:val="1"/>
    <w:qFormat/>
    <w:uiPriority w:val="0"/>
    <w:pPr>
      <w:spacing w:line="600" w:lineRule="atLeast"/>
      <w:ind w:firstLine="420" w:firstLineChars="200"/>
    </w:pPr>
    <w:rPr>
      <w:rFonts w:eastAsia="宋体"/>
      <w:b/>
      <w:bCs/>
      <w:sz w:val="30"/>
      <w:szCs w:val="30"/>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18"/>
    <w:semiHidden/>
    <w:qFormat/>
    <w:uiPriority w:val="99"/>
    <w:rPr>
      <w:rFonts w:ascii="Times New Roman" w:hAnsi="Times New Roman"/>
      <w:sz w:val="18"/>
      <w:szCs w:val="18"/>
    </w:rPr>
  </w:style>
  <w:style w:type="character" w:customStyle="1" w:styleId="27">
    <w:name w:val="页眉 Char"/>
    <w:link w:val="12"/>
    <w:semiHidden/>
    <w:qFormat/>
    <w:locked/>
    <w:uiPriority w:val="99"/>
    <w:rPr>
      <w:sz w:val="18"/>
    </w:rPr>
  </w:style>
  <w:style w:type="character" w:customStyle="1" w:styleId="28">
    <w:name w:val="Footer Char"/>
    <w:basedOn w:val="18"/>
    <w:semiHidden/>
    <w:qFormat/>
    <w:uiPriority w:val="99"/>
    <w:rPr>
      <w:rFonts w:ascii="Times New Roman" w:hAnsi="Times New Roman"/>
      <w:sz w:val="18"/>
      <w:szCs w:val="18"/>
    </w:rPr>
  </w:style>
  <w:style w:type="character" w:customStyle="1" w:styleId="29">
    <w:name w:val="页脚 Char"/>
    <w:link w:val="11"/>
    <w:qFormat/>
    <w:locked/>
    <w:uiPriority w:val="99"/>
    <w:rPr>
      <w:sz w:val="18"/>
    </w:rPr>
  </w:style>
  <w:style w:type="character" w:customStyle="1" w:styleId="30">
    <w:name w:val="Body Text Char"/>
    <w:basedOn w:val="18"/>
    <w:semiHidden/>
    <w:qFormat/>
    <w:uiPriority w:val="99"/>
    <w:rPr>
      <w:rFonts w:ascii="Times New Roman" w:hAnsi="Times New Roman"/>
      <w:szCs w:val="24"/>
    </w:rPr>
  </w:style>
  <w:style w:type="character" w:customStyle="1" w:styleId="31">
    <w:name w:val="正文文本 Char"/>
    <w:link w:val="7"/>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8"/>
    <w:link w:val="10"/>
    <w:semiHidden/>
    <w:qFormat/>
    <w:uiPriority w:val="99"/>
    <w:rPr>
      <w:rFonts w:ascii="Times New Roman" w:hAnsi="Times New Roman"/>
      <w:kern w:val="2"/>
      <w:sz w:val="18"/>
      <w:szCs w:val="18"/>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NormalCharacter"/>
    <w:link w:val="39"/>
    <w:semiHidden/>
    <w:qFormat/>
    <w:uiPriority w:val="0"/>
    <w:rPr>
      <w:rFonts w:ascii="Calibri" w:hAnsi="Calibri" w:eastAsia="宋体" w:cs="Times New Roman"/>
      <w:sz w:val="21"/>
      <w:szCs w:val="21"/>
    </w:rPr>
  </w:style>
  <w:style w:type="paragraph" w:customStyle="1" w:styleId="39">
    <w:name w:val="UserStyle_1"/>
    <w:basedOn w:val="1"/>
    <w:next w:val="1"/>
    <w:link w:val="38"/>
    <w:qFormat/>
    <w:uiPriority w:val="0"/>
    <w:pPr>
      <w:spacing w:line="240" w:lineRule="atLeast"/>
      <w:ind w:left="420" w:firstLine="420"/>
      <w:jc w:val="left"/>
    </w:pPr>
    <w:rPr>
      <w:rFonts w:ascii="Calibri" w:hAnsi="Calibri" w:eastAsia="宋体" w:cs="Times New Roman"/>
      <w:sz w:val="21"/>
      <w:szCs w:val="21"/>
    </w:rPr>
  </w:style>
  <w:style w:type="paragraph" w:customStyle="1" w:styleId="40">
    <w:name w:val="ToCaption"/>
    <w:basedOn w:val="1"/>
    <w:next w:val="1"/>
    <w:qFormat/>
    <w:uiPriority w:val="0"/>
    <w:pPr>
      <w:suppressAutoHyphens/>
      <w:ind w:leftChars="200" w:hanging="200" w:hangingChars="200"/>
      <w:jc w:val="both"/>
      <w:textAlignment w:val="baseline"/>
    </w:pPr>
  </w:style>
  <w:style w:type="character" w:customStyle="1" w:styleId="41">
    <w:name w:val=" Char Char6"/>
    <w:basedOn w:val="18"/>
    <w:link w:val="3"/>
    <w:qFormat/>
    <w:locked/>
    <w:uiPriority w:val="0"/>
    <w:rPr>
      <w:rFonts w:eastAsia="宋体"/>
      <w:b/>
      <w:bCs/>
      <w:kern w:val="44"/>
      <w:sz w:val="44"/>
      <w:szCs w:val="44"/>
      <w:lang w:val="en-US" w:eastAsia="zh-CN" w:bidi="ar-SA"/>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021&#24180;&#20915;&#31639;&#20844;&#24320;301&#65288;&#20462;&#25913;&#65289;.doc"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2270;&#34920;%20&#22312;%202021&#24180;&#20915;&#31639;&#20844;&#24320;301&#65288;&#20462;&#25913;&#65289;.doc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2270;&#34920;%20&#22312;%202021&#24180;&#20915;&#31639;&#20844;&#24320;301&#65288;&#20462;&#25913;&#65289;.doc"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2270;&#34920;%20&#22312;%202021&#24180;&#20915;&#31639;&#20844;&#24320;301&#65288;&#20462;&#25913;&#65289;.doc"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2270;&#34920;%20&#22312;%202021&#24180;&#20915;&#31639;&#20844;&#24320;301&#65288;&#20462;&#25913;&#65289;.doc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收、支决算总计变动情况图</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3989898989899"/>
          <c:y val="0.0347222222222222"/>
        </c:manualLayout>
      </c:layout>
      <c:overlay val="0"/>
    </c:title>
    <c:autoTitleDeleted val="0"/>
    <c:plotArea>
      <c:layout/>
      <c:barChart>
        <c:barDir val="col"/>
        <c:grouping val="clustered"/>
        <c:varyColors val="0"/>
        <c:ser>
          <c:idx val="0"/>
          <c:order val="0"/>
          <c:tx>
            <c:strRef>
              <c:f>'[图表 在 2021年决算公开301（修改）.doc]Sheet1'!#REF!</c:f>
              <c:strCache>
                <c:ptCount val="1"/>
                <c:pt idx="0">
                  <c:v/>
                </c:pt>
              </c:strCache>
            </c:strRef>
          </c:tx>
          <c:spPr>
            <a:solidFill>
              <a:srgbClr val="5B9BD5">
                <a:alpha val="100000"/>
              </a:srgbClr>
            </a:solidFill>
            <a:ln w="3175">
              <a:noFill/>
            </a:ln>
          </c:spPr>
          <c:invertIfNegative val="0"/>
          <c:dLbls>
            <c:delete val="1"/>
          </c:dLbls>
          <c:cat>
            <c:numRef>
              <c:f>'[图表 在 2021年决算公开301（修改）.doc]Sheet1'!$B$2:$C$2</c:f>
              <c:numCache>
                <c:formatCode>General</c:formatCode>
                <c:ptCount val="2"/>
                <c:pt idx="0">
                  <c:v>2022</c:v>
                </c:pt>
                <c:pt idx="1">
                  <c:v>2021</c:v>
                </c:pt>
              </c:numCache>
            </c:numRef>
          </c:cat>
          <c:val>
            <c:numRef>
              <c:f>'[图表 在 2021年决算公开301（修改）.doc]Sheet1'!$B$3:$C$3</c:f>
              <c:numCache>
                <c:formatCode>General</c:formatCode>
                <c:ptCount val="2"/>
                <c:pt idx="0">
                  <c:v>5993.67</c:v>
                </c:pt>
                <c:pt idx="1">
                  <c:v>6484.77</c:v>
                </c:pt>
              </c:numCache>
            </c:numRef>
          </c:val>
        </c:ser>
        <c:dLbls>
          <c:showLegendKey val="0"/>
          <c:showVal val="0"/>
          <c:showCatName val="0"/>
          <c:showSerName val="0"/>
          <c:showPercent val="0"/>
          <c:showBubbleSize val="0"/>
        </c:dLbls>
        <c:gapWidth val="219"/>
        <c:overlap val="-27"/>
        <c:axId val="689846496"/>
        <c:axId val="957052009"/>
      </c:barChart>
      <c:catAx>
        <c:axId val="6898464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052009"/>
        <c:crosses val="autoZero"/>
        <c:auto val="1"/>
        <c:lblAlgn val="ctr"/>
        <c:lblOffset val="100"/>
        <c:noMultiLvlLbl val="0"/>
      </c:catAx>
      <c:valAx>
        <c:axId val="957052009"/>
        <c:scaling>
          <c:orientation val="minMax"/>
          <c:min val="10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9846496"/>
        <c:crosses val="autoZero"/>
        <c:crossBetween val="between"/>
        <c:majorUnit val="1000"/>
      </c:valAx>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[工作簿1]Sheet1!$A$1:$A$2</c:f>
              <c:strCache>
                <c:ptCount val="2"/>
                <c:pt idx="0">
                  <c:v>基本支出</c:v>
                </c:pt>
                <c:pt idx="1">
                  <c:v>项目支出</c:v>
                </c:pt>
              </c:strCache>
            </c:strRef>
          </c:cat>
          <c:val>
            <c:numRef>
              <c:f>[工作簿1]Sheet1!$B$1:$B$2</c:f>
              <c:numCache>
                <c:formatCode>General</c:formatCode>
                <c:ptCount val="2"/>
                <c:pt idx="0">
                  <c:v>2520.76</c:v>
                </c:pt>
                <c:pt idx="1">
                  <c:v>3280.46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barChart>
        <c:barDir val="col"/>
        <c:grouping val="clustered"/>
        <c:varyColors val="0"/>
        <c:ser>
          <c:idx val="0"/>
          <c:order val="0"/>
          <c:tx>
            <c:strRef>
              <c:f>'[图表 在 2021年决算公开301（修改）.doc2]Sheet1'!$B$3</c:f>
              <c:strCache>
                <c:ptCount val="1"/>
                <c:pt idx="0">
                  <c:v>亚洲区</c:v>
                </c:pt>
              </c:strCache>
            </c:strRef>
          </c:tx>
          <c:spPr>
            <a:solidFill>
              <a:srgbClr val="5B9BD5">
                <a:alpha val="100000"/>
              </a:srgbClr>
            </a:solidFill>
            <a:ln w="3175">
              <a:noFill/>
            </a:ln>
          </c:spPr>
          <c:invertIfNegative val="0"/>
          <c:dLbls>
            <c:delete val="1"/>
          </c:dLbls>
          <c:cat>
            <c:strRef>
              <c:f>'[图表 在 2021年决算公开301（修改）.doc2]Sheet1'!$C$2:$D$2</c:f>
              <c:strCache>
                <c:ptCount val="2"/>
                <c:pt idx="0">
                  <c:v>2022年财政拨款收、支</c:v>
                </c:pt>
                <c:pt idx="1">
                  <c:v>2021年财政拨款收、支</c:v>
                </c:pt>
              </c:strCache>
            </c:strRef>
          </c:cat>
          <c:val>
            <c:numRef>
              <c:f>'[图表 在 2021年决算公开301（修改）.doc2]Sheet1'!$C$3:$D$3</c:f>
              <c:numCache>
                <c:formatCode>General</c:formatCode>
                <c:ptCount val="2"/>
                <c:pt idx="0">
                  <c:v>5993.67</c:v>
                </c:pt>
                <c:pt idx="1">
                  <c:v>6484.77</c:v>
                </c:pt>
              </c:numCache>
            </c:numRef>
          </c:val>
        </c:ser>
        <c:dLbls>
          <c:showLegendKey val="0"/>
          <c:showVal val="0"/>
          <c:showCatName val="0"/>
          <c:showSerName val="0"/>
          <c:showPercent val="0"/>
          <c:showBubbleSize val="0"/>
        </c:dLbls>
        <c:gapWidth val="219"/>
        <c:overlap val="-27"/>
        <c:axId val="847795106"/>
        <c:axId val="778591772"/>
      </c:barChart>
      <c:catAx>
        <c:axId val="84779510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8591772"/>
        <c:crosses val="autoZero"/>
        <c:auto val="1"/>
        <c:lblAlgn val="ctr"/>
        <c:lblOffset val="100"/>
        <c:noMultiLvlLbl val="0"/>
      </c:catAx>
      <c:valAx>
        <c:axId val="778591772"/>
        <c:scaling>
          <c:orientation val="minMax"/>
          <c:max val="7000"/>
          <c:min val="10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795106"/>
        <c:crosses val="autoZero"/>
        <c:crossBetween val="between"/>
      </c:valAx>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b="0" i="0" u="none" strike="noStrike" kern="1200" spc="0" baseline="0">
                <a:solidFill>
                  <a:schemeClr val="tx1">
                    <a:lumMod val="65000"/>
                    <a:lumOff val="35000"/>
                  </a:schemeClr>
                </a:solidFill>
                <a:latin typeface="+mn-lt"/>
                <a:ea typeface="+mn-ea"/>
                <a:cs typeface="+mn-cs"/>
              </a:rPr>
              <a:t>一般公共预算财政拨款支出决算变动情况</a:t>
            </a:r>
            <a:endParaRPr sz="1000" b="0" i="0" u="none" strike="noStrike" kern="1200" spc="0" baseline="0">
              <a:solidFill>
                <a:schemeClr val="tx1">
                  <a:lumMod val="65000"/>
                  <a:lumOff val="35000"/>
                </a:schemeClr>
              </a:solidFill>
              <a:latin typeface="+mn-lt"/>
              <a:ea typeface="+mn-ea"/>
              <a:cs typeface="+mn-cs"/>
            </a:endParaRPr>
          </a:p>
        </c:rich>
      </c:tx>
      <c:layout/>
      <c:overlay val="0"/>
    </c:title>
    <c:autoTitleDeleted val="0"/>
    <c:plotArea>
      <c:layout>
        <c:manualLayout>
          <c:layoutTarget val="inner"/>
          <c:xMode val="edge"/>
          <c:yMode val="edge"/>
          <c:x val="0.0944053895723492"/>
          <c:y val="0.183038869257951"/>
          <c:w val="0.875571177504394"/>
          <c:h val="0.706572438162544"/>
        </c:manualLayout>
      </c:layout>
      <c:barChart>
        <c:barDir val="col"/>
        <c:grouping val="clustered"/>
        <c:varyColors val="0"/>
        <c:ser>
          <c:idx val="0"/>
          <c:order val="0"/>
          <c:tx>
            <c:strRef>
              <c:f>'[图表 在 2021年决算公开301（修改）.doc]Sheet1'!$B$3</c:f>
              <c:strCache>
                <c:ptCount val="1"/>
                <c:pt idx="0">
                  <c:v/>
                </c:pt>
              </c:strCache>
            </c:strRef>
          </c:tx>
          <c:spPr>
            <a:solidFill>
              <a:srgbClr val="5B9BD5">
                <a:alpha val="100000"/>
              </a:srgbClr>
            </a:solidFill>
            <a:ln w="3175">
              <a:noFill/>
            </a:ln>
          </c:spPr>
          <c:invertIfNegative val="0"/>
          <c:dLbls>
            <c:delete val="1"/>
          </c:dLbls>
          <c:cat>
            <c:strRef>
              <c:f>'[图表 在 2021年决算公开301（修改）.doc]Sheet1'!$C$2:$D$2</c:f>
              <c:strCache>
                <c:ptCount val="2"/>
                <c:pt idx="0">
                  <c:v>2022年一般公共预算财政拨款支出</c:v>
                </c:pt>
                <c:pt idx="1">
                  <c:v>2021年一般公共预算财政拨款支出</c:v>
                </c:pt>
              </c:strCache>
            </c:strRef>
          </c:cat>
          <c:val>
            <c:numRef>
              <c:f>'[图表 在 2021年决算公开301（修改）.doc]Sheet1'!$C$3:$D$3</c:f>
              <c:numCache>
                <c:formatCode>General</c:formatCode>
                <c:ptCount val="2"/>
                <c:pt idx="0">
                  <c:v>5801.22</c:v>
                </c:pt>
                <c:pt idx="1">
                  <c:v>6155.47</c:v>
                </c:pt>
              </c:numCache>
            </c:numRef>
          </c:val>
        </c:ser>
        <c:dLbls>
          <c:showLegendKey val="0"/>
          <c:showVal val="0"/>
          <c:showCatName val="0"/>
          <c:showSerName val="0"/>
          <c:showPercent val="0"/>
          <c:showBubbleSize val="0"/>
        </c:dLbls>
        <c:gapWidth val="219"/>
        <c:overlap val="-27"/>
        <c:axId val="106314533"/>
        <c:axId val="744459592"/>
      </c:barChart>
      <c:catAx>
        <c:axId val="10631453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600" b="0" i="0" u="none" strike="noStrike" kern="1200" baseline="0">
                <a:solidFill>
                  <a:schemeClr val="tx1">
                    <a:lumMod val="65000"/>
                    <a:lumOff val="35000"/>
                  </a:schemeClr>
                </a:solidFill>
                <a:latin typeface="+mn-lt"/>
                <a:ea typeface="+mn-ea"/>
                <a:cs typeface="+mn-cs"/>
              </a:defRPr>
            </a:pPr>
          </a:p>
        </c:txPr>
        <c:crossAx val="744459592"/>
        <c:crosses val="autoZero"/>
        <c:auto val="1"/>
        <c:lblAlgn val="ctr"/>
        <c:lblOffset val="100"/>
        <c:noMultiLvlLbl val="0"/>
      </c:catAx>
      <c:valAx>
        <c:axId val="744459592"/>
        <c:scaling>
          <c:orientation val="minMax"/>
          <c:max val="7000"/>
          <c:min val="10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314533"/>
        <c:crosses val="autoZero"/>
        <c:crossBetween val="between"/>
      </c:valAx>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tx>
            <c:strRef>
              <c:f>'[图表 在 2021年决算公开301（修改）.doc]Sheet1'!$B$3</c:f>
              <c:strCache>
                <c:ptCount val="1"/>
                <c:pt idx="0">
                  <c:v>亚洲区</c:v>
                </c:pt>
              </c:strCache>
            </c:strRef>
          </c:tx>
          <c:spPr>
            <a:solidFill>
              <a:srgbClr val="5B9BD5">
                <a:alpha val="100000"/>
              </a:srgbClr>
            </a:solidFill>
            <a:ln w="3175">
              <a:noFill/>
            </a:ln>
          </c:spPr>
          <c:explosion val="0"/>
          <c:dPt>
            <c:idx val="0"/>
            <c:bubble3D val="0"/>
            <c:explosion val="0"/>
            <c:spPr>
              <a:solidFill>
                <a:srgbClr val="5B9BD5">
                  <a:alpha val="100000"/>
                </a:srgbClr>
              </a:solidFill>
              <a:ln w="3175">
                <a:noFill/>
              </a:ln>
            </c:spPr>
          </c:dPt>
          <c:dPt>
            <c:idx val="1"/>
            <c:bubble3D val="0"/>
            <c:explosion val="0"/>
            <c:spPr>
              <a:solidFill>
                <a:srgbClr val="C00000"/>
              </a:solidFill>
              <a:ln w="3175">
                <a:noFill/>
              </a:ln>
            </c:spPr>
          </c:dPt>
          <c:dPt>
            <c:idx val="2"/>
            <c:bubble3D val="0"/>
            <c:explosion val="0"/>
            <c:spPr>
              <a:solidFill>
                <a:schemeClr val="accent6"/>
              </a:solidFill>
              <a:ln w="3175">
                <a:noFill/>
              </a:ln>
            </c:spPr>
          </c:dPt>
          <c:dPt>
            <c:idx val="3"/>
            <c:bubble3D val="0"/>
            <c:explosion val="0"/>
            <c:spPr>
              <a:solidFill>
                <a:srgbClr val="7030A0"/>
              </a:solidFill>
              <a:ln w="3175">
                <a:noFill/>
              </a:ln>
            </c:spPr>
          </c:dPt>
          <c:dLbls>
            <c:dLbl>
              <c:idx val="0"/>
              <c:layout>
                <c:manualLayout>
                  <c:x val="-0.0360675375175227"/>
                  <c:y val="-0.25019219252746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sz="1000" b="0" i="0" u="none" strike="noStrike" baseline="0">
                        <a:solidFill>
                          <a:srgbClr val="000000"/>
                        </a:solidFill>
                        <a:latin typeface="宋体" panose="02010600030101010101" charset="-122"/>
                        <a:ea typeface="宋体" panose="02010600030101010101" charset="-122"/>
                        <a:cs typeface="宋体" panose="02010600030101010101" charset="-122"/>
                      </a:rPr>
                      <a:t> 9</a:t>
                    </a: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2.65</a:t>
                    </a:r>
                    <a:r>
                      <a:rPr sz="10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619906636344486"/>
                  <c:y val="0.0051999681322105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sz="1000" b="0" i="0" u="none" strike="noStrike" baseline="0">
                        <a:solidFill>
                          <a:srgbClr val="000000"/>
                        </a:solidFill>
                        <a:latin typeface="宋体" panose="02010600030101010101" charset="-122"/>
                        <a:ea typeface="宋体" panose="02010600030101010101" charset="-122"/>
                        <a:cs typeface="宋体" panose="02010600030101010101" charset="-122"/>
                      </a:rPr>
                      <a:t>3</a:t>
                    </a: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.42</a:t>
                    </a:r>
                    <a:r>
                      <a:rPr sz="10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64106136826313"/>
                  <c:y val="-0.012056181332639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sz="1000" b="0" i="0" u="none" strike="noStrike" baseline="0">
                        <a:solidFill>
                          <a:srgbClr val="000000"/>
                        </a:solidFill>
                        <a:latin typeface="宋体" panose="02010600030101010101" charset="-122"/>
                        <a:ea typeface="宋体" panose="02010600030101010101" charset="-122"/>
                        <a:cs typeface="宋体" panose="02010600030101010101" charset="-122"/>
                      </a:rPr>
                      <a:t>1</a:t>
                    </a: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.26</a:t>
                    </a:r>
                    <a:r>
                      <a:rPr sz="10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398939164527387"/>
                  <c:y val="-0.0085270201231316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sz="1000" b="0" i="0" u="none" strike="noStrike" baseline="0">
                        <a:solidFill>
                          <a:srgbClr val="000000"/>
                        </a:solidFill>
                        <a:latin typeface="宋体" panose="02010600030101010101" charset="-122"/>
                        <a:ea typeface="宋体" panose="02010600030101010101" charset="-122"/>
                        <a:cs typeface="宋体" panose="02010600030101010101" charset="-122"/>
                      </a:rPr>
                      <a:t>2.67</a:t>
                    </a:r>
                    <a:r>
                      <a:rPr sz="10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[01b041a91]Sheet1!$C$2:$F$2</c:f>
              <c:strCache>
                <c:ptCount val="4"/>
                <c:pt idx="0">
                  <c:v>一般公共服务</c:v>
                </c:pt>
                <c:pt idx="1">
                  <c:v>社会保障和就业</c:v>
                </c:pt>
                <c:pt idx="2">
                  <c:v>卫生健康</c:v>
                </c:pt>
                <c:pt idx="3">
                  <c:v>住房保障</c:v>
                </c:pt>
              </c:strCache>
            </c:strRef>
          </c:cat>
          <c:val>
            <c:numRef>
              <c:f>[01b041a91]Sheet1!$C$3:$F$3</c:f>
              <c:numCache>
                <c:formatCode>General</c:formatCode>
                <c:ptCount val="4"/>
                <c:pt idx="0">
                  <c:v>5375.04</c:v>
                </c:pt>
                <c:pt idx="1">
                  <c:v>198.54</c:v>
                </c:pt>
                <c:pt idx="2">
                  <c:v>70.24</c:v>
                </c:pt>
                <c:pt idx="3">
                  <c:v>185.02</c:v>
                </c:pt>
              </c:numCache>
            </c:numRef>
          </c:val>
        </c:ser>
        <c:ser>
          <c:idx val="1"/>
          <c:order val="1"/>
          <c:tx>
            <c:strRef>
              <c:f>'[图表 在 2021年决算公开301（修改）.doc]Sheet1'!$B$4</c:f>
              <c:strCache>
                <c:ptCount val="1"/>
                <c:pt idx="0">
                  <c:v>欧洲区</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Pt>
            <c:idx val="1"/>
            <c:bubble3D val="0"/>
            <c:explosion val="0"/>
            <c:spPr>
              <a:solidFill>
                <a:srgbClr val="ED7D31">
                  <a:alpha val="100000"/>
                </a:srgbClr>
              </a:solidFill>
              <a:ln w="3175">
                <a:noFill/>
              </a:ln>
            </c:spPr>
          </c:dPt>
          <c:dPt>
            <c:idx val="2"/>
            <c:bubble3D val="0"/>
            <c:explosion val="0"/>
            <c:spPr>
              <a:solidFill>
                <a:srgbClr val="ED7D31">
                  <a:alpha val="100000"/>
                </a:srgbClr>
              </a:solidFill>
              <a:ln w="3175">
                <a:noFill/>
              </a:ln>
            </c:spPr>
          </c:dPt>
          <c:dPt>
            <c:idx val="3"/>
            <c:bubble3D val="0"/>
            <c:explosion val="0"/>
            <c:spPr>
              <a:solidFill>
                <a:srgbClr val="ED7D31">
                  <a:alpha val="100000"/>
                </a:srgbClr>
              </a:solidFill>
              <a:ln w="3175">
                <a:noFill/>
              </a:ln>
            </c:spPr>
          </c:dPt>
          <c:dLbls>
            <c:delete val="1"/>
          </c:dLbls>
          <c:cat>
            <c:strRef>
              <c:f>[01b041a91]Sheet1!$C$2:$F$2</c:f>
              <c:strCache>
                <c:ptCount val="4"/>
                <c:pt idx="0">
                  <c:v>一般公共服务</c:v>
                </c:pt>
                <c:pt idx="1">
                  <c:v>社会保障和就业</c:v>
                </c:pt>
                <c:pt idx="2">
                  <c:v>卫生健康</c:v>
                </c:pt>
                <c:pt idx="3">
                  <c:v>住房保障</c:v>
                </c:pt>
              </c:strCache>
            </c:strRef>
          </c:cat>
          <c:val>
            <c:numRef>
              <c:f>[01b041a91]Sheet1!$C$4:$F$4</c:f>
              <c:numCache>
                <c:formatCode>General</c:formatCode>
                <c:ptCount val="4"/>
                <c:pt idx="0">
                  <c:v>56.8</c:v>
                </c:pt>
                <c:pt idx="1">
                  <c:v>71.4</c:v>
                </c:pt>
                <c:pt idx="2">
                  <c:v>67.3</c:v>
                </c:pt>
                <c:pt idx="3">
                  <c:v>86.3</c:v>
                </c:pt>
              </c:numCache>
            </c:numRef>
          </c:val>
        </c:ser>
        <c:ser>
          <c:idx val="2"/>
          <c:order val="2"/>
          <c:tx>
            <c:strRef>
              <c:f>'[图表 在 2021年决算公开301（修改）.doc]Sheet1'!$B$5</c:f>
              <c:strCache>
                <c:ptCount val="1"/>
                <c:pt idx="0">
                  <c:v>北美区</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Pt>
            <c:idx val="1"/>
            <c:bubble3D val="0"/>
            <c:explosion val="0"/>
            <c:spPr>
              <a:solidFill>
                <a:srgbClr val="A5A5A5">
                  <a:alpha val="100000"/>
                </a:srgbClr>
              </a:solidFill>
              <a:ln w="3175">
                <a:noFill/>
              </a:ln>
            </c:spPr>
          </c:dPt>
          <c:dPt>
            <c:idx val="2"/>
            <c:bubble3D val="0"/>
            <c:explosion val="0"/>
            <c:spPr>
              <a:solidFill>
                <a:srgbClr val="A5A5A5">
                  <a:alpha val="100000"/>
                </a:srgbClr>
              </a:solidFill>
              <a:ln w="3175">
                <a:noFill/>
              </a:ln>
            </c:spPr>
          </c:dPt>
          <c:dPt>
            <c:idx val="3"/>
            <c:bubble3D val="0"/>
            <c:explosion val="0"/>
            <c:spPr>
              <a:solidFill>
                <a:srgbClr val="A5A5A5">
                  <a:alpha val="100000"/>
                </a:srgbClr>
              </a:solidFill>
              <a:ln w="3175">
                <a:noFill/>
              </a:ln>
            </c:spPr>
          </c:dPt>
          <c:dLbls>
            <c:delete val="1"/>
          </c:dLbls>
          <c:cat>
            <c:strRef>
              <c:f>[01b041a91]Sheet1!$C$2:$F$2</c:f>
              <c:strCache>
                <c:ptCount val="4"/>
                <c:pt idx="0">
                  <c:v>一般公共服务</c:v>
                </c:pt>
                <c:pt idx="1">
                  <c:v>社会保障和就业</c:v>
                </c:pt>
                <c:pt idx="2">
                  <c:v>卫生健康</c:v>
                </c:pt>
                <c:pt idx="3">
                  <c:v>住房保障</c:v>
                </c:pt>
              </c:strCache>
            </c:strRef>
          </c:cat>
          <c:val>
            <c:numRef>
              <c:f>[01b041a91]Sheet1!$C$5:$F$5</c:f>
              <c:numCache>
                <c:formatCode>General</c:formatCode>
                <c:ptCount val="4"/>
                <c:pt idx="0">
                  <c:v>91.2</c:v>
                </c:pt>
                <c:pt idx="1">
                  <c:v>89.8</c:v>
                </c:pt>
                <c:pt idx="2">
                  <c:v>88.6</c:v>
                </c:pt>
                <c:pt idx="3">
                  <c:v>76.7</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b"/>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三公</a:t>
            </a:r>
            <a:r>
              <a:rPr lang="en-US" altLang="zh-CN" sz="14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r>
              <a:rPr altLang="en-US" sz="1400" b="0" i="0" u="none" strike="noStrike" baseline="0">
                <a:solidFill>
                  <a:srgbClr val="333333"/>
                </a:solidFill>
                <a:latin typeface="宋体" panose="02010600030101010101" charset="-122"/>
                <a:ea typeface="宋体" panose="02010600030101010101" charset="-122"/>
                <a:cs typeface="宋体" panose="02010600030101010101" charset="-122"/>
              </a:rPr>
              <a:t>经费财政拨款支出结构</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87418300653595"/>
          <c:y val="0.03125"/>
        </c:manualLayout>
      </c:layout>
      <c:overlay val="0"/>
    </c:title>
    <c:autoTitleDeleted val="0"/>
    <c:plotArea>
      <c:layout/>
      <c:pieChart>
        <c:varyColors val="1"/>
        <c:ser>
          <c:idx val="0"/>
          <c:order val="0"/>
          <c:tx>
            <c:strRef>
              <c:f>'[图表 在 2021年决算公开301（修改）.doc1]Sheet1'!$B$3</c:f>
              <c:strCache>
                <c:ptCount val="1"/>
                <c:pt idx="0">
                  <c:v>亚洲区</c:v>
                </c:pt>
              </c:strCache>
            </c:strRef>
          </c:tx>
          <c:spPr>
            <a:solidFill>
              <a:srgbClr val="5B9BD5">
                <a:alpha val="100000"/>
              </a:srgbClr>
            </a:solidFill>
            <a:ln w="3175">
              <a:solidFill>
                <a:schemeClr val="bg1"/>
              </a:solidFill>
            </a:ln>
          </c:spPr>
          <c:explosion val="0"/>
          <c:dPt>
            <c:idx val="0"/>
            <c:bubble3D val="0"/>
            <c:explosion val="0"/>
            <c:spPr>
              <a:solidFill>
                <a:srgbClr val="5B9BD5">
                  <a:alpha val="100000"/>
                </a:srgbClr>
              </a:solidFill>
              <a:ln w="3175">
                <a:solidFill>
                  <a:schemeClr val="bg1"/>
                </a:solidFill>
              </a:ln>
            </c:spPr>
          </c:dPt>
          <c:dPt>
            <c:idx val="1"/>
            <c:bubble3D val="0"/>
            <c:explosion val="0"/>
            <c:spPr>
              <a:solidFill>
                <a:srgbClr val="5B9BD5">
                  <a:alpha val="100000"/>
                </a:srgbClr>
              </a:solidFill>
              <a:ln w="3175">
                <a:solidFill>
                  <a:schemeClr val="bg1"/>
                </a:solidFill>
              </a:ln>
            </c:spPr>
          </c:dPt>
          <c:dPt>
            <c:idx val="2"/>
            <c:bubble3D val="0"/>
            <c:explosion val="0"/>
            <c:spPr>
              <a:solidFill>
                <a:srgbClr val="C00000"/>
              </a:solidFill>
              <a:ln w="3175">
                <a:solidFill>
                  <a:schemeClr val="bg1"/>
                </a:solidFill>
              </a:ln>
            </c:spPr>
          </c:dPt>
          <c:dLbls>
            <c:dLbl>
              <c:idx val="0"/>
              <c:layout>
                <c:manualLayout>
                  <c:x val="-0.286765031796909"/>
                  <c:y val="0.58556134259206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sz="1000" b="0" i="0" u="none" strike="noStrike" baseline="0">
                        <a:solidFill>
                          <a:srgbClr val="000000"/>
                        </a:solidFill>
                        <a:latin typeface="宋体" panose="02010600030101010101" charset="-122"/>
                        <a:ea typeface="宋体" panose="02010600030101010101" charset="-122"/>
                        <a:cs typeface="宋体" panose="02010600030101010101" charset="-122"/>
                      </a:rPr>
                      <a:t>0</a:t>
                    </a: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_);[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8634951490298"/>
                  <c:y val="-0.16584559950305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sz="1000" b="0" i="0" u="none" strike="noStrike" baseline="0">
                        <a:solidFill>
                          <a:srgbClr val="000000"/>
                        </a:solidFill>
                        <a:latin typeface="宋体" panose="02010600030101010101" charset="-122"/>
                        <a:ea typeface="宋体" panose="02010600030101010101" charset="-122"/>
                        <a:cs typeface="宋体" panose="02010600030101010101" charset="-122"/>
                      </a:rPr>
                      <a:t>80.07</a:t>
                    </a: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a:t>
                    </a:r>
                    <a:r>
                      <a:rPr sz="1000" b="0" i="0" u="none" strike="noStrike" baseline="0">
                        <a:solidFill>
                          <a:srgbClr val="000000"/>
                        </a:solidFill>
                        <a:latin typeface="宋体" panose="02010600030101010101" charset="-122"/>
                        <a:ea typeface="宋体" panose="02010600030101010101" charset="-122"/>
                        <a:cs typeface="宋体" panose="02010600030101010101" charset="-122"/>
                      </a:rPr>
                      <a:t> </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_);[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44682844409877"/>
                  <c:y val="0.13806782685804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19.93%</a:t>
                    </a:r>
                    <a:r>
                      <a:rPr sz="1000" b="0" i="0" u="none" strike="noStrike" baseline="0">
                        <a:solidFill>
                          <a:srgbClr val="000000"/>
                        </a:solidFill>
                        <a:latin typeface="宋体" panose="02010600030101010101" charset="-122"/>
                        <a:ea typeface="宋体" panose="02010600030101010101" charset="-122"/>
                        <a:cs typeface="宋体" panose="02010600030101010101" charset="-122"/>
                      </a:rPr>
                      <a:t> </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_);[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_);[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[01b2287f1]Sheet1!$C$2:$E$2</c:f>
              <c:strCache>
                <c:ptCount val="3"/>
                <c:pt idx="0">
                  <c:v>因公出国（境）费支出</c:v>
                </c:pt>
                <c:pt idx="1">
                  <c:v>公务用车购置及运行维护费支出</c:v>
                </c:pt>
                <c:pt idx="2">
                  <c:v>公务接待费支出</c:v>
                </c:pt>
              </c:strCache>
            </c:strRef>
          </c:cat>
          <c:val>
            <c:numRef>
              <c:f>[01b2287f1]Sheet1!$C$3:$E$3</c:f>
              <c:numCache>
                <c:formatCode>General</c:formatCode>
                <c:ptCount val="3"/>
                <c:pt idx="0">
                  <c:v>0</c:v>
                </c:pt>
                <c:pt idx="1">
                  <c:v>82.76</c:v>
                </c:pt>
                <c:pt idx="2">
                  <c:v>33.84</c:v>
                </c:pt>
              </c:numCache>
            </c:numRef>
          </c:val>
        </c:ser>
        <c:ser>
          <c:idx val="1"/>
          <c:order val="1"/>
          <c:tx>
            <c:strRef>
              <c:f>'[图表 在 2021年决算公开301（修改）.doc1]Sheet1'!#REF!</c:f>
              <c:strCache>
                <c:ptCount val="1"/>
                <c:pt idx="0">
                  <c:v/>
                </c:pt>
              </c:strCache>
            </c:strRef>
          </c:tx>
          <c:spPr>
            <a:solidFill>
              <a:srgbClr val="ED7D31">
                <a:alpha val="100000"/>
              </a:srgbClr>
            </a:solidFill>
            <a:ln w="3175">
              <a:noFill/>
            </a:ln>
          </c:spPr>
          <c:explosion val="0"/>
          <c:dPt>
            <c:idx val="0"/>
            <c:bubble3D val="0"/>
            <c:explosion val="0"/>
            <c:spPr>
              <a:solidFill>
                <a:srgbClr val="ED7D31">
                  <a:alpha val="100000"/>
                </a:srgbClr>
              </a:solidFill>
              <a:ln w="3175">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[01b2287f1]Sheet1!$C$2:$E$2</c:f>
              <c:strCache>
                <c:ptCount val="3"/>
                <c:pt idx="0">
                  <c:v>因公出国（境）费支出</c:v>
                </c:pt>
                <c:pt idx="1">
                  <c:v>公务用车购置及运行维护费支出</c:v>
                </c:pt>
                <c:pt idx="2">
                  <c:v>公务接待费支出</c:v>
                </c:pt>
              </c:strCache>
            </c:strRef>
          </c:cat>
          <c:val>
            <c:numRef>
              <c:f>[01b2287f1]Sheet1!#REF!</c:f>
              <c:numCache>
                <c:formatCode>General</c:formatCode>
                <c:ptCount val="1"/>
              </c:numCache>
            </c:numRef>
          </c:val>
        </c:ser>
        <c:ser>
          <c:idx val="2"/>
          <c:order val="2"/>
          <c:tx>
            <c:strRef>
              <c:f>'[图表 在 2021年决算公开301（修改）.doc1]Sheet1'!#REF!</c:f>
              <c:strCache>
                <c:ptCount val="1"/>
                <c:pt idx="0">
                  <c:v/>
                </c:pt>
              </c:strCache>
            </c:strRef>
          </c:tx>
          <c:spPr>
            <a:solidFill>
              <a:srgbClr val="A5A5A5">
                <a:alpha val="100000"/>
              </a:srgbClr>
            </a:solidFill>
            <a:ln w="3175">
              <a:noFill/>
            </a:ln>
          </c:spPr>
          <c:explosion val="0"/>
          <c:dPt>
            <c:idx val="0"/>
            <c:bubble3D val="0"/>
            <c:explosion val="0"/>
            <c:spPr>
              <a:solidFill>
                <a:srgbClr val="A5A5A5">
                  <a:alpha val="100000"/>
                </a:srgbClr>
              </a:solidFill>
              <a:ln w="3175">
                <a:noFill/>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[01b2287f1]Sheet1!$C$2:$E$2</c:f>
              <c:strCache>
                <c:ptCount val="3"/>
                <c:pt idx="0">
                  <c:v>因公出国（境）费支出</c:v>
                </c:pt>
                <c:pt idx="1">
                  <c:v>公务用车购置及运行维护费支出</c:v>
                </c:pt>
                <c:pt idx="2">
                  <c:v>公务接待费支出</c:v>
                </c:pt>
              </c:strCache>
            </c:strRef>
          </c:cat>
          <c:val>
            <c:numRef>
              <c:f>[01b2287f1]Sheet1!#REF!</c:f>
              <c:numCache>
                <c:formatCode>General</c:formatCode>
                <c:ptCount val="1"/>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spPr>
        <a:noFill/>
        <a:ln w="3175">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0.380237106226527</cdr:x>
      <cdr:y>0.487128161303751</cdr:y>
    </cdr:from>
    <cdr:to>
      <cdr:x>0.573987106226527</cdr:x>
      <cdr:y>0.653824701902424</cdr:y>
    </cdr:to>
    <cdr:sp>
      <cdr:nvSpPr>
        <cdr:cNvPr id="2" name="矩形 1"/>
        <cdr:cNvSpPr/>
      </cdr:nvSpPr>
      <cdr:spPr xmlns:a="http://schemas.openxmlformats.org/drawingml/2006/main">
        <a:xfrm xmlns:a="http://schemas.openxmlformats.org/drawingml/2006/main">
          <a:off x="1680979" y="1086354"/>
          <a:ext cx="856544" cy="371753"/>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sz="800"/>
            <a:t>56.55%</a:t>
          </a:r>
          <a:endParaRPr lang="en-US" altLang="zh-CN" sz="800"/>
        </a:p>
      </cdr:txBody>
    </cdr:sp>
  </cdr:relSizeAnchor>
  <cdr:relSizeAnchor xmlns:cdr="http://schemas.openxmlformats.org/drawingml/2006/chartDrawing">
    <cdr:from>
      <cdr:x>0.515091634755106</cdr:x>
      <cdr:y>0.422540652026792</cdr:y>
    </cdr:from>
    <cdr:to>
      <cdr:x>0.681785727234948</cdr:x>
      <cdr:y>0.556568946889041</cdr:y>
    </cdr:to>
    <cdr:sp>
      <cdr:nvSpPr>
        <cdr:cNvPr id="3" name="矩形 2"/>
        <cdr:cNvSpPr/>
      </cdr:nvSpPr>
      <cdr:spPr xmlns:a="http://schemas.openxmlformats.org/drawingml/2006/main">
        <a:xfrm xmlns:a="http://schemas.openxmlformats.org/drawingml/2006/main">
          <a:off x="2277153" y="942316"/>
          <a:ext cx="736933" cy="29889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sz="800"/>
            <a:t>43.45%</a:t>
          </a:r>
          <a:endParaRPr lang="en-US" altLang="zh-CN"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93</Pages>
  <Words>36109</Words>
  <Characters>38095</Characters>
  <Lines>61</Lines>
  <Paragraphs>17</Paragraphs>
  <TotalTime>8</TotalTime>
  <ScaleCrop>false</ScaleCrop>
  <LinksUpToDate>false</LinksUpToDate>
  <CharactersWithSpaces>38191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Administrator</cp:lastModifiedBy>
  <cp:lastPrinted>2023-09-21T10:14:00Z</cp:lastPrinted>
  <dcterms:modified xsi:type="dcterms:W3CDTF">2023-09-26T09:50:31Z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B96555CB8C674DF184DAF46E5C57A484</vt:lpwstr>
  </property>
</Properties>
</file>