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9"/>
        <w:rPr>
          <w:rFonts w:ascii="方正小标宋简体" w:hAnsi="宋体" w:eastAsia="方正小标宋简体"/>
          <w:color w:val="auto"/>
          <w:sz w:val="72"/>
          <w:szCs w:val="72"/>
          <w:highlight w:val="none"/>
        </w:rPr>
      </w:pPr>
      <w:bookmarkStart w:id="0" w:name="_Toc15396475"/>
      <w:bookmarkStart w:id="1" w:name="_Toc15396597"/>
      <w:bookmarkStart w:id="2" w:name="_Toc15377193"/>
      <w:bookmarkStart w:id="3" w:name="_Toc15378441"/>
      <w:bookmarkStart w:id="4" w:name="_Toc15377425"/>
      <w:bookmarkStart w:id="5" w:name="_Toc15306267"/>
    </w:p>
    <w:p>
      <w:pPr>
        <w:spacing w:line="600" w:lineRule="exact"/>
        <w:jc w:val="center"/>
        <w:outlineLvl w:val="9"/>
        <w:rPr>
          <w:rFonts w:ascii="方正小标宋简体" w:hAnsi="宋体" w:eastAsia="方正小标宋简体"/>
          <w:color w:val="auto"/>
          <w:sz w:val="72"/>
          <w:szCs w:val="72"/>
          <w:highlight w:val="none"/>
        </w:rPr>
      </w:pPr>
    </w:p>
    <w:p>
      <w:pPr>
        <w:spacing w:line="600" w:lineRule="exact"/>
        <w:jc w:val="center"/>
        <w:outlineLvl w:val="9"/>
        <w:rPr>
          <w:rFonts w:ascii="方正小标宋简体" w:hAnsi="宋体" w:eastAsia="方正小标宋简体"/>
          <w:color w:val="auto"/>
          <w:sz w:val="72"/>
          <w:szCs w:val="72"/>
          <w:highlight w:val="none"/>
        </w:rPr>
      </w:pPr>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6" w:name="_Toc27064"/>
      <w:r>
        <w:rPr>
          <w:rFonts w:hint="eastAsia" w:ascii="方正小标宋简体" w:hAnsi="方正小标宋简体" w:eastAsia="方正小标宋简体" w:cs="方正小标宋简体"/>
          <w:color w:val="auto"/>
          <w:sz w:val="72"/>
          <w:szCs w:val="72"/>
          <w:highlight w:val="none"/>
        </w:rPr>
        <w:t>20</w:t>
      </w:r>
      <w:r>
        <w:rPr>
          <w:rFonts w:hint="eastAsia" w:ascii="方正小标宋简体" w:hAnsi="方正小标宋简体" w:eastAsia="方正小标宋简体" w:cs="方正小标宋简体"/>
          <w:color w:val="auto"/>
          <w:sz w:val="72"/>
          <w:szCs w:val="72"/>
          <w:highlight w:val="none"/>
          <w:lang w:val="en-US" w:eastAsia="zh-CN"/>
        </w:rPr>
        <w:t>22</w:t>
      </w:r>
      <w:r>
        <w:rPr>
          <w:rFonts w:hint="eastAsia" w:ascii="方正小标宋简体" w:hAnsi="方正小标宋简体" w:eastAsia="方正小标宋简体" w:cs="方正小标宋简体"/>
          <w:color w:val="auto"/>
          <w:sz w:val="72"/>
          <w:szCs w:val="72"/>
          <w:highlight w:val="none"/>
        </w:rPr>
        <w:t>年度</w:t>
      </w:r>
      <w:bookmarkEnd w:id="0"/>
      <w:bookmarkEnd w:id="1"/>
      <w:bookmarkEnd w:id="2"/>
      <w:bookmarkEnd w:id="3"/>
      <w:bookmarkEnd w:id="4"/>
      <w:bookmarkEnd w:id="6"/>
    </w:p>
    <w:p>
      <w:pPr>
        <w:adjustRightInd w:val="0"/>
        <w:snapToGrid w:val="0"/>
        <w:spacing w:line="360" w:lineRule="auto"/>
        <w:jc w:val="center"/>
        <w:outlineLvl w:val="0"/>
        <w:rPr>
          <w:rFonts w:hint="eastAsia" w:ascii="方正小标宋简体" w:hAnsi="方正小标宋简体" w:eastAsia="方正小标宋简体" w:cs="方正小标宋简体"/>
          <w:color w:val="auto"/>
          <w:sz w:val="72"/>
          <w:szCs w:val="72"/>
          <w:highlight w:val="none"/>
        </w:rPr>
      </w:pPr>
      <w:bookmarkStart w:id="7" w:name="_Toc15378442"/>
      <w:bookmarkStart w:id="8" w:name="_Toc15377194"/>
      <w:bookmarkStart w:id="9" w:name="_Toc28658"/>
      <w:bookmarkStart w:id="10" w:name="_Toc15396476"/>
      <w:bookmarkStart w:id="11" w:name="_Toc15396598"/>
      <w:bookmarkStart w:id="12" w:name="_Toc15377426"/>
      <w:r>
        <w:rPr>
          <w:rFonts w:hint="eastAsia" w:ascii="方正小标宋简体" w:hAnsi="方正小标宋简体" w:eastAsia="方正小标宋简体" w:cs="方正小标宋简体"/>
          <w:color w:val="auto"/>
          <w:sz w:val="72"/>
          <w:szCs w:val="72"/>
          <w:highlight w:val="none"/>
          <w:lang w:eastAsia="zh-CN"/>
        </w:rPr>
        <w:t>广元市</w:t>
      </w:r>
      <w:bookmarkEnd w:id="5"/>
      <w:bookmarkStart w:id="13" w:name="_Toc15306268"/>
      <w:r>
        <w:rPr>
          <w:rFonts w:hint="eastAsia" w:ascii="方正小标宋简体" w:hAnsi="方正小标宋简体" w:eastAsia="方正小标宋简体" w:cs="方正小标宋简体"/>
          <w:color w:val="auto"/>
          <w:sz w:val="72"/>
          <w:szCs w:val="72"/>
          <w:highlight w:val="none"/>
          <w:lang w:eastAsia="zh-CN"/>
        </w:rPr>
        <w:t>财政局</w:t>
      </w:r>
      <w:r>
        <w:rPr>
          <w:rFonts w:hint="eastAsia" w:ascii="方正小标宋简体" w:hAnsi="方正小标宋简体" w:eastAsia="方正小标宋简体" w:cs="方正小标宋简体"/>
          <w:color w:val="auto"/>
          <w:sz w:val="72"/>
          <w:szCs w:val="72"/>
          <w:highlight w:val="none"/>
        </w:rPr>
        <w:t>部门决算</w:t>
      </w:r>
      <w:bookmarkEnd w:id="7"/>
      <w:bookmarkEnd w:id="8"/>
      <w:bookmarkEnd w:id="9"/>
      <w:bookmarkEnd w:id="10"/>
      <w:bookmarkEnd w:id="11"/>
      <w:bookmarkEnd w:id="12"/>
      <w:bookmarkEnd w:id="13"/>
    </w:p>
    <w:p>
      <w:pPr>
        <w:widowControl/>
        <w:jc w:val="center"/>
        <w:rPr>
          <w:rFonts w:ascii="黑体" w:hAnsi="黑体" w:eastAsia="黑体" w:cstheme="minorBidi"/>
          <w:color w:val="auto"/>
          <w:sz w:val="28"/>
          <w:szCs w:val="28"/>
          <w:highlight w:val="none"/>
        </w:rPr>
      </w:pPr>
      <w:r>
        <w:rPr>
          <w:rFonts w:ascii="方正小标宋简体" w:hAnsi="宋体" w:eastAsia="方正小标宋简体"/>
          <w:color w:val="auto"/>
          <w:sz w:val="36"/>
          <w:szCs w:val="36"/>
          <w:highlight w:val="none"/>
        </w:rPr>
        <w:br w:type="page"/>
      </w:r>
      <w:r>
        <w:rPr>
          <w:rFonts w:hint="eastAsia" w:ascii="黑体" w:hAnsi="黑体" w:eastAsia="黑体"/>
          <w:color w:val="auto"/>
          <w:spacing w:val="480"/>
          <w:kern w:val="0"/>
          <w:sz w:val="48"/>
          <w:szCs w:val="48"/>
          <w:highlight w:val="none"/>
          <w:fitText w:val="1920" w:id="965425868"/>
        </w:rPr>
        <w:t>目</w:t>
      </w:r>
      <w:r>
        <w:rPr>
          <w:rFonts w:hint="eastAsia" w:ascii="黑体" w:hAnsi="黑体" w:eastAsia="黑体"/>
          <w:color w:val="auto"/>
          <w:spacing w:val="0"/>
          <w:kern w:val="0"/>
          <w:sz w:val="48"/>
          <w:szCs w:val="48"/>
          <w:highlight w:val="none"/>
          <w:fitText w:val="1920" w:id="965425868"/>
        </w:rPr>
        <w:t>录</w:t>
      </w:r>
    </w:p>
    <w:p>
      <w:pPr>
        <w:pStyle w:val="12"/>
        <w:rPr>
          <w:color w:val="auto"/>
          <w:highlight w:val="none"/>
        </w:rPr>
      </w:pPr>
      <w:r>
        <w:rPr>
          <w:rFonts w:hint="eastAsia"/>
          <w:color w:val="auto"/>
          <w:highlight w:val="none"/>
        </w:rPr>
        <w:t>公开时间：20</w:t>
      </w:r>
      <w:r>
        <w:rPr>
          <w:rFonts w:hint="eastAsia"/>
          <w:color w:val="auto"/>
          <w:highlight w:val="none"/>
          <w:lang w:val="en-US" w:eastAsia="zh-CN"/>
        </w:rPr>
        <w:t>23</w:t>
      </w:r>
      <w:r>
        <w:rPr>
          <w:rFonts w:hint="eastAsia"/>
          <w:color w:val="auto"/>
          <w:highlight w:val="none"/>
        </w:rPr>
        <w:t>年</w:t>
      </w:r>
      <w:r>
        <w:rPr>
          <w:rFonts w:hint="eastAsia"/>
          <w:color w:val="auto"/>
          <w:highlight w:val="none"/>
          <w:lang w:val="en-US" w:eastAsia="zh-CN"/>
        </w:rPr>
        <w:t>10</w:t>
      </w:r>
      <w:r>
        <w:rPr>
          <w:rFonts w:hint="eastAsia"/>
          <w:color w:val="auto"/>
          <w:highlight w:val="none"/>
        </w:rPr>
        <w:t>月</w:t>
      </w:r>
      <w:r>
        <w:rPr>
          <w:rFonts w:hint="eastAsia"/>
          <w:color w:val="auto"/>
          <w:highlight w:val="none"/>
          <w:lang w:val="en-US" w:eastAsia="zh-CN"/>
        </w:rPr>
        <w:t>7</w:t>
      </w:r>
      <w:r>
        <w:rPr>
          <w:rFonts w:hint="eastAsia"/>
          <w:color w:val="auto"/>
          <w:highlight w:val="none"/>
        </w:rPr>
        <w:t>日</w:t>
      </w:r>
    </w:p>
    <w:sdt>
      <w:sdtPr>
        <w:rPr>
          <w:rFonts w:ascii="宋体" w:hAnsi="宋体" w:eastAsia="宋体" w:cs="Times New Roman"/>
          <w:kern w:val="2"/>
          <w:sz w:val="21"/>
          <w:szCs w:val="24"/>
          <w:lang w:val="en-US" w:eastAsia="zh-CN" w:bidi="ar-SA"/>
        </w:rPr>
        <w:id w:val="147481840"/>
        <w15:color w:val="DBDBDB"/>
        <w:docPartObj>
          <w:docPartGallery w:val="Table of Contents"/>
          <w:docPartUnique/>
        </w:docPartObj>
      </w:sdtPr>
      <w:sdtEndPr>
        <w:rPr>
          <w:rFonts w:ascii="Times New Roman" w:hAnsi="Times New Roman" w:eastAsia="宋体" w:cs="Times New Roman"/>
          <w:b/>
          <w:color w:val="auto"/>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pP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ind w:left="0" w:leftChars="0" w:firstLine="0" w:firstLineChars="0"/>
            <w:textAlignment w:val="auto"/>
            <w:rPr>
              <w:b/>
            </w:rPr>
          </w:pPr>
          <w:r>
            <w:rPr>
              <w:color w:val="auto"/>
              <w:highlight w:val="none"/>
            </w:rPr>
            <w:fldChar w:fldCharType="begin"/>
          </w:r>
          <w:r>
            <w:rPr>
              <w:color w:val="auto"/>
              <w:highlight w:val="none"/>
            </w:rPr>
            <w:instrText xml:space="preserve">TOC \o "1-2" \h \u </w:instrText>
          </w:r>
          <w:r>
            <w:rPr>
              <w:color w:val="auto"/>
              <w:highlight w:val="none"/>
            </w:rPr>
            <w:fldChar w:fldCharType="separate"/>
          </w:r>
          <w:r>
            <w:rPr>
              <w:b/>
              <w:color w:val="auto"/>
              <w:highlight w:val="none"/>
            </w:rPr>
            <w:fldChar w:fldCharType="begin"/>
          </w:r>
          <w:r>
            <w:rPr>
              <w:b/>
              <w:highlight w:val="none"/>
            </w:rPr>
            <w:instrText xml:space="preserve"> HYPERLINK \l _Toc3320 </w:instrText>
          </w:r>
          <w:r>
            <w:rPr>
              <w:b/>
              <w:highlight w:val="none"/>
            </w:rPr>
            <w:fldChar w:fldCharType="separate"/>
          </w:r>
          <w:r>
            <w:rPr>
              <w:rFonts w:hint="eastAsia" w:ascii="黑体" w:hAnsi="黑体" w:eastAsia="黑体"/>
              <w:b/>
              <w:highlight w:val="none"/>
            </w:rPr>
            <w:t>第一部分</w:t>
          </w:r>
          <w:r>
            <w:rPr>
              <w:rFonts w:hint="eastAsia" w:ascii="黑体" w:hAnsi="黑体" w:eastAsia="黑体"/>
              <w:b/>
              <w:bCs w:val="0"/>
              <w:highlight w:val="none"/>
            </w:rPr>
            <w:t>部门概况</w:t>
          </w:r>
          <w:r>
            <w:rPr>
              <w:b/>
            </w:rPr>
            <w:tab/>
          </w:r>
          <w:r>
            <w:rPr>
              <w:b/>
            </w:rPr>
            <w:fldChar w:fldCharType="begin"/>
          </w:r>
          <w:r>
            <w:rPr>
              <w:b/>
            </w:rPr>
            <w:instrText xml:space="preserve"> PAGEREF _Toc3320 \h </w:instrText>
          </w:r>
          <w:r>
            <w:rPr>
              <w:b/>
            </w:rPr>
            <w:fldChar w:fldCharType="separate"/>
          </w:r>
          <w:r>
            <w:rPr>
              <w:b/>
            </w:rPr>
            <w:t>1</w:t>
          </w:r>
          <w:r>
            <w:rPr>
              <w:b/>
            </w:rPr>
            <w:fldChar w:fldCharType="end"/>
          </w:r>
          <w:r>
            <w:rPr>
              <w:b/>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_Toc17036 </w:instrText>
          </w:r>
          <w:r>
            <w:rPr>
              <w:highlight w:val="none"/>
            </w:rPr>
            <w:fldChar w:fldCharType="separate"/>
          </w:r>
          <w:r>
            <w:rPr>
              <w:rFonts w:hint="eastAsia" w:ascii="黑体" w:hAnsi="黑体" w:eastAsia="黑体"/>
              <w:highlight w:val="none"/>
              <w:lang w:eastAsia="zh-CN"/>
            </w:rPr>
            <w:t>一、部门职责</w:t>
          </w:r>
          <w:r>
            <w:tab/>
          </w:r>
          <w:r>
            <w:fldChar w:fldCharType="begin"/>
          </w:r>
          <w:r>
            <w:instrText xml:space="preserve"> PAGEREF _Toc17036 \h </w:instrText>
          </w:r>
          <w:r>
            <w:fldChar w:fldCharType="separate"/>
          </w:r>
          <w:r>
            <w:t>1</w:t>
          </w:r>
          <w:r>
            <w:fldChar w:fldCharType="end"/>
          </w:r>
          <w:r>
            <w:rPr>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_Toc23275 </w:instrText>
          </w:r>
          <w:r>
            <w:rPr>
              <w:highlight w:val="none"/>
            </w:rPr>
            <w:fldChar w:fldCharType="separate"/>
          </w:r>
          <w:r>
            <w:rPr>
              <w:rFonts w:hint="eastAsia" w:ascii="黑体" w:eastAsia="黑体"/>
              <w:highlight w:val="none"/>
            </w:rPr>
            <w:t>二、</w:t>
          </w:r>
          <w:r>
            <w:rPr>
              <w:rFonts w:hint="eastAsia" w:ascii="黑体" w:hAnsi="黑体" w:eastAsia="黑体"/>
              <w:highlight w:val="none"/>
            </w:rPr>
            <w:t>机</w:t>
          </w:r>
          <w:r>
            <w:rPr>
              <w:rFonts w:hint="eastAsia" w:ascii="黑体" w:hAnsi="黑体" w:eastAsia="黑体"/>
              <w:bCs w:val="0"/>
              <w:highlight w:val="none"/>
            </w:rPr>
            <w:t>构设置</w:t>
          </w:r>
          <w:r>
            <w:tab/>
          </w:r>
          <w:r>
            <w:fldChar w:fldCharType="begin"/>
          </w:r>
          <w:r>
            <w:instrText xml:space="preserve"> PAGEREF _Toc23275 \h </w:instrText>
          </w:r>
          <w:r>
            <w:fldChar w:fldCharType="separate"/>
          </w:r>
          <w:r>
            <w:t>2</w:t>
          </w:r>
          <w:r>
            <w:fldChar w:fldCharType="end"/>
          </w:r>
          <w:r>
            <w:rPr>
              <w:color w:val="auto"/>
              <w:highlight w:val="none"/>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b/>
            </w:rPr>
          </w:pPr>
          <w:r>
            <w:rPr>
              <w:b/>
              <w:color w:val="auto"/>
              <w:highlight w:val="none"/>
            </w:rPr>
            <w:fldChar w:fldCharType="begin"/>
          </w:r>
          <w:r>
            <w:rPr>
              <w:b/>
              <w:highlight w:val="none"/>
            </w:rPr>
            <w:instrText xml:space="preserve"> HYPERLINK \l _Toc20780 </w:instrText>
          </w:r>
          <w:r>
            <w:rPr>
              <w:b/>
              <w:highlight w:val="none"/>
            </w:rPr>
            <w:fldChar w:fldCharType="separate"/>
          </w:r>
          <w:r>
            <w:rPr>
              <w:rFonts w:hint="eastAsia" w:ascii="黑体" w:hAnsi="黑体" w:eastAsia="黑体"/>
              <w:b/>
              <w:bCs/>
              <w:highlight w:val="none"/>
            </w:rPr>
            <w:t>第二部分</w:t>
          </w:r>
          <w:r>
            <w:rPr>
              <w:rFonts w:hint="eastAsia" w:ascii="黑体" w:hAnsi="黑体" w:eastAsia="黑体"/>
              <w:b/>
              <w:bCs/>
              <w:highlight w:val="none"/>
              <w:lang w:val="en-US" w:eastAsia="zh-CN"/>
            </w:rPr>
            <w:t>2022年度</w:t>
          </w:r>
          <w:r>
            <w:rPr>
              <w:rFonts w:hint="eastAsia" w:ascii="黑体" w:hAnsi="黑体" w:eastAsia="黑体"/>
              <w:b/>
              <w:bCs/>
              <w:highlight w:val="none"/>
            </w:rPr>
            <w:t>部门决算情况说明</w:t>
          </w:r>
          <w:r>
            <w:rPr>
              <w:b/>
            </w:rPr>
            <w:tab/>
          </w:r>
          <w:r>
            <w:rPr>
              <w:b/>
            </w:rPr>
            <w:fldChar w:fldCharType="begin"/>
          </w:r>
          <w:r>
            <w:rPr>
              <w:b/>
            </w:rPr>
            <w:instrText xml:space="preserve"> PAGEREF _Toc20780 \h </w:instrText>
          </w:r>
          <w:r>
            <w:rPr>
              <w:b/>
            </w:rPr>
            <w:fldChar w:fldCharType="separate"/>
          </w:r>
          <w:r>
            <w:rPr>
              <w:b/>
            </w:rPr>
            <w:t>4</w:t>
          </w:r>
          <w:r>
            <w:rPr>
              <w:b/>
            </w:rPr>
            <w:fldChar w:fldCharType="end"/>
          </w:r>
          <w:r>
            <w:rPr>
              <w:b/>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_Toc12348 </w:instrText>
          </w:r>
          <w:r>
            <w:rPr>
              <w:highlight w:val="none"/>
            </w:rPr>
            <w:fldChar w:fldCharType="separate"/>
          </w:r>
          <w:r>
            <w:rPr>
              <w:rFonts w:hint="default" w:ascii="黑体" w:hAnsi="黑体" w:eastAsia="黑体"/>
            </w:rPr>
            <w:t>一、</w:t>
          </w:r>
          <w:r>
            <w:rPr>
              <w:rFonts w:hint="eastAsia" w:ascii="黑体" w:hAnsi="黑体" w:eastAsia="黑体"/>
              <w:szCs w:val="32"/>
              <w:highlight w:val="none"/>
            </w:rPr>
            <w:t>收</w:t>
          </w:r>
          <w:r>
            <w:rPr>
              <w:rFonts w:hint="eastAsia" w:ascii="黑体" w:hAnsi="黑体" w:eastAsia="黑体"/>
              <w:highlight w:val="none"/>
            </w:rPr>
            <w:t>入支出决算总体情况说明</w:t>
          </w:r>
          <w:r>
            <w:tab/>
          </w:r>
          <w:r>
            <w:fldChar w:fldCharType="begin"/>
          </w:r>
          <w:r>
            <w:instrText xml:space="preserve"> PAGEREF _Toc12348 \h </w:instrText>
          </w:r>
          <w:r>
            <w:fldChar w:fldCharType="separate"/>
          </w:r>
          <w:r>
            <w:t>4</w:t>
          </w:r>
          <w:r>
            <w:fldChar w:fldCharType="end"/>
          </w:r>
          <w:r>
            <w:rPr>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_Toc3526 </w:instrText>
          </w:r>
          <w:r>
            <w:rPr>
              <w:highlight w:val="none"/>
            </w:rPr>
            <w:fldChar w:fldCharType="separate"/>
          </w:r>
          <w:r>
            <w:rPr>
              <w:rFonts w:hint="default" w:ascii="黑体" w:hAnsi="黑体" w:eastAsia="黑体"/>
            </w:rPr>
            <w:t>二、</w:t>
          </w:r>
          <w:r>
            <w:rPr>
              <w:rFonts w:hint="eastAsia" w:ascii="黑体" w:hAnsi="黑体" w:eastAsia="黑体"/>
              <w:szCs w:val="32"/>
              <w:highlight w:val="none"/>
            </w:rPr>
            <w:t>收</w:t>
          </w:r>
          <w:r>
            <w:rPr>
              <w:rFonts w:hint="eastAsia" w:ascii="黑体" w:hAnsi="黑体" w:eastAsia="黑体"/>
              <w:highlight w:val="none"/>
            </w:rPr>
            <w:t>入决算情况说明</w:t>
          </w:r>
          <w:r>
            <w:tab/>
          </w:r>
          <w:r>
            <w:fldChar w:fldCharType="begin"/>
          </w:r>
          <w:r>
            <w:instrText xml:space="preserve"> PAGEREF _Toc3526 \h </w:instrText>
          </w:r>
          <w:r>
            <w:fldChar w:fldCharType="separate"/>
          </w:r>
          <w:r>
            <w:t>4</w:t>
          </w:r>
          <w:r>
            <w:fldChar w:fldCharType="end"/>
          </w:r>
          <w:r>
            <w:rPr>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_Toc13401 </w:instrText>
          </w:r>
          <w:r>
            <w:rPr>
              <w:highlight w:val="none"/>
            </w:rPr>
            <w:fldChar w:fldCharType="separate"/>
          </w:r>
          <w:r>
            <w:rPr>
              <w:rFonts w:hint="default" w:ascii="黑体" w:hAnsi="黑体" w:eastAsia="黑体"/>
            </w:rPr>
            <w:t>三、</w:t>
          </w:r>
          <w:r>
            <w:rPr>
              <w:rFonts w:hint="eastAsia" w:ascii="黑体" w:hAnsi="黑体" w:eastAsia="黑体"/>
              <w:szCs w:val="32"/>
              <w:highlight w:val="none"/>
            </w:rPr>
            <w:t>支</w:t>
          </w:r>
          <w:r>
            <w:rPr>
              <w:rFonts w:hint="eastAsia" w:ascii="黑体" w:hAnsi="黑体" w:eastAsia="黑体"/>
              <w:highlight w:val="none"/>
            </w:rPr>
            <w:t>出决算情况说明</w:t>
          </w:r>
          <w:r>
            <w:tab/>
          </w:r>
          <w:r>
            <w:fldChar w:fldCharType="begin"/>
          </w:r>
          <w:r>
            <w:instrText xml:space="preserve"> PAGEREF _Toc13401 \h </w:instrText>
          </w:r>
          <w:r>
            <w:fldChar w:fldCharType="separate"/>
          </w:r>
          <w:r>
            <w:t>5</w:t>
          </w:r>
          <w:r>
            <w:fldChar w:fldCharType="end"/>
          </w:r>
          <w:r>
            <w:rPr>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_Toc26273 </w:instrText>
          </w:r>
          <w:r>
            <w:rPr>
              <w:highlight w:val="none"/>
            </w:rPr>
            <w:fldChar w:fldCharType="separate"/>
          </w:r>
          <w:r>
            <w:rPr>
              <w:rFonts w:hint="eastAsia" w:ascii="黑体" w:hAnsi="黑体" w:eastAsia="黑体"/>
              <w:szCs w:val="32"/>
              <w:highlight w:val="none"/>
            </w:rPr>
            <w:t>四、财</w:t>
          </w:r>
          <w:r>
            <w:rPr>
              <w:rFonts w:hint="eastAsia" w:ascii="黑体" w:hAnsi="黑体" w:eastAsia="黑体"/>
              <w:highlight w:val="none"/>
            </w:rPr>
            <w:t>政拨款收入支出决算总体情况说明</w:t>
          </w:r>
          <w:r>
            <w:tab/>
          </w:r>
          <w:r>
            <w:fldChar w:fldCharType="begin"/>
          </w:r>
          <w:r>
            <w:instrText xml:space="preserve"> PAGEREF _Toc26273 \h </w:instrText>
          </w:r>
          <w:r>
            <w:fldChar w:fldCharType="separate"/>
          </w:r>
          <w:r>
            <w:t>5</w:t>
          </w:r>
          <w:r>
            <w:fldChar w:fldCharType="end"/>
          </w:r>
          <w:r>
            <w:rPr>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_Toc31955 </w:instrText>
          </w:r>
          <w:r>
            <w:rPr>
              <w:highlight w:val="none"/>
            </w:rPr>
            <w:fldChar w:fldCharType="separate"/>
          </w:r>
          <w:r>
            <w:rPr>
              <w:rFonts w:hint="eastAsia" w:ascii="黑体" w:hAnsi="黑体" w:eastAsia="黑体"/>
              <w:szCs w:val="32"/>
              <w:highlight w:val="none"/>
            </w:rPr>
            <w:t>五、一</w:t>
          </w:r>
          <w:r>
            <w:rPr>
              <w:rFonts w:hint="eastAsia" w:ascii="黑体" w:hAnsi="黑体" w:eastAsia="黑体"/>
              <w:highlight w:val="none"/>
            </w:rPr>
            <w:t>般公共预算财政拨款支出决算情况说明</w:t>
          </w:r>
          <w:r>
            <w:tab/>
          </w:r>
          <w:r>
            <w:fldChar w:fldCharType="begin"/>
          </w:r>
          <w:r>
            <w:instrText xml:space="preserve"> PAGEREF _Toc31955 \h </w:instrText>
          </w:r>
          <w:r>
            <w:fldChar w:fldCharType="separate"/>
          </w:r>
          <w:r>
            <w:t>6</w:t>
          </w:r>
          <w:r>
            <w:fldChar w:fldCharType="end"/>
          </w:r>
          <w:r>
            <w:rPr>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_Toc10109 </w:instrText>
          </w:r>
          <w:r>
            <w:rPr>
              <w:highlight w:val="none"/>
            </w:rPr>
            <w:fldChar w:fldCharType="separate"/>
          </w:r>
          <w:r>
            <w:rPr>
              <w:rFonts w:hint="eastAsia" w:ascii="黑体" w:eastAsia="黑体"/>
              <w:szCs w:val="32"/>
              <w:highlight w:val="none"/>
            </w:rPr>
            <w:t>六、</w:t>
          </w:r>
          <w:r>
            <w:rPr>
              <w:rFonts w:hint="eastAsia" w:ascii="黑体" w:hAnsi="黑体" w:eastAsia="黑体"/>
              <w:szCs w:val="32"/>
              <w:highlight w:val="none"/>
            </w:rPr>
            <w:t>一</w:t>
          </w:r>
          <w:r>
            <w:rPr>
              <w:rFonts w:hint="eastAsia" w:ascii="黑体" w:hAnsi="黑体" w:eastAsia="黑体"/>
              <w:highlight w:val="none"/>
            </w:rPr>
            <w:t>般公共预算财政拨款基本支出决算情况说明</w:t>
          </w:r>
          <w:r>
            <w:tab/>
          </w:r>
          <w:r>
            <w:fldChar w:fldCharType="begin"/>
          </w:r>
          <w:r>
            <w:instrText xml:space="preserve"> PAGEREF _Toc10109 \h </w:instrText>
          </w:r>
          <w:r>
            <w:fldChar w:fldCharType="separate"/>
          </w:r>
          <w:r>
            <w:t>9</w:t>
          </w:r>
          <w:r>
            <w:fldChar w:fldCharType="end"/>
          </w:r>
          <w:r>
            <w:rPr>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_Toc17839 </w:instrText>
          </w:r>
          <w:r>
            <w:rPr>
              <w:highlight w:val="none"/>
            </w:rPr>
            <w:fldChar w:fldCharType="separate"/>
          </w:r>
          <w:r>
            <w:rPr>
              <w:rFonts w:hint="eastAsia" w:ascii="黑体" w:eastAsia="黑体"/>
              <w:szCs w:val="32"/>
              <w:highlight w:val="none"/>
            </w:rPr>
            <w:t>七、</w:t>
          </w:r>
          <w:r>
            <w:rPr>
              <w:rFonts w:hint="eastAsia" w:ascii="黑体" w:hAnsi="黑体" w:eastAsia="黑体"/>
              <w:highlight w:val="none"/>
            </w:rPr>
            <w:t>财政拨款“三公”经费支出决算情况说明</w:t>
          </w:r>
          <w:r>
            <w:tab/>
          </w:r>
          <w:r>
            <w:fldChar w:fldCharType="begin"/>
          </w:r>
          <w:r>
            <w:instrText xml:space="preserve"> PAGEREF _Toc17839 \h </w:instrText>
          </w:r>
          <w:r>
            <w:fldChar w:fldCharType="separate"/>
          </w:r>
          <w:r>
            <w:t>10</w:t>
          </w:r>
          <w:r>
            <w:fldChar w:fldCharType="end"/>
          </w:r>
          <w:r>
            <w:rPr>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_Toc3594 </w:instrText>
          </w:r>
          <w:r>
            <w:rPr>
              <w:highlight w:val="none"/>
            </w:rPr>
            <w:fldChar w:fldCharType="separate"/>
          </w:r>
          <w:r>
            <w:rPr>
              <w:rFonts w:hint="eastAsia" w:ascii="黑体" w:eastAsia="黑体"/>
              <w:szCs w:val="32"/>
              <w:highlight w:val="none"/>
            </w:rPr>
            <w:t>八、</w:t>
          </w:r>
          <w:r>
            <w:rPr>
              <w:rFonts w:hint="eastAsia" w:ascii="黑体" w:hAnsi="黑体" w:eastAsia="黑体"/>
              <w:highlight w:val="none"/>
            </w:rPr>
            <w:t>政府性基金预算支出决算情况说明</w:t>
          </w:r>
          <w:r>
            <w:tab/>
          </w:r>
          <w:r>
            <w:fldChar w:fldCharType="begin"/>
          </w:r>
          <w:r>
            <w:instrText xml:space="preserve"> PAGEREF _Toc3594 \h </w:instrText>
          </w:r>
          <w:r>
            <w:fldChar w:fldCharType="separate"/>
          </w:r>
          <w:r>
            <w:t>12</w:t>
          </w:r>
          <w:r>
            <w:fldChar w:fldCharType="end"/>
          </w:r>
          <w:r>
            <w:rPr>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_Toc20579 </w:instrText>
          </w:r>
          <w:r>
            <w:rPr>
              <w:highlight w:val="none"/>
            </w:rPr>
            <w:fldChar w:fldCharType="separate"/>
          </w:r>
          <w:r>
            <w:rPr>
              <w:rFonts w:hint="eastAsia" w:ascii="黑体" w:hAnsi="黑体" w:eastAsia="黑体"/>
            </w:rPr>
            <w:t>九、</w:t>
          </w:r>
          <w:r>
            <w:rPr>
              <w:rFonts w:hint="eastAsia" w:ascii="黑体" w:hAnsi="黑体" w:eastAsia="黑体"/>
              <w:highlight w:val="none"/>
            </w:rPr>
            <w:t>国有资本经营预算支出决算情况说明</w:t>
          </w:r>
          <w:r>
            <w:tab/>
          </w:r>
          <w:r>
            <w:fldChar w:fldCharType="begin"/>
          </w:r>
          <w:r>
            <w:instrText xml:space="preserve"> PAGEREF _Toc20579 \h </w:instrText>
          </w:r>
          <w:r>
            <w:fldChar w:fldCharType="separate"/>
          </w:r>
          <w:r>
            <w:t>12</w:t>
          </w:r>
          <w:r>
            <w:fldChar w:fldCharType="end"/>
          </w:r>
          <w:r>
            <w:rPr>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_Toc6550 </w:instrText>
          </w:r>
          <w:r>
            <w:rPr>
              <w:highlight w:val="none"/>
            </w:rPr>
            <w:fldChar w:fldCharType="separate"/>
          </w:r>
          <w:r>
            <w:rPr>
              <w:rFonts w:hint="eastAsia" w:ascii="黑体" w:hAnsi="黑体" w:eastAsia="黑体"/>
            </w:rPr>
            <w:t>十、</w:t>
          </w:r>
          <w:r>
            <w:rPr>
              <w:rFonts w:hint="eastAsia" w:ascii="黑体" w:hAnsi="黑体" w:eastAsia="黑体"/>
              <w:highlight w:val="none"/>
            </w:rPr>
            <w:t>其他重要事项的情况说明</w:t>
          </w:r>
          <w:r>
            <w:tab/>
          </w:r>
          <w:r>
            <w:fldChar w:fldCharType="begin"/>
          </w:r>
          <w:r>
            <w:instrText xml:space="preserve"> PAGEREF _Toc6550 \h </w:instrText>
          </w:r>
          <w:r>
            <w:fldChar w:fldCharType="separate"/>
          </w:r>
          <w:r>
            <w:t>12</w:t>
          </w:r>
          <w:r>
            <w:fldChar w:fldCharType="end"/>
          </w:r>
          <w:r>
            <w:rPr>
              <w:color w:val="auto"/>
              <w:highlight w:val="none"/>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b/>
            </w:rPr>
          </w:pPr>
          <w:r>
            <w:rPr>
              <w:b/>
              <w:color w:val="auto"/>
              <w:highlight w:val="none"/>
            </w:rPr>
            <w:fldChar w:fldCharType="begin"/>
          </w:r>
          <w:r>
            <w:rPr>
              <w:b/>
              <w:highlight w:val="none"/>
            </w:rPr>
            <w:instrText xml:space="preserve"> HYPERLINK \l _Toc2677 </w:instrText>
          </w:r>
          <w:r>
            <w:rPr>
              <w:b/>
              <w:highlight w:val="none"/>
            </w:rPr>
            <w:fldChar w:fldCharType="separate"/>
          </w:r>
          <w:r>
            <w:rPr>
              <w:rFonts w:hint="eastAsia" w:ascii="黑体" w:hAnsi="黑体" w:eastAsia="黑体"/>
              <w:b/>
            </w:rPr>
            <w:t>第三部分</w:t>
          </w:r>
          <w:r>
            <w:rPr>
              <w:rFonts w:hint="eastAsia" w:ascii="黑体" w:hAnsi="黑体" w:eastAsia="黑体"/>
              <w:b/>
              <w:szCs w:val="44"/>
              <w:highlight w:val="none"/>
            </w:rPr>
            <w:t>名</w:t>
          </w:r>
          <w:r>
            <w:rPr>
              <w:rFonts w:hint="eastAsia" w:ascii="黑体" w:hAnsi="黑体" w:eastAsia="黑体"/>
              <w:b/>
              <w:highlight w:val="none"/>
            </w:rPr>
            <w:t>词解释</w:t>
          </w:r>
          <w:r>
            <w:rPr>
              <w:b/>
            </w:rPr>
            <w:tab/>
          </w:r>
          <w:r>
            <w:rPr>
              <w:b/>
            </w:rPr>
            <w:fldChar w:fldCharType="begin"/>
          </w:r>
          <w:r>
            <w:rPr>
              <w:b/>
            </w:rPr>
            <w:instrText xml:space="preserve"> PAGEREF _Toc2677 \h </w:instrText>
          </w:r>
          <w:r>
            <w:rPr>
              <w:b/>
            </w:rPr>
            <w:fldChar w:fldCharType="separate"/>
          </w:r>
          <w:r>
            <w:rPr>
              <w:b/>
            </w:rPr>
            <w:t>18</w:t>
          </w:r>
          <w:r>
            <w:rPr>
              <w:b/>
            </w:rPr>
            <w:fldChar w:fldCharType="end"/>
          </w:r>
          <w:r>
            <w:rPr>
              <w:b/>
              <w:color w:val="auto"/>
              <w:highlight w:val="none"/>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b/>
            </w:rPr>
          </w:pPr>
          <w:r>
            <w:rPr>
              <w:b/>
              <w:color w:val="auto"/>
              <w:highlight w:val="none"/>
            </w:rPr>
            <w:fldChar w:fldCharType="begin"/>
          </w:r>
          <w:r>
            <w:rPr>
              <w:b/>
              <w:highlight w:val="none"/>
            </w:rPr>
            <w:instrText xml:space="preserve"> HYPERLINK \l _Toc10033 </w:instrText>
          </w:r>
          <w:r>
            <w:rPr>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四部分附件</w:t>
          </w:r>
          <w:r>
            <w:rPr>
              <w:b/>
            </w:rPr>
            <w:tab/>
          </w:r>
          <w:r>
            <w:rPr>
              <w:b/>
            </w:rPr>
            <w:fldChar w:fldCharType="begin"/>
          </w:r>
          <w:r>
            <w:rPr>
              <w:b/>
            </w:rPr>
            <w:instrText xml:space="preserve"> PAGEREF _Toc10033 \h </w:instrText>
          </w:r>
          <w:r>
            <w:rPr>
              <w:b/>
            </w:rPr>
            <w:fldChar w:fldCharType="separate"/>
          </w:r>
          <w:r>
            <w:rPr>
              <w:b/>
            </w:rPr>
            <w:t>21</w:t>
          </w:r>
          <w:r>
            <w:rPr>
              <w:b/>
            </w:rPr>
            <w:fldChar w:fldCharType="end"/>
          </w:r>
          <w:r>
            <w:rPr>
              <w:b/>
              <w:color w:val="auto"/>
              <w:highlight w:val="none"/>
            </w:rPr>
            <w:fldChar w:fldCharType="end"/>
          </w:r>
        </w:p>
        <w:p>
          <w:pPr>
            <w:pStyle w:val="38"/>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b/>
            </w:rPr>
          </w:pPr>
          <w:r>
            <w:rPr>
              <w:b/>
              <w:color w:val="auto"/>
              <w:highlight w:val="none"/>
            </w:rPr>
            <w:fldChar w:fldCharType="begin"/>
          </w:r>
          <w:r>
            <w:rPr>
              <w:b/>
              <w:highlight w:val="none"/>
            </w:rPr>
            <w:instrText xml:space="preserve"> HYPERLINK \l _Toc32755 </w:instrText>
          </w:r>
          <w:r>
            <w:rPr>
              <w:b/>
              <w:highlight w:val="none"/>
            </w:rPr>
            <w:fldChar w:fldCharType="separate"/>
          </w:r>
          <w:r>
            <w:rPr>
              <w:rFonts w:hint="eastAsia" w:ascii="黑体" w:hAnsi="黑体" w:eastAsia="黑体"/>
              <w:b/>
              <w:szCs w:val="44"/>
              <w:highlight w:val="none"/>
            </w:rPr>
            <w:t>第</w:t>
          </w:r>
          <w:r>
            <w:rPr>
              <w:rFonts w:hint="eastAsia" w:ascii="黑体" w:hAnsi="黑体" w:eastAsia="黑体"/>
              <w:b/>
              <w:highlight w:val="none"/>
            </w:rPr>
            <w:t>五部分附表</w:t>
          </w:r>
          <w:r>
            <w:rPr>
              <w:b/>
            </w:rPr>
            <w:tab/>
          </w:r>
          <w:r>
            <w:rPr>
              <w:b/>
            </w:rPr>
            <w:fldChar w:fldCharType="begin"/>
          </w:r>
          <w:r>
            <w:rPr>
              <w:b/>
            </w:rPr>
            <w:instrText xml:space="preserve"> PAGEREF _Toc32755 \h </w:instrText>
          </w:r>
          <w:r>
            <w:rPr>
              <w:b/>
            </w:rPr>
            <w:fldChar w:fldCharType="separate"/>
          </w:r>
          <w:r>
            <w:rPr>
              <w:b/>
            </w:rPr>
            <w:t>86</w:t>
          </w:r>
          <w:r>
            <w:rPr>
              <w:b/>
            </w:rPr>
            <w:fldChar w:fldCharType="end"/>
          </w:r>
          <w:r>
            <w:rPr>
              <w:b/>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_Toc27387 </w:instrText>
          </w:r>
          <w:r>
            <w:rPr>
              <w:highlight w:val="none"/>
            </w:rPr>
            <w:fldChar w:fldCharType="separate"/>
          </w:r>
          <w:r>
            <w:rPr>
              <w:rFonts w:hint="eastAsia" w:ascii="仿宋" w:hAnsi="仿宋" w:eastAsia="仿宋"/>
              <w:highlight w:val="none"/>
            </w:rPr>
            <w:t>一、收</w:t>
          </w:r>
          <w:r>
            <w:rPr>
              <w:rFonts w:hint="eastAsia" w:ascii="仿宋" w:hAnsi="仿宋" w:eastAsia="仿宋"/>
              <w:bCs w:val="0"/>
              <w:highlight w:val="none"/>
            </w:rPr>
            <w:t>入支出决算总表</w:t>
          </w:r>
          <w:r>
            <w:tab/>
          </w:r>
          <w:r>
            <w:fldChar w:fldCharType="begin"/>
          </w:r>
          <w:r>
            <w:instrText xml:space="preserve"> PAGEREF _Toc27387 \h </w:instrText>
          </w:r>
          <w:r>
            <w:fldChar w:fldCharType="separate"/>
          </w:r>
          <w:r>
            <w:t>86</w:t>
          </w:r>
          <w:r>
            <w:fldChar w:fldCharType="end"/>
          </w:r>
          <w:r>
            <w:rPr>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_Toc4554 </w:instrText>
          </w:r>
          <w:r>
            <w:rPr>
              <w:highlight w:val="none"/>
            </w:rPr>
            <w:fldChar w:fldCharType="separate"/>
          </w:r>
          <w:r>
            <w:rPr>
              <w:rFonts w:hint="eastAsia" w:ascii="仿宋" w:hAnsi="仿宋" w:eastAsia="仿宋"/>
              <w:highlight w:val="none"/>
            </w:rPr>
            <w:t>二、收</w:t>
          </w:r>
          <w:r>
            <w:rPr>
              <w:rFonts w:hint="eastAsia" w:ascii="仿宋" w:hAnsi="仿宋" w:eastAsia="仿宋"/>
              <w:bCs w:val="0"/>
              <w:highlight w:val="none"/>
            </w:rPr>
            <w:t>入决算表</w:t>
          </w:r>
          <w:r>
            <w:tab/>
          </w:r>
          <w:r>
            <w:fldChar w:fldCharType="begin"/>
          </w:r>
          <w:r>
            <w:instrText xml:space="preserve"> PAGEREF _Toc4554 \h </w:instrText>
          </w:r>
          <w:r>
            <w:fldChar w:fldCharType="separate"/>
          </w:r>
          <w:r>
            <w:t>86</w:t>
          </w:r>
          <w:r>
            <w:fldChar w:fldCharType="end"/>
          </w:r>
          <w:r>
            <w:rPr>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_Toc16151 </w:instrText>
          </w:r>
          <w:r>
            <w:rPr>
              <w:highlight w:val="none"/>
            </w:rPr>
            <w:fldChar w:fldCharType="separate"/>
          </w:r>
          <w:r>
            <w:rPr>
              <w:rFonts w:hint="eastAsia" w:ascii="仿宋" w:hAnsi="仿宋" w:eastAsia="仿宋"/>
              <w:bCs w:val="0"/>
              <w:highlight w:val="none"/>
            </w:rPr>
            <w:t>三、</w:t>
          </w:r>
          <w:r>
            <w:rPr>
              <w:rFonts w:hint="eastAsia" w:ascii="仿宋" w:hAnsi="仿宋" w:eastAsia="仿宋"/>
              <w:highlight w:val="none"/>
            </w:rPr>
            <w:t>支</w:t>
          </w:r>
          <w:r>
            <w:rPr>
              <w:rFonts w:hint="eastAsia" w:ascii="仿宋" w:hAnsi="仿宋" w:eastAsia="仿宋"/>
              <w:bCs w:val="0"/>
              <w:highlight w:val="none"/>
            </w:rPr>
            <w:t>出决算表</w:t>
          </w:r>
          <w:r>
            <w:tab/>
          </w:r>
          <w:r>
            <w:fldChar w:fldCharType="begin"/>
          </w:r>
          <w:r>
            <w:instrText xml:space="preserve"> PAGEREF _Toc16151 \h </w:instrText>
          </w:r>
          <w:r>
            <w:fldChar w:fldCharType="separate"/>
          </w:r>
          <w:r>
            <w:t>86</w:t>
          </w:r>
          <w:r>
            <w:fldChar w:fldCharType="end"/>
          </w:r>
          <w:r>
            <w:rPr>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_Toc1462 </w:instrText>
          </w:r>
          <w:r>
            <w:rPr>
              <w:highlight w:val="none"/>
            </w:rPr>
            <w:fldChar w:fldCharType="separate"/>
          </w:r>
          <w:r>
            <w:rPr>
              <w:rFonts w:hint="eastAsia" w:ascii="仿宋" w:hAnsi="仿宋" w:eastAsia="仿宋"/>
              <w:bCs w:val="0"/>
              <w:highlight w:val="none"/>
            </w:rPr>
            <w:t>四、</w:t>
          </w:r>
          <w:r>
            <w:rPr>
              <w:rFonts w:hint="eastAsia" w:ascii="仿宋" w:hAnsi="仿宋" w:eastAsia="仿宋"/>
              <w:highlight w:val="none"/>
            </w:rPr>
            <w:t>财</w:t>
          </w:r>
          <w:r>
            <w:rPr>
              <w:rFonts w:hint="eastAsia" w:ascii="仿宋" w:hAnsi="仿宋" w:eastAsia="仿宋"/>
              <w:bCs w:val="0"/>
              <w:highlight w:val="none"/>
            </w:rPr>
            <w:t>政拨款收入支出决算总表</w:t>
          </w:r>
          <w:r>
            <w:tab/>
          </w:r>
          <w:r>
            <w:fldChar w:fldCharType="begin"/>
          </w:r>
          <w:r>
            <w:instrText xml:space="preserve"> PAGEREF _Toc1462 \h </w:instrText>
          </w:r>
          <w:r>
            <w:fldChar w:fldCharType="separate"/>
          </w:r>
          <w:r>
            <w:t>86</w:t>
          </w:r>
          <w:r>
            <w:fldChar w:fldCharType="end"/>
          </w:r>
          <w:r>
            <w:rPr>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_Toc27451 </w:instrText>
          </w:r>
          <w:r>
            <w:rPr>
              <w:highlight w:val="none"/>
            </w:rPr>
            <w:fldChar w:fldCharType="separate"/>
          </w:r>
          <w:r>
            <w:rPr>
              <w:rFonts w:hint="eastAsia" w:ascii="仿宋" w:hAnsi="仿宋" w:eastAsia="仿宋"/>
              <w:bCs w:val="0"/>
              <w:highlight w:val="none"/>
            </w:rPr>
            <w:t>五、</w:t>
          </w:r>
          <w:r>
            <w:rPr>
              <w:rFonts w:hint="eastAsia" w:ascii="仿宋" w:hAnsi="仿宋" w:eastAsia="仿宋"/>
              <w:highlight w:val="none"/>
            </w:rPr>
            <w:t>财</w:t>
          </w:r>
          <w:r>
            <w:rPr>
              <w:rFonts w:hint="eastAsia" w:ascii="仿宋" w:hAnsi="仿宋" w:eastAsia="仿宋"/>
              <w:bCs w:val="0"/>
              <w:highlight w:val="none"/>
            </w:rPr>
            <w:t>政拨款支出决算明细表</w:t>
          </w:r>
          <w:r>
            <w:tab/>
          </w:r>
          <w:r>
            <w:fldChar w:fldCharType="begin"/>
          </w:r>
          <w:r>
            <w:instrText xml:space="preserve"> PAGEREF _Toc27451 \h </w:instrText>
          </w:r>
          <w:r>
            <w:fldChar w:fldCharType="separate"/>
          </w:r>
          <w:r>
            <w:t>86</w:t>
          </w:r>
          <w:r>
            <w:fldChar w:fldCharType="end"/>
          </w:r>
          <w:r>
            <w:rPr>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_Toc24499 </w:instrText>
          </w:r>
          <w:r>
            <w:rPr>
              <w:highlight w:val="none"/>
            </w:rPr>
            <w:fldChar w:fldCharType="separate"/>
          </w:r>
          <w:r>
            <w:rPr>
              <w:rFonts w:hint="eastAsia" w:ascii="仿宋" w:hAnsi="仿宋" w:eastAsia="仿宋"/>
              <w:bCs w:val="0"/>
              <w:highlight w:val="none"/>
            </w:rPr>
            <w:t>六、</w:t>
          </w:r>
          <w:r>
            <w:rPr>
              <w:rFonts w:hint="eastAsia" w:ascii="仿宋" w:hAnsi="仿宋" w:eastAsia="仿宋"/>
              <w:highlight w:val="none"/>
            </w:rPr>
            <w:t>一</w:t>
          </w:r>
          <w:r>
            <w:rPr>
              <w:rFonts w:hint="eastAsia" w:ascii="仿宋" w:hAnsi="仿宋" w:eastAsia="仿宋"/>
              <w:bCs w:val="0"/>
              <w:highlight w:val="none"/>
            </w:rPr>
            <w:t>般公共预算财政拨款支出决算表</w:t>
          </w:r>
          <w:r>
            <w:tab/>
          </w:r>
          <w:r>
            <w:fldChar w:fldCharType="begin"/>
          </w:r>
          <w:r>
            <w:instrText xml:space="preserve"> PAGEREF _Toc24499 \h </w:instrText>
          </w:r>
          <w:r>
            <w:fldChar w:fldCharType="separate"/>
          </w:r>
          <w:r>
            <w:t>86</w:t>
          </w:r>
          <w:r>
            <w:fldChar w:fldCharType="end"/>
          </w:r>
          <w:r>
            <w:rPr>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_Toc24483 </w:instrText>
          </w:r>
          <w:r>
            <w:rPr>
              <w:highlight w:val="none"/>
            </w:rPr>
            <w:fldChar w:fldCharType="separate"/>
          </w:r>
          <w:r>
            <w:rPr>
              <w:rFonts w:hint="eastAsia" w:ascii="仿宋" w:hAnsi="仿宋" w:eastAsia="仿宋"/>
              <w:bCs w:val="0"/>
              <w:highlight w:val="none"/>
            </w:rPr>
            <w:t>七、</w:t>
          </w:r>
          <w:r>
            <w:rPr>
              <w:rFonts w:hint="eastAsia" w:ascii="仿宋" w:hAnsi="仿宋" w:eastAsia="仿宋"/>
              <w:highlight w:val="none"/>
            </w:rPr>
            <w:t>一</w:t>
          </w:r>
          <w:r>
            <w:rPr>
              <w:rFonts w:hint="eastAsia" w:ascii="仿宋" w:hAnsi="仿宋" w:eastAsia="仿宋"/>
              <w:bCs w:val="0"/>
              <w:highlight w:val="none"/>
            </w:rPr>
            <w:t>般公共预算财政拨款支出决算明细表</w:t>
          </w:r>
          <w:r>
            <w:tab/>
          </w:r>
          <w:r>
            <w:fldChar w:fldCharType="begin"/>
          </w:r>
          <w:r>
            <w:instrText xml:space="preserve"> PAGEREF _Toc24483 \h </w:instrText>
          </w:r>
          <w:r>
            <w:fldChar w:fldCharType="separate"/>
          </w:r>
          <w:r>
            <w:t>86</w:t>
          </w:r>
          <w:r>
            <w:fldChar w:fldCharType="end"/>
          </w:r>
          <w:r>
            <w:rPr>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_Toc8830 </w:instrText>
          </w:r>
          <w:r>
            <w:rPr>
              <w:highlight w:val="none"/>
            </w:rPr>
            <w:fldChar w:fldCharType="separate"/>
          </w:r>
          <w:r>
            <w:rPr>
              <w:rFonts w:hint="eastAsia" w:ascii="仿宋" w:hAnsi="仿宋" w:eastAsia="仿宋"/>
              <w:bCs w:val="0"/>
              <w:highlight w:val="none"/>
            </w:rPr>
            <w:t>八、</w:t>
          </w:r>
          <w:r>
            <w:rPr>
              <w:rFonts w:hint="eastAsia" w:ascii="仿宋" w:hAnsi="仿宋" w:eastAsia="仿宋"/>
              <w:highlight w:val="none"/>
            </w:rPr>
            <w:t>一</w:t>
          </w:r>
          <w:r>
            <w:rPr>
              <w:rFonts w:hint="eastAsia" w:ascii="仿宋" w:hAnsi="仿宋" w:eastAsia="仿宋"/>
              <w:bCs w:val="0"/>
              <w:highlight w:val="none"/>
            </w:rPr>
            <w:t>般公共预算财政拨款基本支出决算表</w:t>
          </w:r>
          <w:r>
            <w:tab/>
          </w:r>
          <w:r>
            <w:fldChar w:fldCharType="begin"/>
          </w:r>
          <w:r>
            <w:instrText xml:space="preserve"> PAGEREF _Toc8830 \h </w:instrText>
          </w:r>
          <w:r>
            <w:fldChar w:fldCharType="separate"/>
          </w:r>
          <w:r>
            <w:t>86</w:t>
          </w:r>
          <w:r>
            <w:fldChar w:fldCharType="end"/>
          </w:r>
          <w:r>
            <w:rPr>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_Toc16858 </w:instrText>
          </w:r>
          <w:r>
            <w:rPr>
              <w:highlight w:val="none"/>
            </w:rPr>
            <w:fldChar w:fldCharType="separate"/>
          </w:r>
          <w:r>
            <w:rPr>
              <w:rFonts w:hint="eastAsia" w:ascii="仿宋" w:hAnsi="仿宋" w:eastAsia="仿宋"/>
              <w:bCs w:val="0"/>
              <w:highlight w:val="none"/>
            </w:rPr>
            <w:t>九、</w:t>
          </w:r>
          <w:r>
            <w:rPr>
              <w:rFonts w:hint="eastAsia" w:ascii="仿宋" w:hAnsi="仿宋" w:eastAsia="仿宋"/>
              <w:highlight w:val="none"/>
            </w:rPr>
            <w:t>一</w:t>
          </w:r>
          <w:r>
            <w:rPr>
              <w:rFonts w:hint="eastAsia" w:ascii="仿宋" w:hAnsi="仿宋" w:eastAsia="仿宋"/>
              <w:bCs w:val="0"/>
              <w:highlight w:val="none"/>
            </w:rPr>
            <w:t>般公共预算财政拨款项目支出决算表</w:t>
          </w:r>
          <w:r>
            <w:tab/>
          </w:r>
          <w:r>
            <w:fldChar w:fldCharType="begin"/>
          </w:r>
          <w:r>
            <w:instrText xml:space="preserve"> PAGEREF _Toc16858 \h </w:instrText>
          </w:r>
          <w:r>
            <w:fldChar w:fldCharType="separate"/>
          </w:r>
          <w:r>
            <w:t>86</w:t>
          </w:r>
          <w:r>
            <w:fldChar w:fldCharType="end"/>
          </w:r>
          <w:r>
            <w:rPr>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_Toc23597 </w:instrText>
          </w:r>
          <w:r>
            <w:rPr>
              <w:highlight w:val="none"/>
            </w:rPr>
            <w:fldChar w:fldCharType="separate"/>
          </w:r>
          <w:r>
            <w:rPr>
              <w:rFonts w:hint="eastAsia" w:ascii="仿宋" w:hAnsi="仿宋" w:eastAsia="仿宋"/>
              <w:bCs w:val="0"/>
              <w:highlight w:val="none"/>
            </w:rPr>
            <w:t>十、</w:t>
          </w:r>
          <w:r>
            <w:rPr>
              <w:rFonts w:hint="eastAsia" w:ascii="仿宋" w:hAnsi="仿宋" w:eastAsia="仿宋"/>
              <w:highlight w:val="none"/>
            </w:rPr>
            <w:t>政</w:t>
          </w:r>
          <w:r>
            <w:rPr>
              <w:rFonts w:hint="eastAsia" w:ascii="仿宋" w:hAnsi="仿宋" w:eastAsia="仿宋"/>
              <w:bCs w:val="0"/>
              <w:highlight w:val="none"/>
            </w:rPr>
            <w:t>府性基金预算财政拨款收入支出决算表</w:t>
          </w:r>
          <w:r>
            <w:tab/>
          </w:r>
          <w:r>
            <w:fldChar w:fldCharType="begin"/>
          </w:r>
          <w:r>
            <w:instrText xml:space="preserve"> PAGEREF _Toc23597 \h </w:instrText>
          </w:r>
          <w:r>
            <w:fldChar w:fldCharType="separate"/>
          </w:r>
          <w:r>
            <w:t>86</w:t>
          </w:r>
          <w:r>
            <w:fldChar w:fldCharType="end"/>
          </w:r>
          <w:r>
            <w:rPr>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_Toc21363 </w:instrText>
          </w:r>
          <w:r>
            <w:rPr>
              <w:highlight w:val="none"/>
            </w:rPr>
            <w:fldChar w:fldCharType="separate"/>
          </w:r>
          <w:r>
            <w:rPr>
              <w:rFonts w:hint="eastAsia" w:ascii="仿宋" w:hAnsi="仿宋" w:eastAsia="仿宋"/>
              <w:bCs w:val="0"/>
              <w:highlight w:val="none"/>
            </w:rPr>
            <w:t>十一、</w:t>
          </w:r>
          <w:r>
            <w:rPr>
              <w:rFonts w:hint="eastAsia" w:ascii="仿宋" w:hAnsi="仿宋" w:eastAsia="仿宋"/>
              <w:highlight w:val="none"/>
            </w:rPr>
            <w:t>国</w:t>
          </w:r>
          <w:r>
            <w:rPr>
              <w:rFonts w:hint="eastAsia" w:ascii="仿宋" w:hAnsi="仿宋" w:eastAsia="仿宋"/>
              <w:bCs w:val="0"/>
              <w:highlight w:val="none"/>
            </w:rPr>
            <w:t>有资本经营预算</w:t>
          </w:r>
          <w:r>
            <w:rPr>
              <w:rFonts w:hint="eastAsia" w:ascii="仿宋" w:hAnsi="仿宋" w:eastAsia="仿宋"/>
              <w:bCs w:val="0"/>
              <w:highlight w:val="none"/>
              <w:lang w:eastAsia="zh-CN"/>
            </w:rPr>
            <w:t>财政拨款收入</w:t>
          </w:r>
          <w:r>
            <w:rPr>
              <w:rFonts w:hint="eastAsia" w:ascii="仿宋" w:hAnsi="仿宋" w:eastAsia="仿宋"/>
              <w:bCs w:val="0"/>
              <w:highlight w:val="none"/>
            </w:rPr>
            <w:t>支出决算表</w:t>
          </w:r>
          <w:r>
            <w:tab/>
          </w:r>
          <w:r>
            <w:fldChar w:fldCharType="begin"/>
          </w:r>
          <w:r>
            <w:instrText xml:space="preserve"> PAGEREF _Toc21363 \h </w:instrText>
          </w:r>
          <w:r>
            <w:fldChar w:fldCharType="separate"/>
          </w:r>
          <w:r>
            <w:t>86</w:t>
          </w:r>
          <w:r>
            <w:fldChar w:fldCharType="end"/>
          </w:r>
          <w:r>
            <w:rPr>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pPr>
          <w:r>
            <w:rPr>
              <w:color w:val="auto"/>
              <w:highlight w:val="none"/>
            </w:rPr>
            <w:fldChar w:fldCharType="begin"/>
          </w:r>
          <w:r>
            <w:rPr>
              <w:highlight w:val="none"/>
            </w:rPr>
            <w:instrText xml:space="preserve"> HYPERLINK \l _Toc19598 </w:instrText>
          </w:r>
          <w:r>
            <w:rPr>
              <w:highlight w:val="none"/>
            </w:rPr>
            <w:fldChar w:fldCharType="separate"/>
          </w:r>
          <w:r>
            <w:rPr>
              <w:rFonts w:hint="eastAsia" w:ascii="仿宋" w:hAnsi="仿宋" w:eastAsia="仿宋"/>
              <w:bCs w:val="0"/>
              <w:highlight w:val="none"/>
            </w:rPr>
            <w:t>十二、</w:t>
          </w:r>
          <w:r>
            <w:rPr>
              <w:rFonts w:hint="eastAsia" w:ascii="仿宋" w:hAnsi="仿宋" w:eastAsia="仿宋"/>
              <w:bCs w:val="0"/>
              <w:highlight w:val="none"/>
              <w:lang w:eastAsia="zh-CN"/>
            </w:rPr>
            <w:t>国有资本经营预算财政拨款支出决算表</w:t>
          </w:r>
          <w:r>
            <w:tab/>
          </w:r>
          <w:r>
            <w:fldChar w:fldCharType="begin"/>
          </w:r>
          <w:r>
            <w:instrText xml:space="preserve"> PAGEREF _Toc19598 \h </w:instrText>
          </w:r>
          <w:r>
            <w:fldChar w:fldCharType="separate"/>
          </w:r>
          <w:r>
            <w:t>86</w:t>
          </w:r>
          <w:r>
            <w:fldChar w:fldCharType="end"/>
          </w:r>
          <w:r>
            <w:rPr>
              <w:color w:val="auto"/>
              <w:highlight w:val="none"/>
            </w:rPr>
            <w:fldChar w:fldCharType="end"/>
          </w:r>
        </w:p>
        <w:p>
          <w:pPr>
            <w:pStyle w:val="39"/>
            <w:keepNext w:val="0"/>
            <w:keepLines w:val="0"/>
            <w:pageBreakBefore w:val="0"/>
            <w:widowControl/>
            <w:tabs>
              <w:tab w:val="right" w:leader="dot" w:pos="8306"/>
            </w:tabs>
            <w:kinsoku/>
            <w:wordWrap/>
            <w:overflowPunct/>
            <w:topLinePunct w:val="0"/>
            <w:autoSpaceDE/>
            <w:autoSpaceDN/>
            <w:bidi w:val="0"/>
            <w:adjustRightInd/>
            <w:snapToGrid/>
            <w:spacing w:line="400" w:lineRule="exact"/>
            <w:textAlignment w:val="auto"/>
            <w:rPr>
              <w:color w:val="auto"/>
              <w:highlight w:val="none"/>
            </w:rPr>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r>
            <w:rPr>
              <w:color w:val="auto"/>
              <w:highlight w:val="none"/>
            </w:rPr>
            <w:fldChar w:fldCharType="begin"/>
          </w:r>
          <w:r>
            <w:rPr>
              <w:highlight w:val="none"/>
            </w:rPr>
            <w:instrText xml:space="preserve"> HYPERLINK \l _Toc28517 </w:instrText>
          </w:r>
          <w:r>
            <w:rPr>
              <w:highlight w:val="none"/>
            </w:rPr>
            <w:fldChar w:fldCharType="separate"/>
          </w:r>
          <w:r>
            <w:rPr>
              <w:rFonts w:hint="eastAsia" w:ascii="仿宋" w:hAnsi="仿宋" w:eastAsia="仿宋"/>
              <w:bCs w:val="0"/>
              <w:highlight w:val="none"/>
            </w:rPr>
            <w:t>十三、</w:t>
          </w:r>
          <w:r>
            <w:rPr>
              <w:rFonts w:hint="eastAsia" w:ascii="仿宋" w:hAnsi="仿宋" w:eastAsia="仿宋"/>
              <w:bCs w:val="0"/>
              <w:highlight w:val="none"/>
              <w:lang w:eastAsia="zh-CN"/>
            </w:rPr>
            <w:t>财政拨款“三公”经费支出决算</w:t>
          </w:r>
          <w:r>
            <w:tab/>
          </w:r>
          <w:r>
            <w:fldChar w:fldCharType="begin"/>
          </w:r>
          <w:r>
            <w:instrText xml:space="preserve"> PAGEREF _Toc28517 \h </w:instrText>
          </w:r>
          <w:r>
            <w:fldChar w:fldCharType="separate"/>
          </w:r>
          <w:r>
            <w:t>86</w:t>
          </w:r>
          <w:r>
            <w:fldChar w:fldCharType="end"/>
          </w:r>
          <w:r>
            <w:rPr>
              <w:color w:val="auto"/>
              <w:highlight w:val="none"/>
            </w:rPr>
            <w:fldChar w:fldCharType="end"/>
          </w:r>
        </w:p>
        <w:p>
          <w:pPr>
            <w:pStyle w:val="39"/>
            <w:tabs>
              <w:tab w:val="right" w:leader="dot" w:pos="8306"/>
            </w:tabs>
            <w:rPr>
              <w:color w:val="auto"/>
              <w:highlight w:val="none"/>
            </w:rPr>
          </w:pPr>
        </w:p>
        <w:p>
          <w:pPr>
            <w:rPr>
              <w:color w:val="auto"/>
              <w:highlight w:val="none"/>
            </w:rPr>
          </w:pPr>
          <w:r>
            <w:rPr>
              <w:b/>
              <w:color w:val="auto"/>
              <w:highlight w:val="none"/>
            </w:rPr>
            <w:fldChar w:fldCharType="end"/>
          </w:r>
        </w:p>
      </w:sdtContent>
    </w:sdt>
    <w:p>
      <w:pPr>
        <w:pStyle w:val="3"/>
        <w:jc w:val="center"/>
        <w:rPr>
          <w:rFonts w:ascii="黑体" w:eastAsia="黑体"/>
          <w:color w:val="auto"/>
          <w:sz w:val="32"/>
          <w:szCs w:val="32"/>
          <w:highlight w:val="none"/>
        </w:rPr>
      </w:pPr>
      <w:bookmarkStart w:id="14" w:name="_Toc15377196"/>
      <w:bookmarkStart w:id="15" w:name="_Toc15396599"/>
      <w:bookmarkStart w:id="16" w:name="_Toc3320"/>
      <w:r>
        <w:rPr>
          <w:rFonts w:hint="eastAsia" w:ascii="黑体" w:hAnsi="黑体" w:eastAsia="黑体"/>
          <w:b w:val="0"/>
          <w:color w:val="auto"/>
          <w:highlight w:val="none"/>
        </w:rPr>
        <w:t>第一部分</w:t>
      </w:r>
      <w:r>
        <w:rPr>
          <w:rStyle w:val="19"/>
          <w:rFonts w:hint="eastAsia" w:ascii="黑体" w:hAnsi="黑体" w:eastAsia="黑体"/>
          <w:b w:val="0"/>
          <w:bCs w:val="0"/>
          <w:color w:val="auto"/>
          <w:highlight w:val="none"/>
        </w:rPr>
        <w:t>部门概况</w:t>
      </w:r>
      <w:bookmarkEnd w:id="14"/>
      <w:bookmarkEnd w:id="15"/>
      <w:bookmarkEnd w:id="16"/>
    </w:p>
    <w:p>
      <w:pPr>
        <w:pStyle w:val="4"/>
        <w:pageBreakBefore w:val="0"/>
        <w:widowControl w:val="0"/>
        <w:numPr>
          <w:ilvl w:val="0"/>
          <w:numId w:val="0"/>
        </w:numPr>
        <w:kinsoku/>
        <w:wordWrap/>
        <w:overflowPunct/>
        <w:topLinePunct w:val="0"/>
        <w:autoSpaceDE/>
        <w:autoSpaceDN/>
        <w:bidi w:val="0"/>
        <w:adjustRightInd/>
        <w:snapToGrid/>
        <w:spacing w:before="0" w:after="0"/>
        <w:ind w:firstLine="640" w:firstLineChars="200"/>
        <w:textAlignment w:val="auto"/>
        <w:rPr>
          <w:rFonts w:hint="eastAsia" w:ascii="黑体" w:hAnsi="黑体" w:eastAsia="黑体"/>
          <w:b w:val="0"/>
          <w:color w:val="auto"/>
          <w:highlight w:val="none"/>
          <w:lang w:eastAsia="zh-CN"/>
        </w:rPr>
      </w:pPr>
      <w:bookmarkStart w:id="17" w:name="_Toc17036"/>
      <w:r>
        <w:rPr>
          <w:rFonts w:hint="eastAsia" w:ascii="黑体" w:hAnsi="黑体" w:eastAsia="黑体"/>
          <w:b w:val="0"/>
          <w:color w:val="auto"/>
          <w:highlight w:val="none"/>
          <w:lang w:eastAsia="zh-CN"/>
        </w:rPr>
        <w:t>一、部门职责</w:t>
      </w:r>
      <w:bookmarkEnd w:id="17"/>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lang w:eastAsia="zh-CN"/>
        </w:rPr>
      </w:pPr>
      <w:r>
        <w:rPr>
          <w:rFonts w:hint="eastAsia" w:ascii="仿宋_GB2312" w:hAnsi="仿宋_GB2312" w:eastAsia="仿宋_GB2312" w:cs="仿宋_GB2312"/>
          <w:sz w:val="32"/>
          <w:szCs w:val="32"/>
        </w:rPr>
        <w:t>拟订全市财政、税收的发展战略、规划、政策和改革方案并组织实施，参与宏观经济分析预测和全市重大宏观经济政策的制定，提出运用财税政策实施宏观经济调控和综合平衡全市财力的建议。贯彻执行国家财税法律、法规和方针、政策，组织起草地方性财税法规的实施办法和政策规定并组织实施，按照管理权限管理全市税政事项。承担各项财政收支管理，负责编制年度市级预决算草案并组织实施，受市政府委托，向市人民代表大会报告全市和市级预算及其执行情况，向市人大常委会报告决算，组织制定经费开支标准、定额，负责审核批复部门（单位）的年度预决算，完善转移支付制度。负责政府非税收入管理，负责政府性基金管理，按规定管理行政事业性收费，管理财政票据，负责彩票的监管和发行规模的审核上报工作。制定全市国库管理制度、国库集中收付制度，指导和监督国库业务，组织开展国库现金管理工作。制定政府采购制度，编制政府采购预算，监督管理全市政府采购工作。制定全市行政事业单位国有资产管理制度规定及市级机关事业单位国有资产收益管理办法，并对执行情况进行监督检查，负责市级机关国有资产经营收益财政专户管理工作。审核和汇总编制全市国有资本经营预决算草案，制订国有资本经营预算的制度和办法，收取市本级企业国有资本收益，组织实施企业财务制度，管理金融类企业国有资产，参与拟订企业国有资产管理相关制度，管理资产评估工作。负责管理和监督财政性经济发展支出、政府性投资项目的财政拨款，参与拟订政府性建设投资的有关政策，制定基本建设财务制度，负责投资评审管理工作。负责有关政策性补贴和专项储备资金财政管理工作。负责全市农业综合开发管理工作。会同相关部门管理全市社会保障和就业及医疗卫生支出，会同相关部门拟订社会保障资金（基金）的财务管理制度，编制市级社会保障预决算草案。组织实施政府债务管理制度和政策，制定具体管理办法，管理政府债务，防范财政风险，管理外国政府和国际金融机构贷（赠）款项目的有关业务。负责全市的会计工作，监督和规范会计行为，组织实施国家统一的会计制度，指导和监督注册会计师和会计师事务所的业务，指导和管理社会审计。负责财政资金绩效评价。监督检查财税法规、政策的执行情况，反映财政收支管理中的重大问题。依法查处违反财经法纪的行为。负责财政宣传和财政信息管理系统工作，负责全市财政业务培训。承担市政府公布的有关行政审批事项。负责全市PPP政策研究和实施办法的制定、市级PPP项目库的建立更新，项目实施方案的汇总和审核等工作。承办市政府交办的其他事项。</w:t>
      </w:r>
    </w:p>
    <w:p>
      <w:pPr>
        <w:pStyle w:val="4"/>
        <w:pageBreakBefore w:val="0"/>
        <w:widowControl w:val="0"/>
        <w:kinsoku/>
        <w:wordWrap/>
        <w:overflowPunct/>
        <w:topLinePunct w:val="0"/>
        <w:autoSpaceDE/>
        <w:autoSpaceDN/>
        <w:bidi w:val="0"/>
        <w:adjustRightInd/>
        <w:snapToGrid/>
        <w:spacing w:before="0" w:after="0"/>
        <w:ind w:firstLine="640" w:firstLineChars="200"/>
        <w:textAlignment w:val="auto"/>
        <w:rPr>
          <w:rStyle w:val="20"/>
          <w:b w:val="0"/>
          <w:bCs w:val="0"/>
          <w:color w:val="auto"/>
          <w:highlight w:val="none"/>
        </w:rPr>
      </w:pPr>
      <w:bookmarkStart w:id="18" w:name="_Toc15396601"/>
      <w:bookmarkStart w:id="19" w:name="_Toc15377200"/>
      <w:bookmarkStart w:id="20" w:name="_Toc23275"/>
      <w:r>
        <w:rPr>
          <w:rFonts w:hint="eastAsia" w:ascii="黑体" w:eastAsia="黑体"/>
          <w:b w:val="0"/>
          <w:color w:val="auto"/>
          <w:highlight w:val="none"/>
        </w:rPr>
        <w:t>二、</w:t>
      </w:r>
      <w:r>
        <w:rPr>
          <w:rFonts w:hint="eastAsia" w:ascii="黑体" w:hAnsi="黑体" w:eastAsia="黑体"/>
          <w:b w:val="0"/>
          <w:color w:val="auto"/>
          <w:highlight w:val="none"/>
        </w:rPr>
        <w:t>机</w:t>
      </w:r>
      <w:r>
        <w:rPr>
          <w:rStyle w:val="20"/>
          <w:rFonts w:hint="eastAsia" w:ascii="黑体" w:hAnsi="黑体" w:eastAsia="黑体"/>
          <w:b w:val="0"/>
          <w:bCs w:val="0"/>
          <w:color w:val="auto"/>
          <w:highlight w:val="none"/>
        </w:rPr>
        <w:t>构设置</w:t>
      </w:r>
      <w:bookmarkEnd w:id="18"/>
      <w:bookmarkEnd w:id="19"/>
      <w:bookmarkEnd w:id="20"/>
    </w:p>
    <w:p>
      <w:pPr>
        <w:keepNext w:val="0"/>
        <w:keepLines w:val="0"/>
        <w:pageBreakBefore w:val="0"/>
        <w:widowControl w:val="0"/>
        <w:kinsoku/>
        <w:wordWrap/>
        <w:overflowPunct/>
        <w:topLinePunct w:val="0"/>
        <w:autoSpaceDE/>
        <w:autoSpaceDN/>
        <w:bidi w:val="0"/>
        <w:ind w:firstLine="640" w:firstLineChars="20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广元市财政局</w:t>
      </w:r>
      <w:r>
        <w:rPr>
          <w:rFonts w:hint="eastAsia" w:ascii="仿宋" w:hAnsi="仿宋" w:eastAsia="仿宋"/>
          <w:color w:val="auto"/>
          <w:sz w:val="32"/>
          <w:szCs w:val="32"/>
          <w:highlight w:val="none"/>
        </w:rPr>
        <w:t>下属二级单位</w:t>
      </w:r>
      <w:r>
        <w:rPr>
          <w:rFonts w:hint="eastAsia" w:ascii="仿宋" w:hAnsi="仿宋" w:eastAsia="仿宋"/>
          <w:color w:val="auto"/>
          <w:sz w:val="32"/>
          <w:szCs w:val="32"/>
          <w:highlight w:val="none"/>
          <w:lang w:val="en-US" w:eastAsia="zh-CN"/>
        </w:rPr>
        <w:t>5</w:t>
      </w:r>
      <w:r>
        <w:rPr>
          <w:rFonts w:hint="eastAsia" w:ascii="仿宋" w:hAnsi="仿宋" w:eastAsia="仿宋"/>
          <w:color w:val="auto"/>
          <w:sz w:val="32"/>
          <w:szCs w:val="32"/>
          <w:highlight w:val="none"/>
        </w:rPr>
        <w:t>个，其中行政单位</w:t>
      </w:r>
      <w:r>
        <w:rPr>
          <w:rFonts w:hint="eastAsia" w:ascii="仿宋" w:hAnsi="仿宋" w:eastAsia="仿宋"/>
          <w:color w:val="auto"/>
          <w:sz w:val="32"/>
          <w:szCs w:val="32"/>
          <w:highlight w:val="none"/>
          <w:lang w:val="en-US" w:eastAsia="zh-CN"/>
        </w:rPr>
        <w:t>1</w:t>
      </w:r>
      <w:r>
        <w:rPr>
          <w:rFonts w:hint="eastAsia" w:ascii="仿宋" w:hAnsi="仿宋" w:eastAsia="仿宋"/>
          <w:color w:val="auto"/>
          <w:sz w:val="32"/>
          <w:szCs w:val="32"/>
          <w:highlight w:val="none"/>
        </w:rPr>
        <w:t>个，其他事业单位</w:t>
      </w:r>
      <w:r>
        <w:rPr>
          <w:rFonts w:hint="eastAsia" w:ascii="仿宋" w:hAnsi="仿宋" w:eastAsia="仿宋"/>
          <w:color w:val="auto"/>
          <w:sz w:val="32"/>
          <w:szCs w:val="32"/>
          <w:highlight w:val="none"/>
          <w:lang w:val="en-US" w:eastAsia="zh-CN"/>
        </w:rPr>
        <w:t>4</w:t>
      </w:r>
      <w:r>
        <w:rPr>
          <w:rFonts w:hint="eastAsia" w:ascii="仿宋" w:hAnsi="仿宋" w:eastAsia="仿宋"/>
          <w:color w:val="auto"/>
          <w:sz w:val="32"/>
          <w:szCs w:val="32"/>
          <w:highlight w:val="none"/>
        </w:rPr>
        <w:t>个。</w:t>
      </w:r>
    </w:p>
    <w:p>
      <w:pPr>
        <w:pStyle w:val="6"/>
        <w:keepNext w:val="0"/>
        <w:keepLines w:val="0"/>
        <w:pageBreakBefore w:val="0"/>
        <w:widowControl w:val="0"/>
        <w:kinsoku/>
        <w:wordWrap/>
        <w:overflowPunct/>
        <w:topLinePunct w:val="0"/>
        <w:autoSpaceDE/>
        <w:autoSpaceDN/>
        <w:bidi w:val="0"/>
        <w:adjustRightInd w:val="0"/>
        <w:snapToGrid w:val="0"/>
        <w:spacing w:beforeLines="0" w:line="600" w:lineRule="exact"/>
        <w:ind w:firstLine="672" w:firstLineChars="210"/>
        <w:textAlignment w:val="auto"/>
        <w:rPr>
          <w:rFonts w:ascii="仿宋" w:hAnsi="仿宋" w:eastAsia="仿宋"/>
          <w:color w:val="auto"/>
          <w:sz w:val="32"/>
          <w:szCs w:val="32"/>
          <w:highlight w:val="none"/>
        </w:rPr>
      </w:pPr>
      <w:r>
        <w:rPr>
          <w:rFonts w:hint="eastAsia" w:ascii="仿宋" w:hAnsi="仿宋" w:eastAsia="仿宋"/>
          <w:color w:val="auto"/>
          <w:sz w:val="32"/>
          <w:szCs w:val="32"/>
          <w:highlight w:val="none"/>
        </w:rPr>
        <w:t>纳入</w:t>
      </w:r>
      <w:r>
        <w:rPr>
          <w:rFonts w:hint="eastAsia" w:ascii="仿宋" w:hAnsi="仿宋" w:eastAsia="仿宋"/>
          <w:color w:val="auto"/>
          <w:sz w:val="32"/>
          <w:szCs w:val="32"/>
          <w:highlight w:val="none"/>
          <w:lang w:val="en-US" w:eastAsia="zh-CN"/>
        </w:rPr>
        <w:t>广元市财政局</w:t>
      </w: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年度部门决算编制范围的二级预算单位包括：</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1.广元市财政局机关</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firstLine="640"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.广元市财政评审中心</w:t>
      </w:r>
    </w:p>
    <w:p>
      <w:pPr>
        <w:keepNext w:val="0"/>
        <w:keepLines w:val="0"/>
        <w:pageBreakBefore w:val="0"/>
        <w:widowControl w:val="0"/>
        <w:pBdr>
          <w:bottom w:val="single" w:color="FFFFFF" w:sz="4" w:space="31"/>
        </w:pBdr>
        <w:kinsoku/>
        <w:wordWrap/>
        <w:overflowPunct/>
        <w:topLinePunct w:val="0"/>
        <w:autoSpaceDE/>
        <w:autoSpaceDN/>
        <w:bidi w:val="0"/>
        <w:adjustRightInd w:val="0"/>
        <w:snapToGrid w:val="0"/>
        <w:spacing w:line="576" w:lineRule="exact"/>
        <w:ind w:firstLine="640" w:firstLineChars="200"/>
        <w:jc w:val="left"/>
        <w:textAlignment w:val="auto"/>
        <w:rPr>
          <w:rFonts w:ascii="仿宋" w:hAnsi="仿宋" w:eastAsia="仿宋"/>
          <w:color w:val="auto"/>
          <w:kern w:val="0"/>
          <w:sz w:val="32"/>
          <w:szCs w:val="32"/>
          <w:highlight w:val="none"/>
        </w:rPr>
      </w:pPr>
      <w:r>
        <w:rPr>
          <w:rFonts w:hint="eastAsia" w:ascii="仿宋_GB2312" w:hAnsi="仿宋_GB2312" w:eastAsia="仿宋_GB2312" w:cs="仿宋_GB2312"/>
          <w:color w:val="000000"/>
          <w:sz w:val="32"/>
          <w:szCs w:val="32"/>
          <w:lang w:val="en-US" w:eastAsia="zh-CN"/>
        </w:rPr>
        <w:t>3</w:t>
      </w:r>
      <w:r>
        <w:rPr>
          <w:rFonts w:hint="eastAsia" w:ascii="仿宋_GB2312" w:hAnsi="仿宋_GB2312" w:eastAsia="仿宋_GB2312" w:cs="仿宋_GB2312"/>
          <w:color w:val="000000"/>
          <w:sz w:val="32"/>
          <w:szCs w:val="32"/>
        </w:rPr>
        <w:t>.广元市财政绩效管理中心</w:t>
      </w:r>
      <w:r>
        <w:rPr>
          <w:rFonts w:ascii="仿宋" w:hAnsi="仿宋" w:eastAsia="仿宋"/>
          <w:color w:val="auto"/>
          <w:sz w:val="32"/>
          <w:szCs w:val="32"/>
          <w:highlight w:val="none"/>
        </w:rPr>
        <w:br w:type="page"/>
      </w:r>
    </w:p>
    <w:p>
      <w:pPr>
        <w:pStyle w:val="3"/>
        <w:ind w:right="440"/>
        <w:jc w:val="center"/>
        <w:rPr>
          <w:rStyle w:val="19"/>
          <w:rFonts w:ascii="黑体" w:hAnsi="黑体" w:eastAsia="黑体"/>
          <w:b w:val="0"/>
          <w:bCs/>
          <w:color w:val="auto"/>
          <w:highlight w:val="none"/>
        </w:rPr>
      </w:pPr>
      <w:bookmarkStart w:id="21" w:name="_Toc15377204"/>
      <w:bookmarkStart w:id="22" w:name="_Toc20780"/>
      <w:bookmarkStart w:id="23" w:name="_Toc15396602"/>
      <w:r>
        <w:rPr>
          <w:rFonts w:hint="eastAsia" w:ascii="黑体" w:hAnsi="黑体" w:eastAsia="黑体"/>
          <w:b w:val="0"/>
          <w:bCs/>
          <w:color w:val="auto"/>
          <w:highlight w:val="none"/>
        </w:rPr>
        <w:t>第二部分</w:t>
      </w:r>
      <w:r>
        <w:rPr>
          <w:rFonts w:hint="eastAsia" w:ascii="黑体" w:hAnsi="黑体" w:eastAsia="黑体"/>
          <w:b w:val="0"/>
          <w:bCs/>
          <w:color w:val="auto"/>
          <w:highlight w:val="none"/>
          <w:lang w:val="en-US" w:eastAsia="zh-CN"/>
        </w:rPr>
        <w:t>2022年度</w:t>
      </w:r>
      <w:r>
        <w:rPr>
          <w:rStyle w:val="19"/>
          <w:rFonts w:hint="eastAsia" w:ascii="黑体" w:hAnsi="黑体" w:eastAsia="黑体"/>
          <w:b w:val="0"/>
          <w:bCs/>
          <w:color w:val="auto"/>
          <w:highlight w:val="none"/>
        </w:rPr>
        <w:t>部门决算情况说明</w:t>
      </w:r>
      <w:bookmarkEnd w:id="21"/>
      <w:bookmarkEnd w:id="22"/>
      <w:bookmarkEnd w:id="23"/>
    </w:p>
    <w:p>
      <w:pPr>
        <w:rPr>
          <w:color w:val="auto"/>
          <w:highlight w:val="none"/>
        </w:rPr>
      </w:pPr>
    </w:p>
    <w:p>
      <w:pPr>
        <w:pStyle w:val="30"/>
        <w:numPr>
          <w:ilvl w:val="0"/>
          <w:numId w:val="1"/>
        </w:numPr>
        <w:spacing w:line="600" w:lineRule="exact"/>
        <w:ind w:firstLineChars="0"/>
        <w:outlineLvl w:val="1"/>
        <w:rPr>
          <w:rStyle w:val="20"/>
          <w:rFonts w:ascii="黑体" w:hAnsi="黑体" w:eastAsia="黑体"/>
          <w:b w:val="0"/>
          <w:color w:val="auto"/>
          <w:highlight w:val="none"/>
        </w:rPr>
      </w:pPr>
      <w:bookmarkStart w:id="24" w:name="_Toc12348"/>
      <w:bookmarkStart w:id="25" w:name="_Toc15377205"/>
      <w:bookmarkStart w:id="26" w:name="_Toc15396603"/>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入支出决算总体情况说明</w:t>
      </w:r>
      <w:bookmarkEnd w:id="24"/>
      <w:bookmarkEnd w:id="25"/>
      <w:bookmarkEnd w:id="26"/>
    </w:p>
    <w:p>
      <w:pPr>
        <w:spacing w:line="600" w:lineRule="exact"/>
        <w:ind w:firstLine="640" w:firstLineChars="200"/>
        <w:rPr>
          <w:rFonts w:hint="eastAsia" w:ascii="仿宋" w:hAnsi="仿宋" w:eastAsia="仿宋"/>
          <w:color w:val="auto"/>
          <w:sz w:val="32"/>
          <w:szCs w:val="32"/>
          <w:highlight w:val="none"/>
          <w:lang w:eastAsia="zh-CN"/>
        </w:rPr>
      </w:pPr>
      <w:r>
        <w:rPr>
          <w:rFonts w:hint="eastAsia"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年度收、支总计</w:t>
      </w:r>
      <w:r>
        <w:rPr>
          <w:rFonts w:hint="eastAsia" w:ascii="仿宋" w:hAnsi="仿宋" w:eastAsia="仿宋"/>
          <w:color w:val="auto"/>
          <w:sz w:val="32"/>
          <w:szCs w:val="32"/>
          <w:highlight w:val="none"/>
          <w:lang w:val="en-US" w:eastAsia="zh-CN"/>
        </w:rPr>
        <w:t>3449.89</w:t>
      </w:r>
      <w:r>
        <w:rPr>
          <w:rFonts w:hint="eastAsia" w:ascii="仿宋" w:hAnsi="仿宋" w:eastAsia="仿宋"/>
          <w:color w:val="auto"/>
          <w:sz w:val="32"/>
          <w:szCs w:val="32"/>
          <w:highlight w:val="none"/>
        </w:rPr>
        <w:t>万元。与20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年相比，收、支总计各减少</w:t>
      </w:r>
      <w:r>
        <w:rPr>
          <w:rFonts w:hint="eastAsia" w:ascii="仿宋" w:hAnsi="仿宋" w:eastAsia="仿宋"/>
          <w:color w:val="auto"/>
          <w:sz w:val="32"/>
          <w:szCs w:val="32"/>
          <w:highlight w:val="none"/>
          <w:lang w:val="en-US" w:eastAsia="zh-CN"/>
        </w:rPr>
        <w:t>438.08</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11.26</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局机关及下属事业单位</w:t>
      </w:r>
      <w:r>
        <w:rPr>
          <w:rFonts w:hint="eastAsia" w:ascii="仿宋" w:hAnsi="仿宋" w:eastAsia="仿宋"/>
          <w:color w:val="auto"/>
          <w:sz w:val="32"/>
          <w:szCs w:val="32"/>
          <w:highlight w:val="none"/>
          <w:lang w:val="en-US" w:eastAsia="zh-CN"/>
        </w:rPr>
        <w:t>2022年年初结转资金较2021年下降</w:t>
      </w:r>
      <w:r>
        <w:rPr>
          <w:rFonts w:hint="eastAsia" w:ascii="仿宋" w:hAnsi="仿宋" w:eastAsia="仿宋"/>
          <w:color w:val="auto"/>
          <w:sz w:val="32"/>
          <w:szCs w:val="32"/>
          <w:highlight w:val="none"/>
          <w:lang w:eastAsia="zh-CN"/>
        </w:rPr>
        <w:t>。</w:t>
      </w:r>
    </w:p>
    <w:p>
      <w:pPr>
        <w:spacing w:line="600" w:lineRule="exact"/>
        <w:ind w:firstLine="640" w:firstLineChars="200"/>
        <w:rPr>
          <w:rFonts w:ascii="仿宋" w:hAnsi="仿宋" w:eastAsia="仿宋"/>
          <w:color w:val="auto"/>
          <w:sz w:val="32"/>
          <w:szCs w:val="32"/>
          <w:highlight w:val="none"/>
        </w:rPr>
      </w:pPr>
      <w:r>
        <w:rPr>
          <w:rFonts w:hint="eastAsia" w:ascii="仿宋" w:hAnsi="仿宋" w:eastAsia="仿宋"/>
          <w:color w:val="auto"/>
          <w:sz w:val="32"/>
          <w:szCs w:val="32"/>
          <w:highlight w:val="none"/>
        </w:rPr>
        <w:t>（图</w:t>
      </w:r>
      <w:r>
        <w:rPr>
          <w:rFonts w:ascii="仿宋" w:hAnsi="仿宋" w:eastAsia="仿宋"/>
          <w:color w:val="auto"/>
          <w:sz w:val="32"/>
          <w:szCs w:val="32"/>
          <w:highlight w:val="none"/>
        </w:rPr>
        <w:t>1</w:t>
      </w:r>
      <w:r>
        <w:rPr>
          <w:rFonts w:hint="eastAsia" w:ascii="仿宋" w:hAnsi="仿宋" w:eastAsia="仿宋"/>
          <w:color w:val="auto"/>
          <w:sz w:val="32"/>
          <w:szCs w:val="32"/>
          <w:highlight w:val="none"/>
        </w:rPr>
        <w:t>：收、支决算总计变动情况图）（柱状图）</w:t>
      </w:r>
    </w:p>
    <w:p>
      <w:pPr>
        <w:spacing w:line="600" w:lineRule="exact"/>
        <w:jc w:val="center"/>
      </w:pPr>
      <w:r>
        <w:drawing>
          <wp:anchor distT="0" distB="0" distL="114300" distR="114300" simplePos="0" relativeHeight="251659264" behindDoc="0" locked="0" layoutInCell="1" allowOverlap="1">
            <wp:simplePos x="0" y="0"/>
            <wp:positionH relativeFrom="column">
              <wp:posOffset>1170305</wp:posOffset>
            </wp:positionH>
            <wp:positionV relativeFrom="paragraph">
              <wp:posOffset>139065</wp:posOffset>
            </wp:positionV>
            <wp:extent cx="3137535" cy="2124075"/>
            <wp:effectExtent l="4445" t="4445" r="20320" b="5080"/>
            <wp:wrapSquare wrapText="bothSides"/>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anchor>
        </w:drawing>
      </w:r>
    </w:p>
    <w:p>
      <w:pPr>
        <w:spacing w:line="600" w:lineRule="exact"/>
        <w:ind w:firstLine="420" w:firstLineChars="200"/>
        <w:jc w:val="center"/>
      </w:pPr>
    </w:p>
    <w:p>
      <w:pPr>
        <w:spacing w:line="600" w:lineRule="exact"/>
        <w:ind w:firstLine="420" w:firstLineChars="200"/>
        <w:jc w:val="left"/>
      </w:pPr>
    </w:p>
    <w:p>
      <w:pPr>
        <w:spacing w:line="600" w:lineRule="exact"/>
        <w:ind w:firstLine="420" w:firstLineChars="200"/>
        <w:jc w:val="left"/>
      </w:pPr>
    </w:p>
    <w:p>
      <w:pPr>
        <w:spacing w:line="600" w:lineRule="exact"/>
        <w:ind w:firstLine="420" w:firstLineChars="200"/>
        <w:jc w:val="left"/>
      </w:pPr>
    </w:p>
    <w:p>
      <w:pPr>
        <w:spacing w:line="600" w:lineRule="exact"/>
        <w:jc w:val="left"/>
        <w:rPr>
          <w:rFonts w:ascii="仿宋_GB2312" w:eastAsia="仿宋_GB2312"/>
          <w:color w:val="auto"/>
          <w:sz w:val="32"/>
          <w:szCs w:val="32"/>
          <w:highlight w:val="none"/>
        </w:rPr>
      </w:pPr>
    </w:p>
    <w:p>
      <w:pPr>
        <w:pStyle w:val="30"/>
        <w:numPr>
          <w:ilvl w:val="0"/>
          <w:numId w:val="1"/>
        </w:numPr>
        <w:spacing w:line="600" w:lineRule="exact"/>
        <w:ind w:firstLineChars="0"/>
        <w:outlineLvl w:val="1"/>
        <w:rPr>
          <w:rStyle w:val="20"/>
          <w:rFonts w:ascii="黑体" w:hAnsi="黑体" w:eastAsia="黑体"/>
          <w:b w:val="0"/>
          <w:color w:val="auto"/>
          <w:highlight w:val="none"/>
        </w:rPr>
      </w:pPr>
      <w:bookmarkStart w:id="27" w:name="_Toc3526"/>
      <w:bookmarkStart w:id="28" w:name="_Toc15396604"/>
      <w:bookmarkStart w:id="29" w:name="_Toc15377206"/>
      <w:r>
        <w:rPr>
          <w:rFonts w:hint="eastAsia" w:ascii="黑体" w:hAnsi="黑体" w:eastAsia="黑体"/>
          <w:color w:val="auto"/>
          <w:sz w:val="32"/>
          <w:szCs w:val="32"/>
          <w:highlight w:val="none"/>
        </w:rPr>
        <w:t>收</w:t>
      </w:r>
      <w:r>
        <w:rPr>
          <w:rStyle w:val="20"/>
          <w:rFonts w:hint="eastAsia" w:ascii="黑体" w:hAnsi="黑体" w:eastAsia="黑体"/>
          <w:b w:val="0"/>
          <w:color w:val="auto"/>
          <w:highlight w:val="none"/>
        </w:rPr>
        <w:t>入决算情况说明</w:t>
      </w:r>
      <w:bookmarkEnd w:id="27"/>
      <w:bookmarkEnd w:id="28"/>
      <w:bookmarkEnd w:id="29"/>
    </w:p>
    <w:p>
      <w:pPr>
        <w:spacing w:line="600" w:lineRule="exact"/>
        <w:ind w:firstLine="640" w:firstLineChars="200"/>
        <w:outlineLvl w:val="1"/>
        <w:rPr>
          <w:rFonts w:ascii="仿宋" w:hAnsi="仿宋" w:eastAsia="仿宋"/>
          <w:color w:val="auto"/>
          <w:sz w:val="32"/>
          <w:szCs w:val="32"/>
          <w:highlight w:val="none"/>
        </w:rPr>
      </w:pPr>
      <w:bookmarkStart w:id="30" w:name="_Toc1133"/>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年本年收入合计</w:t>
      </w:r>
      <w:r>
        <w:rPr>
          <w:rFonts w:hint="eastAsia" w:ascii="仿宋" w:hAnsi="仿宋" w:eastAsia="仿宋"/>
          <w:color w:val="auto"/>
          <w:sz w:val="32"/>
          <w:szCs w:val="32"/>
          <w:highlight w:val="none"/>
          <w:lang w:val="en-US" w:eastAsia="zh-CN"/>
        </w:rPr>
        <w:t>3062.57</w:t>
      </w:r>
      <w:r>
        <w:rPr>
          <w:rFonts w:hint="eastAsia" w:ascii="仿宋" w:hAnsi="仿宋" w:eastAsia="仿宋"/>
          <w:color w:val="auto"/>
          <w:sz w:val="32"/>
          <w:szCs w:val="32"/>
          <w:highlight w:val="none"/>
        </w:rPr>
        <w:t>万元，其中：一般公共预算财政拨款收入</w:t>
      </w:r>
      <w:r>
        <w:rPr>
          <w:rFonts w:hint="eastAsia" w:ascii="仿宋" w:hAnsi="仿宋" w:eastAsia="仿宋"/>
          <w:color w:val="auto"/>
          <w:sz w:val="32"/>
          <w:szCs w:val="32"/>
          <w:highlight w:val="none"/>
          <w:lang w:val="en-US" w:eastAsia="zh-CN"/>
        </w:rPr>
        <w:t>3059.39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99.89</w:t>
      </w:r>
      <w:r>
        <w:rPr>
          <w:rFonts w:ascii="仿宋" w:hAnsi="仿宋" w:eastAsia="仿宋"/>
          <w:color w:val="auto"/>
          <w:sz w:val="32"/>
          <w:szCs w:val="32"/>
          <w:highlight w:val="none"/>
        </w:rPr>
        <w:t>%</w:t>
      </w:r>
      <w:r>
        <w:rPr>
          <w:rFonts w:hint="eastAsia" w:ascii="仿宋" w:hAnsi="仿宋" w:eastAsia="仿宋"/>
          <w:color w:val="auto"/>
          <w:sz w:val="32"/>
          <w:szCs w:val="32"/>
          <w:highlight w:val="none"/>
        </w:rPr>
        <w:t>；其他收入</w:t>
      </w:r>
      <w:r>
        <w:rPr>
          <w:rFonts w:hint="eastAsia" w:ascii="仿宋" w:hAnsi="仿宋" w:eastAsia="仿宋"/>
          <w:color w:val="auto"/>
          <w:sz w:val="32"/>
          <w:szCs w:val="32"/>
          <w:highlight w:val="none"/>
          <w:lang w:val="en-US" w:eastAsia="zh-CN"/>
        </w:rPr>
        <w:t>3.18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0.11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0"/>
    </w:p>
    <w:p>
      <w:pPr>
        <w:spacing w:line="600" w:lineRule="exact"/>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（图2：收入决算结构图）（饼状图）</w:t>
      </w:r>
    </w:p>
    <w:p>
      <w:pPr>
        <w:pStyle w:val="6"/>
        <w:jc w:val="center"/>
        <w:rPr>
          <w:rFonts w:ascii="仿宋_GB2312" w:eastAsia="仿宋_GB2312"/>
          <w:color w:val="auto"/>
          <w:sz w:val="32"/>
          <w:szCs w:val="32"/>
          <w:highlight w:val="none"/>
        </w:rPr>
      </w:pPr>
      <w:r>
        <w:drawing>
          <wp:inline distT="0" distB="0" distL="114300" distR="114300">
            <wp:extent cx="2579370" cy="1646555"/>
            <wp:effectExtent l="4445" t="4445" r="6985" b="6350"/>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pPr>
        <w:pStyle w:val="30"/>
        <w:numPr>
          <w:ilvl w:val="0"/>
          <w:numId w:val="1"/>
        </w:numPr>
        <w:spacing w:line="600" w:lineRule="exact"/>
        <w:ind w:firstLineChars="0"/>
        <w:outlineLvl w:val="1"/>
        <w:rPr>
          <w:rStyle w:val="20"/>
          <w:rFonts w:ascii="黑体" w:hAnsi="黑体" w:eastAsia="黑体"/>
          <w:b w:val="0"/>
          <w:color w:val="auto"/>
          <w:highlight w:val="none"/>
        </w:rPr>
      </w:pPr>
      <w:bookmarkStart w:id="31" w:name="_Toc15396605"/>
      <w:bookmarkStart w:id="32" w:name="_Toc13401"/>
      <w:bookmarkStart w:id="33" w:name="_Toc15377207"/>
      <w:r>
        <w:rPr>
          <w:rFonts w:hint="eastAsia" w:ascii="黑体" w:hAnsi="黑体" w:eastAsia="黑体"/>
          <w:color w:val="auto"/>
          <w:sz w:val="32"/>
          <w:szCs w:val="32"/>
          <w:highlight w:val="none"/>
        </w:rPr>
        <w:t>支</w:t>
      </w:r>
      <w:r>
        <w:rPr>
          <w:rStyle w:val="20"/>
          <w:rFonts w:hint="eastAsia" w:ascii="黑体" w:hAnsi="黑体" w:eastAsia="黑体"/>
          <w:b w:val="0"/>
          <w:color w:val="auto"/>
          <w:highlight w:val="none"/>
        </w:rPr>
        <w:t>出决算情况说明</w:t>
      </w:r>
      <w:bookmarkEnd w:id="31"/>
      <w:bookmarkEnd w:id="32"/>
      <w:bookmarkEnd w:id="33"/>
    </w:p>
    <w:p>
      <w:pPr>
        <w:spacing w:line="600" w:lineRule="exact"/>
        <w:ind w:firstLine="640" w:firstLineChars="200"/>
        <w:outlineLvl w:val="1"/>
        <w:rPr>
          <w:rFonts w:ascii="仿宋" w:hAnsi="仿宋" w:eastAsia="仿宋"/>
          <w:color w:val="auto"/>
          <w:sz w:val="32"/>
          <w:szCs w:val="32"/>
          <w:highlight w:val="none"/>
        </w:rPr>
      </w:pPr>
      <w:bookmarkStart w:id="34" w:name="_Toc25566"/>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年本年支出合计</w:t>
      </w:r>
      <w:r>
        <w:rPr>
          <w:rFonts w:hint="eastAsia" w:ascii="仿宋" w:hAnsi="仿宋" w:eastAsia="仿宋"/>
          <w:color w:val="auto"/>
          <w:sz w:val="32"/>
          <w:szCs w:val="32"/>
          <w:highlight w:val="none"/>
          <w:lang w:val="en-US" w:eastAsia="zh-CN"/>
        </w:rPr>
        <w:t>3308.21</w:t>
      </w:r>
      <w:r>
        <w:rPr>
          <w:rFonts w:hint="eastAsia" w:ascii="仿宋" w:hAnsi="仿宋" w:eastAsia="仿宋"/>
          <w:color w:val="auto"/>
          <w:sz w:val="32"/>
          <w:szCs w:val="32"/>
          <w:highlight w:val="none"/>
        </w:rPr>
        <w:t>万元，其中：基本支出</w:t>
      </w:r>
      <w:r>
        <w:rPr>
          <w:rFonts w:hint="eastAsia" w:ascii="仿宋" w:hAnsi="仿宋" w:eastAsia="仿宋"/>
          <w:color w:val="auto"/>
          <w:sz w:val="32"/>
          <w:szCs w:val="32"/>
          <w:highlight w:val="none"/>
          <w:lang w:val="en-US" w:eastAsia="zh-CN"/>
        </w:rPr>
        <w:t>2009.62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60.74</w:t>
      </w:r>
      <w:r>
        <w:rPr>
          <w:rFonts w:ascii="仿宋" w:hAnsi="仿宋" w:eastAsia="仿宋"/>
          <w:color w:val="auto"/>
          <w:sz w:val="32"/>
          <w:szCs w:val="32"/>
          <w:highlight w:val="none"/>
        </w:rPr>
        <w:t>%</w:t>
      </w:r>
      <w:r>
        <w:rPr>
          <w:rFonts w:hint="eastAsia" w:ascii="仿宋" w:hAnsi="仿宋" w:eastAsia="仿宋"/>
          <w:color w:val="auto"/>
          <w:sz w:val="32"/>
          <w:szCs w:val="32"/>
          <w:highlight w:val="none"/>
        </w:rPr>
        <w:t>；项目支出</w:t>
      </w:r>
      <w:r>
        <w:rPr>
          <w:rFonts w:hint="eastAsia" w:ascii="仿宋" w:hAnsi="仿宋" w:eastAsia="仿宋"/>
          <w:color w:val="auto"/>
          <w:sz w:val="32"/>
          <w:szCs w:val="32"/>
          <w:highlight w:val="none"/>
          <w:lang w:val="en-US" w:eastAsia="zh-CN"/>
        </w:rPr>
        <w:t>1298.59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39.26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bookmarkEnd w:id="34"/>
    </w:p>
    <w:p>
      <w:pPr>
        <w:spacing w:line="600" w:lineRule="exact"/>
        <w:jc w:val="center"/>
        <w:rPr>
          <w:rFonts w:ascii="仿宋_GB2312" w:eastAsia="仿宋_GB2312"/>
          <w:color w:val="auto"/>
          <w:sz w:val="32"/>
          <w:szCs w:val="32"/>
          <w:highlight w:val="none"/>
        </w:rPr>
      </w:pPr>
      <w:r>
        <w:rPr>
          <w:rFonts w:hint="eastAsia" w:ascii="仿宋" w:hAnsi="仿宋" w:eastAsia="仿宋"/>
          <w:color w:val="auto"/>
          <w:sz w:val="32"/>
          <w:szCs w:val="32"/>
          <w:highlight w:val="none"/>
        </w:rPr>
        <w:t>（图3：支出决算结构图）（饼状图）</w:t>
      </w:r>
    </w:p>
    <w:p>
      <w:pPr>
        <w:pStyle w:val="6"/>
        <w:jc w:val="center"/>
        <w:rPr>
          <w:rFonts w:ascii="仿宋_GB2312" w:eastAsia="仿宋_GB2312"/>
          <w:color w:val="auto"/>
          <w:sz w:val="32"/>
          <w:szCs w:val="32"/>
          <w:highlight w:val="none"/>
        </w:rPr>
      </w:pPr>
      <w:r>
        <w:drawing>
          <wp:inline distT="0" distB="0" distL="114300" distR="114300">
            <wp:extent cx="2825115" cy="1904365"/>
            <wp:effectExtent l="4445" t="4445" r="8890" b="15240"/>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pPr>
        <w:spacing w:line="600" w:lineRule="exact"/>
        <w:ind w:firstLine="640" w:firstLineChars="200"/>
        <w:outlineLvl w:val="1"/>
        <w:rPr>
          <w:rStyle w:val="20"/>
          <w:rFonts w:ascii="黑体" w:hAnsi="黑体" w:eastAsia="黑体"/>
          <w:b w:val="0"/>
          <w:color w:val="auto"/>
          <w:highlight w:val="none"/>
        </w:rPr>
      </w:pPr>
      <w:bookmarkStart w:id="35" w:name="_Toc26273"/>
      <w:bookmarkStart w:id="36" w:name="_Toc15377208"/>
      <w:bookmarkStart w:id="37" w:name="_Toc15396606"/>
      <w:r>
        <w:rPr>
          <w:rFonts w:hint="eastAsia" w:ascii="黑体" w:hAnsi="黑体" w:eastAsia="黑体"/>
          <w:color w:val="auto"/>
          <w:sz w:val="32"/>
          <w:szCs w:val="32"/>
          <w:highlight w:val="none"/>
        </w:rPr>
        <w:t>四、财</w:t>
      </w:r>
      <w:r>
        <w:rPr>
          <w:rStyle w:val="20"/>
          <w:rFonts w:hint="eastAsia" w:ascii="黑体" w:hAnsi="黑体" w:eastAsia="黑体"/>
          <w:b w:val="0"/>
          <w:color w:val="auto"/>
          <w:highlight w:val="none"/>
        </w:rPr>
        <w:t>政拨款收入支出决算总体情况说明</w:t>
      </w:r>
      <w:bookmarkEnd w:id="35"/>
      <w:bookmarkEnd w:id="36"/>
      <w:bookmarkEnd w:id="37"/>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年财政拨款收、支总计</w:t>
      </w:r>
      <w:r>
        <w:rPr>
          <w:rFonts w:hint="eastAsia" w:ascii="仿宋" w:hAnsi="仿宋" w:eastAsia="仿宋"/>
          <w:color w:val="auto"/>
          <w:sz w:val="32"/>
          <w:szCs w:val="32"/>
          <w:highlight w:val="none"/>
          <w:lang w:val="en-US" w:eastAsia="zh-CN"/>
        </w:rPr>
        <w:t>3364.89</w:t>
      </w:r>
      <w:r>
        <w:rPr>
          <w:rFonts w:hint="eastAsia" w:ascii="仿宋" w:hAnsi="仿宋" w:eastAsia="仿宋"/>
          <w:color w:val="auto"/>
          <w:sz w:val="32"/>
          <w:szCs w:val="32"/>
          <w:highlight w:val="none"/>
        </w:rPr>
        <w:t>万元。与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年相比，财政拨款收、支总计各减少</w:t>
      </w:r>
      <w:r>
        <w:rPr>
          <w:rFonts w:hint="eastAsia" w:ascii="仿宋" w:hAnsi="仿宋" w:eastAsia="仿宋"/>
          <w:color w:val="auto"/>
          <w:sz w:val="32"/>
          <w:szCs w:val="32"/>
          <w:highlight w:val="none"/>
          <w:lang w:val="en-US" w:eastAsia="zh-CN"/>
        </w:rPr>
        <w:t>436.11</w:t>
      </w:r>
      <w:r>
        <w:rPr>
          <w:rFonts w:hint="eastAsia" w:ascii="仿宋" w:hAnsi="仿宋" w:eastAsia="仿宋"/>
          <w:color w:val="auto"/>
          <w:sz w:val="32"/>
          <w:szCs w:val="32"/>
          <w:highlight w:val="none"/>
        </w:rPr>
        <w:t>万元，下降</w:t>
      </w:r>
      <w:r>
        <w:rPr>
          <w:rFonts w:hint="eastAsia" w:ascii="仿宋" w:hAnsi="仿宋" w:eastAsia="仿宋"/>
          <w:color w:val="auto"/>
          <w:sz w:val="32"/>
          <w:szCs w:val="32"/>
          <w:highlight w:val="none"/>
          <w:lang w:val="en-US" w:eastAsia="zh-CN"/>
        </w:rPr>
        <w:t>11.47</w:t>
      </w:r>
      <w:r>
        <w:rPr>
          <w:rFonts w:ascii="仿宋" w:hAnsi="仿宋" w:eastAsia="仿宋"/>
          <w:color w:val="auto"/>
          <w:sz w:val="32"/>
          <w:szCs w:val="32"/>
          <w:highlight w:val="none"/>
        </w:rPr>
        <w:t>%</w:t>
      </w:r>
      <w:r>
        <w:rPr>
          <w:rFonts w:hint="eastAsia" w:ascii="仿宋" w:hAnsi="仿宋" w:eastAsia="仿宋"/>
          <w:color w:val="auto"/>
          <w:sz w:val="32"/>
          <w:szCs w:val="32"/>
          <w:highlight w:val="none"/>
        </w:rPr>
        <w:t>。主要变动原因是</w:t>
      </w:r>
      <w:r>
        <w:rPr>
          <w:rFonts w:hint="eastAsia" w:ascii="仿宋" w:hAnsi="仿宋" w:eastAsia="仿宋"/>
          <w:color w:val="auto"/>
          <w:sz w:val="32"/>
          <w:szCs w:val="32"/>
          <w:highlight w:val="none"/>
          <w:lang w:eastAsia="zh-CN"/>
        </w:rPr>
        <w:t>局机关及下属事业单位</w:t>
      </w:r>
      <w:r>
        <w:rPr>
          <w:rFonts w:hint="eastAsia" w:ascii="仿宋" w:hAnsi="仿宋" w:eastAsia="仿宋"/>
          <w:color w:val="auto"/>
          <w:sz w:val="32"/>
          <w:szCs w:val="32"/>
          <w:highlight w:val="none"/>
          <w:lang w:val="en-US" w:eastAsia="zh-CN"/>
        </w:rPr>
        <w:t>2022年年初财政拨款结转资金较2021年下降。</w:t>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（图4：财政拨款收、支决算总计变动情况）（柱状图）</w:t>
      </w:r>
    </w:p>
    <w:p>
      <w:pPr>
        <w:spacing w:line="600" w:lineRule="exact"/>
        <w:ind w:firstLine="640"/>
        <w:rPr>
          <w:rFonts w:ascii="仿宋" w:hAnsi="仿宋" w:eastAsia="仿宋"/>
          <w:b/>
          <w:color w:val="auto"/>
          <w:sz w:val="32"/>
          <w:szCs w:val="32"/>
          <w:highlight w:val="none"/>
        </w:rPr>
      </w:pPr>
    </w:p>
    <w:p>
      <w:pPr>
        <w:pStyle w:val="6"/>
        <w:jc w:val="center"/>
        <w:rPr>
          <w:rFonts w:ascii="仿宋" w:hAnsi="仿宋" w:eastAsia="仿宋"/>
          <w:b/>
          <w:color w:val="auto"/>
          <w:sz w:val="32"/>
          <w:szCs w:val="32"/>
          <w:highlight w:val="none"/>
        </w:rPr>
      </w:pPr>
      <w:r>
        <w:drawing>
          <wp:inline distT="0" distB="0" distL="114300" distR="114300">
            <wp:extent cx="3709670" cy="1999615"/>
            <wp:effectExtent l="4445" t="4445" r="19685" b="15240"/>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pPr>
        <w:spacing w:line="600" w:lineRule="exact"/>
        <w:ind w:firstLine="640" w:firstLineChars="200"/>
        <w:outlineLvl w:val="1"/>
        <w:rPr>
          <w:rStyle w:val="20"/>
          <w:rFonts w:ascii="黑体" w:hAnsi="黑体" w:eastAsia="黑体"/>
          <w:b w:val="0"/>
          <w:color w:val="auto"/>
          <w:highlight w:val="none"/>
        </w:rPr>
      </w:pPr>
      <w:bookmarkStart w:id="38" w:name="_Toc15396607"/>
      <w:bookmarkStart w:id="39" w:name="_Toc31955"/>
      <w:bookmarkStart w:id="40" w:name="_Toc15377209"/>
      <w:r>
        <w:rPr>
          <w:rFonts w:hint="eastAsia" w:ascii="黑体" w:hAnsi="黑体" w:eastAsia="黑体"/>
          <w:color w:val="auto"/>
          <w:sz w:val="32"/>
          <w:szCs w:val="32"/>
          <w:highlight w:val="none"/>
        </w:rPr>
        <w:t>五、</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般公共预算财政拨款支出决算情况说明</w:t>
      </w:r>
      <w:bookmarkEnd w:id="38"/>
      <w:bookmarkEnd w:id="39"/>
      <w:bookmarkEnd w:id="40"/>
    </w:p>
    <w:p>
      <w:pPr>
        <w:spacing w:line="600" w:lineRule="exact"/>
        <w:ind w:firstLine="642" w:firstLineChars="200"/>
        <w:outlineLvl w:val="2"/>
        <w:rPr>
          <w:rFonts w:ascii="仿宋" w:hAnsi="仿宋" w:eastAsia="仿宋"/>
          <w:b/>
          <w:color w:val="auto"/>
          <w:sz w:val="32"/>
          <w:szCs w:val="32"/>
          <w:highlight w:val="none"/>
        </w:rPr>
      </w:pPr>
      <w:bookmarkStart w:id="41" w:name="_Toc15377210"/>
      <w:r>
        <w:rPr>
          <w:rFonts w:hint="eastAsia" w:ascii="仿宋" w:hAnsi="仿宋" w:eastAsia="仿宋"/>
          <w:b/>
          <w:color w:val="auto"/>
          <w:sz w:val="32"/>
          <w:szCs w:val="32"/>
          <w:highlight w:val="none"/>
        </w:rPr>
        <w:t>（一）一般公共预算财政拨款支出决算总体情况</w:t>
      </w:r>
      <w:bookmarkEnd w:id="41"/>
    </w:p>
    <w:p>
      <w:pPr>
        <w:spacing w:line="600" w:lineRule="exact"/>
        <w:ind w:firstLine="640" w:firstLineChars="20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3287.11</w:t>
      </w:r>
      <w:r>
        <w:rPr>
          <w:rFonts w:hint="eastAsia" w:ascii="仿宋" w:hAnsi="仿宋" w:eastAsia="仿宋"/>
          <w:color w:val="auto"/>
          <w:sz w:val="32"/>
          <w:szCs w:val="32"/>
          <w:highlight w:val="none"/>
        </w:rPr>
        <w:t>万元，占本年支出合计的</w:t>
      </w:r>
      <w:r>
        <w:rPr>
          <w:rFonts w:hint="eastAsia" w:ascii="仿宋" w:hAnsi="仿宋" w:eastAsia="仿宋"/>
          <w:color w:val="auto"/>
          <w:sz w:val="32"/>
          <w:szCs w:val="32"/>
          <w:highlight w:val="none"/>
          <w:lang w:val="en-US" w:eastAsia="zh-CN"/>
        </w:rPr>
        <w:t>99.36</w:t>
      </w:r>
      <w:r>
        <w:rPr>
          <w:rFonts w:ascii="仿宋" w:hAnsi="仿宋" w:eastAsia="仿宋"/>
          <w:color w:val="auto"/>
          <w:sz w:val="32"/>
          <w:szCs w:val="32"/>
          <w:highlight w:val="none"/>
        </w:rPr>
        <w:t>%</w:t>
      </w:r>
      <w:r>
        <w:rPr>
          <w:rFonts w:hint="eastAsia" w:ascii="仿宋" w:hAnsi="仿宋" w:eastAsia="仿宋"/>
          <w:color w:val="auto"/>
          <w:sz w:val="32"/>
          <w:szCs w:val="32"/>
          <w:highlight w:val="none"/>
        </w:rPr>
        <w:t>。与</w:t>
      </w: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年相比，一般公共预算财政拨款</w:t>
      </w:r>
      <w:r>
        <w:rPr>
          <w:rFonts w:hint="eastAsia" w:ascii="仿宋" w:hAnsi="仿宋" w:eastAsia="仿宋"/>
          <w:color w:val="auto"/>
          <w:sz w:val="32"/>
          <w:szCs w:val="32"/>
          <w:highlight w:val="none"/>
          <w:lang w:eastAsia="zh-CN"/>
        </w:rPr>
        <w:t>支出</w:t>
      </w:r>
      <w:r>
        <w:rPr>
          <w:rFonts w:hint="eastAsia" w:ascii="仿宋" w:hAnsi="仿宋" w:eastAsia="仿宋"/>
          <w:color w:val="auto"/>
          <w:sz w:val="32"/>
          <w:szCs w:val="32"/>
          <w:highlight w:val="none"/>
        </w:rPr>
        <w:t>增加</w:t>
      </w:r>
      <w:r>
        <w:rPr>
          <w:rFonts w:hint="eastAsia" w:ascii="仿宋" w:hAnsi="仿宋" w:eastAsia="仿宋"/>
          <w:color w:val="auto"/>
          <w:sz w:val="32"/>
          <w:szCs w:val="32"/>
          <w:highlight w:val="none"/>
          <w:lang w:val="en-US" w:eastAsia="zh-CN"/>
        </w:rPr>
        <w:t>92.53</w:t>
      </w:r>
      <w:r>
        <w:rPr>
          <w:rFonts w:hint="eastAsia" w:ascii="仿宋" w:hAnsi="仿宋" w:eastAsia="仿宋"/>
          <w:color w:val="auto"/>
          <w:sz w:val="32"/>
          <w:szCs w:val="32"/>
          <w:highlight w:val="none"/>
        </w:rPr>
        <w:t>万元，增长</w:t>
      </w:r>
      <w:r>
        <w:rPr>
          <w:rFonts w:hint="eastAsia" w:ascii="仿宋" w:hAnsi="仿宋" w:eastAsia="仿宋"/>
          <w:color w:val="auto"/>
          <w:sz w:val="32"/>
          <w:szCs w:val="32"/>
          <w:highlight w:val="none"/>
          <w:lang w:val="en-US" w:eastAsia="zh-CN"/>
        </w:rPr>
        <w:t>2.89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_GB2312" w:hAnsi="仿宋_GB2312" w:eastAsia="仿宋_GB2312" w:cs="仿宋_GB2312"/>
          <w:color w:val="auto"/>
          <w:sz w:val="32"/>
          <w:szCs w:val="32"/>
          <w:highlight w:val="none"/>
        </w:rPr>
        <w:t>主要变动原因</w:t>
      </w:r>
      <w:r>
        <w:rPr>
          <w:rFonts w:hint="eastAsia" w:ascii="仿宋_GB2312" w:hAnsi="仿宋_GB2312" w:eastAsia="仿宋_GB2312" w:cs="仿宋_GB2312"/>
          <w:color w:val="auto"/>
          <w:sz w:val="32"/>
          <w:szCs w:val="32"/>
          <w:highlight w:val="none"/>
          <w:lang w:val="en-US" w:eastAsia="zh-CN"/>
        </w:rPr>
        <w:t>是下属单位财政评审中心因开展政府性投资项目财政评审工作增加项目支出。</w:t>
      </w:r>
    </w:p>
    <w:p>
      <w:pPr>
        <w:spacing w:line="600" w:lineRule="exact"/>
        <w:jc w:val="center"/>
        <w:rPr>
          <w:rFonts w:ascii="仿宋" w:hAnsi="仿宋" w:eastAsia="仿宋"/>
          <w:color w:val="auto"/>
          <w:spacing w:val="-20"/>
          <w:sz w:val="32"/>
          <w:szCs w:val="32"/>
          <w:highlight w:val="none"/>
        </w:rPr>
      </w:pPr>
      <w:r>
        <w:rPr>
          <w:rFonts w:hint="eastAsia" w:ascii="仿宋" w:hAnsi="仿宋" w:eastAsia="仿宋"/>
          <w:color w:val="auto"/>
          <w:spacing w:val="-20"/>
          <w:sz w:val="32"/>
          <w:szCs w:val="32"/>
          <w:highlight w:val="none"/>
        </w:rPr>
        <w:t>（图5：一般公共预算财政拨款支出决算变动情况）（柱状图）</w:t>
      </w:r>
    </w:p>
    <w:p>
      <w:pPr>
        <w:pStyle w:val="6"/>
        <w:jc w:val="center"/>
        <w:rPr>
          <w:rFonts w:ascii="仿宋" w:hAnsi="仿宋" w:eastAsia="仿宋"/>
          <w:color w:val="auto"/>
          <w:sz w:val="32"/>
          <w:szCs w:val="32"/>
          <w:highlight w:val="none"/>
        </w:rPr>
      </w:pPr>
      <w:r>
        <w:drawing>
          <wp:inline distT="0" distB="0" distL="114300" distR="114300">
            <wp:extent cx="4262755" cy="2266315"/>
            <wp:effectExtent l="4445" t="4445" r="19050" b="15240"/>
            <wp:docPr id="6"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pPr>
        <w:spacing w:line="600" w:lineRule="exact"/>
        <w:ind w:firstLine="642" w:firstLineChars="200"/>
        <w:outlineLvl w:val="2"/>
        <w:rPr>
          <w:rFonts w:ascii="仿宋" w:hAnsi="仿宋" w:eastAsia="仿宋"/>
          <w:b/>
          <w:color w:val="auto"/>
          <w:sz w:val="32"/>
          <w:szCs w:val="32"/>
          <w:highlight w:val="none"/>
        </w:rPr>
      </w:pPr>
      <w:bookmarkStart w:id="42" w:name="_Toc15377211"/>
      <w:r>
        <w:rPr>
          <w:rFonts w:hint="eastAsia" w:ascii="仿宋" w:hAnsi="仿宋" w:eastAsia="仿宋"/>
          <w:b/>
          <w:color w:val="auto"/>
          <w:sz w:val="32"/>
          <w:szCs w:val="32"/>
          <w:highlight w:val="none"/>
        </w:rPr>
        <w:t>（二）一般公共预算财政拨款支出决算结构情况</w:t>
      </w:r>
      <w:bookmarkEnd w:id="42"/>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年一般公共预算财政拨款支出</w:t>
      </w:r>
      <w:r>
        <w:rPr>
          <w:rFonts w:hint="eastAsia" w:ascii="仿宋" w:hAnsi="仿宋" w:eastAsia="仿宋"/>
          <w:color w:val="auto"/>
          <w:sz w:val="32"/>
          <w:szCs w:val="32"/>
          <w:highlight w:val="none"/>
          <w:lang w:val="en-US" w:eastAsia="zh-CN"/>
        </w:rPr>
        <w:t>3287.11</w:t>
      </w:r>
      <w:r>
        <w:rPr>
          <w:rFonts w:hint="eastAsia" w:ascii="仿宋" w:hAnsi="仿宋" w:eastAsia="仿宋"/>
          <w:color w:val="auto"/>
          <w:sz w:val="32"/>
          <w:szCs w:val="32"/>
          <w:highlight w:val="none"/>
        </w:rPr>
        <w:t>万元，主要用于以下方面</w:t>
      </w:r>
      <w:r>
        <w:rPr>
          <w:rFonts w:hint="eastAsia" w:ascii="仿宋" w:hAnsi="仿宋" w:eastAsia="仿宋"/>
          <w:color w:val="auto"/>
          <w:sz w:val="32"/>
          <w:szCs w:val="32"/>
          <w:highlight w:val="none"/>
          <w:lang w:eastAsia="zh-CN"/>
        </w:rPr>
        <w:t>：</w:t>
      </w:r>
      <w:r>
        <w:rPr>
          <w:rFonts w:hint="eastAsia" w:ascii="仿宋" w:hAnsi="仿宋" w:eastAsia="仿宋"/>
          <w:b/>
          <w:color w:val="auto"/>
          <w:sz w:val="32"/>
          <w:szCs w:val="32"/>
          <w:highlight w:val="none"/>
        </w:rPr>
        <w:t>一般公共服务</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2885.69</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87.79</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color w:val="auto"/>
          <w:sz w:val="32"/>
          <w:szCs w:val="32"/>
          <w:highlight w:val="none"/>
        </w:rPr>
        <w:t>社会保障和就业</w:t>
      </w:r>
      <w:r>
        <w:rPr>
          <w:rFonts w:hint="eastAsia" w:ascii="仿宋" w:hAnsi="仿宋" w:eastAsia="仿宋"/>
          <w:b/>
          <w:bCs/>
          <w:color w:val="auto"/>
          <w:sz w:val="32"/>
          <w:szCs w:val="32"/>
          <w:highlight w:val="none"/>
        </w:rPr>
        <w:t>支出</w:t>
      </w:r>
      <w:r>
        <w:rPr>
          <w:rFonts w:hint="eastAsia" w:ascii="仿宋" w:hAnsi="仿宋" w:eastAsia="仿宋"/>
          <w:color w:val="auto"/>
          <w:sz w:val="32"/>
          <w:szCs w:val="32"/>
          <w:highlight w:val="none"/>
          <w:lang w:val="en-US" w:eastAsia="zh-CN"/>
        </w:rPr>
        <w:t>154.92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4.71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卫生健康支出</w:t>
      </w:r>
      <w:r>
        <w:rPr>
          <w:rFonts w:hint="eastAsia" w:ascii="仿宋" w:hAnsi="仿宋" w:eastAsia="仿宋"/>
          <w:b w:val="0"/>
          <w:bCs w:val="0"/>
          <w:color w:val="auto"/>
          <w:sz w:val="32"/>
          <w:szCs w:val="32"/>
          <w:highlight w:val="none"/>
          <w:lang w:val="en-US" w:eastAsia="zh-CN"/>
        </w:rPr>
        <w:t>61.12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1.86</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rPr>
        <w:t>住房保障支出</w:t>
      </w:r>
      <w:r>
        <w:rPr>
          <w:rFonts w:hint="eastAsia" w:ascii="仿宋" w:hAnsi="仿宋" w:eastAsia="仿宋"/>
          <w:color w:val="auto"/>
          <w:sz w:val="32"/>
          <w:szCs w:val="32"/>
          <w:highlight w:val="none"/>
          <w:lang w:val="en-US" w:eastAsia="zh-CN"/>
        </w:rPr>
        <w:t>155.58</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4.73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b/>
          <w:bCs/>
          <w:color w:val="auto"/>
          <w:sz w:val="32"/>
          <w:szCs w:val="32"/>
          <w:highlight w:val="none"/>
          <w:lang w:eastAsia="zh-CN"/>
        </w:rPr>
        <w:t>其他支出</w:t>
      </w:r>
      <w:r>
        <w:rPr>
          <w:rFonts w:hint="eastAsia" w:ascii="仿宋" w:hAnsi="仿宋" w:eastAsia="仿宋"/>
          <w:color w:val="auto"/>
          <w:sz w:val="32"/>
          <w:szCs w:val="32"/>
          <w:highlight w:val="none"/>
          <w:lang w:val="en-US" w:eastAsia="zh-CN"/>
        </w:rPr>
        <w:t>29.8万元，</w:t>
      </w:r>
      <w:r>
        <w:rPr>
          <w:rFonts w:hint="eastAsia" w:ascii="仿宋" w:hAnsi="仿宋" w:eastAsia="仿宋"/>
          <w:color w:val="auto"/>
          <w:sz w:val="32"/>
          <w:szCs w:val="32"/>
          <w:highlight w:val="none"/>
        </w:rPr>
        <w:t>占</w:t>
      </w:r>
      <w:r>
        <w:rPr>
          <w:rFonts w:hint="eastAsia" w:ascii="仿宋" w:hAnsi="仿宋" w:eastAsia="仿宋"/>
          <w:color w:val="auto"/>
          <w:sz w:val="32"/>
          <w:szCs w:val="32"/>
          <w:highlight w:val="none"/>
          <w:lang w:val="en-US" w:eastAsia="zh-CN"/>
        </w:rPr>
        <w:t>0.91</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spacing w:line="600" w:lineRule="exact"/>
        <w:jc w:val="center"/>
        <w:rPr>
          <w:rFonts w:ascii="仿宋" w:hAnsi="仿宋" w:eastAsia="仿宋"/>
          <w:color w:val="auto"/>
          <w:sz w:val="32"/>
          <w:szCs w:val="32"/>
          <w:highlight w:val="none"/>
        </w:rPr>
      </w:pPr>
      <w:r>
        <w:rPr>
          <w:rFonts w:hint="eastAsia" w:ascii="仿宋" w:hAnsi="仿宋" w:eastAsia="仿宋"/>
          <w:color w:val="auto"/>
          <w:sz w:val="32"/>
          <w:szCs w:val="32"/>
          <w:highlight w:val="none"/>
        </w:rPr>
        <w:t>（图6：一般公共预算财政拨款支出决算结构）（饼状图）</w:t>
      </w:r>
    </w:p>
    <w:p>
      <w:pPr>
        <w:spacing w:line="600" w:lineRule="exact"/>
        <w:jc w:val="center"/>
        <w:rPr>
          <w:rFonts w:ascii="仿宋" w:hAnsi="仿宋" w:eastAsia="仿宋"/>
          <w:color w:val="auto"/>
          <w:sz w:val="32"/>
          <w:szCs w:val="32"/>
          <w:highlight w:val="none"/>
        </w:rPr>
      </w:pPr>
      <w:r>
        <w:drawing>
          <wp:anchor distT="0" distB="0" distL="114300" distR="114300" simplePos="0" relativeHeight="251660288" behindDoc="0" locked="0" layoutInCell="1" allowOverlap="1">
            <wp:simplePos x="0" y="0"/>
            <wp:positionH relativeFrom="column">
              <wp:posOffset>565150</wp:posOffset>
            </wp:positionH>
            <wp:positionV relativeFrom="paragraph">
              <wp:posOffset>182245</wp:posOffset>
            </wp:positionV>
            <wp:extent cx="3789045" cy="2203450"/>
            <wp:effectExtent l="5080" t="5080" r="15875" b="2032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anchor>
        </w:drawing>
      </w:r>
    </w:p>
    <w:p>
      <w:pPr>
        <w:spacing w:line="600" w:lineRule="exact"/>
        <w:ind w:firstLine="642" w:firstLineChars="200"/>
        <w:jc w:val="center"/>
        <w:outlineLvl w:val="9"/>
        <w:rPr>
          <w:rFonts w:hint="eastAsia" w:ascii="仿宋" w:hAnsi="仿宋" w:eastAsia="仿宋"/>
          <w:b/>
          <w:color w:val="auto"/>
          <w:sz w:val="32"/>
          <w:szCs w:val="32"/>
          <w:highlight w:val="none"/>
        </w:rPr>
      </w:pPr>
      <w:bookmarkStart w:id="43" w:name="_Toc15377212"/>
    </w:p>
    <w:p>
      <w:pPr>
        <w:spacing w:line="600" w:lineRule="exact"/>
        <w:ind w:firstLine="642" w:firstLineChars="200"/>
        <w:outlineLvl w:val="9"/>
        <w:rPr>
          <w:rFonts w:hint="eastAsia" w:ascii="仿宋" w:hAnsi="仿宋" w:eastAsia="仿宋"/>
          <w:b/>
          <w:color w:val="auto"/>
          <w:sz w:val="32"/>
          <w:szCs w:val="32"/>
          <w:highlight w:val="none"/>
        </w:rPr>
      </w:pPr>
    </w:p>
    <w:p>
      <w:pPr>
        <w:spacing w:line="600" w:lineRule="exact"/>
        <w:ind w:firstLine="642" w:firstLineChars="200"/>
        <w:outlineLvl w:val="9"/>
        <w:rPr>
          <w:rFonts w:hint="eastAsia" w:ascii="仿宋" w:hAnsi="仿宋" w:eastAsia="仿宋"/>
          <w:b/>
          <w:color w:val="auto"/>
          <w:sz w:val="32"/>
          <w:szCs w:val="32"/>
          <w:highlight w:val="none"/>
        </w:rPr>
      </w:pPr>
    </w:p>
    <w:p>
      <w:pPr>
        <w:spacing w:line="600" w:lineRule="exact"/>
        <w:outlineLvl w:val="9"/>
        <w:rPr>
          <w:rFonts w:hint="eastAsia" w:ascii="仿宋" w:hAnsi="仿宋" w:eastAsia="仿宋"/>
          <w:b/>
          <w:color w:val="auto"/>
          <w:sz w:val="32"/>
          <w:szCs w:val="32"/>
          <w:highlight w:val="none"/>
        </w:rPr>
      </w:pPr>
    </w:p>
    <w:p>
      <w:pPr>
        <w:spacing w:line="600" w:lineRule="exact"/>
        <w:ind w:firstLine="642" w:firstLineChars="200"/>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（三）一般公共预算财政拨款支出决算具体情况</w:t>
      </w:r>
      <w:bookmarkEnd w:id="43"/>
    </w:p>
    <w:p>
      <w:pPr>
        <w:spacing w:line="600" w:lineRule="exact"/>
        <w:ind w:firstLine="642" w:firstLineChars="200"/>
        <w:outlineLvl w:val="2"/>
        <w:rPr>
          <w:rFonts w:ascii="仿宋" w:hAnsi="仿宋" w:eastAsia="仿宋"/>
          <w:color w:val="auto"/>
          <w:sz w:val="32"/>
          <w:szCs w:val="32"/>
          <w:highlight w:val="none"/>
        </w:rPr>
      </w:pPr>
      <w:bookmarkStart w:id="44" w:name="_Toc15378460"/>
      <w:bookmarkStart w:id="45" w:name="_Toc15377213"/>
      <w:bookmarkStart w:id="46" w:name="_Toc15377444"/>
      <w:r>
        <w:rPr>
          <w:rFonts w:hint="eastAsia" w:ascii="仿宋" w:hAnsi="仿宋" w:eastAsia="仿宋"/>
          <w:b/>
          <w:color w:val="auto"/>
          <w:sz w:val="32"/>
          <w:szCs w:val="32"/>
          <w:highlight w:val="none"/>
        </w:rPr>
        <w:t>20</w:t>
      </w:r>
      <w:r>
        <w:rPr>
          <w:rFonts w:hint="eastAsia" w:ascii="仿宋" w:hAnsi="仿宋" w:eastAsia="仿宋"/>
          <w:b/>
          <w:color w:val="auto"/>
          <w:sz w:val="32"/>
          <w:szCs w:val="32"/>
          <w:highlight w:val="none"/>
          <w:lang w:val="en-US" w:eastAsia="zh-CN"/>
        </w:rPr>
        <w:t>22</w:t>
      </w:r>
      <w:r>
        <w:rPr>
          <w:rFonts w:hint="eastAsia" w:ascii="仿宋" w:hAnsi="仿宋" w:eastAsia="仿宋"/>
          <w:b/>
          <w:color w:val="auto"/>
          <w:sz w:val="32"/>
          <w:szCs w:val="32"/>
          <w:highlight w:val="none"/>
        </w:rPr>
        <w:t>年</w:t>
      </w:r>
      <w:r>
        <w:rPr>
          <w:rFonts w:hint="eastAsia" w:ascii="仿宋" w:hAnsi="仿宋" w:eastAsia="仿宋"/>
          <w:b/>
          <w:color w:val="auto"/>
          <w:sz w:val="32"/>
          <w:szCs w:val="32"/>
          <w:highlight w:val="none"/>
          <w:lang w:eastAsia="zh-CN"/>
        </w:rPr>
        <w:t>一</w:t>
      </w:r>
      <w:r>
        <w:rPr>
          <w:rFonts w:hint="eastAsia" w:ascii="仿宋" w:hAnsi="仿宋" w:eastAsia="仿宋"/>
          <w:b/>
          <w:color w:val="auto"/>
          <w:sz w:val="32"/>
          <w:szCs w:val="32"/>
          <w:highlight w:val="none"/>
        </w:rPr>
        <w:t>般公共预算支出决算数为</w:t>
      </w:r>
      <w:r>
        <w:rPr>
          <w:rFonts w:hint="eastAsia" w:ascii="仿宋" w:hAnsi="仿宋" w:eastAsia="仿宋"/>
          <w:b/>
          <w:color w:val="auto"/>
          <w:sz w:val="32"/>
          <w:szCs w:val="32"/>
          <w:highlight w:val="none"/>
          <w:lang w:val="en-US" w:eastAsia="zh-CN"/>
        </w:rPr>
        <w:t>3287.11万元</w:t>
      </w:r>
      <w:r>
        <w:rPr>
          <w:rFonts w:hint="eastAsia" w:ascii="仿宋" w:hAnsi="仿宋" w:eastAsia="仿宋"/>
          <w:color w:val="auto"/>
          <w:sz w:val="32"/>
          <w:szCs w:val="32"/>
          <w:highlight w:val="none"/>
        </w:rPr>
        <w:t>，</w:t>
      </w:r>
      <w:r>
        <w:rPr>
          <w:rStyle w:val="17"/>
          <w:rFonts w:hint="eastAsia" w:ascii="仿宋" w:hAnsi="仿宋" w:eastAsia="仿宋"/>
          <w:bCs/>
          <w:color w:val="auto"/>
          <w:sz w:val="32"/>
          <w:szCs w:val="32"/>
          <w:highlight w:val="none"/>
        </w:rPr>
        <w:t>完成预算</w:t>
      </w:r>
      <w:r>
        <w:rPr>
          <w:rStyle w:val="17"/>
          <w:rFonts w:hint="eastAsia" w:ascii="仿宋" w:hAnsi="仿宋" w:eastAsia="仿宋"/>
          <w:bCs/>
          <w:color w:val="auto"/>
          <w:sz w:val="32"/>
          <w:szCs w:val="32"/>
          <w:highlight w:val="none"/>
          <w:lang w:val="en-US" w:eastAsia="zh-CN"/>
        </w:rPr>
        <w:t>97.68</w:t>
      </w:r>
      <w:r>
        <w:rPr>
          <w:rStyle w:val="17"/>
          <w:rFonts w:ascii="仿宋" w:hAnsi="仿宋" w:eastAsia="仿宋"/>
          <w:bCs/>
          <w:color w:val="auto"/>
          <w:sz w:val="32"/>
          <w:szCs w:val="32"/>
          <w:highlight w:val="none"/>
        </w:rPr>
        <w:t>%</w:t>
      </w:r>
      <w:r>
        <w:rPr>
          <w:rStyle w:val="17"/>
          <w:rFonts w:hint="eastAsia" w:ascii="仿宋" w:hAnsi="仿宋" w:eastAsia="仿宋"/>
          <w:bCs/>
          <w:color w:val="auto"/>
          <w:sz w:val="32"/>
          <w:szCs w:val="32"/>
          <w:highlight w:val="none"/>
        </w:rPr>
        <w:t>。其中：</w:t>
      </w:r>
      <w:bookmarkEnd w:id="44"/>
      <w:bookmarkEnd w:id="45"/>
      <w:bookmarkEnd w:id="46"/>
    </w:p>
    <w:p>
      <w:pPr>
        <w:numPr>
          <w:ilvl w:val="0"/>
          <w:numId w:val="0"/>
        </w:numPr>
        <w:spacing w:line="600" w:lineRule="exact"/>
        <w:ind w:firstLine="642" w:firstLineChars="200"/>
        <w:rPr>
          <w:rStyle w:val="17"/>
          <w:rFonts w:hint="eastAsia" w:ascii="仿宋" w:hAnsi="仿宋" w:eastAsia="仿宋"/>
          <w:b w:val="0"/>
          <w:bCs/>
          <w:color w:val="auto"/>
          <w:sz w:val="32"/>
          <w:szCs w:val="32"/>
          <w:highlight w:val="none"/>
        </w:rPr>
      </w:pPr>
      <w:r>
        <w:rPr>
          <w:rStyle w:val="17"/>
          <w:rFonts w:hint="eastAsia" w:ascii="仿宋" w:hAnsi="仿宋" w:eastAsia="仿宋"/>
          <w:bCs/>
          <w:color w:val="auto"/>
          <w:sz w:val="32"/>
          <w:szCs w:val="32"/>
          <w:highlight w:val="none"/>
          <w:lang w:val="en-US" w:eastAsia="zh-CN"/>
        </w:rPr>
        <w:t>1.</w:t>
      </w:r>
      <w:r>
        <w:rPr>
          <w:rStyle w:val="17"/>
          <w:rFonts w:hint="eastAsia" w:ascii="仿宋" w:hAnsi="仿宋" w:eastAsia="仿宋"/>
          <w:bCs/>
          <w:color w:val="auto"/>
          <w:sz w:val="32"/>
          <w:szCs w:val="32"/>
          <w:highlight w:val="none"/>
        </w:rPr>
        <w:t>一般公共服务（类）</w:t>
      </w:r>
      <w:r>
        <w:rPr>
          <w:rStyle w:val="17"/>
          <w:rFonts w:hint="eastAsia" w:ascii="仿宋" w:hAnsi="仿宋" w:eastAsia="仿宋"/>
          <w:bCs/>
          <w:color w:val="auto"/>
          <w:sz w:val="32"/>
          <w:szCs w:val="32"/>
          <w:highlight w:val="none"/>
          <w:lang w:eastAsia="zh-CN"/>
        </w:rPr>
        <w:t>财政事务</w:t>
      </w:r>
      <w:r>
        <w:rPr>
          <w:rStyle w:val="17"/>
          <w:rFonts w:hint="eastAsia" w:ascii="仿宋" w:hAnsi="仿宋" w:eastAsia="仿宋"/>
          <w:bCs/>
          <w:color w:val="auto"/>
          <w:sz w:val="32"/>
          <w:szCs w:val="32"/>
          <w:highlight w:val="none"/>
        </w:rPr>
        <w:t>（款）</w:t>
      </w:r>
      <w:r>
        <w:rPr>
          <w:rStyle w:val="17"/>
          <w:rFonts w:hint="eastAsia" w:ascii="仿宋" w:hAnsi="仿宋" w:eastAsia="仿宋"/>
          <w:bCs/>
          <w:color w:val="auto"/>
          <w:sz w:val="32"/>
          <w:szCs w:val="32"/>
          <w:highlight w:val="none"/>
          <w:lang w:eastAsia="zh-CN"/>
        </w:rPr>
        <w:t>行政运行</w:t>
      </w:r>
      <w:r>
        <w:rPr>
          <w:rStyle w:val="17"/>
          <w:rFonts w:hint="eastAsia" w:ascii="仿宋" w:hAnsi="仿宋" w:eastAsia="仿宋"/>
          <w:bCs/>
          <w:color w:val="auto"/>
          <w:sz w:val="32"/>
          <w:szCs w:val="32"/>
          <w:highlight w:val="none"/>
        </w:rPr>
        <w:t>（项）</w:t>
      </w:r>
      <w:r>
        <w:rPr>
          <w:rStyle w:val="17"/>
          <w:rFonts w:hint="eastAsia" w:ascii="仿宋" w:hAnsi="仿宋" w:eastAsia="仿宋"/>
          <w:bCs/>
          <w:color w:val="auto"/>
          <w:sz w:val="32"/>
          <w:szCs w:val="32"/>
          <w:highlight w:val="none"/>
          <w:lang w:eastAsia="zh-CN"/>
        </w:rPr>
        <w:t>：</w:t>
      </w:r>
      <w:r>
        <w:rPr>
          <w:rStyle w:val="17"/>
          <w:rFonts w:hint="eastAsia" w:ascii="仿宋" w:hAnsi="仿宋" w:eastAsia="仿宋"/>
          <w:b w:val="0"/>
          <w:bCs/>
          <w:color w:val="auto"/>
          <w:sz w:val="32"/>
          <w:szCs w:val="32"/>
          <w:highlight w:val="none"/>
        </w:rPr>
        <w:t>支出决算为</w:t>
      </w:r>
      <w:r>
        <w:rPr>
          <w:rStyle w:val="17"/>
          <w:rFonts w:hint="eastAsia" w:ascii="仿宋" w:hAnsi="仿宋" w:eastAsia="仿宋"/>
          <w:b w:val="0"/>
          <w:bCs/>
          <w:color w:val="auto"/>
          <w:sz w:val="32"/>
          <w:szCs w:val="32"/>
          <w:highlight w:val="none"/>
          <w:lang w:val="en-US" w:eastAsia="zh-CN"/>
        </w:rPr>
        <w:t>1346.24</w:t>
      </w:r>
      <w:r>
        <w:rPr>
          <w:rStyle w:val="17"/>
          <w:rFonts w:hint="eastAsia" w:ascii="仿宋" w:hAnsi="仿宋" w:eastAsia="仿宋"/>
          <w:b w:val="0"/>
          <w:bCs/>
          <w:color w:val="auto"/>
          <w:sz w:val="32"/>
          <w:szCs w:val="32"/>
          <w:highlight w:val="none"/>
        </w:rPr>
        <w:t>万元，完成预算</w:t>
      </w:r>
      <w:r>
        <w:rPr>
          <w:rStyle w:val="17"/>
          <w:rFonts w:hint="eastAsia" w:ascii="仿宋" w:hAnsi="仿宋" w:eastAsia="仿宋"/>
          <w:b w:val="0"/>
          <w:bCs/>
          <w:color w:val="auto"/>
          <w:sz w:val="32"/>
          <w:szCs w:val="32"/>
          <w:highlight w:val="none"/>
          <w:lang w:val="en-US" w:eastAsia="zh-CN"/>
        </w:rPr>
        <w:t>98.55</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，决算数小于预算数的主要原因是</w:t>
      </w:r>
      <w:r>
        <w:rPr>
          <w:rStyle w:val="17"/>
          <w:rFonts w:hint="eastAsia" w:ascii="仿宋" w:hAnsi="仿宋" w:eastAsia="仿宋"/>
          <w:b w:val="0"/>
          <w:bCs/>
          <w:color w:val="auto"/>
          <w:sz w:val="32"/>
          <w:szCs w:val="32"/>
          <w:highlight w:val="none"/>
          <w:lang w:eastAsia="zh-CN"/>
        </w:rPr>
        <w:t>当年部分公积金及保险需结转到</w:t>
      </w:r>
      <w:r>
        <w:rPr>
          <w:rStyle w:val="17"/>
          <w:rFonts w:hint="eastAsia" w:ascii="仿宋" w:hAnsi="仿宋" w:eastAsia="仿宋"/>
          <w:b w:val="0"/>
          <w:bCs/>
          <w:color w:val="auto"/>
          <w:sz w:val="32"/>
          <w:szCs w:val="32"/>
          <w:highlight w:val="none"/>
          <w:lang w:val="en-US" w:eastAsia="zh-CN"/>
        </w:rPr>
        <w:t>2023年支出</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bidi w:val="0"/>
        <w:spacing w:line="576" w:lineRule="exact"/>
        <w:ind w:firstLine="642" w:firstLineChars="200"/>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2.</w:t>
      </w:r>
      <w:r>
        <w:rPr>
          <w:rStyle w:val="17"/>
          <w:rFonts w:hint="eastAsia" w:ascii="仿宋_GB2312" w:hAnsi="仿宋_GB2312" w:eastAsia="仿宋_GB2312" w:cs="仿宋_GB2312"/>
          <w:bCs/>
          <w:color w:val="auto"/>
          <w:sz w:val="32"/>
          <w:szCs w:val="32"/>
          <w:highlight w:val="none"/>
        </w:rPr>
        <w:t>一般公共服务（类）</w:t>
      </w:r>
      <w:r>
        <w:rPr>
          <w:rStyle w:val="17"/>
          <w:rFonts w:hint="eastAsia" w:ascii="仿宋_GB2312" w:hAnsi="仿宋_GB2312" w:eastAsia="仿宋_GB2312" w:cs="仿宋_GB2312"/>
          <w:bCs/>
          <w:color w:val="auto"/>
          <w:sz w:val="32"/>
          <w:szCs w:val="32"/>
          <w:highlight w:val="none"/>
          <w:lang w:val="en-US" w:eastAsia="zh-CN"/>
        </w:rPr>
        <w:t>财政事务</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val="en-US" w:eastAsia="zh-CN"/>
        </w:rPr>
        <w:t>一般行政管理事务</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504.46</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93.02</w:t>
      </w:r>
      <w:r>
        <w:rPr>
          <w:rStyle w:val="17"/>
          <w:rFonts w:hint="eastAsia" w:ascii="仿宋_GB2312" w:hAnsi="仿宋_GB2312" w:eastAsia="仿宋_GB2312" w:cs="仿宋_GB2312"/>
          <w:b w:val="0"/>
          <w:bCs/>
          <w:color w:val="auto"/>
          <w:sz w:val="32"/>
          <w:szCs w:val="32"/>
          <w:highlight w:val="none"/>
        </w:rPr>
        <w:t>%，决算数小于预算数的主要原因是</w:t>
      </w:r>
      <w:r>
        <w:rPr>
          <w:rStyle w:val="17"/>
          <w:rFonts w:hint="eastAsia" w:ascii="仿宋_GB2312" w:hAnsi="仿宋_GB2312" w:eastAsia="仿宋_GB2312" w:cs="仿宋_GB2312"/>
          <w:b w:val="0"/>
          <w:bCs/>
          <w:color w:val="000000"/>
          <w:sz w:val="32"/>
          <w:szCs w:val="32"/>
        </w:rPr>
        <w:t>部分项目支出202</w:t>
      </w:r>
      <w:r>
        <w:rPr>
          <w:rStyle w:val="17"/>
          <w:rFonts w:hint="eastAsia" w:ascii="仿宋_GB2312" w:hAnsi="仿宋_GB2312" w:eastAsia="仿宋_GB2312" w:cs="仿宋_GB2312"/>
          <w:b w:val="0"/>
          <w:bCs/>
          <w:color w:val="000000"/>
          <w:sz w:val="32"/>
          <w:szCs w:val="32"/>
          <w:lang w:val="en-US" w:eastAsia="zh-CN"/>
        </w:rPr>
        <w:t>2</w:t>
      </w:r>
      <w:r>
        <w:rPr>
          <w:rStyle w:val="17"/>
          <w:rFonts w:hint="eastAsia" w:ascii="仿宋_GB2312" w:hAnsi="仿宋_GB2312" w:eastAsia="仿宋_GB2312" w:cs="仿宋_GB2312"/>
          <w:b w:val="0"/>
          <w:bCs/>
          <w:color w:val="000000"/>
          <w:sz w:val="32"/>
          <w:szCs w:val="32"/>
        </w:rPr>
        <w:t>年尚未完成，202</w:t>
      </w:r>
      <w:r>
        <w:rPr>
          <w:rStyle w:val="17"/>
          <w:rFonts w:hint="eastAsia" w:ascii="仿宋_GB2312" w:hAnsi="仿宋_GB2312" w:eastAsia="仿宋_GB2312" w:cs="仿宋_GB2312"/>
          <w:b w:val="0"/>
          <w:bCs/>
          <w:color w:val="000000"/>
          <w:sz w:val="32"/>
          <w:szCs w:val="32"/>
          <w:lang w:val="en-US" w:eastAsia="zh-CN"/>
        </w:rPr>
        <w:t>3</w:t>
      </w:r>
      <w:r>
        <w:rPr>
          <w:rStyle w:val="17"/>
          <w:rFonts w:hint="eastAsia" w:ascii="仿宋_GB2312" w:hAnsi="仿宋_GB2312" w:eastAsia="仿宋_GB2312" w:cs="仿宋_GB2312"/>
          <w:b w:val="0"/>
          <w:bCs/>
          <w:color w:val="000000"/>
          <w:sz w:val="32"/>
          <w:szCs w:val="32"/>
        </w:rPr>
        <w:t>年还将继续实施</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2" w:firstLineChars="200"/>
        <w:rPr>
          <w:rFonts w:hint="eastAsia" w:ascii="仿宋_GB2312" w:hAnsi="仿宋_GB2312" w:eastAsia="仿宋_GB2312" w:cs="仿宋_GB2312"/>
          <w:b/>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3</w:t>
      </w:r>
      <w:r>
        <w:rPr>
          <w:rStyle w:val="17"/>
          <w:rFonts w:hint="eastAsia" w:ascii="仿宋_GB2312" w:hAnsi="仿宋_GB2312" w:eastAsia="仿宋_GB2312" w:cs="仿宋_GB2312"/>
          <w:bCs/>
          <w:color w:val="auto"/>
          <w:sz w:val="32"/>
          <w:szCs w:val="32"/>
          <w:highlight w:val="none"/>
        </w:rPr>
        <w:t>.一般公共服务（类）</w:t>
      </w:r>
      <w:r>
        <w:rPr>
          <w:rStyle w:val="17"/>
          <w:rFonts w:hint="eastAsia" w:ascii="仿宋_GB2312" w:hAnsi="仿宋_GB2312" w:eastAsia="仿宋_GB2312" w:cs="仿宋_GB2312"/>
          <w:bCs/>
          <w:color w:val="auto"/>
          <w:sz w:val="32"/>
          <w:szCs w:val="32"/>
          <w:highlight w:val="none"/>
          <w:lang w:val="en-US" w:eastAsia="zh-CN"/>
        </w:rPr>
        <w:t>财政事务</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val="en-US" w:eastAsia="zh-CN"/>
        </w:rPr>
        <w:t>机关服务</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66.02</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val="en-US" w:eastAsia="zh-CN"/>
        </w:rPr>
        <w:t>与</w:t>
      </w:r>
      <w:r>
        <w:rPr>
          <w:rStyle w:val="17"/>
          <w:rFonts w:hint="eastAsia" w:ascii="仿宋_GB2312" w:hAnsi="仿宋_GB2312" w:eastAsia="仿宋_GB2312" w:cs="仿宋_GB2312"/>
          <w:b w:val="0"/>
          <w:bCs/>
          <w:color w:val="auto"/>
          <w:sz w:val="32"/>
          <w:szCs w:val="32"/>
          <w:highlight w:val="none"/>
        </w:rPr>
        <w:t>预算数</w:t>
      </w:r>
      <w:r>
        <w:rPr>
          <w:rStyle w:val="17"/>
          <w:rFonts w:hint="eastAsia" w:ascii="仿宋_GB2312" w:hAnsi="仿宋_GB2312" w:eastAsia="仿宋_GB2312" w:cs="仿宋_GB2312"/>
          <w:b w:val="0"/>
          <w:bCs/>
          <w:color w:val="auto"/>
          <w:sz w:val="32"/>
          <w:szCs w:val="32"/>
          <w:highlight w:val="none"/>
          <w:lang w:val="en-US" w:eastAsia="zh-CN"/>
        </w:rPr>
        <w:t>持平</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2" w:firstLineChars="200"/>
        <w:rPr>
          <w:rFonts w:hint="eastAsia" w:ascii="仿宋_GB2312" w:hAnsi="仿宋_GB2312" w:eastAsia="仿宋_GB2312" w:cs="仿宋_GB2312"/>
          <w:b/>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4</w:t>
      </w:r>
      <w:r>
        <w:rPr>
          <w:rStyle w:val="17"/>
          <w:rFonts w:hint="eastAsia" w:ascii="仿宋_GB2312" w:hAnsi="仿宋_GB2312" w:eastAsia="仿宋_GB2312" w:cs="仿宋_GB2312"/>
          <w:bCs/>
          <w:color w:val="auto"/>
          <w:sz w:val="32"/>
          <w:szCs w:val="32"/>
          <w:highlight w:val="none"/>
        </w:rPr>
        <w:t>.一般公共服务（类）</w:t>
      </w:r>
      <w:r>
        <w:rPr>
          <w:rStyle w:val="17"/>
          <w:rFonts w:hint="eastAsia" w:ascii="仿宋_GB2312" w:hAnsi="仿宋_GB2312" w:eastAsia="仿宋_GB2312" w:cs="仿宋_GB2312"/>
          <w:bCs/>
          <w:color w:val="auto"/>
          <w:sz w:val="32"/>
          <w:szCs w:val="32"/>
          <w:highlight w:val="none"/>
          <w:lang w:val="en-US" w:eastAsia="zh-CN"/>
        </w:rPr>
        <w:t>财政事务</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val="en-US" w:eastAsia="zh-CN"/>
        </w:rPr>
        <w:t>财政委托业务支出</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99.25</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val="en-US" w:eastAsia="zh-CN"/>
        </w:rPr>
        <w:t>与</w:t>
      </w:r>
      <w:r>
        <w:rPr>
          <w:rStyle w:val="17"/>
          <w:rFonts w:hint="eastAsia" w:ascii="仿宋_GB2312" w:hAnsi="仿宋_GB2312" w:eastAsia="仿宋_GB2312" w:cs="仿宋_GB2312"/>
          <w:b w:val="0"/>
          <w:bCs/>
          <w:color w:val="auto"/>
          <w:sz w:val="32"/>
          <w:szCs w:val="32"/>
          <w:highlight w:val="none"/>
        </w:rPr>
        <w:t>预算数</w:t>
      </w:r>
      <w:r>
        <w:rPr>
          <w:rStyle w:val="17"/>
          <w:rFonts w:hint="eastAsia" w:ascii="仿宋_GB2312" w:hAnsi="仿宋_GB2312" w:eastAsia="仿宋_GB2312" w:cs="仿宋_GB2312"/>
          <w:b w:val="0"/>
          <w:bCs/>
          <w:color w:val="auto"/>
          <w:sz w:val="32"/>
          <w:szCs w:val="32"/>
          <w:highlight w:val="none"/>
          <w:lang w:val="en-US" w:eastAsia="zh-CN"/>
        </w:rPr>
        <w:t>持平</w:t>
      </w:r>
      <w:r>
        <w:rPr>
          <w:rStyle w:val="17"/>
          <w:rFonts w:hint="eastAsia" w:ascii="仿宋_GB2312" w:hAnsi="仿宋_GB2312" w:eastAsia="仿宋_GB2312" w:cs="仿宋_GB2312"/>
          <w:b w:val="0"/>
          <w:bCs/>
          <w:color w:val="auto"/>
          <w:sz w:val="32"/>
          <w:szCs w:val="32"/>
          <w:highlight w:val="none"/>
        </w:rPr>
        <w:t>。</w:t>
      </w:r>
    </w:p>
    <w:p>
      <w:pPr>
        <w:numPr>
          <w:ilvl w:val="0"/>
          <w:numId w:val="0"/>
        </w:numPr>
        <w:spacing w:line="600" w:lineRule="exact"/>
        <w:ind w:firstLine="642" w:firstLineChars="200"/>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5</w:t>
      </w:r>
      <w:r>
        <w:rPr>
          <w:rStyle w:val="17"/>
          <w:rFonts w:hint="eastAsia" w:ascii="仿宋_GB2312" w:hAnsi="仿宋_GB2312" w:eastAsia="仿宋_GB2312" w:cs="仿宋_GB2312"/>
          <w:bCs/>
          <w:color w:val="auto"/>
          <w:sz w:val="32"/>
          <w:szCs w:val="32"/>
          <w:highlight w:val="none"/>
        </w:rPr>
        <w:t>.一般公共服务（类）</w:t>
      </w:r>
      <w:r>
        <w:rPr>
          <w:rStyle w:val="17"/>
          <w:rFonts w:hint="eastAsia" w:ascii="仿宋_GB2312" w:hAnsi="仿宋_GB2312" w:eastAsia="仿宋_GB2312" w:cs="仿宋_GB2312"/>
          <w:bCs/>
          <w:color w:val="auto"/>
          <w:sz w:val="32"/>
          <w:szCs w:val="32"/>
          <w:highlight w:val="none"/>
          <w:lang w:val="en-US" w:eastAsia="zh-CN"/>
        </w:rPr>
        <w:t>财政事务</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val="en-US" w:eastAsia="zh-CN"/>
        </w:rPr>
        <w:t>事业运行</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285.48</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98.05</w:t>
      </w:r>
      <w:r>
        <w:rPr>
          <w:rStyle w:val="17"/>
          <w:rFonts w:hint="eastAsia" w:ascii="仿宋_GB2312" w:hAnsi="仿宋_GB2312" w:eastAsia="仿宋_GB2312" w:cs="仿宋_GB2312"/>
          <w:b w:val="0"/>
          <w:bCs/>
          <w:color w:val="auto"/>
          <w:sz w:val="32"/>
          <w:szCs w:val="32"/>
          <w:highlight w:val="none"/>
        </w:rPr>
        <w:t>%，决算数小于预算数的主要原因是</w:t>
      </w:r>
      <w:r>
        <w:rPr>
          <w:rStyle w:val="17"/>
          <w:rFonts w:hint="eastAsia" w:ascii="仿宋_GB2312" w:hAnsi="仿宋_GB2312" w:eastAsia="仿宋_GB2312" w:cs="仿宋_GB2312"/>
          <w:b w:val="0"/>
          <w:bCs/>
          <w:color w:val="auto"/>
          <w:sz w:val="32"/>
          <w:szCs w:val="32"/>
          <w:highlight w:val="none"/>
          <w:lang w:eastAsia="zh-CN"/>
        </w:rPr>
        <w:t>下属事业单位</w:t>
      </w:r>
      <w:r>
        <w:rPr>
          <w:rStyle w:val="17"/>
          <w:rFonts w:hint="eastAsia" w:ascii="仿宋" w:hAnsi="仿宋" w:eastAsia="仿宋"/>
          <w:b w:val="0"/>
          <w:bCs/>
          <w:color w:val="auto"/>
          <w:sz w:val="32"/>
          <w:szCs w:val="32"/>
          <w:highlight w:val="none"/>
          <w:lang w:eastAsia="zh-CN"/>
        </w:rPr>
        <w:t>当年部分公积金及保险需结转到</w:t>
      </w:r>
      <w:r>
        <w:rPr>
          <w:rStyle w:val="17"/>
          <w:rFonts w:hint="eastAsia" w:ascii="仿宋" w:hAnsi="仿宋" w:eastAsia="仿宋"/>
          <w:b w:val="0"/>
          <w:bCs/>
          <w:color w:val="auto"/>
          <w:sz w:val="32"/>
          <w:szCs w:val="32"/>
          <w:highlight w:val="none"/>
          <w:lang w:val="en-US" w:eastAsia="zh-CN"/>
        </w:rPr>
        <w:t>2023年支出</w:t>
      </w:r>
      <w:r>
        <w:rPr>
          <w:rStyle w:val="17"/>
          <w:rFonts w:hint="eastAsia" w:ascii="仿宋" w:hAnsi="仿宋" w:eastAsia="仿宋"/>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2" w:firstLineChars="200"/>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6</w:t>
      </w:r>
      <w:r>
        <w:rPr>
          <w:rStyle w:val="17"/>
          <w:rFonts w:hint="eastAsia" w:ascii="仿宋_GB2312" w:hAnsi="仿宋_GB2312" w:eastAsia="仿宋_GB2312" w:cs="仿宋_GB2312"/>
          <w:bCs/>
          <w:color w:val="auto"/>
          <w:sz w:val="32"/>
          <w:szCs w:val="32"/>
          <w:highlight w:val="none"/>
        </w:rPr>
        <w:t>.一般公共服务（类）</w:t>
      </w:r>
      <w:r>
        <w:rPr>
          <w:rStyle w:val="17"/>
          <w:rFonts w:hint="eastAsia" w:ascii="仿宋_GB2312" w:hAnsi="仿宋_GB2312" w:eastAsia="仿宋_GB2312" w:cs="仿宋_GB2312"/>
          <w:bCs/>
          <w:color w:val="auto"/>
          <w:sz w:val="32"/>
          <w:szCs w:val="32"/>
          <w:highlight w:val="none"/>
          <w:lang w:val="en-US" w:eastAsia="zh-CN"/>
        </w:rPr>
        <w:t>财政事务</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val="en-US" w:eastAsia="zh-CN"/>
        </w:rPr>
        <w:t>其他财政事务支出</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584.24</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97.57</w:t>
      </w:r>
      <w:r>
        <w:rPr>
          <w:rStyle w:val="17"/>
          <w:rFonts w:hint="eastAsia" w:ascii="仿宋_GB2312" w:hAnsi="仿宋_GB2312" w:eastAsia="仿宋_GB2312" w:cs="仿宋_GB2312"/>
          <w:b w:val="0"/>
          <w:bCs/>
          <w:color w:val="auto"/>
          <w:sz w:val="32"/>
          <w:szCs w:val="32"/>
          <w:highlight w:val="none"/>
        </w:rPr>
        <w:t>%，决算数小于预算数的主要原因是</w:t>
      </w:r>
      <w:r>
        <w:rPr>
          <w:rStyle w:val="17"/>
          <w:rFonts w:hint="eastAsia" w:ascii="仿宋_GB2312" w:hAnsi="仿宋_GB2312" w:eastAsia="仿宋_GB2312" w:cs="仿宋_GB2312"/>
          <w:b w:val="0"/>
          <w:bCs/>
          <w:color w:val="auto"/>
          <w:sz w:val="32"/>
          <w:szCs w:val="32"/>
          <w:highlight w:val="none"/>
          <w:lang w:eastAsia="zh-CN"/>
        </w:rPr>
        <w:t>下属单位</w:t>
      </w:r>
      <w:r>
        <w:rPr>
          <w:rStyle w:val="17"/>
          <w:rFonts w:hint="eastAsia" w:ascii="仿宋_GB2312" w:hAnsi="仿宋_GB2312" w:eastAsia="仿宋_GB2312" w:cs="仿宋_GB2312"/>
          <w:b w:val="0"/>
          <w:bCs/>
          <w:color w:val="000000"/>
          <w:sz w:val="32"/>
          <w:szCs w:val="32"/>
        </w:rPr>
        <w:t>项目支出202</w:t>
      </w:r>
      <w:r>
        <w:rPr>
          <w:rStyle w:val="17"/>
          <w:rFonts w:hint="eastAsia" w:ascii="仿宋_GB2312" w:hAnsi="仿宋_GB2312" w:eastAsia="仿宋_GB2312" w:cs="仿宋_GB2312"/>
          <w:b w:val="0"/>
          <w:bCs/>
          <w:color w:val="000000"/>
          <w:sz w:val="32"/>
          <w:szCs w:val="32"/>
          <w:lang w:val="en-US" w:eastAsia="zh-CN"/>
        </w:rPr>
        <w:t>2</w:t>
      </w:r>
      <w:r>
        <w:rPr>
          <w:rStyle w:val="17"/>
          <w:rFonts w:hint="eastAsia" w:ascii="仿宋_GB2312" w:hAnsi="仿宋_GB2312" w:eastAsia="仿宋_GB2312" w:cs="仿宋_GB2312"/>
          <w:b w:val="0"/>
          <w:bCs/>
          <w:color w:val="000000"/>
          <w:sz w:val="32"/>
          <w:szCs w:val="32"/>
        </w:rPr>
        <w:t>年未完成，202</w:t>
      </w:r>
      <w:r>
        <w:rPr>
          <w:rStyle w:val="17"/>
          <w:rFonts w:hint="eastAsia" w:ascii="仿宋_GB2312" w:hAnsi="仿宋_GB2312" w:eastAsia="仿宋_GB2312" w:cs="仿宋_GB2312"/>
          <w:b w:val="0"/>
          <w:bCs/>
          <w:color w:val="000000"/>
          <w:sz w:val="32"/>
          <w:szCs w:val="32"/>
          <w:lang w:val="en-US" w:eastAsia="zh-CN"/>
        </w:rPr>
        <w:t>3</w:t>
      </w:r>
      <w:r>
        <w:rPr>
          <w:rStyle w:val="17"/>
          <w:rFonts w:hint="eastAsia" w:ascii="仿宋_GB2312" w:hAnsi="仿宋_GB2312" w:eastAsia="仿宋_GB2312" w:cs="仿宋_GB2312"/>
          <w:b w:val="0"/>
          <w:bCs/>
          <w:color w:val="000000"/>
          <w:sz w:val="32"/>
          <w:szCs w:val="32"/>
        </w:rPr>
        <w:t>年还将继续实施</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2" w:firstLineChars="200"/>
        <w:rPr>
          <w:rStyle w:val="17"/>
          <w:rFonts w:hint="eastAsia" w:ascii="仿宋_GB2312" w:hAnsi="仿宋_GB2312" w:eastAsia="仿宋_GB2312" w:cs="仿宋_GB2312"/>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7.社会保障和</w:t>
      </w:r>
      <w:r>
        <w:rPr>
          <w:rStyle w:val="17"/>
          <w:rFonts w:hint="eastAsia" w:ascii="仿宋_GB2312" w:hAnsi="仿宋_GB2312" w:eastAsia="仿宋_GB2312" w:cs="仿宋_GB2312"/>
          <w:bCs/>
          <w:color w:val="auto"/>
          <w:sz w:val="32"/>
          <w:szCs w:val="32"/>
          <w:highlight w:val="none"/>
        </w:rPr>
        <w:t>就业（类）</w:t>
      </w:r>
      <w:r>
        <w:rPr>
          <w:rStyle w:val="17"/>
          <w:rFonts w:hint="eastAsia" w:ascii="仿宋_GB2312" w:hAnsi="仿宋_GB2312" w:eastAsia="仿宋_GB2312" w:cs="仿宋_GB2312"/>
          <w:bCs/>
          <w:color w:val="auto"/>
          <w:sz w:val="32"/>
          <w:szCs w:val="32"/>
          <w:highlight w:val="none"/>
          <w:lang w:val="en-US" w:eastAsia="zh-CN"/>
        </w:rPr>
        <w:t>人力资源和社会保障管理事务</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val="en-US" w:eastAsia="zh-CN"/>
        </w:rPr>
        <w:t>引进人才费用</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1.2</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val="en-US" w:eastAsia="zh-CN"/>
        </w:rPr>
        <w:t>与</w:t>
      </w:r>
      <w:r>
        <w:rPr>
          <w:rStyle w:val="17"/>
          <w:rFonts w:hint="eastAsia" w:ascii="仿宋_GB2312" w:hAnsi="仿宋_GB2312" w:eastAsia="仿宋_GB2312" w:cs="仿宋_GB2312"/>
          <w:b w:val="0"/>
          <w:bCs/>
          <w:color w:val="auto"/>
          <w:sz w:val="32"/>
          <w:szCs w:val="32"/>
          <w:highlight w:val="none"/>
        </w:rPr>
        <w:t>预算数</w:t>
      </w:r>
      <w:r>
        <w:rPr>
          <w:rStyle w:val="17"/>
          <w:rFonts w:hint="eastAsia" w:ascii="仿宋_GB2312" w:hAnsi="仿宋_GB2312" w:eastAsia="仿宋_GB2312" w:cs="仿宋_GB2312"/>
          <w:b w:val="0"/>
          <w:bCs/>
          <w:color w:val="auto"/>
          <w:sz w:val="32"/>
          <w:szCs w:val="32"/>
          <w:highlight w:val="none"/>
          <w:lang w:val="en-US" w:eastAsia="zh-CN"/>
        </w:rPr>
        <w:t>持平</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2" w:firstLineChars="200"/>
        <w:rPr>
          <w:rStyle w:val="17"/>
          <w:rFonts w:hint="eastAsia" w:hAnsi="仿宋_GB2312" w:cs="仿宋_GB2312"/>
          <w:bCs/>
          <w:color w:val="auto"/>
          <w:sz w:val="32"/>
          <w:szCs w:val="32"/>
          <w:highlight w:val="none"/>
          <w:lang w:eastAsia="zh-CN"/>
        </w:rPr>
      </w:pPr>
      <w:r>
        <w:rPr>
          <w:rStyle w:val="17"/>
          <w:rFonts w:hint="eastAsia" w:ascii="仿宋_GB2312" w:hAnsi="仿宋_GB2312" w:eastAsia="仿宋_GB2312" w:cs="仿宋_GB2312"/>
          <w:bCs/>
          <w:color w:val="auto"/>
          <w:sz w:val="32"/>
          <w:szCs w:val="32"/>
          <w:highlight w:val="none"/>
          <w:lang w:val="en-US" w:eastAsia="zh-CN"/>
        </w:rPr>
        <w:t>8.社会保障</w:t>
      </w:r>
      <w:r>
        <w:rPr>
          <w:rStyle w:val="17"/>
          <w:rFonts w:hint="eastAsia" w:ascii="仿宋_GB2312" w:hAnsi="仿宋_GB2312" w:eastAsia="仿宋_GB2312" w:cs="仿宋_GB2312"/>
          <w:bCs/>
          <w:color w:val="auto"/>
          <w:sz w:val="32"/>
          <w:szCs w:val="32"/>
          <w:highlight w:val="none"/>
        </w:rPr>
        <w:t>和就业（类）</w:t>
      </w:r>
      <w:r>
        <w:rPr>
          <w:rStyle w:val="17"/>
          <w:rFonts w:hint="eastAsia" w:ascii="仿宋_GB2312" w:hAnsi="仿宋_GB2312" w:eastAsia="仿宋_GB2312" w:cs="仿宋_GB2312"/>
          <w:bCs/>
          <w:color w:val="auto"/>
          <w:sz w:val="32"/>
          <w:szCs w:val="32"/>
          <w:highlight w:val="none"/>
          <w:lang w:val="en-US" w:eastAsia="zh-CN"/>
        </w:rPr>
        <w:t>行政事业单位养老支出</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val="en-US" w:eastAsia="zh-CN"/>
        </w:rPr>
        <w:t>机关事业单位基本养老保险缴费支出</w:t>
      </w:r>
      <w:r>
        <w:rPr>
          <w:rStyle w:val="17"/>
          <w:rFonts w:hint="eastAsia" w:ascii="仿宋_GB2312" w:hAnsi="仿宋_GB2312" w:eastAsia="仿宋_GB2312" w:cs="仿宋_GB2312"/>
          <w:bCs/>
          <w:color w:val="auto"/>
          <w:sz w:val="32"/>
          <w:szCs w:val="32"/>
          <w:highlight w:val="none"/>
        </w:rPr>
        <w:t>（项）</w:t>
      </w:r>
      <w:r>
        <w:rPr>
          <w:rStyle w:val="17"/>
          <w:rFonts w:hint="eastAsia" w:hAnsi="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114.48</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val="en-US" w:eastAsia="zh-CN"/>
        </w:rPr>
        <w:t>与</w:t>
      </w:r>
      <w:r>
        <w:rPr>
          <w:rStyle w:val="17"/>
          <w:rFonts w:hint="eastAsia" w:ascii="仿宋_GB2312" w:hAnsi="仿宋_GB2312" w:eastAsia="仿宋_GB2312" w:cs="仿宋_GB2312"/>
          <w:b w:val="0"/>
          <w:bCs/>
          <w:color w:val="auto"/>
          <w:sz w:val="32"/>
          <w:szCs w:val="32"/>
          <w:highlight w:val="none"/>
        </w:rPr>
        <w:t>预算数</w:t>
      </w:r>
      <w:r>
        <w:rPr>
          <w:rStyle w:val="17"/>
          <w:rFonts w:hint="eastAsia" w:ascii="仿宋_GB2312" w:hAnsi="仿宋_GB2312" w:eastAsia="仿宋_GB2312" w:cs="仿宋_GB2312"/>
          <w:b w:val="0"/>
          <w:bCs/>
          <w:color w:val="auto"/>
          <w:sz w:val="32"/>
          <w:szCs w:val="32"/>
          <w:highlight w:val="none"/>
          <w:lang w:val="en-US" w:eastAsia="zh-CN"/>
        </w:rPr>
        <w:t>持平</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2" w:firstLineChars="200"/>
        <w:rPr>
          <w:rStyle w:val="17"/>
          <w:rFonts w:hint="eastAsia" w:hAnsi="仿宋_GB2312" w:cs="仿宋_GB2312"/>
          <w:bCs/>
          <w:color w:val="auto"/>
          <w:sz w:val="32"/>
          <w:szCs w:val="32"/>
          <w:highlight w:val="none"/>
          <w:lang w:eastAsia="zh-CN"/>
        </w:rPr>
      </w:pPr>
      <w:r>
        <w:rPr>
          <w:rStyle w:val="17"/>
          <w:rFonts w:hint="eastAsia" w:ascii="仿宋_GB2312" w:hAnsi="仿宋_GB2312" w:eastAsia="仿宋_GB2312" w:cs="仿宋_GB2312"/>
          <w:bCs/>
          <w:color w:val="auto"/>
          <w:sz w:val="32"/>
          <w:szCs w:val="32"/>
          <w:highlight w:val="none"/>
          <w:lang w:val="en-US" w:eastAsia="zh-CN"/>
        </w:rPr>
        <w:t>9.社会保</w:t>
      </w:r>
      <w:r>
        <w:rPr>
          <w:rStyle w:val="17"/>
          <w:rFonts w:hint="eastAsia" w:ascii="仿宋_GB2312" w:hAnsi="仿宋_GB2312" w:eastAsia="仿宋_GB2312" w:cs="仿宋_GB2312"/>
          <w:bCs/>
          <w:color w:val="auto"/>
          <w:sz w:val="32"/>
          <w:szCs w:val="32"/>
          <w:highlight w:val="none"/>
        </w:rPr>
        <w:t>障和就业（类）</w:t>
      </w:r>
      <w:r>
        <w:rPr>
          <w:rStyle w:val="17"/>
          <w:rFonts w:hint="eastAsia" w:ascii="仿宋_GB2312" w:hAnsi="仿宋_GB2312" w:eastAsia="仿宋_GB2312" w:cs="仿宋_GB2312"/>
          <w:bCs/>
          <w:color w:val="auto"/>
          <w:sz w:val="32"/>
          <w:szCs w:val="32"/>
          <w:highlight w:val="none"/>
          <w:lang w:val="en-US" w:eastAsia="zh-CN"/>
        </w:rPr>
        <w:t>行政事业单位养老支出</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val="en-US" w:eastAsia="zh-CN"/>
        </w:rPr>
        <w:t>机关事业单位职业年金缴费支出</w:t>
      </w:r>
      <w:r>
        <w:rPr>
          <w:rStyle w:val="17"/>
          <w:rFonts w:hint="eastAsia" w:ascii="仿宋_GB2312" w:hAnsi="仿宋_GB2312" w:eastAsia="仿宋_GB2312" w:cs="仿宋_GB2312"/>
          <w:bCs/>
          <w:color w:val="auto"/>
          <w:sz w:val="32"/>
          <w:szCs w:val="32"/>
          <w:highlight w:val="none"/>
        </w:rPr>
        <w:t>（项）</w:t>
      </w:r>
      <w:r>
        <w:rPr>
          <w:rStyle w:val="17"/>
          <w:rFonts w:hint="eastAsia" w:hAnsi="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16.29</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val="en-US" w:eastAsia="zh-CN"/>
        </w:rPr>
        <w:t>与</w:t>
      </w:r>
      <w:r>
        <w:rPr>
          <w:rStyle w:val="17"/>
          <w:rFonts w:hint="eastAsia" w:ascii="仿宋_GB2312" w:hAnsi="仿宋_GB2312" w:eastAsia="仿宋_GB2312" w:cs="仿宋_GB2312"/>
          <w:b w:val="0"/>
          <w:bCs/>
          <w:color w:val="auto"/>
          <w:sz w:val="32"/>
          <w:szCs w:val="32"/>
          <w:highlight w:val="none"/>
        </w:rPr>
        <w:t>预算数</w:t>
      </w:r>
      <w:r>
        <w:rPr>
          <w:rStyle w:val="17"/>
          <w:rFonts w:hint="eastAsia" w:ascii="仿宋_GB2312" w:hAnsi="仿宋_GB2312" w:eastAsia="仿宋_GB2312" w:cs="仿宋_GB2312"/>
          <w:b w:val="0"/>
          <w:bCs/>
          <w:color w:val="auto"/>
          <w:sz w:val="32"/>
          <w:szCs w:val="32"/>
          <w:highlight w:val="none"/>
          <w:lang w:val="en-US" w:eastAsia="zh-CN"/>
        </w:rPr>
        <w:t>持平</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2" w:firstLineChars="200"/>
        <w:rPr>
          <w:rStyle w:val="17"/>
          <w:rFonts w:hint="eastAsia" w:hAnsi="仿宋_GB2312" w:eastAsia="仿宋_GB2312" w:cs="仿宋_GB2312"/>
          <w:bCs/>
          <w:color w:val="auto"/>
          <w:sz w:val="32"/>
          <w:szCs w:val="32"/>
          <w:highlight w:val="none"/>
          <w:lang w:val="en-US" w:eastAsia="zh-CN"/>
        </w:rPr>
      </w:pPr>
      <w:r>
        <w:rPr>
          <w:rStyle w:val="17"/>
          <w:rFonts w:hint="eastAsia" w:ascii="仿宋_GB2312" w:hAnsi="仿宋_GB2312" w:eastAsia="仿宋_GB2312" w:cs="仿宋_GB2312"/>
          <w:bCs/>
          <w:color w:val="auto"/>
          <w:sz w:val="32"/>
          <w:szCs w:val="32"/>
          <w:highlight w:val="none"/>
          <w:lang w:val="en-US" w:eastAsia="zh-CN"/>
        </w:rPr>
        <w:t>10.社会保</w:t>
      </w:r>
      <w:r>
        <w:rPr>
          <w:rStyle w:val="17"/>
          <w:rFonts w:hint="eastAsia" w:ascii="仿宋_GB2312" w:hAnsi="仿宋_GB2312" w:eastAsia="仿宋_GB2312" w:cs="仿宋_GB2312"/>
          <w:bCs/>
          <w:color w:val="auto"/>
          <w:sz w:val="32"/>
          <w:szCs w:val="32"/>
          <w:highlight w:val="none"/>
        </w:rPr>
        <w:t>障和就业（类）</w:t>
      </w:r>
      <w:r>
        <w:rPr>
          <w:rStyle w:val="17"/>
          <w:rFonts w:hint="eastAsia" w:ascii="仿宋_GB2312" w:hAnsi="仿宋_GB2312" w:eastAsia="仿宋_GB2312" w:cs="仿宋_GB2312"/>
          <w:bCs/>
          <w:color w:val="auto"/>
          <w:sz w:val="32"/>
          <w:szCs w:val="32"/>
          <w:highlight w:val="none"/>
          <w:lang w:val="en-US" w:eastAsia="zh-CN"/>
        </w:rPr>
        <w:t>抚恤</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val="en-US" w:eastAsia="zh-CN"/>
        </w:rPr>
        <w:t>死亡抚恤</w:t>
      </w:r>
      <w:r>
        <w:rPr>
          <w:rStyle w:val="17"/>
          <w:rFonts w:hint="eastAsia" w:ascii="仿宋_GB2312" w:hAnsi="仿宋_GB2312" w:eastAsia="仿宋_GB2312" w:cs="仿宋_GB2312"/>
          <w:bCs/>
          <w:color w:val="auto"/>
          <w:sz w:val="32"/>
          <w:szCs w:val="32"/>
          <w:highlight w:val="none"/>
        </w:rPr>
        <w:t>（项）</w:t>
      </w:r>
      <w:r>
        <w:rPr>
          <w:rStyle w:val="17"/>
          <w:rFonts w:hint="eastAsia" w:hAnsi="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22.95</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val="en-US" w:eastAsia="zh-CN"/>
        </w:rPr>
        <w:t>与</w:t>
      </w:r>
      <w:r>
        <w:rPr>
          <w:rStyle w:val="17"/>
          <w:rFonts w:hint="eastAsia" w:ascii="仿宋_GB2312" w:hAnsi="仿宋_GB2312" w:eastAsia="仿宋_GB2312" w:cs="仿宋_GB2312"/>
          <w:b w:val="0"/>
          <w:bCs/>
          <w:color w:val="auto"/>
          <w:sz w:val="32"/>
          <w:szCs w:val="32"/>
          <w:highlight w:val="none"/>
        </w:rPr>
        <w:t>预算数</w:t>
      </w:r>
      <w:r>
        <w:rPr>
          <w:rStyle w:val="17"/>
          <w:rFonts w:hint="eastAsia" w:ascii="仿宋_GB2312" w:hAnsi="仿宋_GB2312" w:eastAsia="仿宋_GB2312" w:cs="仿宋_GB2312"/>
          <w:b w:val="0"/>
          <w:bCs/>
          <w:color w:val="auto"/>
          <w:sz w:val="32"/>
          <w:szCs w:val="32"/>
          <w:highlight w:val="none"/>
          <w:lang w:val="en-US" w:eastAsia="zh-CN"/>
        </w:rPr>
        <w:t>持平</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2" w:firstLineChars="200"/>
        <w:rPr>
          <w:rStyle w:val="17"/>
          <w:rFonts w:hint="eastAsia" w:ascii="仿宋_GB2312" w:hAnsi="仿宋_GB2312" w:eastAsia="仿宋_GB2312" w:cs="仿宋_GB2312"/>
          <w:b w:val="0"/>
          <w:bCs/>
          <w:color w:val="auto"/>
          <w:sz w:val="32"/>
          <w:szCs w:val="32"/>
          <w:highlight w:val="none"/>
        </w:rPr>
      </w:pPr>
      <w:r>
        <w:rPr>
          <w:rFonts w:hint="eastAsia" w:ascii="仿宋_GB2312" w:hAnsi="仿宋_GB2312" w:eastAsia="仿宋_GB2312" w:cs="仿宋_GB2312"/>
          <w:b/>
          <w:bCs/>
          <w:color w:val="auto"/>
          <w:sz w:val="32"/>
          <w:szCs w:val="32"/>
          <w:highlight w:val="none"/>
          <w:lang w:val="en-US" w:eastAsia="zh-CN"/>
        </w:rPr>
        <w:t>11.</w:t>
      </w:r>
      <w:r>
        <w:rPr>
          <w:rFonts w:hint="eastAsia" w:ascii="仿宋_GB2312" w:hAnsi="仿宋_GB2312" w:eastAsia="仿宋_GB2312" w:cs="仿宋_GB2312"/>
          <w:b/>
          <w:bCs/>
          <w:color w:val="auto"/>
          <w:sz w:val="32"/>
          <w:szCs w:val="32"/>
          <w:highlight w:val="none"/>
        </w:rPr>
        <w:t>卫生健康</w:t>
      </w:r>
      <w:r>
        <w:rPr>
          <w:rStyle w:val="17"/>
          <w:rFonts w:hint="eastAsia" w:ascii="仿宋_GB2312" w:hAnsi="仿宋_GB2312" w:eastAsia="仿宋_GB2312" w:cs="仿宋_GB2312"/>
          <w:bCs/>
          <w:color w:val="auto"/>
          <w:sz w:val="32"/>
          <w:szCs w:val="32"/>
          <w:highlight w:val="none"/>
        </w:rPr>
        <w:t>（类）</w:t>
      </w:r>
      <w:r>
        <w:rPr>
          <w:rStyle w:val="17"/>
          <w:rFonts w:hint="eastAsia" w:ascii="仿宋_GB2312" w:hAnsi="仿宋_GB2312" w:eastAsia="仿宋_GB2312" w:cs="仿宋_GB2312"/>
          <w:bCs/>
          <w:color w:val="auto"/>
          <w:sz w:val="32"/>
          <w:szCs w:val="32"/>
          <w:highlight w:val="none"/>
          <w:lang w:val="en-US" w:eastAsia="zh-CN"/>
        </w:rPr>
        <w:t>行政事业单位医疗</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val="en-US" w:eastAsia="zh-CN"/>
        </w:rPr>
        <w:t>行政单位医疗</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51.46</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val="en-US" w:eastAsia="zh-CN"/>
        </w:rPr>
        <w:t>与</w:t>
      </w:r>
      <w:r>
        <w:rPr>
          <w:rStyle w:val="17"/>
          <w:rFonts w:hint="eastAsia" w:ascii="仿宋_GB2312" w:hAnsi="仿宋_GB2312" w:eastAsia="仿宋_GB2312" w:cs="仿宋_GB2312"/>
          <w:b w:val="0"/>
          <w:bCs/>
          <w:color w:val="auto"/>
          <w:sz w:val="32"/>
          <w:szCs w:val="32"/>
          <w:highlight w:val="none"/>
        </w:rPr>
        <w:t>预算数</w:t>
      </w:r>
      <w:r>
        <w:rPr>
          <w:rStyle w:val="17"/>
          <w:rFonts w:hint="eastAsia" w:ascii="仿宋_GB2312" w:hAnsi="仿宋_GB2312" w:eastAsia="仿宋_GB2312" w:cs="仿宋_GB2312"/>
          <w:b w:val="0"/>
          <w:bCs/>
          <w:color w:val="auto"/>
          <w:sz w:val="32"/>
          <w:szCs w:val="32"/>
          <w:highlight w:val="none"/>
          <w:lang w:val="en-US" w:eastAsia="zh-CN"/>
        </w:rPr>
        <w:t>持平</w:t>
      </w:r>
      <w:r>
        <w:rPr>
          <w:rStyle w:val="17"/>
          <w:rFonts w:hint="eastAsia" w:ascii="仿宋_GB2312" w:hAnsi="仿宋_GB2312" w:eastAsia="仿宋_GB2312" w:cs="仿宋_GB2312"/>
          <w:b w:val="0"/>
          <w:bCs/>
          <w:color w:val="auto"/>
          <w:sz w:val="32"/>
          <w:szCs w:val="32"/>
          <w:highlight w:val="none"/>
        </w:rPr>
        <w:t>。</w:t>
      </w:r>
    </w:p>
    <w:p>
      <w:pPr>
        <w:keepNext w:val="0"/>
        <w:keepLines w:val="0"/>
        <w:pageBreakBefore w:val="0"/>
        <w:widowControl w:val="0"/>
        <w:kinsoku/>
        <w:wordWrap/>
        <w:overflowPunct/>
        <w:topLinePunct w:val="0"/>
        <w:bidi w:val="0"/>
        <w:spacing w:line="600" w:lineRule="exact"/>
        <w:ind w:firstLine="642" w:firstLineChars="200"/>
        <w:rPr>
          <w:rStyle w:val="17"/>
          <w:rFonts w:hint="eastAsia" w:ascii="仿宋_GB2312" w:hAnsi="仿宋_GB2312" w:eastAsia="仿宋_GB2312" w:cs="仿宋_GB2312"/>
          <w:b w:val="0"/>
          <w:bCs/>
          <w:color w:val="auto"/>
          <w:sz w:val="32"/>
          <w:szCs w:val="32"/>
          <w:highlight w:val="none"/>
        </w:rPr>
      </w:pPr>
      <w:r>
        <w:rPr>
          <w:rStyle w:val="17"/>
          <w:rFonts w:hint="eastAsia" w:ascii="仿宋_GB2312" w:hAnsi="仿宋_GB2312" w:eastAsia="仿宋_GB2312" w:cs="仿宋_GB2312"/>
          <w:bCs/>
          <w:color w:val="auto"/>
          <w:sz w:val="32"/>
          <w:szCs w:val="32"/>
          <w:highlight w:val="none"/>
          <w:lang w:val="en-US" w:eastAsia="zh-CN"/>
        </w:rPr>
        <w:t>12</w:t>
      </w:r>
      <w:r>
        <w:rPr>
          <w:rStyle w:val="17"/>
          <w:rFonts w:hint="eastAsia" w:ascii="仿宋_GB2312" w:hAnsi="仿宋_GB2312" w:eastAsia="仿宋_GB2312" w:cs="仿宋_GB2312"/>
          <w:bCs/>
          <w:color w:val="auto"/>
          <w:sz w:val="32"/>
          <w:szCs w:val="32"/>
          <w:highlight w:val="none"/>
        </w:rPr>
        <w:t>.</w:t>
      </w:r>
      <w:r>
        <w:rPr>
          <w:rFonts w:hint="eastAsia" w:ascii="仿宋_GB2312" w:hAnsi="仿宋_GB2312" w:eastAsia="仿宋_GB2312" w:cs="仿宋_GB2312"/>
          <w:b/>
          <w:bCs/>
          <w:color w:val="auto"/>
          <w:sz w:val="32"/>
          <w:szCs w:val="32"/>
          <w:highlight w:val="none"/>
        </w:rPr>
        <w:t>卫生健康</w:t>
      </w:r>
      <w:r>
        <w:rPr>
          <w:rStyle w:val="17"/>
          <w:rFonts w:hint="eastAsia" w:ascii="仿宋_GB2312" w:hAnsi="仿宋_GB2312" w:eastAsia="仿宋_GB2312" w:cs="仿宋_GB2312"/>
          <w:bCs/>
          <w:color w:val="auto"/>
          <w:sz w:val="32"/>
          <w:szCs w:val="32"/>
          <w:highlight w:val="none"/>
        </w:rPr>
        <w:t>（类）</w:t>
      </w:r>
      <w:r>
        <w:rPr>
          <w:rStyle w:val="17"/>
          <w:rFonts w:hint="eastAsia" w:ascii="仿宋_GB2312" w:hAnsi="仿宋_GB2312" w:eastAsia="仿宋_GB2312" w:cs="仿宋_GB2312"/>
          <w:bCs/>
          <w:color w:val="auto"/>
          <w:sz w:val="32"/>
          <w:szCs w:val="32"/>
          <w:highlight w:val="none"/>
          <w:lang w:val="en-US" w:eastAsia="zh-CN"/>
        </w:rPr>
        <w:t>行政事业单位医疗</w:t>
      </w:r>
      <w:r>
        <w:rPr>
          <w:rStyle w:val="17"/>
          <w:rFonts w:hint="eastAsia" w:ascii="仿宋_GB2312" w:hAnsi="仿宋_GB2312" w:eastAsia="仿宋_GB2312" w:cs="仿宋_GB2312"/>
          <w:bCs/>
          <w:color w:val="auto"/>
          <w:sz w:val="32"/>
          <w:szCs w:val="32"/>
          <w:highlight w:val="none"/>
        </w:rPr>
        <w:t>（款）</w:t>
      </w:r>
      <w:r>
        <w:rPr>
          <w:rStyle w:val="17"/>
          <w:rFonts w:hint="eastAsia" w:ascii="仿宋_GB2312" w:hAnsi="仿宋_GB2312" w:eastAsia="仿宋_GB2312" w:cs="仿宋_GB2312"/>
          <w:bCs/>
          <w:color w:val="auto"/>
          <w:sz w:val="32"/>
          <w:szCs w:val="32"/>
          <w:highlight w:val="none"/>
          <w:lang w:val="en-US" w:eastAsia="zh-CN"/>
        </w:rPr>
        <w:t>事业单位医疗</w:t>
      </w:r>
      <w:r>
        <w:rPr>
          <w:rStyle w:val="17"/>
          <w:rFonts w:hint="eastAsia" w:ascii="仿宋_GB2312" w:hAnsi="仿宋_GB2312" w:eastAsia="仿宋_GB2312" w:cs="仿宋_GB2312"/>
          <w:bCs/>
          <w:color w:val="auto"/>
          <w:sz w:val="32"/>
          <w:szCs w:val="32"/>
          <w:highlight w:val="none"/>
        </w:rPr>
        <w:t>（项）</w:t>
      </w:r>
      <w:r>
        <w:rPr>
          <w:rStyle w:val="17"/>
          <w:rFonts w:hint="eastAsia" w:ascii="仿宋_GB2312" w:hAnsi="仿宋_GB2312" w:eastAsia="仿宋_GB2312" w:cs="仿宋_GB2312"/>
          <w:bCs/>
          <w:color w:val="auto"/>
          <w:sz w:val="32"/>
          <w:szCs w:val="32"/>
          <w:highlight w:val="none"/>
          <w:lang w:eastAsia="zh-CN"/>
        </w:rPr>
        <w:t>：</w:t>
      </w:r>
      <w:r>
        <w:rPr>
          <w:rStyle w:val="17"/>
          <w:rFonts w:hint="eastAsia" w:ascii="仿宋_GB2312" w:hAnsi="仿宋_GB2312" w:eastAsia="仿宋_GB2312" w:cs="仿宋_GB2312"/>
          <w:b w:val="0"/>
          <w:bCs/>
          <w:color w:val="auto"/>
          <w:sz w:val="32"/>
          <w:szCs w:val="32"/>
          <w:highlight w:val="none"/>
        </w:rPr>
        <w:t>支出决算为</w:t>
      </w:r>
      <w:r>
        <w:rPr>
          <w:rStyle w:val="17"/>
          <w:rFonts w:hint="eastAsia" w:ascii="仿宋_GB2312" w:hAnsi="仿宋_GB2312" w:eastAsia="仿宋_GB2312" w:cs="仿宋_GB2312"/>
          <w:b w:val="0"/>
          <w:bCs/>
          <w:color w:val="auto"/>
          <w:sz w:val="32"/>
          <w:szCs w:val="32"/>
          <w:highlight w:val="none"/>
          <w:lang w:val="en-US" w:eastAsia="zh-CN"/>
        </w:rPr>
        <w:t>9.66</w:t>
      </w:r>
      <w:r>
        <w:rPr>
          <w:rStyle w:val="17"/>
          <w:rFonts w:hint="eastAsia" w:ascii="仿宋_GB2312" w:hAnsi="仿宋_GB2312" w:eastAsia="仿宋_GB2312" w:cs="仿宋_GB2312"/>
          <w:b w:val="0"/>
          <w:bCs/>
          <w:color w:val="auto"/>
          <w:sz w:val="32"/>
          <w:szCs w:val="32"/>
          <w:highlight w:val="none"/>
        </w:rPr>
        <w:t>万元，完成预算</w:t>
      </w:r>
      <w:r>
        <w:rPr>
          <w:rStyle w:val="17"/>
          <w:rFonts w:hint="eastAsia" w:ascii="仿宋_GB2312" w:hAnsi="仿宋_GB2312" w:eastAsia="仿宋_GB2312" w:cs="仿宋_GB2312"/>
          <w:b w:val="0"/>
          <w:bCs/>
          <w:color w:val="auto"/>
          <w:sz w:val="32"/>
          <w:szCs w:val="32"/>
          <w:highlight w:val="none"/>
          <w:lang w:val="en-US" w:eastAsia="zh-CN"/>
        </w:rPr>
        <w:t>100</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val="en-US" w:eastAsia="zh-CN"/>
        </w:rPr>
        <w:t>与</w:t>
      </w:r>
      <w:r>
        <w:rPr>
          <w:rStyle w:val="17"/>
          <w:rFonts w:hint="eastAsia" w:ascii="仿宋_GB2312" w:hAnsi="仿宋_GB2312" w:eastAsia="仿宋_GB2312" w:cs="仿宋_GB2312"/>
          <w:b w:val="0"/>
          <w:bCs/>
          <w:color w:val="auto"/>
          <w:sz w:val="32"/>
          <w:szCs w:val="32"/>
          <w:highlight w:val="none"/>
        </w:rPr>
        <w:t>预算数</w:t>
      </w:r>
      <w:r>
        <w:rPr>
          <w:rStyle w:val="17"/>
          <w:rFonts w:hint="eastAsia" w:ascii="仿宋_GB2312" w:hAnsi="仿宋_GB2312" w:eastAsia="仿宋_GB2312" w:cs="仿宋_GB2312"/>
          <w:b w:val="0"/>
          <w:bCs/>
          <w:color w:val="auto"/>
          <w:sz w:val="32"/>
          <w:szCs w:val="32"/>
          <w:highlight w:val="none"/>
          <w:lang w:val="en-US" w:eastAsia="zh-CN"/>
        </w:rPr>
        <w:t>持平</w:t>
      </w:r>
      <w:r>
        <w:rPr>
          <w:rStyle w:val="17"/>
          <w:rFonts w:hint="eastAsia" w:ascii="仿宋_GB2312" w:hAnsi="仿宋_GB2312" w:eastAsia="仿宋_GB2312" w:cs="仿宋_GB2312"/>
          <w:b w:val="0"/>
          <w:bCs/>
          <w:color w:val="auto"/>
          <w:sz w:val="32"/>
          <w:szCs w:val="32"/>
          <w:highlight w:val="none"/>
        </w:rPr>
        <w:t>。</w:t>
      </w:r>
    </w:p>
    <w:p>
      <w:pPr>
        <w:pStyle w:val="6"/>
        <w:ind w:firstLine="642" w:firstLineChars="200"/>
        <w:rPr>
          <w:rStyle w:val="17"/>
          <w:rFonts w:hint="eastAsia" w:hAnsi="仿宋_GB2312" w:cs="仿宋_GB2312"/>
          <w:bCs/>
          <w:color w:val="auto"/>
          <w:sz w:val="32"/>
          <w:szCs w:val="32"/>
          <w:highlight w:val="none"/>
          <w:lang w:val="en-US" w:eastAsia="zh-CN"/>
        </w:rPr>
      </w:pPr>
      <w:r>
        <w:rPr>
          <w:rStyle w:val="17"/>
          <w:rFonts w:hint="eastAsia" w:ascii="仿宋_GB2312" w:hAnsi="仿宋_GB2312" w:eastAsia="仿宋_GB2312" w:cs="仿宋_GB2312"/>
          <w:bCs/>
          <w:color w:val="000000"/>
          <w:sz w:val="32"/>
          <w:szCs w:val="32"/>
          <w:lang w:val="en-US" w:eastAsia="zh-CN"/>
        </w:rPr>
        <w:t>1</w:t>
      </w:r>
      <w:r>
        <w:rPr>
          <w:rStyle w:val="17"/>
          <w:rFonts w:hint="eastAsia" w:hAnsi="仿宋_GB2312" w:cs="仿宋_GB2312"/>
          <w:bCs/>
          <w:color w:val="000000"/>
          <w:sz w:val="32"/>
          <w:szCs w:val="32"/>
          <w:lang w:val="en-US" w:eastAsia="zh-CN"/>
        </w:rPr>
        <w:t>3</w:t>
      </w:r>
      <w:r>
        <w:rPr>
          <w:rStyle w:val="17"/>
          <w:rFonts w:hint="eastAsia" w:ascii="仿宋_GB2312" w:hAnsi="仿宋_GB2312" w:eastAsia="仿宋_GB2312" w:cs="仿宋_GB2312"/>
          <w:bCs/>
          <w:color w:val="000000"/>
          <w:sz w:val="32"/>
          <w:szCs w:val="32"/>
          <w:lang w:val="en-US" w:eastAsia="zh-CN"/>
        </w:rPr>
        <w:t>.</w:t>
      </w:r>
      <w:r>
        <w:rPr>
          <w:rStyle w:val="17"/>
          <w:rFonts w:hint="eastAsia" w:ascii="仿宋_GB2312" w:hAnsi="仿宋_GB2312" w:eastAsia="仿宋_GB2312" w:cs="仿宋_GB2312"/>
          <w:bCs/>
          <w:color w:val="000000"/>
          <w:sz w:val="32"/>
          <w:szCs w:val="32"/>
        </w:rPr>
        <w:t>住房保障（类）住房改革</w:t>
      </w:r>
      <w:r>
        <w:rPr>
          <w:rStyle w:val="17"/>
          <w:rFonts w:hint="eastAsia" w:ascii="仿宋_GB2312" w:hAnsi="仿宋_GB2312" w:eastAsia="仿宋_GB2312" w:cs="仿宋_GB2312"/>
          <w:bCs/>
          <w:color w:val="000000"/>
          <w:sz w:val="32"/>
          <w:szCs w:val="32"/>
          <w:lang w:val="en-US" w:eastAsia="zh-CN"/>
        </w:rPr>
        <w:t>支出</w:t>
      </w:r>
      <w:r>
        <w:rPr>
          <w:rStyle w:val="17"/>
          <w:rFonts w:hint="eastAsia" w:ascii="仿宋_GB2312" w:hAnsi="仿宋_GB2312" w:eastAsia="仿宋_GB2312" w:cs="仿宋_GB2312"/>
          <w:bCs/>
          <w:color w:val="000000"/>
          <w:sz w:val="32"/>
          <w:szCs w:val="32"/>
        </w:rPr>
        <w:t>（款）住房公积金（项）</w:t>
      </w:r>
      <w:r>
        <w:rPr>
          <w:rStyle w:val="17"/>
          <w:rFonts w:hint="eastAsia" w:hAnsi="仿宋_GB2312" w:cs="仿宋_GB2312"/>
          <w:bCs/>
          <w:color w:val="000000"/>
          <w:sz w:val="32"/>
          <w:szCs w:val="32"/>
          <w:lang w:eastAsia="zh-CN"/>
        </w:rPr>
        <w:t>：</w:t>
      </w:r>
      <w:r>
        <w:rPr>
          <w:rStyle w:val="17"/>
          <w:rFonts w:hint="eastAsia" w:ascii="仿宋_GB2312" w:hAnsi="仿宋_GB2312" w:eastAsia="仿宋_GB2312" w:cs="仿宋_GB2312"/>
          <w:b w:val="0"/>
          <w:bCs/>
          <w:color w:val="000000"/>
          <w:sz w:val="32"/>
          <w:szCs w:val="32"/>
        </w:rPr>
        <w:t>支出决算为</w:t>
      </w:r>
      <w:r>
        <w:rPr>
          <w:rStyle w:val="17"/>
          <w:rFonts w:hint="eastAsia" w:hAnsi="仿宋_GB2312" w:cs="仿宋_GB2312"/>
          <w:b w:val="0"/>
          <w:bCs/>
          <w:color w:val="000000"/>
          <w:sz w:val="32"/>
          <w:szCs w:val="32"/>
          <w:lang w:val="en-US" w:eastAsia="zh-CN"/>
        </w:rPr>
        <w:t>155.58</w:t>
      </w:r>
      <w:r>
        <w:rPr>
          <w:rStyle w:val="17"/>
          <w:rFonts w:hint="eastAsia" w:ascii="仿宋_GB2312" w:hAnsi="仿宋_GB2312" w:eastAsia="仿宋_GB2312" w:cs="仿宋_GB2312"/>
          <w:b w:val="0"/>
          <w:bCs/>
          <w:color w:val="000000"/>
          <w:sz w:val="32"/>
          <w:szCs w:val="32"/>
        </w:rPr>
        <w:t>万元，完成预算</w:t>
      </w:r>
      <w:r>
        <w:rPr>
          <w:rStyle w:val="17"/>
          <w:rFonts w:hint="eastAsia" w:ascii="仿宋_GB2312" w:hAnsi="仿宋_GB2312" w:eastAsia="仿宋_GB2312" w:cs="仿宋_GB2312"/>
          <w:b w:val="0"/>
          <w:bCs/>
          <w:color w:val="000000"/>
          <w:sz w:val="32"/>
          <w:szCs w:val="32"/>
          <w:lang w:val="en-US" w:eastAsia="zh-CN"/>
        </w:rPr>
        <w:t>100</w:t>
      </w:r>
      <w:r>
        <w:rPr>
          <w:rStyle w:val="17"/>
          <w:rFonts w:hint="eastAsia" w:ascii="仿宋_GB2312" w:hAnsi="仿宋_GB2312" w:eastAsia="仿宋_GB2312" w:cs="仿宋_GB2312"/>
          <w:b w:val="0"/>
          <w:bCs/>
          <w:color w:val="000000"/>
          <w:sz w:val="32"/>
          <w:szCs w:val="32"/>
        </w:rPr>
        <w:t>%，</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val="en-US" w:eastAsia="zh-CN"/>
        </w:rPr>
        <w:t>与</w:t>
      </w:r>
      <w:r>
        <w:rPr>
          <w:rStyle w:val="17"/>
          <w:rFonts w:hint="eastAsia" w:ascii="仿宋_GB2312" w:hAnsi="仿宋_GB2312" w:eastAsia="仿宋_GB2312" w:cs="仿宋_GB2312"/>
          <w:b w:val="0"/>
          <w:bCs/>
          <w:color w:val="auto"/>
          <w:sz w:val="32"/>
          <w:szCs w:val="32"/>
          <w:highlight w:val="none"/>
        </w:rPr>
        <w:t>预算数</w:t>
      </w:r>
      <w:r>
        <w:rPr>
          <w:rStyle w:val="17"/>
          <w:rFonts w:hint="eastAsia" w:ascii="仿宋_GB2312" w:hAnsi="仿宋_GB2312" w:eastAsia="仿宋_GB2312" w:cs="仿宋_GB2312"/>
          <w:b w:val="0"/>
          <w:bCs/>
          <w:color w:val="auto"/>
          <w:sz w:val="32"/>
          <w:szCs w:val="32"/>
          <w:highlight w:val="none"/>
          <w:lang w:val="en-US" w:eastAsia="zh-CN"/>
        </w:rPr>
        <w:t>持平</w:t>
      </w:r>
      <w:r>
        <w:rPr>
          <w:rStyle w:val="17"/>
          <w:rFonts w:hint="eastAsia" w:ascii="仿宋_GB2312" w:hAnsi="仿宋_GB2312" w:eastAsia="仿宋_GB2312" w:cs="仿宋_GB2312"/>
          <w:b w:val="0"/>
          <w:bCs/>
          <w:color w:val="auto"/>
          <w:sz w:val="32"/>
          <w:szCs w:val="32"/>
          <w:highlight w:val="none"/>
        </w:rPr>
        <w:t>。</w:t>
      </w:r>
    </w:p>
    <w:p>
      <w:pPr>
        <w:pStyle w:val="6"/>
        <w:ind w:firstLine="642" w:firstLineChars="200"/>
        <w:rPr>
          <w:rFonts w:hint="default" w:ascii="仿宋" w:hAnsi="仿宋" w:eastAsia="仿宋"/>
          <w:b/>
          <w:color w:val="auto"/>
          <w:sz w:val="32"/>
          <w:szCs w:val="32"/>
          <w:highlight w:val="none"/>
          <w:lang w:val="en-US" w:eastAsia="zh-CN"/>
        </w:rPr>
      </w:pPr>
      <w:r>
        <w:rPr>
          <w:rFonts w:hint="eastAsia" w:ascii="仿宋" w:hAnsi="仿宋" w:eastAsia="仿宋"/>
          <w:b/>
          <w:color w:val="auto"/>
          <w:sz w:val="32"/>
          <w:szCs w:val="32"/>
          <w:highlight w:val="none"/>
          <w:lang w:val="en-US" w:eastAsia="zh-CN"/>
        </w:rPr>
        <w:t>14.</w:t>
      </w:r>
      <w:r>
        <w:rPr>
          <w:rStyle w:val="17"/>
          <w:rFonts w:hint="eastAsia" w:ascii="仿宋_GB2312" w:hAnsi="仿宋_GB2312" w:eastAsia="仿宋_GB2312" w:cs="仿宋_GB2312"/>
          <w:bCs/>
          <w:color w:val="000000"/>
          <w:sz w:val="32"/>
          <w:szCs w:val="32"/>
          <w:lang w:eastAsia="zh-CN"/>
        </w:rPr>
        <w:t>其他支出</w:t>
      </w:r>
      <w:r>
        <w:rPr>
          <w:rStyle w:val="17"/>
          <w:rFonts w:hint="eastAsia" w:ascii="仿宋_GB2312" w:hAnsi="仿宋_GB2312" w:eastAsia="仿宋_GB2312" w:cs="仿宋_GB2312"/>
          <w:bCs/>
          <w:color w:val="000000"/>
          <w:sz w:val="32"/>
          <w:szCs w:val="32"/>
        </w:rPr>
        <w:t>（类）</w:t>
      </w:r>
      <w:r>
        <w:rPr>
          <w:rStyle w:val="17"/>
          <w:rFonts w:hint="eastAsia" w:ascii="仿宋_GB2312" w:hAnsi="仿宋_GB2312" w:eastAsia="仿宋_GB2312" w:cs="仿宋_GB2312"/>
          <w:bCs/>
          <w:color w:val="000000"/>
          <w:sz w:val="32"/>
          <w:szCs w:val="32"/>
          <w:lang w:eastAsia="zh-CN"/>
        </w:rPr>
        <w:t>其他支出</w:t>
      </w:r>
      <w:r>
        <w:rPr>
          <w:rStyle w:val="17"/>
          <w:rFonts w:hint="eastAsia" w:ascii="仿宋_GB2312" w:hAnsi="仿宋_GB2312" w:eastAsia="仿宋_GB2312" w:cs="仿宋_GB2312"/>
          <w:bCs/>
          <w:color w:val="000000"/>
          <w:sz w:val="32"/>
          <w:szCs w:val="32"/>
        </w:rPr>
        <w:t>（款）</w:t>
      </w:r>
      <w:r>
        <w:rPr>
          <w:rStyle w:val="17"/>
          <w:rFonts w:hint="eastAsia" w:ascii="仿宋_GB2312" w:hAnsi="仿宋_GB2312" w:eastAsia="仿宋_GB2312" w:cs="仿宋_GB2312"/>
          <w:bCs/>
          <w:color w:val="000000"/>
          <w:sz w:val="32"/>
          <w:szCs w:val="32"/>
          <w:lang w:eastAsia="zh-CN"/>
        </w:rPr>
        <w:t>其他支出</w:t>
      </w:r>
      <w:r>
        <w:rPr>
          <w:rStyle w:val="17"/>
          <w:rFonts w:hint="eastAsia" w:ascii="仿宋_GB2312" w:hAnsi="仿宋_GB2312" w:eastAsia="仿宋_GB2312" w:cs="仿宋_GB2312"/>
          <w:bCs/>
          <w:color w:val="000000"/>
          <w:sz w:val="32"/>
          <w:szCs w:val="32"/>
        </w:rPr>
        <w:t>（项）</w:t>
      </w:r>
      <w:r>
        <w:rPr>
          <w:rStyle w:val="17"/>
          <w:rFonts w:hint="eastAsia" w:hAnsi="仿宋_GB2312" w:cs="仿宋_GB2312"/>
          <w:bCs/>
          <w:color w:val="000000"/>
          <w:sz w:val="32"/>
          <w:szCs w:val="32"/>
          <w:lang w:eastAsia="zh-CN"/>
        </w:rPr>
        <w:t>：</w:t>
      </w:r>
      <w:r>
        <w:rPr>
          <w:rStyle w:val="17"/>
          <w:rFonts w:hint="eastAsia" w:ascii="仿宋_GB2312" w:hAnsi="仿宋_GB2312" w:eastAsia="仿宋_GB2312" w:cs="仿宋_GB2312"/>
          <w:b w:val="0"/>
          <w:bCs/>
          <w:color w:val="000000"/>
          <w:sz w:val="32"/>
          <w:szCs w:val="32"/>
        </w:rPr>
        <w:t>支出决算为</w:t>
      </w:r>
      <w:r>
        <w:rPr>
          <w:rStyle w:val="17"/>
          <w:rFonts w:hint="eastAsia" w:hAnsi="仿宋_GB2312" w:cs="仿宋_GB2312"/>
          <w:b w:val="0"/>
          <w:bCs/>
          <w:color w:val="000000"/>
          <w:sz w:val="32"/>
          <w:szCs w:val="32"/>
          <w:lang w:val="en-US" w:eastAsia="zh-CN"/>
        </w:rPr>
        <w:t>29.8</w:t>
      </w:r>
      <w:r>
        <w:rPr>
          <w:rStyle w:val="17"/>
          <w:rFonts w:hint="eastAsia" w:ascii="仿宋_GB2312" w:hAnsi="仿宋_GB2312" w:eastAsia="仿宋_GB2312" w:cs="仿宋_GB2312"/>
          <w:b w:val="0"/>
          <w:bCs/>
          <w:color w:val="000000"/>
          <w:sz w:val="32"/>
          <w:szCs w:val="32"/>
        </w:rPr>
        <w:t>万元，完成预算</w:t>
      </w:r>
      <w:r>
        <w:rPr>
          <w:rStyle w:val="17"/>
          <w:rFonts w:hint="eastAsia" w:ascii="仿宋_GB2312" w:hAnsi="仿宋_GB2312" w:eastAsia="仿宋_GB2312" w:cs="仿宋_GB2312"/>
          <w:b w:val="0"/>
          <w:bCs/>
          <w:color w:val="000000"/>
          <w:sz w:val="32"/>
          <w:szCs w:val="32"/>
          <w:lang w:val="en-US" w:eastAsia="zh-CN"/>
        </w:rPr>
        <w:t>100</w:t>
      </w:r>
      <w:r>
        <w:rPr>
          <w:rStyle w:val="17"/>
          <w:rFonts w:hint="eastAsia" w:ascii="仿宋_GB2312" w:hAnsi="仿宋_GB2312" w:eastAsia="仿宋_GB2312" w:cs="仿宋_GB2312"/>
          <w:b w:val="0"/>
          <w:bCs/>
          <w:color w:val="000000"/>
          <w:sz w:val="32"/>
          <w:szCs w:val="32"/>
        </w:rPr>
        <w:t>%，</w:t>
      </w:r>
      <w:r>
        <w:rPr>
          <w:rStyle w:val="17"/>
          <w:rFonts w:hint="eastAsia" w:ascii="仿宋_GB2312" w:hAnsi="仿宋_GB2312" w:eastAsia="仿宋_GB2312" w:cs="仿宋_GB2312"/>
          <w:b w:val="0"/>
          <w:bCs/>
          <w:color w:val="auto"/>
          <w:sz w:val="32"/>
          <w:szCs w:val="32"/>
          <w:highlight w:val="none"/>
        </w:rPr>
        <w:t>决算数</w:t>
      </w:r>
      <w:r>
        <w:rPr>
          <w:rStyle w:val="17"/>
          <w:rFonts w:hint="eastAsia" w:ascii="仿宋_GB2312" w:hAnsi="仿宋_GB2312" w:eastAsia="仿宋_GB2312" w:cs="仿宋_GB2312"/>
          <w:b w:val="0"/>
          <w:bCs/>
          <w:color w:val="auto"/>
          <w:sz w:val="32"/>
          <w:szCs w:val="32"/>
          <w:highlight w:val="none"/>
          <w:lang w:val="en-US" w:eastAsia="zh-CN"/>
        </w:rPr>
        <w:t>与</w:t>
      </w:r>
      <w:r>
        <w:rPr>
          <w:rStyle w:val="17"/>
          <w:rFonts w:hint="eastAsia" w:ascii="仿宋_GB2312" w:hAnsi="仿宋_GB2312" w:eastAsia="仿宋_GB2312" w:cs="仿宋_GB2312"/>
          <w:b w:val="0"/>
          <w:bCs/>
          <w:color w:val="auto"/>
          <w:sz w:val="32"/>
          <w:szCs w:val="32"/>
          <w:highlight w:val="none"/>
        </w:rPr>
        <w:t>预算数</w:t>
      </w:r>
      <w:r>
        <w:rPr>
          <w:rStyle w:val="17"/>
          <w:rFonts w:hint="eastAsia" w:ascii="仿宋_GB2312" w:hAnsi="仿宋_GB2312" w:eastAsia="仿宋_GB2312" w:cs="仿宋_GB2312"/>
          <w:b w:val="0"/>
          <w:bCs/>
          <w:color w:val="auto"/>
          <w:sz w:val="32"/>
          <w:szCs w:val="32"/>
          <w:highlight w:val="none"/>
          <w:lang w:val="en-US" w:eastAsia="zh-CN"/>
        </w:rPr>
        <w:t>持平</w:t>
      </w:r>
      <w:r>
        <w:rPr>
          <w:rStyle w:val="17"/>
          <w:rFonts w:hint="eastAsia" w:ascii="仿宋_GB2312" w:hAnsi="仿宋_GB2312" w:eastAsia="仿宋_GB2312" w:cs="仿宋_GB2312"/>
          <w:b w:val="0"/>
          <w:bCs/>
          <w:color w:val="auto"/>
          <w:sz w:val="32"/>
          <w:szCs w:val="32"/>
          <w:highlight w:val="none"/>
        </w:rPr>
        <w:t>。</w:t>
      </w:r>
    </w:p>
    <w:p>
      <w:pPr>
        <w:tabs>
          <w:tab w:val="right" w:pos="8306"/>
        </w:tabs>
        <w:spacing w:line="600" w:lineRule="exact"/>
        <w:ind w:firstLine="640"/>
        <w:outlineLvl w:val="1"/>
        <w:rPr>
          <w:rStyle w:val="20"/>
          <w:color w:val="auto"/>
          <w:highlight w:val="none"/>
        </w:rPr>
      </w:pPr>
      <w:bookmarkStart w:id="47" w:name="_Toc10109"/>
      <w:bookmarkStart w:id="48" w:name="_Toc15377214"/>
      <w:bookmarkStart w:id="49" w:name="_Toc15396608"/>
      <w:r>
        <w:rPr>
          <w:rFonts w:hint="eastAsia" w:ascii="黑体" w:eastAsia="黑体"/>
          <w:color w:val="auto"/>
          <w:sz w:val="32"/>
          <w:szCs w:val="32"/>
          <w:highlight w:val="none"/>
        </w:rPr>
        <w:t>六</w:t>
      </w:r>
      <w:r>
        <w:rPr>
          <w:rFonts w:hint="eastAsia" w:ascii="黑体" w:eastAsia="黑体"/>
          <w:b/>
          <w:color w:val="auto"/>
          <w:sz w:val="32"/>
          <w:szCs w:val="32"/>
          <w:highlight w:val="none"/>
        </w:rPr>
        <w:t>、</w:t>
      </w:r>
      <w:r>
        <w:rPr>
          <w:rFonts w:hint="eastAsia" w:ascii="黑体" w:hAnsi="黑体" w:eastAsia="黑体"/>
          <w:b/>
          <w:color w:val="auto"/>
          <w:sz w:val="32"/>
          <w:szCs w:val="32"/>
          <w:highlight w:val="none"/>
        </w:rPr>
        <w:t>一</w:t>
      </w:r>
      <w:r>
        <w:rPr>
          <w:rStyle w:val="20"/>
          <w:rFonts w:hint="eastAsia" w:ascii="黑体" w:hAnsi="黑体" w:eastAsia="黑体"/>
          <w:b w:val="0"/>
          <w:color w:val="auto"/>
          <w:highlight w:val="none"/>
        </w:rPr>
        <w:t>般公共预算财政拨款基本支出决算情况说明</w:t>
      </w:r>
      <w:bookmarkEnd w:id="47"/>
      <w:bookmarkEnd w:id="48"/>
      <w:bookmarkEnd w:id="49"/>
      <w:r>
        <w:rPr>
          <w:rStyle w:val="20"/>
          <w:rFonts w:ascii="黑体" w:hAnsi="黑体" w:eastAsia="黑体"/>
          <w:b w:val="0"/>
          <w:color w:val="auto"/>
          <w:highlight w:val="none"/>
        </w:rPr>
        <w:tab/>
      </w:r>
    </w:p>
    <w:p>
      <w:pPr>
        <w:spacing w:line="600" w:lineRule="exact"/>
        <w:ind w:firstLine="645"/>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年一般公共预算财政拨款基本支出</w:t>
      </w:r>
      <w:r>
        <w:rPr>
          <w:rFonts w:hint="eastAsia" w:ascii="仿宋" w:hAnsi="仿宋" w:eastAsia="仿宋"/>
          <w:color w:val="auto"/>
          <w:sz w:val="32"/>
          <w:szCs w:val="32"/>
          <w:highlight w:val="none"/>
          <w:lang w:val="en-US" w:eastAsia="zh-CN"/>
        </w:rPr>
        <w:t>2003.34</w:t>
      </w:r>
      <w:r>
        <w:rPr>
          <w:rFonts w:hint="eastAsia" w:ascii="仿宋" w:hAnsi="仿宋" w:eastAsia="仿宋"/>
          <w:color w:val="auto"/>
          <w:sz w:val="32"/>
          <w:szCs w:val="32"/>
          <w:highlight w:val="none"/>
        </w:rPr>
        <w:t>万元，其中：</w:t>
      </w:r>
    </w:p>
    <w:p>
      <w:pPr>
        <w:spacing w:line="600" w:lineRule="exact"/>
        <w:ind w:firstLine="645"/>
        <w:rPr>
          <w:rFonts w:ascii="仿宋" w:hAnsi="仿宋" w:eastAsia="仿宋"/>
          <w:b/>
          <w:color w:val="auto"/>
          <w:sz w:val="32"/>
          <w:szCs w:val="32"/>
          <w:highlight w:val="none"/>
        </w:rPr>
      </w:pPr>
      <w:r>
        <w:rPr>
          <w:rFonts w:hint="eastAsia" w:ascii="仿宋" w:hAnsi="仿宋" w:eastAsia="仿宋"/>
          <w:color w:val="auto"/>
          <w:sz w:val="32"/>
          <w:szCs w:val="32"/>
          <w:highlight w:val="none"/>
        </w:rPr>
        <w:t>人员经费</w:t>
      </w:r>
      <w:r>
        <w:rPr>
          <w:rFonts w:hint="eastAsia" w:ascii="仿宋" w:hAnsi="仿宋" w:eastAsia="仿宋"/>
          <w:color w:val="auto"/>
          <w:sz w:val="32"/>
          <w:szCs w:val="32"/>
          <w:highlight w:val="none"/>
          <w:lang w:val="en-US" w:eastAsia="zh-CN"/>
        </w:rPr>
        <w:t>1785.58</w:t>
      </w:r>
      <w:r>
        <w:rPr>
          <w:rFonts w:hint="eastAsia" w:ascii="仿宋" w:hAnsi="仿宋" w:eastAsia="仿宋"/>
          <w:color w:val="auto"/>
          <w:sz w:val="32"/>
          <w:szCs w:val="32"/>
          <w:highlight w:val="none"/>
        </w:rPr>
        <w:t>万元，主要包括：基本工资、津贴补贴、奖金、伙食补助费、绩效工资、机关事业单位基本养老保险缴费、职业年金缴费、</w:t>
      </w:r>
      <w:r>
        <w:rPr>
          <w:rFonts w:hint="eastAsia" w:ascii="仿宋_GB2312" w:hAnsi="仿宋_GB2312" w:eastAsia="仿宋_GB2312" w:cs="仿宋_GB2312"/>
          <w:color w:val="auto"/>
          <w:sz w:val="32"/>
          <w:szCs w:val="32"/>
          <w:highlight w:val="none"/>
          <w:lang w:val="en-US" w:eastAsia="zh-CN"/>
        </w:rPr>
        <w:t>职工基本医疗保险缴费、</w:t>
      </w:r>
      <w:r>
        <w:rPr>
          <w:rFonts w:hint="eastAsia" w:ascii="仿宋" w:hAnsi="仿宋" w:eastAsia="仿宋"/>
          <w:color w:val="auto"/>
          <w:sz w:val="32"/>
          <w:szCs w:val="32"/>
          <w:highlight w:val="none"/>
        </w:rPr>
        <w:t>其他社会保障缴费、住房公积金、其他工资福利支出、抚恤金、生活补助、奖励金、其他对个人和家庭的补助等。</w:t>
      </w:r>
      <w:r>
        <w:rPr>
          <w:rFonts w:ascii="仿宋" w:hAnsi="仿宋" w:eastAsia="仿宋"/>
          <w:color w:val="auto"/>
          <w:sz w:val="32"/>
          <w:szCs w:val="32"/>
          <w:highlight w:val="none"/>
        </w:rPr>
        <w:br w:type="textWrapping"/>
      </w:r>
      <w:r>
        <w:rPr>
          <w:rFonts w:hint="eastAsia" w:ascii="仿宋" w:hAnsi="仿宋" w:eastAsia="仿宋"/>
          <w:color w:val="auto"/>
          <w:sz w:val="32"/>
          <w:szCs w:val="32"/>
          <w:highlight w:val="none"/>
        </w:rPr>
        <w:t>　　公用经费</w:t>
      </w:r>
      <w:r>
        <w:rPr>
          <w:rFonts w:hint="eastAsia" w:ascii="仿宋" w:hAnsi="仿宋" w:eastAsia="仿宋"/>
          <w:color w:val="auto"/>
          <w:sz w:val="32"/>
          <w:szCs w:val="32"/>
          <w:highlight w:val="none"/>
          <w:lang w:val="en-US" w:eastAsia="zh-CN"/>
        </w:rPr>
        <w:t>217.76</w:t>
      </w:r>
      <w:r>
        <w:rPr>
          <w:rFonts w:hint="eastAsia" w:ascii="仿宋" w:hAnsi="仿宋" w:eastAsia="仿宋"/>
          <w:color w:val="auto"/>
          <w:sz w:val="32"/>
          <w:szCs w:val="32"/>
          <w:highlight w:val="none"/>
        </w:rPr>
        <w:t>万元，主要包括：办公费、印刷费、咨询费、水费、电费、邮电费、物业管理费、差旅费、维修（护）费、会议费、培训费、公务接待费、劳务费、工会经费、福利费、公务用车运行维护费、其他交通费、其他商品和服务支出。</w:t>
      </w:r>
    </w:p>
    <w:p>
      <w:pPr>
        <w:spacing w:line="600" w:lineRule="exact"/>
        <w:ind w:firstLine="640"/>
        <w:outlineLvl w:val="1"/>
        <w:rPr>
          <w:rStyle w:val="20"/>
          <w:rFonts w:ascii="黑体" w:hAnsi="黑体" w:eastAsia="黑体"/>
          <w:b w:val="0"/>
          <w:color w:val="auto"/>
          <w:highlight w:val="none"/>
        </w:rPr>
      </w:pPr>
      <w:bookmarkStart w:id="50" w:name="_Toc15377215"/>
      <w:bookmarkStart w:id="51" w:name="_Toc15396609"/>
      <w:bookmarkStart w:id="52" w:name="_Toc17839"/>
      <w:r>
        <w:rPr>
          <w:rFonts w:hint="eastAsia" w:ascii="黑体" w:eastAsia="黑体"/>
          <w:color w:val="auto"/>
          <w:sz w:val="32"/>
          <w:szCs w:val="32"/>
          <w:highlight w:val="none"/>
        </w:rPr>
        <w:t>七、</w:t>
      </w:r>
      <w:r>
        <w:rPr>
          <w:rStyle w:val="20"/>
          <w:rFonts w:hint="eastAsia" w:ascii="黑体" w:hAnsi="黑体" w:eastAsia="黑体"/>
          <w:b w:val="0"/>
          <w:color w:val="auto"/>
          <w:highlight w:val="none"/>
        </w:rPr>
        <w:t>财政拨款</w:t>
      </w:r>
      <w:r>
        <w:rPr>
          <w:rStyle w:val="20"/>
          <w:rFonts w:hint="eastAsia" w:ascii="黑体" w:hAnsi="黑体" w:eastAsia="黑体"/>
          <w:color w:val="auto"/>
          <w:highlight w:val="none"/>
        </w:rPr>
        <w:t>“</w:t>
      </w:r>
      <w:r>
        <w:rPr>
          <w:rStyle w:val="20"/>
          <w:rFonts w:hint="eastAsia" w:ascii="黑体" w:hAnsi="黑体" w:eastAsia="黑体"/>
          <w:b w:val="0"/>
          <w:color w:val="auto"/>
          <w:highlight w:val="none"/>
        </w:rPr>
        <w:t>三公”经费支出决算情况说明</w:t>
      </w:r>
      <w:bookmarkEnd w:id="50"/>
      <w:bookmarkEnd w:id="51"/>
      <w:bookmarkEnd w:id="52"/>
    </w:p>
    <w:p>
      <w:pPr>
        <w:spacing w:line="600" w:lineRule="exact"/>
        <w:ind w:firstLine="640"/>
        <w:outlineLvl w:val="2"/>
        <w:rPr>
          <w:rFonts w:ascii="仿宋" w:hAnsi="仿宋" w:eastAsia="仿宋"/>
          <w:b/>
          <w:color w:val="auto"/>
          <w:sz w:val="32"/>
          <w:szCs w:val="32"/>
          <w:highlight w:val="none"/>
        </w:rPr>
      </w:pPr>
      <w:bookmarkStart w:id="53" w:name="_Toc15377216"/>
      <w:r>
        <w:rPr>
          <w:rFonts w:hint="eastAsia" w:ascii="仿宋" w:hAnsi="仿宋" w:eastAsia="仿宋"/>
          <w:b/>
          <w:color w:val="auto"/>
          <w:sz w:val="32"/>
          <w:szCs w:val="32"/>
          <w:highlight w:val="none"/>
        </w:rPr>
        <w:t>（一）“三公”经费财政拨款支出决算总体情况说明</w:t>
      </w:r>
      <w:bookmarkEnd w:id="53"/>
    </w:p>
    <w:p>
      <w:pPr>
        <w:spacing w:line="600" w:lineRule="exact"/>
        <w:ind w:firstLine="640"/>
        <w:rPr>
          <w:rFonts w:ascii="仿宋" w:hAnsi="仿宋" w:eastAsia="仿宋"/>
          <w:b/>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17.38</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75.3</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r>
        <w:rPr>
          <w:rFonts w:hint="eastAsia" w:ascii="仿宋" w:hAnsi="仿宋" w:eastAsia="仿宋"/>
          <w:color w:val="auto"/>
          <w:sz w:val="32"/>
          <w:szCs w:val="32"/>
          <w:highlight w:val="none"/>
          <w:lang w:eastAsia="zh-CN"/>
        </w:rPr>
        <w:t>较上年</w:t>
      </w:r>
      <w:r>
        <w:rPr>
          <w:rFonts w:hint="eastAsia" w:ascii="仿宋" w:hAnsi="仿宋" w:eastAsia="仿宋"/>
          <w:color w:val="auto"/>
          <w:sz w:val="32"/>
          <w:szCs w:val="32"/>
          <w:highlight w:val="none"/>
          <w:lang w:val="en-US" w:eastAsia="zh-CN"/>
        </w:rPr>
        <w:t>减少10.02万元，下降36.56%。</w:t>
      </w:r>
      <w:r>
        <w:rPr>
          <w:rFonts w:hint="eastAsia" w:ascii="仿宋" w:hAnsi="仿宋" w:eastAsia="仿宋"/>
          <w:color w:val="auto"/>
          <w:sz w:val="32"/>
          <w:szCs w:val="32"/>
          <w:highlight w:val="none"/>
        </w:rPr>
        <w:t>决算数小于预算数的主要原因</w:t>
      </w:r>
      <w:r>
        <w:rPr>
          <w:rFonts w:hint="eastAsia" w:ascii="仿宋" w:hAnsi="仿宋" w:eastAsia="仿宋"/>
          <w:color w:val="auto"/>
          <w:sz w:val="32"/>
          <w:szCs w:val="32"/>
          <w:highlight w:val="none"/>
          <w:lang w:eastAsia="zh-CN"/>
        </w:rPr>
        <w:t>一是</w:t>
      </w:r>
      <w:r>
        <w:rPr>
          <w:rFonts w:hint="eastAsia" w:ascii="仿宋" w:hAnsi="仿宋" w:eastAsia="仿宋"/>
          <w:color w:val="auto"/>
          <w:sz w:val="32"/>
          <w:szCs w:val="32"/>
          <w:highlight w:val="none"/>
          <w:lang w:val="en-US" w:eastAsia="zh-CN"/>
        </w:rPr>
        <w:t>2022年对“三公”经费预算进行了压减；二是在执行中</w:t>
      </w:r>
      <w:r>
        <w:rPr>
          <w:rFonts w:hint="eastAsia" w:ascii="仿宋_GB2312" w:hAnsi="仿宋_GB2312" w:eastAsia="仿宋_GB2312" w:cs="仿宋_GB2312"/>
          <w:color w:val="auto"/>
          <w:sz w:val="32"/>
          <w:szCs w:val="32"/>
          <w:highlight w:val="none"/>
          <w:lang w:val="en-US" w:eastAsia="zh-CN"/>
        </w:rPr>
        <w:t>压减公务接待支出和公务用车运行维护支出</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color w:val="auto"/>
          <w:sz w:val="32"/>
          <w:szCs w:val="32"/>
          <w:highlight w:val="none"/>
        </w:rPr>
      </w:pPr>
      <w:bookmarkStart w:id="54" w:name="_Toc15377217"/>
      <w:r>
        <w:rPr>
          <w:rFonts w:hint="eastAsia" w:ascii="仿宋" w:hAnsi="仿宋" w:eastAsia="仿宋"/>
          <w:b/>
          <w:color w:val="auto"/>
          <w:sz w:val="32"/>
          <w:szCs w:val="32"/>
          <w:highlight w:val="none"/>
        </w:rPr>
        <w:t>（二）“三公”经费财政拨款支出决算具体情况说明</w:t>
      </w:r>
      <w:bookmarkEnd w:id="54"/>
    </w:p>
    <w:p>
      <w:pPr>
        <w:spacing w:line="600" w:lineRule="exact"/>
        <w:ind w:firstLine="640"/>
        <w:rPr>
          <w:rFonts w:ascii="仿宋" w:hAnsi="仿宋" w:eastAsia="仿宋"/>
          <w:color w:val="auto"/>
          <w:sz w:val="32"/>
          <w:szCs w:val="32"/>
          <w:highlight w:val="none"/>
        </w:rPr>
      </w:pPr>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22</w:t>
      </w:r>
      <w:r>
        <w:rPr>
          <w:rFonts w:hint="eastAsia" w:ascii="仿宋" w:hAnsi="仿宋" w:eastAsia="仿宋"/>
          <w:color w:val="auto"/>
          <w:sz w:val="32"/>
          <w:szCs w:val="32"/>
          <w:highlight w:val="none"/>
        </w:rPr>
        <w:t>年“三公”经费财政拨款支出决算中，因公出国（境）费支出决算</w:t>
      </w:r>
      <w:r>
        <w:rPr>
          <w:rFonts w:hint="eastAsia" w:ascii="仿宋" w:hAnsi="仿宋" w:eastAsia="仿宋"/>
          <w:color w:val="auto"/>
          <w:sz w:val="32"/>
          <w:szCs w:val="32"/>
          <w:highlight w:val="none"/>
          <w:lang w:val="en-US" w:eastAsia="zh-CN"/>
        </w:rPr>
        <w:t>0</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0</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；公务用车购置及运行维护费支出决算</w:t>
      </w:r>
      <w:r>
        <w:rPr>
          <w:rFonts w:hint="eastAsia" w:ascii="仿宋" w:hAnsi="仿宋" w:eastAsia="仿宋"/>
          <w:color w:val="auto"/>
          <w:sz w:val="32"/>
          <w:szCs w:val="32"/>
          <w:highlight w:val="none"/>
          <w:lang w:val="en-US" w:eastAsia="zh-CN"/>
        </w:rPr>
        <w:t>16.06</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92.4</w:t>
      </w:r>
      <w:r>
        <w:rPr>
          <w:rFonts w:ascii="仿宋" w:hAnsi="仿宋" w:eastAsia="仿宋"/>
          <w:color w:val="auto"/>
          <w:sz w:val="32"/>
          <w:szCs w:val="32"/>
          <w:highlight w:val="none"/>
        </w:rPr>
        <w:t>%</w:t>
      </w:r>
      <w:r>
        <w:rPr>
          <w:rFonts w:hint="eastAsia" w:ascii="仿宋" w:hAnsi="仿宋" w:eastAsia="仿宋"/>
          <w:color w:val="auto"/>
          <w:sz w:val="32"/>
          <w:szCs w:val="32"/>
          <w:highlight w:val="none"/>
        </w:rPr>
        <w:t>；公务接待费支出决算</w:t>
      </w:r>
      <w:r>
        <w:rPr>
          <w:rFonts w:hint="eastAsia" w:ascii="仿宋" w:hAnsi="仿宋" w:eastAsia="仿宋"/>
          <w:color w:val="auto"/>
          <w:sz w:val="32"/>
          <w:szCs w:val="32"/>
          <w:highlight w:val="none"/>
          <w:lang w:val="en-US" w:eastAsia="zh-CN"/>
        </w:rPr>
        <w:t>1.32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7.6</w:t>
      </w:r>
      <w:r>
        <w:rPr>
          <w:rFonts w:ascii="仿宋" w:hAnsi="仿宋" w:eastAsia="仿宋"/>
          <w:color w:val="auto"/>
          <w:sz w:val="32"/>
          <w:szCs w:val="32"/>
          <w:highlight w:val="none"/>
        </w:rPr>
        <w:t>%</w:t>
      </w:r>
      <w:r>
        <w:rPr>
          <w:rFonts w:hint="eastAsia" w:ascii="仿宋" w:hAnsi="仿宋" w:eastAsia="仿宋"/>
          <w:color w:val="auto"/>
          <w:sz w:val="32"/>
          <w:szCs w:val="32"/>
          <w:highlight w:val="none"/>
        </w:rPr>
        <w:t>。具体情况如下：</w:t>
      </w:r>
    </w:p>
    <w:p>
      <w:pPr>
        <w:spacing w:line="600" w:lineRule="exact"/>
        <w:ind w:firstLine="640"/>
        <w:rPr>
          <w:rFonts w:hint="eastAsia" w:ascii="仿宋" w:hAnsi="仿宋" w:eastAsia="仿宋"/>
          <w:color w:val="auto"/>
          <w:sz w:val="32"/>
          <w:szCs w:val="32"/>
          <w:highlight w:val="none"/>
        </w:rPr>
      </w:pPr>
      <w:r>
        <w:rPr>
          <w:rFonts w:hint="eastAsia" w:ascii="仿宋" w:hAnsi="仿宋" w:eastAsia="仿宋"/>
          <w:color w:val="auto"/>
          <w:sz w:val="32"/>
          <w:szCs w:val="32"/>
          <w:highlight w:val="none"/>
        </w:rPr>
        <w:t>（图7：“三公”经费财政拨款支出结构）（饼状图）</w:t>
      </w:r>
    </w:p>
    <w:p>
      <w:pPr>
        <w:pStyle w:val="6"/>
        <w:jc w:val="center"/>
      </w:pPr>
      <w:r>
        <w:drawing>
          <wp:inline distT="0" distB="0" distL="114300" distR="114300">
            <wp:extent cx="3462020" cy="2045335"/>
            <wp:effectExtent l="5080" t="4445" r="19050" b="7620"/>
            <wp:docPr id="8"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pPr>
        <w:keepNext w:val="0"/>
        <w:keepLines w:val="0"/>
        <w:pageBreakBefore w:val="0"/>
        <w:widowControl w:val="0"/>
        <w:kinsoku/>
        <w:wordWrap/>
        <w:overflowPunct/>
        <w:topLinePunct w:val="0"/>
        <w:bidi w:val="0"/>
        <w:spacing w:line="600" w:lineRule="exact"/>
        <w:ind w:firstLine="640"/>
      </w:pPr>
      <w:r>
        <w:rPr>
          <w:rFonts w:ascii="仿宋_GB2312" w:eastAsia="仿宋_GB2312"/>
          <w:b/>
          <w:color w:val="auto"/>
          <w:sz w:val="32"/>
          <w:szCs w:val="32"/>
          <w:highlight w:val="none"/>
        </w:rPr>
        <w:t>1.</w:t>
      </w:r>
      <w:r>
        <w:rPr>
          <w:rFonts w:hint="eastAsia" w:ascii="仿宋_GB2312" w:eastAsia="仿宋_GB2312"/>
          <w:b/>
          <w:color w:val="auto"/>
          <w:sz w:val="32"/>
          <w:szCs w:val="32"/>
          <w:highlight w:val="none"/>
        </w:rPr>
        <w:t>因公出国（境）经费支出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hAnsi="仿宋_GB2312" w:eastAsia="仿宋_GB2312" w:cs="仿宋_GB2312"/>
          <w:b w:val="0"/>
          <w:bCs/>
          <w:color w:val="auto"/>
          <w:sz w:val="32"/>
          <w:szCs w:val="32"/>
          <w:highlight w:val="none"/>
          <w:lang w:val="en-US" w:eastAsia="zh-CN"/>
        </w:rPr>
        <w:t>年初未安排预算</w:t>
      </w:r>
      <w:r>
        <w:rPr>
          <w:rStyle w:val="17"/>
          <w:rFonts w:hint="eastAsia" w:ascii="仿宋_GB2312" w:hAnsi="仿宋_GB2312" w:eastAsia="仿宋_GB2312" w:cs="仿宋_GB2312"/>
          <w:b w:val="0"/>
          <w:bCs/>
          <w:color w:val="auto"/>
          <w:sz w:val="32"/>
          <w:szCs w:val="32"/>
          <w:highlight w:val="none"/>
        </w:rPr>
        <w:t>。</w:t>
      </w:r>
      <w:r>
        <w:rPr>
          <w:rFonts w:hint="eastAsia" w:ascii="仿宋_GB2312" w:hAnsi="仿宋_GB2312" w:eastAsia="仿宋_GB2312" w:cs="仿宋_GB2312"/>
          <w:color w:val="auto"/>
          <w:sz w:val="32"/>
          <w:szCs w:val="32"/>
          <w:highlight w:val="none"/>
        </w:rPr>
        <w:t>因公出国（境）支出决算</w:t>
      </w:r>
      <w:r>
        <w:rPr>
          <w:rFonts w:hint="eastAsia" w:ascii="仿宋_GB2312" w:hAnsi="仿宋_GB2312" w:eastAsia="仿宋_GB2312" w:cs="仿宋_GB2312"/>
          <w:color w:val="auto"/>
          <w:sz w:val="32"/>
          <w:szCs w:val="32"/>
          <w:highlight w:val="none"/>
          <w:lang w:val="en-US" w:eastAsia="zh-CN"/>
        </w:rPr>
        <w:t>较</w:t>
      </w:r>
      <w:r>
        <w:rPr>
          <w:rFonts w:hint="eastAsia" w:ascii="仿宋_GB2312" w:hAnsi="仿宋_GB2312" w:eastAsia="仿宋_GB2312" w:cs="仿宋_GB2312"/>
          <w:color w:val="auto"/>
          <w:sz w:val="32"/>
          <w:szCs w:val="32"/>
          <w:highlight w:val="none"/>
        </w:rPr>
        <w:t>20</w:t>
      </w:r>
      <w:r>
        <w:rPr>
          <w:rFonts w:hint="eastAsia" w:ascii="仿宋_GB2312" w:hAnsi="仿宋_GB2312" w:eastAsia="仿宋_GB2312" w:cs="仿宋_GB2312"/>
          <w:color w:val="auto"/>
          <w:sz w:val="32"/>
          <w:szCs w:val="32"/>
          <w:highlight w:val="none"/>
          <w:lang w:val="en-US" w:eastAsia="zh-CN"/>
        </w:rPr>
        <w:t>21</w:t>
      </w:r>
      <w:r>
        <w:rPr>
          <w:rFonts w:hint="eastAsia"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lang w:val="en-US" w:eastAsia="zh-CN"/>
        </w:rPr>
        <w:t>无变化</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bidi w:val="0"/>
        <w:spacing w:line="600" w:lineRule="exact"/>
        <w:ind w:firstLine="640"/>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rPr>
        <w:t>公务用车购置及运行维护费支出</w:t>
      </w:r>
      <w:r>
        <w:rPr>
          <w:rFonts w:hint="eastAsia" w:ascii="仿宋_GB2312" w:eastAsia="仿宋_GB2312"/>
          <w:color w:val="auto"/>
          <w:sz w:val="32"/>
          <w:szCs w:val="32"/>
          <w:highlight w:val="none"/>
          <w:lang w:val="en-US" w:eastAsia="zh-CN"/>
        </w:rPr>
        <w:t>16.06</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eastAsia="zh-CN"/>
        </w:rPr>
        <w:t>，</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80.78</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公务用车购置及运行维护费支出决算比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9.73</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37.72</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。主要原因</w:t>
      </w:r>
      <w:r>
        <w:rPr>
          <w:rFonts w:hint="eastAsia" w:ascii="仿宋_GB2312" w:hAnsi="仿宋_GB2312" w:eastAsia="仿宋_GB2312" w:cs="仿宋_GB2312"/>
          <w:color w:val="auto"/>
          <w:sz w:val="32"/>
          <w:szCs w:val="32"/>
          <w:highlight w:val="none"/>
        </w:rPr>
        <w:t>是</w:t>
      </w:r>
      <w:r>
        <w:rPr>
          <w:rFonts w:hint="eastAsia" w:ascii="仿宋_GB2312" w:hAnsi="仿宋_GB2312" w:eastAsia="仿宋_GB2312" w:cs="仿宋_GB2312"/>
          <w:color w:val="auto"/>
          <w:sz w:val="32"/>
          <w:szCs w:val="32"/>
          <w:highlight w:val="none"/>
          <w:lang w:val="en-US" w:eastAsia="zh-CN"/>
        </w:rPr>
        <w:t>2022年公务用车购置及运行维护费预算进行了压减，同时严格车辆管理，压减</w:t>
      </w:r>
      <w:r>
        <w:rPr>
          <w:rFonts w:hint="eastAsia" w:ascii="仿宋_GB2312" w:hAnsi="仿宋_GB2312" w:eastAsia="仿宋_GB2312" w:cs="仿宋_GB2312"/>
          <w:color w:val="auto"/>
          <w:sz w:val="32"/>
          <w:szCs w:val="32"/>
          <w:highlight w:val="none"/>
        </w:rPr>
        <w:t>公务用车运行维护费支出</w:t>
      </w:r>
      <w:r>
        <w:rPr>
          <w:rFonts w:hint="eastAsia" w:ascii="仿宋_GB2312" w:hAnsi="仿宋_GB2312" w:eastAsia="仿宋_GB2312" w:cs="仿宋_GB2312"/>
          <w:color w:val="auto"/>
          <w:sz w:val="32"/>
          <w:szCs w:val="32"/>
          <w:highlight w:val="none"/>
          <w:lang w:val="en-US" w:eastAsia="zh-CN"/>
        </w:rPr>
        <w:t>。</w:t>
      </w:r>
    </w:p>
    <w:p>
      <w:pPr>
        <w:spacing w:line="600" w:lineRule="exact"/>
        <w:ind w:firstLine="640" w:firstLineChars="200"/>
        <w:rPr>
          <w:rFonts w:ascii="仿宋_GB2312" w:eastAsia="仿宋_GB2312"/>
          <w:b/>
          <w:color w:val="auto"/>
          <w:sz w:val="32"/>
          <w:szCs w:val="32"/>
          <w:highlight w:val="none"/>
        </w:rPr>
      </w:pPr>
      <w:r>
        <w:rPr>
          <w:rFonts w:hint="eastAsia" w:ascii="仿宋_GB2312" w:eastAsia="仿宋_GB2312"/>
          <w:color w:val="auto"/>
          <w:sz w:val="32"/>
          <w:szCs w:val="32"/>
          <w:highlight w:val="none"/>
        </w:rPr>
        <w:t>其中：</w:t>
      </w:r>
      <w:r>
        <w:rPr>
          <w:rFonts w:hint="eastAsia" w:ascii="仿宋_GB2312" w:eastAsia="仿宋_GB2312"/>
          <w:b/>
          <w:color w:val="auto"/>
          <w:sz w:val="32"/>
          <w:szCs w:val="32"/>
          <w:highlight w:val="none"/>
        </w:rPr>
        <w:t>公务用车购置支出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hAnsi="仿宋_GB2312" w:eastAsia="仿宋_GB2312" w:cs="仿宋_GB2312"/>
          <w:color w:val="auto"/>
          <w:sz w:val="32"/>
          <w:szCs w:val="32"/>
          <w:highlight w:val="none"/>
        </w:rPr>
        <w:t>截至20</w:t>
      </w:r>
      <w:r>
        <w:rPr>
          <w:rFonts w:hint="eastAsia" w:ascii="仿宋_GB2312" w:hAnsi="仿宋_GB2312" w:eastAsia="仿宋_GB2312" w:cs="仿宋_GB2312"/>
          <w:color w:val="auto"/>
          <w:sz w:val="32"/>
          <w:szCs w:val="32"/>
          <w:highlight w:val="none"/>
          <w:lang w:val="en-US" w:eastAsia="zh-CN"/>
        </w:rPr>
        <w:t>22</w:t>
      </w:r>
      <w:r>
        <w:rPr>
          <w:rFonts w:hint="eastAsia" w:ascii="仿宋_GB2312" w:hAnsi="仿宋_GB2312" w:eastAsia="仿宋_GB2312" w:cs="仿宋_GB2312"/>
          <w:color w:val="auto"/>
          <w:sz w:val="32"/>
          <w:szCs w:val="32"/>
          <w:highlight w:val="none"/>
        </w:rPr>
        <w:t>年12月底，</w:t>
      </w:r>
      <w:r>
        <w:rPr>
          <w:rFonts w:hint="eastAsia" w:ascii="仿宋_GB2312" w:hAnsi="仿宋_GB2312" w:eastAsia="仿宋_GB2312" w:cs="仿宋_GB2312"/>
          <w:color w:val="auto"/>
          <w:sz w:val="32"/>
          <w:szCs w:val="32"/>
          <w:highlight w:val="none"/>
          <w:lang w:eastAsia="zh-CN"/>
        </w:rPr>
        <w:t>部门</w:t>
      </w:r>
      <w:r>
        <w:rPr>
          <w:rFonts w:hint="eastAsia" w:ascii="仿宋_GB2312" w:hAnsi="仿宋_GB2312" w:eastAsia="仿宋_GB2312" w:cs="仿宋_GB2312"/>
          <w:color w:val="auto"/>
          <w:sz w:val="32"/>
          <w:szCs w:val="32"/>
          <w:highlight w:val="none"/>
        </w:rPr>
        <w:t>共有公务用车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辆，其中：越野车</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辆。</w:t>
      </w:r>
    </w:p>
    <w:p>
      <w:pPr>
        <w:keepNext w:val="0"/>
        <w:keepLines w:val="0"/>
        <w:pageBreakBefore w:val="0"/>
        <w:widowControl w:val="0"/>
        <w:kinsoku/>
        <w:wordWrap/>
        <w:overflowPunct/>
        <w:topLinePunct w:val="0"/>
        <w:bidi w:val="0"/>
        <w:spacing w:line="576" w:lineRule="exact"/>
        <w:ind w:firstLine="642" w:firstLineChars="200"/>
        <w:rPr>
          <w:rFonts w:hint="eastAsia" w:ascii="仿宋_GB2312" w:eastAsia="仿宋_GB2312"/>
          <w:color w:val="auto"/>
          <w:sz w:val="32"/>
          <w:szCs w:val="32"/>
          <w:highlight w:val="none"/>
        </w:rPr>
      </w:pPr>
      <w:r>
        <w:rPr>
          <w:rFonts w:hint="eastAsia" w:ascii="仿宋_GB2312" w:eastAsia="仿宋_GB2312"/>
          <w:b/>
          <w:color w:val="auto"/>
          <w:sz w:val="32"/>
          <w:szCs w:val="32"/>
          <w:highlight w:val="none"/>
        </w:rPr>
        <w:t>公务用车运行维护费支出</w:t>
      </w:r>
      <w:r>
        <w:rPr>
          <w:rFonts w:hint="eastAsia" w:ascii="仿宋_GB2312" w:eastAsia="仿宋_GB2312"/>
          <w:color w:val="auto"/>
          <w:sz w:val="32"/>
          <w:szCs w:val="32"/>
          <w:highlight w:val="none"/>
          <w:lang w:val="en-US" w:eastAsia="zh-CN"/>
        </w:rPr>
        <w:t>16.06</w:t>
      </w:r>
      <w:r>
        <w:rPr>
          <w:rFonts w:hint="eastAsia" w:ascii="仿宋_GB2312" w:eastAsia="仿宋_GB2312"/>
          <w:color w:val="auto"/>
          <w:sz w:val="32"/>
          <w:szCs w:val="32"/>
          <w:highlight w:val="none"/>
        </w:rPr>
        <w:t>万元。</w:t>
      </w:r>
      <w:r>
        <w:rPr>
          <w:rFonts w:hint="eastAsia" w:ascii="仿宋_GB2312" w:hAnsi="仿宋_GB2312" w:eastAsia="仿宋_GB2312" w:cs="仿宋_GB2312"/>
          <w:color w:val="000000"/>
          <w:sz w:val="32"/>
          <w:szCs w:val="32"/>
        </w:rPr>
        <w:t>主要用于开展财政</w:t>
      </w:r>
      <w:r>
        <w:rPr>
          <w:rFonts w:hint="eastAsia" w:ascii="仿宋_GB2312" w:hAnsi="仿宋_GB2312" w:eastAsia="仿宋_GB2312" w:cs="仿宋_GB2312"/>
          <w:color w:val="000000"/>
          <w:sz w:val="32"/>
          <w:szCs w:val="32"/>
          <w:lang w:val="en-US" w:eastAsia="zh-CN"/>
        </w:rPr>
        <w:t>调研及检查指导</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财政评审、乡村振兴</w:t>
      </w:r>
      <w:r>
        <w:rPr>
          <w:rFonts w:hint="eastAsia" w:ascii="仿宋_GB2312" w:hAnsi="仿宋_GB2312" w:eastAsia="仿宋_GB2312" w:cs="仿宋_GB2312"/>
          <w:color w:val="000000"/>
          <w:sz w:val="32"/>
          <w:szCs w:val="32"/>
        </w:rPr>
        <w:t>等</w:t>
      </w:r>
      <w:r>
        <w:rPr>
          <w:rFonts w:hint="eastAsia" w:ascii="仿宋_GB2312" w:hAnsi="仿宋_GB2312" w:eastAsia="仿宋_GB2312" w:cs="仿宋_GB2312"/>
          <w:color w:val="000000"/>
          <w:sz w:val="32"/>
          <w:szCs w:val="32"/>
          <w:lang w:val="en-US" w:eastAsia="zh-CN"/>
        </w:rPr>
        <w:t>工作</w:t>
      </w:r>
      <w:r>
        <w:rPr>
          <w:rFonts w:hint="eastAsia" w:ascii="仿宋_GB2312" w:hAnsi="仿宋_GB2312" w:eastAsia="仿宋_GB2312" w:cs="仿宋_GB2312"/>
          <w:color w:val="000000"/>
          <w:sz w:val="32"/>
          <w:szCs w:val="32"/>
        </w:rPr>
        <w:t>所需的公务用车燃料费、维修费、过路过桥费、保险费等支出。</w:t>
      </w:r>
    </w:p>
    <w:p>
      <w:pPr>
        <w:spacing w:line="600" w:lineRule="exact"/>
        <w:ind w:firstLine="640"/>
        <w:rPr>
          <w:rFonts w:ascii="仿宋_GB2312" w:eastAsia="仿宋_GB2312"/>
          <w:color w:val="auto"/>
          <w:sz w:val="32"/>
          <w:szCs w:val="32"/>
          <w:highlight w:val="none"/>
        </w:rPr>
      </w:pPr>
      <w:r>
        <w:rPr>
          <w:rFonts w:ascii="仿宋_GB2312" w:eastAsia="仿宋_GB2312"/>
          <w:b/>
          <w:color w:val="auto"/>
          <w:sz w:val="32"/>
          <w:szCs w:val="32"/>
          <w:highlight w:val="none"/>
        </w:rPr>
        <w:t>3.</w:t>
      </w:r>
      <w:r>
        <w:rPr>
          <w:rFonts w:hint="eastAsia" w:ascii="仿宋_GB2312" w:eastAsia="仿宋_GB2312"/>
          <w:b/>
          <w:color w:val="auto"/>
          <w:sz w:val="32"/>
          <w:szCs w:val="32"/>
          <w:highlight w:val="none"/>
        </w:rPr>
        <w:t>公务接待费支出</w:t>
      </w:r>
      <w:r>
        <w:rPr>
          <w:rFonts w:hint="eastAsia" w:ascii="仿宋_GB2312" w:eastAsia="仿宋_GB2312"/>
          <w:color w:val="auto"/>
          <w:sz w:val="32"/>
          <w:szCs w:val="32"/>
          <w:highlight w:val="none"/>
          <w:lang w:val="en-US" w:eastAsia="zh-CN"/>
        </w:rPr>
        <w:t>1.32</w:t>
      </w:r>
      <w:r>
        <w:rPr>
          <w:rFonts w:hint="eastAsia" w:ascii="仿宋_GB2312" w:eastAsia="仿宋_GB2312"/>
          <w:color w:val="auto"/>
          <w:sz w:val="32"/>
          <w:szCs w:val="32"/>
          <w:highlight w:val="none"/>
        </w:rPr>
        <w:t>万元，</w:t>
      </w:r>
      <w:r>
        <w:rPr>
          <w:rStyle w:val="17"/>
          <w:rFonts w:hint="eastAsia" w:ascii="仿宋" w:hAnsi="仿宋" w:eastAsia="仿宋"/>
          <w:b w:val="0"/>
          <w:bCs/>
          <w:color w:val="auto"/>
          <w:sz w:val="32"/>
          <w:szCs w:val="32"/>
          <w:highlight w:val="none"/>
        </w:rPr>
        <w:t>完成预算</w:t>
      </w:r>
      <w:r>
        <w:rPr>
          <w:rStyle w:val="17"/>
          <w:rFonts w:hint="eastAsia" w:ascii="仿宋" w:hAnsi="仿宋" w:eastAsia="仿宋"/>
          <w:b w:val="0"/>
          <w:bCs/>
          <w:color w:val="auto"/>
          <w:sz w:val="32"/>
          <w:szCs w:val="32"/>
          <w:highlight w:val="none"/>
          <w:lang w:val="en-US" w:eastAsia="zh-CN"/>
        </w:rPr>
        <w:t>41.25</w:t>
      </w:r>
      <w:r>
        <w:rPr>
          <w:rStyle w:val="17"/>
          <w:rFonts w:ascii="仿宋" w:hAnsi="仿宋" w:eastAsia="仿宋"/>
          <w:b w:val="0"/>
          <w:bCs/>
          <w:color w:val="auto"/>
          <w:sz w:val="32"/>
          <w:szCs w:val="32"/>
          <w:highlight w:val="none"/>
        </w:rPr>
        <w:t>%</w:t>
      </w:r>
      <w:r>
        <w:rPr>
          <w:rStyle w:val="17"/>
          <w:rFonts w:hint="eastAsia" w:ascii="仿宋" w:hAnsi="仿宋" w:eastAsia="仿宋"/>
          <w:b w:val="0"/>
          <w:bCs/>
          <w:color w:val="auto"/>
          <w:sz w:val="32"/>
          <w:szCs w:val="32"/>
          <w:highlight w:val="none"/>
        </w:rPr>
        <w:t>。</w:t>
      </w:r>
      <w:r>
        <w:rPr>
          <w:rFonts w:hint="eastAsia" w:ascii="仿宋_GB2312" w:eastAsia="仿宋_GB2312"/>
          <w:color w:val="auto"/>
          <w:sz w:val="32"/>
          <w:szCs w:val="32"/>
          <w:highlight w:val="none"/>
        </w:rPr>
        <w:t>公务接待费支出决算比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0.28</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17.5</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r>
        <w:rPr>
          <w:rFonts w:hint="eastAsia" w:ascii="仿宋_GB2312" w:hAnsi="仿宋_GB2312" w:eastAsia="仿宋_GB2312" w:cs="仿宋_GB2312"/>
          <w:color w:val="000000"/>
          <w:sz w:val="32"/>
          <w:szCs w:val="32"/>
        </w:rPr>
        <w:t>主要原因</w:t>
      </w:r>
      <w:r>
        <w:rPr>
          <w:rFonts w:hint="eastAsia" w:ascii="仿宋_GB2312" w:hAnsi="仿宋_GB2312" w:eastAsia="仿宋_GB2312" w:cs="仿宋_GB2312"/>
          <w:color w:val="000000"/>
          <w:sz w:val="32"/>
          <w:szCs w:val="32"/>
          <w:lang w:eastAsia="zh-CN"/>
        </w:rPr>
        <w:t>一</w:t>
      </w:r>
      <w:r>
        <w:rPr>
          <w:rFonts w:hint="eastAsia" w:ascii="仿宋_GB2312" w:hAnsi="仿宋_GB2312" w:eastAsia="仿宋_GB2312" w:cs="仿宋_GB2312"/>
          <w:color w:val="000000"/>
          <w:sz w:val="32"/>
          <w:szCs w:val="32"/>
        </w:rPr>
        <w:t>是在接待过程中严格执行中央八项规定</w:t>
      </w:r>
      <w:r>
        <w:rPr>
          <w:rFonts w:hint="eastAsia" w:ascii="仿宋_GB2312" w:hAnsi="仿宋_GB2312" w:eastAsia="仿宋_GB2312" w:cs="仿宋_GB2312"/>
          <w:color w:val="000000"/>
          <w:sz w:val="32"/>
          <w:szCs w:val="32"/>
          <w:lang w:val="en-US" w:eastAsia="zh-CN"/>
        </w:rPr>
        <w:t>精神</w:t>
      </w:r>
      <w:r>
        <w:rPr>
          <w:rFonts w:hint="eastAsia" w:ascii="仿宋_GB2312" w:hAnsi="仿宋_GB2312" w:eastAsia="仿宋_GB2312" w:cs="仿宋_GB2312"/>
          <w:color w:val="000000"/>
          <w:sz w:val="32"/>
          <w:szCs w:val="32"/>
        </w:rPr>
        <w:t>、省委省政府十项规定、市委“六个带头”及其实施细则，控制接待标准，限制陪同人数，接待费开支有所下降</w:t>
      </w:r>
      <w:r>
        <w:rPr>
          <w:rFonts w:hint="eastAsia" w:ascii="仿宋_GB2312" w:hAnsi="仿宋_GB2312" w:eastAsia="仿宋_GB2312" w:cs="仿宋_GB2312"/>
          <w:color w:val="000000"/>
          <w:sz w:val="32"/>
          <w:szCs w:val="32"/>
          <w:lang w:eastAsia="zh-CN"/>
        </w:rPr>
        <w:t>；二是</w:t>
      </w:r>
      <w:r>
        <w:rPr>
          <w:rFonts w:hint="eastAsia" w:ascii="仿宋_GB2312" w:hAnsi="仿宋_GB2312" w:eastAsia="仿宋_GB2312" w:cs="仿宋_GB2312"/>
          <w:color w:val="000000"/>
          <w:sz w:val="32"/>
          <w:szCs w:val="32"/>
          <w:lang w:val="en-US" w:eastAsia="zh-CN"/>
        </w:rPr>
        <w:t>2022年接待批次和接待人数较2021年下降。</w:t>
      </w:r>
      <w:r>
        <w:rPr>
          <w:rFonts w:hint="eastAsia" w:ascii="仿宋_GB2312" w:eastAsia="仿宋_GB2312"/>
          <w:color w:val="auto"/>
          <w:sz w:val="32"/>
          <w:szCs w:val="32"/>
          <w:highlight w:val="none"/>
        </w:rPr>
        <w:t>其中：</w:t>
      </w:r>
    </w:p>
    <w:p>
      <w:pPr>
        <w:keepNext w:val="0"/>
        <w:keepLines w:val="0"/>
        <w:pageBreakBefore w:val="0"/>
        <w:widowControl w:val="0"/>
        <w:kinsoku/>
        <w:wordWrap/>
        <w:overflowPunct/>
        <w:topLinePunct w:val="0"/>
        <w:bidi w:val="0"/>
        <w:spacing w:line="600" w:lineRule="exact"/>
        <w:ind w:firstLine="640"/>
        <w:rPr>
          <w:rFonts w:ascii="仿宋_GB2312" w:eastAsia="仿宋_GB2312"/>
          <w:color w:val="auto"/>
          <w:sz w:val="32"/>
          <w:szCs w:val="32"/>
          <w:highlight w:val="none"/>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1.32</w:t>
      </w:r>
      <w:r>
        <w:rPr>
          <w:rFonts w:hint="eastAsia" w:ascii="仿宋_GB2312" w:eastAsia="仿宋_GB2312"/>
          <w:color w:val="auto"/>
          <w:sz w:val="32"/>
          <w:szCs w:val="32"/>
          <w:highlight w:val="none"/>
        </w:rPr>
        <w:t>万元，</w:t>
      </w:r>
      <w:r>
        <w:rPr>
          <w:rFonts w:hint="eastAsia" w:ascii="仿宋_GB2312" w:hAnsi="仿宋_GB2312" w:eastAsia="仿宋_GB2312" w:cs="仿宋_GB2312"/>
          <w:color w:val="000000"/>
          <w:sz w:val="32"/>
          <w:szCs w:val="32"/>
        </w:rPr>
        <w:t>主要用于执行公务、开展业务活动开支的用餐费等</w:t>
      </w:r>
      <w:r>
        <w:rPr>
          <w:rFonts w:hint="eastAsia" w:ascii="仿宋_GB2312" w:hAnsi="仿宋_GB2312" w:eastAsia="仿宋_GB2312" w:cs="仿宋_GB2312"/>
          <w:color w:val="auto"/>
          <w:sz w:val="32"/>
          <w:szCs w:val="32"/>
          <w:highlight w:val="none"/>
        </w:rPr>
        <w:t>。</w:t>
      </w:r>
      <w:r>
        <w:rPr>
          <w:rFonts w:hint="eastAsia" w:ascii="仿宋_GB2312" w:eastAsia="仿宋_GB2312"/>
          <w:color w:val="auto"/>
          <w:sz w:val="32"/>
          <w:szCs w:val="32"/>
          <w:highlight w:val="none"/>
        </w:rPr>
        <w:t>国内公务接待</w:t>
      </w:r>
      <w:r>
        <w:rPr>
          <w:rFonts w:hint="eastAsia" w:ascii="仿宋_GB2312" w:eastAsia="仿宋_GB2312"/>
          <w:color w:val="auto"/>
          <w:sz w:val="32"/>
          <w:szCs w:val="32"/>
          <w:highlight w:val="none"/>
          <w:lang w:val="en-US" w:eastAsia="zh-CN"/>
        </w:rPr>
        <w:t>10</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115</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1.32</w:t>
      </w:r>
      <w:r>
        <w:rPr>
          <w:rFonts w:hint="eastAsia" w:ascii="仿宋_GB2312" w:eastAsia="仿宋_GB2312"/>
          <w:color w:val="auto"/>
          <w:sz w:val="32"/>
          <w:szCs w:val="32"/>
          <w:highlight w:val="none"/>
        </w:rPr>
        <w:t>万元，具体内容包括：</w:t>
      </w:r>
      <w:r>
        <w:rPr>
          <w:rFonts w:hint="eastAsia" w:ascii="仿宋_GB2312" w:hAnsi="仿宋_GB2312" w:eastAsia="仿宋_GB2312" w:cs="仿宋_GB2312"/>
          <w:color w:val="auto"/>
          <w:sz w:val="32"/>
          <w:szCs w:val="32"/>
          <w:highlight w:val="none"/>
        </w:rPr>
        <w:t>具体内容包括：</w:t>
      </w:r>
      <w:r>
        <w:rPr>
          <w:rFonts w:hint="eastAsia" w:ascii="仿宋_GB2312" w:hAnsi="仿宋_GB2312" w:eastAsia="仿宋_GB2312" w:cs="仿宋_GB2312"/>
          <w:color w:val="000000"/>
          <w:sz w:val="32"/>
          <w:szCs w:val="32"/>
        </w:rPr>
        <w:t>省财政厅及上级部门各类检查调研、</w:t>
      </w:r>
      <w:r>
        <w:rPr>
          <w:rFonts w:hint="eastAsia" w:ascii="仿宋_GB2312" w:hAnsi="仿宋_GB2312" w:eastAsia="仿宋_GB2312" w:cs="仿宋_GB2312"/>
          <w:color w:val="000000"/>
          <w:sz w:val="32"/>
          <w:szCs w:val="32"/>
          <w:lang w:eastAsia="zh-CN"/>
        </w:rPr>
        <w:t>其他市县及我市</w:t>
      </w:r>
      <w:r>
        <w:rPr>
          <w:rFonts w:hint="eastAsia" w:ascii="仿宋_GB2312" w:hAnsi="仿宋_GB2312" w:eastAsia="仿宋_GB2312" w:cs="仿宋_GB2312"/>
          <w:color w:val="000000"/>
          <w:sz w:val="32"/>
          <w:szCs w:val="32"/>
        </w:rPr>
        <w:t>县区财政局来我</w:t>
      </w:r>
      <w:r>
        <w:rPr>
          <w:rFonts w:hint="eastAsia" w:ascii="仿宋_GB2312" w:hAnsi="仿宋_GB2312" w:eastAsia="仿宋_GB2312" w:cs="仿宋_GB2312"/>
          <w:color w:val="000000"/>
          <w:sz w:val="32"/>
          <w:szCs w:val="32"/>
          <w:lang w:eastAsia="zh-CN"/>
        </w:rPr>
        <w:t>部门</w:t>
      </w:r>
      <w:r>
        <w:rPr>
          <w:rFonts w:hint="eastAsia" w:ascii="仿宋_GB2312" w:hAnsi="仿宋_GB2312" w:eastAsia="仿宋_GB2312" w:cs="仿宋_GB2312"/>
          <w:color w:val="000000"/>
          <w:sz w:val="32"/>
          <w:szCs w:val="32"/>
        </w:rPr>
        <w:t>交流</w:t>
      </w:r>
      <w:r>
        <w:rPr>
          <w:rFonts w:hint="eastAsia" w:ascii="仿宋_GB2312" w:hAnsi="仿宋_GB2312" w:eastAsia="仿宋_GB2312" w:cs="仿宋_GB2312"/>
          <w:sz w:val="32"/>
          <w:szCs w:val="32"/>
        </w:rPr>
        <w:t>汇报等</w:t>
      </w:r>
      <w:r>
        <w:rPr>
          <w:rFonts w:hint="eastAsia" w:ascii="仿宋_GB2312" w:hAnsi="仿宋_GB2312" w:eastAsia="仿宋_GB2312" w:cs="仿宋_GB2312"/>
          <w:color w:val="000000"/>
          <w:sz w:val="32"/>
          <w:szCs w:val="32"/>
        </w:rPr>
        <w:t>。</w:t>
      </w:r>
    </w:p>
    <w:p>
      <w:pPr>
        <w:spacing w:line="600" w:lineRule="exact"/>
        <w:ind w:firstLine="640"/>
        <w:outlineLvl w:val="1"/>
        <w:rPr>
          <w:rFonts w:ascii="黑体" w:eastAsia="黑体"/>
          <w:color w:val="auto"/>
          <w:sz w:val="32"/>
          <w:szCs w:val="32"/>
          <w:highlight w:val="none"/>
        </w:rPr>
      </w:pPr>
      <w:bookmarkStart w:id="55" w:name="_Toc7871"/>
      <w:r>
        <w:rPr>
          <w:rFonts w:hint="eastAsia" w:ascii="仿宋" w:hAnsi="仿宋" w:eastAsia="仿宋"/>
          <w:b/>
          <w:color w:val="auto"/>
          <w:sz w:val="32"/>
          <w:szCs w:val="32"/>
          <w:highlight w:val="none"/>
        </w:rPr>
        <w:t>外事接待支出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2022年无外事接待支出。</w:t>
      </w:r>
      <w:bookmarkEnd w:id="55"/>
      <w:bookmarkStart w:id="56" w:name="_Toc15377218"/>
      <w:bookmarkStart w:id="57" w:name="_Toc15396610"/>
    </w:p>
    <w:p>
      <w:pPr>
        <w:spacing w:line="600" w:lineRule="exact"/>
        <w:ind w:firstLine="640"/>
        <w:outlineLvl w:val="1"/>
        <w:rPr>
          <w:rStyle w:val="20"/>
          <w:rFonts w:ascii="黑体" w:hAnsi="黑体" w:eastAsia="黑体"/>
          <w:color w:val="auto"/>
          <w:highlight w:val="none"/>
        </w:rPr>
      </w:pPr>
      <w:bookmarkStart w:id="58" w:name="_Toc3594"/>
      <w:r>
        <w:rPr>
          <w:rFonts w:hint="eastAsia" w:ascii="黑体" w:eastAsia="黑体"/>
          <w:color w:val="auto"/>
          <w:sz w:val="32"/>
          <w:szCs w:val="32"/>
          <w:highlight w:val="none"/>
        </w:rPr>
        <w:t>八、</w:t>
      </w:r>
      <w:r>
        <w:rPr>
          <w:rStyle w:val="20"/>
          <w:rFonts w:hint="eastAsia" w:ascii="黑体" w:hAnsi="黑体" w:eastAsia="黑体"/>
          <w:b w:val="0"/>
          <w:color w:val="auto"/>
          <w:highlight w:val="none"/>
        </w:rPr>
        <w:t>政府性基金预算支出决算情况说明</w:t>
      </w:r>
      <w:bookmarkEnd w:id="56"/>
      <w:bookmarkEnd w:id="57"/>
      <w:bookmarkEnd w:id="58"/>
    </w:p>
    <w:p>
      <w:pPr>
        <w:keepNext w:val="0"/>
        <w:keepLines w:val="0"/>
        <w:pageBreakBefore w:val="0"/>
        <w:widowControl w:val="0"/>
        <w:kinsoku/>
        <w:wordWrap/>
        <w:overflowPunct/>
        <w:topLinePunct w:val="0"/>
        <w:bidi w:val="0"/>
        <w:spacing w:line="576"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年政府性基金预算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hAnsi="仿宋_GB2312" w:eastAsia="仿宋_GB2312" w:cs="仿宋_GB2312"/>
          <w:color w:val="000000"/>
          <w:sz w:val="32"/>
          <w:szCs w:val="32"/>
          <w:highlight w:val="none"/>
        </w:rPr>
        <w:t>202</w:t>
      </w:r>
      <w:r>
        <w:rPr>
          <w:rFonts w:hint="eastAsia" w:ascii="仿宋_GB2312" w:hAnsi="仿宋_GB2312" w:eastAsia="仿宋_GB2312" w:cs="仿宋_GB2312"/>
          <w:color w:val="000000"/>
          <w:sz w:val="32"/>
          <w:szCs w:val="32"/>
          <w:highlight w:val="none"/>
          <w:lang w:val="en-US" w:eastAsia="zh-CN"/>
        </w:rPr>
        <w:t>2</w:t>
      </w:r>
      <w:r>
        <w:rPr>
          <w:rFonts w:hint="eastAsia" w:ascii="仿宋_GB2312" w:hAnsi="仿宋_GB2312" w:eastAsia="仿宋_GB2312" w:cs="仿宋_GB2312"/>
          <w:color w:val="000000"/>
          <w:sz w:val="32"/>
          <w:szCs w:val="32"/>
          <w:highlight w:val="none"/>
        </w:rPr>
        <w:t>年本</w:t>
      </w:r>
      <w:r>
        <w:rPr>
          <w:rFonts w:hint="eastAsia" w:ascii="仿宋_GB2312" w:hAnsi="仿宋_GB2312" w:eastAsia="仿宋_GB2312" w:cs="仿宋_GB2312"/>
          <w:color w:val="000000"/>
          <w:sz w:val="32"/>
          <w:szCs w:val="32"/>
          <w:highlight w:val="none"/>
          <w:lang w:eastAsia="zh-CN"/>
        </w:rPr>
        <w:t>部门</w:t>
      </w:r>
      <w:r>
        <w:rPr>
          <w:rFonts w:hint="eastAsia" w:ascii="仿宋_GB2312" w:hAnsi="仿宋_GB2312" w:eastAsia="仿宋_GB2312" w:cs="仿宋_GB2312"/>
          <w:color w:val="000000"/>
          <w:sz w:val="32"/>
          <w:szCs w:val="32"/>
          <w:highlight w:val="none"/>
        </w:rPr>
        <w:t>未在政府性基金预算</w:t>
      </w:r>
      <w:r>
        <w:rPr>
          <w:rFonts w:hint="eastAsia" w:ascii="仿宋_GB2312" w:eastAsia="仿宋_GB2312"/>
          <w:color w:val="auto"/>
          <w:sz w:val="32"/>
          <w:szCs w:val="32"/>
          <w:highlight w:val="none"/>
          <w:lang w:eastAsia="zh-CN"/>
        </w:rPr>
        <w:t>财政</w:t>
      </w:r>
      <w:r>
        <w:rPr>
          <w:rFonts w:hint="eastAsia" w:ascii="仿宋_GB2312" w:hAnsi="仿宋_GB2312" w:eastAsia="仿宋_GB2312" w:cs="仿宋_GB2312"/>
          <w:color w:val="000000"/>
          <w:sz w:val="32"/>
          <w:szCs w:val="32"/>
          <w:highlight w:val="none"/>
        </w:rPr>
        <w:t>拨款安排“三公”经费支出。</w:t>
      </w:r>
    </w:p>
    <w:p>
      <w:pPr>
        <w:numPr>
          <w:ilvl w:val="0"/>
          <w:numId w:val="2"/>
        </w:numPr>
        <w:spacing w:line="600" w:lineRule="exact"/>
        <w:ind w:firstLine="640"/>
        <w:outlineLvl w:val="1"/>
        <w:rPr>
          <w:rStyle w:val="20"/>
          <w:rFonts w:ascii="黑体" w:hAnsi="黑体" w:eastAsia="黑体"/>
          <w:b w:val="0"/>
          <w:color w:val="auto"/>
          <w:highlight w:val="none"/>
        </w:rPr>
      </w:pPr>
      <w:bookmarkStart w:id="59" w:name="_Toc20579"/>
      <w:bookmarkStart w:id="60" w:name="_Toc15396611"/>
      <w:bookmarkStart w:id="61" w:name="_Toc15377219"/>
      <w:r>
        <w:rPr>
          <w:rStyle w:val="20"/>
          <w:rFonts w:hint="eastAsia" w:ascii="黑体" w:hAnsi="黑体" w:eastAsia="黑体"/>
          <w:b w:val="0"/>
          <w:color w:val="auto"/>
          <w:highlight w:val="none"/>
        </w:rPr>
        <w:t>国有资本经营预算支出决算情况说明</w:t>
      </w:r>
      <w:bookmarkEnd w:id="59"/>
      <w:bookmarkEnd w:id="60"/>
      <w:bookmarkEnd w:id="61"/>
    </w:p>
    <w:p>
      <w:pPr>
        <w:spacing w:line="600" w:lineRule="exact"/>
        <w:ind w:firstLine="640"/>
        <w:rPr>
          <w:rFonts w:ascii="方正小标宋简体" w:hAnsi="方正小标宋简体" w:eastAsia="方正小标宋简体" w:cs="方正小标宋简体"/>
          <w:color w:val="auto"/>
          <w:sz w:val="44"/>
          <w:szCs w:val="44"/>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年国有资本经营预算</w:t>
      </w:r>
      <w:r>
        <w:rPr>
          <w:rFonts w:hint="eastAsia" w:ascii="仿宋_GB2312" w:eastAsia="仿宋_GB2312"/>
          <w:color w:val="auto"/>
          <w:sz w:val="32"/>
          <w:szCs w:val="32"/>
          <w:highlight w:val="none"/>
          <w:lang w:eastAsia="zh-CN"/>
        </w:rPr>
        <w:t>财政</w:t>
      </w:r>
      <w:r>
        <w:rPr>
          <w:rFonts w:hint="eastAsia" w:ascii="仿宋_GB2312" w:eastAsia="仿宋_GB2312"/>
          <w:color w:val="auto"/>
          <w:sz w:val="32"/>
          <w:szCs w:val="32"/>
          <w:highlight w:val="none"/>
        </w:rPr>
        <w:t>拨款支出</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numPr>
          <w:ilvl w:val="0"/>
          <w:numId w:val="2"/>
        </w:numPr>
        <w:spacing w:line="600" w:lineRule="exact"/>
        <w:ind w:firstLine="640"/>
        <w:outlineLvl w:val="1"/>
        <w:rPr>
          <w:rStyle w:val="20"/>
          <w:rFonts w:hint="eastAsia" w:ascii="黑体" w:hAnsi="黑体" w:eastAsia="黑体"/>
          <w:b w:val="0"/>
          <w:color w:val="auto"/>
          <w:highlight w:val="none"/>
        </w:rPr>
      </w:pPr>
      <w:bookmarkStart w:id="62" w:name="_Toc6550"/>
      <w:bookmarkStart w:id="63" w:name="_Toc15396612"/>
      <w:bookmarkStart w:id="64" w:name="_Toc15377221"/>
      <w:r>
        <w:rPr>
          <w:rStyle w:val="20"/>
          <w:rFonts w:hint="eastAsia" w:ascii="黑体" w:hAnsi="黑体" w:eastAsia="黑体"/>
          <w:b w:val="0"/>
          <w:color w:val="auto"/>
          <w:highlight w:val="none"/>
        </w:rPr>
        <w:t>其他重要事项的情况说明</w:t>
      </w:r>
      <w:bookmarkEnd w:id="62"/>
      <w:bookmarkEnd w:id="63"/>
      <w:bookmarkEnd w:id="64"/>
    </w:p>
    <w:p>
      <w:pPr>
        <w:spacing w:line="600" w:lineRule="exact"/>
        <w:ind w:firstLine="642" w:firstLineChars="200"/>
        <w:outlineLvl w:val="2"/>
        <w:rPr>
          <w:rFonts w:ascii="仿宋" w:hAnsi="仿宋" w:eastAsia="仿宋"/>
          <w:color w:val="auto"/>
          <w:sz w:val="32"/>
          <w:szCs w:val="32"/>
          <w:highlight w:val="none"/>
        </w:rPr>
      </w:pPr>
      <w:bookmarkStart w:id="65" w:name="_Toc15377222"/>
      <w:r>
        <w:rPr>
          <w:rFonts w:hint="eastAsia" w:ascii="仿宋" w:hAnsi="仿宋" w:eastAsia="仿宋"/>
          <w:b/>
          <w:color w:val="auto"/>
          <w:sz w:val="32"/>
          <w:szCs w:val="32"/>
          <w:highlight w:val="none"/>
        </w:rPr>
        <w:t>（一）机关运行经费支出情况</w:t>
      </w:r>
      <w:bookmarkEnd w:id="65"/>
    </w:p>
    <w:p>
      <w:pPr>
        <w:keepNext w:val="0"/>
        <w:keepLines w:val="0"/>
        <w:pageBreakBefore w:val="0"/>
        <w:widowControl w:val="0"/>
        <w:kinsoku/>
        <w:wordWrap/>
        <w:overflowPunct/>
        <w:topLinePunct w:val="0"/>
        <w:bidi w:val="0"/>
        <w:spacing w:line="600" w:lineRule="exact"/>
        <w:ind w:firstLine="640" w:firstLineChars="200"/>
        <w:rPr>
          <w:rFonts w:hint="default" w:ascii="仿宋_GB2312" w:eastAsia="仿宋_GB2312"/>
          <w:color w:val="auto"/>
          <w:sz w:val="32"/>
          <w:szCs w:val="32"/>
          <w:highlight w:val="none"/>
          <w:lang w:val="en-US" w:eastAsia="zh-CN"/>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广元市财政局</w:t>
      </w:r>
      <w:r>
        <w:rPr>
          <w:rFonts w:hint="eastAsia" w:ascii="仿宋_GB2312" w:eastAsia="仿宋_GB2312"/>
          <w:color w:val="auto"/>
          <w:sz w:val="32"/>
          <w:szCs w:val="32"/>
          <w:highlight w:val="none"/>
        </w:rPr>
        <w:t>机关运行经费支出</w:t>
      </w:r>
      <w:r>
        <w:rPr>
          <w:rFonts w:hint="eastAsia" w:ascii="仿宋_GB2312" w:eastAsia="仿宋_GB2312"/>
          <w:color w:val="auto"/>
          <w:sz w:val="32"/>
          <w:szCs w:val="32"/>
          <w:highlight w:val="none"/>
          <w:lang w:val="en-US" w:eastAsia="zh-CN"/>
        </w:rPr>
        <w:t>200.06</w:t>
      </w:r>
      <w:r>
        <w:rPr>
          <w:rFonts w:hint="eastAsia" w:ascii="仿宋_GB2312" w:eastAsia="仿宋_GB2312"/>
          <w:color w:val="auto"/>
          <w:sz w:val="32"/>
          <w:szCs w:val="32"/>
          <w:highlight w:val="none"/>
        </w:rPr>
        <w:t>万元，比</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年减少</w:t>
      </w:r>
      <w:r>
        <w:rPr>
          <w:rFonts w:hint="eastAsia" w:ascii="仿宋_GB2312" w:eastAsia="仿宋_GB2312"/>
          <w:color w:val="auto"/>
          <w:sz w:val="32"/>
          <w:szCs w:val="32"/>
          <w:highlight w:val="none"/>
          <w:lang w:val="en-US" w:eastAsia="zh-CN"/>
        </w:rPr>
        <w:t>183.66</w:t>
      </w:r>
      <w:r>
        <w:rPr>
          <w:rFonts w:hint="eastAsia" w:ascii="仿宋_GB2312" w:eastAsia="仿宋_GB2312"/>
          <w:color w:val="auto"/>
          <w:sz w:val="32"/>
          <w:szCs w:val="32"/>
          <w:highlight w:val="none"/>
        </w:rPr>
        <w:t>万元，下降</w:t>
      </w:r>
      <w:r>
        <w:rPr>
          <w:rFonts w:hint="eastAsia" w:ascii="仿宋_GB2312" w:eastAsia="仿宋_GB2312"/>
          <w:color w:val="auto"/>
          <w:sz w:val="32"/>
          <w:szCs w:val="32"/>
          <w:highlight w:val="none"/>
          <w:lang w:val="en-US" w:eastAsia="zh-CN"/>
        </w:rPr>
        <w:t>47.86</w:t>
      </w:r>
      <w:r>
        <w:rPr>
          <w:rFonts w:ascii="仿宋_GB2312" w:eastAsia="仿宋_GB2312"/>
          <w:color w:val="auto"/>
          <w:sz w:val="32"/>
          <w:szCs w:val="32"/>
          <w:highlight w:val="none"/>
        </w:rPr>
        <w:t>%</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主要原因</w:t>
      </w:r>
      <w:r>
        <w:rPr>
          <w:rFonts w:hint="eastAsia" w:ascii="仿宋_GB2312" w:eastAsia="仿宋_GB2312"/>
          <w:color w:val="auto"/>
          <w:sz w:val="32"/>
          <w:szCs w:val="32"/>
          <w:highlight w:val="none"/>
          <w:lang w:val="en-US" w:eastAsia="zh-CN"/>
        </w:rPr>
        <w:t>一是人员减少引起的运行经费减少；二是2022年无上年结转资金，而2021年运行经费支出中含上年结转经费。</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66" w:name="_Toc15377223"/>
      <w:r>
        <w:rPr>
          <w:rFonts w:hint="eastAsia" w:ascii="仿宋" w:hAnsi="仿宋" w:eastAsia="仿宋"/>
          <w:b/>
          <w:color w:val="auto"/>
          <w:sz w:val="32"/>
          <w:szCs w:val="32"/>
          <w:highlight w:val="none"/>
        </w:rPr>
        <w:t>（二）政府采购支出情况</w:t>
      </w:r>
      <w:bookmarkEnd w:id="66"/>
    </w:p>
    <w:p>
      <w:pPr>
        <w:spacing w:line="60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hint="eastAsia" w:ascii="仿宋_GB2312" w:hAnsi="仿宋_GB2312" w:eastAsia="仿宋_GB2312" w:cs="仿宋_GB2312"/>
          <w:color w:val="000000"/>
          <w:sz w:val="32"/>
          <w:szCs w:val="32"/>
        </w:rPr>
        <w:t>广元市财政局</w:t>
      </w:r>
      <w:r>
        <w:rPr>
          <w:rFonts w:hint="eastAsia" w:ascii="仿宋_GB2312" w:eastAsia="仿宋_GB2312"/>
          <w:color w:val="auto"/>
          <w:sz w:val="32"/>
          <w:szCs w:val="32"/>
          <w:highlight w:val="none"/>
        </w:rPr>
        <w:t>政府采购支出总额</w:t>
      </w:r>
      <w:r>
        <w:rPr>
          <w:rFonts w:hint="eastAsia" w:ascii="仿宋_GB2312" w:eastAsia="仿宋_GB2312"/>
          <w:color w:val="auto"/>
          <w:sz w:val="32"/>
          <w:szCs w:val="32"/>
          <w:highlight w:val="none"/>
          <w:lang w:val="en-US" w:eastAsia="zh-CN"/>
        </w:rPr>
        <w:t>233.96</w:t>
      </w:r>
      <w:r>
        <w:rPr>
          <w:rFonts w:hint="eastAsia" w:ascii="仿宋_GB2312" w:eastAsia="仿宋_GB2312"/>
          <w:color w:val="auto"/>
          <w:sz w:val="32"/>
          <w:szCs w:val="32"/>
          <w:highlight w:val="none"/>
        </w:rPr>
        <w:t>万元，其中：政府采购货物支出</w:t>
      </w:r>
      <w:r>
        <w:rPr>
          <w:rFonts w:hint="eastAsia" w:ascii="仿宋_GB2312" w:eastAsia="仿宋_GB2312"/>
          <w:color w:val="auto"/>
          <w:sz w:val="32"/>
          <w:szCs w:val="32"/>
          <w:highlight w:val="none"/>
          <w:lang w:val="en-US" w:eastAsia="zh-CN"/>
        </w:rPr>
        <w:t>87.94</w:t>
      </w:r>
      <w:r>
        <w:rPr>
          <w:rFonts w:hint="eastAsia" w:ascii="仿宋_GB2312" w:eastAsia="仿宋_GB2312"/>
          <w:color w:val="auto"/>
          <w:sz w:val="32"/>
          <w:szCs w:val="32"/>
          <w:highlight w:val="none"/>
        </w:rPr>
        <w:t>万元、政府采购服务支出</w:t>
      </w:r>
      <w:r>
        <w:rPr>
          <w:rFonts w:hint="eastAsia" w:ascii="仿宋_GB2312" w:eastAsia="仿宋_GB2312"/>
          <w:color w:val="auto"/>
          <w:sz w:val="32"/>
          <w:szCs w:val="32"/>
          <w:highlight w:val="none"/>
          <w:lang w:val="en-US" w:eastAsia="zh-CN"/>
        </w:rPr>
        <w:t>146.02</w:t>
      </w:r>
      <w:r>
        <w:rPr>
          <w:rFonts w:hint="eastAsia" w:ascii="仿宋_GB2312" w:eastAsia="仿宋_GB2312"/>
          <w:color w:val="auto"/>
          <w:sz w:val="32"/>
          <w:szCs w:val="32"/>
          <w:highlight w:val="none"/>
        </w:rPr>
        <w:t>万元。主要用于</w:t>
      </w:r>
      <w:r>
        <w:rPr>
          <w:rFonts w:hint="eastAsia" w:ascii="仿宋_GB2312" w:eastAsia="仿宋_GB2312"/>
          <w:color w:val="auto"/>
          <w:sz w:val="32"/>
          <w:szCs w:val="32"/>
          <w:highlight w:val="none"/>
          <w:lang w:val="en-US" w:eastAsia="zh-CN"/>
        </w:rPr>
        <w:t>办公设备和打印纸采购、财政购买服务和财政评审评价购买服务等</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233.96</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，其中：授予小微企业合同金额</w:t>
      </w:r>
      <w:r>
        <w:rPr>
          <w:rFonts w:hint="eastAsia" w:ascii="仿宋_GB2312" w:eastAsia="仿宋_GB2312"/>
          <w:color w:val="auto"/>
          <w:sz w:val="32"/>
          <w:szCs w:val="32"/>
          <w:highlight w:val="none"/>
          <w:lang w:val="en-US" w:eastAsia="zh-CN"/>
        </w:rPr>
        <w:t>233.96</w:t>
      </w:r>
      <w:r>
        <w:rPr>
          <w:rFonts w:hint="eastAsia" w:ascii="仿宋_GB2312" w:eastAsia="仿宋_GB2312"/>
          <w:color w:val="auto"/>
          <w:sz w:val="32"/>
          <w:szCs w:val="32"/>
          <w:highlight w:val="none"/>
        </w:rPr>
        <w:t>万元，占政府采购支出总额的</w:t>
      </w:r>
      <w:r>
        <w:rPr>
          <w:rFonts w:hint="eastAsia" w:ascii="仿宋_GB2312" w:eastAsia="仿宋_GB2312"/>
          <w:color w:val="auto"/>
          <w:sz w:val="32"/>
          <w:szCs w:val="32"/>
          <w:highlight w:val="none"/>
          <w:lang w:val="en-US" w:eastAsia="zh-CN"/>
        </w:rPr>
        <w:t>100</w:t>
      </w:r>
      <w:r>
        <w:rPr>
          <w:rFonts w:ascii="仿宋_GB2312" w:eastAsia="仿宋_GB2312"/>
          <w:color w:val="auto"/>
          <w:sz w:val="32"/>
          <w:szCs w:val="32"/>
          <w:highlight w:val="none"/>
        </w:rPr>
        <w:t>%</w:t>
      </w:r>
      <w:r>
        <w:rPr>
          <w:rFonts w:hint="eastAsia" w:ascii="仿宋_GB2312" w:eastAsia="仿宋_GB2312"/>
          <w:color w:val="auto"/>
          <w:sz w:val="32"/>
          <w:szCs w:val="32"/>
          <w:highlight w:val="none"/>
        </w:rPr>
        <w:t>。</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bookmarkStart w:id="67" w:name="_Toc15377224"/>
      <w:r>
        <w:rPr>
          <w:rFonts w:hint="eastAsia" w:ascii="仿宋" w:hAnsi="仿宋" w:eastAsia="仿宋"/>
          <w:b/>
          <w:color w:val="auto"/>
          <w:sz w:val="32"/>
          <w:szCs w:val="32"/>
          <w:highlight w:val="none"/>
        </w:rPr>
        <w:t>（三）国有资产占有使用情况</w:t>
      </w:r>
      <w:bookmarkEnd w:id="67"/>
    </w:p>
    <w:p>
      <w:pPr>
        <w:autoSpaceDE w:val="0"/>
        <w:autoSpaceDN w:val="0"/>
        <w:adjustRightInd w:val="0"/>
        <w:spacing w:line="600" w:lineRule="exact"/>
        <w:ind w:firstLine="640" w:firstLineChars="200"/>
        <w:jc w:val="left"/>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截至</w:t>
      </w:r>
      <w:r>
        <w:rPr>
          <w:rFonts w:ascii="仿宋_GB2312" w:eastAsia="仿宋_GB2312"/>
          <w:color w:val="auto"/>
          <w:sz w:val="32"/>
          <w:szCs w:val="32"/>
          <w:highlight w:val="none"/>
        </w:rPr>
        <w:t>20</w:t>
      </w:r>
      <w:r>
        <w:rPr>
          <w:rFonts w:hint="eastAsia" w:ascii="仿宋_GB2312" w:eastAsia="仿宋_GB2312"/>
          <w:color w:val="auto"/>
          <w:sz w:val="32"/>
          <w:szCs w:val="32"/>
          <w:highlight w:val="none"/>
          <w:lang w:val="en-US" w:eastAsia="zh-CN"/>
        </w:rPr>
        <w:t>22</w:t>
      </w:r>
      <w:r>
        <w:rPr>
          <w:rFonts w:hint="eastAsia" w:ascii="仿宋_GB2312" w:eastAsia="仿宋_GB2312"/>
          <w:color w:val="auto"/>
          <w:sz w:val="32"/>
          <w:szCs w:val="32"/>
          <w:highlight w:val="none"/>
        </w:rPr>
        <w:t>年</w:t>
      </w:r>
      <w:r>
        <w:rPr>
          <w:rFonts w:ascii="仿宋_GB2312" w:eastAsia="仿宋_GB2312"/>
          <w:color w:val="auto"/>
          <w:sz w:val="32"/>
          <w:szCs w:val="32"/>
          <w:highlight w:val="none"/>
        </w:rPr>
        <w:t>12</w:t>
      </w:r>
      <w:r>
        <w:rPr>
          <w:rFonts w:hint="eastAsia" w:ascii="仿宋_GB2312" w:eastAsia="仿宋_GB2312"/>
          <w:color w:val="auto"/>
          <w:sz w:val="32"/>
          <w:szCs w:val="32"/>
          <w:highlight w:val="none"/>
        </w:rPr>
        <w:t>月</w:t>
      </w:r>
      <w:r>
        <w:rPr>
          <w:rFonts w:ascii="仿宋_GB2312" w:eastAsia="仿宋_GB2312"/>
          <w:color w:val="auto"/>
          <w:sz w:val="32"/>
          <w:szCs w:val="32"/>
          <w:highlight w:val="none"/>
        </w:rPr>
        <w:t>31</w:t>
      </w:r>
      <w:r>
        <w:rPr>
          <w:rFonts w:hint="eastAsia" w:ascii="仿宋_GB2312" w:eastAsia="仿宋_GB2312"/>
          <w:color w:val="auto"/>
          <w:sz w:val="32"/>
          <w:szCs w:val="32"/>
          <w:highlight w:val="none"/>
        </w:rPr>
        <w:t>日，</w:t>
      </w:r>
      <w:r>
        <w:rPr>
          <w:rFonts w:hint="eastAsia" w:ascii="仿宋_GB2312" w:eastAsia="仿宋_GB2312"/>
          <w:color w:val="auto"/>
          <w:sz w:val="32"/>
          <w:szCs w:val="32"/>
          <w:highlight w:val="none"/>
          <w:lang w:eastAsia="zh-CN"/>
        </w:rPr>
        <w:t>广元市财政局</w:t>
      </w:r>
      <w:r>
        <w:rPr>
          <w:rFonts w:hint="eastAsia" w:ascii="仿宋_GB2312" w:eastAsia="仿宋_GB2312"/>
          <w:color w:val="auto"/>
          <w:sz w:val="32"/>
          <w:szCs w:val="32"/>
          <w:highlight w:val="none"/>
        </w:rPr>
        <w:t>共有车辆</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辆，其中：其他用车</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其他用车主要是用于</w:t>
      </w:r>
      <w:r>
        <w:rPr>
          <w:rFonts w:hint="eastAsia" w:ascii="仿宋_GB2312" w:eastAsia="仿宋_GB2312"/>
          <w:color w:val="000000"/>
          <w:sz w:val="32"/>
          <w:szCs w:val="32"/>
        </w:rPr>
        <w:t>一般公务</w:t>
      </w:r>
      <w:r>
        <w:rPr>
          <w:rFonts w:hint="eastAsia" w:ascii="仿宋_GB2312" w:eastAsia="仿宋_GB2312"/>
          <w:color w:val="000000"/>
          <w:sz w:val="32"/>
          <w:szCs w:val="32"/>
          <w:lang w:val="en-US" w:eastAsia="zh-CN"/>
        </w:rPr>
        <w:t>出行</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单价</w:t>
      </w:r>
      <w:r>
        <w:rPr>
          <w:rFonts w:ascii="仿宋_GB2312" w:eastAsia="仿宋_GB2312"/>
          <w:color w:val="auto"/>
          <w:sz w:val="32"/>
          <w:szCs w:val="32"/>
          <w:highlight w:val="none"/>
        </w:rPr>
        <w:t>100</w:t>
      </w:r>
      <w:r>
        <w:rPr>
          <w:rFonts w:hint="eastAsia" w:ascii="仿宋_GB2312" w:eastAsia="仿宋_GB2312"/>
          <w:color w:val="auto"/>
          <w:sz w:val="32"/>
          <w:szCs w:val="32"/>
          <w:highlight w:val="none"/>
        </w:rPr>
        <w:t>万元以上专用设备</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台（套）。</w:t>
      </w:r>
    </w:p>
    <w:p>
      <w:pPr>
        <w:autoSpaceDE w:val="0"/>
        <w:autoSpaceDN w:val="0"/>
        <w:adjustRightInd w:val="0"/>
        <w:spacing w:line="600" w:lineRule="exact"/>
        <w:ind w:firstLine="642" w:firstLineChars="200"/>
        <w:jc w:val="left"/>
        <w:outlineLvl w:val="2"/>
        <w:rPr>
          <w:rFonts w:ascii="仿宋" w:hAnsi="仿宋" w:eastAsia="仿宋"/>
          <w:b/>
          <w:color w:val="auto"/>
          <w:sz w:val="32"/>
          <w:szCs w:val="32"/>
          <w:highlight w:val="none"/>
        </w:rPr>
      </w:pPr>
      <w:r>
        <w:rPr>
          <w:rFonts w:hint="eastAsia" w:ascii="仿宋" w:hAnsi="仿宋" w:eastAsia="仿宋"/>
          <w:b/>
          <w:color w:val="auto"/>
          <w:sz w:val="32"/>
          <w:szCs w:val="32"/>
          <w:highlight w:val="none"/>
        </w:rPr>
        <w:t>（四）预算绩效管理情况</w:t>
      </w:r>
    </w:p>
    <w:p>
      <w:pPr>
        <w:widowControl/>
        <w:ind w:firstLine="640" w:firstLineChars="200"/>
        <w:jc w:val="lef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根据预算绩效管理要求，本部门在202</w:t>
      </w: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rPr>
        <w:t>年度预算编制阶段，组织</w:t>
      </w:r>
      <w:r>
        <w:rPr>
          <w:rFonts w:hint="eastAsia" w:ascii="仿宋_GB2312" w:hAnsi="仿宋_GB2312" w:eastAsia="仿宋_GB2312" w:cs="仿宋_GB2312"/>
          <w:color w:val="auto"/>
          <w:sz w:val="32"/>
          <w:szCs w:val="32"/>
          <w:highlight w:val="none"/>
          <w:lang w:eastAsia="zh-CN"/>
        </w:rPr>
        <w:t>对财政专项工作经费</w:t>
      </w:r>
      <w:r>
        <w:rPr>
          <w:rFonts w:hint="eastAsia" w:ascii="仿宋_GB2312" w:hAnsi="仿宋_GB2312" w:eastAsia="仿宋_GB2312" w:cs="仿宋_GB2312"/>
          <w:color w:val="auto"/>
          <w:sz w:val="32"/>
          <w:szCs w:val="32"/>
          <w:highlight w:val="none"/>
        </w:rPr>
        <w:t>项目等</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个项目开展了预算事前绩效评估，对</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rPr>
        <w:t>个项目开展绩效监控。</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hint="eastAsia" w:ascii="宋体" w:hAnsi="宋体" w:eastAsia="宋体" w:cs="宋体"/>
          <w:i w:val="0"/>
          <w:color w:val="000000"/>
          <w:kern w:val="0"/>
          <w:sz w:val="16"/>
          <w:szCs w:val="16"/>
          <w:u w:val="none"/>
          <w:lang w:val="en-US" w:eastAsia="zh-CN" w:bidi="ar"/>
        </w:rPr>
      </w:pPr>
      <w:r>
        <w:rPr>
          <w:rFonts w:hint="eastAsia" w:ascii="仿宋_GB2312" w:hAnsi="仿宋_GB2312" w:eastAsia="仿宋_GB2312" w:cs="仿宋_GB2312"/>
          <w:color w:val="auto"/>
          <w:sz w:val="32"/>
          <w:szCs w:val="32"/>
          <w:highlight w:val="none"/>
        </w:rPr>
        <w:t>组织对2022年度一般公共预算资金等全面开展绩效自评，形成</w:t>
      </w:r>
      <w:r>
        <w:rPr>
          <w:rFonts w:hint="eastAsia" w:ascii="仿宋_GB2312" w:hAnsi="仿宋_GB2312" w:eastAsia="仿宋_GB2312" w:cs="仿宋_GB2312"/>
          <w:color w:val="auto"/>
          <w:sz w:val="32"/>
          <w:szCs w:val="32"/>
          <w:highlight w:val="none"/>
          <w:lang w:eastAsia="zh-CN"/>
        </w:rPr>
        <w:t>广元市财政局</w:t>
      </w:r>
      <w:r>
        <w:rPr>
          <w:rFonts w:hint="eastAsia" w:ascii="仿宋_GB2312" w:hAnsi="仿宋_GB2312" w:eastAsia="仿宋_GB2312" w:cs="仿宋_GB2312"/>
          <w:color w:val="auto"/>
          <w:sz w:val="32"/>
          <w:szCs w:val="32"/>
          <w:highlight w:val="none"/>
        </w:rPr>
        <w:t>部门整体（含部门预算项目）绩效自评报告</w:t>
      </w:r>
      <w:r>
        <w:rPr>
          <w:rFonts w:hint="eastAsia" w:ascii="仿宋_GB2312" w:hAnsi="仿宋_GB2312" w:eastAsia="仿宋_GB2312" w:cs="仿宋_GB2312"/>
          <w:color w:val="auto"/>
          <w:sz w:val="32"/>
          <w:szCs w:val="32"/>
          <w:highlight w:val="none"/>
          <w:lang w:eastAsia="zh-CN"/>
        </w:rPr>
        <w:t>及绩效自评表</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eastAsia="zh-CN"/>
        </w:rPr>
        <w:t>财政专项工作经费</w:t>
      </w:r>
      <w:r>
        <w:rPr>
          <w:rFonts w:hint="eastAsia" w:ascii="仿宋_GB2312" w:hAnsi="仿宋_GB2312" w:eastAsia="仿宋_GB2312" w:cs="仿宋_GB2312"/>
          <w:color w:val="auto"/>
          <w:sz w:val="32"/>
          <w:szCs w:val="32"/>
          <w:highlight w:val="none"/>
        </w:rPr>
        <w:t>等</w:t>
      </w:r>
      <w:r>
        <w:rPr>
          <w:rFonts w:hint="eastAsia" w:ascii="仿宋_GB2312" w:hAnsi="仿宋_GB2312" w:eastAsia="仿宋_GB2312" w:cs="仿宋_GB2312"/>
          <w:color w:val="auto"/>
          <w:sz w:val="32"/>
          <w:szCs w:val="32"/>
          <w:highlight w:val="none"/>
          <w:lang w:val="en-US" w:eastAsia="zh-CN"/>
        </w:rPr>
        <w:t>20</w:t>
      </w:r>
      <w:r>
        <w:rPr>
          <w:rFonts w:hint="eastAsia" w:ascii="仿宋_GB2312" w:hAnsi="仿宋_GB2312" w:eastAsia="仿宋_GB2312" w:cs="仿宋_GB2312"/>
          <w:color w:val="auto"/>
          <w:sz w:val="32"/>
          <w:szCs w:val="32"/>
          <w:highlight w:val="none"/>
          <w:lang w:val="en" w:eastAsia="zh-CN"/>
        </w:rPr>
        <w:t>个</w:t>
      </w:r>
      <w:r>
        <w:rPr>
          <w:rFonts w:hint="eastAsia" w:ascii="仿宋_GB2312" w:hAnsi="仿宋_GB2312" w:eastAsia="仿宋_GB2312" w:cs="仿宋_GB2312"/>
          <w:color w:val="auto"/>
          <w:sz w:val="32"/>
          <w:szCs w:val="32"/>
          <w:highlight w:val="none"/>
        </w:rPr>
        <w:t>专项预算项目绩效自评</w:t>
      </w:r>
      <w:r>
        <w:rPr>
          <w:rFonts w:hint="eastAsia" w:ascii="仿宋_GB2312" w:hAnsi="仿宋_GB2312" w:eastAsia="仿宋_GB2312" w:cs="仿宋_GB2312"/>
          <w:color w:val="auto"/>
          <w:sz w:val="32"/>
          <w:szCs w:val="32"/>
          <w:highlight w:val="none"/>
          <w:lang w:eastAsia="zh-CN"/>
        </w:rPr>
        <w:t>表、</w:t>
      </w:r>
      <w:r>
        <w:rPr>
          <w:rFonts w:hint="eastAsia" w:ascii="仿宋_GB2312" w:hAnsi="仿宋_GB2312" w:eastAsia="仿宋_GB2312" w:cs="仿宋_GB2312"/>
          <w:color w:val="auto"/>
          <w:sz w:val="32"/>
          <w:szCs w:val="32"/>
          <w:highlight w:val="none"/>
          <w:lang w:val="en-US" w:eastAsia="zh-CN"/>
        </w:rPr>
        <w:t>3个</w:t>
      </w:r>
      <w:r>
        <w:rPr>
          <w:rFonts w:hint="eastAsia" w:ascii="仿宋_GB2312" w:hAnsi="仿宋_GB2312" w:eastAsia="仿宋_GB2312" w:cs="仿宋_GB2312"/>
          <w:color w:val="auto"/>
          <w:sz w:val="32"/>
          <w:szCs w:val="32"/>
          <w:highlight w:val="none"/>
          <w:lang w:eastAsia="zh-CN"/>
        </w:rPr>
        <w:t>年度追加</w:t>
      </w:r>
      <w:r>
        <w:rPr>
          <w:rFonts w:hint="eastAsia" w:ascii="仿宋_GB2312" w:hAnsi="仿宋_GB2312" w:eastAsia="仿宋_GB2312" w:cs="仿宋_GB2312"/>
          <w:color w:val="auto"/>
          <w:sz w:val="32"/>
          <w:szCs w:val="32"/>
          <w:highlight w:val="none"/>
        </w:rPr>
        <w:t>专项预算项目</w:t>
      </w:r>
      <w:r>
        <w:rPr>
          <w:rFonts w:hint="eastAsia" w:ascii="仿宋_GB2312" w:hAnsi="仿宋_GB2312" w:eastAsia="仿宋_GB2312" w:cs="仿宋_GB2312"/>
          <w:color w:val="auto"/>
          <w:sz w:val="32"/>
          <w:szCs w:val="32"/>
          <w:highlight w:val="none"/>
          <w:lang w:eastAsia="zh-CN"/>
        </w:rPr>
        <w:t>绩效自评报告</w:t>
      </w:r>
      <w:r>
        <w:rPr>
          <w:rFonts w:hint="eastAsia" w:ascii="仿宋_GB2312" w:hAnsi="仿宋_GB2312" w:eastAsia="仿宋_GB2312" w:cs="仿宋_GB2312"/>
          <w:color w:val="auto"/>
          <w:sz w:val="32"/>
          <w:szCs w:val="32"/>
          <w:highlight w:val="none"/>
        </w:rPr>
        <w:t>，其中，</w:t>
      </w:r>
      <w:r>
        <w:rPr>
          <w:rFonts w:hint="eastAsia" w:ascii="仿宋_GB2312" w:hAnsi="仿宋_GB2312" w:eastAsia="仿宋_GB2312" w:cs="仿宋_GB2312"/>
          <w:b/>
          <w:bCs/>
          <w:color w:val="auto"/>
          <w:sz w:val="32"/>
          <w:szCs w:val="32"/>
          <w:highlight w:val="none"/>
          <w:lang w:eastAsia="zh-CN"/>
        </w:rPr>
        <w:t>广元市财政局</w:t>
      </w:r>
      <w:r>
        <w:rPr>
          <w:rFonts w:hint="eastAsia" w:ascii="仿宋_GB2312" w:hAnsi="仿宋_GB2312" w:eastAsia="仿宋_GB2312" w:cs="仿宋_GB2312"/>
          <w:b/>
          <w:bCs/>
          <w:color w:val="auto"/>
          <w:sz w:val="32"/>
          <w:szCs w:val="32"/>
          <w:highlight w:val="none"/>
        </w:rPr>
        <w:t>部门整体（含部门预算项目）</w:t>
      </w:r>
      <w:r>
        <w:rPr>
          <w:rFonts w:hint="eastAsia" w:ascii="仿宋_GB2312" w:hAnsi="仿宋_GB2312" w:eastAsia="仿宋_GB2312" w:cs="仿宋_GB2312"/>
          <w:color w:val="auto"/>
          <w:sz w:val="32"/>
          <w:szCs w:val="32"/>
          <w:highlight w:val="none"/>
        </w:rPr>
        <w:t>绩效自评得分为</w:t>
      </w:r>
      <w:r>
        <w:rPr>
          <w:rFonts w:hint="eastAsia" w:ascii="仿宋_GB2312" w:hAnsi="仿宋_GB2312" w:eastAsia="仿宋_GB2312" w:cs="仿宋_GB2312"/>
          <w:color w:val="auto"/>
          <w:sz w:val="32"/>
          <w:szCs w:val="32"/>
          <w:highlight w:val="none"/>
          <w:lang w:val="en-US" w:eastAsia="zh-CN"/>
        </w:rPr>
        <w:t>97.66</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b w:val="0"/>
          <w:bCs w:val="0"/>
          <w:color w:val="auto"/>
          <w:sz w:val="32"/>
          <w:szCs w:val="32"/>
          <w:lang w:val="en-US" w:eastAsia="zh-CN"/>
        </w:rPr>
        <w:t>我部门坚决贯彻党的二十大精神，坚持以习近平新时代中国特色社会主义思想为指引，认真落实市委市政府重大决策部署，全力以赴拼经济搞建设，始终保持全市经济运行平稳，为加快建设川陕甘结合部现代化中心城市提供了坚强的财政保障，2022年部门绩效目标任务全面完成；</w:t>
      </w:r>
      <w:r>
        <w:rPr>
          <w:rFonts w:hint="eastAsia" w:ascii="仿宋_GB2312" w:hAnsi="仿宋_GB2312" w:eastAsia="仿宋_GB2312" w:cs="仿宋_GB2312"/>
          <w:b/>
          <w:bCs/>
          <w:color w:val="auto"/>
          <w:sz w:val="32"/>
          <w:szCs w:val="32"/>
          <w:highlight w:val="none"/>
          <w:lang w:eastAsia="zh-CN"/>
        </w:rPr>
        <w:t>财政专项工作经费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分，绩效自评综述：该项目预算执行进度好，全力保障了财政工作的开展，推动建设了保障有力、规范有序、改革创新、廉洁高效财政，确保圆满完成</w:t>
      </w:r>
      <w:r>
        <w:rPr>
          <w:rFonts w:hint="eastAsia" w:ascii="仿宋_GB2312" w:hAnsi="仿宋_GB2312" w:eastAsia="仿宋_GB2312" w:cs="仿宋_GB2312"/>
          <w:color w:val="auto"/>
          <w:sz w:val="32"/>
          <w:szCs w:val="32"/>
          <w:highlight w:val="none"/>
          <w:lang w:eastAsia="zh-CN"/>
        </w:rPr>
        <w:t>了</w:t>
      </w:r>
      <w:r>
        <w:rPr>
          <w:rFonts w:hint="eastAsia" w:ascii="仿宋_GB2312" w:hAnsi="仿宋_GB2312" w:eastAsia="仿宋_GB2312" w:cs="仿宋_GB2312"/>
          <w:color w:val="auto"/>
          <w:sz w:val="32"/>
          <w:szCs w:val="32"/>
          <w:highlight w:val="none"/>
        </w:rPr>
        <w:t>年度目标任务。</w:t>
      </w:r>
      <w:r>
        <w:rPr>
          <w:rFonts w:hint="eastAsia" w:ascii="仿宋_GB2312" w:hAnsi="仿宋_GB2312" w:eastAsia="仿宋_GB2312" w:cs="仿宋_GB2312"/>
          <w:b/>
          <w:bCs/>
          <w:color w:val="auto"/>
          <w:sz w:val="32"/>
          <w:szCs w:val="32"/>
          <w:highlight w:val="none"/>
          <w:lang w:eastAsia="zh-CN"/>
        </w:rPr>
        <w:t>财政购买服务</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分，绩效自评综述：该项目预算执行进度好，共完成服务内容8项，全力保障了财政工作的开展，确保圆满完成年度目标任务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财政管理设备采购经费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分，绩效自评综述：通过实施该项目，进一步优化办公设备，推进了国产化设备替换工作，</w:t>
      </w:r>
      <w:r>
        <w:rPr>
          <w:rFonts w:hint="eastAsia" w:ascii="仿宋_GB2312" w:hAnsi="仿宋_GB2312" w:eastAsia="仿宋_GB2312" w:cs="仿宋_GB2312"/>
          <w:color w:val="auto"/>
          <w:sz w:val="32"/>
          <w:szCs w:val="32"/>
          <w:highlight w:val="none"/>
          <w:lang w:eastAsia="zh-CN"/>
        </w:rPr>
        <w:t>提高了办公效率，</w:t>
      </w:r>
      <w:r>
        <w:rPr>
          <w:rFonts w:hint="eastAsia" w:ascii="仿宋_GB2312" w:hAnsi="仿宋_GB2312" w:eastAsia="仿宋_GB2312" w:cs="仿宋_GB2312"/>
          <w:color w:val="auto"/>
          <w:sz w:val="32"/>
          <w:szCs w:val="32"/>
          <w:highlight w:val="none"/>
        </w:rPr>
        <w:t>保障了财政工作有序开展。</w:t>
      </w:r>
      <w:r>
        <w:rPr>
          <w:rFonts w:hint="eastAsia" w:ascii="仿宋_GB2312" w:hAnsi="仿宋_GB2312" w:eastAsia="仿宋_GB2312" w:cs="仿宋_GB2312"/>
          <w:b/>
          <w:bCs/>
          <w:color w:val="auto"/>
          <w:sz w:val="32"/>
          <w:szCs w:val="32"/>
          <w:highlight w:val="none"/>
        </w:rPr>
        <w:t>财政专项会议培训费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分，绩效自评综述：该项目保障了财政专项会议和培训开展工作，推动建设了保障有力、规范有序、改革创新、廉洁高效财政，确保圆满完成</w:t>
      </w:r>
      <w:r>
        <w:rPr>
          <w:rFonts w:hint="eastAsia" w:ascii="仿宋_GB2312" w:hAnsi="仿宋_GB2312" w:eastAsia="仿宋_GB2312" w:cs="仿宋_GB2312"/>
          <w:color w:val="auto"/>
          <w:sz w:val="32"/>
          <w:szCs w:val="32"/>
          <w:highlight w:val="none"/>
          <w:lang w:eastAsia="zh-CN"/>
        </w:rPr>
        <w:t>了</w:t>
      </w:r>
      <w:r>
        <w:rPr>
          <w:rFonts w:hint="eastAsia" w:ascii="仿宋_GB2312" w:hAnsi="仿宋_GB2312" w:eastAsia="仿宋_GB2312" w:cs="仿宋_GB2312"/>
          <w:color w:val="auto"/>
          <w:sz w:val="32"/>
          <w:szCs w:val="32"/>
          <w:highlight w:val="none"/>
        </w:rPr>
        <w:t>年度目标任务。</w:t>
      </w:r>
      <w:r>
        <w:rPr>
          <w:rFonts w:hint="eastAsia" w:ascii="仿宋_GB2312" w:hAnsi="仿宋_GB2312" w:eastAsia="仿宋_GB2312" w:cs="仿宋_GB2312"/>
          <w:b/>
          <w:bCs/>
          <w:color w:val="auto"/>
          <w:sz w:val="32"/>
          <w:szCs w:val="32"/>
          <w:highlight w:val="none"/>
        </w:rPr>
        <w:t>派驻纪检组专项工作经费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绩效自评综述：通过实施该项目加大了监督执纪问责力度，不断推动5个综合监督单位党风廉政建设和反腐败工作取得新成效，政治生态持续向上向好，营造了风清气正的干事创业环境，为广元经济社会发展提供了有力保障。</w:t>
      </w:r>
      <w:r>
        <w:rPr>
          <w:rFonts w:hint="eastAsia" w:ascii="仿宋_GB2312" w:hAnsi="仿宋_GB2312" w:eastAsia="仿宋_GB2312" w:cs="仿宋_GB2312"/>
          <w:b/>
          <w:bCs/>
          <w:color w:val="auto"/>
          <w:sz w:val="32"/>
          <w:szCs w:val="32"/>
          <w:highlight w:val="none"/>
        </w:rPr>
        <w:t>省级财政业务</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该项目</w:t>
      </w:r>
      <w:r>
        <w:rPr>
          <w:rFonts w:hint="eastAsia" w:ascii="仿宋_GB2312" w:hAnsi="仿宋_GB2312" w:eastAsia="仿宋_GB2312" w:cs="仿宋_GB2312"/>
          <w:color w:val="auto"/>
          <w:sz w:val="32"/>
          <w:szCs w:val="32"/>
          <w:highlight w:val="none"/>
        </w:rPr>
        <w:t>保障了资产管理信息系统、债务管理系统和电子票据系统运行维护费等3个省级财政业务系统正常运行，确保了财政工作正常开展</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lang w:eastAsia="zh-CN"/>
        </w:rPr>
        <w:t>市级预算单位会计核算平台</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该项目完成市本级236个预算单位软件日常运行维护，保证政府会计制度改革相关软件配套运行安全畅通。</w:t>
      </w:r>
      <w:r>
        <w:rPr>
          <w:rFonts w:hint="eastAsia" w:ascii="仿宋_GB2312" w:hAnsi="仿宋_GB2312" w:eastAsia="仿宋_GB2312" w:cs="仿宋_GB2312"/>
          <w:b/>
          <w:bCs/>
          <w:color w:val="auto"/>
          <w:sz w:val="32"/>
          <w:szCs w:val="32"/>
          <w:highlight w:val="none"/>
          <w:lang w:eastAsia="zh-CN"/>
        </w:rPr>
        <w:t>网络安全及信息化建设</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分，绩效自评综述：通过该项目顺利实施，确保了全市财政业务专网的安全，保障了全市财政业务系统安全、稳定运行，推动了全市经济高质量发展。</w:t>
      </w:r>
      <w:r>
        <w:rPr>
          <w:rFonts w:hint="eastAsia" w:ascii="仿宋_GB2312" w:hAnsi="仿宋_GB2312" w:eastAsia="仿宋_GB2312" w:cs="仿宋_GB2312"/>
          <w:b/>
          <w:bCs/>
          <w:color w:val="auto"/>
          <w:sz w:val="32"/>
          <w:szCs w:val="32"/>
          <w:highlight w:val="none"/>
        </w:rPr>
        <w:t>乡村振兴工作经费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分，绩效自评综述：该项目预算执行进度好，全力保障了驻村</w:t>
      </w:r>
      <w:r>
        <w:rPr>
          <w:rFonts w:hint="eastAsia" w:ascii="仿宋_GB2312" w:hAnsi="仿宋_GB2312" w:eastAsia="仿宋_GB2312" w:cs="仿宋_GB2312"/>
          <w:color w:val="auto"/>
          <w:sz w:val="32"/>
          <w:szCs w:val="32"/>
          <w:highlight w:val="none"/>
          <w:lang w:eastAsia="zh-CN"/>
        </w:rPr>
        <w:t>工</w:t>
      </w:r>
      <w:r>
        <w:rPr>
          <w:rFonts w:hint="eastAsia" w:ascii="仿宋_GB2312" w:hAnsi="仿宋_GB2312" w:eastAsia="仿宋_GB2312" w:cs="仿宋_GB2312"/>
          <w:color w:val="auto"/>
          <w:sz w:val="32"/>
          <w:szCs w:val="32"/>
          <w:highlight w:val="none"/>
        </w:rPr>
        <w:t>作的开展，圆满完成年度</w:t>
      </w:r>
      <w:r>
        <w:rPr>
          <w:rFonts w:hint="eastAsia" w:ascii="仿宋_GB2312" w:hAnsi="仿宋_GB2312" w:eastAsia="仿宋_GB2312" w:cs="仿宋_GB2312"/>
          <w:color w:val="auto"/>
          <w:sz w:val="32"/>
          <w:szCs w:val="32"/>
          <w:highlight w:val="none"/>
          <w:lang w:eastAsia="zh-CN"/>
        </w:rPr>
        <w:t>驻村</w:t>
      </w:r>
      <w:r>
        <w:rPr>
          <w:rFonts w:hint="eastAsia" w:ascii="仿宋_GB2312" w:hAnsi="仿宋_GB2312" w:eastAsia="仿宋_GB2312" w:cs="仿宋_GB2312"/>
          <w:color w:val="auto"/>
          <w:sz w:val="32"/>
          <w:szCs w:val="32"/>
          <w:highlight w:val="none"/>
        </w:rPr>
        <w:t>目标任务</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b/>
          <w:bCs/>
          <w:color w:val="auto"/>
          <w:sz w:val="32"/>
          <w:szCs w:val="32"/>
          <w:highlight w:val="none"/>
        </w:rPr>
        <w:t>预算管理一体化系统运行维护</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该项目为</w:t>
      </w:r>
      <w:r>
        <w:rPr>
          <w:rFonts w:hint="eastAsia" w:ascii="仿宋_GB2312" w:hAnsi="仿宋_GB2312" w:eastAsia="仿宋_GB2312" w:cs="仿宋_GB2312"/>
          <w:color w:val="auto"/>
          <w:sz w:val="32"/>
          <w:szCs w:val="32"/>
          <w:highlight w:val="none"/>
        </w:rPr>
        <w:t>实施预算管理一体化信息系统建设</w:t>
      </w:r>
      <w:r>
        <w:rPr>
          <w:rFonts w:hint="eastAsia" w:ascii="仿宋_GB2312" w:hAnsi="仿宋_GB2312" w:eastAsia="仿宋_GB2312" w:cs="仿宋_GB2312"/>
          <w:color w:val="auto"/>
          <w:sz w:val="32"/>
          <w:szCs w:val="32"/>
          <w:highlight w:val="none"/>
          <w:lang w:eastAsia="zh-CN"/>
        </w:rPr>
        <w:t>维护</w:t>
      </w:r>
      <w:r>
        <w:rPr>
          <w:rFonts w:hint="eastAsia" w:ascii="仿宋_GB2312" w:hAnsi="仿宋_GB2312" w:eastAsia="仿宋_GB2312" w:cs="仿宋_GB2312"/>
          <w:color w:val="auto"/>
          <w:sz w:val="32"/>
          <w:szCs w:val="32"/>
          <w:highlight w:val="none"/>
        </w:rPr>
        <w:t>，实现政府预算、部门预算之间以及上下级预算之间的业务环节无缝衔接和有效控制。</w:t>
      </w:r>
      <w:r>
        <w:rPr>
          <w:rFonts w:hint="eastAsia" w:ascii="仿宋_GB2312" w:hAnsi="仿宋_GB2312" w:eastAsia="仿宋_GB2312" w:cs="仿宋_GB2312"/>
          <w:b/>
          <w:bCs/>
          <w:color w:val="auto"/>
          <w:sz w:val="32"/>
          <w:szCs w:val="32"/>
          <w:highlight w:val="none"/>
        </w:rPr>
        <w:t>争取项目资金工作经费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通过实施该项目，</w:t>
      </w:r>
      <w:r>
        <w:rPr>
          <w:rFonts w:hint="eastAsia" w:ascii="仿宋_GB2312" w:hAnsi="仿宋_GB2312" w:eastAsia="仿宋_GB2312" w:cs="仿宋_GB2312"/>
          <w:color w:val="auto"/>
          <w:sz w:val="32"/>
          <w:szCs w:val="32"/>
          <w:highlight w:val="none"/>
        </w:rPr>
        <w:t>2022年</w:t>
      </w:r>
      <w:r>
        <w:rPr>
          <w:rFonts w:hint="eastAsia" w:ascii="仿宋_GB2312" w:hAnsi="仿宋_GB2312" w:eastAsia="仿宋_GB2312" w:cs="仿宋_GB2312"/>
          <w:color w:val="auto"/>
          <w:sz w:val="32"/>
          <w:szCs w:val="32"/>
          <w:highlight w:val="none"/>
          <w:lang w:eastAsia="zh-CN"/>
        </w:rPr>
        <w:t>部门</w:t>
      </w:r>
      <w:r>
        <w:rPr>
          <w:rFonts w:hint="eastAsia" w:ascii="仿宋_GB2312" w:hAnsi="仿宋_GB2312" w:eastAsia="仿宋_GB2312" w:cs="仿宋_GB2312"/>
          <w:color w:val="auto"/>
          <w:sz w:val="32"/>
          <w:szCs w:val="32"/>
          <w:highlight w:val="none"/>
        </w:rPr>
        <w:t>向上争取汇报工作50次，争取上级财政资金321亿元，增长13.9%，圆满完成年度目标任务，全力保障了财政工作的开展。</w:t>
      </w:r>
      <w:r>
        <w:rPr>
          <w:rFonts w:hint="eastAsia" w:ascii="仿宋_GB2312" w:hAnsi="仿宋_GB2312" w:eastAsia="仿宋_GB2312" w:cs="仿宋_GB2312"/>
          <w:b/>
          <w:bCs/>
          <w:color w:val="auto"/>
          <w:sz w:val="32"/>
          <w:szCs w:val="32"/>
          <w:highlight w:val="none"/>
        </w:rPr>
        <w:t>OA协同办公通信服务费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该项目保障了</w:t>
      </w:r>
      <w:r>
        <w:rPr>
          <w:rFonts w:hint="eastAsia" w:ascii="仿宋_GB2312" w:hAnsi="仿宋_GB2312" w:eastAsia="仿宋_GB2312" w:cs="仿宋_GB2312"/>
          <w:color w:val="auto"/>
          <w:sz w:val="32"/>
          <w:szCs w:val="32"/>
          <w:highlight w:val="none"/>
        </w:rPr>
        <w:t>OA协同办公软件正常使用，切实保障了财政工作正常开展。</w:t>
      </w:r>
      <w:r>
        <w:rPr>
          <w:rFonts w:hint="eastAsia" w:ascii="仿宋_GB2312" w:hAnsi="仿宋_GB2312" w:eastAsia="仿宋_GB2312" w:cs="仿宋_GB2312"/>
          <w:b/>
          <w:bCs/>
          <w:color w:val="auto"/>
          <w:sz w:val="32"/>
          <w:szCs w:val="32"/>
          <w:highlight w:val="none"/>
          <w:lang w:eastAsia="zh-CN"/>
        </w:rPr>
        <w:t>项目前期工作经费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分，绩效自评综述：通过该项目实施，节约财政资金6475.34万元，提高了财政资金使用效益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推动了我市民生保障类项目工程建设，高效保障市本级重点项目落实落地。</w:t>
      </w:r>
      <w:r>
        <w:rPr>
          <w:rFonts w:hint="eastAsia" w:ascii="仿宋_GB2312" w:hAnsi="仿宋_GB2312" w:eastAsia="仿宋_GB2312" w:cs="仿宋_GB2312"/>
          <w:b/>
          <w:bCs/>
          <w:color w:val="auto"/>
          <w:sz w:val="32"/>
          <w:szCs w:val="32"/>
          <w:highlight w:val="none"/>
        </w:rPr>
        <w:t>财政票据信息系统维护等专项资金</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分，绩效自评综述：该项目完成了非税收缴电子票据系统、预算管理一体化系统、会计核算平台和财政门户网络系统的运行维护，确保了财政工作正常开展。</w:t>
      </w:r>
      <w:r>
        <w:rPr>
          <w:rFonts w:hint="eastAsia" w:ascii="仿宋_GB2312" w:hAnsi="仿宋_GB2312" w:eastAsia="仿宋_GB2312" w:cs="仿宋_GB2312"/>
          <w:b/>
          <w:bCs/>
          <w:color w:val="auto"/>
          <w:sz w:val="32"/>
          <w:szCs w:val="32"/>
          <w:highlight w:val="none"/>
        </w:rPr>
        <w:t>政府性投资项目评审经费</w:t>
      </w:r>
      <w:r>
        <w:rPr>
          <w:rFonts w:hint="eastAsia" w:ascii="仿宋_GB2312" w:hAnsi="仿宋_GB2312" w:eastAsia="仿宋_GB2312" w:cs="仿宋_GB2312"/>
          <w:color w:val="auto"/>
          <w:sz w:val="32"/>
          <w:szCs w:val="32"/>
          <w:highlight w:val="none"/>
        </w:rPr>
        <w:t>专项预算项目绩效自评得分为</w:t>
      </w:r>
      <w:r>
        <w:rPr>
          <w:rFonts w:hint="eastAsia" w:ascii="仿宋_GB2312" w:hAnsi="仿宋_GB2312" w:eastAsia="仿宋_GB2312" w:cs="仿宋_GB2312"/>
          <w:color w:val="auto"/>
          <w:sz w:val="32"/>
          <w:szCs w:val="32"/>
          <w:highlight w:val="none"/>
          <w:lang w:val="en-US" w:eastAsia="zh-CN"/>
        </w:rPr>
        <w:t>100</w:t>
      </w:r>
      <w:r>
        <w:rPr>
          <w:rFonts w:hint="eastAsia" w:ascii="仿宋_GB2312" w:hAnsi="仿宋_GB2312" w:eastAsia="仿宋_GB2312" w:cs="仿宋_GB2312"/>
          <w:color w:val="auto"/>
          <w:sz w:val="32"/>
          <w:szCs w:val="32"/>
          <w:highlight w:val="none"/>
        </w:rPr>
        <w:t>分，绩效自评综述：通过该项目实施，市本级共计完成评审项目119个，节约财政资金3.97亿元，审减率6.51%，取得了良好的经济、社会效益。</w:t>
      </w:r>
      <w:r>
        <w:rPr>
          <w:rFonts w:hint="eastAsia" w:ascii="仿宋_GB2312" w:hAnsi="仿宋_GB2312" w:eastAsia="仿宋_GB2312" w:cs="仿宋_GB2312"/>
          <w:b/>
          <w:bCs/>
          <w:color w:val="auto"/>
          <w:sz w:val="32"/>
          <w:szCs w:val="32"/>
          <w:highlight w:val="none"/>
        </w:rPr>
        <w:t>评审专家聘用及工作经费</w:t>
      </w:r>
      <w:r>
        <w:rPr>
          <w:rFonts w:hint="eastAsia" w:ascii="仿宋_GB2312" w:hAnsi="仿宋_GB2312" w:eastAsia="仿宋_GB2312" w:cs="仿宋_GB2312"/>
          <w:b w:val="0"/>
          <w:bCs w:val="0"/>
          <w:color w:val="auto"/>
          <w:sz w:val="32"/>
          <w:szCs w:val="32"/>
          <w:highlight w:val="none"/>
          <w:lang w:eastAsia="zh-CN"/>
        </w:rPr>
        <w:t>专</w:t>
      </w:r>
      <w:r>
        <w:rPr>
          <w:rFonts w:hint="eastAsia" w:ascii="仿宋_GB2312" w:hAnsi="仿宋_GB2312" w:eastAsia="仿宋_GB2312" w:cs="仿宋_GB2312"/>
          <w:color w:val="auto"/>
          <w:sz w:val="32"/>
          <w:szCs w:val="32"/>
          <w:highlight w:val="none"/>
        </w:rPr>
        <w:t>项预算项目绩效自评得分为</w:t>
      </w:r>
      <w:r>
        <w:rPr>
          <w:rFonts w:hint="eastAsia" w:ascii="仿宋_GB2312" w:hAnsi="仿宋_GB2312" w:eastAsia="仿宋_GB2312" w:cs="仿宋_GB2312"/>
          <w:color w:val="auto"/>
          <w:sz w:val="32"/>
          <w:szCs w:val="32"/>
          <w:highlight w:val="none"/>
          <w:lang w:val="en-US" w:eastAsia="zh-CN"/>
        </w:rPr>
        <w:t>98</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该项目保障了评审专家</w:t>
      </w:r>
      <w:r>
        <w:rPr>
          <w:rFonts w:hint="eastAsia" w:ascii="仿宋_GB2312" w:hAnsi="仿宋_GB2312" w:eastAsia="仿宋_GB2312" w:cs="仿宋_GB2312"/>
          <w:color w:val="auto"/>
          <w:sz w:val="32"/>
          <w:szCs w:val="32"/>
          <w:highlight w:val="none"/>
        </w:rPr>
        <w:t>开展政府投资建设项目评审，助推</w:t>
      </w:r>
      <w:r>
        <w:rPr>
          <w:rFonts w:hint="eastAsia" w:ascii="仿宋_GB2312" w:hAnsi="仿宋_GB2312" w:eastAsia="仿宋_GB2312" w:cs="仿宋_GB2312"/>
          <w:color w:val="auto"/>
          <w:sz w:val="32"/>
          <w:szCs w:val="32"/>
          <w:highlight w:val="none"/>
          <w:lang w:eastAsia="zh-CN"/>
        </w:rPr>
        <w:t>了</w:t>
      </w:r>
      <w:r>
        <w:rPr>
          <w:rFonts w:hint="eastAsia" w:ascii="仿宋_GB2312" w:hAnsi="仿宋_GB2312" w:eastAsia="仿宋_GB2312" w:cs="仿宋_GB2312"/>
          <w:color w:val="auto"/>
          <w:sz w:val="32"/>
          <w:szCs w:val="32"/>
          <w:highlight w:val="none"/>
        </w:rPr>
        <w:t>项目有序推进。</w:t>
      </w:r>
      <w:r>
        <w:rPr>
          <w:rFonts w:hint="eastAsia" w:ascii="仿宋_GB2312" w:hAnsi="仿宋_GB2312" w:eastAsia="仿宋_GB2312" w:cs="仿宋_GB2312"/>
          <w:b/>
          <w:bCs/>
          <w:color w:val="auto"/>
          <w:sz w:val="32"/>
          <w:szCs w:val="32"/>
          <w:highlight w:val="none"/>
        </w:rPr>
        <w:t>评审工作经费</w:t>
      </w:r>
      <w:r>
        <w:rPr>
          <w:rFonts w:hint="eastAsia" w:ascii="仿宋_GB2312" w:hAnsi="仿宋_GB2312" w:eastAsia="仿宋_GB2312" w:cs="仿宋_GB2312"/>
          <w:b w:val="0"/>
          <w:bCs w:val="0"/>
          <w:color w:val="auto"/>
          <w:sz w:val="32"/>
          <w:szCs w:val="32"/>
          <w:highlight w:val="none"/>
          <w:lang w:eastAsia="zh-CN"/>
        </w:rPr>
        <w:t>专</w:t>
      </w:r>
      <w:r>
        <w:rPr>
          <w:rFonts w:hint="eastAsia" w:ascii="仿宋_GB2312" w:hAnsi="仿宋_GB2312" w:eastAsia="仿宋_GB2312" w:cs="仿宋_GB2312"/>
          <w:color w:val="auto"/>
          <w:sz w:val="32"/>
          <w:szCs w:val="32"/>
          <w:highlight w:val="none"/>
        </w:rPr>
        <w:t>项预算项目绩效自评得分为</w:t>
      </w:r>
      <w:r>
        <w:rPr>
          <w:rFonts w:hint="eastAsia" w:ascii="仿宋_GB2312" w:hAnsi="仿宋_GB2312" w:eastAsia="仿宋_GB2312" w:cs="仿宋_GB2312"/>
          <w:color w:val="auto"/>
          <w:sz w:val="32"/>
          <w:szCs w:val="32"/>
          <w:highlight w:val="none"/>
          <w:lang w:val="en-US" w:eastAsia="zh-CN"/>
        </w:rPr>
        <w:t>95.5</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eastAsia="zh-CN"/>
        </w:rPr>
        <w:t>该项目保障了市财政评审中心</w:t>
      </w:r>
      <w:r>
        <w:rPr>
          <w:rFonts w:hint="eastAsia" w:ascii="仿宋_GB2312" w:hAnsi="仿宋_GB2312" w:eastAsia="仿宋_GB2312" w:cs="仿宋_GB2312"/>
          <w:color w:val="auto"/>
          <w:sz w:val="32"/>
          <w:szCs w:val="32"/>
          <w:highlight w:val="none"/>
        </w:rPr>
        <w:t>按质按量完成政府投资建设项目评审，节约财政资金，助推</w:t>
      </w:r>
      <w:r>
        <w:rPr>
          <w:rFonts w:hint="eastAsia" w:ascii="仿宋_GB2312" w:hAnsi="仿宋_GB2312" w:eastAsia="仿宋_GB2312" w:cs="仿宋_GB2312"/>
          <w:color w:val="auto"/>
          <w:sz w:val="32"/>
          <w:szCs w:val="32"/>
          <w:highlight w:val="none"/>
          <w:lang w:eastAsia="zh-CN"/>
        </w:rPr>
        <w:t>了</w:t>
      </w:r>
      <w:r>
        <w:rPr>
          <w:rFonts w:hint="eastAsia" w:ascii="仿宋_GB2312" w:hAnsi="仿宋_GB2312" w:eastAsia="仿宋_GB2312" w:cs="仿宋_GB2312"/>
          <w:color w:val="auto"/>
          <w:sz w:val="32"/>
          <w:szCs w:val="32"/>
          <w:highlight w:val="none"/>
        </w:rPr>
        <w:t>项目的有序推进。</w:t>
      </w:r>
      <w:r>
        <w:rPr>
          <w:rFonts w:hint="eastAsia" w:ascii="仿宋_GB2312" w:hAnsi="仿宋_GB2312" w:eastAsia="仿宋_GB2312" w:cs="仿宋_GB2312"/>
          <w:b/>
          <w:bCs/>
          <w:color w:val="auto"/>
          <w:sz w:val="32"/>
          <w:szCs w:val="32"/>
          <w:highlight w:val="none"/>
        </w:rPr>
        <w:t>公务车辆购置经费</w:t>
      </w:r>
      <w:r>
        <w:rPr>
          <w:rFonts w:hint="eastAsia" w:ascii="仿宋_GB2312" w:hAnsi="仿宋_GB2312" w:eastAsia="仿宋_GB2312" w:cs="仿宋_GB2312"/>
          <w:b w:val="0"/>
          <w:bCs w:val="0"/>
          <w:color w:val="auto"/>
          <w:sz w:val="32"/>
          <w:szCs w:val="32"/>
          <w:highlight w:val="none"/>
          <w:lang w:eastAsia="zh-CN"/>
        </w:rPr>
        <w:t>专</w:t>
      </w:r>
      <w:r>
        <w:rPr>
          <w:rFonts w:hint="eastAsia" w:ascii="仿宋_GB2312" w:hAnsi="仿宋_GB2312" w:eastAsia="仿宋_GB2312" w:cs="仿宋_GB2312"/>
          <w:color w:val="auto"/>
          <w:sz w:val="32"/>
          <w:szCs w:val="32"/>
          <w:highlight w:val="none"/>
        </w:rPr>
        <w:t>项预算项目绩效自评得分为</w:t>
      </w:r>
      <w:r>
        <w:rPr>
          <w:rFonts w:hint="eastAsia" w:ascii="仿宋_GB2312" w:hAnsi="仿宋_GB2312" w:eastAsia="仿宋_GB2312" w:cs="仿宋_GB2312"/>
          <w:color w:val="auto"/>
          <w:sz w:val="32"/>
          <w:szCs w:val="32"/>
          <w:highlight w:val="none"/>
          <w:lang w:val="en-US" w:eastAsia="zh-CN"/>
        </w:rPr>
        <w:t>90</w:t>
      </w:r>
      <w:r>
        <w:rPr>
          <w:rFonts w:hint="eastAsia" w:ascii="仿宋_GB2312" w:hAnsi="仿宋_GB2312" w:eastAsia="仿宋_GB2312" w:cs="仿宋_GB2312"/>
          <w:color w:val="auto"/>
          <w:sz w:val="32"/>
          <w:szCs w:val="32"/>
          <w:highlight w:val="none"/>
        </w:rPr>
        <w:t>分，绩效自评综述：因该项目在年末下达，同时需按规定完成政府采购所有流程，因此2022年未完成采购，</w:t>
      </w:r>
      <w:r>
        <w:rPr>
          <w:rFonts w:hint="eastAsia" w:ascii="仿宋_GB2312" w:hAnsi="仿宋_GB2312" w:eastAsia="仿宋_GB2312" w:cs="仿宋_GB2312"/>
          <w:color w:val="auto"/>
          <w:sz w:val="32"/>
          <w:szCs w:val="32"/>
          <w:highlight w:val="none"/>
          <w:lang w:eastAsia="zh-CN"/>
        </w:rPr>
        <w:t>已</w:t>
      </w:r>
      <w:r>
        <w:rPr>
          <w:rFonts w:hint="eastAsia" w:ascii="仿宋_GB2312" w:hAnsi="仿宋_GB2312" w:eastAsia="仿宋_GB2312" w:cs="仿宋_GB2312"/>
          <w:color w:val="auto"/>
          <w:sz w:val="32"/>
          <w:szCs w:val="32"/>
          <w:highlight w:val="none"/>
        </w:rPr>
        <w:t>在2023年</w:t>
      </w:r>
      <w:r>
        <w:rPr>
          <w:rFonts w:hint="eastAsia" w:ascii="仿宋_GB2312" w:hAnsi="仿宋_GB2312" w:eastAsia="仿宋_GB2312" w:cs="仿宋_GB2312"/>
          <w:color w:val="auto"/>
          <w:sz w:val="32"/>
          <w:szCs w:val="32"/>
          <w:highlight w:val="none"/>
          <w:lang w:eastAsia="zh-CN"/>
        </w:rPr>
        <w:t>按规定</w:t>
      </w:r>
      <w:r>
        <w:rPr>
          <w:rFonts w:hint="eastAsia" w:ascii="仿宋_GB2312" w:hAnsi="仿宋_GB2312" w:eastAsia="仿宋_GB2312" w:cs="仿宋_GB2312"/>
          <w:color w:val="auto"/>
          <w:sz w:val="32"/>
          <w:szCs w:val="32"/>
          <w:highlight w:val="none"/>
        </w:rPr>
        <w:t>完成</w:t>
      </w:r>
      <w:r>
        <w:rPr>
          <w:rFonts w:hint="eastAsia" w:ascii="仿宋_GB2312" w:hAnsi="仿宋_GB2312" w:eastAsia="仿宋_GB2312" w:cs="仿宋_GB2312"/>
          <w:color w:val="auto"/>
          <w:sz w:val="32"/>
          <w:szCs w:val="32"/>
          <w:highlight w:val="none"/>
          <w:lang w:eastAsia="zh-CN"/>
        </w:rPr>
        <w:t>采购</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b/>
          <w:bCs/>
          <w:color w:val="auto"/>
          <w:sz w:val="32"/>
          <w:szCs w:val="32"/>
          <w:highlight w:val="none"/>
          <w:lang w:val="en-US" w:eastAsia="zh-CN"/>
        </w:rPr>
        <w:t>预算绩效管理工作经费</w:t>
      </w:r>
      <w:r>
        <w:rPr>
          <w:rFonts w:hint="eastAsia" w:ascii="仿宋_GB2312" w:hAnsi="仿宋_GB2312" w:eastAsia="仿宋_GB2312" w:cs="仿宋_GB2312"/>
          <w:color w:val="auto"/>
          <w:sz w:val="32"/>
          <w:szCs w:val="32"/>
          <w:highlight w:val="none"/>
          <w:lang w:eastAsia="zh-CN"/>
        </w:rPr>
        <w:t>专</w:t>
      </w:r>
      <w:r>
        <w:rPr>
          <w:rFonts w:hint="eastAsia" w:ascii="仿宋_GB2312" w:hAnsi="仿宋_GB2312" w:eastAsia="仿宋_GB2312" w:cs="仿宋_GB2312"/>
          <w:color w:val="auto"/>
          <w:sz w:val="32"/>
          <w:szCs w:val="32"/>
          <w:highlight w:val="none"/>
        </w:rPr>
        <w:t>项预算项目绩效自评得分为</w:t>
      </w:r>
      <w:r>
        <w:rPr>
          <w:rFonts w:hint="eastAsia" w:ascii="仿宋_GB2312" w:hAnsi="仿宋_GB2312" w:eastAsia="仿宋_GB2312" w:cs="仿宋_GB2312"/>
          <w:color w:val="auto"/>
          <w:sz w:val="32"/>
          <w:szCs w:val="32"/>
          <w:highlight w:val="none"/>
          <w:lang w:val="en-US" w:eastAsia="zh-CN"/>
        </w:rPr>
        <w:t>86</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en-US" w:eastAsia="zh-CN"/>
        </w:rPr>
        <w:t>该项目保障了全市预算绩效管理工作全面推进，通过相继开展预算绩效目标管理、事中绩效运行监控以及部门整体和项目（政策）绩效评价（估）等工作，多次开展预算绩效管理业务培训和绩效管理工作会议，全市预算绩效管理工作水平不断提高。</w:t>
      </w:r>
      <w:r>
        <w:rPr>
          <w:rFonts w:hint="eastAsia" w:ascii="仿宋_GB2312" w:hAnsi="仿宋_GB2312" w:eastAsia="仿宋_GB2312" w:cs="仿宋_GB2312"/>
          <w:b/>
          <w:bCs/>
          <w:color w:val="auto"/>
          <w:sz w:val="32"/>
          <w:szCs w:val="32"/>
          <w:highlight w:val="none"/>
          <w:lang w:val="en-US" w:eastAsia="zh-CN"/>
        </w:rPr>
        <w:t>第三方绩效评价工作经费</w:t>
      </w:r>
      <w:r>
        <w:rPr>
          <w:rFonts w:hint="eastAsia" w:ascii="仿宋_GB2312" w:hAnsi="仿宋_GB2312" w:eastAsia="仿宋_GB2312" w:cs="仿宋_GB2312"/>
          <w:color w:val="auto"/>
          <w:sz w:val="32"/>
          <w:szCs w:val="32"/>
          <w:highlight w:val="none"/>
          <w:lang w:eastAsia="zh-CN"/>
        </w:rPr>
        <w:t>专</w:t>
      </w:r>
      <w:r>
        <w:rPr>
          <w:rFonts w:hint="eastAsia" w:ascii="仿宋_GB2312" w:hAnsi="仿宋_GB2312" w:eastAsia="仿宋_GB2312" w:cs="仿宋_GB2312"/>
          <w:color w:val="auto"/>
          <w:sz w:val="32"/>
          <w:szCs w:val="32"/>
          <w:highlight w:val="none"/>
        </w:rPr>
        <w:t>项预算项目绩效自评得分为</w:t>
      </w:r>
      <w:r>
        <w:rPr>
          <w:rFonts w:hint="eastAsia" w:ascii="仿宋_GB2312" w:hAnsi="仿宋_GB2312" w:eastAsia="仿宋_GB2312" w:cs="仿宋_GB2312"/>
          <w:color w:val="auto"/>
          <w:sz w:val="32"/>
          <w:szCs w:val="32"/>
          <w:highlight w:val="none"/>
          <w:lang w:val="en-US" w:eastAsia="zh-CN"/>
        </w:rPr>
        <w:t>79.4</w:t>
      </w:r>
      <w:r>
        <w:rPr>
          <w:rFonts w:hint="eastAsia" w:ascii="仿宋_GB2312" w:hAnsi="仿宋_GB2312" w:eastAsia="仿宋_GB2312" w:cs="仿宋_GB2312"/>
          <w:color w:val="auto"/>
          <w:sz w:val="32"/>
          <w:szCs w:val="32"/>
          <w:highlight w:val="none"/>
        </w:rPr>
        <w:t>分，绩效自评综述：</w:t>
      </w:r>
      <w:r>
        <w:rPr>
          <w:rFonts w:hint="eastAsia" w:ascii="仿宋_GB2312" w:hAnsi="仿宋_GB2312" w:eastAsia="仿宋_GB2312" w:cs="仿宋_GB2312"/>
          <w:color w:val="auto"/>
          <w:sz w:val="32"/>
          <w:szCs w:val="32"/>
          <w:highlight w:val="none"/>
          <w:lang w:val="en-US" w:eastAsia="zh-CN"/>
        </w:rPr>
        <w:t>通过实施该项目，市级部门单位绩效管理水平显著提升，同时，将事前评估和事后评价结果应用于2022年预算安排，与预算安排调整相挂钩，不断提高全市预算绩效管理工作水平。</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left"/>
        <w:textAlignment w:val="auto"/>
        <w:rPr>
          <w:rFonts w:ascii="仿宋_GB2312" w:eastAsia="仿宋_GB2312"/>
          <w:b/>
          <w:color w:val="auto"/>
          <w:sz w:val="32"/>
          <w:szCs w:val="32"/>
          <w:highlight w:val="yellow"/>
        </w:rPr>
      </w:pPr>
      <w:r>
        <w:rPr>
          <w:rFonts w:hint="eastAsia" w:ascii="仿宋_GB2312" w:hAnsi="仿宋_GB2312" w:eastAsia="仿宋_GB2312" w:cs="仿宋_GB2312"/>
          <w:color w:val="auto"/>
          <w:sz w:val="32"/>
          <w:szCs w:val="32"/>
          <w:highlight w:val="none"/>
        </w:rPr>
        <w:t>绩效自评报告</w:t>
      </w:r>
      <w:r>
        <w:rPr>
          <w:rFonts w:hint="eastAsia" w:ascii="仿宋_GB2312" w:hAnsi="仿宋_GB2312" w:eastAsia="仿宋_GB2312" w:cs="仿宋_GB2312"/>
          <w:color w:val="auto"/>
          <w:sz w:val="32"/>
          <w:szCs w:val="32"/>
          <w:highlight w:val="none"/>
          <w:lang w:eastAsia="zh-CN"/>
        </w:rPr>
        <w:t>及绩效自评表</w:t>
      </w:r>
      <w:r>
        <w:rPr>
          <w:rFonts w:hint="eastAsia" w:ascii="仿宋_GB2312" w:hAnsi="仿宋_GB2312" w:eastAsia="仿宋_GB2312" w:cs="仿宋_GB2312"/>
          <w:color w:val="auto"/>
          <w:sz w:val="32"/>
          <w:szCs w:val="32"/>
          <w:highlight w:val="none"/>
        </w:rPr>
        <w:t>详见附件。</w:t>
      </w:r>
      <w:r>
        <w:rPr>
          <w:rFonts w:ascii="仿宋_GB2312" w:eastAsia="仿宋_GB2312"/>
          <w:b/>
          <w:color w:val="auto"/>
          <w:sz w:val="32"/>
          <w:szCs w:val="32"/>
          <w:highlight w:val="yellow"/>
        </w:rPr>
        <w:br w:type="page"/>
      </w:r>
    </w:p>
    <w:p>
      <w:pPr>
        <w:numPr>
          <w:ilvl w:val="0"/>
          <w:numId w:val="3"/>
        </w:numPr>
        <w:spacing w:line="600" w:lineRule="exact"/>
        <w:ind w:firstLine="660" w:firstLineChars="150"/>
        <w:jc w:val="center"/>
        <w:outlineLvl w:val="0"/>
        <w:rPr>
          <w:rStyle w:val="19"/>
          <w:rFonts w:ascii="黑体" w:hAnsi="黑体" w:eastAsia="黑体"/>
          <w:b w:val="0"/>
          <w:color w:val="auto"/>
          <w:highlight w:val="none"/>
        </w:rPr>
      </w:pPr>
      <w:bookmarkStart w:id="68" w:name="_Toc15396613"/>
      <w:bookmarkStart w:id="69" w:name="_Toc2677"/>
      <w:bookmarkStart w:id="70" w:name="_Toc15377225"/>
      <w:r>
        <w:rPr>
          <w:rFonts w:hint="eastAsia" w:ascii="黑体" w:hAnsi="黑体" w:eastAsia="黑体"/>
          <w:color w:val="auto"/>
          <w:sz w:val="44"/>
          <w:szCs w:val="44"/>
          <w:highlight w:val="none"/>
        </w:rPr>
        <w:t>名</w:t>
      </w:r>
      <w:r>
        <w:rPr>
          <w:rStyle w:val="19"/>
          <w:rFonts w:hint="eastAsia" w:ascii="黑体" w:hAnsi="黑体" w:eastAsia="黑体"/>
          <w:b w:val="0"/>
          <w:color w:val="auto"/>
          <w:highlight w:val="none"/>
        </w:rPr>
        <w:t>词解释</w:t>
      </w:r>
      <w:bookmarkEnd w:id="68"/>
      <w:bookmarkEnd w:id="69"/>
      <w:bookmarkEnd w:id="70"/>
    </w:p>
    <w:p>
      <w:pPr>
        <w:spacing w:line="600" w:lineRule="exact"/>
        <w:jc w:val="left"/>
        <w:rPr>
          <w:rFonts w:ascii="宋体"/>
          <w:b/>
          <w:color w:val="auto"/>
          <w:sz w:val="44"/>
          <w:szCs w:val="44"/>
          <w:highlight w:val="none"/>
        </w:rPr>
      </w:pPr>
    </w:p>
    <w:p>
      <w:pPr>
        <w:pStyle w:val="29"/>
        <w:keepNext w:val="0"/>
        <w:keepLines w:val="0"/>
        <w:pageBreakBefore w:val="0"/>
        <w:widowControl w:val="0"/>
        <w:kinsoku/>
        <w:wordWrap/>
        <w:overflowPunct/>
        <w:topLinePunct w:val="0"/>
        <w:bidi w:val="0"/>
        <w:spacing w:line="560" w:lineRule="exact"/>
        <w:ind w:firstLine="640" w:firstLineChars="200"/>
        <w:outlineLvl w:val="1"/>
        <w:rPr>
          <w:rFonts w:ascii="仿宋_GB2312" w:eastAsia="仿宋_GB2312"/>
          <w:color w:val="auto"/>
          <w:sz w:val="32"/>
          <w:szCs w:val="32"/>
          <w:highlight w:val="none"/>
        </w:rPr>
      </w:pPr>
      <w:bookmarkStart w:id="71" w:name="_Toc6881"/>
      <w:bookmarkStart w:id="72" w:name="_Toc15377226"/>
      <w:r>
        <w:rPr>
          <w:rFonts w:ascii="仿宋_GB2312" w:eastAsia="仿宋_GB2312"/>
          <w:color w:val="auto"/>
          <w:sz w:val="32"/>
          <w:szCs w:val="32"/>
          <w:highlight w:val="none"/>
        </w:rPr>
        <w:t>1.</w:t>
      </w:r>
      <w:r>
        <w:rPr>
          <w:rFonts w:hint="eastAsia" w:ascii="仿宋_GB2312" w:eastAsia="仿宋_GB2312"/>
          <w:color w:val="auto"/>
          <w:sz w:val="32"/>
          <w:szCs w:val="32"/>
          <w:highlight w:val="none"/>
        </w:rPr>
        <w:t>财政拨款收入：指单位从同级财政部门取得的财政预算资金。</w:t>
      </w:r>
      <w:bookmarkEnd w:id="71"/>
    </w:p>
    <w:p>
      <w:pPr>
        <w:pStyle w:val="29"/>
        <w:keepNext w:val="0"/>
        <w:keepLines w:val="0"/>
        <w:pageBreakBefore w:val="0"/>
        <w:widowControl w:val="0"/>
        <w:kinsoku/>
        <w:wordWrap/>
        <w:overflowPunct/>
        <w:topLinePunct w:val="0"/>
        <w:bidi w:val="0"/>
        <w:spacing w:line="560" w:lineRule="exact"/>
        <w:ind w:firstLine="640" w:firstLineChars="200"/>
        <w:rPr>
          <w:rFonts w:hint="eastAsia" w:ascii="仿宋_GB2312" w:eastAsia="仿宋_GB2312"/>
          <w:color w:val="auto"/>
          <w:sz w:val="32"/>
          <w:szCs w:val="32"/>
          <w:highlight w:val="none"/>
          <w:lang w:eastAsia="zh-CN"/>
        </w:rPr>
      </w:pPr>
      <w:r>
        <w:rPr>
          <w:rFonts w:ascii="仿宋_GB2312" w:eastAsia="仿宋_GB2312"/>
          <w:color w:val="auto"/>
          <w:sz w:val="32"/>
          <w:szCs w:val="32"/>
          <w:highlight w:val="none"/>
        </w:rPr>
        <w:t>2.</w:t>
      </w:r>
      <w:r>
        <w:rPr>
          <w:rFonts w:hint="eastAsia" w:ascii="仿宋_GB2312" w:eastAsia="仿宋_GB2312"/>
          <w:color w:val="auto"/>
          <w:sz w:val="32"/>
          <w:szCs w:val="32"/>
          <w:highlight w:val="none"/>
        </w:rPr>
        <w:t>其他收入：指单位取得的除上述收入以外的各项收入。主要是</w:t>
      </w:r>
      <w:r>
        <w:rPr>
          <w:rFonts w:hint="eastAsia" w:ascii="仿宋_GB2312" w:eastAsia="仿宋_GB2312"/>
          <w:color w:val="auto"/>
          <w:sz w:val="32"/>
          <w:szCs w:val="32"/>
          <w:highlight w:val="none"/>
          <w:lang w:val="en-US" w:eastAsia="zh-CN"/>
        </w:rPr>
        <w:t>利息收入、疫情防控专项收入</w:t>
      </w:r>
      <w:r>
        <w:rPr>
          <w:rFonts w:hint="eastAsia" w:ascii="仿宋_GB2312" w:eastAsia="仿宋_GB2312"/>
          <w:color w:val="auto"/>
          <w:sz w:val="32"/>
          <w:szCs w:val="32"/>
          <w:highlight w:val="none"/>
        </w:rPr>
        <w:t>等。</w:t>
      </w:r>
    </w:p>
    <w:p>
      <w:pPr>
        <w:pStyle w:val="29"/>
        <w:keepNext w:val="0"/>
        <w:keepLines w:val="0"/>
        <w:pageBreakBefore w:val="0"/>
        <w:widowControl w:val="0"/>
        <w:kinsoku/>
        <w:wordWrap/>
        <w:overflowPunct/>
        <w:topLinePunct w:val="0"/>
        <w:bidi w:val="0"/>
        <w:spacing w:line="560" w:lineRule="exact"/>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年初结转和结余：指以前年度尚未完成、结转到本年按有关规定继续使用的资金。</w:t>
      </w:r>
    </w:p>
    <w:p>
      <w:pPr>
        <w:pStyle w:val="29"/>
        <w:keepNext w:val="0"/>
        <w:keepLines w:val="0"/>
        <w:pageBreakBefore w:val="0"/>
        <w:widowControl w:val="0"/>
        <w:kinsoku/>
        <w:wordWrap/>
        <w:overflowPunct/>
        <w:topLinePunct w:val="0"/>
        <w:bidi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4</w:t>
      </w:r>
      <w:r>
        <w:rPr>
          <w:rFonts w:ascii="仿宋_GB2312" w:eastAsia="仿宋_GB2312"/>
          <w:color w:val="auto"/>
          <w:sz w:val="32"/>
          <w:szCs w:val="32"/>
          <w:highlight w:val="none"/>
        </w:rPr>
        <w:t>.</w:t>
      </w:r>
      <w:r>
        <w:rPr>
          <w:rFonts w:hint="eastAsia" w:ascii="仿宋_GB2312" w:eastAsia="仿宋_GB2312"/>
          <w:color w:val="auto"/>
          <w:sz w:val="32"/>
          <w:szCs w:val="32"/>
          <w:highlight w:val="none"/>
        </w:rPr>
        <w:t>年末结转和结余：指单位按有关规定结转到下年或以后年度继续使用的资金。</w:t>
      </w:r>
    </w:p>
    <w:p>
      <w:pPr>
        <w:keepNext w:val="0"/>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rPr>
        <w:t>5.一般公共服务（类）</w:t>
      </w:r>
      <w:r>
        <w:rPr>
          <w:rFonts w:hint="eastAsia" w:ascii="仿宋_GB2312" w:hAnsi="仿宋_GB2312" w:eastAsia="仿宋_GB2312" w:cs="仿宋_GB2312"/>
          <w:sz w:val="32"/>
          <w:szCs w:val="32"/>
          <w:shd w:val="clear" w:color="auto" w:fill="FFFFFF"/>
        </w:rPr>
        <w:t>财政事务（款）行政运行（项）：指局机关用于保障机构正常运行、开展日常工作的基本支出。</w:t>
      </w:r>
    </w:p>
    <w:p>
      <w:pPr>
        <w:keepNext w:val="0"/>
        <w:keepLines w:val="0"/>
        <w:pageBreakBefore w:val="0"/>
        <w:widowControl w:val="0"/>
        <w:kinsoku/>
        <w:wordWrap/>
        <w:overflowPunct/>
        <w:topLinePunct w:val="0"/>
        <w:bidi w:val="0"/>
        <w:spacing w:line="576"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6.一般公共服务（类）财政事务（款）一般行政管理事务（项）：指局机关开展财政综合业务专门性财政管理工作的项目支出。</w:t>
      </w:r>
    </w:p>
    <w:p>
      <w:pPr>
        <w:pStyle w:val="6"/>
        <w:keepNext w:val="0"/>
        <w:keepLines w:val="0"/>
        <w:pageBreakBefore w:val="0"/>
        <w:widowControl w:val="0"/>
        <w:kinsoku/>
        <w:wordWrap/>
        <w:overflowPunct/>
        <w:topLinePunct w:val="0"/>
        <w:bidi w:val="0"/>
        <w:ind w:firstLine="640" w:firstLineChars="200"/>
        <w:rPr>
          <w:rFonts w:hint="default" w:eastAsia="仿宋_GB2312"/>
          <w:lang w:val="en-US" w:eastAsia="zh-CN"/>
        </w:rPr>
      </w:pPr>
      <w:r>
        <w:rPr>
          <w:rFonts w:hint="eastAsia" w:hAnsi="仿宋_GB2312" w:cs="仿宋_GB2312"/>
          <w:sz w:val="32"/>
          <w:szCs w:val="32"/>
          <w:shd w:val="clear" w:color="auto" w:fill="FFFFFF"/>
          <w:lang w:val="en-US" w:eastAsia="zh-CN"/>
        </w:rPr>
        <w:t>7</w:t>
      </w:r>
      <w:r>
        <w:rPr>
          <w:rFonts w:hint="eastAsia" w:ascii="仿宋_GB2312" w:hAnsi="仿宋_GB2312" w:eastAsia="仿宋_GB2312" w:cs="仿宋_GB2312"/>
          <w:sz w:val="32"/>
          <w:szCs w:val="32"/>
          <w:shd w:val="clear" w:color="auto" w:fill="FFFFFF"/>
        </w:rPr>
        <w:t>.一般公共服务（类）财政事务（款）</w:t>
      </w:r>
      <w:r>
        <w:rPr>
          <w:rFonts w:hint="eastAsia" w:hAnsi="仿宋_GB2312" w:cs="仿宋_GB2312"/>
          <w:sz w:val="32"/>
          <w:szCs w:val="32"/>
          <w:shd w:val="clear" w:color="auto" w:fill="FFFFFF"/>
          <w:lang w:val="en-US" w:eastAsia="zh-CN"/>
        </w:rPr>
        <w:t>机关服务</w:t>
      </w:r>
      <w:r>
        <w:rPr>
          <w:rFonts w:hint="eastAsia" w:ascii="仿宋_GB2312" w:hAnsi="仿宋_GB2312" w:eastAsia="仿宋_GB2312" w:cs="仿宋_GB2312"/>
          <w:sz w:val="32"/>
          <w:szCs w:val="32"/>
          <w:shd w:val="clear" w:color="auto" w:fill="FFFFFF"/>
        </w:rPr>
        <w:t>（项）：</w:t>
      </w:r>
      <w:r>
        <w:rPr>
          <w:rFonts w:hint="eastAsia" w:hAnsi="仿宋_GB2312" w:cs="仿宋_GB2312"/>
          <w:sz w:val="32"/>
          <w:szCs w:val="32"/>
          <w:shd w:val="clear" w:color="auto" w:fill="FFFFFF"/>
          <w:lang w:val="en-US" w:eastAsia="zh-CN"/>
        </w:rPr>
        <w:t>指局机关开展后勤服务管理发生的支出。</w:t>
      </w:r>
    </w:p>
    <w:p>
      <w:pPr>
        <w:keepNext w:val="0"/>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8</w:t>
      </w:r>
      <w:r>
        <w:rPr>
          <w:rFonts w:hint="eastAsia" w:ascii="仿宋_GB2312" w:hAnsi="仿宋_GB2312" w:eastAsia="仿宋_GB2312" w:cs="仿宋_GB2312"/>
          <w:sz w:val="32"/>
          <w:szCs w:val="32"/>
          <w:shd w:val="clear" w:color="auto" w:fill="FFFFFF"/>
        </w:rPr>
        <w:t>.一般公共服务（类）财政事务（款）财政委托业务支出（项）：指局机关及事业单位委托评审机构进行财政投资评审业务发生的支出。</w:t>
      </w:r>
    </w:p>
    <w:p>
      <w:pPr>
        <w:keepNext w:val="0"/>
        <w:keepLines w:val="0"/>
        <w:pageBreakBefore w:val="0"/>
        <w:widowControl w:val="0"/>
        <w:kinsoku/>
        <w:wordWrap/>
        <w:overflowPunct/>
        <w:topLinePunct w:val="0"/>
        <w:bidi w:val="0"/>
        <w:spacing w:line="576" w:lineRule="exact"/>
        <w:ind w:firstLine="640" w:firstLineChars="200"/>
        <w:rPr>
          <w:rFonts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lang w:val="en-US" w:eastAsia="zh-CN"/>
        </w:rPr>
        <w:t>9</w:t>
      </w:r>
      <w:r>
        <w:rPr>
          <w:rFonts w:hint="eastAsia" w:ascii="仿宋_GB2312" w:hAnsi="仿宋_GB2312" w:eastAsia="仿宋_GB2312" w:cs="仿宋_GB2312"/>
          <w:sz w:val="32"/>
          <w:szCs w:val="32"/>
          <w:shd w:val="clear" w:color="auto" w:fill="FFFFFF"/>
        </w:rPr>
        <w:t>.一般公共服务（类）财政事务（款）事业运行（项）：指事业单位用于保障机构正常运行、开展日常工作的基本支出。</w:t>
      </w:r>
    </w:p>
    <w:p>
      <w:pPr>
        <w:keepNext w:val="0"/>
        <w:keepLines w:val="0"/>
        <w:pageBreakBefore w:val="0"/>
        <w:widowControl w:val="0"/>
        <w:kinsoku/>
        <w:wordWrap/>
        <w:overflowPunct/>
        <w:topLinePunct w:val="0"/>
        <w:bidi w:val="0"/>
        <w:spacing w:line="576" w:lineRule="exact"/>
        <w:ind w:firstLine="640" w:firstLineChars="200"/>
        <w:rPr>
          <w:rFonts w:hint="eastAsia" w:ascii="仿宋_GB2312" w:hAnsi="仿宋_GB2312" w:eastAsia="仿宋_GB2312" w:cs="仿宋_GB2312"/>
          <w:sz w:val="32"/>
          <w:szCs w:val="32"/>
          <w:shd w:val="clear" w:color="auto" w:fill="FFFFFF"/>
        </w:rPr>
      </w:pPr>
      <w:r>
        <w:rPr>
          <w:rFonts w:hint="eastAsia" w:ascii="仿宋_GB2312" w:hAnsi="仿宋_GB2312" w:eastAsia="仿宋_GB2312" w:cs="仿宋_GB2312"/>
          <w:sz w:val="32"/>
          <w:szCs w:val="32"/>
          <w:shd w:val="clear" w:color="auto" w:fill="FFFFFF"/>
        </w:rPr>
        <w:t>1</w:t>
      </w:r>
      <w:r>
        <w:rPr>
          <w:rFonts w:hint="eastAsia" w:ascii="仿宋_GB2312" w:hAnsi="仿宋_GB2312" w:eastAsia="仿宋_GB2312" w:cs="仿宋_GB2312"/>
          <w:sz w:val="32"/>
          <w:szCs w:val="32"/>
          <w:shd w:val="clear" w:color="auto" w:fill="FFFFFF"/>
          <w:lang w:val="en-US" w:eastAsia="zh-CN"/>
        </w:rPr>
        <w:t>0</w:t>
      </w:r>
      <w:r>
        <w:rPr>
          <w:rFonts w:hint="eastAsia" w:ascii="仿宋_GB2312" w:hAnsi="仿宋_GB2312" w:eastAsia="仿宋_GB2312" w:cs="仿宋_GB2312"/>
          <w:sz w:val="32"/>
          <w:szCs w:val="32"/>
          <w:shd w:val="clear" w:color="auto" w:fill="FFFFFF"/>
        </w:rPr>
        <w:t>.一般公共服务（类）财政事务（款）其他财政事务支出</w:t>
      </w:r>
      <w:r>
        <w:rPr>
          <w:rFonts w:hint="eastAsia" w:ascii="仿宋_GB2312" w:hAnsi="仿宋_GB2312" w:eastAsia="仿宋_GB2312" w:cs="仿宋_GB2312"/>
          <w:sz w:val="32"/>
          <w:szCs w:val="32"/>
          <w:shd w:val="clear" w:color="auto" w:fill="FFFFFF"/>
          <w:lang w:eastAsia="zh-CN"/>
        </w:rPr>
        <w:t>（</w:t>
      </w:r>
      <w:r>
        <w:rPr>
          <w:rFonts w:hint="eastAsia" w:ascii="仿宋_GB2312" w:hAnsi="仿宋_GB2312" w:eastAsia="仿宋_GB2312" w:cs="仿宋_GB2312"/>
          <w:sz w:val="32"/>
          <w:szCs w:val="32"/>
          <w:shd w:val="clear" w:color="auto" w:fill="FFFFFF"/>
        </w:rPr>
        <w:t>项）：指事业单位用于除上述项目以外其他财政事务等方面支出。</w:t>
      </w:r>
    </w:p>
    <w:p>
      <w:pPr>
        <w:pStyle w:val="6"/>
        <w:ind w:firstLine="640" w:firstLineChars="200"/>
        <w:rPr>
          <w:rFonts w:hint="default" w:eastAsia="仿宋_GB2312"/>
          <w:lang w:val="en-US" w:eastAsia="zh-CN"/>
        </w:rPr>
      </w:pPr>
      <w:r>
        <w:rPr>
          <w:rFonts w:hint="eastAsia" w:hAnsi="仿宋_GB2312" w:cs="仿宋_GB2312"/>
          <w:sz w:val="32"/>
          <w:szCs w:val="32"/>
          <w:shd w:val="clear" w:color="auto" w:fill="FFFFFF"/>
          <w:lang w:val="en-US" w:eastAsia="zh-CN"/>
        </w:rPr>
        <w:t>11.</w:t>
      </w:r>
      <w:r>
        <w:rPr>
          <w:rStyle w:val="17"/>
          <w:rFonts w:hint="eastAsia" w:ascii="仿宋_GB2312" w:hAnsi="仿宋_GB2312" w:eastAsia="仿宋_GB2312" w:cs="仿宋_GB2312"/>
          <w:b w:val="0"/>
          <w:sz w:val="32"/>
          <w:szCs w:val="32"/>
        </w:rPr>
        <w:t>社会保障和就业（类）</w:t>
      </w:r>
      <w:r>
        <w:rPr>
          <w:rStyle w:val="17"/>
          <w:rFonts w:hint="eastAsia" w:hAnsi="仿宋_GB2312" w:cs="仿宋_GB2312"/>
          <w:b w:val="0"/>
          <w:sz w:val="32"/>
          <w:szCs w:val="32"/>
          <w:lang w:val="en-US" w:eastAsia="zh-CN"/>
        </w:rPr>
        <w:t>人力资源和社会保障管理事务</w:t>
      </w:r>
      <w:r>
        <w:rPr>
          <w:rStyle w:val="17"/>
          <w:rFonts w:hint="eastAsia" w:ascii="仿宋_GB2312" w:hAnsi="仿宋_GB2312" w:eastAsia="仿宋_GB2312" w:cs="仿宋_GB2312"/>
          <w:b w:val="0"/>
          <w:sz w:val="32"/>
          <w:szCs w:val="32"/>
        </w:rPr>
        <w:t>（款）</w:t>
      </w:r>
      <w:r>
        <w:rPr>
          <w:rStyle w:val="17"/>
          <w:rFonts w:hint="eastAsia" w:hAnsi="仿宋_GB2312" w:cs="仿宋_GB2312"/>
          <w:b w:val="0"/>
          <w:sz w:val="32"/>
          <w:szCs w:val="32"/>
          <w:lang w:val="en-US" w:eastAsia="zh-CN"/>
        </w:rPr>
        <w:t>引进人才费用</w:t>
      </w:r>
      <w:r>
        <w:rPr>
          <w:rStyle w:val="17"/>
          <w:rFonts w:hint="eastAsia" w:ascii="仿宋_GB2312" w:hAnsi="仿宋_GB2312" w:eastAsia="仿宋_GB2312" w:cs="仿宋_GB2312"/>
          <w:b w:val="0"/>
          <w:sz w:val="32"/>
          <w:szCs w:val="32"/>
        </w:rPr>
        <w:t>（项）</w:t>
      </w:r>
      <w:r>
        <w:rPr>
          <w:rStyle w:val="17"/>
          <w:rFonts w:hint="eastAsia" w:hAnsi="仿宋_GB2312" w:cs="仿宋_GB2312"/>
          <w:b w:val="0"/>
          <w:sz w:val="32"/>
          <w:szCs w:val="32"/>
          <w:lang w:eastAsia="zh-CN"/>
        </w:rPr>
        <w:t>：</w:t>
      </w:r>
      <w:r>
        <w:rPr>
          <w:rStyle w:val="17"/>
          <w:rFonts w:hint="eastAsia" w:hAnsi="仿宋_GB2312" w:cs="仿宋_GB2312"/>
          <w:b w:val="0"/>
          <w:sz w:val="32"/>
          <w:szCs w:val="32"/>
          <w:lang w:val="en-US" w:eastAsia="zh-CN"/>
        </w:rPr>
        <w:t>指局机关及事业单位其他用于人力资源和社会保障管理事务方面的支出，主要是指引进高层次人才工作补助。</w:t>
      </w:r>
    </w:p>
    <w:p>
      <w:pPr>
        <w:pStyle w:val="6"/>
        <w:keepNext w:val="0"/>
        <w:keepLines w:val="0"/>
        <w:pageBreakBefore w:val="0"/>
        <w:widowControl w:val="0"/>
        <w:kinsoku/>
        <w:wordWrap/>
        <w:overflowPunct/>
        <w:topLinePunct w:val="0"/>
        <w:bidi w:val="0"/>
        <w:ind w:firstLine="640" w:firstLineChars="200"/>
        <w:rPr>
          <w:rStyle w:val="17"/>
          <w:rFonts w:ascii="仿宋_GB2312" w:hAnsi="仿宋_GB2312" w:eastAsia="仿宋_GB2312" w:cs="仿宋_GB2312"/>
          <w:b w:val="0"/>
          <w:color w:val="000000"/>
          <w:sz w:val="32"/>
          <w:szCs w:val="32"/>
        </w:rPr>
      </w:pPr>
      <w:r>
        <w:rPr>
          <w:rStyle w:val="17"/>
          <w:rFonts w:hint="eastAsia" w:ascii="仿宋_GB2312" w:hAnsi="仿宋_GB2312" w:eastAsia="仿宋_GB2312" w:cs="仿宋_GB2312"/>
          <w:b w:val="0"/>
          <w:sz w:val="32"/>
          <w:szCs w:val="32"/>
        </w:rPr>
        <w:t>1</w:t>
      </w:r>
      <w:r>
        <w:rPr>
          <w:rStyle w:val="17"/>
          <w:rFonts w:hint="eastAsia" w:ascii="仿宋_GB2312" w:hAnsi="仿宋_GB2312" w:eastAsia="仿宋_GB2312" w:cs="仿宋_GB2312"/>
          <w:b w:val="0"/>
          <w:sz w:val="32"/>
          <w:szCs w:val="32"/>
          <w:lang w:val="en-US" w:eastAsia="zh-CN"/>
        </w:rPr>
        <w:t>2</w:t>
      </w:r>
      <w:r>
        <w:rPr>
          <w:rStyle w:val="17"/>
          <w:rFonts w:hint="eastAsia" w:ascii="仿宋_GB2312" w:hAnsi="仿宋_GB2312" w:eastAsia="仿宋_GB2312" w:cs="仿宋_GB2312"/>
          <w:b w:val="0"/>
          <w:sz w:val="32"/>
          <w:szCs w:val="32"/>
        </w:rPr>
        <w:t>.社会保障和就业（类）行政事业单位养老支出（款）机关事业单位基本养老保险缴费</w:t>
      </w:r>
      <w:r>
        <w:rPr>
          <w:rStyle w:val="17"/>
          <w:rFonts w:hint="eastAsia" w:ascii="仿宋_GB2312" w:hAnsi="仿宋_GB2312" w:eastAsia="仿宋_GB2312" w:cs="仿宋_GB2312"/>
          <w:b w:val="0"/>
          <w:sz w:val="32"/>
          <w:szCs w:val="32"/>
          <w:lang w:val="en-US" w:eastAsia="zh-CN"/>
        </w:rPr>
        <w:t>支出</w:t>
      </w:r>
      <w:r>
        <w:rPr>
          <w:rStyle w:val="17"/>
          <w:rFonts w:hint="eastAsia" w:ascii="仿宋_GB2312" w:hAnsi="仿宋_GB2312" w:eastAsia="仿宋_GB2312" w:cs="仿宋_GB2312"/>
          <w:b w:val="0"/>
          <w:sz w:val="32"/>
          <w:szCs w:val="32"/>
        </w:rPr>
        <w:t>（项）：指机关事业单位</w:t>
      </w:r>
      <w:r>
        <w:rPr>
          <w:rStyle w:val="17"/>
          <w:rFonts w:hint="eastAsia" w:ascii="仿宋_GB2312" w:hAnsi="仿宋_GB2312" w:eastAsia="仿宋_GB2312" w:cs="仿宋_GB2312"/>
          <w:b w:val="0"/>
          <w:color w:val="000000"/>
          <w:sz w:val="32"/>
          <w:szCs w:val="32"/>
        </w:rPr>
        <w:t>实施养老保险制度由单位缴纳的基本养老保险费支出。</w:t>
      </w:r>
    </w:p>
    <w:p>
      <w:pPr>
        <w:keepNext w:val="0"/>
        <w:keepLines w:val="0"/>
        <w:pageBreakBefore w:val="0"/>
        <w:widowControl w:val="0"/>
        <w:kinsoku/>
        <w:wordWrap/>
        <w:overflowPunct/>
        <w:topLinePunct w:val="0"/>
        <w:bidi w:val="0"/>
        <w:spacing w:line="576" w:lineRule="exact"/>
        <w:ind w:firstLine="640" w:firstLineChars="200"/>
        <w:rPr>
          <w:rStyle w:val="17"/>
          <w:rFonts w:ascii="仿宋_GB2312" w:hAnsi="仿宋_GB2312" w:eastAsia="仿宋_GB2312" w:cs="仿宋_GB2312"/>
          <w:b w:val="0"/>
          <w:sz w:val="32"/>
          <w:szCs w:val="32"/>
        </w:rPr>
      </w:pPr>
      <w:r>
        <w:rPr>
          <w:rStyle w:val="17"/>
          <w:rFonts w:hint="eastAsia" w:ascii="仿宋_GB2312" w:hAnsi="仿宋_GB2312" w:eastAsia="仿宋_GB2312" w:cs="仿宋_GB2312"/>
          <w:b w:val="0"/>
          <w:sz w:val="32"/>
          <w:szCs w:val="32"/>
        </w:rPr>
        <w:t>1</w:t>
      </w:r>
      <w:r>
        <w:rPr>
          <w:rStyle w:val="17"/>
          <w:rFonts w:hint="eastAsia" w:ascii="仿宋_GB2312" w:hAnsi="仿宋_GB2312" w:eastAsia="仿宋_GB2312" w:cs="仿宋_GB2312"/>
          <w:b w:val="0"/>
          <w:sz w:val="32"/>
          <w:szCs w:val="32"/>
          <w:lang w:val="en-US" w:eastAsia="zh-CN"/>
        </w:rPr>
        <w:t>3</w:t>
      </w:r>
      <w:r>
        <w:rPr>
          <w:rStyle w:val="17"/>
          <w:rFonts w:hint="eastAsia" w:ascii="仿宋_GB2312" w:hAnsi="仿宋_GB2312" w:eastAsia="仿宋_GB2312" w:cs="仿宋_GB2312"/>
          <w:b w:val="0"/>
          <w:sz w:val="32"/>
          <w:szCs w:val="32"/>
        </w:rPr>
        <w:t>.社会保障和就业（类）行政事业单位养老支出（款）机关事业单位职业年金缴费</w:t>
      </w:r>
      <w:r>
        <w:rPr>
          <w:rStyle w:val="17"/>
          <w:rFonts w:hint="eastAsia" w:ascii="仿宋_GB2312" w:hAnsi="仿宋_GB2312" w:eastAsia="仿宋_GB2312" w:cs="仿宋_GB2312"/>
          <w:b w:val="0"/>
          <w:sz w:val="32"/>
          <w:szCs w:val="32"/>
          <w:lang w:val="en-US" w:eastAsia="zh-CN"/>
        </w:rPr>
        <w:t>支出</w:t>
      </w:r>
      <w:r>
        <w:rPr>
          <w:rStyle w:val="17"/>
          <w:rFonts w:hint="eastAsia" w:ascii="仿宋_GB2312" w:hAnsi="仿宋_GB2312" w:eastAsia="仿宋_GB2312" w:cs="仿宋_GB2312"/>
          <w:b w:val="0"/>
          <w:sz w:val="32"/>
          <w:szCs w:val="32"/>
        </w:rPr>
        <w:t>（项）：指机关事业单位实施养老保险制度由单位实际缴纳的职业年金支出。</w:t>
      </w:r>
    </w:p>
    <w:p>
      <w:pPr>
        <w:keepNext w:val="0"/>
        <w:keepLines w:val="0"/>
        <w:pageBreakBefore w:val="0"/>
        <w:widowControl w:val="0"/>
        <w:kinsoku/>
        <w:wordWrap/>
        <w:overflowPunct/>
        <w:topLinePunct w:val="0"/>
        <w:bidi w:val="0"/>
        <w:spacing w:line="576" w:lineRule="exact"/>
        <w:ind w:firstLine="640" w:firstLineChars="200"/>
        <w:rPr>
          <w:rStyle w:val="17"/>
          <w:rFonts w:ascii="仿宋_GB2312" w:hAnsi="仿宋_GB2312" w:eastAsia="仿宋_GB2312" w:cs="仿宋_GB2312"/>
          <w:b w:val="0"/>
          <w:sz w:val="32"/>
          <w:szCs w:val="32"/>
        </w:rPr>
      </w:pPr>
      <w:r>
        <w:rPr>
          <w:rStyle w:val="17"/>
          <w:rFonts w:hint="eastAsia" w:ascii="仿宋_GB2312" w:hAnsi="仿宋_GB2312" w:eastAsia="仿宋_GB2312" w:cs="仿宋_GB2312"/>
          <w:b w:val="0"/>
          <w:color w:val="000000"/>
          <w:sz w:val="32"/>
          <w:szCs w:val="32"/>
        </w:rPr>
        <w:t>1</w:t>
      </w:r>
      <w:r>
        <w:rPr>
          <w:rStyle w:val="17"/>
          <w:rFonts w:hint="eastAsia" w:ascii="仿宋_GB2312" w:hAnsi="仿宋_GB2312" w:eastAsia="仿宋_GB2312" w:cs="仿宋_GB2312"/>
          <w:b w:val="0"/>
          <w:color w:val="000000"/>
          <w:sz w:val="32"/>
          <w:szCs w:val="32"/>
          <w:lang w:val="en-US" w:eastAsia="zh-CN"/>
        </w:rPr>
        <w:t>4</w:t>
      </w:r>
      <w:r>
        <w:rPr>
          <w:rStyle w:val="17"/>
          <w:rFonts w:hint="eastAsia" w:ascii="仿宋_GB2312" w:hAnsi="仿宋_GB2312" w:eastAsia="仿宋_GB2312" w:cs="仿宋_GB2312"/>
          <w:b w:val="0"/>
          <w:color w:val="000000"/>
          <w:sz w:val="32"/>
          <w:szCs w:val="32"/>
        </w:rPr>
        <w:t>.社会保障和就业（类）</w:t>
      </w:r>
      <w:r>
        <w:rPr>
          <w:rStyle w:val="17"/>
          <w:rFonts w:hint="eastAsia" w:ascii="仿宋_GB2312" w:hAnsi="仿宋_GB2312" w:eastAsia="仿宋_GB2312" w:cs="仿宋_GB2312"/>
          <w:b w:val="0"/>
          <w:color w:val="000000"/>
          <w:sz w:val="32"/>
          <w:szCs w:val="32"/>
          <w:lang w:eastAsia="zh-CN"/>
        </w:rPr>
        <w:t>抚恤</w:t>
      </w:r>
      <w:r>
        <w:rPr>
          <w:rStyle w:val="17"/>
          <w:rFonts w:hint="eastAsia" w:ascii="仿宋_GB2312" w:hAnsi="仿宋_GB2312" w:eastAsia="仿宋_GB2312" w:cs="仿宋_GB2312"/>
          <w:b w:val="0"/>
          <w:color w:val="000000"/>
          <w:sz w:val="32"/>
          <w:szCs w:val="32"/>
        </w:rPr>
        <w:t>（款）</w:t>
      </w:r>
      <w:r>
        <w:rPr>
          <w:rStyle w:val="17"/>
          <w:rFonts w:hint="eastAsia" w:ascii="仿宋_GB2312" w:hAnsi="仿宋_GB2312" w:eastAsia="仿宋_GB2312" w:cs="仿宋_GB2312"/>
          <w:b w:val="0"/>
          <w:color w:val="000000"/>
          <w:sz w:val="32"/>
          <w:szCs w:val="32"/>
          <w:lang w:eastAsia="zh-CN"/>
        </w:rPr>
        <w:t>死亡抚恤</w:t>
      </w:r>
      <w:r>
        <w:rPr>
          <w:rStyle w:val="17"/>
          <w:rFonts w:hint="eastAsia" w:ascii="仿宋_GB2312" w:hAnsi="仿宋_GB2312" w:eastAsia="仿宋_GB2312" w:cs="仿宋_GB2312"/>
          <w:b w:val="0"/>
          <w:color w:val="000000"/>
          <w:sz w:val="32"/>
          <w:szCs w:val="32"/>
        </w:rPr>
        <w:t>（</w:t>
      </w:r>
      <w:r>
        <w:rPr>
          <w:rStyle w:val="17"/>
          <w:rFonts w:hint="eastAsia" w:ascii="仿宋_GB2312" w:hAnsi="仿宋_GB2312" w:eastAsia="仿宋_GB2312" w:cs="仿宋_GB2312"/>
          <w:b w:val="0"/>
          <w:color w:val="000000"/>
          <w:sz w:val="32"/>
          <w:szCs w:val="32"/>
          <w:lang w:eastAsia="zh-CN"/>
        </w:rPr>
        <w:t>项</w:t>
      </w:r>
      <w:r>
        <w:rPr>
          <w:rStyle w:val="17"/>
          <w:rFonts w:hint="eastAsia" w:ascii="仿宋_GB2312" w:hAnsi="仿宋_GB2312" w:eastAsia="仿宋_GB2312" w:cs="仿宋_GB2312"/>
          <w:b w:val="0"/>
          <w:color w:val="000000"/>
          <w:sz w:val="32"/>
          <w:szCs w:val="32"/>
        </w:rPr>
        <w:t>）：</w:t>
      </w:r>
      <w:r>
        <w:rPr>
          <w:rStyle w:val="17"/>
          <w:rFonts w:hint="eastAsia" w:ascii="仿宋_GB2312" w:hAnsi="仿宋_GB2312" w:eastAsia="仿宋_GB2312" w:cs="仿宋_GB2312"/>
          <w:b w:val="0"/>
          <w:color w:val="000000"/>
          <w:sz w:val="32"/>
          <w:szCs w:val="32"/>
          <w:lang w:eastAsia="zh-CN"/>
        </w:rPr>
        <w:t>指局机关用于病故人员家属的一次性抚恤金</w:t>
      </w:r>
      <w:r>
        <w:rPr>
          <w:rStyle w:val="17"/>
          <w:rFonts w:hint="eastAsia" w:ascii="仿宋_GB2312" w:hAnsi="仿宋_GB2312" w:eastAsia="仿宋_GB2312" w:cs="仿宋_GB2312"/>
          <w:b w:val="0"/>
          <w:color w:val="000000"/>
          <w:sz w:val="32"/>
          <w:szCs w:val="32"/>
        </w:rPr>
        <w:t>。</w:t>
      </w:r>
    </w:p>
    <w:p>
      <w:pPr>
        <w:keepNext w:val="0"/>
        <w:keepLines w:val="0"/>
        <w:pageBreakBefore w:val="0"/>
        <w:widowControl w:val="0"/>
        <w:kinsoku/>
        <w:wordWrap/>
        <w:overflowPunct/>
        <w:topLinePunct w:val="0"/>
        <w:bidi w:val="0"/>
        <w:spacing w:line="576" w:lineRule="exact"/>
        <w:ind w:firstLine="640" w:firstLineChars="200"/>
        <w:rPr>
          <w:rFonts w:hint="eastAsia" w:ascii="仿宋_GB2312" w:hAnsi="仿宋_GB2312" w:eastAsia="仿宋_GB2312" w:cs="仿宋_GB2312"/>
          <w:sz w:val="32"/>
          <w:szCs w:val="32"/>
          <w:shd w:val="clear" w:color="auto" w:fill="FFFFFF"/>
        </w:rPr>
      </w:pPr>
      <w:r>
        <w:rPr>
          <w:rStyle w:val="17"/>
          <w:rFonts w:hint="eastAsia" w:ascii="仿宋_GB2312" w:hAnsi="仿宋_GB2312" w:eastAsia="仿宋_GB2312" w:cs="仿宋_GB2312"/>
          <w:b w:val="0"/>
          <w:sz w:val="32"/>
          <w:szCs w:val="32"/>
        </w:rPr>
        <w:t>1</w:t>
      </w:r>
      <w:r>
        <w:rPr>
          <w:rStyle w:val="17"/>
          <w:rFonts w:hint="eastAsia" w:ascii="仿宋_GB2312" w:hAnsi="仿宋_GB2312" w:eastAsia="仿宋_GB2312" w:cs="仿宋_GB2312"/>
          <w:b w:val="0"/>
          <w:sz w:val="32"/>
          <w:szCs w:val="32"/>
          <w:lang w:val="en-US" w:eastAsia="zh-CN"/>
        </w:rPr>
        <w:t>5</w:t>
      </w:r>
      <w:r>
        <w:rPr>
          <w:rStyle w:val="17"/>
          <w:rFonts w:hint="eastAsia" w:ascii="仿宋_GB2312" w:hAnsi="仿宋_GB2312" w:eastAsia="仿宋_GB2312" w:cs="仿宋_GB2312"/>
          <w:b w:val="0"/>
          <w:sz w:val="32"/>
          <w:szCs w:val="32"/>
        </w:rPr>
        <w:t>.卫生健康支出（类）行政事业单位医疗（款）行政单位医疗（项）：指局机关</w:t>
      </w:r>
      <w:r>
        <w:rPr>
          <w:rFonts w:hint="eastAsia" w:ascii="仿宋_GB2312" w:hAnsi="仿宋_GB2312" w:eastAsia="仿宋_GB2312" w:cs="仿宋_GB2312"/>
          <w:sz w:val="32"/>
          <w:szCs w:val="32"/>
          <w:shd w:val="clear" w:color="auto" w:fill="FFFFFF"/>
        </w:rPr>
        <w:t>用于缴纳单位基本医疗保险支出。</w:t>
      </w:r>
    </w:p>
    <w:p>
      <w:pPr>
        <w:keepNext w:val="0"/>
        <w:keepLines w:val="0"/>
        <w:pageBreakBefore w:val="0"/>
        <w:widowControl w:val="0"/>
        <w:kinsoku/>
        <w:wordWrap/>
        <w:overflowPunct/>
        <w:topLinePunct w:val="0"/>
        <w:bidi w:val="0"/>
        <w:spacing w:line="576" w:lineRule="exact"/>
        <w:ind w:firstLine="640" w:firstLineChars="200"/>
        <w:rPr>
          <w:rStyle w:val="17"/>
          <w:rFonts w:ascii="仿宋_GB2312" w:hAnsi="仿宋_GB2312" w:eastAsia="仿宋_GB2312" w:cs="仿宋_GB2312"/>
          <w:sz w:val="32"/>
          <w:szCs w:val="32"/>
        </w:rPr>
      </w:pPr>
      <w:r>
        <w:rPr>
          <w:rStyle w:val="17"/>
          <w:rFonts w:hint="eastAsia" w:ascii="仿宋_GB2312" w:hAnsi="仿宋_GB2312" w:eastAsia="仿宋_GB2312" w:cs="仿宋_GB2312"/>
          <w:b w:val="0"/>
          <w:sz w:val="32"/>
          <w:szCs w:val="32"/>
        </w:rPr>
        <w:t>1</w:t>
      </w:r>
      <w:r>
        <w:rPr>
          <w:rStyle w:val="17"/>
          <w:rFonts w:hint="eastAsia" w:ascii="仿宋_GB2312" w:hAnsi="仿宋_GB2312" w:eastAsia="仿宋_GB2312" w:cs="仿宋_GB2312"/>
          <w:b w:val="0"/>
          <w:sz w:val="32"/>
          <w:szCs w:val="32"/>
          <w:lang w:val="en-US" w:eastAsia="zh-CN"/>
        </w:rPr>
        <w:t>6</w:t>
      </w:r>
      <w:r>
        <w:rPr>
          <w:rStyle w:val="17"/>
          <w:rFonts w:hint="eastAsia" w:ascii="仿宋_GB2312" w:hAnsi="仿宋_GB2312" w:eastAsia="仿宋_GB2312" w:cs="仿宋_GB2312"/>
          <w:b w:val="0"/>
          <w:sz w:val="32"/>
          <w:szCs w:val="32"/>
        </w:rPr>
        <w:t>.卫生健康支出（类）行政事业单位医疗（款）事业单位医疗（项）：指</w:t>
      </w:r>
      <w:r>
        <w:rPr>
          <w:rFonts w:hint="eastAsia" w:ascii="仿宋_GB2312" w:hAnsi="仿宋_GB2312" w:eastAsia="仿宋_GB2312" w:cs="仿宋_GB2312"/>
          <w:sz w:val="32"/>
          <w:szCs w:val="32"/>
          <w:shd w:val="clear" w:color="auto" w:fill="FFFFFF"/>
        </w:rPr>
        <w:t>事业单位用于缴纳单位基本医疗保险支出。</w:t>
      </w:r>
    </w:p>
    <w:p>
      <w:pPr>
        <w:keepNext w:val="0"/>
        <w:keepLines w:val="0"/>
        <w:pageBreakBefore w:val="0"/>
        <w:widowControl w:val="0"/>
        <w:kinsoku/>
        <w:wordWrap/>
        <w:overflowPunct/>
        <w:topLinePunct w:val="0"/>
        <w:bidi w:val="0"/>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.住房保障（类）住房改革（款）住房公积金（项）：指局机关及事业单位按行政事业单位按人力资源部和社会保障部、财政部规定的基本工资和津贴补贴以及规定比例为职工缴纳的住房公积金。</w:t>
      </w:r>
    </w:p>
    <w:p>
      <w:pPr>
        <w:pStyle w:val="6"/>
        <w:rPr>
          <w:rFonts w:hint="eastAsia" w:eastAsia="仿宋_GB2312"/>
          <w:lang w:val="en-US" w:eastAsia="zh-CN"/>
        </w:rPr>
      </w:pPr>
      <w:r>
        <w:rPr>
          <w:rFonts w:hint="default" w:hAnsi="仿宋_GB2312" w:cs="仿宋_GB2312"/>
          <w:sz w:val="32"/>
          <w:szCs w:val="32"/>
          <w:lang w:eastAsia="zh-CN"/>
        </w:rPr>
        <w:t xml:space="preserve">    </w:t>
      </w:r>
      <w:r>
        <w:rPr>
          <w:rFonts w:hint="eastAsia" w:hAnsi="仿宋_GB2312" w:cs="仿宋_GB2312"/>
          <w:sz w:val="32"/>
          <w:szCs w:val="32"/>
          <w:lang w:val="en-US" w:eastAsia="zh-CN"/>
        </w:rPr>
        <w:t>18.</w:t>
      </w:r>
      <w:r>
        <w:rPr>
          <w:rFonts w:hint="eastAsia" w:hAnsi="仿宋_GB2312" w:cs="仿宋_GB2312"/>
          <w:sz w:val="32"/>
          <w:szCs w:val="32"/>
          <w:lang w:eastAsia="zh-CN"/>
        </w:rPr>
        <w:t>其他支出</w:t>
      </w:r>
      <w:r>
        <w:rPr>
          <w:rFonts w:hint="eastAsia" w:ascii="仿宋_GB2312" w:hAnsi="仿宋_GB2312" w:eastAsia="仿宋_GB2312" w:cs="仿宋_GB2312"/>
          <w:sz w:val="32"/>
          <w:szCs w:val="32"/>
        </w:rPr>
        <w:t>（类）</w:t>
      </w:r>
      <w:r>
        <w:rPr>
          <w:rFonts w:hint="eastAsia" w:hAnsi="仿宋_GB2312" w:cs="仿宋_GB2312"/>
          <w:sz w:val="32"/>
          <w:szCs w:val="32"/>
          <w:lang w:eastAsia="zh-CN"/>
        </w:rPr>
        <w:t>其他支出</w:t>
      </w:r>
      <w:r>
        <w:rPr>
          <w:rFonts w:hint="eastAsia" w:ascii="仿宋_GB2312" w:hAnsi="仿宋_GB2312" w:eastAsia="仿宋_GB2312" w:cs="仿宋_GB2312"/>
          <w:sz w:val="32"/>
          <w:szCs w:val="32"/>
        </w:rPr>
        <w:t>（款）</w:t>
      </w:r>
      <w:r>
        <w:rPr>
          <w:rFonts w:hint="eastAsia" w:hAnsi="仿宋_GB2312" w:cs="仿宋_GB2312"/>
          <w:sz w:val="32"/>
          <w:szCs w:val="32"/>
          <w:lang w:eastAsia="zh-CN"/>
        </w:rPr>
        <w:t>其他支出</w:t>
      </w:r>
      <w:r>
        <w:rPr>
          <w:rFonts w:hint="eastAsia" w:ascii="仿宋_GB2312" w:hAnsi="仿宋_GB2312" w:eastAsia="仿宋_GB2312" w:cs="仿宋_GB2312"/>
          <w:sz w:val="32"/>
          <w:szCs w:val="32"/>
        </w:rPr>
        <w:t>（项）：</w:t>
      </w:r>
      <w:r>
        <w:rPr>
          <w:rFonts w:hint="eastAsia" w:hAnsi="仿宋_GB2312" w:cs="仿宋_GB2312"/>
          <w:sz w:val="32"/>
          <w:szCs w:val="32"/>
          <w:lang w:eastAsia="zh-CN"/>
        </w:rPr>
        <w:t>指其他不能划分到具体功能科目中的支出项目。</w:t>
      </w:r>
    </w:p>
    <w:p>
      <w:pPr>
        <w:keepNext w:val="0"/>
        <w:keepLines w:val="0"/>
        <w:pageBreakBefore w:val="0"/>
        <w:widowControl w:val="0"/>
        <w:kinsoku/>
        <w:wordWrap/>
        <w:overflowPunct/>
        <w:topLinePunct w:val="0"/>
        <w:bidi w:val="0"/>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19</w:t>
      </w:r>
      <w:r>
        <w:rPr>
          <w:rFonts w:ascii="仿宋_GB2312" w:eastAsia="仿宋_GB2312"/>
          <w:color w:val="auto"/>
          <w:sz w:val="32"/>
          <w:szCs w:val="32"/>
          <w:highlight w:val="none"/>
        </w:rPr>
        <w:t>.</w:t>
      </w:r>
      <w:r>
        <w:rPr>
          <w:rFonts w:hint="eastAsia" w:ascii="仿宋_GB2312" w:eastAsia="仿宋_GB2312"/>
          <w:color w:val="auto"/>
          <w:sz w:val="32"/>
          <w:szCs w:val="32"/>
          <w:highlight w:val="none"/>
        </w:rPr>
        <w:t>基本支出：指为保障机构正常运转、完成日常工作任务而发生的人员支出和公用支出。</w:t>
      </w:r>
    </w:p>
    <w:p>
      <w:pPr>
        <w:keepNext w:val="0"/>
        <w:keepLines w:val="0"/>
        <w:pageBreakBefore w:val="0"/>
        <w:widowControl w:val="0"/>
        <w:kinsoku/>
        <w:wordWrap/>
        <w:overflowPunct/>
        <w:topLinePunct w:val="0"/>
        <w:bidi w:val="0"/>
        <w:ind w:firstLine="640" w:firstLineChars="200"/>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20</w:t>
      </w:r>
      <w:r>
        <w:rPr>
          <w:rFonts w:ascii="仿宋_GB2312" w:eastAsia="仿宋_GB2312"/>
          <w:color w:val="auto"/>
          <w:sz w:val="32"/>
          <w:szCs w:val="32"/>
          <w:highlight w:val="none"/>
        </w:rPr>
        <w:t>.</w:t>
      </w:r>
      <w:r>
        <w:rPr>
          <w:rFonts w:hint="eastAsia" w:ascii="仿宋_GB2312" w:eastAsia="仿宋_GB2312"/>
          <w:color w:val="auto"/>
          <w:sz w:val="32"/>
          <w:szCs w:val="32"/>
          <w:highlight w:val="none"/>
        </w:rPr>
        <w:t>项目支出：指在基本支出之外为完成特定行政任务和事业发展目标所发生的支出。</w:t>
      </w:r>
    </w:p>
    <w:p>
      <w:pPr>
        <w:pStyle w:val="29"/>
        <w:keepNext w:val="0"/>
        <w:keepLines w:val="0"/>
        <w:pageBreakBefore w:val="0"/>
        <w:widowControl w:val="0"/>
        <w:kinsoku/>
        <w:wordWrap/>
        <w:overflowPunct/>
        <w:topLinePunct w:val="0"/>
        <w:bidi w:val="0"/>
        <w:spacing w:line="560" w:lineRule="exact"/>
        <w:ind w:firstLine="640" w:firstLineChars="200"/>
        <w:rPr>
          <w:rFonts w:ascii="仿宋_GB2312" w:eastAsia="仿宋_GB2312"/>
          <w:color w:val="auto"/>
          <w:sz w:val="32"/>
          <w:szCs w:val="32"/>
          <w:highlight w:val="none"/>
        </w:rPr>
      </w:pPr>
      <w:r>
        <w:rPr>
          <w:rFonts w:ascii="仿宋_GB2312" w:eastAsia="仿宋_GB2312"/>
          <w:color w:val="auto"/>
          <w:sz w:val="32"/>
          <w:szCs w:val="32"/>
          <w:highlight w:val="none"/>
        </w:rPr>
        <w:t>2</w:t>
      </w:r>
      <w:r>
        <w:rPr>
          <w:rFonts w:hint="eastAsia" w:ascii="仿宋_GB2312" w:eastAsia="仿宋_GB2312"/>
          <w:color w:val="auto"/>
          <w:sz w:val="32"/>
          <w:szCs w:val="32"/>
          <w:highlight w:val="none"/>
          <w:lang w:val="en-US" w:eastAsia="zh-CN"/>
        </w:rPr>
        <w:t>1</w:t>
      </w:r>
      <w:r>
        <w:rPr>
          <w:rFonts w:ascii="仿宋_GB2312" w:eastAsia="仿宋_GB2312"/>
          <w:color w:val="auto"/>
          <w:sz w:val="32"/>
          <w:szCs w:val="32"/>
          <w:highlight w:val="none"/>
        </w:rPr>
        <w:t>.</w:t>
      </w:r>
      <w:r>
        <w:rPr>
          <w:rFonts w:hint="eastAsia" w:ascii="仿宋_GB2312" w:eastAsia="仿宋_GB2312"/>
          <w:color w:val="auto"/>
          <w:sz w:val="32"/>
          <w:szCs w:val="32"/>
          <w:highlight w:val="none"/>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Style w:val="29"/>
        <w:keepNext w:val="0"/>
        <w:keepLines w:val="0"/>
        <w:pageBreakBefore w:val="0"/>
        <w:widowControl w:val="0"/>
        <w:kinsoku/>
        <w:wordWrap/>
        <w:overflowPunct/>
        <w:topLinePunct w:val="0"/>
        <w:bidi w:val="0"/>
        <w:spacing w:line="560" w:lineRule="exact"/>
        <w:ind w:firstLine="640" w:firstLineChars="200"/>
        <w:rPr>
          <w:rFonts w:ascii="仿宋_GB2312" w:eastAsia="仿宋_GB2312"/>
          <w:color w:val="auto"/>
          <w:sz w:val="32"/>
          <w:szCs w:val="32"/>
          <w:highlight w:val="none"/>
        </w:rPr>
      </w:pPr>
      <w:r>
        <w:rPr>
          <w:rFonts w:hint="eastAsia" w:ascii="仿宋_GB2312" w:eastAsia="仿宋_GB2312"/>
          <w:color w:val="auto"/>
          <w:sz w:val="32"/>
          <w:szCs w:val="32"/>
          <w:highlight w:val="none"/>
          <w:lang w:val="en-US" w:eastAsia="zh-CN"/>
        </w:rPr>
        <w:t>22</w:t>
      </w:r>
      <w:r>
        <w:rPr>
          <w:rFonts w:ascii="仿宋_GB2312" w:eastAsia="仿宋_GB2312"/>
          <w:color w:val="auto"/>
          <w:sz w:val="32"/>
          <w:szCs w:val="32"/>
          <w:highlight w:val="none"/>
        </w:rPr>
        <w:t>.</w:t>
      </w:r>
      <w:r>
        <w:rPr>
          <w:rFonts w:hint="eastAsia" w:ascii="仿宋_GB2312" w:eastAsia="仿宋_GB2312"/>
          <w:color w:val="auto"/>
          <w:sz w:val="32"/>
          <w:szCs w:val="32"/>
          <w:highlight w:val="none"/>
        </w:rPr>
        <w:t>机关运行经费：为保障行政单位（含参照公务员法管理的事业单位）运行用于购买货物和服务的各项资金，包括办公</w:t>
      </w:r>
      <w:r>
        <w:rPr>
          <w:rFonts w:hint="eastAsia" w:ascii="仿宋_GB2312" w:eastAsia="仿宋_GB2312"/>
          <w:color w:val="auto"/>
          <w:sz w:val="32"/>
          <w:szCs w:val="32"/>
          <w:highlight w:val="none"/>
          <w:lang w:eastAsia="zh-CN"/>
        </w:rPr>
        <w:t>费、</w:t>
      </w:r>
      <w:r>
        <w:rPr>
          <w:rFonts w:hint="eastAsia" w:ascii="仿宋_GB2312" w:eastAsia="仿宋_GB2312"/>
          <w:color w:val="auto"/>
          <w:sz w:val="32"/>
          <w:szCs w:val="32"/>
          <w:highlight w:val="none"/>
        </w:rPr>
        <w:t>印刷费、</w:t>
      </w:r>
      <w:r>
        <w:rPr>
          <w:rFonts w:hint="eastAsia" w:ascii="仿宋_GB2312" w:eastAsia="仿宋_GB2312"/>
          <w:color w:val="auto"/>
          <w:sz w:val="32"/>
          <w:szCs w:val="32"/>
          <w:highlight w:val="none"/>
          <w:lang w:eastAsia="zh-CN"/>
        </w:rPr>
        <w:t>咨询费、</w:t>
      </w:r>
      <w:r>
        <w:rPr>
          <w:rFonts w:hint="eastAsia" w:ascii="仿宋_GB2312" w:eastAsia="仿宋_GB2312"/>
          <w:color w:val="auto"/>
          <w:sz w:val="32"/>
          <w:szCs w:val="32"/>
          <w:highlight w:val="none"/>
        </w:rPr>
        <w:t>邮电费、差旅费、会议费、</w:t>
      </w:r>
      <w:r>
        <w:rPr>
          <w:rFonts w:hint="eastAsia" w:ascii="仿宋_GB2312" w:eastAsia="仿宋_GB2312"/>
          <w:color w:val="auto"/>
          <w:sz w:val="32"/>
          <w:szCs w:val="32"/>
          <w:highlight w:val="none"/>
          <w:lang w:eastAsia="zh-CN"/>
        </w:rPr>
        <w:t>培训费、</w:t>
      </w:r>
      <w:r>
        <w:rPr>
          <w:rFonts w:hint="eastAsia" w:ascii="仿宋_GB2312" w:eastAsia="仿宋_GB2312"/>
          <w:color w:val="auto"/>
          <w:sz w:val="32"/>
          <w:szCs w:val="32"/>
          <w:highlight w:val="none"/>
        </w:rPr>
        <w:t>福利费、日常维修费、办公用房水电费、办公用房物业管理费、</w:t>
      </w:r>
      <w:r>
        <w:rPr>
          <w:rFonts w:hint="eastAsia" w:ascii="仿宋_GB2312" w:eastAsia="仿宋_GB2312"/>
          <w:color w:val="auto"/>
          <w:sz w:val="32"/>
          <w:szCs w:val="32"/>
          <w:highlight w:val="none"/>
          <w:lang w:eastAsia="zh-CN"/>
        </w:rPr>
        <w:t>劳务费、公务接待费、</w:t>
      </w:r>
      <w:r>
        <w:rPr>
          <w:rFonts w:hint="eastAsia" w:ascii="仿宋_GB2312" w:eastAsia="仿宋_GB2312"/>
          <w:color w:val="auto"/>
          <w:sz w:val="32"/>
          <w:szCs w:val="32"/>
          <w:highlight w:val="none"/>
        </w:rPr>
        <w:t>公务用车运行维护费</w:t>
      </w:r>
      <w:r>
        <w:rPr>
          <w:rFonts w:hint="eastAsia" w:ascii="仿宋_GB2312" w:eastAsia="仿宋_GB2312"/>
          <w:color w:val="auto"/>
          <w:sz w:val="32"/>
          <w:szCs w:val="32"/>
          <w:highlight w:val="none"/>
          <w:lang w:eastAsia="zh-CN"/>
        </w:rPr>
        <w:t>、其他交通费用以及其他商品和服务支出</w:t>
      </w:r>
      <w:r>
        <w:rPr>
          <w:rFonts w:hint="eastAsia" w:ascii="仿宋_GB2312" w:eastAsia="仿宋_GB2312"/>
          <w:color w:val="auto"/>
          <w:sz w:val="32"/>
          <w:szCs w:val="32"/>
          <w:highlight w:val="none"/>
        </w:rPr>
        <w:t>。</w:t>
      </w:r>
    </w:p>
    <w:p>
      <w:pPr>
        <w:spacing w:line="600" w:lineRule="exact"/>
        <w:jc w:val="center"/>
        <w:outlineLvl w:val="0"/>
        <w:rPr>
          <w:rStyle w:val="19"/>
          <w:rFonts w:hint="eastAsia" w:ascii="黑体" w:hAnsi="黑体" w:eastAsia="黑体"/>
          <w:b w:val="0"/>
          <w:color w:val="auto"/>
          <w:highlight w:val="none"/>
          <w:lang w:eastAsia="zh-CN"/>
        </w:rPr>
      </w:pPr>
      <w:r>
        <w:rPr>
          <w:rFonts w:ascii="宋体"/>
          <w:b/>
          <w:color w:val="auto"/>
          <w:sz w:val="44"/>
          <w:szCs w:val="44"/>
          <w:highlight w:val="none"/>
        </w:rPr>
        <w:br w:type="page"/>
      </w:r>
      <w:bookmarkStart w:id="73" w:name="_Toc10033"/>
      <w:bookmarkStart w:id="74" w:name="_Toc15396614"/>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四部分附件</w:t>
      </w:r>
      <w:bookmarkEnd w:id="73"/>
      <w:bookmarkEnd w:id="74"/>
    </w:p>
    <w:p>
      <w:pPr>
        <w:keepNext w:val="0"/>
        <w:keepLines w:val="0"/>
        <w:pageBreakBefore w:val="0"/>
        <w:widowControl/>
        <w:kinsoku/>
        <w:wordWrap/>
        <w:overflowPunct/>
        <w:topLinePunct w:val="0"/>
        <w:autoSpaceDE/>
        <w:autoSpaceDN/>
        <w:bidi w:val="0"/>
        <w:spacing w:line="576" w:lineRule="exact"/>
        <w:contextualSpacing/>
        <w:jc w:val="center"/>
        <w:textAlignment w:val="auto"/>
        <w:rPr>
          <w:rFonts w:hint="eastAsia" w:ascii="方正小标宋简体" w:hAnsi="方正小标宋简体" w:eastAsia="方正小标宋简体" w:cs="方正小标宋简体"/>
          <w:b w:val="0"/>
          <w:bCs/>
          <w:sz w:val="44"/>
          <w:szCs w:val="44"/>
          <w:shd w:val="clear" w:color="auto" w:fill="FFFFFF"/>
          <w:lang w:val="en-US" w:eastAsia="zh-CN"/>
        </w:rPr>
      </w:pPr>
    </w:p>
    <w:p>
      <w:pPr>
        <w:keepNext w:val="0"/>
        <w:keepLines w:val="0"/>
        <w:pageBreakBefore w:val="0"/>
        <w:widowControl/>
        <w:kinsoku/>
        <w:wordWrap/>
        <w:overflowPunct/>
        <w:topLinePunct w:val="0"/>
        <w:autoSpaceDE/>
        <w:autoSpaceDN/>
        <w:bidi w:val="0"/>
        <w:spacing w:line="576" w:lineRule="exact"/>
        <w:contextualSpacing/>
        <w:jc w:val="center"/>
        <w:textAlignment w:val="auto"/>
        <w:rPr>
          <w:rFonts w:hint="eastAsia" w:ascii="方正小标宋简体" w:hAnsi="方正小标宋简体" w:eastAsia="方正小标宋简体" w:cs="方正小标宋简体"/>
          <w:b w:val="0"/>
          <w:bCs/>
          <w:sz w:val="44"/>
          <w:szCs w:val="44"/>
          <w:shd w:val="clear" w:color="auto" w:fill="FFFFFF"/>
          <w:lang w:val="en-US" w:eastAsia="zh-CN"/>
        </w:rPr>
      </w:pPr>
      <w:r>
        <w:rPr>
          <w:rFonts w:hint="eastAsia" w:ascii="方正小标宋简体" w:hAnsi="方正小标宋简体" w:eastAsia="方正小标宋简体" w:cs="方正小标宋简体"/>
          <w:b w:val="0"/>
          <w:bCs/>
          <w:sz w:val="44"/>
          <w:szCs w:val="44"/>
          <w:shd w:val="clear" w:color="auto" w:fill="FFFFFF"/>
          <w:lang w:val="en-US" w:eastAsia="zh-CN"/>
        </w:rPr>
        <w:t>广元市财政局</w:t>
      </w:r>
    </w:p>
    <w:p>
      <w:pPr>
        <w:keepNext w:val="0"/>
        <w:keepLines w:val="0"/>
        <w:pageBreakBefore w:val="0"/>
        <w:widowControl/>
        <w:kinsoku/>
        <w:wordWrap/>
        <w:overflowPunct/>
        <w:topLinePunct w:val="0"/>
        <w:autoSpaceDE/>
        <w:autoSpaceDN/>
        <w:bidi w:val="0"/>
        <w:spacing w:line="576" w:lineRule="exact"/>
        <w:contextualSpacing/>
        <w:jc w:val="center"/>
        <w:textAlignment w:val="auto"/>
        <w:rPr>
          <w:rFonts w:hint="eastAsia" w:ascii="楷体_GB2312" w:hAnsi="楷体_GB2312" w:eastAsia="楷体_GB2312" w:cs="楷体_GB2312"/>
          <w:szCs w:val="32"/>
          <w:shd w:val="clear" w:color="auto" w:fill="FFFFFF"/>
        </w:rPr>
      </w:pPr>
      <w:r>
        <w:rPr>
          <w:rFonts w:hint="eastAsia" w:ascii="方正小标宋简体" w:hAnsi="方正小标宋简体" w:eastAsia="方正小标宋简体" w:cs="方正小标宋简体"/>
          <w:b w:val="0"/>
          <w:bCs/>
          <w:sz w:val="44"/>
          <w:szCs w:val="44"/>
          <w:shd w:val="clear" w:color="auto" w:fill="FFFFFF"/>
        </w:rPr>
        <w:t>20</w:t>
      </w:r>
      <w:r>
        <w:rPr>
          <w:rFonts w:hint="eastAsia" w:ascii="方正小标宋简体" w:hAnsi="方正小标宋简体" w:eastAsia="方正小标宋简体" w:cs="方正小标宋简体"/>
          <w:b w:val="0"/>
          <w:bCs/>
          <w:sz w:val="44"/>
          <w:szCs w:val="44"/>
          <w:shd w:val="clear" w:color="auto" w:fill="FFFFFF"/>
          <w:lang w:val="en-US" w:eastAsia="zh-CN"/>
        </w:rPr>
        <w:t>2</w:t>
      </w:r>
      <w:r>
        <w:rPr>
          <w:rFonts w:hint="default" w:ascii="方正小标宋简体" w:hAnsi="方正小标宋简体" w:eastAsia="方正小标宋简体" w:cs="方正小标宋简体"/>
          <w:b w:val="0"/>
          <w:bCs/>
          <w:sz w:val="44"/>
          <w:szCs w:val="44"/>
          <w:shd w:val="clear" w:color="auto" w:fill="FFFFFF"/>
          <w:lang w:val="en" w:eastAsia="zh-CN"/>
        </w:rPr>
        <w:t>2</w:t>
      </w:r>
      <w:r>
        <w:rPr>
          <w:rFonts w:hint="eastAsia" w:ascii="方正小标宋简体" w:hAnsi="方正小标宋简体" w:eastAsia="方正小标宋简体" w:cs="方正小标宋简体"/>
          <w:b w:val="0"/>
          <w:bCs/>
          <w:sz w:val="44"/>
          <w:szCs w:val="44"/>
          <w:shd w:val="clear" w:color="auto" w:fill="FFFFFF"/>
        </w:rPr>
        <w:t>年部门整体支出绩效评价报告</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ascii="黑体" w:hAnsi="宋体" w:eastAsia="黑体" w:cs="宋体"/>
          <w:color w:val="auto"/>
          <w:kern w:val="0"/>
          <w:sz w:val="32"/>
          <w:szCs w:val="32"/>
          <w:highlight w:val="none"/>
          <w:shd w:val="clear" w:color="auto" w:fill="FFFFFF"/>
        </w:rPr>
      </w:pPr>
    </w:p>
    <w:p>
      <w:pPr>
        <w:keepNext w:val="0"/>
        <w:keepLines w:val="0"/>
        <w:pageBreakBefore w:val="0"/>
        <w:widowControl/>
        <w:numPr>
          <w:ilvl w:val="0"/>
          <w:numId w:val="4"/>
        </w:numPr>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hint="eastAsia" w:ascii="黑体" w:hAnsi="宋体" w:eastAsia="黑体" w:cs="宋体"/>
          <w:color w:val="auto"/>
          <w:kern w:val="0"/>
          <w:sz w:val="32"/>
          <w:szCs w:val="32"/>
          <w:highlight w:val="none"/>
          <w:shd w:val="clear" w:color="auto" w:fill="FFFFFF"/>
          <w:lang w:val="zh-CN"/>
        </w:rPr>
      </w:pPr>
      <w:bookmarkStart w:id="75" w:name="_Toc21882"/>
      <w:r>
        <w:rPr>
          <w:rFonts w:hint="eastAsia" w:ascii="黑体" w:hAnsi="宋体" w:eastAsia="黑体" w:cs="宋体"/>
          <w:color w:val="auto"/>
          <w:kern w:val="0"/>
          <w:sz w:val="32"/>
          <w:szCs w:val="32"/>
          <w:highlight w:val="none"/>
          <w:shd w:val="clear" w:color="auto" w:fill="FFFFFF"/>
          <w:lang w:val="zh-CN"/>
        </w:rPr>
        <w:t>部门基本情况</w:t>
      </w:r>
      <w:bookmarkEnd w:id="75"/>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（一）机构组成</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广元市财政局部门含局机关和4个直属单位（财政评审中心、绩效管理中心、政府和社会资本合作中心和财政预算编审中心），其中市财政局机关为独立核算一级预算单位（政府和社会资本合作中心和财政预算编审中心未独立核算，纳入局机关统一核算），市财政绩效管理中心和财政评审中心为独立核算二级预算单位。</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（二）机构职能和人员概况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拟订全市财政、税收的发展战略、规划、政策和改革方案并组织实施，参与宏观经济分析预测和全市重大宏观经济政策的制定，提出运用财税政策实施宏观经济调控和综合平衡全市财力的建议。贯彻执行国家财税法律、法规和方针、政策，组织起草地方性财税法规的实施办法和政策规定并组织实施，按照管理权限管理全市税政事项。承担各项财政收支管理，负责编制年度市级预决算草案并组织实施，受市政府委托，向市人民代表大会报告全市和市级预算及其执行情况，向市人大常委会报告决算，组织制定经费开支标准、定额，负责审核批复部门（单位）的年度预决算，完善转移支付制度。负责政府非税收入管理，负责政府性基金管理，按规定管理行政事业性收费，管理财政票据，负责彩票的监管和发行规模的审核上报工作。制定全市国库管理制度、国库集中收付制度，指导和监督国库业务，组织开展国库现金管理工作。制定政府采购制度，编制政府采购预算，监督管理全市政府采购工作。制定全市行政事业单位国有资产管理制度规定及市</w:t>
      </w:r>
      <w:r>
        <w:rPr>
          <w:rFonts w:hint="eastAsia" w:ascii="仿宋_GB2312" w:hAnsi="仿宋_GB2312" w:eastAsia="仿宋_GB2312" w:cs="仿宋_GB2312"/>
          <w:sz w:val="32"/>
          <w:szCs w:val="32"/>
          <w:lang w:val="en-US" w:eastAsia="zh-CN"/>
        </w:rPr>
        <w:t>级机关事业单位国有资产收益管理办法，并对执行情况进行监督检查，负责市级机关国有资产经营收益财政专户管理工作。审核和汇总编制全市国有资本经营预决算草案，制订国有资本经营预算的制度和办法，收取市本级企业国有资本收益，组织实施企业财务制度，管理金融类企业国有资产，参与拟订企业国有资产管理相关制度，管理资产评估工作。负责管理和监督财政性经济发展支出、政府性投资项目的财政拨款，参与拟订政府性建设投资的有关政策，制定基本建设财务制度，负责投资评审管理工作。负责有关政策性补贴和专项储备资金财政管理工作。会同相关部门管理全市社会保障和就业及医疗卫生支出，会同相关部门拟订社会保障资金（基金）的财务管理制度，编制市级社会保障预决算草案。组织实施政府债务管理制度和政策，制定具体管理办法，管理政府债务，防范财政风险，管理外国政府和国际金融机构贷（赠）款项目的有关业务。负责全市的会计工作，监督和规范会计行为，组织实施国家统一的会计制度，指导和监督注册会计师和会计师事务所的业务，指导和管理社会审计。负责财政资金绩效评价。监督检查财税法规、政策的执行情况，反映财政收支管理中的重大问题。依法查处违反财经法纪的行为。负责财政宣</w:t>
      </w:r>
      <w:r>
        <w:rPr>
          <w:rFonts w:hint="eastAsia" w:ascii="仿宋_GB2312" w:hAnsi="仿宋_GB2312" w:eastAsia="仿宋_GB2312" w:cs="仿宋_GB2312"/>
          <w:sz w:val="32"/>
          <w:szCs w:val="32"/>
        </w:rPr>
        <w:t>传和财政信息管理系统工作，负责全市财政业务培训。承担市政府公布的有关行政审批事项。负责全市PPP政策研究和实施办法的制定、市级PPP项目库的建立更新，项目实施方案的汇总和审核等工作。承办市政府交办的其他事项。</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lang w:val="zh-CN"/>
        </w:rPr>
      </w:pPr>
      <w:r>
        <w:rPr>
          <w:rFonts w:hint="eastAsia" w:ascii="仿宋_GB2312" w:hAnsi="仿宋_GB2312" w:eastAsia="仿宋_GB2312" w:cs="仿宋_GB2312"/>
          <w:sz w:val="32"/>
          <w:szCs w:val="32"/>
          <w:lang w:val="en-US" w:eastAsia="zh-CN"/>
        </w:rPr>
        <w:t>截至2022年末，市财政局部门人员编制共104个，其中：公务员编制63个、工勤人员编制8个、事业人员编制33个。2022年底，实有在职人员99人，其中：公务员62人（含纪检监察组5人）、工勤人员7人、事业人员30人。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（三）年度主要工作任务</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坚持以习近平新时代中国特色社会主义思想为指导，全面贯彻落实党的十九大和十九届历次全会精神，围绕中央经济工作会议“七项任务”，坚持稳中求进工作总基调，完整、准确、全面贯彻新发展理念，加快构建新发展格局，全面深化改革开放，坚持创新驱动发展，推动高质量发展，坚持以供给侧结构性改革为主线，统筹疫情防控和经济社会发展，继续做好“六稳”“六保”工作，持续改善民生，着力稳定宏观经济大盘，保持社会大局稳定，迎接党的二十大胜利召开。</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（四）部门整体支出绩效目标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contextualSpacing/>
        <w:jc w:val="both"/>
        <w:textAlignment w:val="auto"/>
        <w:rPr>
          <w:rFonts w:hint="eastAsia" w:ascii="黑体" w:hAnsi="宋体" w:eastAsia="黑体" w:cs="宋体"/>
          <w:color w:val="auto"/>
          <w:kern w:val="0"/>
          <w:sz w:val="32"/>
          <w:szCs w:val="32"/>
          <w:highlight w:val="none"/>
          <w:shd w:val="clear" w:color="auto" w:fill="FFFFFF"/>
        </w:rPr>
      </w:pPr>
      <w:r>
        <w:rPr>
          <w:rFonts w:hint="eastAsia" w:ascii="仿宋_GB2312" w:hAnsi="仿宋_GB2312" w:eastAsia="仿宋_GB2312" w:cs="仿宋_GB2312"/>
          <w:sz w:val="32"/>
          <w:szCs w:val="32"/>
          <w:lang w:val="zh-CN" w:eastAsia="zh-CN"/>
        </w:rPr>
        <w:t>我部门在年度预算编制环节，对部门整体支出分别设立产出指标、成本指标、效益指标和满意度指标，对预算收支、民生保障、项目评审和绩效评价等工作进行了细化和量化。</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76" w:name="_Toc27939"/>
      <w:r>
        <w:rPr>
          <w:rFonts w:hint="eastAsia" w:ascii="黑体" w:hAnsi="宋体" w:eastAsia="黑体" w:cs="宋体"/>
          <w:color w:val="auto"/>
          <w:kern w:val="0"/>
          <w:sz w:val="32"/>
          <w:szCs w:val="32"/>
          <w:highlight w:val="none"/>
          <w:shd w:val="clear" w:color="auto" w:fill="FFFFFF"/>
        </w:rPr>
        <w:t>二、</w:t>
      </w:r>
      <w:r>
        <w:rPr>
          <w:rFonts w:hint="eastAsia" w:ascii="黑体" w:hAnsi="宋体" w:eastAsia="黑体" w:cs="宋体"/>
          <w:color w:val="auto"/>
          <w:kern w:val="0"/>
          <w:sz w:val="32"/>
          <w:szCs w:val="32"/>
          <w:highlight w:val="none"/>
          <w:shd w:val="clear" w:color="auto" w:fill="FFFFFF"/>
          <w:lang w:eastAsia="zh-CN"/>
        </w:rPr>
        <w:t>部门</w:t>
      </w:r>
      <w:r>
        <w:rPr>
          <w:rFonts w:hint="eastAsia" w:ascii="黑体" w:hAnsi="宋体" w:eastAsia="黑体" w:cs="宋体"/>
          <w:color w:val="auto"/>
          <w:kern w:val="0"/>
          <w:sz w:val="32"/>
          <w:szCs w:val="32"/>
          <w:highlight w:val="none"/>
          <w:shd w:val="clear" w:color="auto" w:fill="FFFFFF"/>
        </w:rPr>
        <w:t>资金收支情况</w:t>
      </w:r>
      <w:bookmarkEnd w:id="76"/>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（一）部门总体收支情况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1.部门总体收入情况。2022年，市财政局部门收入3449.89万元，其中：一般公共预算财政拨款收入3059.39万元、其他收入3.18万元，年初结转资金387.32万元。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2.部门总体支出情况。2022年，市财政局部门支出3308.21万元，其中：一般公共预算财政拨款支出3287.11万元，其他资金支出21.1万元。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3.部门总体结转结余情况。2022年，市财政局部门总体结转141.68万元，其中：一般公共预算财政拨款结转77.78万元，其他资金结转63.9万元。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（二）部门财政拨款收支情况</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1.部门财政拨款收入情况。2022年，市财政局部门财政拨款收入3364.9万元，其中：本年财政拨款收入3059.39万元，年初财政拨款结转资金305.51万元。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2.部门财政拨款支出情况。2022年，市财政局部门财政拨款支出3287.11万元，其中：一般公共预算财政拨款支出3287.11万元。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3.部门财政拨款结转结余情况。2022年，市财政局部门财政拨款结转77.78万元，其中：一般公共预算财政拨款支出77.78万元。</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77" w:name="_Toc10765"/>
      <w:r>
        <w:rPr>
          <w:rFonts w:hint="eastAsia" w:ascii="黑体" w:hAnsi="宋体" w:eastAsia="黑体" w:cs="宋体"/>
          <w:color w:val="auto"/>
          <w:kern w:val="0"/>
          <w:sz w:val="32"/>
          <w:szCs w:val="32"/>
          <w:highlight w:val="none"/>
          <w:shd w:val="clear" w:color="auto" w:fill="FFFFFF"/>
        </w:rPr>
        <w:t>三、</w:t>
      </w:r>
      <w:r>
        <w:rPr>
          <w:rFonts w:hint="eastAsia" w:ascii="黑体" w:hAnsi="宋体" w:eastAsia="黑体" w:cs="宋体"/>
          <w:color w:val="auto"/>
          <w:kern w:val="0"/>
          <w:sz w:val="32"/>
          <w:szCs w:val="32"/>
          <w:highlight w:val="none"/>
          <w:u w:val="none"/>
          <w:shd w:val="clear" w:color="auto" w:fill="FFFFFF"/>
        </w:rPr>
        <w:t>部门整体绩效</w:t>
      </w:r>
      <w:r>
        <w:rPr>
          <w:rFonts w:hint="eastAsia" w:ascii="黑体" w:hAnsi="宋体" w:eastAsia="黑体" w:cs="宋体"/>
          <w:color w:val="auto"/>
          <w:kern w:val="0"/>
          <w:sz w:val="32"/>
          <w:szCs w:val="32"/>
          <w:highlight w:val="none"/>
          <w:u w:val="none"/>
          <w:shd w:val="clear" w:color="auto" w:fill="FFFFFF"/>
          <w:lang w:eastAsia="zh-CN"/>
        </w:rPr>
        <w:t>分析</w:t>
      </w:r>
      <w:bookmarkEnd w:id="77"/>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（一）部门预算项目绩效分析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zh-CN" w:eastAsia="zh-CN"/>
        </w:rPr>
      </w:pPr>
      <w:r>
        <w:rPr>
          <w:rFonts w:hint="eastAsia" w:ascii="仿宋_GB2312" w:hAnsi="仿宋_GB2312" w:eastAsia="仿宋_GB2312" w:cs="仿宋_GB2312"/>
          <w:sz w:val="32"/>
          <w:szCs w:val="32"/>
          <w:lang w:val="en-US" w:eastAsia="zh-CN"/>
        </w:rPr>
        <w:t>1.人员类项目绩效分析</w:t>
      </w:r>
      <w:r>
        <w:rPr>
          <w:rFonts w:hint="eastAsia" w:ascii="仿宋_GB2312" w:hAnsi="仿宋_GB2312" w:eastAsia="仿宋_GB2312" w:cs="仿宋_GB2312"/>
          <w:sz w:val="32"/>
          <w:szCs w:val="32"/>
          <w:lang w:val="zh-CN" w:eastAsia="zh-CN"/>
        </w:rPr>
        <w:t>。我部门将人员类支出纳入绩效管理，在</w:t>
      </w:r>
      <w:r>
        <w:rPr>
          <w:rFonts w:hint="eastAsia" w:ascii="仿宋_GB2312" w:hAnsi="仿宋_GB2312" w:eastAsia="仿宋_GB2312" w:cs="仿宋_GB2312"/>
          <w:sz w:val="32"/>
          <w:szCs w:val="32"/>
          <w:lang w:val="en-US" w:eastAsia="zh-CN"/>
        </w:rPr>
        <w:t>预算编制环节对人员经费绩效目标进行了绩效指标设定。在预算执行中，人员经费支出严格根据各项管理规定执行，保障了人员工资津补贴按时足额发放，预算执行进度达到预算管理要求，完成了年度预算绩效目标。</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2.运转类项目绩效分析。</w:t>
      </w:r>
      <w:r>
        <w:rPr>
          <w:rFonts w:hint="eastAsia" w:ascii="仿宋_GB2312" w:hAnsi="仿宋_GB2312" w:eastAsia="仿宋_GB2312" w:cs="仿宋_GB2312"/>
          <w:sz w:val="32"/>
          <w:szCs w:val="32"/>
          <w:lang w:val="zh-CN" w:eastAsia="zh-CN"/>
        </w:rPr>
        <w:t>我部门将运转类支出项目纳入绩效管理，在</w:t>
      </w:r>
      <w:r>
        <w:rPr>
          <w:rFonts w:hint="eastAsia" w:ascii="仿宋_GB2312" w:hAnsi="仿宋_GB2312" w:eastAsia="仿宋_GB2312" w:cs="仿宋_GB2312"/>
          <w:sz w:val="32"/>
          <w:szCs w:val="32"/>
          <w:lang w:val="en-US" w:eastAsia="zh-CN"/>
        </w:rPr>
        <w:t>预算编制环节对公用经费绩效目标进行了绩效指标设定，</w:t>
      </w:r>
      <w:r>
        <w:rPr>
          <w:rFonts w:hint="eastAsia" w:ascii="仿宋_GB2312" w:hAnsi="仿宋_GB2312" w:eastAsia="仿宋_GB2312" w:cs="仿宋_GB2312"/>
          <w:sz w:val="32"/>
          <w:szCs w:val="32"/>
          <w:lang w:val="zh-CN" w:eastAsia="zh-CN"/>
        </w:rPr>
        <w:t>准确预测全年运转支出项目</w:t>
      </w:r>
      <w:r>
        <w:rPr>
          <w:rFonts w:hint="eastAsia" w:ascii="仿宋_GB2312" w:hAnsi="仿宋_GB2312" w:eastAsia="仿宋_GB2312" w:cs="仿宋_GB2312"/>
          <w:sz w:val="32"/>
          <w:szCs w:val="32"/>
          <w:lang w:val="en-US" w:eastAsia="zh-CN"/>
        </w:rPr>
        <w:t>。在预算执行中，加强日常运转经费管理，严格支出审批及报销，运转类支出严格根据各项管理规定执行，保障了财政工作顺利开展，预算执行进度达到预算管理要求，完成了年度预算绩效目标。</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特定目标类项目绩效分析。2022年，我部门将特定目标类项目纳入绩效管理，结合部门职责和财政工作需要，在年初编制特定目标项目17个，预算执行过程中市财政追加下达3个特定项目，2022年全年特定目标类项目20个。在预算编制环节进行了绩效指标设定，具体细化完成指标、效益指标和满意度指标。在预算执行中，专项</w:t>
      </w:r>
      <w:r>
        <w:rPr>
          <w:rFonts w:hint="eastAsia" w:ascii="仿宋_GB2312" w:hAnsi="仿宋_GB2312" w:eastAsia="仿宋_GB2312" w:cs="仿宋_GB2312"/>
          <w:sz w:val="32"/>
          <w:szCs w:val="32"/>
          <w:lang w:val="zh-CN" w:eastAsia="zh-CN"/>
        </w:rPr>
        <w:t>项目</w:t>
      </w:r>
      <w:r>
        <w:rPr>
          <w:rFonts w:hint="eastAsia" w:ascii="仿宋_GB2312" w:hAnsi="仿宋_GB2312" w:eastAsia="仿宋_GB2312" w:cs="仿宋_GB2312"/>
          <w:sz w:val="32"/>
          <w:szCs w:val="32"/>
          <w:lang w:val="en-US" w:eastAsia="zh-CN"/>
        </w:rPr>
        <w:t>按照设定目标开展实施，严格执行相关管理规定，对属于政府采购的项目严格按规定实施采购，对项目预算有调整的严格履行预算调整审批。</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2022年，部门18个特定目标项目均顺利实施，完成了年度预算绩效目标。2个项目预算未在2022年全部执行，其中市财政绩效管理中心“第三方绩效评价工作经费”项目因按合同约定属于跨年度支付项目，市财政评审中心“公务车辆购置经费”因在年末下达预算，当年不能完成政府采购流程，因此在2023年完成采购并支付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（二）部门整体履职绩效分析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2022年，我部门坚决贯彻党的二十大精神，坚持以习近平新时代中国特色社会主义思想为指引，认真落实市委市政府重大决策部署，全力以赴拼经济搞建设，始终保持全市经济运行平稳，为加快建设川陕甘结合部现代化中心城市提供了坚强的财政保障，2022年部门绩效目标任务全面完成。</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CESI仿宋-GB2312" w:hAnsi="CESI仿宋-GB2312" w:eastAsia="CESI仿宋-GB2312" w:cs="CESI仿宋-GB2312"/>
          <w:b w:val="0"/>
          <w:bCs w:val="0"/>
          <w:sz w:val="32"/>
          <w:szCs w:val="32"/>
          <w:lang w:val="en-US" w:eastAsia="zh-CN"/>
        </w:rPr>
      </w:pPr>
      <w:r>
        <w:rPr>
          <w:rFonts w:hint="eastAsia" w:ascii="仿宋_GB2312" w:hAnsi="仿宋_GB2312" w:eastAsia="仿宋_GB2312" w:cs="仿宋_GB2312"/>
          <w:b w:val="0"/>
          <w:bCs w:val="0"/>
          <w:color w:val="auto"/>
          <w:sz w:val="32"/>
          <w:szCs w:val="32"/>
          <w:lang w:val="en-US" w:eastAsia="zh-CN"/>
        </w:rPr>
        <w:t>2022年，全市地方一般公共预算收入完成61.32亿元，同口径增长11.5%，</w:t>
      </w:r>
      <w:r>
        <w:rPr>
          <w:rFonts w:hint="eastAsia" w:ascii="仿宋_GB2312" w:hAnsi="仿宋_GB2312" w:eastAsia="仿宋_GB2312" w:cs="仿宋_GB2312"/>
          <w:b w:val="0"/>
          <w:bCs w:val="0"/>
          <w:color w:val="auto"/>
          <w:sz w:val="32"/>
          <w:szCs w:val="32"/>
          <w:lang w:eastAsia="zh-CN"/>
        </w:rPr>
        <w:t>全市一般公共预算支出</w:t>
      </w:r>
      <w:r>
        <w:rPr>
          <w:rFonts w:hint="eastAsia" w:ascii="仿宋_GB2312" w:hAnsi="仿宋_GB2312" w:eastAsia="仿宋_GB2312" w:cs="仿宋_GB2312"/>
          <w:b w:val="0"/>
          <w:bCs w:val="0"/>
          <w:color w:val="auto"/>
          <w:sz w:val="32"/>
          <w:szCs w:val="32"/>
          <w:lang w:val="en-US" w:eastAsia="zh-CN"/>
        </w:rPr>
        <w:t>302.76亿元，同口径增长10.8%。全市财政收入增速高于经济增长，圆满实现年度目标任务。全力向上争取政策资金，全力保障重大项目建设，全力助推工业、农业、服务业等产业经济发展</w:t>
      </w:r>
      <w:r>
        <w:rPr>
          <w:rFonts w:hint="eastAsia" w:ascii="仿宋_GB2312" w:hAnsi="仿宋_GB2312" w:eastAsia="仿宋_GB2312" w:cs="仿宋_GB2312"/>
          <w:b w:val="0"/>
          <w:bCs w:val="0"/>
          <w:color w:val="auto"/>
          <w:sz w:val="32"/>
          <w:szCs w:val="32"/>
          <w:lang w:val="en" w:eastAsia="zh-CN"/>
        </w:rPr>
        <w:t>。</w:t>
      </w:r>
      <w:r>
        <w:rPr>
          <w:rFonts w:hint="eastAsia" w:ascii="仿宋_GB2312" w:hAnsi="仿宋_GB2312" w:eastAsia="仿宋_GB2312" w:cs="仿宋_GB2312"/>
          <w:b w:val="0"/>
          <w:bCs w:val="0"/>
          <w:color w:val="auto"/>
          <w:sz w:val="32"/>
          <w:szCs w:val="32"/>
          <w:lang w:val="en-US" w:eastAsia="zh-CN"/>
        </w:rPr>
        <w:t>坚持聚财为民，充分保障民生实事，推进教育高地建设，守护群众生命安全，织密社会保障网络，财政保障民生事业水平进一步提升。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（三）结果应用情况</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w:t>
      </w:r>
      <w:r>
        <w:rPr>
          <w:rFonts w:hint="eastAsia" w:ascii="仿宋_GB2312" w:hAnsi="仿宋_GB2312" w:eastAsia="仿宋_GB2312" w:cs="仿宋_GB2312"/>
          <w:b w:val="0"/>
          <w:bCs w:val="0"/>
          <w:color w:val="auto"/>
          <w:sz w:val="32"/>
          <w:szCs w:val="32"/>
          <w:lang w:val="zh-CN" w:eastAsia="zh-CN"/>
        </w:rPr>
        <w:t>内部应用。</w:t>
      </w:r>
      <w:r>
        <w:rPr>
          <w:rFonts w:hint="eastAsia" w:ascii="仿宋_GB2312" w:hAnsi="仿宋_GB2312" w:eastAsia="仿宋_GB2312" w:cs="仿宋_GB2312"/>
          <w:b w:val="0"/>
          <w:bCs w:val="0"/>
          <w:color w:val="auto"/>
          <w:sz w:val="32"/>
          <w:szCs w:val="32"/>
          <w:lang w:val="en-US" w:eastAsia="zh-CN"/>
        </w:rPr>
        <w:t>我部门针对项目资金执行进度不平衡的问题，督促项目科室和直属单位加快项目实施进度，严格按序时进度和合同约定支付资金，同时规范资金使用，实现了预算绩效目标。</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en-US" w:eastAsia="zh-CN"/>
        </w:rPr>
        <w:t>2.</w:t>
      </w:r>
      <w:r>
        <w:rPr>
          <w:rFonts w:hint="eastAsia" w:ascii="仿宋_GB2312" w:hAnsi="仿宋_GB2312" w:eastAsia="仿宋_GB2312" w:cs="仿宋_GB2312"/>
          <w:b w:val="0"/>
          <w:bCs w:val="0"/>
          <w:color w:val="auto"/>
          <w:sz w:val="32"/>
          <w:szCs w:val="32"/>
          <w:lang w:val="zh-CN" w:eastAsia="zh-CN"/>
        </w:rPr>
        <w:t>自评公开。</w:t>
      </w:r>
      <w:r>
        <w:rPr>
          <w:rFonts w:hint="eastAsia" w:ascii="仿宋_GB2312" w:hAnsi="仿宋_GB2312" w:eastAsia="仿宋_GB2312" w:cs="仿宋_GB2312"/>
          <w:b w:val="0"/>
          <w:bCs w:val="0"/>
          <w:color w:val="auto"/>
          <w:sz w:val="32"/>
          <w:szCs w:val="32"/>
          <w:lang w:val="en-US" w:eastAsia="zh-CN"/>
        </w:rPr>
        <w:t>我部门认真做好部门预决算和部门整体支出绩效自评情况公开工作，及时、全面向社会公开。</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en-US" w:eastAsia="zh-CN"/>
        </w:rPr>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pPr>
      <w:r>
        <w:rPr>
          <w:rFonts w:hint="eastAsia" w:ascii="仿宋_GB2312" w:hAnsi="仿宋_GB2312" w:eastAsia="仿宋_GB2312" w:cs="仿宋_GB2312"/>
          <w:b w:val="0"/>
          <w:bCs w:val="0"/>
          <w:color w:val="auto"/>
          <w:sz w:val="32"/>
          <w:szCs w:val="32"/>
          <w:lang w:val="en-US" w:eastAsia="zh-CN"/>
        </w:rPr>
        <w:t>3.</w:t>
      </w:r>
      <w:r>
        <w:rPr>
          <w:rFonts w:hint="eastAsia" w:ascii="仿宋_GB2312" w:hAnsi="仿宋_GB2312" w:eastAsia="仿宋_GB2312" w:cs="仿宋_GB2312"/>
          <w:b w:val="0"/>
          <w:bCs w:val="0"/>
          <w:color w:val="auto"/>
          <w:sz w:val="32"/>
          <w:szCs w:val="32"/>
          <w:lang w:val="zh-CN" w:eastAsia="zh-CN"/>
        </w:rPr>
        <w:t>问题整改和应用反馈等情况。</w:t>
      </w:r>
      <w:r>
        <w:rPr>
          <w:rFonts w:hint="eastAsia" w:ascii="仿宋_GB2312" w:hAnsi="仿宋_GB2312" w:eastAsia="仿宋_GB2312" w:cs="仿宋_GB2312"/>
          <w:b w:val="0"/>
          <w:bCs w:val="0"/>
          <w:color w:val="auto"/>
          <w:sz w:val="32"/>
          <w:szCs w:val="32"/>
          <w:lang w:val="en-US" w:eastAsia="zh-CN"/>
        </w:rPr>
        <w:t>我部门认真落实预算绩</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en-US" w:eastAsia="zh-CN"/>
        </w:rPr>
        <w:t>效管理工作，对绩效管理过程中发现的问题及时进行整改，逐步完善和改进本部门预算绩效管理工作。</w:t>
      </w:r>
    </w:p>
    <w:p>
      <w:pPr>
        <w:keepNext w:val="0"/>
        <w:keepLines w:val="0"/>
        <w:pageBreakBefore w:val="0"/>
        <w:widowControl/>
        <w:numPr>
          <w:ilvl w:val="0"/>
          <w:numId w:val="0"/>
        </w:numPr>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楷体_GB2312" w:hAnsi="楷体_GB2312" w:eastAsia="楷体_GB2312" w:cs="楷体_GB2312"/>
          <w:b w:val="0"/>
          <w:bCs w:val="0"/>
          <w:color w:val="auto"/>
          <w:kern w:val="0"/>
          <w:sz w:val="32"/>
          <w:szCs w:val="32"/>
          <w:highlight w:val="none"/>
          <w:shd w:val="clear" w:color="auto" w:fill="FFFFFF"/>
          <w:lang w:val="zh-CN"/>
        </w:rPr>
      </w:pPr>
      <w:r>
        <w:rPr>
          <w:rFonts w:hint="eastAsia" w:ascii="楷体_GB2312" w:hAnsi="楷体_GB2312" w:eastAsia="楷体_GB2312" w:cs="楷体_GB2312"/>
          <w:b w:val="0"/>
          <w:bCs w:val="0"/>
          <w:color w:val="auto"/>
          <w:kern w:val="0"/>
          <w:sz w:val="32"/>
          <w:szCs w:val="32"/>
          <w:highlight w:val="none"/>
          <w:shd w:val="clear" w:color="auto" w:fill="FFFFFF"/>
          <w:lang w:val="zh-CN"/>
        </w:rPr>
        <w:t>（四）自评质量</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我部门认真组织开展绩效自评工作，做到自评真实，部门整体支出自评准确率进一步提高。</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outlineLvl w:val="1"/>
        <w:rPr>
          <w:rFonts w:ascii="黑体" w:hAnsi="宋体" w:eastAsia="黑体" w:cs="宋体"/>
          <w:color w:val="auto"/>
          <w:kern w:val="0"/>
          <w:sz w:val="32"/>
          <w:szCs w:val="32"/>
          <w:highlight w:val="none"/>
          <w:shd w:val="clear" w:color="auto" w:fill="FFFFFF"/>
        </w:rPr>
      </w:pPr>
      <w:bookmarkStart w:id="78" w:name="_Toc25939"/>
      <w:r>
        <w:rPr>
          <w:rFonts w:hint="eastAsia" w:ascii="黑体" w:hAnsi="宋体" w:eastAsia="黑体" w:cs="宋体"/>
          <w:color w:val="auto"/>
          <w:kern w:val="0"/>
          <w:sz w:val="32"/>
          <w:szCs w:val="32"/>
          <w:highlight w:val="none"/>
          <w:shd w:val="clear" w:color="auto" w:fill="FFFFFF"/>
        </w:rPr>
        <w:t>四、评价结论及建议</w:t>
      </w:r>
      <w:bookmarkEnd w:id="78"/>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sz w:val="32"/>
          <w:szCs w:val="32"/>
          <w:lang w:val="zh-CN" w:eastAsia="zh-CN"/>
        </w:rPr>
      </w:pPr>
      <w:r>
        <w:rPr>
          <w:rFonts w:hint="eastAsia" w:ascii="仿宋_GB2312" w:hAnsi="仿宋_GB2312" w:eastAsia="仿宋_GB2312" w:cs="仿宋_GB2312"/>
          <w:b w:val="0"/>
          <w:bCs w:val="0"/>
          <w:color w:val="auto"/>
          <w:sz w:val="32"/>
          <w:szCs w:val="32"/>
          <w:lang w:val="zh-CN" w:eastAsia="zh-CN"/>
        </w:rPr>
        <w:t>（一）评价结论。</w:t>
      </w:r>
      <w:r>
        <w:rPr>
          <w:rFonts w:hint="eastAsia" w:ascii="仿宋_GB2312" w:hAnsi="仿宋_GB2312" w:eastAsia="仿宋_GB2312" w:cs="仿宋_GB2312"/>
          <w:b w:val="0"/>
          <w:bCs w:val="0"/>
          <w:color w:val="auto"/>
          <w:sz w:val="32"/>
          <w:szCs w:val="32"/>
          <w:lang w:val="en-US" w:eastAsia="zh-CN"/>
        </w:rPr>
        <w:t>我部门对照《2022年市级部门整体支出绩效评价指标体系》逐一核实并严格自评打分，部门整体支出绩效自评得分为97.66分。</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sz w:val="32"/>
          <w:szCs w:val="32"/>
          <w:lang w:val="en" w:eastAsia="zh-CN"/>
        </w:rPr>
      </w:pPr>
      <w:r>
        <w:rPr>
          <w:rFonts w:hint="eastAsia" w:ascii="仿宋_GB2312" w:hAnsi="仿宋_GB2312" w:eastAsia="仿宋_GB2312" w:cs="仿宋_GB2312"/>
          <w:b w:val="0"/>
          <w:bCs w:val="0"/>
          <w:color w:val="auto"/>
          <w:sz w:val="32"/>
          <w:szCs w:val="32"/>
          <w:lang w:val="zh-CN" w:eastAsia="zh-CN"/>
        </w:rPr>
        <w:t>（二）存在问题。</w:t>
      </w:r>
      <w:r>
        <w:rPr>
          <w:rFonts w:hint="eastAsia" w:ascii="仿宋_GB2312" w:hAnsi="仿宋_GB2312" w:eastAsia="仿宋_GB2312" w:cs="仿宋_GB2312"/>
          <w:b w:val="0"/>
          <w:bCs w:val="0"/>
          <w:color w:val="auto"/>
          <w:sz w:val="32"/>
          <w:szCs w:val="32"/>
          <w:lang w:val="en" w:eastAsia="zh-CN"/>
        </w:rPr>
        <w:t>预算绩效管理工作还不够规范，相关科室（直属单位）在预算编制和预算执行中的沟通协作程度还需进一步加强。</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zh-CN" w:eastAsia="zh-CN"/>
        </w:rPr>
        <w:t>（三）改进建议。</w:t>
      </w:r>
      <w:r>
        <w:rPr>
          <w:rFonts w:hint="eastAsia" w:ascii="仿宋_GB2312" w:hAnsi="仿宋_GB2312" w:eastAsia="仿宋_GB2312" w:cs="仿宋_GB2312"/>
          <w:b w:val="0"/>
          <w:bCs w:val="0"/>
          <w:color w:val="auto"/>
          <w:sz w:val="32"/>
          <w:szCs w:val="32"/>
          <w:lang w:val="en-US" w:eastAsia="zh-CN"/>
        </w:rPr>
        <w:t>强化部门整体支出绩效管理工作，加强对绩效管理工作的跟踪督查，实现绩效管理规范化、常态化，积极推动预算项目实施，确保项目绩效目标高质量完成，发挥资金的使用效益，加快部门预算支出进度，提高年度预算完成率。</w:t>
      </w:r>
    </w:p>
    <w:p>
      <w:pPr>
        <w:pStyle w:val="14"/>
        <w:keepNext w:val="0"/>
        <w:keepLines w:val="0"/>
        <w:pageBreakBefore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highlight w:val="none"/>
          <w:lang w:val="zh-CN" w:eastAsia="zh-CN"/>
        </w:rPr>
      </w:pPr>
      <w:r>
        <w:rPr>
          <w:rFonts w:hint="eastAsia" w:ascii="仿宋_GB2312" w:hAnsi="仿宋_GB2312" w:eastAsia="仿宋_GB2312" w:cs="仿宋_GB2312"/>
          <w:color w:val="auto"/>
          <w:sz w:val="32"/>
          <w:szCs w:val="32"/>
          <w:highlight w:val="none"/>
          <w:lang w:val="zh-CN" w:eastAsia="zh-CN"/>
        </w:rPr>
        <w:t>附表：</w:t>
      </w:r>
      <w:r>
        <w:rPr>
          <w:rFonts w:hint="eastAsia" w:ascii="仿宋_GB2312" w:hAnsi="仿宋_GB2312" w:eastAsia="仿宋_GB2312" w:cs="仿宋_GB2312"/>
          <w:color w:val="auto"/>
          <w:kern w:val="2"/>
          <w:sz w:val="32"/>
          <w:szCs w:val="32"/>
          <w:highlight w:val="none"/>
          <w:lang w:val="zh-CN" w:eastAsia="zh-CN" w:bidi="ar-SA"/>
        </w:rPr>
        <w:t>部门整体支出绩效目标自评表</w:t>
      </w:r>
      <w:r>
        <w:rPr>
          <w:rFonts w:hint="eastAsia" w:ascii="仿宋_GB2312" w:hAnsi="仿宋_GB2312" w:eastAsia="仿宋_GB2312" w:cs="仿宋_GB2312"/>
          <w:color w:val="auto"/>
          <w:sz w:val="32"/>
          <w:szCs w:val="32"/>
          <w:highlight w:val="none"/>
          <w:lang w:val="en-US" w:eastAsia="zh-CN"/>
        </w:rPr>
        <w:t>（2022年度）</w:t>
      </w: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14"/>
        <w:keepNext w:val="0"/>
        <w:keepLines w:val="0"/>
        <w:pageBreakBefore w:val="0"/>
        <w:numPr>
          <w:ilvl w:val="0"/>
          <w:numId w:val="0"/>
        </w:numPr>
        <w:kinsoku/>
        <w:wordWrap/>
        <w:overflowPunct/>
        <w:topLinePunct w:val="0"/>
        <w:autoSpaceDE/>
        <w:autoSpaceDN/>
        <w:bidi w:val="0"/>
        <w:spacing w:line="560" w:lineRule="exact"/>
        <w:textAlignment w:val="auto"/>
        <w:rPr>
          <w:rFonts w:hint="eastAsia" w:hAnsi="Times New Roman" w:cs="Times New Roman"/>
          <w:color w:val="auto"/>
          <w:sz w:val="32"/>
          <w:szCs w:val="32"/>
          <w:highlight w:val="none"/>
          <w:lang w:val="zh-CN" w:eastAsia="zh-CN"/>
        </w:rPr>
      </w:pPr>
    </w:p>
    <w:p>
      <w:pPr>
        <w:pStyle w:val="6"/>
        <w:rPr>
          <w:rFonts w:hint="eastAsia" w:hAnsi="宋体" w:cs="宋体"/>
          <w:color w:val="auto"/>
          <w:kern w:val="0"/>
          <w:sz w:val="32"/>
          <w:szCs w:val="32"/>
          <w:highlight w:val="none"/>
          <w:shd w:val="clear" w:color="auto" w:fill="FFFFFF"/>
          <w:lang w:val="zh-CN"/>
        </w:rPr>
      </w:pPr>
    </w:p>
    <w:p>
      <w:pPr>
        <w:pStyle w:val="6"/>
        <w:rPr>
          <w:rFonts w:hint="eastAsia" w:hAnsi="宋体" w:cs="宋体"/>
          <w:color w:val="auto"/>
          <w:kern w:val="0"/>
          <w:sz w:val="32"/>
          <w:szCs w:val="32"/>
          <w:highlight w:val="none"/>
          <w:shd w:val="clear" w:color="auto" w:fill="FFFFFF"/>
          <w:lang w:val="zh-CN"/>
        </w:rPr>
      </w:pPr>
    </w:p>
    <w:p>
      <w:pPr>
        <w:rPr>
          <w:rFonts w:hint="eastAsia" w:hAnsi="宋体" w:cs="宋体"/>
          <w:color w:val="auto"/>
          <w:kern w:val="0"/>
          <w:sz w:val="32"/>
          <w:szCs w:val="32"/>
          <w:highlight w:val="none"/>
          <w:shd w:val="clear" w:color="auto" w:fill="FFFFFF"/>
          <w:lang w:val="zh-CN"/>
        </w:rPr>
        <w:sectPr>
          <w:footerReference r:id="rId8" w:type="first"/>
          <w:footerReference r:id="rId7" w:type="default"/>
          <w:pgSz w:w="11906" w:h="16838"/>
          <w:pgMar w:top="1440" w:right="1800" w:bottom="1440" w:left="1800" w:header="851" w:footer="992" w:gutter="0"/>
          <w:pgNumType w:fmt="decimal" w:start="27"/>
          <w:cols w:space="425" w:num="1"/>
          <w:titlePg/>
          <w:docGrid w:type="lines" w:linePitch="312" w:charSpace="0"/>
        </w:sectPr>
      </w:pPr>
    </w:p>
    <w:p>
      <w:pPr>
        <w:pStyle w:val="2"/>
        <w:ind w:left="0" w:leftChars="0" w:firstLine="0" w:firstLineChars="0"/>
        <w:jc w:val="center"/>
        <w:rPr>
          <w:rFonts w:hint="eastAsia" w:ascii="仿宋_GB2312" w:hAnsi="仿宋_GB2312" w:eastAsia="仿宋_GB2312" w:cs="仿宋_GB2312"/>
          <w:color w:val="auto"/>
          <w:kern w:val="2"/>
          <w:sz w:val="32"/>
          <w:szCs w:val="32"/>
          <w:highlight w:val="none"/>
          <w:lang w:val="zh-CN" w:eastAsia="zh-CN" w:bidi="ar-SA"/>
        </w:rPr>
      </w:pPr>
      <w:r>
        <w:rPr>
          <w:rFonts w:hint="eastAsia" w:ascii="仿宋_GB2312" w:hAnsi="仿宋_GB2312" w:eastAsia="仿宋_GB2312" w:cs="仿宋_GB2312"/>
          <w:color w:val="auto"/>
          <w:kern w:val="2"/>
          <w:sz w:val="32"/>
          <w:szCs w:val="32"/>
          <w:highlight w:val="none"/>
          <w:lang w:val="zh-CN" w:eastAsia="zh-CN" w:bidi="ar-SA"/>
        </w:rPr>
        <w:t>部门整体支出绩效目标自评表（2022年度）</w:t>
      </w:r>
    </w:p>
    <w:tbl>
      <w:tblPr>
        <w:tblStyle w:val="15"/>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99"/>
        <w:gridCol w:w="545"/>
        <w:gridCol w:w="334"/>
        <w:gridCol w:w="1963"/>
        <w:gridCol w:w="1068"/>
        <w:gridCol w:w="757"/>
        <w:gridCol w:w="1813"/>
        <w:gridCol w:w="1862"/>
        <w:gridCol w:w="1363"/>
        <w:gridCol w:w="954"/>
        <w:gridCol w:w="519"/>
        <w:gridCol w:w="9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217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部门名称</w:t>
            </w:r>
          </w:p>
        </w:tc>
        <w:tc>
          <w:tcPr>
            <w:tcW w:w="1123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主要</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任务</w:t>
            </w:r>
          </w:p>
        </w:tc>
        <w:tc>
          <w:tcPr>
            <w:tcW w:w="87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任务名称</w:t>
            </w:r>
          </w:p>
        </w:tc>
        <w:tc>
          <w:tcPr>
            <w:tcW w:w="196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主要内容</w:t>
            </w:r>
          </w:p>
        </w:tc>
        <w:tc>
          <w:tcPr>
            <w:tcW w:w="550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预算金额（万元）</w:t>
            </w:r>
          </w:p>
        </w:tc>
        <w:tc>
          <w:tcPr>
            <w:tcW w:w="3771"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实际执行（万元）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96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总额</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16"/>
                <w:szCs w:val="16"/>
              </w:rPr>
            </w:pPr>
            <w:r>
              <w:rPr>
                <w:rFonts w:hint="eastAsia" w:ascii="宋体" w:hAnsi="宋体" w:eastAsia="宋体" w:cs="宋体"/>
                <w:i w:val="0"/>
                <w:color w:val="000000"/>
                <w:kern w:val="0"/>
                <w:sz w:val="16"/>
                <w:szCs w:val="16"/>
                <w:u w:val="none"/>
                <w:lang w:val="en-US" w:eastAsia="zh-CN" w:bidi="ar"/>
              </w:rPr>
              <w:t>财政拨款</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其他资金</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总额</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财政拨款</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其他资金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任务1</w:t>
            </w:r>
          </w:p>
        </w:tc>
        <w:tc>
          <w:tcPr>
            <w:tcW w:w="196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人员经费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1822.71</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16"/>
                <w:szCs w:val="16"/>
              </w:rPr>
            </w:pPr>
            <w:r>
              <w:rPr>
                <w:rFonts w:hint="eastAsia" w:ascii="宋体" w:hAnsi="宋体" w:eastAsia="宋体" w:cs="宋体"/>
                <w:i w:val="0"/>
                <w:color w:val="000000"/>
                <w:kern w:val="0"/>
                <w:sz w:val="16"/>
                <w:szCs w:val="16"/>
                <w:u w:val="none"/>
                <w:lang w:val="en-US" w:eastAsia="zh-CN" w:bidi="ar"/>
              </w:rPr>
              <w:t>1807.94</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14.77</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1791.87</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1785.58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6.28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任务2</w:t>
            </w:r>
          </w:p>
        </w:tc>
        <w:tc>
          <w:tcPr>
            <w:tcW w:w="196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日常公用经费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220.88</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16"/>
                <w:szCs w:val="16"/>
              </w:rPr>
            </w:pPr>
            <w:r>
              <w:rPr>
                <w:rFonts w:hint="eastAsia" w:ascii="宋体" w:hAnsi="宋体" w:eastAsia="宋体" w:cs="宋体"/>
                <w:i w:val="0"/>
                <w:color w:val="000000"/>
                <w:kern w:val="0"/>
                <w:sz w:val="16"/>
                <w:szCs w:val="16"/>
                <w:u w:val="none"/>
                <w:lang w:val="en-US" w:eastAsia="zh-CN" w:bidi="ar"/>
              </w:rPr>
              <w:t>220.81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0.07</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217.76</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217.76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任务3</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派驻纪检组专项工作经费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17.59</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16"/>
                <w:szCs w:val="16"/>
              </w:rPr>
            </w:pPr>
            <w:r>
              <w:rPr>
                <w:rFonts w:hint="eastAsia" w:ascii="宋体" w:hAnsi="宋体" w:eastAsia="宋体" w:cs="宋体"/>
                <w:i w:val="0"/>
                <w:color w:val="000000"/>
                <w:kern w:val="0"/>
                <w:sz w:val="16"/>
                <w:szCs w:val="16"/>
                <w:u w:val="none"/>
                <w:lang w:val="en-US" w:eastAsia="zh-CN" w:bidi="ar"/>
              </w:rPr>
              <w:t>17.59</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15.7</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任务4</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OA协同办公通信服务费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28.77</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16"/>
                <w:szCs w:val="16"/>
              </w:rPr>
            </w:pPr>
            <w:r>
              <w:rPr>
                <w:rFonts w:hint="eastAsia" w:ascii="宋体" w:hAnsi="宋体" w:eastAsia="宋体" w:cs="宋体"/>
                <w:i w:val="0"/>
                <w:color w:val="000000"/>
                <w:kern w:val="0"/>
                <w:sz w:val="16"/>
                <w:szCs w:val="16"/>
                <w:u w:val="none"/>
                <w:lang w:val="en-US" w:eastAsia="zh-CN" w:bidi="ar"/>
              </w:rPr>
              <w:t>28.77</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28.77</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28.77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任务5</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财政专项工作经费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273.07</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16"/>
                <w:szCs w:val="16"/>
              </w:rPr>
            </w:pPr>
            <w:r>
              <w:rPr>
                <w:rFonts w:hint="eastAsia" w:ascii="宋体" w:hAnsi="宋体" w:eastAsia="宋体" w:cs="宋体"/>
                <w:i w:val="0"/>
                <w:color w:val="000000"/>
                <w:kern w:val="0"/>
                <w:sz w:val="16"/>
                <w:szCs w:val="16"/>
                <w:u w:val="none"/>
                <w:lang w:val="en-US" w:eastAsia="zh-CN" w:bidi="ar"/>
              </w:rPr>
              <w:t>223.37</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49.7</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214.27</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13.48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任务6</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财政购买服务</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79.70</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16"/>
                <w:szCs w:val="16"/>
              </w:rPr>
            </w:pPr>
            <w:r>
              <w:rPr>
                <w:rFonts w:hint="eastAsia" w:ascii="宋体" w:hAnsi="宋体" w:eastAsia="宋体" w:cs="宋体"/>
                <w:i w:val="0"/>
                <w:color w:val="000000"/>
                <w:kern w:val="0"/>
                <w:sz w:val="16"/>
                <w:szCs w:val="16"/>
                <w:u w:val="none"/>
                <w:lang w:val="en-US" w:eastAsia="zh-CN" w:bidi="ar"/>
              </w:rPr>
              <w:t>79.7</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79.7</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79.7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任务7</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预算管理一体化系统运行维护</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16.00</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16"/>
                <w:szCs w:val="16"/>
              </w:rPr>
            </w:pPr>
            <w:r>
              <w:rPr>
                <w:rFonts w:hint="eastAsia" w:ascii="宋体" w:hAnsi="宋体" w:eastAsia="宋体" w:cs="宋体"/>
                <w:i w:val="0"/>
                <w:color w:val="000000"/>
                <w:kern w:val="0"/>
                <w:sz w:val="16"/>
                <w:szCs w:val="16"/>
                <w:u w:val="none"/>
                <w:lang w:val="en-US" w:eastAsia="zh-CN" w:bidi="ar"/>
              </w:rPr>
              <w:t>16</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任务8</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争取项目资金工作经费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36.00</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16"/>
                <w:szCs w:val="16"/>
              </w:rPr>
            </w:pPr>
            <w:r>
              <w:rPr>
                <w:rFonts w:hint="eastAsia" w:ascii="宋体" w:hAnsi="宋体" w:eastAsia="宋体" w:cs="宋体"/>
                <w:i w:val="0"/>
                <w:color w:val="000000"/>
                <w:kern w:val="0"/>
                <w:sz w:val="16"/>
                <w:szCs w:val="16"/>
                <w:u w:val="none"/>
                <w:lang w:val="en-US" w:eastAsia="zh-CN" w:bidi="ar"/>
              </w:rPr>
              <w:t>36</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22.63</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22.63</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任务9</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省级财政业务服务</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25.85</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16"/>
                <w:szCs w:val="16"/>
              </w:rPr>
            </w:pPr>
            <w:r>
              <w:rPr>
                <w:rFonts w:hint="eastAsia" w:ascii="宋体" w:hAnsi="宋体" w:eastAsia="宋体" w:cs="宋体"/>
                <w:i w:val="0"/>
                <w:color w:val="000000"/>
                <w:kern w:val="0"/>
                <w:sz w:val="16"/>
                <w:szCs w:val="16"/>
                <w:u w:val="none"/>
                <w:lang w:val="en-US" w:eastAsia="zh-CN" w:bidi="ar"/>
              </w:rPr>
              <w:t>25.85</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25.85</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25.85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任务10</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市级预算单位会计核算平台</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22.40</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16"/>
                <w:szCs w:val="16"/>
              </w:rPr>
            </w:pPr>
            <w:r>
              <w:rPr>
                <w:rFonts w:hint="eastAsia" w:ascii="宋体" w:hAnsi="宋体" w:eastAsia="宋体" w:cs="宋体"/>
                <w:i w:val="0"/>
                <w:color w:val="000000"/>
                <w:kern w:val="0"/>
                <w:sz w:val="16"/>
                <w:szCs w:val="16"/>
                <w:u w:val="none"/>
                <w:lang w:val="en-US" w:eastAsia="zh-CN" w:bidi="ar"/>
              </w:rPr>
              <w:t>22.4</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任务11</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乡村振兴工作经费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12.52</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16"/>
                <w:szCs w:val="16"/>
              </w:rPr>
            </w:pPr>
            <w:r>
              <w:rPr>
                <w:rFonts w:hint="eastAsia" w:ascii="宋体" w:hAnsi="宋体" w:eastAsia="宋体" w:cs="宋体"/>
                <w:i w:val="0"/>
                <w:color w:val="000000"/>
                <w:kern w:val="0"/>
                <w:sz w:val="16"/>
                <w:szCs w:val="16"/>
                <w:u w:val="none"/>
                <w:lang w:val="en-US" w:eastAsia="zh-CN" w:bidi="ar"/>
              </w:rPr>
              <w:t>12.52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12.52</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12.52</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任务12</w:t>
            </w:r>
          </w:p>
        </w:tc>
        <w:tc>
          <w:tcPr>
            <w:tcW w:w="196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财政专项会议培训费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5.07</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16"/>
                <w:szCs w:val="16"/>
              </w:rPr>
            </w:pPr>
            <w:r>
              <w:rPr>
                <w:rFonts w:hint="eastAsia" w:ascii="宋体" w:hAnsi="宋体" w:eastAsia="宋体" w:cs="宋体"/>
                <w:i w:val="0"/>
                <w:color w:val="000000"/>
                <w:kern w:val="0"/>
                <w:sz w:val="16"/>
                <w:szCs w:val="16"/>
                <w:u w:val="none"/>
                <w:lang w:val="en-US" w:eastAsia="zh-CN" w:bidi="ar"/>
              </w:rPr>
              <w:t>5.07</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5.07</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5.07</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任务13</w:t>
            </w:r>
          </w:p>
        </w:tc>
        <w:tc>
          <w:tcPr>
            <w:tcW w:w="196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网络安全及信息化建设</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74.21</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16"/>
                <w:szCs w:val="16"/>
              </w:rPr>
            </w:pPr>
            <w:r>
              <w:rPr>
                <w:rFonts w:hint="eastAsia" w:ascii="宋体" w:hAnsi="宋体" w:eastAsia="宋体" w:cs="宋体"/>
                <w:i w:val="0"/>
                <w:color w:val="000000"/>
                <w:kern w:val="0"/>
                <w:sz w:val="16"/>
                <w:szCs w:val="16"/>
                <w:u w:val="none"/>
                <w:lang w:val="en-US" w:eastAsia="zh-CN" w:bidi="ar"/>
              </w:rPr>
              <w:t>74.21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74.21</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74.21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任务14</w:t>
            </w:r>
          </w:p>
        </w:tc>
        <w:tc>
          <w:tcPr>
            <w:tcW w:w="19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财政管理设备采购经费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29.94</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16"/>
                <w:szCs w:val="16"/>
              </w:rPr>
            </w:pPr>
            <w:r>
              <w:rPr>
                <w:rFonts w:hint="eastAsia" w:ascii="宋体" w:hAnsi="宋体" w:eastAsia="宋体" w:cs="宋体"/>
                <w:i w:val="0"/>
                <w:color w:val="000000"/>
                <w:kern w:val="0"/>
                <w:sz w:val="16"/>
                <w:szCs w:val="16"/>
                <w:u w:val="none"/>
                <w:lang w:val="en-US" w:eastAsia="zh-CN" w:bidi="ar"/>
              </w:rPr>
              <w:t>29.94</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29.94</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29.94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任务15</w:t>
            </w:r>
          </w:p>
        </w:tc>
        <w:tc>
          <w:tcPr>
            <w:tcW w:w="196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评审工作经费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33.27</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16"/>
                <w:szCs w:val="16"/>
              </w:rPr>
            </w:pPr>
            <w:r>
              <w:rPr>
                <w:rFonts w:hint="eastAsia" w:ascii="宋体" w:hAnsi="宋体" w:eastAsia="宋体" w:cs="宋体"/>
                <w:i w:val="0"/>
                <w:color w:val="000000"/>
                <w:kern w:val="0"/>
                <w:sz w:val="16"/>
                <w:szCs w:val="16"/>
                <w:u w:val="none"/>
                <w:lang w:val="en-US" w:eastAsia="zh-CN" w:bidi="ar"/>
              </w:rPr>
              <w:t>12.81</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20.46</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14.15</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12.81</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任务16</w:t>
            </w:r>
          </w:p>
        </w:tc>
        <w:tc>
          <w:tcPr>
            <w:tcW w:w="196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政府性投资项目评审经费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458.54</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16"/>
                <w:szCs w:val="16"/>
              </w:rPr>
            </w:pPr>
            <w:r>
              <w:rPr>
                <w:rFonts w:hint="eastAsia" w:ascii="宋体" w:hAnsi="宋体" w:eastAsia="宋体" w:cs="宋体"/>
                <w:i w:val="0"/>
                <w:color w:val="000000"/>
                <w:kern w:val="0"/>
                <w:sz w:val="16"/>
                <w:szCs w:val="16"/>
                <w:u w:val="none"/>
                <w:lang w:val="en-US" w:eastAsia="zh-CN" w:bidi="ar"/>
              </w:rPr>
              <w:t>458.54</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458.54</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458.54</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任务17</w:t>
            </w:r>
          </w:p>
        </w:tc>
        <w:tc>
          <w:tcPr>
            <w:tcW w:w="196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评审专家聘用及工作经费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196.56</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16"/>
                <w:szCs w:val="16"/>
              </w:rPr>
            </w:pPr>
            <w:r>
              <w:rPr>
                <w:rFonts w:hint="eastAsia" w:ascii="宋体" w:hAnsi="宋体" w:eastAsia="宋体" w:cs="宋体"/>
                <w:i w:val="0"/>
                <w:color w:val="000000"/>
                <w:kern w:val="0"/>
                <w:sz w:val="16"/>
                <w:szCs w:val="16"/>
                <w:u w:val="none"/>
                <w:lang w:val="en-US" w:eastAsia="zh-CN" w:bidi="ar"/>
              </w:rPr>
              <w:t>196.56</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192.65</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192.65</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任务18</w:t>
            </w:r>
          </w:p>
        </w:tc>
        <w:tc>
          <w:tcPr>
            <w:tcW w:w="196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第三方绩效评价工作经费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sz w:val="16"/>
                <w:szCs w:val="16"/>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任务19</w:t>
            </w:r>
          </w:p>
        </w:tc>
        <w:tc>
          <w:tcPr>
            <w:tcW w:w="1963"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预算绩效管理工作经费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30.12</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16"/>
                <w:szCs w:val="16"/>
              </w:rPr>
            </w:pPr>
            <w:r>
              <w:rPr>
                <w:rFonts w:hint="eastAsia" w:ascii="宋体" w:hAnsi="宋体" w:eastAsia="宋体" w:cs="宋体"/>
                <w:i w:val="0"/>
                <w:color w:val="000000"/>
                <w:kern w:val="0"/>
                <w:sz w:val="16"/>
                <w:szCs w:val="16"/>
                <w:u w:val="none"/>
                <w:lang w:val="en-US" w:eastAsia="zh-CN" w:bidi="ar"/>
              </w:rPr>
              <w:t>30.12</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19.49</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19.49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任务20</w:t>
            </w:r>
          </w:p>
        </w:tc>
        <w:tc>
          <w:tcPr>
            <w:tcW w:w="1963"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公务车辆购置经费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sz w:val="16"/>
                <w:szCs w:val="16"/>
              </w:rPr>
            </w:pP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任务21</w:t>
            </w:r>
          </w:p>
        </w:tc>
        <w:tc>
          <w:tcPr>
            <w:tcW w:w="1963"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项目前期工作经费</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29.80</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16"/>
                <w:szCs w:val="16"/>
              </w:rPr>
            </w:pPr>
            <w:r>
              <w:rPr>
                <w:rFonts w:hint="eastAsia" w:ascii="宋体" w:hAnsi="宋体" w:eastAsia="宋体" w:cs="宋体"/>
                <w:i w:val="0"/>
                <w:color w:val="000000"/>
                <w:kern w:val="0"/>
                <w:sz w:val="16"/>
                <w:szCs w:val="16"/>
                <w:u w:val="none"/>
                <w:lang w:val="en-US" w:eastAsia="zh-CN" w:bidi="ar"/>
              </w:rPr>
              <w:t>29.8</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29.8</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29.8</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7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任务22</w:t>
            </w:r>
          </w:p>
        </w:tc>
        <w:tc>
          <w:tcPr>
            <w:tcW w:w="1963" w:type="dxa"/>
            <w:tcBorders>
              <w:top w:val="single" w:color="000000" w:sz="4" w:space="0"/>
              <w:left w:val="nil"/>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财政票据信息系统维护等专项资金</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36.89</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16"/>
                <w:szCs w:val="16"/>
              </w:rPr>
            </w:pPr>
            <w:r>
              <w:rPr>
                <w:rFonts w:hint="eastAsia" w:ascii="宋体" w:hAnsi="宋体" w:eastAsia="宋体" w:cs="宋体"/>
                <w:i w:val="0"/>
                <w:color w:val="000000"/>
                <w:kern w:val="0"/>
                <w:sz w:val="16"/>
                <w:szCs w:val="16"/>
                <w:u w:val="none"/>
                <w:lang w:val="en-US" w:eastAsia="zh-CN" w:bidi="ar"/>
              </w:rPr>
              <w:t>36.89</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36.89</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36.89</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842" w:type="dxa"/>
            <w:gridSpan w:val="3"/>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金额合计</w:t>
            </w:r>
          </w:p>
        </w:tc>
        <w:tc>
          <w:tcPr>
            <w:tcW w:w="10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3449.89</w:t>
            </w:r>
          </w:p>
        </w:tc>
        <w:tc>
          <w:tcPr>
            <w:tcW w:w="257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16"/>
                <w:szCs w:val="16"/>
              </w:rPr>
            </w:pPr>
            <w:r>
              <w:rPr>
                <w:rFonts w:hint="eastAsia" w:ascii="宋体" w:hAnsi="宋体" w:eastAsia="宋体" w:cs="宋体"/>
                <w:i w:val="0"/>
                <w:color w:val="000000"/>
                <w:kern w:val="0"/>
                <w:sz w:val="16"/>
                <w:szCs w:val="16"/>
                <w:u w:val="none"/>
                <w:lang w:val="en-US" w:eastAsia="zh-CN" w:bidi="ar"/>
              </w:rPr>
              <w:t>3364.89</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85.00</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3308.21</w:t>
            </w:r>
          </w:p>
        </w:tc>
        <w:tc>
          <w:tcPr>
            <w:tcW w:w="147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3287.11</w:t>
            </w:r>
          </w:p>
        </w:tc>
        <w:tc>
          <w:tcPr>
            <w:tcW w:w="9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总体</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目标</w:t>
            </w:r>
          </w:p>
        </w:tc>
        <w:tc>
          <w:tcPr>
            <w:tcW w:w="3910" w:type="dxa"/>
            <w:gridSpan w:val="4"/>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预期目标</w:t>
            </w:r>
          </w:p>
        </w:tc>
        <w:tc>
          <w:tcPr>
            <w:tcW w:w="8203" w:type="dxa"/>
            <w:gridSpan w:val="7"/>
            <w:tcBorders>
              <w:top w:val="single" w:color="000000" w:sz="4" w:space="0"/>
              <w:left w:val="single" w:color="000000" w:sz="4" w:space="0"/>
              <w:bottom w:val="single" w:color="000000" w:sz="4" w:space="0"/>
              <w:right w:val="nil"/>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4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910" w:type="dxa"/>
            <w:gridSpan w:val="4"/>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坚持以习近平新时代中国特色社会主义思想为指导，全面贯彻落实党的十九大和十九届历次全会精神，围绕中央经济工作会议“七项任务”，坚持稳中求进工作总基调，完整、准确、全面贯彻新发展理念，加快构建新发展格局，全面深化改革开放，坚持创新驱动发展，推动高质量发展，坚持以供给侧结构性改革为主线，统筹疫情防控和经济社会发展，继续做好“六稳”、“六保”工作，持续改善民生，着力稳定宏观经济大盘，保持社会大局稳定，迎接党的二十大胜利召开。</w:t>
            </w:r>
          </w:p>
        </w:tc>
        <w:tc>
          <w:tcPr>
            <w:tcW w:w="8203" w:type="dxa"/>
            <w:gridSpan w:val="7"/>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top"/>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我部门坚决贯彻党的二十大精神，坚持以习近平新时代中国特色社会主义思想为指引，认真落实市委市政府重大决策部署，全力以赴拼经济搞建设，始终保持全市经济运行平稳，为加快建设川陕甘结合部现代化中心城市提供了坚强的财政保障，2022年部门绩效目标任务全面完成。2022年，全市地方一般公共预算收入完成61.32亿元，同口径增长11.5%，全市一般公共预算支出302.76亿元，同口径增长10.8%。全市财政收入增速高于经济增长，圆满实现年度目标任务。全力向上争取政策资金，全力保障重大项目建设</w:t>
            </w:r>
            <w:r>
              <w:rPr>
                <w:rFonts w:hint="eastAsia" w:ascii="宋体" w:hAnsi="宋体" w:cs="宋体"/>
                <w:i w:val="0"/>
                <w:color w:val="000000"/>
                <w:kern w:val="0"/>
                <w:sz w:val="16"/>
                <w:szCs w:val="16"/>
                <w:u w:val="none"/>
                <w:lang w:val="en-US" w:eastAsia="zh-CN" w:bidi="ar"/>
              </w:rPr>
              <w:t>，</w:t>
            </w:r>
            <w:r>
              <w:rPr>
                <w:rFonts w:hint="eastAsia" w:ascii="宋体" w:hAnsi="宋体" w:eastAsia="宋体" w:cs="宋体"/>
                <w:i w:val="0"/>
                <w:color w:val="000000"/>
                <w:kern w:val="0"/>
                <w:sz w:val="16"/>
                <w:szCs w:val="16"/>
                <w:u w:val="none"/>
                <w:lang w:val="en-US" w:eastAsia="zh-CN" w:bidi="ar"/>
              </w:rPr>
              <w:t>全力助推工业、农业、服务业等产业经济发展。坚持聚财为民，充分保障民生实事，推进教育高地建设，守护群众生命安全，织密社会保障网络，财政保障民生事业水平进一步提升。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绩</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效</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标</w:t>
            </w: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一级指标</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二级指标</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三级指标</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指标值（包含数字及文字描述）</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实际完成指标值（包含数字及文字描述）</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部门自评得分</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财政部门科室复评得分</w:t>
            </w: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未完成原因及改进措施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22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指标1：全市一般公共预算财政收入增速</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指标2：全市民生支出占比</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65.2%</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指标3：向上争取资金增速</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18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13.9%</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c>
          <w:tcPr>
            <w:tcW w:w="519"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35"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指标4：评审项目</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东文宋体" w:hAnsi="东文宋体" w:eastAsia="东文宋体" w:cs="东文宋体"/>
                <w:i w:val="0"/>
                <w:color w:val="000000"/>
                <w:sz w:val="16"/>
                <w:szCs w:val="16"/>
                <w:u w:val="none"/>
              </w:rPr>
            </w:pPr>
            <w:r>
              <w:rPr>
                <w:rFonts w:hint="default" w:ascii="东文宋体" w:hAnsi="东文宋体" w:eastAsia="东文宋体" w:cs="东文宋体"/>
                <w:i w:val="0"/>
                <w:color w:val="000000"/>
                <w:kern w:val="0"/>
                <w:sz w:val="16"/>
                <w:szCs w:val="16"/>
                <w:u w:val="none"/>
                <w:lang w:val="en-US" w:eastAsia="zh-CN" w:bidi="ar"/>
              </w:rPr>
              <w:t>≥</w:t>
            </w:r>
            <w:r>
              <w:rPr>
                <w:rStyle w:val="37"/>
                <w:sz w:val="16"/>
                <w:szCs w:val="16"/>
                <w:lang w:val="en-US" w:eastAsia="zh-CN" w:bidi="ar"/>
              </w:rPr>
              <w:t>70个</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119个</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指标1：经济运行情况</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全市经济运行平稳</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全市经济运行平稳</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指标1：财政收支</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2022年底</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2022年按时完成目标任务。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指标2：民生保障</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2022年底</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2022年按时完成目标任务。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22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指标1：人员经费</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保障人员经费1791.87万元</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保障人员99人，人员经费支出1757.32万元。</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指标2：基本运转</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保障工作运转经费217.76万元</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保障了财政工作正常开展，并按要求进行了一般性支出压减。</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指标3：专项项目</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保障17个项目实施专项经费1298.58万元</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保障了20个项目实施。</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1个项目因下达时间较晚，在2023年实施。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指标1：资金保障</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壮大经济实力、增加财政收入；促进全市社会经济持续健康发展</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壮大经济实力、增加财政收入；促进全市社会经济持续健康发展</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9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指标1：民生保障</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资金按规定拨付到位，保障有关民生工作顺利开展。</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财政保障民生事业水平进一步提升</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9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指标2：保障重大项目建设</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将我市更多重大项目纳入国家、省相关规划和重点支持范围。</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58个项目纳入财政部PPP综合信息平台项目库</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指标1：资金使用效益</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合理配置使用资金，促进经济可持续发展。</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合理配置使用资金，促进经济可持续发展。</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指标</w:t>
            </w:r>
          </w:p>
        </w:tc>
        <w:tc>
          <w:tcPr>
            <w:tcW w:w="229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182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预算单位满意度</w:t>
            </w:r>
          </w:p>
        </w:tc>
        <w:tc>
          <w:tcPr>
            <w:tcW w:w="18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186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9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c>
          <w:tcPr>
            <w:tcW w:w="14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0"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部门（单位）自评结论</w:t>
            </w:r>
          </w:p>
        </w:tc>
        <w:tc>
          <w:tcPr>
            <w:tcW w:w="121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我部门坚决贯彻党的二十大精神，坚持以习近平新时代中国特色社会主义思想为指引，认真落实市委市政府重大决策部署，全力以赴拼经济搞建设，始终保持全市经济运行平稳，为加快建设川陕甘结合部现代化中心城市提供了坚强的财政保障，2022年部门绩效目标任务全面完成。通过自评，部门整体预算执行自评得分8分，绩效指标自评得分90分，部门整体支出绩效目标自评总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部门（单位）自评存在问题</w:t>
            </w:r>
          </w:p>
        </w:tc>
        <w:tc>
          <w:tcPr>
            <w:tcW w:w="121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预算绩效管理工作还需加强，绩效目标设置还不够科学。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部门（单位）自评改进措施</w:t>
            </w:r>
          </w:p>
        </w:tc>
        <w:tc>
          <w:tcPr>
            <w:tcW w:w="121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强化部门整体支出绩效管理工作，加强对绩效管理工作的跟踪督查，实现绩效管理规范化、常态化。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 w:hRule="atLeast"/>
        </w:trPr>
        <w:tc>
          <w:tcPr>
            <w:tcW w:w="12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财政部门对口科室复评结论及整改要求</w:t>
            </w:r>
          </w:p>
        </w:tc>
        <w:tc>
          <w:tcPr>
            <w:tcW w:w="12113"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单位项目负责人：</w:t>
            </w:r>
          </w:p>
        </w:tc>
        <w:tc>
          <w:tcPr>
            <w:tcW w:w="74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6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部门项目负责人：</w:t>
            </w:r>
          </w:p>
        </w:tc>
        <w:tc>
          <w:tcPr>
            <w:tcW w:w="744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3412"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财政部门科室负责人：</w:t>
            </w:r>
          </w:p>
        </w:tc>
      </w:tr>
    </w:tbl>
    <w:p>
      <w:pPr>
        <w:rPr>
          <w:rStyle w:val="19"/>
          <w:rFonts w:ascii="黑体" w:hAnsi="黑体" w:eastAsia="黑体"/>
          <w:b w:val="0"/>
          <w:color w:val="auto"/>
          <w:highlight w:val="none"/>
        </w:rPr>
      </w:pPr>
      <w:r>
        <w:rPr>
          <w:rFonts w:hint="default" w:hAnsi="宋体" w:cs="宋体"/>
          <w:color w:val="auto"/>
          <w:kern w:val="0"/>
          <w:sz w:val="32"/>
          <w:szCs w:val="32"/>
          <w:highlight w:val="none"/>
          <w:shd w:val="clear" w:color="auto" w:fill="FFFFFF"/>
          <w:lang w:val="en"/>
        </w:rPr>
        <w:br w:type="page"/>
      </w:r>
    </w:p>
    <w:p>
      <w:pPr>
        <w:widowControl/>
        <w:jc w:val="left"/>
        <w:rPr>
          <w:rStyle w:val="19"/>
          <w:rFonts w:ascii="黑体" w:hAnsi="黑体" w:eastAsia="黑体"/>
          <w:b w:val="0"/>
          <w:color w:val="auto"/>
          <w:highlight w:val="none"/>
        </w:rPr>
      </w:pPr>
    </w:p>
    <w:p>
      <w:pPr>
        <w:widowControl/>
        <w:jc w:val="center"/>
        <w:rPr>
          <w:rStyle w:val="19"/>
          <w:rFonts w:ascii="黑体" w:hAnsi="黑体" w:eastAsia="黑体"/>
          <w:b w:val="0"/>
          <w:color w:val="auto"/>
          <w:sz w:val="32"/>
          <w:szCs w:val="32"/>
          <w:highlight w:val="none"/>
        </w:rPr>
      </w:pPr>
      <w:bookmarkStart w:id="79" w:name="_Toc9314"/>
      <w:r>
        <w:rPr>
          <w:rStyle w:val="19"/>
          <w:rFonts w:hint="eastAsia" w:ascii="黑体" w:hAnsi="黑体" w:eastAsia="黑体"/>
          <w:b w:val="0"/>
          <w:color w:val="auto"/>
          <w:sz w:val="32"/>
          <w:szCs w:val="32"/>
          <w:highlight w:val="none"/>
        </w:rPr>
        <w:t>部门预算、专项资金预算项目支出绩效目标自评表（2022年度）</w:t>
      </w:r>
    </w:p>
    <w:bookmarkEnd w:id="79"/>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596"/>
        <w:gridCol w:w="1213"/>
        <w:gridCol w:w="1052"/>
        <w:gridCol w:w="1454"/>
        <w:gridCol w:w="502"/>
        <w:gridCol w:w="1167"/>
        <w:gridCol w:w="504"/>
        <w:gridCol w:w="1049"/>
        <w:gridCol w:w="730"/>
        <w:gridCol w:w="907"/>
        <w:gridCol w:w="1180"/>
        <w:gridCol w:w="20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8"/>
                <w:szCs w:val="18"/>
                <w:u w:val="none"/>
              </w:rPr>
            </w:pPr>
            <w:bookmarkStart w:id="80" w:name="_Toc15396618"/>
            <w:r>
              <w:rPr>
                <w:rFonts w:hint="eastAsia" w:ascii="宋体" w:hAnsi="宋体" w:eastAsia="宋体" w:cs="宋体"/>
                <w:b/>
                <w:i w:val="0"/>
                <w:color w:val="000000"/>
                <w:kern w:val="0"/>
                <w:sz w:val="18"/>
                <w:szCs w:val="18"/>
                <w:u w:val="none"/>
                <w:lang w:val="en-US" w:eastAsia="zh-CN" w:bidi="ar"/>
              </w:rPr>
              <w:t>项目名称</w:t>
            </w:r>
          </w:p>
        </w:tc>
        <w:tc>
          <w:tcPr>
            <w:tcW w:w="395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OA协同办公通信服务费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主管部门（盖章）</w:t>
            </w:r>
          </w:p>
        </w:tc>
        <w:tc>
          <w:tcPr>
            <w:tcW w:w="17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广元市财政局</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实施单位（盖章）</w:t>
            </w:r>
          </w:p>
        </w:tc>
        <w:tc>
          <w:tcPr>
            <w:tcW w:w="181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7" w:hRule="atLeast"/>
        </w:trPr>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17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22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8"/>
                <w:szCs w:val="18"/>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8"/>
                <w:szCs w:val="18"/>
                <w:u w:val="none"/>
              </w:rPr>
            </w:pPr>
          </w:p>
        </w:tc>
        <w:tc>
          <w:tcPr>
            <w:tcW w:w="174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确保OA协同办公软件正常使用，保障财政工作正常开展。</w:t>
            </w:r>
          </w:p>
        </w:tc>
        <w:tc>
          <w:tcPr>
            <w:tcW w:w="220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OA协同办公软件正常使用，切实保障了财政工作正常开展。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8" w:hRule="atLeast"/>
        </w:trPr>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395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主要保障全局干部职工实现广元市委、市政府、市级相关部门进行无缝对接，实现数据交互、信息共享等功能，确保OA内控协同办公平台系统基础设置、预算管理、收支管理、资产管理、合同管理、文档管理、公文管理、会议管理、人事管理、公共信息、办公用品管理、车辆管理等模块提供技术咨询和移动办公流量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8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28.77</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28.77</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6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1.预算执行率=预算执行数/调整后预算数，预算执行率未达到90%的需说明原因（100字以内）;2.年中发生预算调整的（追加或调减）</w:t>
            </w:r>
            <w:r>
              <w:rPr>
                <w:rFonts w:hint="eastAsia" w:ascii="宋体" w:hAnsi="宋体" w:cs="宋体"/>
                <w:i w:val="0"/>
                <w:color w:val="000000"/>
                <w:kern w:val="0"/>
                <w:sz w:val="18"/>
                <w:szCs w:val="18"/>
                <w:u w:val="none"/>
                <w:lang w:val="en-US" w:eastAsia="zh-CN" w:bidi="ar"/>
              </w:rPr>
              <w:t>，</w:t>
            </w:r>
            <w:r>
              <w:rPr>
                <w:rFonts w:hint="eastAsia" w:ascii="宋体" w:hAnsi="宋体" w:eastAsia="宋体" w:cs="宋体"/>
                <w:i w:val="0"/>
                <w:color w:val="000000"/>
                <w:kern w:val="0"/>
                <w:sz w:val="18"/>
                <w:szCs w:val="18"/>
                <w:u w:val="none"/>
                <w:lang w:val="en-US" w:eastAsia="zh-CN" w:bidi="ar"/>
              </w:rPr>
              <w:t>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28.77</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28.77</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80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6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数据流量</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系统正常使用率</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使用时效</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服务费用</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28.77</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8"/>
                <w:szCs w:val="18"/>
                <w:u w:val="none"/>
                <w:lang w:val="en-US"/>
              </w:rPr>
            </w:pPr>
            <w:r>
              <w:rPr>
                <w:rFonts w:hint="eastAsia" w:ascii="宋体" w:hAnsi="宋体" w:cs="宋体"/>
                <w:i w:val="0"/>
                <w:color w:val="000000"/>
                <w:kern w:val="0"/>
                <w:sz w:val="18"/>
                <w:szCs w:val="18"/>
                <w:u w:val="none"/>
                <w:lang w:val="en-US" w:eastAsia="zh-CN" w:bidi="ar"/>
              </w:rPr>
              <w:t>28.77</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生态效益指标</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节能降耗</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财政工作效率</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3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使用人员满意度</w:t>
            </w:r>
          </w:p>
        </w:tc>
        <w:tc>
          <w:tcPr>
            <w:tcW w:w="1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4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8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2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7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440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通过自评，该项目预算执行进度好，系统正常使用率达到100%，全力保障了财政工作的开展，圆满完成年度目标任务，自评得分100分。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440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项目绩效目标设置还不够量化和细化。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440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细化预算编制工作，提升项目绩效目标合理性。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财政部门对口科室复评结论及整改要求</w:t>
            </w:r>
          </w:p>
        </w:tc>
        <w:tc>
          <w:tcPr>
            <w:tcW w:w="4404"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w:t>
            </w:r>
          </w:p>
        </w:tc>
        <w:tc>
          <w:tcPr>
            <w:tcW w:w="283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283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spacing w:line="600" w:lineRule="exact"/>
        <w:jc w:val="left"/>
        <w:outlineLvl w:val="9"/>
        <w:rPr>
          <w:rFonts w:hint="eastAsia" w:ascii="黑体" w:hAnsi="黑体" w:eastAsia="黑体"/>
          <w:color w:val="auto"/>
          <w:sz w:val="32"/>
          <w:szCs w:val="32"/>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both"/>
        <w:outlineLvl w:val="9"/>
        <w:rPr>
          <w:rFonts w:hint="eastAsia" w:ascii="黑体" w:hAnsi="黑体" w:eastAsia="黑体"/>
          <w:color w:val="auto"/>
          <w:sz w:val="44"/>
          <w:szCs w:val="44"/>
          <w:highlight w:val="none"/>
        </w:rPr>
      </w:pPr>
    </w:p>
    <w:p>
      <w:pPr>
        <w:spacing w:line="600" w:lineRule="exact"/>
        <w:jc w:val="center"/>
        <w:outlineLvl w:val="0"/>
        <w:rPr>
          <w:rStyle w:val="19"/>
          <w:rFonts w:hint="eastAsia" w:ascii="黑体" w:hAnsi="黑体" w:eastAsia="黑体"/>
          <w:b w:val="0"/>
          <w:color w:val="auto"/>
          <w:sz w:val="32"/>
          <w:szCs w:val="32"/>
          <w:highlight w:val="none"/>
        </w:rPr>
      </w:pPr>
      <w:bookmarkStart w:id="81" w:name="_Toc32704"/>
      <w:r>
        <w:rPr>
          <w:rStyle w:val="19"/>
          <w:rFonts w:hint="eastAsia" w:ascii="黑体" w:hAnsi="黑体" w:eastAsia="黑体"/>
          <w:b w:val="0"/>
          <w:color w:val="auto"/>
          <w:sz w:val="32"/>
          <w:szCs w:val="32"/>
          <w:highlight w:val="none"/>
        </w:rPr>
        <w:t>部门预算、专项资金预算项目支出绩效目标自评表（2022年度）</w:t>
      </w:r>
      <w:bookmarkEnd w:id="81"/>
    </w:p>
    <w:p>
      <w:pPr>
        <w:pStyle w:val="2"/>
        <w:rPr>
          <w:rFonts w:hint="eastAsia"/>
        </w:rPr>
      </w:pPr>
    </w:p>
    <w:tbl>
      <w:tblPr>
        <w:tblStyle w:val="15"/>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81"/>
        <w:gridCol w:w="1201"/>
        <w:gridCol w:w="963"/>
        <w:gridCol w:w="1489"/>
        <w:gridCol w:w="697"/>
        <w:gridCol w:w="714"/>
        <w:gridCol w:w="604"/>
        <w:gridCol w:w="976"/>
        <w:gridCol w:w="612"/>
        <w:gridCol w:w="781"/>
        <w:gridCol w:w="1025"/>
        <w:gridCol w:w="30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项目名称</w:t>
            </w:r>
          </w:p>
        </w:tc>
        <w:tc>
          <w:tcPr>
            <w:tcW w:w="40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财政购买服务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9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主管部门（盖章）</w:t>
            </w:r>
          </w:p>
        </w:tc>
        <w:tc>
          <w:tcPr>
            <w:tcW w:w="16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实施单位（盖章）</w:t>
            </w:r>
          </w:p>
        </w:tc>
        <w:tc>
          <w:tcPr>
            <w:tcW w:w="204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项目基本情况</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1.项目年度目标完成情况</w:t>
            </w:r>
          </w:p>
        </w:tc>
        <w:tc>
          <w:tcPr>
            <w:tcW w:w="16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项目年度目标</w:t>
            </w:r>
          </w:p>
        </w:tc>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166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为全局干部职工顺利开展各项财政工作完成各项目标任务提供高质量的后勤保障</w:t>
            </w:r>
            <w:r>
              <w:rPr>
                <w:rFonts w:hint="eastAsia" w:ascii="宋体" w:hAnsi="宋体" w:cs="宋体"/>
                <w:i w:val="0"/>
                <w:color w:val="000000"/>
                <w:kern w:val="0"/>
                <w:sz w:val="16"/>
                <w:szCs w:val="16"/>
                <w:u w:val="none"/>
                <w:lang w:val="en-US" w:eastAsia="zh-CN" w:bidi="ar"/>
              </w:rPr>
              <w:t>，</w:t>
            </w:r>
            <w:r>
              <w:rPr>
                <w:rFonts w:hint="eastAsia" w:ascii="宋体" w:hAnsi="宋体" w:eastAsia="宋体" w:cs="宋体"/>
                <w:i w:val="0"/>
                <w:color w:val="000000"/>
                <w:kern w:val="0"/>
                <w:sz w:val="16"/>
                <w:szCs w:val="16"/>
                <w:u w:val="none"/>
                <w:lang w:val="en-US" w:eastAsia="zh-CN" w:bidi="ar"/>
              </w:rPr>
              <w:t>努力提升财政服务质量。</w:t>
            </w:r>
          </w:p>
        </w:tc>
        <w:tc>
          <w:tcPr>
            <w:tcW w:w="240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ind w:firstLine="320" w:firstLineChars="200"/>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为全局干部职工顺利开展各项财政工作完成各项目标任务提供高质量的后勤保障</w:t>
            </w:r>
            <w:r>
              <w:rPr>
                <w:rFonts w:hint="eastAsia" w:ascii="宋体" w:hAnsi="宋体" w:cs="宋体"/>
                <w:i w:val="0"/>
                <w:color w:val="000000"/>
                <w:kern w:val="0"/>
                <w:sz w:val="16"/>
                <w:szCs w:val="16"/>
                <w:u w:val="none"/>
                <w:lang w:val="en-US" w:eastAsia="zh-CN" w:bidi="ar"/>
              </w:rPr>
              <w:t>，</w:t>
            </w:r>
            <w:r>
              <w:rPr>
                <w:rFonts w:hint="eastAsia" w:ascii="宋体" w:hAnsi="宋体" w:eastAsia="宋体" w:cs="宋体"/>
                <w:i w:val="0"/>
                <w:color w:val="000000"/>
                <w:kern w:val="0"/>
                <w:sz w:val="16"/>
                <w:szCs w:val="16"/>
                <w:u w:val="none"/>
                <w:lang w:val="en-US" w:eastAsia="zh-CN" w:bidi="ar"/>
              </w:rPr>
              <w:t>努力提升财政服务质量。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2"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2.项目实施内容及过程概述</w:t>
            </w:r>
          </w:p>
        </w:tc>
        <w:tc>
          <w:tcPr>
            <w:tcW w:w="407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该项目属于政府采购项目，通过竞争性磋商方式采购的服务项目，采购程序符合管理规定，通过实施该项目保障了财政部门职能的充分发挥，一定程度节约了机关运行成本。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预算执行情况（10分）</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年度预算数（万元）</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年初预算</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调整后预算数</w:t>
            </w:r>
          </w:p>
        </w:tc>
        <w:tc>
          <w:tcPr>
            <w:tcW w:w="7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预算执行数</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预算执行率</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总额</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79.7</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79.7</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100</w:t>
            </w:r>
            <w:r>
              <w:rPr>
                <w:rFonts w:hint="eastAsia" w:ascii="宋体" w:hAnsi="宋体" w:eastAsia="宋体" w:cs="宋体"/>
                <w:i w:val="0"/>
                <w:color w:val="000000"/>
                <w:kern w:val="0"/>
                <w:sz w:val="16"/>
                <w:szCs w:val="16"/>
                <w:u w:val="none"/>
                <w:lang w:val="en-US" w:eastAsia="zh-CN" w:bidi="ar"/>
              </w:rPr>
              <w:t>%</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其中：财政资金</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79.7</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79.7</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100</w:t>
            </w:r>
            <w:r>
              <w:rPr>
                <w:rFonts w:hint="eastAsia" w:ascii="宋体" w:hAnsi="宋体" w:eastAsia="宋体" w:cs="宋体"/>
                <w:i w:val="0"/>
                <w:color w:val="000000"/>
                <w:kern w:val="0"/>
                <w:sz w:val="16"/>
                <w:szCs w:val="16"/>
                <w:u w:val="none"/>
                <w:lang w:val="en-US" w:eastAsia="zh-CN" w:bidi="ar"/>
              </w:rPr>
              <w:t>%</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财政专户管理资金</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单位资金</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其他资金</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5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4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绩效指标（90分）</w:t>
            </w: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一级指标</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二级指标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三级指标</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指标性质</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指标值</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度量单位</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完成值</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购买服务费</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79.7</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79.7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服务质量</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服务内容</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服务时效</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财政工作开展</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生态效益指标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服务环境</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职工满意度</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95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7"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部门（单位）自评结论</w:t>
            </w:r>
          </w:p>
        </w:tc>
        <w:tc>
          <w:tcPr>
            <w:tcW w:w="452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通过自评，该项目预算执行进度好，共完成服务内容8项，全力保障了财政工作的开展，确保圆满完成年度目标任务，自评得分100分。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部门（单位）自评存在问题</w:t>
            </w:r>
          </w:p>
        </w:tc>
        <w:tc>
          <w:tcPr>
            <w:tcW w:w="452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6"/>
                <w:szCs w:val="16"/>
                <w:u w:val="none"/>
              </w:rPr>
            </w:pPr>
            <w:r>
              <w:rPr>
                <w:rFonts w:hint="default" w:ascii="宋体" w:hAnsi="宋体" w:cs="宋体"/>
                <w:i w:val="0"/>
                <w:color w:val="000000"/>
                <w:sz w:val="16"/>
                <w:szCs w:val="16"/>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部门（单位）自评改进措施</w:t>
            </w:r>
          </w:p>
        </w:tc>
        <w:tc>
          <w:tcPr>
            <w:tcW w:w="452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6"/>
                <w:szCs w:val="16"/>
                <w:u w:val="none"/>
              </w:rPr>
            </w:pPr>
            <w:r>
              <w:rPr>
                <w:rFonts w:hint="default" w:ascii="宋体" w:hAnsi="宋体" w:cs="宋体"/>
                <w:i w:val="0"/>
                <w:color w:val="000000"/>
                <w:sz w:val="16"/>
                <w:szCs w:val="16"/>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财政部门对口科室复评结论及整改要求</w:t>
            </w:r>
          </w:p>
        </w:tc>
        <w:tc>
          <w:tcPr>
            <w:tcW w:w="452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单位项目负责人：</w:t>
            </w:r>
          </w:p>
        </w:tc>
        <w:tc>
          <w:tcPr>
            <w:tcW w:w="289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部门项目负责人：</w:t>
            </w:r>
          </w:p>
        </w:tc>
        <w:tc>
          <w:tcPr>
            <w:tcW w:w="289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财政部门科室负责人：</w:t>
            </w:r>
          </w:p>
        </w:tc>
      </w:tr>
    </w:tbl>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9"/>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bookmarkStart w:id="82" w:name="_Toc8816"/>
      <w:r>
        <w:rPr>
          <w:rStyle w:val="19"/>
          <w:rFonts w:hint="eastAsia" w:ascii="黑体" w:hAnsi="黑体" w:eastAsia="黑体"/>
          <w:b w:val="0"/>
          <w:color w:val="auto"/>
          <w:sz w:val="32"/>
          <w:szCs w:val="32"/>
          <w:highlight w:val="none"/>
        </w:rPr>
        <w:t>部门预算、专项资金预算项目支出绩效目标自评表（2022年度）</w:t>
      </w:r>
      <w:bookmarkEnd w:id="82"/>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4"/>
        <w:gridCol w:w="1374"/>
        <w:gridCol w:w="1105"/>
        <w:gridCol w:w="1341"/>
        <w:gridCol w:w="622"/>
        <w:gridCol w:w="891"/>
        <w:gridCol w:w="636"/>
        <w:gridCol w:w="864"/>
        <w:gridCol w:w="601"/>
        <w:gridCol w:w="746"/>
        <w:gridCol w:w="907"/>
        <w:gridCol w:w="30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0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项目名称</w:t>
            </w:r>
          </w:p>
        </w:tc>
        <w:tc>
          <w:tcPr>
            <w:tcW w:w="399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财政管理设备采购经费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10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主管部门（盖章）</w:t>
            </w:r>
          </w:p>
        </w:tc>
        <w:tc>
          <w:tcPr>
            <w:tcW w:w="17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实施单位（盖章）</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trPr>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项目基本情况</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1.项目年度目标完成情况</w:t>
            </w:r>
          </w:p>
        </w:tc>
        <w:tc>
          <w:tcPr>
            <w:tcW w:w="17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项目年度目标</w:t>
            </w:r>
          </w:p>
        </w:tc>
        <w:tc>
          <w:tcPr>
            <w:tcW w:w="228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17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完善财政工作办公环境，优化办公设备，提高工作效率，保证财政工作有序开展。</w:t>
            </w:r>
          </w:p>
        </w:tc>
        <w:tc>
          <w:tcPr>
            <w:tcW w:w="228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通过实施该项目吗，采购办公设备16台，进一步优化办公设备，推进了国产化设备替换工作，保障了财政工作有序开展。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2.项目实施内容及过程概述</w:t>
            </w:r>
          </w:p>
        </w:tc>
        <w:tc>
          <w:tcPr>
            <w:tcW w:w="399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项目严格按照规定实施，属于集采目录内的物品按照管理规定进行采购，均为保障财政工作开展必须配备的设备和物品，同时严格按规定审批及报销。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2" w:hRule="atLeast"/>
        </w:trPr>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预算执行情况（10分）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年度预算数（万元）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年初预算</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调整后预算数</w:t>
            </w:r>
          </w:p>
        </w:tc>
        <w:tc>
          <w:tcPr>
            <w:tcW w:w="7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预算执行数</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预算执行率</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总额</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29.94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sz w:val="16"/>
                <w:szCs w:val="16"/>
                <w:u w:val="none"/>
                <w:lang w:val="en-US" w:eastAsia="zh-CN"/>
              </w:rPr>
              <w:t>29.94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100</w:t>
            </w:r>
            <w:r>
              <w:rPr>
                <w:rFonts w:hint="eastAsia" w:ascii="宋体" w:hAnsi="宋体" w:eastAsia="宋体" w:cs="宋体"/>
                <w:i w:val="0"/>
                <w:color w:val="000000"/>
                <w:kern w:val="0"/>
                <w:sz w:val="16"/>
                <w:szCs w:val="16"/>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1.预算执行率=预算执行数/调整后预算数，预算执行率未达到90%的需说明原因（100字以内）;2.年中发生预算调整的（追加或调减）</w:t>
            </w:r>
            <w:r>
              <w:rPr>
                <w:rFonts w:hint="eastAsia" w:ascii="宋体" w:hAnsi="宋体" w:cs="宋体"/>
                <w:i w:val="0"/>
                <w:color w:val="000000"/>
                <w:kern w:val="0"/>
                <w:sz w:val="16"/>
                <w:szCs w:val="16"/>
                <w:u w:val="none"/>
                <w:lang w:val="en-US" w:eastAsia="zh-CN" w:bidi="ar"/>
              </w:rPr>
              <w:t>，</w:t>
            </w:r>
            <w:r>
              <w:rPr>
                <w:rFonts w:hint="eastAsia" w:ascii="宋体" w:hAnsi="宋体" w:eastAsia="宋体" w:cs="宋体"/>
                <w:i w:val="0"/>
                <w:color w:val="000000"/>
                <w:kern w:val="0"/>
                <w:sz w:val="16"/>
                <w:szCs w:val="16"/>
                <w:u w:val="none"/>
                <w:lang w:val="en-US" w:eastAsia="zh-CN" w:bidi="ar"/>
              </w:rPr>
              <w:t>应单独说明理由；3.其他资金包括、社会投入资金、银行贷款.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其中：财政资金</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29.94</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sz w:val="16"/>
                <w:szCs w:val="16"/>
                <w:u w:val="none"/>
                <w:lang w:val="en-US" w:eastAsia="zh-CN"/>
              </w:rPr>
              <w:t>29.94</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100</w:t>
            </w:r>
            <w:r>
              <w:rPr>
                <w:rFonts w:hint="eastAsia" w:ascii="宋体" w:hAnsi="宋体" w:eastAsia="宋体" w:cs="宋体"/>
                <w:i w:val="0"/>
                <w:color w:val="000000"/>
                <w:kern w:val="0"/>
                <w:sz w:val="16"/>
                <w:szCs w:val="16"/>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财政专户管理资金</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单位资金</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其他资金</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9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绩效指标（90分）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一级指标</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二级指标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三级指标</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指标性质</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指标值</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度量单位</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完成值</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打印纸采购</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54300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元</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sz w:val="16"/>
                <w:szCs w:val="16"/>
                <w:u w:val="none"/>
                <w:lang w:val="en-US" w:eastAsia="zh-CN"/>
              </w:rPr>
              <w:t>54300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执行中采购品目进行了调剂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工作完成及时率</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设备采购</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245100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元</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245100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执行中采购品目进行了调剂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设备质量</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设备数量</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台</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设备采购标准</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生态效益指标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设备环保要求</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50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职工满意度</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30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1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部门（单位）自评结论</w:t>
            </w:r>
          </w:p>
        </w:tc>
        <w:tc>
          <w:tcPr>
            <w:tcW w:w="450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通过实施该项目，进一步优化办公设备，推进了国产化设备替换工作，保障了财政工作有序开展。自评得分100分。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部门（单位）自评存在问题</w:t>
            </w:r>
          </w:p>
        </w:tc>
        <w:tc>
          <w:tcPr>
            <w:tcW w:w="450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6"/>
                <w:szCs w:val="16"/>
                <w:u w:val="none"/>
              </w:rPr>
            </w:pPr>
            <w:r>
              <w:rPr>
                <w:rFonts w:hint="default" w:ascii="宋体" w:hAnsi="宋体" w:cs="宋体"/>
                <w:i w:val="0"/>
                <w:color w:val="000000"/>
                <w:sz w:val="16"/>
                <w:szCs w:val="16"/>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8"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部门（单位）自评改进措施</w:t>
            </w:r>
          </w:p>
        </w:tc>
        <w:tc>
          <w:tcPr>
            <w:tcW w:w="450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6"/>
                <w:szCs w:val="16"/>
                <w:u w:val="none"/>
              </w:rPr>
            </w:pPr>
            <w:r>
              <w:rPr>
                <w:rFonts w:hint="default" w:ascii="宋体" w:hAnsi="宋体" w:cs="宋体"/>
                <w:i w:val="0"/>
                <w:color w:val="000000"/>
                <w:sz w:val="16"/>
                <w:szCs w:val="16"/>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财政部门对口科室复评结论及整改要求</w:t>
            </w:r>
          </w:p>
        </w:tc>
        <w:tc>
          <w:tcPr>
            <w:tcW w:w="450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单位项目负责人：</w:t>
            </w:r>
          </w:p>
        </w:tc>
        <w:tc>
          <w:tcPr>
            <w:tcW w:w="285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4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部门项目负责人：</w:t>
            </w:r>
          </w:p>
        </w:tc>
        <w:tc>
          <w:tcPr>
            <w:tcW w:w="285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财政部门科室负责人：</w:t>
            </w:r>
          </w:p>
        </w:tc>
      </w:tr>
    </w:tbl>
    <w:p>
      <w:pPr>
        <w:spacing w:line="600" w:lineRule="exact"/>
        <w:jc w:val="center"/>
        <w:outlineLvl w:val="9"/>
        <w:rPr>
          <w:rStyle w:val="19"/>
          <w:rFonts w:hint="eastAsia" w:ascii="黑体" w:hAnsi="黑体" w:eastAsia="黑体"/>
          <w:b w:val="0"/>
          <w:color w:val="auto"/>
          <w:sz w:val="32"/>
          <w:szCs w:val="32"/>
          <w:highlight w:val="none"/>
        </w:rPr>
      </w:pPr>
    </w:p>
    <w:p>
      <w:pPr>
        <w:spacing w:line="600" w:lineRule="exact"/>
        <w:jc w:val="center"/>
        <w:outlineLvl w:val="0"/>
        <w:rPr>
          <w:rFonts w:hint="eastAsia"/>
        </w:rPr>
      </w:pPr>
      <w:bookmarkStart w:id="83" w:name="_Toc24757"/>
      <w:r>
        <w:rPr>
          <w:rStyle w:val="19"/>
          <w:rFonts w:hint="eastAsia" w:ascii="黑体" w:hAnsi="黑体" w:eastAsia="黑体"/>
          <w:b w:val="0"/>
          <w:color w:val="auto"/>
          <w:sz w:val="32"/>
          <w:szCs w:val="32"/>
          <w:highlight w:val="none"/>
        </w:rPr>
        <w:t>部门预算、专项资金预算项目支出绩效目标自评表（2022年度）</w:t>
      </w:r>
      <w:bookmarkEnd w:id="83"/>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4"/>
        <w:gridCol w:w="1376"/>
        <w:gridCol w:w="1271"/>
        <w:gridCol w:w="1377"/>
        <w:gridCol w:w="564"/>
        <w:gridCol w:w="773"/>
        <w:gridCol w:w="612"/>
        <w:gridCol w:w="859"/>
        <w:gridCol w:w="604"/>
        <w:gridCol w:w="749"/>
        <w:gridCol w:w="910"/>
        <w:gridCol w:w="30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2" w:hRule="atLeast"/>
        </w:trPr>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项目名称</w:t>
            </w:r>
          </w:p>
        </w:tc>
        <w:tc>
          <w:tcPr>
            <w:tcW w:w="399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财政专项工作经费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5" w:hRule="atLeast"/>
        </w:trPr>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主管部门（盖章）</w:t>
            </w:r>
          </w:p>
        </w:tc>
        <w:tc>
          <w:tcPr>
            <w:tcW w:w="17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实施单位（盖章）</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项目基本情况</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1.项目年度目标完成情况</w:t>
            </w:r>
          </w:p>
        </w:tc>
        <w:tc>
          <w:tcPr>
            <w:tcW w:w="17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项目年度目标</w:t>
            </w:r>
          </w:p>
        </w:tc>
        <w:tc>
          <w:tcPr>
            <w:tcW w:w="22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2"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17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全面贯彻新发展理念，加快构建新发展格局，全面深化改革开放，坚持创新驱动发展，推动高质量发展，坚持以供给侧结构性改革为主线，统筹疫情防控和经济社会发展，继续做好“六稳”、“六保”工作，持续改善民生，着力稳定宏观经济大盘，保持社会大局稳定。</w:t>
            </w:r>
          </w:p>
        </w:tc>
        <w:tc>
          <w:tcPr>
            <w:tcW w:w="22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坚决贯彻党的二十大精神，坚持以习近平新时代中国特色社会主义思想为指引，认真落实市委市政府重大决策部署，全力以赴拼经济搞建设，始终保持全市经济运行平稳，为加快建设川陕甘结合部现代化中心城市提供了坚强的财政保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5"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2.项目实施内容及过程概述</w:t>
            </w:r>
          </w:p>
        </w:tc>
        <w:tc>
          <w:tcPr>
            <w:tcW w:w="399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项目实施，保障了预决算工作顺利完成，进一步规范了全市财政管理工作，确保了政府投资项目顺利实施。通过开展各类检查及调研，强力补齐短板，推动建设了保障有力、规范有序、改革创新、廉洁高效财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7" w:hRule="atLeast"/>
        </w:trPr>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预算执行情况（10分）</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年度预算数（万元）</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年初预算</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调整后预算数</w:t>
            </w:r>
          </w:p>
        </w:tc>
        <w:tc>
          <w:tcPr>
            <w:tcW w:w="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预算执行数</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预算执行率</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2"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总额</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273.07</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273.07</w:t>
            </w:r>
          </w:p>
        </w:tc>
        <w:tc>
          <w:tcPr>
            <w:tcW w:w="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214.27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78.47</w:t>
            </w:r>
            <w:r>
              <w:rPr>
                <w:rFonts w:hint="eastAsia" w:ascii="宋体" w:hAnsi="宋体" w:eastAsia="宋体" w:cs="宋体"/>
                <w:i w:val="0"/>
                <w:color w:val="000000"/>
                <w:kern w:val="0"/>
                <w:sz w:val="16"/>
                <w:szCs w:val="16"/>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1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lang w:eastAsia="zh-CN"/>
              </w:rPr>
            </w:pPr>
            <w:r>
              <w:rPr>
                <w:rFonts w:hint="eastAsia" w:ascii="宋体" w:hAnsi="宋体" w:cs="宋体"/>
                <w:i w:val="0"/>
                <w:color w:val="000000"/>
                <w:sz w:val="16"/>
                <w:szCs w:val="16"/>
                <w:u w:val="none"/>
                <w:lang w:eastAsia="zh-CN"/>
              </w:rPr>
              <w:t>因该项目中部分经费需结转到下年支付，因此当年没有全部支付。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其中：财政资金</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223.37</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223.37</w:t>
            </w:r>
          </w:p>
        </w:tc>
        <w:tc>
          <w:tcPr>
            <w:tcW w:w="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200.8</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财政专户管理资金</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单位资金</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2"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其他资金</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49.7</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49.7</w:t>
            </w:r>
          </w:p>
        </w:tc>
        <w:tc>
          <w:tcPr>
            <w:tcW w:w="72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13.47</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1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绩效指标（90分）</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一级指标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二级指标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三级指标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指标性质</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指标值</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度量单位</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完成值</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专项工作</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工作开展及完成</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工作完成及时率</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政府采购、监督检查、PPP项目经费、预决算执行、人事档案管理、电信网络服务、网站集约化等</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273.07</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214.27</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资金使用效益</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财政管理</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资金保障</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生态效益指标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生态项目</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4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5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预算单位满意度</w:t>
            </w:r>
          </w:p>
        </w:tc>
        <w:tc>
          <w:tcPr>
            <w:tcW w:w="2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30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98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1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部门（单位）自评结论</w:t>
            </w:r>
          </w:p>
        </w:tc>
        <w:tc>
          <w:tcPr>
            <w:tcW w:w="450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通过自评，该项目预算执行进度好，共完成专项工作32项，全力保障了财政工作的开展，推动建设了保障有力、规范有序、改革创新、廉洁高效财政，确保圆满完成年度目标任务，自评得分</w:t>
            </w:r>
            <w:r>
              <w:rPr>
                <w:rFonts w:hint="eastAsia" w:ascii="宋体" w:hAnsi="宋体" w:cs="宋体"/>
                <w:i w:val="0"/>
                <w:color w:val="000000"/>
                <w:kern w:val="0"/>
                <w:sz w:val="16"/>
                <w:szCs w:val="16"/>
                <w:u w:val="none"/>
                <w:lang w:val="en-US" w:eastAsia="zh-CN" w:bidi="ar"/>
              </w:rPr>
              <w:t>98</w:t>
            </w:r>
            <w:r>
              <w:rPr>
                <w:rFonts w:hint="eastAsia" w:ascii="宋体" w:hAnsi="宋体" w:eastAsia="宋体" w:cs="宋体"/>
                <w:i w:val="0"/>
                <w:color w:val="000000"/>
                <w:kern w:val="0"/>
                <w:sz w:val="16"/>
                <w:szCs w:val="16"/>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部门（单位）自评存在问题</w:t>
            </w:r>
          </w:p>
        </w:tc>
        <w:tc>
          <w:tcPr>
            <w:tcW w:w="450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项目测算标准有待细化，测算准确率有待提高。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部门（单位）自评改进措施</w:t>
            </w:r>
          </w:p>
        </w:tc>
        <w:tc>
          <w:tcPr>
            <w:tcW w:w="450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细化预算编制工作，提升预算编制准确度。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财政部门对口科室复评结论及整改要求</w:t>
            </w:r>
          </w:p>
        </w:tc>
        <w:tc>
          <w:tcPr>
            <w:tcW w:w="450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单位项目负责人：</w:t>
            </w:r>
          </w:p>
        </w:tc>
        <w:tc>
          <w:tcPr>
            <w:tcW w:w="279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2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部门项目负责人：</w:t>
            </w:r>
          </w:p>
        </w:tc>
        <w:tc>
          <w:tcPr>
            <w:tcW w:w="279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财政部门科室负责人：</w:t>
            </w:r>
          </w:p>
        </w:tc>
      </w:tr>
    </w:tbl>
    <w:p>
      <w:pPr>
        <w:spacing w:line="600" w:lineRule="exact"/>
        <w:jc w:val="center"/>
        <w:outlineLvl w:val="0"/>
        <w:rPr>
          <w:rFonts w:hint="eastAsia"/>
        </w:rPr>
      </w:pPr>
      <w:bookmarkStart w:id="84" w:name="_Toc9435"/>
      <w:r>
        <w:rPr>
          <w:rStyle w:val="19"/>
          <w:rFonts w:hint="eastAsia" w:ascii="黑体" w:hAnsi="黑体" w:eastAsia="黑体"/>
          <w:b w:val="0"/>
          <w:color w:val="auto"/>
          <w:sz w:val="32"/>
          <w:szCs w:val="32"/>
          <w:highlight w:val="none"/>
        </w:rPr>
        <w:t>部门预算、专项资金预算项目支出绩效目标自评表（2022年度）</w:t>
      </w:r>
      <w:bookmarkEnd w:id="84"/>
    </w:p>
    <w:tbl>
      <w:tblPr>
        <w:tblStyle w:val="15"/>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7"/>
        <w:gridCol w:w="1371"/>
        <w:gridCol w:w="1097"/>
        <w:gridCol w:w="1529"/>
        <w:gridCol w:w="588"/>
        <w:gridCol w:w="711"/>
        <w:gridCol w:w="668"/>
        <w:gridCol w:w="818"/>
        <w:gridCol w:w="649"/>
        <w:gridCol w:w="743"/>
        <w:gridCol w:w="904"/>
        <w:gridCol w:w="3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5" w:hRule="atLeast"/>
          <w:jc w:val="center"/>
        </w:trPr>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项目名称</w:t>
            </w:r>
          </w:p>
        </w:tc>
        <w:tc>
          <w:tcPr>
            <w:tcW w:w="40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财政专项会议培训费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 w:hRule="atLeast"/>
          <w:jc w:val="center"/>
        </w:trPr>
        <w:tc>
          <w:tcPr>
            <w:tcW w:w="99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主管部门（盖章）</w:t>
            </w:r>
          </w:p>
        </w:tc>
        <w:tc>
          <w:tcPr>
            <w:tcW w:w="17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实施单位（盖章）</w:t>
            </w:r>
          </w:p>
        </w:tc>
        <w:tc>
          <w:tcPr>
            <w:tcW w:w="198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3" w:hRule="atLeast"/>
          <w:jc w:val="center"/>
        </w:trPr>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项目基本情况</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1.项目年度目标完成情况</w:t>
            </w:r>
          </w:p>
        </w:tc>
        <w:tc>
          <w:tcPr>
            <w:tcW w:w="17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项目年度目标</w:t>
            </w:r>
          </w:p>
        </w:tc>
        <w:tc>
          <w:tcPr>
            <w:tcW w:w="22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7"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17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顺利开展各类财政业务工作会议及培训，完成财政年度目标，保证各项工作稳步推进。</w:t>
            </w:r>
          </w:p>
        </w:tc>
        <w:tc>
          <w:tcPr>
            <w:tcW w:w="228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保障PPP培训会议和政府债务管理政策培训工作开展。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2"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2.项目实施内容及过程概述</w:t>
            </w:r>
          </w:p>
        </w:tc>
        <w:tc>
          <w:tcPr>
            <w:tcW w:w="4001"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项目严格按照会议费管理规定执行，项目所产生费用符合报销范围，同时严格按照局《经费支出管理办法》进行申报及报销。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7" w:hRule="atLeast"/>
          <w:jc w:val="center"/>
        </w:trPr>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预算执行情况（10分）</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年度预算数（万元）</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年初预算</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调整后预算数</w:t>
            </w:r>
          </w:p>
        </w:tc>
        <w:tc>
          <w:tcPr>
            <w:tcW w:w="7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预算执行数</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预算执行率</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总额</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5.07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5.07</w:t>
            </w:r>
          </w:p>
        </w:tc>
        <w:tc>
          <w:tcPr>
            <w:tcW w:w="7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5.07</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highlight w:val="yellow"/>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其中：财政资金</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5.07</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5.07</w:t>
            </w:r>
          </w:p>
        </w:tc>
        <w:tc>
          <w:tcPr>
            <w:tcW w:w="7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5.07</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财政专户管理资金</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单位资金</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其他资金</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3" w:hRule="atLeast"/>
          <w:jc w:val="center"/>
        </w:trPr>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绩效指标（90分）</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一级指标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二级指标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指标性质</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指标值</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度量单位</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完成值</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会议及培训费用</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5.07</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5.07</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7"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业务培训</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财政工作开展</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会议数量</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会议及培训工作完成及时率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财政收入增加</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财政管理</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57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预算单位满意度</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6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4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301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2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部门（单位）自评结论</w:t>
            </w:r>
          </w:p>
        </w:tc>
        <w:tc>
          <w:tcPr>
            <w:tcW w:w="451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通过自评，该项目保障了财政专项会议和培训开展工作，推动建设了保障有力、规范有序、改革创新、廉洁高效财政，确保圆满完成年度目标任务，自评得分100分。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部门（单位）自评存在问题</w:t>
            </w:r>
          </w:p>
        </w:tc>
        <w:tc>
          <w:tcPr>
            <w:tcW w:w="451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项目测算标准有待细化，测算准确率有待提高。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部门（单位）自评改进措施</w:t>
            </w:r>
          </w:p>
        </w:tc>
        <w:tc>
          <w:tcPr>
            <w:tcW w:w="451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细化预算编制工作，提升预算编制准确度。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7"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财政部门对口科室复评结论及整改要求</w:t>
            </w:r>
          </w:p>
        </w:tc>
        <w:tc>
          <w:tcPr>
            <w:tcW w:w="451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1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单位项目负责人：</w:t>
            </w:r>
          </w:p>
        </w:tc>
        <w:tc>
          <w:tcPr>
            <w:tcW w:w="280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1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部门项目负责人：</w:t>
            </w:r>
          </w:p>
        </w:tc>
        <w:tc>
          <w:tcPr>
            <w:tcW w:w="2803"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财政部门科室负责人：</w:t>
            </w:r>
          </w:p>
        </w:tc>
      </w:tr>
    </w:tbl>
    <w:p>
      <w:pPr>
        <w:spacing w:line="600" w:lineRule="exact"/>
        <w:jc w:val="center"/>
        <w:outlineLvl w:val="9"/>
        <w:rPr>
          <w:rFonts w:hint="eastAsia" w:ascii="黑体" w:hAnsi="黑体" w:eastAsia="黑体"/>
          <w:color w:val="auto"/>
          <w:sz w:val="44"/>
          <w:szCs w:val="44"/>
          <w:highlight w:val="none"/>
        </w:rPr>
      </w:pPr>
    </w:p>
    <w:p>
      <w:pPr>
        <w:spacing w:line="600" w:lineRule="exact"/>
        <w:jc w:val="both"/>
        <w:outlineLvl w:val="9"/>
        <w:rPr>
          <w:rFonts w:hint="eastAsia" w:ascii="黑体" w:hAnsi="黑体" w:eastAsia="黑体"/>
          <w:color w:val="auto"/>
          <w:sz w:val="44"/>
          <w:szCs w:val="44"/>
          <w:highlight w:val="none"/>
        </w:rPr>
      </w:pPr>
    </w:p>
    <w:p>
      <w:pPr>
        <w:spacing w:line="600" w:lineRule="exact"/>
        <w:jc w:val="center"/>
        <w:outlineLvl w:val="9"/>
        <w:rPr>
          <w:rStyle w:val="19"/>
          <w:rFonts w:hint="eastAsia" w:ascii="黑体" w:hAnsi="黑体" w:eastAsia="黑体"/>
          <w:b w:val="0"/>
          <w:color w:val="auto"/>
          <w:sz w:val="32"/>
          <w:szCs w:val="32"/>
          <w:highlight w:val="none"/>
        </w:rPr>
      </w:pPr>
    </w:p>
    <w:p>
      <w:pPr>
        <w:spacing w:line="600" w:lineRule="exact"/>
        <w:jc w:val="center"/>
        <w:outlineLvl w:val="9"/>
        <w:rPr>
          <w:rStyle w:val="19"/>
          <w:rFonts w:hint="eastAsia" w:ascii="黑体" w:hAnsi="黑体" w:eastAsia="黑体"/>
          <w:b w:val="0"/>
          <w:color w:val="auto"/>
          <w:sz w:val="32"/>
          <w:szCs w:val="32"/>
          <w:highlight w:val="none"/>
        </w:rPr>
      </w:pPr>
    </w:p>
    <w:p>
      <w:pPr>
        <w:spacing w:line="600" w:lineRule="exact"/>
        <w:jc w:val="center"/>
        <w:outlineLvl w:val="0"/>
        <w:rPr>
          <w:rFonts w:hint="eastAsia"/>
        </w:rPr>
      </w:pPr>
      <w:bookmarkStart w:id="85" w:name="_Toc17849"/>
      <w:r>
        <w:rPr>
          <w:rStyle w:val="19"/>
          <w:rFonts w:hint="eastAsia" w:ascii="黑体" w:hAnsi="黑体" w:eastAsia="黑体"/>
          <w:b w:val="0"/>
          <w:color w:val="auto"/>
          <w:sz w:val="32"/>
          <w:szCs w:val="32"/>
          <w:highlight w:val="none"/>
        </w:rPr>
        <w:t>部门预算、专项资金预算项目支出绩效目标自评表（2022年度）</w:t>
      </w:r>
      <w:bookmarkEnd w:id="85"/>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4"/>
        <w:gridCol w:w="1234"/>
        <w:gridCol w:w="1129"/>
        <w:gridCol w:w="1433"/>
        <w:gridCol w:w="593"/>
        <w:gridCol w:w="888"/>
        <w:gridCol w:w="598"/>
        <w:gridCol w:w="958"/>
        <w:gridCol w:w="601"/>
        <w:gridCol w:w="743"/>
        <w:gridCol w:w="904"/>
        <w:gridCol w:w="30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项目名称</w:t>
            </w:r>
          </w:p>
        </w:tc>
        <w:tc>
          <w:tcPr>
            <w:tcW w:w="405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派驻纪检组专项工作经费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9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主管部门（盖章）</w:t>
            </w:r>
          </w:p>
        </w:tc>
        <w:tc>
          <w:tcPr>
            <w:tcW w:w="17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实施单位（盖章）</w:t>
            </w:r>
          </w:p>
        </w:tc>
        <w:tc>
          <w:tcPr>
            <w:tcW w:w="19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项目基本情况</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1.项目年度目标完成情况</w:t>
            </w:r>
          </w:p>
        </w:tc>
        <w:tc>
          <w:tcPr>
            <w:tcW w:w="17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项目年度目标</w:t>
            </w:r>
          </w:p>
        </w:tc>
        <w:tc>
          <w:tcPr>
            <w:tcW w:w="23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7"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173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落实“把执纪和执法贯通起来，实现党内监督和国家监察的有机统一”的要求，一体推进监督执纪和监察执法。坚持执纪必严，用铁的纪律强化日常管理和监督，严肃处理违反党章党规的行为，严格依规依纪依法行使权力、履行职责。</w:t>
            </w:r>
          </w:p>
        </w:tc>
        <w:tc>
          <w:tcPr>
            <w:tcW w:w="23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落实“把执纪和执法贯通起来，实现党内监督和国家监察的有机统一”的要求，一体推进监督执纪和监察执法。坚持执纪必严，用铁的纪律强化日常管理和监督，严肃处理违反党章党规的行为，严格依规依纪依法行使权力、履行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2.项目实施内容及过程概述</w:t>
            </w:r>
          </w:p>
        </w:tc>
        <w:tc>
          <w:tcPr>
            <w:tcW w:w="405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该项目保障了派驻纪检组专项工作开展，主要包括监督检查、办理案件和其他纪检费用支出，项目实施前严格按规定申报审批，完成后及时报销。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预算执行情况（10分）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年度预算数（万元）</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年初预算</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调整后预算数</w:t>
            </w:r>
          </w:p>
        </w:tc>
        <w:tc>
          <w:tcPr>
            <w:tcW w:w="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预算执行数</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预算执行率</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8"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总额</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17.59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17.59</w:t>
            </w:r>
          </w:p>
        </w:tc>
        <w:tc>
          <w:tcPr>
            <w:tcW w:w="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15.7</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89.26</w:t>
            </w:r>
            <w:r>
              <w:rPr>
                <w:rFonts w:hint="eastAsia" w:ascii="宋体" w:hAnsi="宋体" w:eastAsia="宋体" w:cs="宋体"/>
                <w:i w:val="0"/>
                <w:color w:val="000000"/>
                <w:kern w:val="0"/>
                <w:sz w:val="16"/>
                <w:szCs w:val="16"/>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highlight w:val="yellow"/>
                <w:u w:val="none"/>
                <w:lang w:eastAsia="zh-CN"/>
              </w:rPr>
            </w:pPr>
            <w:r>
              <w:rPr>
                <w:rFonts w:hint="eastAsia" w:ascii="宋体" w:hAnsi="宋体" w:cs="宋体"/>
                <w:i w:val="0"/>
                <w:color w:val="000000"/>
                <w:sz w:val="16"/>
                <w:szCs w:val="16"/>
                <w:highlight w:val="none"/>
                <w:u w:val="none"/>
                <w:lang w:eastAsia="zh-CN"/>
              </w:rPr>
              <w:t>因该项目部分经费需结转到下年支付，因此当年未全部支付。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其中：财政资金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17.59</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17.59</w:t>
            </w:r>
          </w:p>
        </w:tc>
        <w:tc>
          <w:tcPr>
            <w:tcW w:w="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15.7</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89.26</w:t>
            </w:r>
            <w:r>
              <w:rPr>
                <w:rFonts w:hint="eastAsia" w:ascii="宋体" w:hAnsi="宋体" w:eastAsia="宋体" w:cs="宋体"/>
                <w:i w:val="0"/>
                <w:color w:val="000000"/>
                <w:kern w:val="0"/>
                <w:sz w:val="16"/>
                <w:szCs w:val="16"/>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财政专户管理资金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单位资金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其他资金</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75"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绩效指标（90分）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一级指标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二级指标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三级指标</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指标性质</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指标值</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度量单位</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完成值</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工作效果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案件办理时间</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工作经费</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17.59</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15.7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监督检查</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经济发展环境</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可持续发展指标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纪检监察效果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经济发展</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被监督单位满意度</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0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部门（单位）自评结论</w:t>
            </w:r>
          </w:p>
        </w:tc>
        <w:tc>
          <w:tcPr>
            <w:tcW w:w="451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实施该项目，加大了监督执纪问责力度，不断推动5个综合监督单位党风廉政建设和反腐败工作取得新成效，政治生态持续向上向好，营造了风清气正的干事创业环境，为广元经济社会发展提供了有力保障。该项目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部门（单位）自评存在问题</w:t>
            </w:r>
          </w:p>
        </w:tc>
        <w:tc>
          <w:tcPr>
            <w:tcW w:w="451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项目绩效目标测算标准有待细化，测算准确率有待提高。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部门（单位）自评改进措施</w:t>
            </w:r>
          </w:p>
        </w:tc>
        <w:tc>
          <w:tcPr>
            <w:tcW w:w="451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强化预算编制管理，提高资金支出时效。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财政部门对口科室复评结论及整改要求</w:t>
            </w:r>
          </w:p>
        </w:tc>
        <w:tc>
          <w:tcPr>
            <w:tcW w:w="4513"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单位项目负责人：</w:t>
            </w:r>
          </w:p>
        </w:tc>
        <w:tc>
          <w:tcPr>
            <w:tcW w:w="287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2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部门项目负责人：</w:t>
            </w:r>
          </w:p>
        </w:tc>
        <w:tc>
          <w:tcPr>
            <w:tcW w:w="287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财政部门科室负责人：</w:t>
            </w:r>
          </w:p>
        </w:tc>
      </w:tr>
    </w:tbl>
    <w:p>
      <w:pPr>
        <w:rPr>
          <w:rStyle w:val="19"/>
          <w:rFonts w:hint="eastAsia" w:ascii="黑体" w:hAnsi="黑体" w:eastAsia="黑体"/>
          <w:b w:val="0"/>
          <w:color w:val="auto"/>
          <w:sz w:val="32"/>
          <w:szCs w:val="32"/>
          <w:highlight w:val="none"/>
        </w:rPr>
      </w:pPr>
      <w:bookmarkStart w:id="86" w:name="_Toc7323"/>
      <w:r>
        <w:rPr>
          <w:rStyle w:val="19"/>
          <w:rFonts w:hint="eastAsia" w:ascii="黑体" w:hAnsi="黑体" w:eastAsia="黑体"/>
          <w:b w:val="0"/>
          <w:color w:val="auto"/>
          <w:sz w:val="32"/>
          <w:szCs w:val="32"/>
          <w:highlight w:val="none"/>
        </w:rPr>
        <w:br w:type="page"/>
      </w:r>
    </w:p>
    <w:p>
      <w:pPr>
        <w:spacing w:line="600" w:lineRule="exact"/>
        <w:jc w:val="center"/>
        <w:outlineLvl w:val="0"/>
        <w:rPr>
          <w:rFonts w:hint="eastAsia"/>
        </w:rPr>
      </w:pPr>
      <w:r>
        <w:rPr>
          <w:rStyle w:val="19"/>
          <w:rFonts w:hint="eastAsia" w:ascii="黑体" w:hAnsi="黑体" w:eastAsia="黑体"/>
          <w:b w:val="0"/>
          <w:color w:val="auto"/>
          <w:sz w:val="32"/>
          <w:szCs w:val="32"/>
          <w:highlight w:val="none"/>
        </w:rPr>
        <w:t>部门预算、专项资金预算项目支出绩效目标自评表（2022年度）</w:t>
      </w:r>
      <w:bookmarkEnd w:id="86"/>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2"/>
        <w:gridCol w:w="1371"/>
        <w:gridCol w:w="1100"/>
        <w:gridCol w:w="1304"/>
        <w:gridCol w:w="604"/>
        <w:gridCol w:w="775"/>
        <w:gridCol w:w="689"/>
        <w:gridCol w:w="985"/>
        <w:gridCol w:w="601"/>
        <w:gridCol w:w="743"/>
        <w:gridCol w:w="904"/>
        <w:gridCol w:w="3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项目名称</w:t>
            </w:r>
          </w:p>
        </w:tc>
        <w:tc>
          <w:tcPr>
            <w:tcW w:w="39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省级财政业务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1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主管部门（盖章）</w:t>
            </w:r>
          </w:p>
        </w:tc>
        <w:tc>
          <w:tcPr>
            <w:tcW w:w="16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实施单位（盖章）</w:t>
            </w:r>
          </w:p>
        </w:tc>
        <w:tc>
          <w:tcPr>
            <w:tcW w:w="1965"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5" w:hRule="atLeast"/>
        </w:trPr>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项目基本情况</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1.项目年度目标完成情况</w:t>
            </w:r>
          </w:p>
        </w:tc>
        <w:tc>
          <w:tcPr>
            <w:tcW w:w="16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项目年度目标</w:t>
            </w:r>
          </w:p>
        </w:tc>
        <w:tc>
          <w:tcPr>
            <w:tcW w:w="23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16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保障省级财政业务系统顺利运转，确保财政工作正常开展。</w:t>
            </w:r>
          </w:p>
        </w:tc>
        <w:tc>
          <w:tcPr>
            <w:tcW w:w="233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保障了资产管理信息系统、债务管理系统和电子票据系统运行维护费等3个省级财政业务系统正常运行，确保了财政工作正常开展。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2.项目实施内容及过程概述</w:t>
            </w:r>
          </w:p>
        </w:tc>
        <w:tc>
          <w:tcPr>
            <w:tcW w:w="39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该项目严格按照“三重一大”管理规定在经党组审定同意后实施，严格按照合同约定付款。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trPr>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预算执行情况（10分）</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年度预算数（万元）</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年初预算</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调整后预算数</w:t>
            </w:r>
          </w:p>
        </w:tc>
        <w:tc>
          <w:tcPr>
            <w:tcW w:w="7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预算执行数</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预算执行率</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总额</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25.85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25.85</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100</w:t>
            </w:r>
            <w:r>
              <w:rPr>
                <w:rFonts w:hint="eastAsia" w:ascii="宋体" w:hAnsi="宋体" w:eastAsia="宋体" w:cs="宋体"/>
                <w:i w:val="0"/>
                <w:color w:val="000000"/>
                <w:kern w:val="0"/>
                <w:sz w:val="16"/>
                <w:szCs w:val="16"/>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其中：财政资金</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25.85</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25.85</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100</w:t>
            </w:r>
            <w:r>
              <w:rPr>
                <w:rFonts w:hint="eastAsia" w:ascii="宋体" w:hAnsi="宋体" w:eastAsia="宋体" w:cs="宋体"/>
                <w:i w:val="0"/>
                <w:color w:val="000000"/>
                <w:kern w:val="0"/>
                <w:sz w:val="16"/>
                <w:szCs w:val="16"/>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财政专户管理资金</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单位资金</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其他资金</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70"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绩效指标（90分）</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一级指标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二级指标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三级指标</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指标性质</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指标值</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度量单位</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完成值</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系统服务费用</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25.85</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25.85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系统运行</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服务时效</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省级管理系统</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财政工作</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48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系统运行满意度</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6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34"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1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部门（单位）自评结论</w:t>
            </w:r>
          </w:p>
        </w:tc>
        <w:tc>
          <w:tcPr>
            <w:tcW w:w="451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保障了资产管理信息系统、债务管理系统和电子票据系统运行维护费等3个省级财政业务系统正常运行，确保了财政工作正常开展，自评得分100分。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部门（单位）自评存在问题</w:t>
            </w:r>
          </w:p>
        </w:tc>
        <w:tc>
          <w:tcPr>
            <w:tcW w:w="451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项目测算标准有待细化，测算准确率有待提高。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部门（单位）自评改进措施</w:t>
            </w:r>
          </w:p>
        </w:tc>
        <w:tc>
          <w:tcPr>
            <w:tcW w:w="451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细化预算编制工作，提升预算编制准确度。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财政部门对口科室复评结论及整改要求</w:t>
            </w:r>
          </w:p>
        </w:tc>
        <w:tc>
          <w:tcPr>
            <w:tcW w:w="451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单位项目负责人：</w:t>
            </w:r>
          </w:p>
        </w:tc>
        <w:tc>
          <w:tcPr>
            <w:tcW w:w="287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2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部门项目负责人：</w:t>
            </w:r>
          </w:p>
        </w:tc>
        <w:tc>
          <w:tcPr>
            <w:tcW w:w="287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财政部门科室负责人：</w:t>
            </w:r>
          </w:p>
        </w:tc>
      </w:tr>
    </w:tbl>
    <w:p>
      <w:pPr>
        <w:spacing w:line="600" w:lineRule="exact"/>
        <w:jc w:val="both"/>
        <w:outlineLvl w:val="9"/>
        <w:rPr>
          <w:rFonts w:hint="eastAsia" w:ascii="黑体" w:hAnsi="黑体" w:eastAsia="黑体"/>
          <w:color w:val="auto"/>
          <w:sz w:val="44"/>
          <w:szCs w:val="44"/>
          <w:highlight w:val="none"/>
        </w:rPr>
      </w:pPr>
    </w:p>
    <w:p>
      <w:pPr>
        <w:spacing w:line="600" w:lineRule="exact"/>
        <w:jc w:val="both"/>
        <w:outlineLvl w:val="9"/>
        <w:rPr>
          <w:rFonts w:hint="eastAsia" w:ascii="黑体" w:hAnsi="黑体" w:eastAsia="黑体"/>
          <w:color w:val="auto"/>
          <w:sz w:val="44"/>
          <w:szCs w:val="44"/>
          <w:highlight w:val="none"/>
        </w:rPr>
      </w:pPr>
    </w:p>
    <w:p>
      <w:pPr>
        <w:spacing w:line="600" w:lineRule="exact"/>
        <w:jc w:val="center"/>
        <w:outlineLvl w:val="0"/>
        <w:rPr>
          <w:rFonts w:hint="eastAsia"/>
        </w:rPr>
      </w:pPr>
      <w:bookmarkStart w:id="87" w:name="_Toc10037"/>
      <w:r>
        <w:rPr>
          <w:rStyle w:val="19"/>
          <w:rFonts w:hint="eastAsia" w:ascii="黑体" w:hAnsi="黑体" w:eastAsia="黑体"/>
          <w:b w:val="0"/>
          <w:color w:val="auto"/>
          <w:sz w:val="32"/>
          <w:szCs w:val="32"/>
          <w:highlight w:val="none"/>
        </w:rPr>
        <w:t>部门预算、专项资金预算项目支出绩效目标自评表（2022年度）</w:t>
      </w:r>
      <w:bookmarkEnd w:id="87"/>
    </w:p>
    <w:tbl>
      <w:tblPr>
        <w:tblStyle w:val="15"/>
        <w:tblW w:w="499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6"/>
        <w:gridCol w:w="1374"/>
        <w:gridCol w:w="1097"/>
        <w:gridCol w:w="1315"/>
        <w:gridCol w:w="644"/>
        <w:gridCol w:w="942"/>
        <w:gridCol w:w="590"/>
        <w:gridCol w:w="872"/>
        <w:gridCol w:w="601"/>
        <w:gridCol w:w="743"/>
        <w:gridCol w:w="904"/>
        <w:gridCol w:w="30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jc w:val="center"/>
        </w:trPr>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项目名称</w:t>
            </w:r>
          </w:p>
        </w:tc>
        <w:tc>
          <w:tcPr>
            <w:tcW w:w="4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市级预算单位会计核算平台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3" w:hRule="atLeast"/>
          <w:jc w:val="center"/>
        </w:trPr>
        <w:tc>
          <w:tcPr>
            <w:tcW w:w="99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主管部门（盖章）</w:t>
            </w:r>
          </w:p>
        </w:tc>
        <w:tc>
          <w:tcPr>
            <w:tcW w:w="17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实施单位（盖章）</w:t>
            </w:r>
          </w:p>
        </w:tc>
        <w:tc>
          <w:tcPr>
            <w:tcW w:w="19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jc w:val="center"/>
        </w:trPr>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项目基本情况</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1.项目年度目标完成情况</w:t>
            </w:r>
          </w:p>
        </w:tc>
        <w:tc>
          <w:tcPr>
            <w:tcW w:w="17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项目年度目标</w:t>
            </w:r>
          </w:p>
        </w:tc>
        <w:tc>
          <w:tcPr>
            <w:tcW w:w="22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5"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171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完成市级236个预算单位软件日常运行维护，确保政府会计制度改革相关软件配套运行安全畅通。</w:t>
            </w:r>
          </w:p>
        </w:tc>
        <w:tc>
          <w:tcPr>
            <w:tcW w:w="22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完成市本级236个预算单位软件日常运行维护，保证政府会计制度改革相关软件配套运行安全畅通。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2.项目实施内容及过程概述</w:t>
            </w:r>
          </w:p>
        </w:tc>
        <w:tc>
          <w:tcPr>
            <w:tcW w:w="4000"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处理市本级236个预算单位日常会计核算平台软件操作和账务处理业务相关问题，协助财政局和审计局进行单位会计账务审计取数工作。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jc w:val="center"/>
        </w:trPr>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预算执行情况（10分）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年度预算数（万元）</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年初预算</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调整后预算数</w:t>
            </w:r>
          </w:p>
        </w:tc>
        <w:tc>
          <w:tcPr>
            <w:tcW w:w="8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预算执行数</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预算执行率</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总额</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其中：财政资金</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财政专户管理资金</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单位资金</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其他资金</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1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4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绩效指标（90分）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一级指标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二级指标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三级指标</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指标性质</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指标值</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度量单位</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完成值</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运行维护时限</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会计核算单位数量</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236</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运行维护费</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平台运行</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财政工作</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可持续发展指标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使用年限</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40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单位满意度</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30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部门（单位）自评结论</w:t>
            </w:r>
          </w:p>
        </w:tc>
        <w:tc>
          <w:tcPr>
            <w:tcW w:w="451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完成合同文件中的要求的实施工作及服务内容，该项目自评得分100分。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部门（单位）自评存在问题</w:t>
            </w:r>
          </w:p>
        </w:tc>
        <w:tc>
          <w:tcPr>
            <w:tcW w:w="451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6"/>
                <w:szCs w:val="16"/>
                <w:u w:val="none"/>
              </w:rPr>
            </w:pPr>
            <w:r>
              <w:rPr>
                <w:rFonts w:hint="default" w:ascii="宋体" w:hAnsi="宋体" w:cs="宋体"/>
                <w:i w:val="0"/>
                <w:color w:val="000000"/>
                <w:sz w:val="16"/>
                <w:szCs w:val="16"/>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部门（单位）自评改进措施</w:t>
            </w:r>
          </w:p>
        </w:tc>
        <w:tc>
          <w:tcPr>
            <w:tcW w:w="451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6"/>
                <w:szCs w:val="16"/>
                <w:u w:val="none"/>
              </w:rPr>
            </w:pPr>
            <w:r>
              <w:rPr>
                <w:rFonts w:hint="default" w:ascii="宋体" w:hAnsi="宋体" w:cs="宋体"/>
                <w:i w:val="0"/>
                <w:color w:val="000000"/>
                <w:sz w:val="16"/>
                <w:szCs w:val="16"/>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jc w:val="center"/>
        </w:trPr>
        <w:tc>
          <w:tcPr>
            <w:tcW w:w="4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财政部门对口科室复评结论及整改要求</w:t>
            </w:r>
          </w:p>
        </w:tc>
        <w:tc>
          <w:tcPr>
            <w:tcW w:w="451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1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单位项目负责人：</w:t>
            </w:r>
          </w:p>
        </w:tc>
        <w:tc>
          <w:tcPr>
            <w:tcW w:w="286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21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部门项目负责人：</w:t>
            </w:r>
          </w:p>
        </w:tc>
        <w:tc>
          <w:tcPr>
            <w:tcW w:w="286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jc w:val="center"/>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财政部门科室负责人：</w:t>
            </w:r>
          </w:p>
        </w:tc>
      </w:tr>
    </w:tbl>
    <w:p>
      <w:pPr>
        <w:spacing w:line="600" w:lineRule="exact"/>
        <w:jc w:val="both"/>
        <w:outlineLvl w:val="9"/>
        <w:rPr>
          <w:rFonts w:hint="eastAsia" w:ascii="黑体" w:hAnsi="黑体" w:eastAsia="黑体"/>
          <w:color w:val="auto"/>
          <w:sz w:val="44"/>
          <w:szCs w:val="44"/>
          <w:highlight w:val="none"/>
        </w:rPr>
      </w:pPr>
    </w:p>
    <w:p>
      <w:pPr>
        <w:spacing w:line="600" w:lineRule="exact"/>
        <w:jc w:val="center"/>
        <w:outlineLvl w:val="0"/>
        <w:rPr>
          <w:rFonts w:hint="eastAsia"/>
        </w:rPr>
      </w:pPr>
      <w:bookmarkStart w:id="88" w:name="_Toc26267"/>
      <w:r>
        <w:rPr>
          <w:rStyle w:val="19"/>
          <w:rFonts w:hint="eastAsia" w:ascii="黑体" w:hAnsi="黑体" w:eastAsia="黑体"/>
          <w:b w:val="0"/>
          <w:color w:val="auto"/>
          <w:sz w:val="32"/>
          <w:szCs w:val="32"/>
          <w:highlight w:val="none"/>
        </w:rPr>
        <w:t>部门预算、专项资金预算项目支出绩效目标自评表（2022年度）</w:t>
      </w:r>
      <w:bookmarkEnd w:id="88"/>
    </w:p>
    <w:tbl>
      <w:tblPr>
        <w:tblStyle w:val="15"/>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8"/>
        <w:gridCol w:w="1373"/>
        <w:gridCol w:w="950"/>
        <w:gridCol w:w="1481"/>
        <w:gridCol w:w="665"/>
        <w:gridCol w:w="799"/>
        <w:gridCol w:w="695"/>
        <w:gridCol w:w="864"/>
        <w:gridCol w:w="601"/>
        <w:gridCol w:w="746"/>
        <w:gridCol w:w="907"/>
        <w:gridCol w:w="30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1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项目名称</w:t>
            </w:r>
          </w:p>
        </w:tc>
        <w:tc>
          <w:tcPr>
            <w:tcW w:w="39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网络安全及信息化建设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7" w:hRule="atLeast"/>
        </w:trPr>
        <w:tc>
          <w:tcPr>
            <w:tcW w:w="1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主管部门（盖章）</w:t>
            </w:r>
          </w:p>
        </w:tc>
        <w:tc>
          <w:tcPr>
            <w:tcW w:w="17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实施单位（盖章）</w:t>
            </w:r>
          </w:p>
        </w:tc>
        <w:tc>
          <w:tcPr>
            <w:tcW w:w="19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5" w:hRule="atLeast"/>
        </w:trPr>
        <w:tc>
          <w:tcPr>
            <w:tcW w:w="4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项目基本情况</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1.项目年度目标完成情况</w:t>
            </w:r>
          </w:p>
        </w:tc>
        <w:tc>
          <w:tcPr>
            <w:tcW w:w="17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项目年度目标</w:t>
            </w:r>
          </w:p>
        </w:tc>
        <w:tc>
          <w:tcPr>
            <w:tcW w:w="22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3"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17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通过增加网络及安全设备对全市财政业务专网进行网络结构改造，保证全市财政各项系统安全有效运行，确保财政工作正常开展。</w:t>
            </w:r>
          </w:p>
        </w:tc>
        <w:tc>
          <w:tcPr>
            <w:tcW w:w="228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通过该项目顺利实施，确保了全市财政业务专网的安全，保障了全市财政业务系统安全、稳定运行，推动了全市经济高质量发展。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2.项目实施内容及过程概述</w:t>
            </w:r>
          </w:p>
        </w:tc>
        <w:tc>
          <w:tcPr>
            <w:tcW w:w="39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照《四川省财政业务专网网络安全接入规范》、《信息安全技术网络安全等级保护基本要求》和《四川省财政业务专网网络安全工作规范》（川财网信办〔2020〕1号）要求，项目主要开展保障财政业务专网安全建设，完成网络设备、安全设备、运维安全管理（堡垒机系统）、安全日志审计、主机安全管理、漏扫系统和县区（市级预算单位）接入点边界防护等设备及系统的搭建和部分设备的备份冗余匹配，所有安全设备均为国产化目录内设备</w:t>
            </w:r>
            <w:r>
              <w:rPr>
                <w:rFonts w:hint="eastAsia" w:ascii="宋体" w:hAnsi="宋体" w:cs="宋体"/>
                <w:i w:val="0"/>
                <w:color w:val="000000"/>
                <w:kern w:val="0"/>
                <w:sz w:val="16"/>
                <w:szCs w:val="16"/>
                <w:u w:val="none"/>
                <w:lang w:val="en-US" w:eastAsia="zh-CN" w:bidi="ar"/>
              </w:rPr>
              <w:t>，</w:t>
            </w:r>
            <w:r>
              <w:rPr>
                <w:rFonts w:hint="eastAsia" w:ascii="宋体" w:hAnsi="宋体" w:eastAsia="宋体" w:cs="宋体"/>
                <w:i w:val="0"/>
                <w:color w:val="000000"/>
                <w:kern w:val="0"/>
                <w:sz w:val="16"/>
                <w:szCs w:val="16"/>
                <w:u w:val="none"/>
                <w:lang w:val="en-US" w:eastAsia="zh-CN" w:bidi="ar"/>
              </w:rPr>
              <w:t>通过两期安全建设，确保我局财政业务专网达到三级等保要求。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预算执行情况（10分）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年度预算数（万元）</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年初预算</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调整后预算数</w:t>
            </w:r>
          </w:p>
        </w:tc>
        <w:tc>
          <w:tcPr>
            <w:tcW w:w="8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预算执行数</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预算执行率</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总额</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74.21</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74.21</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100</w:t>
            </w:r>
            <w:r>
              <w:rPr>
                <w:rFonts w:hint="eastAsia" w:ascii="宋体" w:hAnsi="宋体" w:eastAsia="宋体" w:cs="宋体"/>
                <w:i w:val="0"/>
                <w:color w:val="000000"/>
                <w:kern w:val="0"/>
                <w:sz w:val="16"/>
                <w:szCs w:val="16"/>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其中：财政资金</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74.21</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74.21</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100</w:t>
            </w:r>
            <w:r>
              <w:rPr>
                <w:rFonts w:hint="eastAsia" w:ascii="宋体" w:hAnsi="宋体" w:eastAsia="宋体" w:cs="宋体"/>
                <w:i w:val="0"/>
                <w:color w:val="000000"/>
                <w:kern w:val="0"/>
                <w:sz w:val="16"/>
                <w:szCs w:val="16"/>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财政专户管理资金</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单位资金</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其他资金</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0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绩效指标（90分）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6"/>
                <w:szCs w:val="16"/>
                <w:u w:val="none"/>
              </w:rPr>
            </w:pPr>
            <w:r>
              <w:rPr>
                <w:rFonts w:hint="eastAsia" w:ascii="宋体" w:hAnsi="宋体" w:eastAsia="宋体" w:cs="宋体"/>
                <w:b/>
                <w:bCs/>
                <w:i w:val="0"/>
                <w:color w:val="000000"/>
                <w:kern w:val="0"/>
                <w:sz w:val="16"/>
                <w:szCs w:val="16"/>
                <w:u w:val="none"/>
                <w:lang w:val="en-US" w:eastAsia="zh-CN" w:bidi="ar"/>
              </w:rPr>
              <w:t>一级指标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6"/>
                <w:szCs w:val="16"/>
                <w:u w:val="none"/>
              </w:rPr>
            </w:pPr>
            <w:r>
              <w:rPr>
                <w:rFonts w:hint="eastAsia" w:ascii="宋体" w:hAnsi="宋体" w:eastAsia="宋体" w:cs="宋体"/>
                <w:b/>
                <w:bCs/>
                <w:i w:val="0"/>
                <w:color w:val="000000"/>
                <w:kern w:val="0"/>
                <w:sz w:val="16"/>
                <w:szCs w:val="16"/>
                <w:u w:val="none"/>
                <w:lang w:val="en-US" w:eastAsia="zh-CN" w:bidi="ar"/>
              </w:rPr>
              <w:t>二级指标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6"/>
                <w:szCs w:val="16"/>
                <w:u w:val="none"/>
              </w:rPr>
            </w:pPr>
            <w:r>
              <w:rPr>
                <w:rFonts w:hint="eastAsia" w:ascii="宋体" w:hAnsi="宋体" w:eastAsia="宋体" w:cs="宋体"/>
                <w:b/>
                <w:bCs/>
                <w:i w:val="0"/>
                <w:color w:val="000000"/>
                <w:kern w:val="0"/>
                <w:sz w:val="16"/>
                <w:szCs w:val="16"/>
                <w:u w:val="none"/>
                <w:lang w:val="en-US" w:eastAsia="zh-CN" w:bidi="ar"/>
              </w:rPr>
              <w:t>三级指标</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6"/>
                <w:szCs w:val="16"/>
                <w:u w:val="none"/>
              </w:rPr>
            </w:pPr>
            <w:r>
              <w:rPr>
                <w:rFonts w:hint="eastAsia" w:ascii="宋体" w:hAnsi="宋体" w:eastAsia="宋体" w:cs="宋体"/>
                <w:b/>
                <w:bCs/>
                <w:i w:val="0"/>
                <w:color w:val="000000"/>
                <w:kern w:val="0"/>
                <w:sz w:val="16"/>
                <w:szCs w:val="16"/>
                <w:u w:val="none"/>
                <w:lang w:val="en-US" w:eastAsia="zh-CN" w:bidi="ar"/>
              </w:rPr>
              <w:t>指标性质</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6"/>
                <w:szCs w:val="16"/>
                <w:u w:val="none"/>
              </w:rPr>
            </w:pPr>
            <w:r>
              <w:rPr>
                <w:rFonts w:hint="eastAsia" w:ascii="宋体" w:hAnsi="宋体" w:eastAsia="宋体" w:cs="宋体"/>
                <w:b/>
                <w:bCs/>
                <w:i w:val="0"/>
                <w:color w:val="000000"/>
                <w:kern w:val="0"/>
                <w:sz w:val="16"/>
                <w:szCs w:val="16"/>
                <w:u w:val="none"/>
                <w:lang w:val="en-US" w:eastAsia="zh-CN" w:bidi="ar"/>
              </w:rPr>
              <w:t>指标值</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6"/>
                <w:szCs w:val="16"/>
                <w:u w:val="none"/>
              </w:rPr>
            </w:pPr>
            <w:r>
              <w:rPr>
                <w:rFonts w:hint="eastAsia" w:ascii="宋体" w:hAnsi="宋体" w:eastAsia="宋体" w:cs="宋体"/>
                <w:b/>
                <w:bCs/>
                <w:i w:val="0"/>
                <w:color w:val="000000"/>
                <w:kern w:val="0"/>
                <w:sz w:val="16"/>
                <w:szCs w:val="16"/>
                <w:u w:val="none"/>
                <w:lang w:val="en-US" w:eastAsia="zh-CN" w:bidi="ar"/>
              </w:rPr>
              <w:t>度量单位</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6"/>
                <w:szCs w:val="16"/>
                <w:u w:val="none"/>
              </w:rPr>
            </w:pPr>
            <w:r>
              <w:rPr>
                <w:rFonts w:hint="eastAsia" w:ascii="宋体" w:hAnsi="宋体" w:eastAsia="宋体" w:cs="宋体"/>
                <w:b/>
                <w:bCs/>
                <w:i w:val="0"/>
                <w:color w:val="000000"/>
                <w:kern w:val="0"/>
                <w:sz w:val="16"/>
                <w:szCs w:val="16"/>
                <w:u w:val="none"/>
                <w:lang w:val="en-US" w:eastAsia="zh-CN" w:bidi="ar"/>
              </w:rPr>
              <w:t>完成值</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6"/>
                <w:szCs w:val="16"/>
                <w:u w:val="none"/>
              </w:rPr>
            </w:pPr>
            <w:r>
              <w:rPr>
                <w:rFonts w:hint="eastAsia" w:ascii="宋体" w:hAnsi="宋体" w:eastAsia="宋体" w:cs="宋体"/>
                <w:b/>
                <w:bCs/>
                <w:i w:val="0"/>
                <w:color w:val="000000"/>
                <w:kern w:val="0"/>
                <w:sz w:val="16"/>
                <w:szCs w:val="16"/>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6"/>
                <w:szCs w:val="16"/>
                <w:u w:val="none"/>
              </w:rPr>
            </w:pPr>
            <w:r>
              <w:rPr>
                <w:rFonts w:hint="eastAsia" w:ascii="宋体" w:hAnsi="宋体" w:eastAsia="宋体" w:cs="宋体"/>
                <w:b/>
                <w:bCs/>
                <w:i w:val="0"/>
                <w:color w:val="000000"/>
                <w:kern w:val="0"/>
                <w:sz w:val="16"/>
                <w:szCs w:val="16"/>
                <w:u w:val="none"/>
                <w:lang w:val="en-US" w:eastAsia="zh-CN" w:bidi="ar"/>
              </w:rPr>
              <w:t>部门自评得分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6"/>
                <w:szCs w:val="16"/>
                <w:u w:val="none"/>
              </w:rPr>
            </w:pPr>
            <w:r>
              <w:rPr>
                <w:rFonts w:hint="eastAsia" w:ascii="宋体" w:hAnsi="宋体" w:eastAsia="宋体" w:cs="宋体"/>
                <w:b/>
                <w:bCs/>
                <w:i w:val="0"/>
                <w:color w:val="000000"/>
                <w:kern w:val="0"/>
                <w:sz w:val="16"/>
                <w:szCs w:val="16"/>
                <w:u w:val="none"/>
                <w:lang w:val="en-US" w:eastAsia="zh-CN" w:bidi="ar"/>
              </w:rPr>
              <w:t>财政部门科室复评得分</w:t>
            </w:r>
          </w:p>
        </w:tc>
        <w:tc>
          <w:tcPr>
            <w:tcW w:w="1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color w:val="000000"/>
                <w:sz w:val="16"/>
                <w:szCs w:val="16"/>
                <w:u w:val="none"/>
              </w:rPr>
            </w:pPr>
            <w:r>
              <w:rPr>
                <w:rFonts w:hint="eastAsia" w:ascii="宋体" w:hAnsi="宋体" w:eastAsia="宋体" w:cs="宋体"/>
                <w:b/>
                <w:bCs/>
                <w:i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金财网络信息化建设</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套</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信息系统及网站运行</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金财网络运行安全度</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0"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网络安全建设</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74.21</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74.21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财政工作</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5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系统运行满意度</w:t>
            </w:r>
          </w:p>
        </w:tc>
        <w:tc>
          <w:tcPr>
            <w:tcW w:w="2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2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1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部门（单位）自评结论</w:t>
            </w:r>
          </w:p>
        </w:tc>
        <w:tc>
          <w:tcPr>
            <w:tcW w:w="451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通过自评，该项目顺利实施，确保了全市财政业务专网的安全，保障了全市财政业务系统安全、稳定运行，推动了全市经济高质量发展。自评得分100分。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部门（单位）自评存在问题</w:t>
            </w:r>
          </w:p>
        </w:tc>
        <w:tc>
          <w:tcPr>
            <w:tcW w:w="451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项目测算标准有待细化，测算准确率有待提高。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部门（单位）自评改进措施</w:t>
            </w:r>
          </w:p>
        </w:tc>
        <w:tc>
          <w:tcPr>
            <w:tcW w:w="451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细化预算编制工作，提升预算编制准确度。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财政部门对口科室复评结论及整改要求</w:t>
            </w:r>
          </w:p>
        </w:tc>
        <w:tc>
          <w:tcPr>
            <w:tcW w:w="4511"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单位项目负责人：</w:t>
            </w:r>
          </w:p>
        </w:tc>
        <w:tc>
          <w:tcPr>
            <w:tcW w:w="284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5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部门项目负责人：</w:t>
            </w:r>
          </w:p>
        </w:tc>
        <w:tc>
          <w:tcPr>
            <w:tcW w:w="284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财政部门科室负责人：</w:t>
            </w:r>
          </w:p>
        </w:tc>
      </w:tr>
    </w:tbl>
    <w:p>
      <w:pPr>
        <w:spacing w:line="600" w:lineRule="exact"/>
        <w:jc w:val="center"/>
        <w:outlineLvl w:val="0"/>
        <w:rPr>
          <w:rStyle w:val="19"/>
          <w:rFonts w:hint="eastAsia" w:ascii="黑体" w:hAnsi="黑体" w:eastAsia="黑体"/>
          <w:b w:val="0"/>
          <w:color w:val="auto"/>
          <w:sz w:val="32"/>
          <w:szCs w:val="32"/>
          <w:highlight w:val="none"/>
        </w:rPr>
      </w:pPr>
      <w:bookmarkStart w:id="89" w:name="_Toc9212"/>
      <w:r>
        <w:rPr>
          <w:rStyle w:val="19"/>
          <w:rFonts w:hint="eastAsia" w:ascii="黑体" w:hAnsi="黑体" w:eastAsia="黑体"/>
          <w:b w:val="0"/>
          <w:color w:val="auto"/>
          <w:sz w:val="32"/>
          <w:szCs w:val="32"/>
          <w:highlight w:val="none"/>
        </w:rPr>
        <w:t>部门预算、专项资金预算项目支出绩效目标自评表（2022年度）</w:t>
      </w:r>
      <w:bookmarkEnd w:id="89"/>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2"/>
        <w:gridCol w:w="1371"/>
        <w:gridCol w:w="1100"/>
        <w:gridCol w:w="1433"/>
        <w:gridCol w:w="523"/>
        <w:gridCol w:w="869"/>
        <w:gridCol w:w="571"/>
        <w:gridCol w:w="960"/>
        <w:gridCol w:w="601"/>
        <w:gridCol w:w="743"/>
        <w:gridCol w:w="904"/>
        <w:gridCol w:w="302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7" w:hRule="atLeast"/>
        </w:trPr>
        <w:tc>
          <w:tcPr>
            <w:tcW w:w="1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项目名称</w:t>
            </w:r>
          </w:p>
        </w:tc>
        <w:tc>
          <w:tcPr>
            <w:tcW w:w="39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乡村振兴工作经费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0" w:hRule="atLeast"/>
        </w:trPr>
        <w:tc>
          <w:tcPr>
            <w:tcW w:w="1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主管部门（盖章）</w:t>
            </w:r>
          </w:p>
        </w:tc>
        <w:tc>
          <w:tcPr>
            <w:tcW w:w="16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实施单位（盖章）</w:t>
            </w:r>
          </w:p>
        </w:tc>
        <w:tc>
          <w:tcPr>
            <w:tcW w:w="19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trPr>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项目基本情况</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1.项目年度目标完成情况</w:t>
            </w:r>
          </w:p>
        </w:tc>
        <w:tc>
          <w:tcPr>
            <w:tcW w:w="16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项目年度目标</w:t>
            </w:r>
          </w:p>
        </w:tc>
        <w:tc>
          <w:tcPr>
            <w:tcW w:w="23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167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推进乡村振兴帮扶工作有序开展，做好产业规划，加强基础设施建设，着力夯实村党组织力量。</w:t>
            </w:r>
          </w:p>
        </w:tc>
        <w:tc>
          <w:tcPr>
            <w:tcW w:w="232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项目主要保障狮坪村和枣林村驻村工作顺利开展，有效保障了驻村工作开展。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5"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2.项目实施内容及过程概述</w:t>
            </w:r>
          </w:p>
        </w:tc>
        <w:tc>
          <w:tcPr>
            <w:tcW w:w="39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项目主要保障狮坪村和枣林村驻村工作顺利开展，具体包括驻村队员生活补助、房租费和办公费等工作经费，项目实施中按规定支付各项资金，有效保障了驻村工作开展。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6" w:hRule="atLeast"/>
        </w:trPr>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预算执行情况（10分）</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年度预算数（万元）</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年初预算</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调整后预算数</w:t>
            </w:r>
          </w:p>
        </w:tc>
        <w:tc>
          <w:tcPr>
            <w:tcW w:w="7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预算执行数</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预算执行率</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总额</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12.52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12.52</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其中：财政资金</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12.52</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12.52</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财政专户管理资金</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单位资金</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其他资金</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绩效指标（90分）</w:t>
            </w: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一级指标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二级指标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三级指标</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指标性质</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指标值</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度量单位</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完成值</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驻村时间</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22</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天/月</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工作队员</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工作要求</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工作经费</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12.52</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12.</w:t>
            </w:r>
            <w:r>
              <w:rPr>
                <w:rFonts w:hint="eastAsia" w:ascii="宋体" w:hAnsi="宋体" w:cs="宋体"/>
                <w:i w:val="0"/>
                <w:color w:val="000000"/>
                <w:kern w:val="0"/>
                <w:sz w:val="16"/>
                <w:szCs w:val="16"/>
                <w:u w:val="none"/>
                <w:lang w:val="en-US" w:eastAsia="zh-CN" w:bidi="ar"/>
              </w:rPr>
              <w:t>52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村集体产业发展</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可持续发展指标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产业持续发展</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帮扶对象满意度指标</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对口联系村满意度</w:t>
            </w:r>
          </w:p>
        </w:tc>
        <w:tc>
          <w:tcPr>
            <w:tcW w:w="1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5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0.95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30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1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部门（单位）自评结论</w:t>
            </w:r>
          </w:p>
        </w:tc>
        <w:tc>
          <w:tcPr>
            <w:tcW w:w="451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通过自评，该项目预算执行进度好，全力保障了驻村作的开展，圆满完成年度目标任务，自评得分100分。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部门（单位）自评存在问题</w:t>
            </w:r>
          </w:p>
        </w:tc>
        <w:tc>
          <w:tcPr>
            <w:tcW w:w="451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6"/>
                <w:szCs w:val="16"/>
                <w:u w:val="none"/>
              </w:rPr>
            </w:pPr>
            <w:r>
              <w:rPr>
                <w:rFonts w:hint="default" w:ascii="宋体" w:hAnsi="宋体" w:cs="宋体"/>
                <w:i w:val="0"/>
                <w:color w:val="000000"/>
                <w:sz w:val="16"/>
                <w:szCs w:val="16"/>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部门（单位）自评改进措施</w:t>
            </w:r>
          </w:p>
        </w:tc>
        <w:tc>
          <w:tcPr>
            <w:tcW w:w="451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6"/>
                <w:szCs w:val="16"/>
                <w:u w:val="none"/>
              </w:rPr>
            </w:pPr>
            <w:r>
              <w:rPr>
                <w:rFonts w:hint="default" w:ascii="宋体" w:hAnsi="宋体" w:cs="宋体"/>
                <w:i w:val="0"/>
                <w:color w:val="000000"/>
                <w:sz w:val="16"/>
                <w:szCs w:val="16"/>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财政部门对口科室复评结论及整改要求</w:t>
            </w:r>
          </w:p>
        </w:tc>
        <w:tc>
          <w:tcPr>
            <w:tcW w:w="451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单位项目负责人：</w:t>
            </w:r>
          </w:p>
        </w:tc>
        <w:tc>
          <w:tcPr>
            <w:tcW w:w="286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13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部门项目负责人：</w:t>
            </w:r>
          </w:p>
        </w:tc>
        <w:tc>
          <w:tcPr>
            <w:tcW w:w="286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财政部门科室负责人：</w:t>
            </w:r>
          </w:p>
        </w:tc>
      </w:tr>
    </w:tbl>
    <w:p>
      <w:pPr>
        <w:pStyle w:val="2"/>
        <w:rPr>
          <w:rFonts w:hint="eastAsia"/>
        </w:rPr>
      </w:pPr>
    </w:p>
    <w:p>
      <w:pPr>
        <w:spacing w:line="600" w:lineRule="exact"/>
        <w:jc w:val="both"/>
        <w:outlineLvl w:val="9"/>
        <w:rPr>
          <w:rStyle w:val="19"/>
          <w:rFonts w:hint="eastAsia" w:ascii="黑体" w:hAnsi="黑体" w:eastAsia="黑体"/>
          <w:b w:val="0"/>
          <w:color w:val="auto"/>
          <w:sz w:val="32"/>
          <w:szCs w:val="32"/>
          <w:highlight w:val="none"/>
        </w:rPr>
      </w:pPr>
    </w:p>
    <w:p>
      <w:pPr>
        <w:spacing w:line="600" w:lineRule="exact"/>
        <w:jc w:val="center"/>
        <w:outlineLvl w:val="0"/>
        <w:rPr>
          <w:rStyle w:val="19"/>
          <w:rFonts w:hint="eastAsia" w:ascii="黑体" w:hAnsi="黑体" w:eastAsia="黑体"/>
          <w:b w:val="0"/>
          <w:color w:val="auto"/>
          <w:sz w:val="32"/>
          <w:szCs w:val="32"/>
          <w:highlight w:val="none"/>
        </w:rPr>
      </w:pPr>
      <w:bookmarkStart w:id="90" w:name="_Toc28049"/>
      <w:r>
        <w:rPr>
          <w:rStyle w:val="19"/>
          <w:rFonts w:hint="eastAsia" w:ascii="黑体" w:hAnsi="黑体" w:eastAsia="黑体"/>
          <w:b w:val="0"/>
          <w:color w:val="auto"/>
          <w:sz w:val="32"/>
          <w:szCs w:val="32"/>
          <w:highlight w:val="none"/>
        </w:rPr>
        <w:t>部门预算、专项资金预算项目支出绩效目标自评表（2022年度）</w:t>
      </w:r>
      <w:bookmarkEnd w:id="90"/>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74"/>
        <w:gridCol w:w="1433"/>
        <w:gridCol w:w="1154"/>
        <w:gridCol w:w="1494"/>
        <w:gridCol w:w="539"/>
        <w:gridCol w:w="971"/>
        <w:gridCol w:w="630"/>
        <w:gridCol w:w="899"/>
        <w:gridCol w:w="633"/>
        <w:gridCol w:w="778"/>
        <w:gridCol w:w="950"/>
        <w:gridCol w:w="255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项目名称</w:t>
            </w:r>
          </w:p>
        </w:tc>
        <w:tc>
          <w:tcPr>
            <w:tcW w:w="395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预算管理一体化系统运行维护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0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主管部门（盖章）</w:t>
            </w:r>
          </w:p>
        </w:tc>
        <w:tc>
          <w:tcPr>
            <w:tcW w:w="17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实施单位（盖章）</w:t>
            </w:r>
          </w:p>
        </w:tc>
        <w:tc>
          <w:tcPr>
            <w:tcW w:w="183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项目基本情况</w:t>
            </w:r>
          </w:p>
        </w:tc>
        <w:tc>
          <w:tcPr>
            <w:tcW w:w="5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1.项目年度目标完成情况</w:t>
            </w:r>
          </w:p>
        </w:tc>
        <w:tc>
          <w:tcPr>
            <w:tcW w:w="17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项目年度目标</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0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178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推进预算管理一体化建设，以系统化思维整合预算管理全流程，建立统一的预算管理一体化规范，将管理规则嵌入信息系统，构建现代信息技术条件下“制度+技术”的管理机制，全面提高预算管理规范化、标准化和自动化水平。</w:t>
            </w:r>
          </w:p>
        </w:tc>
        <w:tc>
          <w:tcPr>
            <w:tcW w:w="216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实施预算管理一体化信息系统建设，将项目管理、预算编制、预算批复、预算调整和调剂、预算执行、会计核算、决算和报告、绩效管理、政府采购等内容全部纳入系统管理，在系统中实时记录和反映预算指标在预算管理各业务环节的来源、增减和状态，强化预算指标对执行的约束，真正做到支出以经批准的预算为依据，未列入预算的不得支出，能有效提高部门预算的完整性和各类资金的统筹能力，实现政府预算、部门预算之间以及上下级预算之间的业务环节无缝衔接和有效控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2.项目实施内容及过程概述</w:t>
            </w:r>
          </w:p>
        </w:tc>
        <w:tc>
          <w:tcPr>
            <w:tcW w:w="3953"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实施内容：1、负责预算管理一体化基础信息维护指导，根据局内相关科室业务需求设置维护相关报表。2、按要求维护预算编制口径计算公式，维护预算编制、预算调整调剂、预算执行相关报表。3、会计核算帐套、会计科目挂接科目的辅助核算项和机制凭证规则设置，会计报表定制维护。协助各预算单位基础设置、会计科目及核算体系、系统初始化、业务规则和配置等工作。4、按照要求完成政府采购执行、预算绩效指标维护，协助资金动态监控和“三保”支出监控等模块的后续建设。5、按照业务标准开展财政部门和预算单位规范化培训。6、协助财政部门对市级预算单位和县区财政部门进行系统的问题的解决和答凝，安排3-5人在指定办公地点驻局工作12个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预算执行情况（10分）</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年度预算数（万元）</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年初预算</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调整后预算数</w:t>
            </w:r>
          </w:p>
        </w:tc>
        <w:tc>
          <w:tcPr>
            <w:tcW w:w="7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预算执行数</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预算执行率</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总额</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其中：财政资金</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财政专户管理资金</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单位资金</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其他资金</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绩效指标（90分）</w:t>
            </w: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一级指标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二级指标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三级指标</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指标性质</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指标值</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度量单位</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完成值</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使用单位</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240</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系统运行质量</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运行维护时效</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运维费用</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16</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节约资金</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资金管理成效</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4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5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系统运行满意度</w:t>
            </w:r>
          </w:p>
        </w:tc>
        <w:tc>
          <w:tcPr>
            <w:tcW w:w="1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6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35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9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部门（单位）自评结论</w:t>
            </w:r>
          </w:p>
        </w:tc>
        <w:tc>
          <w:tcPr>
            <w:tcW w:w="448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完成招标文件中的要求的实施工作及服务内容</w:t>
            </w:r>
            <w:r>
              <w:rPr>
                <w:rFonts w:hint="eastAsia" w:ascii="宋体" w:hAnsi="宋体" w:cs="宋体"/>
                <w:i w:val="0"/>
                <w:color w:val="000000"/>
                <w:kern w:val="0"/>
                <w:sz w:val="16"/>
                <w:szCs w:val="16"/>
                <w:u w:val="none"/>
                <w:lang w:val="en-US" w:eastAsia="zh-CN" w:bidi="ar"/>
              </w:rPr>
              <w:t>，</w:t>
            </w:r>
            <w:r>
              <w:rPr>
                <w:rFonts w:hint="eastAsia" w:ascii="宋体" w:hAnsi="宋体" w:eastAsia="宋体" w:cs="宋体"/>
                <w:i w:val="0"/>
                <w:color w:val="000000"/>
                <w:kern w:val="0"/>
                <w:sz w:val="16"/>
                <w:szCs w:val="16"/>
                <w:u w:val="none"/>
                <w:lang w:val="en-US" w:eastAsia="zh-CN" w:bidi="ar"/>
              </w:rPr>
              <w:t>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部门（单位）自评存在问题</w:t>
            </w:r>
          </w:p>
        </w:tc>
        <w:tc>
          <w:tcPr>
            <w:tcW w:w="448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6"/>
                <w:szCs w:val="16"/>
                <w:u w:val="none"/>
              </w:rPr>
            </w:pPr>
            <w:r>
              <w:rPr>
                <w:rFonts w:hint="default" w:ascii="宋体" w:hAnsi="宋体" w:cs="宋体"/>
                <w:i w:val="0"/>
                <w:color w:val="000000"/>
                <w:sz w:val="16"/>
                <w:szCs w:val="16"/>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3"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部门（单位）自评改进措施</w:t>
            </w:r>
          </w:p>
        </w:tc>
        <w:tc>
          <w:tcPr>
            <w:tcW w:w="448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6"/>
                <w:szCs w:val="16"/>
                <w:u w:val="none"/>
              </w:rPr>
            </w:pPr>
            <w:r>
              <w:rPr>
                <w:rFonts w:hint="default" w:ascii="宋体" w:hAnsi="宋体" w:cs="宋体"/>
                <w:i w:val="0"/>
                <w:color w:val="000000"/>
                <w:sz w:val="16"/>
                <w:szCs w:val="16"/>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8" w:hRule="atLeast"/>
        </w:trPr>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财政部门对口科室复评结论及整改要求</w:t>
            </w:r>
          </w:p>
        </w:tc>
        <w:tc>
          <w:tcPr>
            <w:tcW w:w="448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单位项目负责人：</w:t>
            </w:r>
          </w:p>
        </w:tc>
        <w:tc>
          <w:tcPr>
            <w:tcW w:w="27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3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部门项目负责人：</w:t>
            </w:r>
          </w:p>
        </w:tc>
        <w:tc>
          <w:tcPr>
            <w:tcW w:w="276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财政部门科室负责人：</w:t>
            </w:r>
          </w:p>
        </w:tc>
      </w:tr>
    </w:tbl>
    <w:p>
      <w:pPr>
        <w:spacing w:line="600" w:lineRule="exact"/>
        <w:jc w:val="center"/>
        <w:outlineLvl w:val="0"/>
        <w:rPr>
          <w:rStyle w:val="19"/>
          <w:rFonts w:hint="eastAsia" w:ascii="黑体" w:hAnsi="黑体" w:eastAsia="黑体"/>
          <w:b w:val="0"/>
          <w:color w:val="auto"/>
          <w:sz w:val="32"/>
          <w:szCs w:val="32"/>
          <w:highlight w:val="none"/>
        </w:rPr>
      </w:pPr>
      <w:bookmarkStart w:id="91" w:name="_Toc28248"/>
      <w:r>
        <w:rPr>
          <w:rStyle w:val="19"/>
          <w:rFonts w:hint="eastAsia" w:ascii="黑体" w:hAnsi="黑体" w:eastAsia="黑体"/>
          <w:b w:val="0"/>
          <w:color w:val="auto"/>
          <w:sz w:val="32"/>
          <w:szCs w:val="32"/>
          <w:highlight w:val="none"/>
        </w:rPr>
        <w:t>部门预算、专项资金预算项目支出绩效目标自评表（2022年度）</w:t>
      </w:r>
      <w:bookmarkEnd w:id="91"/>
    </w:p>
    <w:tbl>
      <w:tblPr>
        <w:tblStyle w:val="15"/>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1"/>
        <w:gridCol w:w="1371"/>
        <w:gridCol w:w="1100"/>
        <w:gridCol w:w="1379"/>
        <w:gridCol w:w="652"/>
        <w:gridCol w:w="751"/>
        <w:gridCol w:w="545"/>
        <w:gridCol w:w="1027"/>
        <w:gridCol w:w="601"/>
        <w:gridCol w:w="738"/>
        <w:gridCol w:w="901"/>
        <w:gridCol w:w="303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项目名称</w:t>
            </w:r>
          </w:p>
        </w:tc>
        <w:tc>
          <w:tcPr>
            <w:tcW w:w="39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争取项目资金工作经费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主管部门（盖章）</w:t>
            </w:r>
          </w:p>
        </w:tc>
        <w:tc>
          <w:tcPr>
            <w:tcW w:w="16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实施单位（盖章）</w:t>
            </w:r>
          </w:p>
        </w:tc>
        <w:tc>
          <w:tcPr>
            <w:tcW w:w="196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 w:hRule="atLeast"/>
        </w:trPr>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项目基本情况</w:t>
            </w:r>
          </w:p>
        </w:tc>
        <w:tc>
          <w:tcPr>
            <w:tcW w:w="5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1.项目年度目标完成情况</w:t>
            </w:r>
          </w:p>
        </w:tc>
        <w:tc>
          <w:tcPr>
            <w:tcW w:w="16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项目年度目标</w:t>
            </w:r>
          </w:p>
        </w:tc>
        <w:tc>
          <w:tcPr>
            <w:tcW w:w="23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2"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165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保障争取项目资金工作开展，全年向上汇报争取资金次数不少于30次，完成年度争取项目资金工作任务。</w:t>
            </w:r>
          </w:p>
        </w:tc>
        <w:tc>
          <w:tcPr>
            <w:tcW w:w="234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2022年向上争取汇报工作50次，争取上级财政资金321亿元，增长13.9%，圆满完成年度目标任务。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2.项目实施内容及过程概述</w:t>
            </w:r>
          </w:p>
        </w:tc>
        <w:tc>
          <w:tcPr>
            <w:tcW w:w="3999"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项目主要保障向上争取资金工作开展，主要包括与争取资金相关的差旅费、印刷费等，项目实施中严格按照相关管理规定执行，保证了工作正常开展。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预算执行情况（10分）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年度预算数（万元）</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年初预算</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调整后预算数</w:t>
            </w:r>
          </w:p>
        </w:tc>
        <w:tc>
          <w:tcPr>
            <w:tcW w:w="7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预算执行数</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预算执行率</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5"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总额</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50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7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22.63</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62.86</w:t>
            </w:r>
            <w:r>
              <w:rPr>
                <w:rFonts w:hint="eastAsia" w:ascii="宋体" w:hAnsi="宋体" w:eastAsia="宋体" w:cs="宋体"/>
                <w:i w:val="0"/>
                <w:color w:val="000000"/>
                <w:kern w:val="0"/>
                <w:sz w:val="16"/>
                <w:szCs w:val="16"/>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8</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因该项目</w:t>
            </w:r>
            <w:r>
              <w:rPr>
                <w:rFonts w:hint="eastAsia" w:ascii="宋体" w:hAnsi="宋体" w:cs="宋体"/>
                <w:i w:val="0"/>
                <w:color w:val="000000"/>
                <w:kern w:val="0"/>
                <w:sz w:val="16"/>
                <w:szCs w:val="16"/>
                <w:u w:val="none"/>
                <w:lang w:val="en-US" w:eastAsia="zh-CN" w:bidi="ar"/>
              </w:rPr>
              <w:t>部分资金需结转到下年支付，因此当年未全部支付。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其中：财政资金</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36</w:t>
            </w:r>
          </w:p>
        </w:tc>
        <w:tc>
          <w:tcPr>
            <w:tcW w:w="7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22.63</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62.86</w:t>
            </w:r>
            <w:r>
              <w:rPr>
                <w:rFonts w:hint="eastAsia" w:ascii="宋体" w:hAnsi="宋体" w:eastAsia="宋体" w:cs="宋体"/>
                <w:i w:val="0"/>
                <w:color w:val="000000"/>
                <w:kern w:val="0"/>
                <w:sz w:val="16"/>
                <w:szCs w:val="16"/>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财政专户管理资金</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单位资金</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5"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其他资金</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绩效指标（90分）</w:t>
            </w: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一级指标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二级指标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三级指标</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指标性质</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指标值</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度量单位</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完成值</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争取汇报工作次数</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次</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争取资金</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亿元</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321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工作经费</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22.63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完成争取项目资金任务</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工作完成及时率</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可持续发展指标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社会经济发展</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财政收入增长</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5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部门单位满意度</w:t>
            </w:r>
          </w:p>
        </w:tc>
        <w:tc>
          <w:tcPr>
            <w:tcW w:w="24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0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3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7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98</w:t>
            </w:r>
          </w:p>
        </w:tc>
        <w:tc>
          <w:tcPr>
            <w:tcW w:w="33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1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部门（单位）自评结论</w:t>
            </w:r>
          </w:p>
        </w:tc>
        <w:tc>
          <w:tcPr>
            <w:tcW w:w="451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通过自评，2022年向上争取汇报工作50次，争取上级财政资金321亿元，增长13.9%，圆满完成年度目标任务，全力保障了财政工作的开展。自评得分</w:t>
            </w:r>
            <w:r>
              <w:rPr>
                <w:rFonts w:hint="eastAsia" w:ascii="宋体" w:hAnsi="宋体" w:cs="宋体"/>
                <w:i w:val="0"/>
                <w:color w:val="000000"/>
                <w:kern w:val="0"/>
                <w:sz w:val="16"/>
                <w:szCs w:val="16"/>
                <w:u w:val="none"/>
                <w:lang w:val="en-US" w:eastAsia="zh-CN" w:bidi="ar"/>
              </w:rPr>
              <w:t>98</w:t>
            </w:r>
            <w:r>
              <w:rPr>
                <w:rFonts w:hint="eastAsia" w:ascii="宋体" w:hAnsi="宋体" w:eastAsia="宋体" w:cs="宋体"/>
                <w:i w:val="0"/>
                <w:color w:val="000000"/>
                <w:kern w:val="0"/>
                <w:sz w:val="16"/>
                <w:szCs w:val="16"/>
                <w:u w:val="none"/>
                <w:lang w:val="en-US" w:eastAsia="zh-CN" w:bidi="ar"/>
              </w:rPr>
              <w:t>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部门（单位）自评存在问题</w:t>
            </w:r>
          </w:p>
        </w:tc>
        <w:tc>
          <w:tcPr>
            <w:tcW w:w="451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项目测算标准有待细化，测算准确率有待提高。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部门（单位）自评改进措施</w:t>
            </w:r>
          </w:p>
        </w:tc>
        <w:tc>
          <w:tcPr>
            <w:tcW w:w="451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细化预算编制工作，提升预算编制准确度。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财政部门对口科室复评结论及整改要求</w:t>
            </w:r>
          </w:p>
        </w:tc>
        <w:tc>
          <w:tcPr>
            <w:tcW w:w="4510"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单位项目负责人：</w:t>
            </w:r>
          </w:p>
        </w:tc>
        <w:tc>
          <w:tcPr>
            <w:tcW w:w="283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部门项目负责人：</w:t>
            </w:r>
          </w:p>
        </w:tc>
        <w:tc>
          <w:tcPr>
            <w:tcW w:w="2832"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财政部门科室负责人：</w:t>
            </w:r>
          </w:p>
        </w:tc>
      </w:tr>
    </w:tbl>
    <w:p>
      <w:pPr>
        <w:pStyle w:val="2"/>
        <w:rPr>
          <w:rFonts w:hint="eastAsia" w:ascii="黑体" w:hAnsi="黑体" w:eastAsia="黑体"/>
          <w:color w:val="auto"/>
          <w:sz w:val="44"/>
          <w:szCs w:val="44"/>
          <w:highlight w:val="none"/>
        </w:rPr>
      </w:pPr>
    </w:p>
    <w:p>
      <w:pPr>
        <w:rPr>
          <w:rFonts w:hint="eastAsia" w:ascii="方正小标宋简体" w:hAnsi="宋体" w:eastAsia="方正小标宋简体"/>
          <w:b w:val="0"/>
          <w:bCs w:val="0"/>
          <w:sz w:val="44"/>
          <w:szCs w:val="44"/>
          <w:lang w:val="en-US" w:eastAsia="zh-CN"/>
        </w:rPr>
        <w:sectPr>
          <w:footerReference r:id="rId9" w:type="default"/>
          <w:type w:val="continuous"/>
          <w:pgSz w:w="16838" w:h="11906" w:orient="landscape"/>
          <w:pgMar w:top="1587" w:right="2098" w:bottom="1474" w:left="1531" w:header="851" w:footer="1559" w:gutter="0"/>
          <w:pgNumType w:fmt="decimal"/>
          <w:cols w:space="425" w:num="1"/>
          <w:docGrid w:type="lines" w:linePitch="312" w:charSpace="0"/>
        </w:sectPr>
      </w:pPr>
    </w:p>
    <w:p>
      <w:pPr>
        <w:pStyle w:val="34"/>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sz w:val="44"/>
          <w:szCs w:val="44"/>
          <w:lang w:val="en-US" w:eastAsia="zh-CN"/>
        </w:rPr>
      </w:pPr>
      <w:r>
        <w:rPr>
          <w:rFonts w:hint="eastAsia" w:ascii="方正小标宋简体" w:hAnsi="宋体" w:eastAsia="方正小标宋简体"/>
          <w:b w:val="0"/>
          <w:bCs w:val="0"/>
          <w:sz w:val="44"/>
          <w:szCs w:val="44"/>
          <w:lang w:val="en-US" w:eastAsia="zh-CN"/>
        </w:rPr>
        <w:t>广元市财政局</w:t>
      </w:r>
    </w:p>
    <w:p>
      <w:pPr>
        <w:pStyle w:val="34"/>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sz w:val="44"/>
          <w:szCs w:val="44"/>
          <w:lang w:val="en-US" w:eastAsia="zh-CN"/>
        </w:rPr>
      </w:pPr>
      <w:r>
        <w:rPr>
          <w:rFonts w:hint="eastAsia" w:ascii="方正小标宋简体" w:hAnsi="宋体" w:eastAsia="方正小标宋简体"/>
          <w:b w:val="0"/>
          <w:bCs w:val="0"/>
          <w:sz w:val="44"/>
          <w:szCs w:val="44"/>
          <w:lang w:val="en-US" w:eastAsia="zh-CN"/>
        </w:rPr>
        <w:t>关于202</w:t>
      </w:r>
      <w:r>
        <w:rPr>
          <w:rFonts w:hint="default" w:ascii="方正小标宋简体" w:hAnsi="宋体" w:eastAsia="方正小标宋简体"/>
          <w:b w:val="0"/>
          <w:bCs w:val="0"/>
          <w:sz w:val="44"/>
          <w:szCs w:val="44"/>
          <w:lang w:val="en" w:eastAsia="zh-CN"/>
        </w:rPr>
        <w:t>2</w:t>
      </w:r>
      <w:r>
        <w:rPr>
          <w:rFonts w:hint="eastAsia" w:ascii="方正小标宋简体" w:hAnsi="宋体" w:eastAsia="方正小标宋简体"/>
          <w:b w:val="0"/>
          <w:bCs w:val="0"/>
          <w:sz w:val="44"/>
          <w:szCs w:val="44"/>
          <w:lang w:val="en-US" w:eastAsia="zh-CN"/>
        </w:rPr>
        <w:t>年财政票据信息系统维护等</w:t>
      </w:r>
    </w:p>
    <w:p>
      <w:pPr>
        <w:pStyle w:val="34"/>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sz w:val="44"/>
          <w:szCs w:val="44"/>
        </w:rPr>
      </w:pPr>
      <w:r>
        <w:rPr>
          <w:rFonts w:hint="eastAsia" w:ascii="方正小标宋简体" w:hAnsi="宋体" w:eastAsia="方正小标宋简体"/>
          <w:b w:val="0"/>
          <w:bCs w:val="0"/>
          <w:sz w:val="44"/>
          <w:szCs w:val="44"/>
          <w:lang w:val="en-US" w:eastAsia="zh-CN"/>
        </w:rPr>
        <w:t>专项资金</w:t>
      </w:r>
      <w:r>
        <w:rPr>
          <w:rFonts w:hint="eastAsia" w:ascii="方正小标宋简体" w:hAnsi="宋体" w:eastAsia="方正小标宋简体"/>
          <w:b w:val="0"/>
          <w:bCs w:val="0"/>
          <w:sz w:val="44"/>
          <w:szCs w:val="44"/>
          <w:lang w:eastAsia="zh-CN"/>
        </w:rPr>
        <w:t>项目</w:t>
      </w:r>
      <w:r>
        <w:rPr>
          <w:rFonts w:hint="eastAsia" w:ascii="方正小标宋简体" w:hAnsi="宋体" w:eastAsia="方正小标宋简体"/>
          <w:b w:val="0"/>
          <w:bCs w:val="0"/>
          <w:sz w:val="44"/>
          <w:szCs w:val="44"/>
        </w:rPr>
        <w:t>绩效</w:t>
      </w:r>
      <w:r>
        <w:rPr>
          <w:rFonts w:hint="eastAsia" w:ascii="方正小标宋简体" w:hAnsi="宋体" w:eastAsia="方正小标宋简体"/>
          <w:b w:val="0"/>
          <w:bCs w:val="0"/>
          <w:sz w:val="44"/>
          <w:szCs w:val="44"/>
          <w:lang w:val="en-US" w:eastAsia="zh-CN"/>
        </w:rPr>
        <w:t>的</w:t>
      </w:r>
      <w:r>
        <w:rPr>
          <w:rFonts w:hint="eastAsia" w:ascii="方正小标宋简体" w:hAnsi="宋体" w:eastAsia="方正小标宋简体"/>
          <w:b w:val="0"/>
          <w:bCs w:val="0"/>
          <w:sz w:val="44"/>
          <w:szCs w:val="44"/>
        </w:rPr>
        <w:t>自评报告</w:t>
      </w:r>
    </w:p>
    <w:p>
      <w:pPr>
        <w:pStyle w:val="34"/>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b w:val="0"/>
          <w:bCs w:val="0"/>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outlineLvl w:val="1"/>
        <w:rPr>
          <w:rFonts w:hint="eastAsia" w:ascii="CESI黑体-GB2312" w:hAnsi="CESI黑体-GB2312" w:eastAsia="CESI黑体-GB2312" w:cs="CESI黑体-GB2312"/>
          <w:sz w:val="32"/>
          <w:szCs w:val="32"/>
          <w:lang w:val="zh-CN"/>
        </w:rPr>
      </w:pPr>
      <w:bookmarkStart w:id="92" w:name="_Toc27491"/>
      <w:r>
        <w:rPr>
          <w:rFonts w:hint="eastAsia" w:ascii="CESI黑体-GB2312" w:hAnsi="CESI黑体-GB2312" w:eastAsia="CESI黑体-GB2312" w:cs="CESI黑体-GB2312"/>
          <w:sz w:val="32"/>
          <w:szCs w:val="32"/>
        </w:rPr>
        <w:t>一、</w:t>
      </w:r>
      <w:r>
        <w:rPr>
          <w:rFonts w:hint="eastAsia" w:ascii="CESI黑体-GB2312" w:hAnsi="CESI黑体-GB2312" w:eastAsia="CESI黑体-GB2312" w:cs="CESI黑体-GB2312"/>
          <w:sz w:val="32"/>
          <w:szCs w:val="32"/>
          <w:lang w:val="zh-CN"/>
        </w:rPr>
        <w:t>项目概况</w:t>
      </w:r>
      <w:bookmarkEnd w:id="92"/>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default" w:ascii="仿宋_GB2312" w:hAnsi="仿宋" w:eastAsia="仿宋_GB2312" w:cs="仿宋_GB2312"/>
          <w:sz w:val="32"/>
          <w:szCs w:val="32"/>
          <w:lang w:val="en-US"/>
        </w:rPr>
      </w:pPr>
      <w:r>
        <w:rPr>
          <w:rFonts w:hint="eastAsia" w:ascii="仿宋_GB2312" w:hAnsi="仿宋" w:eastAsia="仿宋_GB2312" w:cs="仿宋_GB2312"/>
          <w:sz w:val="32"/>
          <w:szCs w:val="32"/>
        </w:rPr>
        <w:t>本项目根据市委市政府授予市财政局职能职责所设立</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lang w:val="en-US" w:eastAsia="zh-CN"/>
        </w:rPr>
        <w:t>项目主要包括非税收缴电子票据系统、预算管理一体化系统和其他财政信息系统运行维护，均是根据中央、省、市财政管理要求需设立的项目。因该项目涉及市县两级财政工作开展，因此我单位按规定申请后，市财政于2022年12月下达项目资金。</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 w:eastAsia="仿宋_GB2312" w:cs="仿宋_GB2312"/>
          <w:sz w:val="32"/>
          <w:szCs w:val="32"/>
          <w:lang w:val="zh-CN"/>
        </w:rPr>
      </w:pPr>
      <w:r>
        <w:rPr>
          <w:rFonts w:hint="eastAsia" w:ascii="仿宋_GB2312" w:hAnsi="仿宋" w:eastAsia="仿宋_GB2312" w:cs="仿宋_GB2312"/>
          <w:sz w:val="32"/>
          <w:szCs w:val="32"/>
          <w:lang w:val="zh-CN"/>
        </w:rPr>
        <w:t>1．项目主要内容。完成非税</w:t>
      </w:r>
      <w:r>
        <w:rPr>
          <w:rFonts w:hint="eastAsia" w:ascii="仿宋_GB2312" w:hAnsi="仿宋" w:eastAsia="仿宋_GB2312" w:cs="仿宋_GB2312"/>
          <w:sz w:val="32"/>
          <w:szCs w:val="32"/>
          <w:lang w:val="en-US" w:eastAsia="zh-CN"/>
        </w:rPr>
        <w:t>收缴电子票据系统、预算管理一体化系统、会计核算平台和其他财政信息系统运行维护。</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 w:eastAsia="仿宋_GB2312" w:cs="仿宋_GB2312"/>
          <w:sz w:val="32"/>
          <w:szCs w:val="32"/>
          <w:lang w:val="en-US" w:eastAsia="zh-CN"/>
        </w:rPr>
        <w:sectPr>
          <w:footerReference r:id="rId10" w:type="default"/>
          <w:type w:val="continuous"/>
          <w:pgSz w:w="11906" w:h="16838"/>
          <w:pgMar w:top="2098" w:right="1474" w:bottom="1531" w:left="1587" w:header="851" w:footer="1559" w:gutter="0"/>
          <w:pgNumType w:fmt="decimal"/>
          <w:cols w:space="425" w:num="1"/>
          <w:docGrid w:type="lines" w:linePitch="312" w:charSpace="0"/>
        </w:sectPr>
      </w:pPr>
      <w:r>
        <w:rPr>
          <w:rFonts w:hint="eastAsia" w:ascii="仿宋_GB2312" w:hAnsi="仿宋" w:eastAsia="仿宋_GB2312" w:cs="仿宋_GB2312"/>
          <w:sz w:val="32"/>
          <w:szCs w:val="32"/>
          <w:lang w:val="zh-CN"/>
        </w:rPr>
        <w:t>2．项目绩效目标。项目分别设立产出指标、成本指标、效益指标和满意度指标，对项目维护内容和数量、完成时限和系统</w:t>
      </w:r>
    </w:p>
    <w:p>
      <w:pPr>
        <w:keepNext w:val="0"/>
        <w:keepLines w:val="0"/>
        <w:pageBreakBefore w:val="0"/>
        <w:widowControl w:val="0"/>
        <w:kinsoku/>
        <w:wordWrap/>
        <w:overflowPunct/>
        <w:topLinePunct w:val="0"/>
        <w:autoSpaceDE/>
        <w:autoSpaceDN/>
        <w:bidi w:val="0"/>
        <w:adjustRightInd w:val="0"/>
        <w:snapToGrid w:val="0"/>
        <w:spacing w:line="576" w:lineRule="exact"/>
        <w:jc w:val="both"/>
        <w:textAlignment w:val="auto"/>
        <w:rPr>
          <w:rFonts w:hint="eastAsia" w:ascii="仿宋_GB2312" w:hAnsi="仿宋" w:eastAsia="仿宋_GB2312" w:cs="仿宋_GB2312"/>
          <w:sz w:val="32"/>
          <w:szCs w:val="32"/>
          <w:lang w:val="zh-CN"/>
        </w:rPr>
      </w:pPr>
      <w:r>
        <w:rPr>
          <w:rFonts w:hint="eastAsia" w:ascii="仿宋_GB2312" w:hAnsi="仿宋" w:eastAsia="仿宋_GB2312" w:cs="仿宋_GB2312"/>
          <w:sz w:val="32"/>
          <w:szCs w:val="32"/>
          <w:lang w:val="zh-CN"/>
        </w:rPr>
        <w:t>运行质量等进行了细化和量化。</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 w:eastAsia="仿宋_GB2312" w:cs="仿宋_GB2312"/>
          <w:sz w:val="32"/>
          <w:szCs w:val="32"/>
          <w:lang w:val="zh-CN"/>
        </w:rPr>
      </w:pP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lang w:val="zh-CN"/>
        </w:rPr>
        <w:t>项目资金申报相符性。</w:t>
      </w:r>
      <w:r>
        <w:rPr>
          <w:rFonts w:hint="eastAsia" w:ascii="仿宋_GB2312" w:hAnsi="仿宋" w:eastAsia="仿宋_GB2312" w:cs="仿宋_GB2312"/>
          <w:sz w:val="32"/>
          <w:szCs w:val="32"/>
          <w:lang w:val="en-US" w:eastAsia="zh-CN"/>
        </w:rPr>
        <w:t>该</w:t>
      </w:r>
      <w:r>
        <w:rPr>
          <w:rFonts w:hint="eastAsia" w:ascii="仿宋_GB2312" w:hAnsi="仿宋" w:eastAsia="仿宋_GB2312" w:cs="仿宋_GB2312"/>
          <w:sz w:val="32"/>
          <w:szCs w:val="32"/>
          <w:lang w:val="zh-CN"/>
        </w:rPr>
        <w:t>项目</w:t>
      </w:r>
      <w:r>
        <w:rPr>
          <w:rFonts w:hint="eastAsia" w:ascii="仿宋_GB2312" w:hAnsi="仿宋" w:eastAsia="仿宋_GB2312" w:cs="仿宋_GB2312"/>
          <w:sz w:val="32"/>
          <w:szCs w:val="32"/>
          <w:lang w:val="en-US" w:eastAsia="zh-CN"/>
        </w:rPr>
        <w:t>根据单位职能职责设定具体工作内容，</w:t>
      </w:r>
      <w:r>
        <w:rPr>
          <w:rFonts w:hint="eastAsia" w:ascii="仿宋_GB2312" w:hAnsi="仿宋" w:eastAsia="仿宋_GB2312" w:cs="仿宋_GB2312"/>
          <w:sz w:val="32"/>
          <w:szCs w:val="32"/>
          <w:lang w:val="zh-CN"/>
        </w:rPr>
        <w:t>申报内容</w:t>
      </w:r>
      <w:r>
        <w:rPr>
          <w:rFonts w:hint="eastAsia" w:ascii="仿宋_GB2312" w:hAnsi="仿宋" w:eastAsia="仿宋_GB2312" w:cs="仿宋_GB2312"/>
          <w:sz w:val="32"/>
          <w:szCs w:val="32"/>
          <w:lang w:val="en-US" w:eastAsia="zh-CN"/>
        </w:rPr>
        <w:t>和项目绩效</w:t>
      </w:r>
      <w:r>
        <w:rPr>
          <w:rFonts w:hint="eastAsia" w:ascii="仿宋_GB2312" w:hAnsi="仿宋" w:eastAsia="仿宋_GB2312" w:cs="仿宋_GB2312"/>
          <w:sz w:val="32"/>
          <w:szCs w:val="32"/>
          <w:lang w:val="zh-CN"/>
        </w:rPr>
        <w:t>目标</w:t>
      </w:r>
      <w:r>
        <w:rPr>
          <w:rFonts w:hint="eastAsia" w:ascii="仿宋_GB2312" w:hAnsi="仿宋" w:eastAsia="仿宋_GB2312" w:cs="仿宋_GB2312"/>
          <w:sz w:val="32"/>
          <w:szCs w:val="32"/>
          <w:lang w:val="en-US" w:eastAsia="zh-CN"/>
        </w:rPr>
        <w:t>与财政管理业务工作</w:t>
      </w:r>
      <w:r>
        <w:rPr>
          <w:rFonts w:hint="eastAsia" w:ascii="仿宋_GB2312" w:hAnsi="仿宋" w:eastAsia="仿宋_GB2312" w:cs="仿宋_GB2312"/>
          <w:sz w:val="32"/>
          <w:szCs w:val="32"/>
          <w:lang w:val="zh-CN"/>
        </w:rPr>
        <w:t>相符，</w:t>
      </w:r>
      <w:r>
        <w:rPr>
          <w:rFonts w:hint="eastAsia" w:ascii="仿宋_GB2312" w:hAnsi="仿宋" w:eastAsia="仿宋_GB2312" w:cs="仿宋_GB2312"/>
          <w:sz w:val="32"/>
          <w:szCs w:val="32"/>
          <w:lang w:val="en-US" w:eastAsia="zh-CN"/>
        </w:rPr>
        <w:t>项目</w:t>
      </w:r>
      <w:r>
        <w:rPr>
          <w:rFonts w:hint="eastAsia" w:ascii="仿宋_GB2312" w:hAnsi="仿宋" w:eastAsia="仿宋_GB2312" w:cs="仿宋_GB2312"/>
          <w:sz w:val="32"/>
          <w:szCs w:val="32"/>
          <w:lang w:val="zh-CN"/>
        </w:rPr>
        <w:t>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 w:eastAsia="仿宋_GB2312" w:cs="仿宋_GB2312"/>
          <w:sz w:val="32"/>
          <w:szCs w:val="32"/>
        </w:rPr>
        <w:sectPr>
          <w:type w:val="continuous"/>
          <w:pgSz w:w="11906" w:h="16838"/>
          <w:pgMar w:top="1440" w:right="1800" w:bottom="1440" w:left="1800" w:header="851" w:footer="992" w:gutter="0"/>
          <w:pgNumType w:fmt="decimal"/>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 w:eastAsia="仿宋_GB2312" w:cs="仿宋_GB2312"/>
          <w:sz w:val="32"/>
          <w:szCs w:val="32"/>
          <w:lang w:val="zh-CN"/>
        </w:rPr>
      </w:pPr>
      <w:r>
        <w:rPr>
          <w:rFonts w:hint="eastAsia" w:ascii="仿宋_GB2312" w:hAnsi="仿宋" w:eastAsia="仿宋_GB2312" w:cs="仿宋_GB2312"/>
          <w:sz w:val="32"/>
          <w:szCs w:val="32"/>
        </w:rPr>
        <w:t>按照项目评价要求，明确自评责任人，通过查验资料、报告工作等形式严格自评，做到自评真实不走形式。</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outlineLvl w:val="1"/>
        <w:rPr>
          <w:rFonts w:hint="eastAsia" w:ascii="CESI黑体-GB2312" w:hAnsi="CESI黑体-GB2312" w:eastAsia="CESI黑体-GB2312" w:cs="CESI黑体-GB2312"/>
          <w:sz w:val="32"/>
          <w:szCs w:val="32"/>
        </w:rPr>
      </w:pPr>
      <w:bookmarkStart w:id="93" w:name="_Toc28239"/>
      <w:r>
        <w:rPr>
          <w:rFonts w:hint="eastAsia" w:ascii="CESI黑体-GB2312" w:hAnsi="CESI黑体-GB2312" w:eastAsia="CESI黑体-GB2312" w:cs="CESI黑体-GB2312"/>
          <w:sz w:val="32"/>
          <w:szCs w:val="32"/>
        </w:rPr>
        <w:t>二、项目资金申报及使用情况</w:t>
      </w:r>
      <w:bookmarkEnd w:id="93"/>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 w:eastAsia="仿宋_GB2312" w:cs="仿宋_GB2312"/>
          <w:sz w:val="32"/>
          <w:szCs w:val="32"/>
          <w:lang w:val="zh-CN"/>
        </w:rPr>
      </w:pPr>
      <w:r>
        <w:rPr>
          <w:rFonts w:hint="eastAsia" w:ascii="仿宋_GB2312" w:hAnsi="仿宋" w:eastAsia="仿宋_GB2312" w:cs="仿宋_GB2312"/>
          <w:sz w:val="32"/>
          <w:szCs w:val="32"/>
        </w:rPr>
        <w:t>按照一般公共预算管理要求， 市财政局申报项目资金预算，202</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年由广元市财政局通过</w:t>
      </w:r>
      <w:r>
        <w:rPr>
          <w:rFonts w:hint="eastAsia" w:ascii="仿宋_GB2312" w:hAnsi="仿宋" w:eastAsia="仿宋_GB2312" w:cs="仿宋_GB2312"/>
          <w:sz w:val="32"/>
          <w:szCs w:val="32"/>
          <w:lang w:val="en-US" w:eastAsia="zh-CN"/>
        </w:rPr>
        <w:t>《广元市财政局关于下达财政专项补助资金的通知》（广财行〔2022〕62号）</w:t>
      </w:r>
      <w:r>
        <w:rPr>
          <w:rFonts w:hint="eastAsia" w:ascii="仿宋_GB2312" w:hAnsi="仿宋" w:eastAsia="仿宋_GB2312" w:cs="仿宋_GB2312"/>
          <w:sz w:val="32"/>
          <w:szCs w:val="32"/>
        </w:rPr>
        <w:t>文件下达我单位项目资金</w:t>
      </w:r>
      <w:r>
        <w:rPr>
          <w:rFonts w:hint="eastAsia" w:ascii="仿宋_GB2312" w:hAnsi="仿宋" w:eastAsia="仿宋_GB2312" w:cs="仿宋_GB2312"/>
          <w:sz w:val="32"/>
          <w:szCs w:val="32"/>
          <w:lang w:val="en-US" w:eastAsia="zh-CN"/>
        </w:rPr>
        <w:t>50</w:t>
      </w:r>
      <w:r>
        <w:rPr>
          <w:rFonts w:hint="eastAsia" w:ascii="仿宋_GB2312" w:hAnsi="仿宋"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CESI楷体-GB2312" w:hAnsi="CESI楷体-GB2312" w:eastAsia="CESI楷体-GB2312" w:cs="CESI楷体-GB2312"/>
          <w:sz w:val="32"/>
          <w:szCs w:val="32"/>
          <w:lang w:val="zh-CN"/>
        </w:rPr>
      </w:pPr>
      <w:r>
        <w:rPr>
          <w:rFonts w:hint="eastAsia" w:ascii="仿宋_GB2312" w:hAnsi="仿宋" w:eastAsia="仿宋_GB2312" w:cs="仿宋_GB2312"/>
          <w:sz w:val="32"/>
          <w:szCs w:val="32"/>
          <w:lang w:val="zh-CN"/>
        </w:rPr>
        <w:t>（</w:t>
      </w:r>
      <w:r>
        <w:rPr>
          <w:rFonts w:hint="eastAsia" w:ascii="CESI楷体-GB2312" w:hAnsi="CESI楷体-GB2312" w:eastAsia="CESI楷体-GB2312" w:cs="CESI楷体-GB2312"/>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val="zh-CN"/>
        </w:rPr>
        <w:t>1．资金计划。</w:t>
      </w:r>
      <w:r>
        <w:rPr>
          <w:rFonts w:hint="eastAsia" w:ascii="仿宋_GB2312" w:hAnsi="仿宋" w:eastAsia="仿宋_GB2312" w:cs="仿宋_GB2312"/>
          <w:sz w:val="32"/>
          <w:szCs w:val="32"/>
        </w:rPr>
        <w:t>本项目预算</w:t>
      </w:r>
      <w:r>
        <w:rPr>
          <w:rFonts w:hint="eastAsia" w:ascii="仿宋_GB2312" w:hAnsi="仿宋" w:eastAsia="仿宋_GB2312" w:cs="仿宋_GB2312"/>
          <w:sz w:val="32"/>
          <w:szCs w:val="32"/>
          <w:lang w:val="en-US" w:eastAsia="zh-CN"/>
        </w:rPr>
        <w:t>批复资金</w:t>
      </w:r>
      <w:r>
        <w:rPr>
          <w:rFonts w:hint="eastAsia" w:ascii="仿宋_GB2312" w:hAnsi="仿宋" w:eastAsia="仿宋_GB2312" w:cs="仿宋_GB2312"/>
          <w:sz w:val="32"/>
          <w:szCs w:val="32"/>
        </w:rPr>
        <w:t>为</w:t>
      </w:r>
      <w:r>
        <w:rPr>
          <w:rFonts w:hint="eastAsia" w:ascii="仿宋_GB2312" w:hAnsi="仿宋" w:eastAsia="仿宋_GB2312" w:cs="仿宋_GB2312"/>
          <w:sz w:val="32"/>
          <w:szCs w:val="32"/>
          <w:lang w:val="en-US" w:eastAsia="zh-CN"/>
        </w:rPr>
        <w:t>50</w:t>
      </w:r>
      <w:r>
        <w:rPr>
          <w:rFonts w:hint="eastAsia" w:ascii="仿宋_GB2312" w:hAnsi="仿宋" w:eastAsia="仿宋_GB2312" w:cs="仿宋_GB2312"/>
          <w:sz w:val="32"/>
          <w:szCs w:val="32"/>
        </w:rPr>
        <w:t>万元，截至202</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年底，</w:t>
      </w:r>
      <w:r>
        <w:rPr>
          <w:rFonts w:hint="eastAsia" w:ascii="仿宋_GB2312" w:hAnsi="仿宋" w:eastAsia="仿宋_GB2312" w:cs="仿宋_GB2312"/>
          <w:sz w:val="32"/>
          <w:szCs w:val="32"/>
          <w:lang w:val="en-US" w:eastAsia="zh-CN"/>
        </w:rPr>
        <w:t>该项目</w:t>
      </w:r>
      <w:r>
        <w:rPr>
          <w:rFonts w:hint="eastAsia" w:ascii="仿宋_GB2312" w:hAnsi="仿宋" w:eastAsia="仿宋_GB2312" w:cs="仿宋_GB2312"/>
          <w:sz w:val="32"/>
          <w:szCs w:val="32"/>
        </w:rPr>
        <w:t>实际拨付</w:t>
      </w:r>
      <w:r>
        <w:rPr>
          <w:rFonts w:hint="eastAsia" w:ascii="仿宋_GB2312" w:hAnsi="仿宋" w:eastAsia="仿宋_GB2312" w:cs="仿宋_GB2312"/>
          <w:sz w:val="32"/>
          <w:szCs w:val="32"/>
          <w:lang w:val="en-US" w:eastAsia="zh-CN"/>
        </w:rPr>
        <w:t>到位</w:t>
      </w:r>
      <w:r>
        <w:rPr>
          <w:rFonts w:hint="eastAsia" w:ascii="仿宋_GB2312" w:hAnsi="仿宋" w:eastAsia="仿宋_GB2312" w:cs="仿宋_GB2312"/>
          <w:sz w:val="32"/>
          <w:szCs w:val="32"/>
        </w:rPr>
        <w:t>资金</w:t>
      </w:r>
      <w:r>
        <w:rPr>
          <w:rFonts w:hint="eastAsia" w:ascii="仿宋_GB2312" w:hAnsi="仿宋" w:eastAsia="仿宋_GB2312" w:cs="仿宋_GB2312"/>
          <w:sz w:val="32"/>
          <w:szCs w:val="32"/>
          <w:lang w:val="en-US" w:eastAsia="zh-CN"/>
        </w:rPr>
        <w:t>50</w:t>
      </w:r>
      <w:r>
        <w:rPr>
          <w:rFonts w:hint="eastAsia" w:ascii="仿宋_GB2312" w:hAnsi="仿宋" w:eastAsia="仿宋_GB2312" w:cs="仿宋_GB2312"/>
          <w:sz w:val="32"/>
          <w:szCs w:val="32"/>
        </w:rPr>
        <w:t>万元，资金拨付率为100%。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lang w:val="zh-CN"/>
        </w:rPr>
        <w:t>2．资金使用。</w:t>
      </w:r>
      <w:r>
        <w:rPr>
          <w:rFonts w:hint="eastAsia" w:ascii="仿宋_GB2312" w:hAnsi="仿宋" w:eastAsia="仿宋_GB2312" w:cs="仿宋_GB2312"/>
          <w:sz w:val="32"/>
          <w:szCs w:val="32"/>
        </w:rPr>
        <w:t>该项目资金全年共支出</w:t>
      </w:r>
      <w:r>
        <w:rPr>
          <w:rFonts w:hint="eastAsia" w:ascii="仿宋_GB2312" w:hAnsi="仿宋" w:eastAsia="仿宋_GB2312" w:cs="仿宋_GB2312"/>
          <w:sz w:val="32"/>
          <w:szCs w:val="32"/>
          <w:lang w:val="en-US" w:eastAsia="zh-CN"/>
        </w:rPr>
        <w:t>36.89</w:t>
      </w:r>
      <w:r>
        <w:rPr>
          <w:rFonts w:hint="eastAsia" w:ascii="仿宋_GB2312" w:hAnsi="仿宋" w:eastAsia="仿宋_GB2312" w:cs="仿宋_GB2312"/>
          <w:sz w:val="32"/>
          <w:szCs w:val="32"/>
        </w:rPr>
        <w:t>万元，支出进度为</w:t>
      </w:r>
      <w:r>
        <w:rPr>
          <w:rFonts w:hint="eastAsia" w:ascii="仿宋_GB2312" w:hAnsi="仿宋" w:eastAsia="仿宋_GB2312" w:cs="仿宋_GB2312"/>
          <w:sz w:val="32"/>
          <w:szCs w:val="32"/>
          <w:lang w:val="en-US" w:eastAsia="zh-CN"/>
        </w:rPr>
        <w:t>73.78</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支出进度未达到</w:t>
      </w:r>
      <w:r>
        <w:rPr>
          <w:rFonts w:hint="eastAsia" w:ascii="仿宋_GB2312" w:hAnsi="仿宋" w:eastAsia="仿宋_GB2312" w:cs="仿宋_GB2312"/>
          <w:sz w:val="32"/>
          <w:szCs w:val="32"/>
          <w:lang w:val="en-US" w:eastAsia="zh-CN"/>
        </w:rPr>
        <w:t>100%的原因主要是部分系统运行维护费当年按合同约定未全部支付，需结转到2023年支付。</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该项目按照相关管理规定和我局“三重一大”、经费收支管理规定实施，保障了非税收缴电子票据系统、预算管理一体化系统、会计核算平台和财政门户网络系统的正常运转，在资金支付时严格按合同约定付款，确保了财政工作正常运转。</w:t>
      </w:r>
      <w:r>
        <w:rPr>
          <w:rFonts w:hint="eastAsia" w:ascii="仿宋_GB2312" w:hAnsi="仿宋" w:eastAsia="仿宋_GB2312" w:cs="仿宋_GB2312"/>
          <w:sz w:val="32"/>
          <w:szCs w:val="32"/>
        </w:rPr>
        <w:t>在项目执行过程中，严格按照预算批复执行，不随意改变该项目资金支付范围、支付标准，严控预算执行进度和经费支出情况，确保资金使用安全、规范、高效。</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我单位严格按照财务管理相关制度规定，建立健全财务管理制度及内控制度，加强对财政管理专项经费的使用管理，按照专项资金管理办法做好项目实施和监管，及时、规范进行账务处理及会计核算</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切实做到专款专用，最大可能发挥专项资金作用。</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outlineLvl w:val="1"/>
        <w:rPr>
          <w:rFonts w:hint="eastAsia" w:ascii="CESI黑体-GB2312" w:hAnsi="CESI黑体-GB2312" w:eastAsia="CESI黑体-GB2312" w:cs="CESI黑体-GB2312"/>
          <w:sz w:val="32"/>
          <w:szCs w:val="32"/>
        </w:rPr>
      </w:pPr>
      <w:bookmarkStart w:id="94" w:name="_Toc20173"/>
      <w:r>
        <w:rPr>
          <w:rFonts w:hint="eastAsia" w:ascii="CESI黑体-GB2312" w:hAnsi="CESI黑体-GB2312" w:eastAsia="CESI黑体-GB2312" w:cs="CESI黑体-GB2312"/>
          <w:sz w:val="32"/>
          <w:szCs w:val="32"/>
        </w:rPr>
        <w:t>三、项目实施及管理情况</w:t>
      </w:r>
      <w:bookmarkEnd w:id="94"/>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该项目不属于政府采购项目，但相关科室严格按照相关管理规定组织实施，在开展财政专项工作前履行审批工作，报销环节严格按照我单位财务管理规定报销费用。</w:t>
      </w:r>
      <w:r>
        <w:rPr>
          <w:rFonts w:hint="eastAsia" w:ascii="仿宋_GB2312" w:hAnsi="仿宋" w:eastAsia="仿宋_GB2312" w:cs="仿宋_GB2312"/>
          <w:sz w:val="32"/>
          <w:szCs w:val="32"/>
        </w:rPr>
        <w:t>我</w:t>
      </w:r>
      <w:r>
        <w:rPr>
          <w:rFonts w:hint="eastAsia" w:ascii="仿宋_GB2312" w:hAnsi="仿宋" w:eastAsia="仿宋_GB2312" w:cs="仿宋_GB2312"/>
          <w:sz w:val="32"/>
          <w:szCs w:val="32"/>
          <w:lang w:val="en-US" w:eastAsia="zh-CN"/>
        </w:rPr>
        <w:t>单位</w:t>
      </w:r>
      <w:r>
        <w:rPr>
          <w:rFonts w:hint="eastAsia" w:ascii="仿宋_GB2312" w:hAnsi="仿宋" w:eastAsia="仿宋_GB2312" w:cs="仿宋_GB2312"/>
          <w:sz w:val="32"/>
          <w:szCs w:val="32"/>
        </w:rPr>
        <w:t>严格按照项目管理有关规定管理专项经费，为保障项目资金安全，确保资金专款专用，从资金申请、资金使用、会计核算三个环节加强资金管理。在项目资金申请环节，严格按照国库集中支付流程申请财政资金</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在资金使用环节，严格遵守相关法律法规规定，严格按照单位财务管理审批流程办理款项支付</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在会计核算环节，对本项目资金实行单独核算，确保专款专用。通过上述三个环节的管理，极力避免了挪用、挤占、截留项目资金的现象，保证财政资金安全有效使用。同时经费管理主动接受驻局纪检监察组和审计部门的监督检查，对预算执行实行动态监控，无违纪违法现象。</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outlineLvl w:val="1"/>
        <w:rPr>
          <w:rFonts w:hint="eastAsia" w:ascii="CESI黑体-GB2312" w:hAnsi="CESI黑体-GB2312" w:eastAsia="CESI黑体-GB2312" w:cs="CESI黑体-GB2312"/>
          <w:sz w:val="32"/>
          <w:szCs w:val="32"/>
          <w:lang w:val="zh-CN"/>
        </w:rPr>
      </w:pPr>
      <w:bookmarkStart w:id="95" w:name="_Toc11067"/>
      <w:r>
        <w:rPr>
          <w:rFonts w:hint="eastAsia" w:ascii="CESI黑体-GB2312" w:hAnsi="CESI黑体-GB2312" w:eastAsia="CESI黑体-GB2312" w:cs="CESI黑体-GB2312"/>
          <w:sz w:val="32"/>
          <w:szCs w:val="32"/>
        </w:rPr>
        <w:t>四、项目绩效情况</w:t>
      </w:r>
      <w:bookmarkEnd w:id="95"/>
      <w:r>
        <w:rPr>
          <w:rFonts w:hint="eastAsia" w:ascii="CESI黑体-GB2312" w:hAnsi="CESI黑体-GB2312" w:eastAsia="CESI黑体-GB2312" w:cs="CESI黑体-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通过项目实施，保障了非税收缴电子票据系统、预算管理一体化系统、会计核算平台和财政门户网络系统的运行维护</w:t>
      </w:r>
      <w:r>
        <w:rPr>
          <w:rFonts w:hint="eastAsia" w:ascii="仿宋_GB2312" w:hAnsi="仿宋" w:eastAsia="仿宋_GB2312" w:cs="仿宋_GB2312"/>
          <w:sz w:val="32"/>
          <w:szCs w:val="32"/>
          <w:lang w:eastAsia="zh-CN"/>
        </w:rPr>
        <w:t>和正常使用</w:t>
      </w:r>
      <w:r>
        <w:rPr>
          <w:rFonts w:hint="eastAsia" w:ascii="仿宋_GB2312" w:hAnsi="仿宋" w:eastAsia="仿宋_GB2312" w:cs="仿宋_GB2312"/>
          <w:sz w:val="32"/>
          <w:szCs w:val="32"/>
        </w:rPr>
        <w:t>，</w:t>
      </w:r>
      <w:r>
        <w:rPr>
          <w:rFonts w:hint="eastAsia" w:ascii="仿宋_GB2312" w:hAnsi="仿宋" w:eastAsia="仿宋_GB2312" w:cs="仿宋_GB2312"/>
          <w:sz w:val="32"/>
          <w:szCs w:val="32"/>
          <w:lang w:eastAsia="zh-CN"/>
        </w:rPr>
        <w:t>确保了</w:t>
      </w:r>
      <w:r>
        <w:rPr>
          <w:rFonts w:hint="eastAsia" w:ascii="仿宋_GB2312" w:hAnsi="仿宋" w:eastAsia="仿宋_GB2312" w:cs="仿宋_GB2312"/>
          <w:sz w:val="32"/>
          <w:szCs w:val="32"/>
        </w:rPr>
        <w:t>全市财政管理工作</w:t>
      </w:r>
      <w:r>
        <w:rPr>
          <w:rFonts w:hint="eastAsia" w:ascii="仿宋_GB2312" w:hAnsi="仿宋" w:eastAsia="仿宋_GB2312" w:cs="仿宋_GB2312"/>
          <w:sz w:val="32"/>
          <w:szCs w:val="32"/>
          <w:lang w:eastAsia="zh-CN"/>
        </w:rPr>
        <w:t>有序开展</w:t>
      </w:r>
      <w:r>
        <w:rPr>
          <w:rFonts w:hint="eastAsia" w:ascii="仿宋_GB2312" w:hAnsi="仿宋"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1.项目实施对经济和社会的影响。通过该项目顺利实施，我</w:t>
      </w:r>
      <w:r>
        <w:rPr>
          <w:rFonts w:hint="eastAsia" w:ascii="仿宋_GB2312" w:hAnsi="仿宋" w:eastAsia="仿宋_GB2312" w:cs="仿宋_GB2312"/>
          <w:sz w:val="32"/>
          <w:szCs w:val="32"/>
          <w:lang w:eastAsia="zh-CN"/>
        </w:rPr>
        <w:t>市非税收缴、财政资金管理和财务管理等工作进一步加强</w:t>
      </w:r>
      <w:r>
        <w:rPr>
          <w:rFonts w:hint="eastAsia" w:ascii="仿宋_GB2312" w:hAnsi="仿宋" w:eastAsia="仿宋_GB2312" w:cs="仿宋_GB2312"/>
          <w:sz w:val="32"/>
          <w:szCs w:val="32"/>
        </w:rPr>
        <w:t>，全面完成了各项目标任务，为全市经济社会高质量发展提供了坚实财政保障。</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 w:eastAsia="仿宋_GB2312" w:cs="仿宋_GB2312"/>
          <w:sz w:val="32"/>
          <w:szCs w:val="32"/>
          <w:lang w:val="zh-CN"/>
        </w:rPr>
      </w:pPr>
      <w:r>
        <w:rPr>
          <w:rFonts w:hint="eastAsia" w:ascii="仿宋_GB2312" w:hAnsi="仿宋" w:eastAsia="仿宋_GB2312" w:cs="仿宋_GB2312"/>
          <w:sz w:val="32"/>
          <w:szCs w:val="32"/>
        </w:rPr>
        <w:t>2.项目服务对象满意度。各预算单位满意度达</w:t>
      </w:r>
      <w:r>
        <w:rPr>
          <w:rFonts w:hint="eastAsia" w:ascii="仿宋_GB2312" w:hAnsi="仿宋" w:eastAsia="仿宋_GB2312" w:cs="仿宋_GB2312"/>
          <w:sz w:val="32"/>
          <w:szCs w:val="32"/>
          <w:lang w:val="en-US" w:eastAsia="zh-CN"/>
        </w:rPr>
        <w:t>95</w:t>
      </w:r>
      <w:r>
        <w:rPr>
          <w:rFonts w:hint="eastAsia" w:ascii="仿宋_GB2312" w:hAnsi="仿宋"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outlineLvl w:val="1"/>
        <w:rPr>
          <w:rFonts w:hint="eastAsia" w:ascii="CESI黑体-GB2312" w:hAnsi="CESI黑体-GB2312" w:eastAsia="CESI黑体-GB2312" w:cs="CESI黑体-GB2312"/>
          <w:sz w:val="32"/>
          <w:szCs w:val="32"/>
        </w:rPr>
      </w:pPr>
      <w:bookmarkStart w:id="96" w:name="_Toc12074"/>
      <w:r>
        <w:rPr>
          <w:rFonts w:hint="eastAsia" w:ascii="CESI黑体-GB2312" w:hAnsi="CESI黑体-GB2312" w:eastAsia="CESI黑体-GB2312" w:cs="CESI黑体-GB2312"/>
          <w:sz w:val="32"/>
          <w:szCs w:val="32"/>
        </w:rPr>
        <w:t>五、评价结论及建议</w:t>
      </w:r>
      <w:bookmarkEnd w:id="96"/>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（一）评价结论</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 w:eastAsia="仿宋_GB2312" w:cs="仿宋_GB2312"/>
          <w:sz w:val="32"/>
          <w:szCs w:val="32"/>
          <w:lang w:val="zh-CN"/>
        </w:rPr>
      </w:pPr>
      <w:r>
        <w:rPr>
          <w:rFonts w:hint="eastAsia" w:ascii="仿宋_GB2312" w:hAnsi="仿宋" w:eastAsia="仿宋_GB2312" w:cs="仿宋_GB2312"/>
          <w:sz w:val="32"/>
          <w:szCs w:val="32"/>
          <w:lang w:val="zh-CN"/>
        </w:rPr>
        <w:t>结合项目自身特点、评价重点及管理办法等要求，</w:t>
      </w:r>
      <w:r>
        <w:rPr>
          <w:rFonts w:hint="eastAsia" w:ascii="仿宋_GB2312" w:hAnsi="仿宋" w:eastAsia="仿宋_GB2312" w:cs="仿宋_GB2312"/>
          <w:sz w:val="32"/>
          <w:szCs w:val="32"/>
          <w:lang w:val="en-US" w:eastAsia="zh-CN"/>
        </w:rPr>
        <w:t>根据</w:t>
      </w:r>
      <w:r>
        <w:rPr>
          <w:rFonts w:hint="eastAsia" w:ascii="仿宋_GB2312" w:hAnsi="仿宋" w:eastAsia="仿宋_GB2312" w:cs="仿宋_GB2312"/>
          <w:sz w:val="32"/>
          <w:szCs w:val="32"/>
          <w:lang w:val="zh-CN"/>
        </w:rPr>
        <w:t>专项项目支出绩效评价指标体系，</w:t>
      </w:r>
      <w:r>
        <w:rPr>
          <w:rFonts w:hint="eastAsia" w:ascii="仿宋_GB2312" w:hAnsi="仿宋" w:eastAsia="仿宋_GB2312" w:cs="仿宋_GB2312"/>
          <w:sz w:val="32"/>
          <w:szCs w:val="32"/>
          <w:lang w:val="en-US" w:eastAsia="zh-CN"/>
        </w:rPr>
        <w:t>该</w:t>
      </w:r>
      <w:r>
        <w:rPr>
          <w:rFonts w:hint="eastAsia" w:ascii="仿宋_GB2312" w:hAnsi="仿宋" w:eastAsia="仿宋_GB2312" w:cs="仿宋_GB2312"/>
          <w:sz w:val="32"/>
          <w:szCs w:val="32"/>
          <w:lang w:val="zh-CN"/>
        </w:rPr>
        <w:t>项目</w:t>
      </w:r>
      <w:r>
        <w:rPr>
          <w:rFonts w:hint="eastAsia" w:ascii="仿宋_GB2312" w:hAnsi="仿宋" w:eastAsia="仿宋_GB2312" w:cs="仿宋_GB2312"/>
          <w:sz w:val="32"/>
          <w:szCs w:val="32"/>
          <w:lang w:val="en-US" w:eastAsia="zh-CN"/>
        </w:rPr>
        <w:t>自评得分为98分</w:t>
      </w:r>
      <w:r>
        <w:rPr>
          <w:rFonts w:hint="eastAsia" w:ascii="仿宋_GB2312" w:hAnsi="仿宋"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w:t>
      </w:r>
      <w:r>
        <w:rPr>
          <w:rFonts w:hint="eastAsia" w:ascii="CESI楷体-GB2312" w:hAnsi="CESI楷体-GB2312" w:eastAsia="CESI楷体-GB2312" w:cs="CESI楷体-GB2312"/>
          <w:sz w:val="32"/>
          <w:szCs w:val="32"/>
          <w:lang w:val="en-US" w:eastAsia="zh-CN"/>
        </w:rPr>
        <w:t>二</w:t>
      </w:r>
      <w:r>
        <w:rPr>
          <w:rFonts w:hint="eastAsia" w:ascii="CESI楷体-GB2312" w:hAnsi="CESI楷体-GB2312" w:eastAsia="CESI楷体-GB2312" w:cs="CESI楷体-GB2312"/>
          <w:sz w:val="32"/>
          <w:szCs w:val="32"/>
          <w:lang w:val="zh-CN"/>
        </w:rPr>
        <w:t>）存在的问题</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eastAsia="zh-CN"/>
        </w:rPr>
        <w:t>因项目下达时间较晚，同时严格按合同约定付款，因此项目预算执行进度不够高</w:t>
      </w:r>
      <w:r>
        <w:rPr>
          <w:rFonts w:hint="eastAsia" w:ascii="仿宋_GB2312" w:hAnsi="仿宋"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w:t>
      </w:r>
      <w:r>
        <w:rPr>
          <w:rFonts w:hint="eastAsia" w:ascii="CESI楷体-GB2312" w:hAnsi="CESI楷体-GB2312" w:eastAsia="CESI楷体-GB2312" w:cs="CESI楷体-GB2312"/>
          <w:sz w:val="32"/>
          <w:szCs w:val="32"/>
          <w:lang w:val="en-US" w:eastAsia="zh-CN"/>
        </w:rPr>
        <w:t>三</w:t>
      </w:r>
      <w:r>
        <w:rPr>
          <w:rFonts w:hint="eastAsia" w:ascii="CESI楷体-GB2312" w:hAnsi="CESI楷体-GB2312" w:eastAsia="CESI楷体-GB2312" w:cs="CESI楷体-GB2312"/>
          <w:sz w:val="32"/>
          <w:szCs w:val="32"/>
          <w:lang w:val="zh-CN"/>
        </w:rPr>
        <w:t>）相关建议</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eastAsia="zh-CN"/>
        </w:rPr>
        <w:t>提高项目实施进度和预算执行进度</w:t>
      </w:r>
      <w:r>
        <w:rPr>
          <w:rFonts w:hint="eastAsia" w:ascii="仿宋_GB2312" w:hAnsi="仿宋" w:eastAsia="仿宋_GB2312" w:cs="仿宋_GB2312"/>
          <w:sz w:val="32"/>
          <w:szCs w:val="32"/>
        </w:rPr>
        <w:t>。</w:t>
      </w:r>
    </w:p>
    <w:p>
      <w:pPr>
        <w:spacing w:line="600" w:lineRule="exact"/>
        <w:jc w:val="center"/>
        <w:outlineLvl w:val="9"/>
        <w:rPr>
          <w:rStyle w:val="19"/>
          <w:rFonts w:hint="eastAsia" w:ascii="黑体" w:hAnsi="黑体" w:eastAsia="黑体"/>
          <w:b w:val="0"/>
          <w:color w:val="auto"/>
          <w:sz w:val="32"/>
          <w:szCs w:val="32"/>
          <w:highlight w:val="none"/>
        </w:rPr>
      </w:pPr>
    </w:p>
    <w:p>
      <w:pPr>
        <w:spacing w:line="600" w:lineRule="exact"/>
        <w:jc w:val="center"/>
        <w:outlineLvl w:val="9"/>
        <w:rPr>
          <w:rStyle w:val="19"/>
          <w:rFonts w:hint="eastAsia" w:ascii="黑体" w:hAnsi="黑体" w:eastAsia="黑体"/>
          <w:b w:val="0"/>
          <w:color w:val="auto"/>
          <w:sz w:val="32"/>
          <w:szCs w:val="32"/>
          <w:highlight w:val="none"/>
        </w:rPr>
      </w:pPr>
    </w:p>
    <w:p>
      <w:pPr>
        <w:spacing w:line="600" w:lineRule="exact"/>
        <w:jc w:val="center"/>
        <w:outlineLvl w:val="9"/>
        <w:rPr>
          <w:rStyle w:val="19"/>
          <w:rFonts w:hint="eastAsia" w:ascii="黑体" w:hAnsi="黑体" w:eastAsia="黑体"/>
          <w:b w:val="0"/>
          <w:color w:val="auto"/>
          <w:sz w:val="32"/>
          <w:szCs w:val="32"/>
          <w:highlight w:val="none"/>
        </w:rPr>
      </w:pPr>
    </w:p>
    <w:p>
      <w:pPr>
        <w:spacing w:line="600" w:lineRule="exact"/>
        <w:jc w:val="center"/>
        <w:outlineLvl w:val="9"/>
        <w:rPr>
          <w:rStyle w:val="19"/>
          <w:rFonts w:hint="eastAsia" w:ascii="黑体" w:hAnsi="黑体" w:eastAsia="黑体"/>
          <w:b w:val="0"/>
          <w:color w:val="auto"/>
          <w:sz w:val="32"/>
          <w:szCs w:val="32"/>
          <w:highlight w:val="none"/>
        </w:rPr>
      </w:pPr>
    </w:p>
    <w:p>
      <w:pPr>
        <w:spacing w:line="600" w:lineRule="exact"/>
        <w:jc w:val="center"/>
        <w:outlineLvl w:val="9"/>
        <w:rPr>
          <w:rStyle w:val="19"/>
          <w:rFonts w:hint="eastAsia" w:ascii="黑体" w:hAnsi="黑体" w:eastAsia="黑体"/>
          <w:b w:val="0"/>
          <w:color w:val="auto"/>
          <w:sz w:val="32"/>
          <w:szCs w:val="32"/>
          <w:highlight w:val="none"/>
        </w:rPr>
      </w:pPr>
    </w:p>
    <w:p>
      <w:pPr>
        <w:spacing w:line="600" w:lineRule="exact"/>
        <w:jc w:val="center"/>
        <w:outlineLvl w:val="9"/>
        <w:rPr>
          <w:rStyle w:val="19"/>
          <w:rFonts w:hint="eastAsia" w:ascii="黑体" w:hAnsi="黑体" w:eastAsia="黑体"/>
          <w:b w:val="0"/>
          <w:color w:val="auto"/>
          <w:sz w:val="32"/>
          <w:szCs w:val="32"/>
          <w:highlight w:val="none"/>
        </w:rPr>
      </w:pPr>
    </w:p>
    <w:p>
      <w:pPr>
        <w:spacing w:line="600" w:lineRule="exact"/>
        <w:jc w:val="center"/>
        <w:outlineLvl w:val="9"/>
        <w:rPr>
          <w:rStyle w:val="19"/>
          <w:rFonts w:hint="eastAsia" w:ascii="黑体" w:hAnsi="黑体" w:eastAsia="黑体"/>
          <w:b w:val="0"/>
          <w:color w:val="auto"/>
          <w:sz w:val="32"/>
          <w:szCs w:val="32"/>
          <w:highlight w:val="none"/>
        </w:rPr>
        <w:sectPr>
          <w:footerReference r:id="rId12" w:type="first"/>
          <w:footerReference r:id="rId11" w:type="default"/>
          <w:pgSz w:w="11906" w:h="16838"/>
          <w:pgMar w:top="1440" w:right="1800" w:bottom="1440" w:left="1800" w:header="851" w:footer="992" w:gutter="0"/>
          <w:pgNumType w:fmt="decimal"/>
          <w:cols w:space="425" w:num="1"/>
          <w:titlePg/>
          <w:docGrid w:type="lines" w:linePitch="312" w:charSpace="0"/>
        </w:sectPr>
      </w:pPr>
    </w:p>
    <w:p>
      <w:pPr>
        <w:spacing w:line="600" w:lineRule="exact"/>
        <w:jc w:val="center"/>
        <w:outlineLvl w:val="1"/>
        <w:rPr>
          <w:rFonts w:hint="eastAsia" w:ascii="黑体" w:hAnsi="黑体" w:eastAsia="黑体"/>
          <w:color w:val="auto"/>
          <w:sz w:val="44"/>
          <w:szCs w:val="44"/>
          <w:highlight w:val="none"/>
        </w:rPr>
      </w:pPr>
      <w:bookmarkStart w:id="97" w:name="_Toc24295"/>
      <w:r>
        <w:rPr>
          <w:rStyle w:val="19"/>
          <w:rFonts w:hint="eastAsia" w:ascii="黑体" w:hAnsi="黑体" w:eastAsia="黑体"/>
          <w:b w:val="0"/>
          <w:color w:val="auto"/>
          <w:sz w:val="32"/>
          <w:szCs w:val="32"/>
          <w:highlight w:val="none"/>
        </w:rPr>
        <w:t>部门预算、专项资金预算项目支出绩效目标自评表（2022年度）</w:t>
      </w:r>
      <w:bookmarkEnd w:id="97"/>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15"/>
        <w:gridCol w:w="1374"/>
        <w:gridCol w:w="1105"/>
        <w:gridCol w:w="1443"/>
        <w:gridCol w:w="654"/>
        <w:gridCol w:w="807"/>
        <w:gridCol w:w="571"/>
        <w:gridCol w:w="853"/>
        <w:gridCol w:w="636"/>
        <w:gridCol w:w="746"/>
        <w:gridCol w:w="907"/>
        <w:gridCol w:w="3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0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项目名称</w:t>
            </w:r>
          </w:p>
        </w:tc>
        <w:tc>
          <w:tcPr>
            <w:tcW w:w="399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财政票据信息系统维护等专项资金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主管部门（盖章）</w:t>
            </w:r>
          </w:p>
        </w:tc>
        <w:tc>
          <w:tcPr>
            <w:tcW w:w="17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广元市财政局</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实施单位（盖章）</w:t>
            </w:r>
          </w:p>
        </w:tc>
        <w:tc>
          <w:tcPr>
            <w:tcW w:w="1964"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7" w:hRule="atLeast"/>
        </w:trPr>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项目基本情况</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1.项目年度目标完成情况</w:t>
            </w:r>
          </w:p>
        </w:tc>
        <w:tc>
          <w:tcPr>
            <w:tcW w:w="17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项目年度目标</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5" w:hRule="atLeast"/>
        </w:trPr>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8"/>
                <w:szCs w:val="18"/>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8"/>
                <w:szCs w:val="18"/>
                <w:u w:val="none"/>
              </w:rPr>
            </w:pPr>
          </w:p>
        </w:tc>
        <w:tc>
          <w:tcPr>
            <w:tcW w:w="17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保障非税收缴电子票据系统及财政业务系统正常运转，确保财政工作正常开展。</w:t>
            </w:r>
          </w:p>
        </w:tc>
        <w:tc>
          <w:tcPr>
            <w:tcW w:w="228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完成了非税收缴电子票据系统、预算管理一体化系统、会计核算平台和财政门户网络系统的正常运转，确保了财政工作正常运转。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2.项目实施内容及过程概述</w:t>
            </w:r>
          </w:p>
        </w:tc>
        <w:tc>
          <w:tcPr>
            <w:tcW w:w="399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项目按照相关管理规定和我局“三重一大”、经费收支管理规定实施，保障了非税收缴电子票据系统、预算管理一体化系统、会计核算平台和财政门户网络系统的正常运转，在资金支付时严格按合同约定付款，确保了财政工作正常运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3" w:hRule="atLeast"/>
        </w:trPr>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预算执行情况（10分）</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年度预算数（万元）</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年初预算</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调整后预算数</w:t>
            </w:r>
          </w:p>
        </w:tc>
        <w:tc>
          <w:tcPr>
            <w:tcW w:w="7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预算执行数</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预算执行率</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总额</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36.89</w:t>
            </w:r>
          </w:p>
        </w:tc>
        <w:tc>
          <w:tcPr>
            <w:tcW w:w="7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36.89</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r>
              <w:rPr>
                <w:rFonts w:hint="eastAsia" w:ascii="宋体" w:hAnsi="宋体" w:eastAsia="宋体" w:cs="宋体"/>
                <w:i w:val="0"/>
                <w:color w:val="000000"/>
                <w:kern w:val="0"/>
                <w:sz w:val="18"/>
                <w:szCs w:val="18"/>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因该项目在年末下达，当年未完成支付，结转到2023年进行支付。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trPr>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其中：财政资金</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8"/>
                <w:szCs w:val="18"/>
                <w:u w:val="none"/>
                <w:lang w:val="en-US" w:eastAsia="zh-CN"/>
              </w:rPr>
            </w:pPr>
            <w:r>
              <w:rPr>
                <w:rFonts w:hint="eastAsia" w:ascii="宋体" w:hAnsi="宋体" w:cs="宋体"/>
                <w:i w:val="0"/>
                <w:color w:val="000000"/>
                <w:sz w:val="18"/>
                <w:szCs w:val="18"/>
                <w:u w:val="none"/>
                <w:lang w:val="en-US" w:eastAsia="zh-CN"/>
              </w:rPr>
              <w:t>36.89</w:t>
            </w:r>
          </w:p>
        </w:tc>
        <w:tc>
          <w:tcPr>
            <w:tcW w:w="7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36.89</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cs="宋体"/>
                <w:i w:val="0"/>
                <w:color w:val="000000"/>
                <w:kern w:val="0"/>
                <w:sz w:val="18"/>
                <w:szCs w:val="18"/>
                <w:u w:val="none"/>
                <w:lang w:val="en-US" w:eastAsia="zh-CN" w:bidi="ar"/>
              </w:rPr>
              <w:t>100</w:t>
            </w:r>
            <w:r>
              <w:rPr>
                <w:rFonts w:hint="eastAsia" w:ascii="宋体" w:hAnsi="宋体" w:eastAsia="宋体" w:cs="宋体"/>
                <w:i w:val="0"/>
                <w:color w:val="000000"/>
                <w:kern w:val="0"/>
                <w:sz w:val="18"/>
                <w:szCs w:val="18"/>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财政专户管理资金</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7" w:hRule="atLeast"/>
        </w:trPr>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单位资金</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7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trPr>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其他资金</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绩效指标（90分）</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一级指标</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二级指标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三级指标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指标性质</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度量单位</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完成值</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权重</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部门自评得分</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财政部门科室复评得分</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非税收缴电子票据系统服务费用</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2.68</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预算管理一体化系统维护费</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17.01</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该系统部分运行维护费当年未全部支付，剩余费用结转到2023年支付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会计核算平台维护费</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2" w:hRule="atLeast"/>
        </w:trPr>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成本指标</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经济成本指标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财政门户网络系统维护费</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万元</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因该项目在年末下达，当年未完成支付，结转到2023年进行支付。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质量指标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系统正常运行率</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时效指标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项目完成时间</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年</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产出指标</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数量指标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财政业务管理系统维护数量</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个</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效益指标</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社会效益指标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财政管理</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定性</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级</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优</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8"/>
                <w:szCs w:val="18"/>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满意度指标</w:t>
            </w:r>
          </w:p>
        </w:tc>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服务对象满意度指标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系统使用单位满意度</w:t>
            </w:r>
          </w:p>
        </w:tc>
        <w:tc>
          <w:tcPr>
            <w:tcW w:w="2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0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w:t>
            </w:r>
          </w:p>
        </w:tc>
        <w:tc>
          <w:tcPr>
            <w:tcW w:w="3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35"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合计</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w:t>
            </w:r>
          </w:p>
        </w:tc>
        <w:tc>
          <w:tcPr>
            <w:tcW w:w="2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部门（单位）自评结论</w:t>
            </w:r>
          </w:p>
        </w:tc>
        <w:tc>
          <w:tcPr>
            <w:tcW w:w="450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通过自评，该项目完成了非税收缴电子票据系统、预算管理一体化系统、会计核算平台和财政门户网络系统的运行维护，确保了财政工作正常开展。自评得分98分。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部门（单位）自评存在问题</w:t>
            </w:r>
          </w:p>
        </w:tc>
        <w:tc>
          <w:tcPr>
            <w:tcW w:w="450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因项目下达时间较晚，预算执行进度不够高。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部门（单位）自评改进措施</w:t>
            </w:r>
          </w:p>
        </w:tc>
        <w:tc>
          <w:tcPr>
            <w:tcW w:w="450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提高项目实施进度，加快预算执行进度。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财政部门对口科室复评结论及整改要求</w:t>
            </w:r>
          </w:p>
        </w:tc>
        <w:tc>
          <w:tcPr>
            <w:tcW w:w="450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单位项目负责人：</w:t>
            </w:r>
          </w:p>
        </w:tc>
        <w:tc>
          <w:tcPr>
            <w:tcW w:w="279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单位财务负责人：衡云云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0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部门项目负责人：</w:t>
            </w:r>
          </w:p>
        </w:tc>
        <w:tc>
          <w:tcPr>
            <w:tcW w:w="279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部门财务负责人：衡云云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财政部门科室负责人：</w:t>
            </w:r>
          </w:p>
        </w:tc>
      </w:tr>
    </w:tbl>
    <w:p>
      <w:pPr>
        <w:rPr>
          <w:rFonts w:hint="eastAsia" w:ascii="方正小标宋简体" w:hAnsi="宋体" w:eastAsia="方正小标宋简体"/>
          <w:b w:val="0"/>
          <w:bCs w:val="0"/>
          <w:sz w:val="44"/>
          <w:szCs w:val="44"/>
          <w:lang w:val="en-US" w:eastAsia="zh-CN"/>
        </w:rPr>
        <w:sectPr>
          <w:footerReference r:id="rId13" w:type="default"/>
          <w:pgSz w:w="16838" w:h="11906" w:orient="landscape"/>
          <w:pgMar w:top="1587" w:right="2098" w:bottom="1474" w:left="1531" w:header="851" w:footer="1559" w:gutter="0"/>
          <w:pgNumType w:fmt="decimal"/>
          <w:cols w:space="425" w:num="1"/>
          <w:docGrid w:type="lines" w:linePitch="312" w:charSpace="0"/>
        </w:sectPr>
      </w:pPr>
    </w:p>
    <w:p>
      <w:pPr>
        <w:pStyle w:val="34"/>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sz w:val="44"/>
          <w:szCs w:val="44"/>
          <w:lang w:val="en-US" w:eastAsia="zh-CN"/>
        </w:rPr>
      </w:pPr>
      <w:r>
        <w:rPr>
          <w:rFonts w:hint="eastAsia" w:ascii="方正小标宋简体" w:hAnsi="宋体" w:eastAsia="方正小标宋简体"/>
          <w:b w:val="0"/>
          <w:bCs w:val="0"/>
          <w:sz w:val="44"/>
          <w:szCs w:val="44"/>
          <w:lang w:val="en-US" w:eastAsia="zh-CN"/>
        </w:rPr>
        <w:t>广元市财政局</w:t>
      </w:r>
    </w:p>
    <w:p>
      <w:pPr>
        <w:pStyle w:val="34"/>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sz w:val="44"/>
          <w:szCs w:val="44"/>
          <w:lang w:val="en-US" w:eastAsia="zh-CN"/>
        </w:rPr>
      </w:pPr>
      <w:r>
        <w:rPr>
          <w:rFonts w:hint="eastAsia" w:ascii="方正小标宋简体" w:hAnsi="宋体" w:eastAsia="方正小标宋简体"/>
          <w:b w:val="0"/>
          <w:bCs w:val="0"/>
          <w:sz w:val="44"/>
          <w:szCs w:val="44"/>
          <w:lang w:val="en-US" w:eastAsia="zh-CN"/>
        </w:rPr>
        <w:t>关于202</w:t>
      </w:r>
      <w:r>
        <w:rPr>
          <w:rFonts w:hint="default" w:ascii="方正小标宋简体" w:hAnsi="宋体" w:eastAsia="方正小标宋简体"/>
          <w:b w:val="0"/>
          <w:bCs w:val="0"/>
          <w:sz w:val="44"/>
          <w:szCs w:val="44"/>
          <w:lang w:val="en" w:eastAsia="zh-CN"/>
        </w:rPr>
        <w:t>2</w:t>
      </w:r>
      <w:r>
        <w:rPr>
          <w:rFonts w:hint="eastAsia" w:ascii="方正小标宋简体" w:hAnsi="宋体" w:eastAsia="方正小标宋简体"/>
          <w:b w:val="0"/>
          <w:bCs w:val="0"/>
          <w:sz w:val="44"/>
          <w:szCs w:val="44"/>
          <w:lang w:val="en-US" w:eastAsia="zh-CN"/>
        </w:rPr>
        <w:t>年项目前期工作经费</w:t>
      </w:r>
    </w:p>
    <w:p>
      <w:pPr>
        <w:pStyle w:val="34"/>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hAnsi="宋体" w:eastAsia="方正小标宋简体"/>
          <w:b w:val="0"/>
          <w:bCs w:val="0"/>
          <w:sz w:val="44"/>
          <w:szCs w:val="44"/>
        </w:rPr>
      </w:pPr>
      <w:r>
        <w:rPr>
          <w:rFonts w:hint="eastAsia" w:ascii="方正小标宋简体" w:hAnsi="宋体" w:eastAsia="方正小标宋简体"/>
          <w:b w:val="0"/>
          <w:bCs w:val="0"/>
          <w:sz w:val="44"/>
          <w:szCs w:val="44"/>
          <w:lang w:eastAsia="zh-CN"/>
        </w:rPr>
        <w:t>项目</w:t>
      </w:r>
      <w:r>
        <w:rPr>
          <w:rFonts w:hint="eastAsia" w:ascii="方正小标宋简体" w:hAnsi="宋体" w:eastAsia="方正小标宋简体"/>
          <w:b w:val="0"/>
          <w:bCs w:val="0"/>
          <w:sz w:val="44"/>
          <w:szCs w:val="44"/>
        </w:rPr>
        <w:t>绩效</w:t>
      </w:r>
      <w:r>
        <w:rPr>
          <w:rFonts w:hint="eastAsia" w:ascii="方正小标宋简体" w:hAnsi="宋体" w:eastAsia="方正小标宋简体"/>
          <w:b w:val="0"/>
          <w:bCs w:val="0"/>
          <w:sz w:val="44"/>
          <w:szCs w:val="44"/>
          <w:lang w:val="en-US" w:eastAsia="zh-CN"/>
        </w:rPr>
        <w:t>的</w:t>
      </w:r>
      <w:r>
        <w:rPr>
          <w:rFonts w:hint="eastAsia" w:ascii="方正小标宋简体" w:hAnsi="宋体" w:eastAsia="方正小标宋简体"/>
          <w:b w:val="0"/>
          <w:bCs w:val="0"/>
          <w:sz w:val="44"/>
          <w:szCs w:val="44"/>
        </w:rPr>
        <w:t>自评报告</w:t>
      </w:r>
    </w:p>
    <w:p>
      <w:pPr>
        <w:pStyle w:val="34"/>
        <w:keepNext w:val="0"/>
        <w:keepLines w:val="0"/>
        <w:pageBreakBefore w:val="0"/>
        <w:widowControl w:val="0"/>
        <w:kinsoku/>
        <w:wordWrap/>
        <w:overflowPunct/>
        <w:topLinePunct w:val="0"/>
        <w:autoSpaceDE/>
        <w:autoSpaceDN/>
        <w:bidi w:val="0"/>
        <w:spacing w:line="576" w:lineRule="exact"/>
        <w:ind w:firstLine="640"/>
        <w:jc w:val="center"/>
        <w:textAlignment w:val="auto"/>
        <w:rPr>
          <w:rFonts w:ascii="宋体" w:hAnsi="宋体"/>
          <w:b w:val="0"/>
          <w:bCs w:val="0"/>
          <w:color w:val="auto"/>
          <w:kern w:val="2"/>
          <w:sz w:val="32"/>
          <w:szCs w:val="32"/>
          <w:highlight w:val="none"/>
        </w:rPr>
      </w:pP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outlineLvl w:val="1"/>
        <w:rPr>
          <w:rFonts w:hint="eastAsia" w:ascii="CESI黑体-GB2312" w:hAnsi="CESI黑体-GB2312" w:eastAsia="CESI黑体-GB2312" w:cs="CESI黑体-GB2312"/>
          <w:sz w:val="32"/>
          <w:szCs w:val="32"/>
          <w:lang w:val="zh-CN"/>
        </w:rPr>
      </w:pPr>
      <w:bookmarkStart w:id="98" w:name="_Toc18311"/>
      <w:r>
        <w:rPr>
          <w:rFonts w:hint="eastAsia" w:ascii="CESI黑体-GB2312" w:hAnsi="CESI黑体-GB2312" w:eastAsia="CESI黑体-GB2312" w:cs="CESI黑体-GB2312"/>
          <w:sz w:val="32"/>
          <w:szCs w:val="32"/>
        </w:rPr>
        <w:t>一、</w:t>
      </w:r>
      <w:r>
        <w:rPr>
          <w:rFonts w:hint="eastAsia" w:ascii="CESI黑体-GB2312" w:hAnsi="CESI黑体-GB2312" w:eastAsia="CESI黑体-GB2312" w:cs="CESI黑体-GB2312"/>
          <w:sz w:val="32"/>
          <w:szCs w:val="32"/>
          <w:lang w:val="zh-CN"/>
        </w:rPr>
        <w:t>项目概况</w:t>
      </w:r>
      <w:bookmarkEnd w:id="98"/>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（一）项目基本情况。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rPr>
        <w:t>本项目根据市委市政府授予市财政局职能职责所设立</w:t>
      </w:r>
      <w:r>
        <w:rPr>
          <w:rFonts w:hint="eastAsia" w:ascii="仿宋_GB2312" w:hAnsi="仿宋_GB2312" w:eastAsia="仿宋_GB2312" w:cs="仿宋_GB2312"/>
          <w:sz w:val="32"/>
          <w:szCs w:val="32"/>
          <w:lang w:eastAsia="zh-CN"/>
        </w:rPr>
        <w:t>，属于</w:t>
      </w:r>
      <w:r>
        <w:rPr>
          <w:rFonts w:hint="eastAsia" w:ascii="仿宋_GB2312" w:hAnsi="仿宋_GB2312" w:eastAsia="仿宋_GB2312" w:cs="仿宋_GB2312"/>
          <w:sz w:val="32"/>
          <w:szCs w:val="32"/>
          <w:lang w:val="en-US" w:eastAsia="zh-CN"/>
        </w:rPr>
        <w:t>2022年省预算内基本建设资金，项目申报经审批后由市财政下达项目资金，用于保障黑石坡至曾家山公路工程项目施工图预算前期评审工作。</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1.项目主要内容。完成黑石坡至曾家山公路工程项目施工图预算评审工作</w:t>
      </w:r>
      <w:r>
        <w:rPr>
          <w:rFonts w:hint="eastAsia" w:ascii="仿宋_GB2312" w:hAnsi="仿宋_GB2312" w:eastAsia="仿宋_GB2312" w:cs="仿宋_GB2312"/>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2.项目绩效目标。项目分别设立产出指标、成本指标、效益指标和满意度指标，对项目维护内容和数量、完成时限和系统运行质量等进行了细化和量化。</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val="zh-CN"/>
        </w:rPr>
        <w:t>项目资金申报相符性。</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en-US" w:eastAsia="zh-CN"/>
        </w:rPr>
        <w:t>根据单位职能职责设定具体工作内容，</w:t>
      </w:r>
      <w:r>
        <w:rPr>
          <w:rFonts w:hint="eastAsia" w:ascii="仿宋_GB2312" w:hAnsi="仿宋_GB2312" w:eastAsia="仿宋_GB2312" w:cs="仿宋_GB2312"/>
          <w:sz w:val="32"/>
          <w:szCs w:val="32"/>
          <w:lang w:val="zh-CN"/>
        </w:rPr>
        <w:t>申报内容</w:t>
      </w:r>
      <w:r>
        <w:rPr>
          <w:rFonts w:hint="eastAsia" w:ascii="仿宋_GB2312" w:hAnsi="仿宋_GB2312" w:eastAsia="仿宋_GB2312" w:cs="仿宋_GB2312"/>
          <w:sz w:val="32"/>
          <w:szCs w:val="32"/>
          <w:lang w:val="en-US" w:eastAsia="zh-CN"/>
        </w:rPr>
        <w:t>和项目绩效</w:t>
      </w:r>
      <w:r>
        <w:rPr>
          <w:rFonts w:hint="eastAsia" w:ascii="仿宋_GB2312" w:hAnsi="仿宋_GB2312" w:eastAsia="仿宋_GB2312" w:cs="仿宋_GB2312"/>
          <w:sz w:val="32"/>
          <w:szCs w:val="32"/>
          <w:lang w:val="zh-CN"/>
        </w:rPr>
        <w:t>目标</w:t>
      </w:r>
      <w:r>
        <w:rPr>
          <w:rFonts w:hint="eastAsia" w:ascii="仿宋_GB2312" w:hAnsi="仿宋_GB2312" w:eastAsia="仿宋_GB2312" w:cs="仿宋_GB2312"/>
          <w:sz w:val="32"/>
          <w:szCs w:val="32"/>
          <w:lang w:val="en-US" w:eastAsia="zh-CN"/>
        </w:rPr>
        <w:t>与财政管理业务工作</w:t>
      </w:r>
      <w:r>
        <w:rPr>
          <w:rFonts w:hint="eastAsia" w:ascii="仿宋_GB2312" w:hAnsi="仿宋_GB2312" w:eastAsia="仿宋_GB2312" w:cs="仿宋_GB2312"/>
          <w:sz w:val="32"/>
          <w:szCs w:val="32"/>
          <w:lang w:val="zh-CN"/>
        </w:rPr>
        <w:t>相符，</w:t>
      </w:r>
      <w:r>
        <w:rPr>
          <w:rFonts w:hint="eastAsia" w:ascii="仿宋_GB2312" w:hAnsi="仿宋_GB2312" w:eastAsia="仿宋_GB2312" w:cs="仿宋_GB2312"/>
          <w:sz w:val="32"/>
          <w:szCs w:val="32"/>
          <w:lang w:val="en-US" w:eastAsia="zh-CN"/>
        </w:rPr>
        <w:t>项目</w:t>
      </w:r>
      <w:r>
        <w:rPr>
          <w:rFonts w:hint="eastAsia" w:ascii="仿宋_GB2312" w:hAnsi="仿宋_GB2312" w:eastAsia="仿宋_GB2312" w:cs="仿宋_GB2312"/>
          <w:sz w:val="32"/>
          <w:szCs w:val="32"/>
          <w:lang w:val="zh-CN"/>
        </w:rPr>
        <w:t>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按照项目评价要求，明确自评责任人，通过查验资料、报告工作等形式严格自评，做到自评真实不走形式。</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outlineLvl w:val="1"/>
        <w:rPr>
          <w:rFonts w:hint="eastAsia" w:ascii="CESI黑体-GB2312" w:hAnsi="CESI黑体-GB2312" w:eastAsia="CESI黑体-GB2312" w:cs="CESI黑体-GB2312"/>
          <w:sz w:val="32"/>
          <w:szCs w:val="32"/>
        </w:rPr>
      </w:pPr>
      <w:bookmarkStart w:id="99" w:name="_Toc26317"/>
      <w:r>
        <w:rPr>
          <w:rFonts w:hint="eastAsia" w:ascii="CESI黑体-GB2312" w:hAnsi="CESI黑体-GB2312" w:eastAsia="CESI黑体-GB2312" w:cs="CESI黑体-GB2312"/>
          <w:sz w:val="32"/>
          <w:szCs w:val="32"/>
        </w:rPr>
        <w:t>二、项目资金申报及使用情况</w:t>
      </w:r>
      <w:bookmarkEnd w:id="99"/>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按照一般公共预算管理要求， 市财政局申报项目资金预算，202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年由广元市财政局通过</w:t>
      </w:r>
      <w:r>
        <w:rPr>
          <w:rFonts w:hint="eastAsia" w:ascii="仿宋_GB2312" w:hAnsi="仿宋_GB2312" w:eastAsia="仿宋_GB2312" w:cs="仿宋_GB2312"/>
          <w:sz w:val="32"/>
          <w:szCs w:val="32"/>
          <w:lang w:val="en-US" w:eastAsia="zh-CN"/>
        </w:rPr>
        <w:t>《广元市财政局关于下达项目前期工作激励2022年省预算内基本建设资金支出预算的通知》（广财投〔2022〕116号）</w:t>
      </w:r>
      <w:r>
        <w:rPr>
          <w:rFonts w:hint="eastAsia" w:ascii="仿宋_GB2312" w:hAnsi="仿宋_GB2312" w:eastAsia="仿宋_GB2312" w:cs="仿宋_GB2312"/>
          <w:sz w:val="32"/>
          <w:szCs w:val="32"/>
        </w:rPr>
        <w:t>文件下达我单位项目资金</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zh-CN"/>
        </w:rPr>
        <w:t>1．资金计划。</w:t>
      </w:r>
      <w:r>
        <w:rPr>
          <w:rFonts w:hint="eastAsia" w:ascii="仿宋_GB2312" w:hAnsi="仿宋_GB2312" w:eastAsia="仿宋_GB2312" w:cs="仿宋_GB2312"/>
          <w:sz w:val="32"/>
          <w:szCs w:val="32"/>
        </w:rPr>
        <w:t>本项目</w:t>
      </w:r>
      <w:r>
        <w:rPr>
          <w:rFonts w:hint="eastAsia" w:ascii="仿宋_GB2312" w:hAnsi="仿宋_GB2312" w:eastAsia="仿宋_GB2312" w:cs="仿宋_GB2312"/>
          <w:sz w:val="32"/>
          <w:szCs w:val="32"/>
          <w:lang w:eastAsia="zh-CN"/>
        </w:rPr>
        <w:t>为省预算内基本建设资金，在年度开始后追加下达</w:t>
      </w:r>
      <w:r>
        <w:rPr>
          <w:rFonts w:hint="eastAsia" w:ascii="仿宋_GB2312" w:hAnsi="仿宋_GB2312" w:eastAsia="仿宋_GB2312" w:cs="仿宋_GB2312"/>
          <w:sz w:val="32"/>
          <w:szCs w:val="32"/>
          <w:lang w:val="en-US" w:eastAsia="zh-CN"/>
        </w:rPr>
        <w:t>资金</w:t>
      </w:r>
      <w:r>
        <w:rPr>
          <w:rFonts w:hint="eastAsia" w:ascii="仿宋_GB2312" w:hAnsi="仿宋_GB2312" w:eastAsia="仿宋_GB2312" w:cs="仿宋_GB2312"/>
          <w:sz w:val="32"/>
          <w:szCs w:val="32"/>
        </w:rPr>
        <w:t>为</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val="en-US" w:eastAsia="zh-CN"/>
        </w:rPr>
        <w:t>该项目</w:t>
      </w:r>
      <w:r>
        <w:rPr>
          <w:rFonts w:hint="eastAsia" w:ascii="仿宋_GB2312" w:hAnsi="仿宋_GB2312" w:eastAsia="仿宋_GB2312" w:cs="仿宋_GB2312"/>
          <w:sz w:val="32"/>
          <w:szCs w:val="32"/>
        </w:rPr>
        <w:t>实际拨付</w:t>
      </w:r>
      <w:r>
        <w:rPr>
          <w:rFonts w:hint="eastAsia" w:ascii="仿宋_GB2312" w:hAnsi="仿宋_GB2312" w:eastAsia="仿宋_GB2312" w:cs="仿宋_GB2312"/>
          <w:sz w:val="32"/>
          <w:szCs w:val="32"/>
          <w:lang w:val="en-US" w:eastAsia="zh-CN"/>
        </w:rPr>
        <w:t>到位</w:t>
      </w:r>
      <w:r>
        <w:rPr>
          <w:rFonts w:hint="eastAsia" w:ascii="仿宋_GB2312" w:hAnsi="仿宋_GB2312" w:eastAsia="仿宋_GB2312" w:cs="仿宋_GB2312"/>
          <w:sz w:val="32"/>
          <w:szCs w:val="32"/>
        </w:rPr>
        <w:t>资金</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万元，资金拨付率为100%。</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zh-CN"/>
        </w:rPr>
        <w:t>2．资金使用。</w:t>
      </w:r>
      <w:r>
        <w:rPr>
          <w:rFonts w:hint="eastAsia" w:ascii="仿宋_GB2312" w:hAnsi="仿宋_GB2312" w:eastAsia="仿宋_GB2312" w:cs="仿宋_GB2312"/>
          <w:sz w:val="32"/>
          <w:szCs w:val="32"/>
        </w:rPr>
        <w:t>该项目资金全年共支出</w:t>
      </w:r>
      <w:r>
        <w:rPr>
          <w:rFonts w:hint="eastAsia" w:ascii="仿宋_GB2312" w:hAnsi="仿宋_GB2312" w:eastAsia="仿宋_GB2312" w:cs="仿宋_GB2312"/>
          <w:sz w:val="32"/>
          <w:szCs w:val="32"/>
          <w:lang w:val="en-US" w:eastAsia="zh-CN"/>
        </w:rPr>
        <w:t>29.8</w:t>
      </w:r>
      <w:r>
        <w:rPr>
          <w:rFonts w:hint="eastAsia" w:ascii="仿宋_GB2312" w:hAnsi="仿宋_GB2312" w:eastAsia="仿宋_GB2312" w:cs="仿宋_GB2312"/>
          <w:sz w:val="32"/>
          <w:szCs w:val="32"/>
        </w:rPr>
        <w:t>万元，支出进度为</w:t>
      </w:r>
      <w:r>
        <w:rPr>
          <w:rFonts w:hint="eastAsia" w:ascii="仿宋_GB2312" w:hAnsi="仿宋_GB2312" w:eastAsia="仿宋_GB2312" w:cs="仿宋_GB2312"/>
          <w:sz w:val="32"/>
          <w:szCs w:val="32"/>
          <w:lang w:val="en-US" w:eastAsia="zh-CN"/>
        </w:rPr>
        <w:t>99.33</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支出进度未达到</w:t>
      </w:r>
      <w:r>
        <w:rPr>
          <w:rFonts w:hint="eastAsia" w:ascii="仿宋_GB2312" w:hAnsi="仿宋_GB2312" w:eastAsia="仿宋_GB2312" w:cs="仿宋_GB2312"/>
          <w:sz w:val="32"/>
          <w:szCs w:val="32"/>
          <w:lang w:val="en-US" w:eastAsia="zh-CN"/>
        </w:rPr>
        <w:t>100%的原因主要是因为该项目申报金额为29.8万元，实际下达指标为30万元，未支出指标已于2022年年底收回。</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该项目按照相关管理规定和我局“三重一大”、经费收支管理规定实施，该项目资金绩效取得良好成效，经项目预算评审后节约财政资金6475.34万元，提高了财政资金使用效益，推动了我市民生保障类项目工程建设，高效保障市本级重点项目落实落地。该</w:t>
      </w:r>
      <w:r>
        <w:rPr>
          <w:rFonts w:hint="eastAsia" w:ascii="仿宋_GB2312" w:hAnsi="仿宋_GB2312" w:eastAsia="仿宋_GB2312" w:cs="仿宋_GB2312"/>
          <w:sz w:val="32"/>
          <w:szCs w:val="32"/>
        </w:rPr>
        <w:t>项目在执行过程中，严格按照预算批复执行，不随意改变该项目资金支付范围、支付标准，严控预算执行进度和经费支出情况，确保资金使用安全、规范、高效。</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我单位严格按照财务管理相关制度规定，建立健全财务管理制度及内控制度，加强对财政管理专项经费的使用管理，按照专项资金管理办法做好项目实施和监管，及时、规范进行账务处理及会计核算</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切实做到专款专用，最大可能发挥专项资金作用。</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outlineLvl w:val="1"/>
        <w:rPr>
          <w:rFonts w:hint="eastAsia" w:ascii="CESI黑体-GB2312" w:hAnsi="CESI黑体-GB2312" w:eastAsia="CESI黑体-GB2312" w:cs="CESI黑体-GB2312"/>
          <w:sz w:val="32"/>
          <w:szCs w:val="32"/>
        </w:rPr>
      </w:pPr>
      <w:bookmarkStart w:id="100" w:name="_Toc31607"/>
      <w:r>
        <w:rPr>
          <w:rFonts w:hint="eastAsia" w:ascii="CESI黑体-GB2312" w:hAnsi="CESI黑体-GB2312" w:eastAsia="CESI黑体-GB2312" w:cs="CESI黑体-GB2312"/>
          <w:sz w:val="32"/>
          <w:szCs w:val="32"/>
        </w:rPr>
        <w:t>三、项目实施及管理情况</w:t>
      </w:r>
      <w:bookmarkEnd w:id="100"/>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该项目不属于政府采购项目，但相关科室严格按照相关管理规定组织实施，在开展财政专项工作前履行审批工作，报销环节严格按照我单位财务管理规定报销费用。</w:t>
      </w:r>
      <w:r>
        <w:rPr>
          <w:rFonts w:hint="eastAsia" w:ascii="仿宋_GB2312" w:hAnsi="仿宋_GB2312" w:eastAsia="仿宋_GB2312" w:cs="仿宋_GB2312"/>
          <w:sz w:val="32"/>
          <w:szCs w:val="32"/>
        </w:rPr>
        <w:t>我</w:t>
      </w:r>
      <w:r>
        <w:rPr>
          <w:rFonts w:hint="eastAsia" w:ascii="仿宋_GB2312" w:hAnsi="仿宋_GB2312" w:eastAsia="仿宋_GB2312" w:cs="仿宋_GB2312"/>
          <w:sz w:val="32"/>
          <w:szCs w:val="32"/>
          <w:lang w:val="en-US" w:eastAsia="zh-CN"/>
        </w:rPr>
        <w:t>单位</w:t>
      </w:r>
      <w:r>
        <w:rPr>
          <w:rFonts w:hint="eastAsia" w:ascii="仿宋_GB2312" w:hAnsi="仿宋_GB2312" w:eastAsia="仿宋_GB2312" w:cs="仿宋_GB2312"/>
          <w:sz w:val="32"/>
          <w:szCs w:val="32"/>
        </w:rPr>
        <w:t>严格按照项目管理有关规定管理专项经费，为保障项目资金安全，确保资金专款专用， 从资金申请、资金使用、会计核算三个环节加强资金管理。在项目资金申请环节，严格按照国库集中支付流程申请财政资金;在资金使用环节，严格遵守相关法律法规规定，严格按照单位财务管理审批流程办理款项支付</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在会计核算环节，对本项目资金实行单独核算，确保专款专用。通过上述三个环节的管理，极力避免了挪用、挤占、截留项目资金的现象，保证财政资金安全有效使用。同时经费管理主动接受驻局纪检监察组和审计部门的监督检查，对预算执行实行动态监控，无违纪违法现象。</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outlineLvl w:val="1"/>
        <w:rPr>
          <w:rFonts w:hint="eastAsia" w:ascii="CESI黑体-GB2312" w:hAnsi="CESI黑体-GB2312" w:eastAsia="CESI黑体-GB2312" w:cs="CESI黑体-GB2312"/>
          <w:sz w:val="32"/>
          <w:szCs w:val="32"/>
          <w:lang w:val="zh-CN"/>
        </w:rPr>
      </w:pPr>
      <w:bookmarkStart w:id="101" w:name="_Toc11318"/>
      <w:r>
        <w:rPr>
          <w:rFonts w:hint="eastAsia" w:ascii="CESI黑体-GB2312" w:hAnsi="CESI黑体-GB2312" w:eastAsia="CESI黑体-GB2312" w:cs="CESI黑体-GB2312"/>
          <w:sz w:val="32"/>
          <w:szCs w:val="32"/>
        </w:rPr>
        <w:t>四、项目绩效情况</w:t>
      </w:r>
      <w:bookmarkEnd w:id="101"/>
      <w:r>
        <w:rPr>
          <w:rFonts w:hint="eastAsia" w:ascii="CESI黑体-GB2312" w:hAnsi="CESI黑体-GB2312" w:eastAsia="CESI黑体-GB2312" w:cs="CESI黑体-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通过项目实施，</w:t>
      </w:r>
      <w:r>
        <w:rPr>
          <w:rFonts w:hint="eastAsia" w:ascii="仿宋_GB2312" w:hAnsi="仿宋_GB2312" w:eastAsia="仿宋_GB2312" w:cs="仿宋_GB2312"/>
          <w:sz w:val="32"/>
          <w:szCs w:val="32"/>
          <w:lang w:eastAsia="zh-CN"/>
        </w:rPr>
        <w:t>提高了财政资金使用效益，推动了我市民生保障类项目工程建设，高效保障市本级重点项目落实落地。</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1.项目实施对经济和社会的影响。通过该项目顺利实施，</w:t>
      </w:r>
      <w:r>
        <w:rPr>
          <w:rFonts w:hint="eastAsia" w:ascii="仿宋_GB2312" w:hAnsi="仿宋_GB2312" w:eastAsia="仿宋_GB2312" w:cs="仿宋_GB2312"/>
          <w:sz w:val="32"/>
          <w:szCs w:val="32"/>
          <w:lang w:eastAsia="zh-CN"/>
        </w:rPr>
        <w:t>有效节约财政资金</w:t>
      </w:r>
      <w:r>
        <w:rPr>
          <w:rFonts w:hint="eastAsia" w:ascii="仿宋_GB2312" w:hAnsi="仿宋_GB2312" w:eastAsia="仿宋_GB2312" w:cs="仿宋_GB2312"/>
          <w:sz w:val="32"/>
          <w:szCs w:val="32"/>
          <w:lang w:val="en-US" w:eastAsia="zh-CN"/>
        </w:rPr>
        <w:t>6475万元</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保障了我市重点项目的推进实施。</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2.项目服务对象满意度。</w:t>
      </w:r>
      <w:r>
        <w:rPr>
          <w:rFonts w:hint="eastAsia" w:ascii="仿宋_GB2312" w:hAnsi="仿宋_GB2312" w:eastAsia="仿宋_GB2312" w:cs="仿宋_GB2312"/>
          <w:sz w:val="32"/>
          <w:szCs w:val="32"/>
          <w:lang w:eastAsia="zh-CN"/>
        </w:rPr>
        <w:t>主管</w:t>
      </w:r>
      <w:r>
        <w:rPr>
          <w:rFonts w:hint="eastAsia" w:ascii="仿宋_GB2312" w:hAnsi="仿宋_GB2312" w:eastAsia="仿宋_GB2312" w:cs="仿宋_GB2312"/>
          <w:sz w:val="32"/>
          <w:szCs w:val="32"/>
        </w:rPr>
        <w:t>单位满意度达</w:t>
      </w:r>
      <w:r>
        <w:rPr>
          <w:rFonts w:hint="eastAsia" w:ascii="仿宋_GB2312" w:hAnsi="仿宋_GB2312" w:eastAsia="仿宋_GB2312" w:cs="仿宋_GB2312"/>
          <w:sz w:val="32"/>
          <w:szCs w:val="32"/>
          <w:lang w:val="en-US" w:eastAsia="zh-CN"/>
        </w:rPr>
        <w:t>95</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outlineLvl w:val="1"/>
        <w:rPr>
          <w:rFonts w:hint="eastAsia" w:ascii="CESI黑体-GB2312" w:hAnsi="CESI黑体-GB2312" w:eastAsia="CESI黑体-GB2312" w:cs="CESI黑体-GB2312"/>
          <w:sz w:val="32"/>
          <w:szCs w:val="32"/>
        </w:rPr>
      </w:pPr>
      <w:bookmarkStart w:id="102" w:name="_Toc15156"/>
      <w:r>
        <w:rPr>
          <w:rFonts w:hint="eastAsia" w:ascii="CESI黑体-GB2312" w:hAnsi="CESI黑体-GB2312" w:eastAsia="CESI黑体-GB2312" w:cs="CESI黑体-GB2312"/>
          <w:sz w:val="32"/>
          <w:szCs w:val="32"/>
        </w:rPr>
        <w:t>五、评价结论及建议</w:t>
      </w:r>
      <w:bookmarkEnd w:id="102"/>
    </w:p>
    <w:p>
      <w:pPr>
        <w:keepNext w:val="0"/>
        <w:keepLines w:val="0"/>
        <w:pageBreakBefore w:val="0"/>
        <w:widowControl w:val="0"/>
        <w:kinsoku/>
        <w:wordWrap/>
        <w:overflowPunct/>
        <w:topLinePunct w:val="0"/>
        <w:autoSpaceDE/>
        <w:autoSpaceDN/>
        <w:bidi w:val="0"/>
        <w:adjustRightInd w:val="0"/>
        <w:snapToGrid w:val="0"/>
        <w:spacing w:line="576" w:lineRule="exact"/>
        <w:ind w:firstLine="720"/>
        <w:jc w:val="both"/>
        <w:textAlignment w:val="auto"/>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结合项目自身特点、评价重点及管理办法等要求，</w:t>
      </w:r>
      <w:r>
        <w:rPr>
          <w:rFonts w:hint="eastAsia" w:ascii="仿宋_GB2312" w:hAnsi="仿宋_GB2312" w:eastAsia="仿宋_GB2312" w:cs="仿宋_GB2312"/>
          <w:sz w:val="32"/>
          <w:szCs w:val="32"/>
          <w:lang w:val="en-US" w:eastAsia="zh-CN"/>
        </w:rPr>
        <w:t>根据</w:t>
      </w:r>
      <w:r>
        <w:rPr>
          <w:rFonts w:hint="eastAsia" w:ascii="仿宋_GB2312" w:hAnsi="仿宋_GB2312" w:eastAsia="仿宋_GB2312" w:cs="仿宋_GB2312"/>
          <w:sz w:val="32"/>
          <w:szCs w:val="32"/>
          <w:lang w:val="zh-CN"/>
        </w:rPr>
        <w:t>专项项目支出绩效评价指标体系，</w:t>
      </w:r>
      <w:r>
        <w:rPr>
          <w:rFonts w:hint="eastAsia" w:ascii="仿宋_GB2312" w:hAnsi="仿宋_GB2312" w:eastAsia="仿宋_GB2312" w:cs="仿宋_GB2312"/>
          <w:sz w:val="32"/>
          <w:szCs w:val="32"/>
          <w:lang w:val="en-US" w:eastAsia="zh-CN"/>
        </w:rPr>
        <w:t>该</w:t>
      </w:r>
      <w:r>
        <w:rPr>
          <w:rFonts w:hint="eastAsia" w:ascii="仿宋_GB2312" w:hAnsi="仿宋_GB2312" w:eastAsia="仿宋_GB2312" w:cs="仿宋_GB2312"/>
          <w:sz w:val="32"/>
          <w:szCs w:val="32"/>
          <w:lang w:val="zh-CN"/>
        </w:rPr>
        <w:t>项目</w:t>
      </w:r>
      <w:r>
        <w:rPr>
          <w:rFonts w:hint="eastAsia" w:ascii="仿宋_GB2312" w:hAnsi="仿宋_GB2312" w:eastAsia="仿宋_GB2312" w:cs="仿宋_GB2312"/>
          <w:sz w:val="32"/>
          <w:szCs w:val="32"/>
          <w:lang w:val="en-US" w:eastAsia="zh-CN"/>
        </w:rPr>
        <w:t>自评得分为100分</w:t>
      </w:r>
      <w:r>
        <w:rPr>
          <w:rFonts w:hint="eastAsia" w:ascii="仿宋_GB2312" w:hAnsi="仿宋_GB2312" w:eastAsia="仿宋_GB2312" w:cs="仿宋_GB2312"/>
          <w:sz w:val="32"/>
          <w:szCs w:val="32"/>
          <w:lang w:val="zh-CN"/>
        </w:rPr>
        <w:t>。</w:t>
      </w:r>
    </w:p>
    <w:p>
      <w:pPr>
        <w:spacing w:line="600" w:lineRule="exact"/>
        <w:jc w:val="center"/>
        <w:outlineLvl w:val="9"/>
        <w:rPr>
          <w:rStyle w:val="19"/>
          <w:rFonts w:hint="eastAsia" w:ascii="黑体" w:hAnsi="黑体" w:eastAsia="黑体"/>
          <w:b w:val="0"/>
          <w:color w:val="auto"/>
          <w:sz w:val="32"/>
          <w:szCs w:val="32"/>
          <w:highlight w:val="none"/>
        </w:rPr>
      </w:pPr>
    </w:p>
    <w:p>
      <w:pPr>
        <w:spacing w:line="600" w:lineRule="exact"/>
        <w:jc w:val="center"/>
        <w:outlineLvl w:val="9"/>
        <w:rPr>
          <w:rStyle w:val="19"/>
          <w:rFonts w:hint="eastAsia" w:ascii="黑体" w:hAnsi="黑体" w:eastAsia="黑体"/>
          <w:b w:val="0"/>
          <w:color w:val="auto"/>
          <w:sz w:val="32"/>
          <w:szCs w:val="32"/>
          <w:highlight w:val="none"/>
        </w:rPr>
      </w:pPr>
    </w:p>
    <w:p>
      <w:pPr>
        <w:spacing w:line="600" w:lineRule="exact"/>
        <w:jc w:val="center"/>
        <w:outlineLvl w:val="9"/>
        <w:rPr>
          <w:rStyle w:val="19"/>
          <w:rFonts w:hint="eastAsia" w:ascii="黑体" w:hAnsi="黑体" w:eastAsia="黑体"/>
          <w:b w:val="0"/>
          <w:color w:val="auto"/>
          <w:sz w:val="32"/>
          <w:szCs w:val="32"/>
          <w:highlight w:val="none"/>
        </w:rPr>
      </w:pPr>
    </w:p>
    <w:p>
      <w:pPr>
        <w:spacing w:line="600" w:lineRule="exact"/>
        <w:jc w:val="center"/>
        <w:outlineLvl w:val="9"/>
        <w:rPr>
          <w:rStyle w:val="19"/>
          <w:rFonts w:hint="eastAsia" w:ascii="黑体" w:hAnsi="黑体" w:eastAsia="黑体"/>
          <w:b w:val="0"/>
          <w:color w:val="auto"/>
          <w:sz w:val="32"/>
          <w:szCs w:val="32"/>
          <w:highlight w:val="none"/>
        </w:rPr>
      </w:pPr>
    </w:p>
    <w:p>
      <w:pPr>
        <w:spacing w:line="600" w:lineRule="exact"/>
        <w:jc w:val="center"/>
        <w:outlineLvl w:val="9"/>
        <w:rPr>
          <w:rStyle w:val="19"/>
          <w:rFonts w:hint="eastAsia" w:ascii="黑体" w:hAnsi="黑体" w:eastAsia="黑体"/>
          <w:b w:val="0"/>
          <w:color w:val="auto"/>
          <w:sz w:val="32"/>
          <w:szCs w:val="32"/>
          <w:highlight w:val="none"/>
        </w:rPr>
      </w:pPr>
    </w:p>
    <w:p>
      <w:pPr>
        <w:spacing w:line="600" w:lineRule="exact"/>
        <w:jc w:val="center"/>
        <w:outlineLvl w:val="9"/>
        <w:rPr>
          <w:rStyle w:val="19"/>
          <w:rFonts w:hint="eastAsia" w:ascii="黑体" w:hAnsi="黑体" w:eastAsia="黑体"/>
          <w:b w:val="0"/>
          <w:color w:val="auto"/>
          <w:sz w:val="32"/>
          <w:szCs w:val="32"/>
          <w:highlight w:val="none"/>
        </w:rPr>
      </w:pPr>
    </w:p>
    <w:p>
      <w:pPr>
        <w:spacing w:line="600" w:lineRule="exact"/>
        <w:jc w:val="center"/>
        <w:outlineLvl w:val="9"/>
        <w:rPr>
          <w:rStyle w:val="19"/>
          <w:rFonts w:hint="eastAsia" w:ascii="黑体" w:hAnsi="黑体" w:eastAsia="黑体"/>
          <w:b w:val="0"/>
          <w:color w:val="auto"/>
          <w:sz w:val="32"/>
          <w:szCs w:val="32"/>
          <w:highlight w:val="none"/>
        </w:rPr>
      </w:pPr>
    </w:p>
    <w:p>
      <w:pPr>
        <w:spacing w:line="600" w:lineRule="exact"/>
        <w:jc w:val="center"/>
        <w:outlineLvl w:val="9"/>
        <w:rPr>
          <w:rStyle w:val="19"/>
          <w:rFonts w:hint="eastAsia" w:ascii="黑体" w:hAnsi="黑体" w:eastAsia="黑体"/>
          <w:b w:val="0"/>
          <w:color w:val="auto"/>
          <w:sz w:val="32"/>
          <w:szCs w:val="32"/>
          <w:highlight w:val="none"/>
        </w:rPr>
      </w:pPr>
    </w:p>
    <w:p>
      <w:pPr>
        <w:spacing w:line="600" w:lineRule="exact"/>
        <w:jc w:val="center"/>
        <w:outlineLvl w:val="9"/>
        <w:rPr>
          <w:rStyle w:val="19"/>
          <w:rFonts w:hint="eastAsia" w:ascii="黑体" w:hAnsi="黑体" w:eastAsia="黑体"/>
          <w:b w:val="0"/>
          <w:color w:val="auto"/>
          <w:sz w:val="32"/>
          <w:szCs w:val="32"/>
          <w:highlight w:val="none"/>
        </w:rPr>
      </w:pPr>
    </w:p>
    <w:p>
      <w:pPr>
        <w:spacing w:line="600" w:lineRule="exact"/>
        <w:jc w:val="center"/>
        <w:outlineLvl w:val="9"/>
        <w:rPr>
          <w:rStyle w:val="19"/>
          <w:rFonts w:hint="eastAsia" w:ascii="黑体" w:hAnsi="黑体" w:eastAsia="黑体"/>
          <w:b w:val="0"/>
          <w:color w:val="auto"/>
          <w:sz w:val="32"/>
          <w:szCs w:val="32"/>
          <w:highlight w:val="none"/>
        </w:rPr>
        <w:sectPr>
          <w:footerReference r:id="rId15" w:type="first"/>
          <w:footerReference r:id="rId14" w:type="default"/>
          <w:pgSz w:w="11906" w:h="16838"/>
          <w:pgMar w:top="1440" w:right="1800" w:bottom="1440" w:left="1800" w:header="851" w:footer="992" w:gutter="0"/>
          <w:pgNumType w:fmt="decimal"/>
          <w:cols w:space="425" w:num="1"/>
          <w:titlePg/>
          <w:docGrid w:type="lines" w:linePitch="312" w:charSpace="0"/>
        </w:sectPr>
      </w:pPr>
    </w:p>
    <w:p>
      <w:pPr>
        <w:spacing w:line="600" w:lineRule="exact"/>
        <w:jc w:val="center"/>
        <w:outlineLvl w:val="0"/>
        <w:rPr>
          <w:rFonts w:hint="eastAsia" w:ascii="黑体" w:hAnsi="黑体" w:eastAsia="黑体"/>
          <w:color w:val="auto"/>
          <w:sz w:val="44"/>
          <w:szCs w:val="44"/>
          <w:highlight w:val="none"/>
        </w:rPr>
      </w:pPr>
      <w:bookmarkStart w:id="103" w:name="_Toc8764"/>
      <w:r>
        <w:rPr>
          <w:rStyle w:val="19"/>
          <w:rFonts w:hint="eastAsia" w:ascii="黑体" w:hAnsi="黑体" w:eastAsia="黑体"/>
          <w:b w:val="0"/>
          <w:color w:val="auto"/>
          <w:sz w:val="32"/>
          <w:szCs w:val="32"/>
          <w:highlight w:val="none"/>
        </w:rPr>
        <w:t>部门预算、专项资金预算项目支出绩效目标自评表（2022年度）</w:t>
      </w:r>
      <w:bookmarkEnd w:id="103"/>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8"/>
        <w:gridCol w:w="1453"/>
        <w:gridCol w:w="1167"/>
        <w:gridCol w:w="1527"/>
        <w:gridCol w:w="697"/>
        <w:gridCol w:w="821"/>
        <w:gridCol w:w="640"/>
        <w:gridCol w:w="912"/>
        <w:gridCol w:w="635"/>
        <w:gridCol w:w="787"/>
        <w:gridCol w:w="957"/>
        <w:gridCol w:w="31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项目名称</w:t>
            </w:r>
          </w:p>
        </w:tc>
        <w:tc>
          <w:tcPr>
            <w:tcW w:w="399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项目前期工作经费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7" w:hRule="atLeast"/>
        </w:trPr>
        <w:tc>
          <w:tcPr>
            <w:tcW w:w="100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主管部门（盖章）</w:t>
            </w:r>
          </w:p>
        </w:tc>
        <w:tc>
          <w:tcPr>
            <w:tcW w:w="17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实施单位（盖章）</w:t>
            </w:r>
          </w:p>
        </w:tc>
        <w:tc>
          <w:tcPr>
            <w:tcW w:w="196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项目基本情况</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1.项目年度目标完成情况</w:t>
            </w:r>
          </w:p>
        </w:tc>
        <w:tc>
          <w:tcPr>
            <w:tcW w:w="17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项目年度目标</w:t>
            </w:r>
          </w:p>
        </w:tc>
        <w:tc>
          <w:tcPr>
            <w:tcW w:w="22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171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对广元市交通运输局报送的黑石坡至曾家山公路工程项目施工图预算开展项目评审工作</w:t>
            </w:r>
          </w:p>
        </w:tc>
        <w:tc>
          <w:tcPr>
            <w:tcW w:w="228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通过该项目实施，资金绩效取得良好成效，节约财政资金6475.34万元，提高了财政资金使用效益。推动了我市民生保障类项目工程建设，高效保障市本级重点项目落实落地。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2.项目实施内容及过程概述</w:t>
            </w:r>
          </w:p>
        </w:tc>
        <w:tc>
          <w:tcPr>
            <w:tcW w:w="399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项目委派：在接到评审任务后，了解评审项目基本情况，审查评审资料并制定评审方案，坚持公平、公正、公开、控制风险以及质量和效率并重的原则按序委派评审任务。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实施阶段：协作机构按委托开展工作，在项目监管负责人的组织下，按期提交项目工作成果，并对项目工作成果的有效性、真实性、合法性负责，在协作过程中接受评审中心及财政局相关科室的监督。通过开展计量、价格调查、核价等工作，复核，形成完整的审核初稿报评审中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完成阶段：报告复核前，编写报告及其附件，签署，发送报告，资料归还，总结，数据信息化处理及归档。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7" w:hRule="atLeast"/>
        </w:trPr>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预算执行情况（10分）</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年度预算数（万元）</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年初预算</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调整后预算数</w:t>
            </w:r>
          </w:p>
        </w:tc>
        <w:tc>
          <w:tcPr>
            <w:tcW w:w="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预算执行数</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预算执行率</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总额</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29.8</w:t>
            </w:r>
          </w:p>
        </w:tc>
        <w:tc>
          <w:tcPr>
            <w:tcW w:w="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29.80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100</w:t>
            </w:r>
            <w:r>
              <w:rPr>
                <w:rFonts w:hint="eastAsia" w:ascii="宋体" w:hAnsi="宋体" w:eastAsia="宋体" w:cs="宋体"/>
                <w:i w:val="0"/>
                <w:color w:val="000000"/>
                <w:kern w:val="0"/>
                <w:sz w:val="16"/>
                <w:szCs w:val="16"/>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其中：财政资金</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30.00</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29.8</w:t>
            </w:r>
          </w:p>
        </w:tc>
        <w:tc>
          <w:tcPr>
            <w:tcW w:w="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29.80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100</w:t>
            </w:r>
            <w:r>
              <w:rPr>
                <w:rFonts w:hint="eastAsia" w:ascii="宋体" w:hAnsi="宋体" w:eastAsia="宋体" w:cs="宋体"/>
                <w:i w:val="0"/>
                <w:color w:val="000000"/>
                <w:kern w:val="0"/>
                <w:sz w:val="16"/>
                <w:szCs w:val="16"/>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财政专户管理资金</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单位资金</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7"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其他资金</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6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绩效指标（90分）</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一级指标</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二级指标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三级指标</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指标性质</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指标值</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度量单位</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完成值</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评审项目</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工作开展及完成</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工作完成时间</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8"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项目前期评审费</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29.8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项目实施效益</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节约财政资金</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6475万元</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4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主管单位满意度</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3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3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1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部门（单位）自评结论</w:t>
            </w:r>
          </w:p>
        </w:tc>
        <w:tc>
          <w:tcPr>
            <w:tcW w:w="450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通过该项目实施，资金绩效取得良好成效，节约财政资金6475.34万元，提高了财政资金使用效益。推动了我市民生保障类项目工程建设，高效保障市本级重点项目落实落地。该项目自评得分100分。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部门（单位）自评存在问题</w:t>
            </w:r>
          </w:p>
        </w:tc>
        <w:tc>
          <w:tcPr>
            <w:tcW w:w="450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6"/>
                <w:szCs w:val="16"/>
                <w:u w:val="none"/>
              </w:rPr>
            </w:pPr>
            <w:r>
              <w:rPr>
                <w:rFonts w:hint="default" w:ascii="宋体" w:hAnsi="宋体" w:cs="宋体"/>
                <w:i w:val="0"/>
                <w:color w:val="000000"/>
                <w:sz w:val="16"/>
                <w:szCs w:val="16"/>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部门（单位）自评改进措施</w:t>
            </w:r>
          </w:p>
        </w:tc>
        <w:tc>
          <w:tcPr>
            <w:tcW w:w="450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6"/>
                <w:szCs w:val="16"/>
                <w:u w:val="none"/>
              </w:rPr>
            </w:pPr>
            <w:r>
              <w:rPr>
                <w:rFonts w:hint="default" w:ascii="宋体" w:hAnsi="宋体" w:cs="宋体"/>
                <w:i w:val="0"/>
                <w:color w:val="000000"/>
                <w:sz w:val="16"/>
                <w:szCs w:val="16"/>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财政部门对口科室复评结论及整改要求</w:t>
            </w:r>
          </w:p>
        </w:tc>
        <w:tc>
          <w:tcPr>
            <w:tcW w:w="450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单位项目负责人：</w:t>
            </w:r>
          </w:p>
        </w:tc>
        <w:tc>
          <w:tcPr>
            <w:tcW w:w="279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0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部门项目负责人：</w:t>
            </w:r>
          </w:p>
        </w:tc>
        <w:tc>
          <w:tcPr>
            <w:tcW w:w="279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财政部门科室负责人：</w:t>
            </w:r>
          </w:p>
        </w:tc>
      </w:tr>
    </w:tbl>
    <w:p>
      <w:pPr>
        <w:pStyle w:val="2"/>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bookmarkStart w:id="104" w:name="_Toc2575"/>
      <w:r>
        <w:rPr>
          <w:rStyle w:val="19"/>
          <w:rFonts w:hint="eastAsia" w:ascii="黑体" w:hAnsi="黑体" w:eastAsia="黑体"/>
          <w:b w:val="0"/>
          <w:color w:val="auto"/>
          <w:sz w:val="32"/>
          <w:szCs w:val="32"/>
          <w:highlight w:val="none"/>
        </w:rPr>
        <w:t>部门预算、专项资金预算项目支出绩效目标自评表（2022年度）</w:t>
      </w:r>
      <w:bookmarkEnd w:id="104"/>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37"/>
        <w:gridCol w:w="1422"/>
        <w:gridCol w:w="1405"/>
        <w:gridCol w:w="1591"/>
        <w:gridCol w:w="650"/>
        <w:gridCol w:w="950"/>
        <w:gridCol w:w="605"/>
        <w:gridCol w:w="890"/>
        <w:gridCol w:w="635"/>
        <w:gridCol w:w="762"/>
        <w:gridCol w:w="923"/>
        <w:gridCol w:w="29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项目名称</w:t>
            </w:r>
          </w:p>
        </w:tc>
        <w:tc>
          <w:tcPr>
            <w:tcW w:w="40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政府性投资项目评审经费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 w:hRule="atLeast"/>
        </w:trPr>
        <w:tc>
          <w:tcPr>
            <w:tcW w:w="97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主管部门（盖章）</w:t>
            </w:r>
          </w:p>
        </w:tc>
        <w:tc>
          <w:tcPr>
            <w:tcW w:w="1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广元市财政评审中心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实施单位（盖章）</w:t>
            </w:r>
          </w:p>
        </w:tc>
        <w:tc>
          <w:tcPr>
            <w:tcW w:w="187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广元市财政评审中心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项目基本情况</w:t>
            </w:r>
          </w:p>
        </w:tc>
        <w:tc>
          <w:tcPr>
            <w:tcW w:w="50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1.项目年度目标完成情况</w:t>
            </w:r>
          </w:p>
        </w:tc>
        <w:tc>
          <w:tcPr>
            <w:tcW w:w="1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项目年度目标</w:t>
            </w:r>
          </w:p>
        </w:tc>
        <w:tc>
          <w:tcPr>
            <w:tcW w:w="21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0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183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依据中心职能职责完成政府性投资项目预决算审核工作，负责本级重大基本建设项目、专项债券资金项目财政监管和资金拨付的专业审核工作。</w:t>
            </w:r>
          </w:p>
        </w:tc>
        <w:tc>
          <w:tcPr>
            <w:tcW w:w="219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市本级共计完成评审项目119个，送审金额60.97亿元，审定金额57.00亿元，节约财政资金3.97亿元，审减率6.51%，相关工作人员无违纪违规。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8"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2.项目实施内容及过程概述</w:t>
            </w:r>
          </w:p>
        </w:tc>
        <w:tc>
          <w:tcPr>
            <w:tcW w:w="4026"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在接到评审任务后，了解评审项目基本情况，审查评审资料并制定评审方案，坚持公平、公正、公开、控制风险以及质量和效率并重的原则按序委派评审任务。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实施阶段：协作机构按委托开展工作，在项目监管负责人的组织下，按期提交项目工作成果，并对项目工作成果的有效性、真实性、合法性负责，在协作过程中接受评审中心及财政局相关科室的监督。通过开展计量、价格调查、核价等工作，复核，形成完整的审核初稿报评审中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完成阶段：报告复核前，编写报告及其附件，签署，发送报告，资料归还，总结，数据信息化处理及归档。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预算执行情况（10分）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年度预算数（万元）</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年初预算</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调整后预算数</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预算执行数</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预算执行率</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总额</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458.54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458.54</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458.54</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100</w:t>
            </w:r>
            <w:r>
              <w:rPr>
                <w:rFonts w:hint="eastAsia" w:ascii="宋体" w:hAnsi="宋体" w:eastAsia="宋体" w:cs="宋体"/>
                <w:i w:val="0"/>
                <w:color w:val="000000"/>
                <w:kern w:val="0"/>
                <w:sz w:val="16"/>
                <w:szCs w:val="16"/>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0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其中：财政资金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458.54</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458.54</w:t>
            </w: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458.54</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100</w:t>
            </w:r>
            <w:r>
              <w:rPr>
                <w:rFonts w:hint="eastAsia" w:ascii="宋体" w:hAnsi="宋体" w:eastAsia="宋体" w:cs="宋体"/>
                <w:i w:val="0"/>
                <w:color w:val="000000"/>
                <w:kern w:val="0"/>
                <w:sz w:val="16"/>
                <w:szCs w:val="16"/>
                <w:u w:val="none"/>
                <w:lang w:val="en-US" w:eastAsia="zh-CN" w:bidi="ar"/>
              </w:rPr>
              <w:t>%</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0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b/>
                <w:i w:val="0"/>
                <w:color w:val="000000"/>
                <w:kern w:val="0"/>
                <w:sz w:val="16"/>
                <w:szCs w:val="16"/>
                <w:u w:val="none"/>
                <w:lang w:val="en-US" w:eastAsia="zh-CN" w:bidi="ar"/>
              </w:rPr>
              <w:t>财政专户管理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资金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0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3"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单位资金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0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7"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其他资金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7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0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绩效指标（90分）</w:t>
            </w:r>
          </w:p>
        </w:tc>
        <w:tc>
          <w:tcPr>
            <w:tcW w:w="5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一级指标</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二级指标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三级指标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指标性质</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指标值</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度量单位</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完成值</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产出指标</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成本指标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评审协作费用</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458.54</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458.54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产出指标</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数量指标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评审项目</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119</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产出指标</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质量指标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评审质量</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产出指标</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时效指标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工作完成时效率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效益指标</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社会效益指标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民生项目推进</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效益指标</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经济效益指标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节约财政资金</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亿元</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3.97</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0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满意度指标</w:t>
            </w:r>
          </w:p>
        </w:tc>
        <w:tc>
          <w:tcPr>
            <w:tcW w:w="49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微软雅黑" w:hAnsi="微软雅黑" w:eastAsia="微软雅黑" w:cs="微软雅黑"/>
                <w:i w:val="0"/>
                <w:color w:val="000000"/>
                <w:sz w:val="16"/>
                <w:szCs w:val="16"/>
                <w:u w:val="none"/>
              </w:rPr>
            </w:pPr>
            <w:r>
              <w:rPr>
                <w:rFonts w:hint="default" w:ascii="微软雅黑" w:hAnsi="微软雅黑" w:eastAsia="微软雅黑" w:cs="微软雅黑"/>
                <w:i w:val="0"/>
                <w:color w:val="000000"/>
                <w:kern w:val="0"/>
                <w:sz w:val="16"/>
                <w:szCs w:val="16"/>
                <w:u w:val="none"/>
                <w:lang w:val="en-US" w:eastAsia="zh-CN" w:bidi="ar"/>
              </w:rPr>
              <w:t>服务对象满意度指标</w:t>
            </w:r>
          </w:p>
        </w:tc>
        <w:tc>
          <w:tcPr>
            <w:tcW w:w="5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部门满意度</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3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1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1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2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3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0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部门（单位）自评结论</w:t>
            </w:r>
          </w:p>
        </w:tc>
        <w:tc>
          <w:tcPr>
            <w:tcW w:w="452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通过该项目实施，市本级共计完成评审项目119个，送审金额60.97亿元，审定金额57.00亿元，节约财政资金3.97亿元，审减率6.51%，取得了良好的经济、社会效益。自评得分100分。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部门（单位）自评存在问题</w:t>
            </w:r>
          </w:p>
        </w:tc>
        <w:tc>
          <w:tcPr>
            <w:tcW w:w="452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6"/>
                <w:szCs w:val="16"/>
                <w:u w:val="none"/>
              </w:rPr>
            </w:pPr>
            <w:r>
              <w:rPr>
                <w:rFonts w:hint="default" w:ascii="宋体" w:hAnsi="宋体" w:cs="宋体"/>
                <w:i w:val="0"/>
                <w:color w:val="000000"/>
                <w:sz w:val="16"/>
                <w:szCs w:val="16"/>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部门（单位）自评改进措施</w:t>
            </w:r>
          </w:p>
        </w:tc>
        <w:tc>
          <w:tcPr>
            <w:tcW w:w="452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default" w:ascii="宋体" w:hAnsi="宋体" w:eastAsia="宋体" w:cs="宋体"/>
                <w:i w:val="0"/>
                <w:color w:val="000000"/>
                <w:sz w:val="16"/>
                <w:szCs w:val="16"/>
                <w:u w:val="none"/>
              </w:rPr>
            </w:pPr>
            <w:r>
              <w:rPr>
                <w:rFonts w:hint="default" w:ascii="宋体" w:hAnsi="宋体" w:cs="宋体"/>
                <w:i w:val="0"/>
                <w:color w:val="000000"/>
                <w:sz w:val="16"/>
                <w:szCs w:val="16"/>
                <w:u w:val="none"/>
              </w:rPr>
              <w:t>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财政部门对口科室复评结论及整改要求</w:t>
            </w:r>
          </w:p>
        </w:tc>
        <w:tc>
          <w:tcPr>
            <w:tcW w:w="4528"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单位项目负责人：</w:t>
            </w:r>
          </w:p>
        </w:tc>
        <w:tc>
          <w:tcPr>
            <w:tcW w:w="273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单位财务负责人：朴锦阳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60"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部门项目负责人：</w:t>
            </w:r>
          </w:p>
        </w:tc>
        <w:tc>
          <w:tcPr>
            <w:tcW w:w="2739"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财政部门科室负责人：</w:t>
            </w:r>
          </w:p>
        </w:tc>
      </w:tr>
    </w:tbl>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center"/>
        <w:outlineLvl w:val="0"/>
        <w:rPr>
          <w:rFonts w:hint="eastAsia" w:ascii="黑体" w:hAnsi="黑体" w:eastAsia="黑体"/>
          <w:color w:val="auto"/>
          <w:sz w:val="44"/>
          <w:szCs w:val="44"/>
          <w:highlight w:val="none"/>
        </w:rPr>
      </w:pPr>
      <w:bookmarkStart w:id="105" w:name="_Toc12548"/>
      <w:r>
        <w:rPr>
          <w:rStyle w:val="19"/>
          <w:rFonts w:hint="eastAsia" w:ascii="黑体" w:hAnsi="黑体" w:eastAsia="黑体"/>
          <w:b w:val="0"/>
          <w:color w:val="auto"/>
          <w:sz w:val="32"/>
          <w:szCs w:val="32"/>
          <w:highlight w:val="none"/>
        </w:rPr>
        <w:t>部门预算、专项资金预算项目支出绩效目标自评表（2022年度）</w:t>
      </w:r>
      <w:bookmarkEnd w:id="105"/>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36"/>
        <w:gridCol w:w="1501"/>
        <w:gridCol w:w="1210"/>
        <w:gridCol w:w="1467"/>
        <w:gridCol w:w="651"/>
        <w:gridCol w:w="1076"/>
        <w:gridCol w:w="601"/>
        <w:gridCol w:w="932"/>
        <w:gridCol w:w="654"/>
        <w:gridCol w:w="807"/>
        <w:gridCol w:w="994"/>
        <w:gridCol w:w="28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0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项目名称</w:t>
            </w:r>
          </w:p>
        </w:tc>
        <w:tc>
          <w:tcPr>
            <w:tcW w:w="39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评审专家聘用及工作经费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10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主管部门（盖章）</w:t>
            </w:r>
          </w:p>
        </w:tc>
        <w:tc>
          <w:tcPr>
            <w:tcW w:w="17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广元市财政评审中心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实施单位（盖章）</w:t>
            </w:r>
          </w:p>
        </w:tc>
        <w:tc>
          <w:tcPr>
            <w:tcW w:w="186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广元市财政评审中心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5" w:hRule="atLeast"/>
        </w:trPr>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项目基本情况</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1.项目年度目标完成情况</w:t>
            </w:r>
          </w:p>
        </w:tc>
        <w:tc>
          <w:tcPr>
            <w:tcW w:w="17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项目年度目标</w:t>
            </w:r>
          </w:p>
        </w:tc>
        <w:tc>
          <w:tcPr>
            <w:tcW w:w="21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17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紧紧围绕财政中心工作，积极开展政府投资建设项目评审，节约财政资金，助推项目有序推进，确保评审力量，保障评审专家人员及工作经费，建设高效廉洁的评审队伍。</w:t>
            </w:r>
          </w:p>
        </w:tc>
        <w:tc>
          <w:tcPr>
            <w:tcW w:w="2195"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市本级共计完成评审项目119个，送审金额60.97亿元，审定金额57.00亿元，节约财政资金3.97亿元，审减率6.51%，相关工作人员无违纪违规。</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5"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2.项目实施内容及过程概述</w:t>
            </w:r>
          </w:p>
        </w:tc>
        <w:tc>
          <w:tcPr>
            <w:tcW w:w="396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在接到评审任务后，了解评审项目基本情况，审查评审资料并制定评审方案，坚持公平、公正、公开、控制风险以及质量和效率并重的原则按序委派评审任务。</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实施阶段：协作机构按委托开展工作，在项目监管负责人的组织下，按期提交项目工作成果，并对项目工作成果的有效性、真实性、合法性负责，在协作过程中接受评审中心及财政局相关科室的监督。通过开展计量、价格调查、核价等工作，复核，形成完整的审核初稿报评审中心。</w:t>
            </w:r>
            <w:r>
              <w:rPr>
                <w:rFonts w:hint="eastAsia" w:ascii="宋体" w:hAnsi="宋体" w:eastAsia="宋体" w:cs="宋体"/>
                <w:i w:val="0"/>
                <w:color w:val="000000"/>
                <w:kern w:val="0"/>
                <w:sz w:val="16"/>
                <w:szCs w:val="16"/>
                <w:u w:val="none"/>
                <w:lang w:val="en-US" w:eastAsia="zh-CN" w:bidi="ar"/>
              </w:rPr>
              <w:br w:type="textWrapping"/>
            </w:r>
            <w:r>
              <w:rPr>
                <w:rFonts w:hint="eastAsia" w:ascii="宋体" w:hAnsi="宋体" w:eastAsia="宋体" w:cs="宋体"/>
                <w:i w:val="0"/>
                <w:color w:val="000000"/>
                <w:kern w:val="0"/>
                <w:sz w:val="16"/>
                <w:szCs w:val="16"/>
                <w:u w:val="none"/>
                <w:lang w:val="en-US" w:eastAsia="zh-CN" w:bidi="ar"/>
              </w:rPr>
              <w:t>完成阶段：报告复核前，编写报告及其附件，签署，发送报告，资料归还，总结，数据信息化处理及归档。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预算执行情况</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（10分）</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年度预算数（万元）</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年初预算</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调整后预算数</w:t>
            </w: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预算执行数</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预算执行率</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总额</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196.56</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196.56</w:t>
            </w: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192.65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98</w:t>
            </w:r>
            <w:r>
              <w:rPr>
                <w:rFonts w:hint="eastAsia" w:ascii="宋体" w:hAnsi="宋体" w:eastAsia="宋体" w:cs="宋体"/>
                <w:i w:val="0"/>
                <w:color w:val="000000"/>
                <w:kern w:val="0"/>
                <w:sz w:val="16"/>
                <w:szCs w:val="16"/>
                <w:u w:val="none"/>
                <w:lang w:val="en-US" w:eastAsia="zh-CN" w:bidi="ar"/>
              </w:rPr>
              <w:t>%</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10</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9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82"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其中：财政资金</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196.56</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196.56</w:t>
            </w: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192.65</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98</w:t>
            </w:r>
            <w:r>
              <w:rPr>
                <w:rFonts w:hint="eastAsia" w:ascii="宋体" w:hAnsi="宋体" w:eastAsia="宋体" w:cs="宋体"/>
                <w:i w:val="0"/>
                <w:color w:val="000000"/>
                <w:kern w:val="0"/>
                <w:sz w:val="16"/>
                <w:szCs w:val="16"/>
                <w:u w:val="none"/>
                <w:lang w:val="en-US" w:eastAsia="zh-CN" w:bidi="ar"/>
              </w:rPr>
              <w:t>%</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b/>
                <w:i w:val="0"/>
                <w:color w:val="000000"/>
                <w:kern w:val="0"/>
                <w:sz w:val="16"/>
                <w:szCs w:val="16"/>
                <w:u w:val="none"/>
                <w:lang w:val="en-US" w:eastAsia="zh-CN" w:bidi="ar"/>
              </w:rPr>
              <w:t>财政专户管理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资金</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2"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单位资金</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其他资金</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2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9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0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绩效指标（90分）</w:t>
            </w: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一级指标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二级指标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三级指标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指标性质</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指标值</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度量单位</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完成值</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工作完成及时率</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聘用人员经费</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196.56</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192.65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8</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评审质量</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人员工资及保险</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13</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人</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项目建设</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节约财政资金</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39700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经济发展</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0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4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5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社会认可度</w:t>
            </w:r>
          </w:p>
        </w:tc>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2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132"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8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98</w:t>
            </w:r>
          </w:p>
        </w:tc>
        <w:tc>
          <w:tcPr>
            <w:tcW w:w="35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99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部门（单位）自评结论</w:t>
            </w:r>
          </w:p>
        </w:tc>
        <w:tc>
          <w:tcPr>
            <w:tcW w:w="449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通过该项目实施，取得了良好的经济、社会效益。自评得分98分。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部门（单位）自评存在问题</w:t>
            </w:r>
          </w:p>
        </w:tc>
        <w:tc>
          <w:tcPr>
            <w:tcW w:w="449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预算编制不精准，预算执行进度不够高。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部门（单位）自评改进措施</w:t>
            </w:r>
          </w:p>
        </w:tc>
        <w:tc>
          <w:tcPr>
            <w:tcW w:w="449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细化人员经费测算标准，加强预算编制，提高预算执行进度。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财政部门对口科室复评结论及整改要求</w:t>
            </w:r>
          </w:p>
        </w:tc>
        <w:tc>
          <w:tcPr>
            <w:tcW w:w="4492"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单位项目负责人：</w:t>
            </w:r>
          </w:p>
        </w:tc>
        <w:tc>
          <w:tcPr>
            <w:tcW w:w="278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单位财务负责人：朴锦阳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2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部门项目负责人：</w:t>
            </w:r>
          </w:p>
        </w:tc>
        <w:tc>
          <w:tcPr>
            <w:tcW w:w="2787"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财政部门科室负责人：</w:t>
            </w:r>
          </w:p>
        </w:tc>
      </w:tr>
    </w:tbl>
    <w:p>
      <w:pPr>
        <w:spacing w:line="600" w:lineRule="exact"/>
        <w:jc w:val="center"/>
        <w:outlineLvl w:val="9"/>
        <w:rPr>
          <w:rStyle w:val="19"/>
          <w:rFonts w:hint="eastAsia" w:ascii="黑体" w:hAnsi="黑体" w:eastAsia="黑体"/>
          <w:b w:val="0"/>
          <w:color w:val="auto"/>
          <w:sz w:val="32"/>
          <w:szCs w:val="32"/>
          <w:highlight w:val="none"/>
        </w:rPr>
      </w:pPr>
    </w:p>
    <w:p>
      <w:pPr>
        <w:spacing w:line="600" w:lineRule="exact"/>
        <w:jc w:val="center"/>
        <w:outlineLvl w:val="0"/>
        <w:rPr>
          <w:rStyle w:val="19"/>
          <w:rFonts w:hint="eastAsia" w:ascii="黑体" w:hAnsi="黑体" w:eastAsia="黑体"/>
          <w:b w:val="0"/>
          <w:color w:val="auto"/>
          <w:sz w:val="32"/>
          <w:szCs w:val="32"/>
          <w:highlight w:val="none"/>
        </w:rPr>
      </w:pPr>
      <w:bookmarkStart w:id="106" w:name="_Toc16716"/>
    </w:p>
    <w:p>
      <w:pPr>
        <w:spacing w:line="600" w:lineRule="exact"/>
        <w:jc w:val="center"/>
        <w:outlineLvl w:val="0"/>
        <w:rPr>
          <w:rFonts w:hint="eastAsia" w:ascii="黑体" w:hAnsi="黑体" w:eastAsia="黑体"/>
          <w:color w:val="auto"/>
          <w:sz w:val="44"/>
          <w:szCs w:val="44"/>
          <w:highlight w:val="none"/>
        </w:rPr>
      </w:pPr>
      <w:r>
        <w:rPr>
          <w:rStyle w:val="19"/>
          <w:rFonts w:hint="eastAsia" w:ascii="黑体" w:hAnsi="黑体" w:eastAsia="黑体"/>
          <w:b w:val="0"/>
          <w:color w:val="auto"/>
          <w:sz w:val="32"/>
          <w:szCs w:val="32"/>
          <w:highlight w:val="none"/>
        </w:rPr>
        <w:t>部门预算、专项资金预算项目支出绩效目标自评表（2022年度）</w:t>
      </w:r>
      <w:bookmarkEnd w:id="106"/>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09"/>
        <w:gridCol w:w="1365"/>
        <w:gridCol w:w="1096"/>
        <w:gridCol w:w="1481"/>
        <w:gridCol w:w="623"/>
        <w:gridCol w:w="841"/>
        <w:gridCol w:w="657"/>
        <w:gridCol w:w="867"/>
        <w:gridCol w:w="601"/>
        <w:gridCol w:w="734"/>
        <w:gridCol w:w="904"/>
        <w:gridCol w:w="36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项目名称</w:t>
            </w:r>
          </w:p>
        </w:tc>
        <w:tc>
          <w:tcPr>
            <w:tcW w:w="40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评审工作经费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9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主管部门（盖章）</w:t>
            </w:r>
          </w:p>
        </w:tc>
        <w:tc>
          <w:tcPr>
            <w:tcW w:w="16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广元市财政评审中心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b/>
                <w:i w:val="0"/>
                <w:color w:val="000000"/>
                <w:kern w:val="0"/>
                <w:sz w:val="16"/>
                <w:szCs w:val="16"/>
                <w:u w:val="none"/>
                <w:lang w:val="en-US" w:eastAsia="zh-CN" w:bidi="ar"/>
              </w:rPr>
              <w:t>实施单位</w:t>
            </w:r>
          </w:p>
          <w:p>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（盖章）</w:t>
            </w:r>
          </w:p>
        </w:tc>
        <w:tc>
          <w:tcPr>
            <w:tcW w:w="2091"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广元市财政评审中心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项目基本情况</w:t>
            </w:r>
          </w:p>
        </w:tc>
        <w:tc>
          <w:tcPr>
            <w:tcW w:w="48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1.项目年度目标完成情况</w:t>
            </w:r>
          </w:p>
        </w:tc>
        <w:tc>
          <w:tcPr>
            <w:tcW w:w="16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项目年度目标</w:t>
            </w: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48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165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紧紧围绕全市财政中心工作，按质按量完成政府投资建设项目评审，节约财政资金，助推项目的有序推进。</w:t>
            </w:r>
          </w:p>
        </w:tc>
        <w:tc>
          <w:tcPr>
            <w:tcW w:w="239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紧紧围绕全市财政中心工作，按质按量完成政府投资建设项目评审，节约财政资金，助推项目的有序推进。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2.项目实施内容及过程概述</w:t>
            </w:r>
          </w:p>
        </w:tc>
        <w:tc>
          <w:tcPr>
            <w:tcW w:w="4055"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项目主要保障评审工作开展，包括调研指导政府性投资项目差旅费、开展项目监管验收、保障财政评审工作开展的网络费和印刷费等其他费用。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预算执行情况（10分）</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年度预算数</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（万元）</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年初预算</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调整后预算数</w:t>
            </w:r>
          </w:p>
        </w:tc>
        <w:tc>
          <w:tcPr>
            <w:tcW w:w="7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预算执行数</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预算执行率</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总额</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33.27</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33.27</w:t>
            </w:r>
          </w:p>
        </w:tc>
        <w:tc>
          <w:tcPr>
            <w:tcW w:w="7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14.15</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cs="宋体"/>
                <w:i w:val="0"/>
                <w:color w:val="000000"/>
                <w:kern w:val="0"/>
                <w:sz w:val="16"/>
                <w:szCs w:val="16"/>
                <w:u w:val="none"/>
                <w:lang w:val="en-US" w:eastAsia="zh-CN" w:bidi="ar"/>
              </w:rPr>
              <w:t>42.53</w:t>
            </w:r>
            <w:r>
              <w:rPr>
                <w:rFonts w:hint="eastAsia" w:ascii="宋体" w:hAnsi="宋体" w:eastAsia="宋体" w:cs="宋体"/>
                <w:i w:val="0"/>
                <w:color w:val="000000"/>
                <w:kern w:val="0"/>
                <w:sz w:val="16"/>
                <w:szCs w:val="16"/>
                <w:u w:val="none"/>
                <w:lang w:val="en-US" w:eastAsia="zh-CN" w:bidi="ar"/>
              </w:rPr>
              <w:t>%</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8</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因受疫情影响，检查调研项目次数减少，同时压减一般性支出，该项目预算当年未全部执行。</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其中：财政资金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12.81</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12.81</w:t>
            </w:r>
          </w:p>
        </w:tc>
        <w:tc>
          <w:tcPr>
            <w:tcW w:w="7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12.81</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kern w:val="0"/>
                <w:sz w:val="16"/>
                <w:szCs w:val="16"/>
                <w:u w:val="none"/>
                <w:lang w:val="en-US" w:eastAsia="zh-CN" w:bidi="ar"/>
              </w:rPr>
            </w:pPr>
            <w:r>
              <w:rPr>
                <w:rFonts w:hint="eastAsia" w:ascii="宋体" w:hAnsi="宋体" w:eastAsia="宋体" w:cs="宋体"/>
                <w:b/>
                <w:i w:val="0"/>
                <w:color w:val="000000"/>
                <w:kern w:val="0"/>
                <w:sz w:val="16"/>
                <w:szCs w:val="16"/>
                <w:u w:val="none"/>
                <w:lang w:val="en-US" w:eastAsia="zh-CN" w:bidi="ar"/>
              </w:rPr>
              <w:t>财政专户管理</w:t>
            </w:r>
          </w:p>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资金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单位资金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其他资金</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20.46</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20.46</w:t>
            </w:r>
          </w:p>
        </w:tc>
        <w:tc>
          <w:tcPr>
            <w:tcW w:w="74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1.34</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绩效指标（90分）</w:t>
            </w: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一级指标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二级指标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三级指标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指标性质</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指标值</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度量单位</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完成值</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评审质量</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项目完成及时率</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专项债券资金项目监管</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12</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配合其他主管部门验收</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财政专项资金检查</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工作经费</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33.27</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14.15</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项目建设</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节约财政资金</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3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5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社会认可度</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908"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2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95.5</w:t>
            </w:r>
          </w:p>
        </w:tc>
        <w:tc>
          <w:tcPr>
            <w:tcW w:w="31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29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部门（单位）自评结论</w:t>
            </w:r>
          </w:p>
        </w:tc>
        <w:tc>
          <w:tcPr>
            <w:tcW w:w="453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受相关科室委派任务，开展相关工作经费，有力保障财政资金使用安全高效，自评得分95.5分。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部门（单位）自评存在问题</w:t>
            </w:r>
          </w:p>
        </w:tc>
        <w:tc>
          <w:tcPr>
            <w:tcW w:w="453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项目测算标准有待细化，测算准确率有待提高。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3"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部门（单位）自评改进措施</w:t>
            </w:r>
          </w:p>
        </w:tc>
        <w:tc>
          <w:tcPr>
            <w:tcW w:w="453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细化预算编制工作，提升预算编制准确度。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财政部门对口科室复评结论及整改要求</w:t>
            </w:r>
          </w:p>
        </w:tc>
        <w:tc>
          <w:tcPr>
            <w:tcW w:w="4537"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单位项目负责人：</w:t>
            </w:r>
          </w:p>
        </w:tc>
        <w:tc>
          <w:tcPr>
            <w:tcW w:w="292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单位财务负责人：朴锦阳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07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部门项目负责人：</w:t>
            </w:r>
          </w:p>
        </w:tc>
        <w:tc>
          <w:tcPr>
            <w:tcW w:w="2925"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财政部门科室负责人：</w:t>
            </w:r>
          </w:p>
        </w:tc>
      </w:tr>
    </w:tbl>
    <w:p>
      <w:pPr>
        <w:spacing w:line="600" w:lineRule="exact"/>
        <w:jc w:val="center"/>
        <w:outlineLvl w:val="9"/>
        <w:rPr>
          <w:rStyle w:val="19"/>
          <w:rFonts w:hint="eastAsia" w:ascii="黑体" w:hAnsi="黑体" w:eastAsia="黑体"/>
          <w:b w:val="0"/>
          <w:color w:val="auto"/>
          <w:sz w:val="32"/>
          <w:szCs w:val="32"/>
          <w:highlight w:val="none"/>
        </w:rPr>
        <w:sectPr>
          <w:footerReference r:id="rId17" w:type="first"/>
          <w:footerReference r:id="rId16" w:type="default"/>
          <w:pgSz w:w="16838" w:h="11906" w:orient="landscape"/>
          <w:pgMar w:top="1800" w:right="1440" w:bottom="1800" w:left="1440" w:header="851" w:footer="992" w:gutter="0"/>
          <w:pgNumType w:fmt="decimal"/>
          <w:cols w:space="425" w:num="1"/>
          <w:titlePg/>
          <w:docGrid w:type="lines" w:linePitch="312" w:charSpace="0"/>
        </w:sectPr>
      </w:pPr>
    </w:p>
    <w:p>
      <w:pPr>
        <w:pStyle w:val="34"/>
        <w:keepNext w:val="0"/>
        <w:keepLines w:val="0"/>
        <w:pageBreakBefore w:val="0"/>
        <w:widowControl w:val="0"/>
        <w:kinsoku/>
        <w:wordWrap/>
        <w:overflowPunct/>
        <w:topLinePunct w:val="0"/>
        <w:autoSpaceDE/>
        <w:autoSpaceDN/>
        <w:bidi w:val="0"/>
        <w:spacing w:line="576" w:lineRule="exact"/>
        <w:jc w:val="center"/>
        <w:textAlignment w:val="auto"/>
        <w:rPr>
          <w:rFonts w:hint="eastAsia" w:ascii="方正小标宋简体" w:eastAsia="方正小标宋简体"/>
          <w:sz w:val="44"/>
          <w:szCs w:val="44"/>
          <w:lang w:eastAsia="zh-CN"/>
        </w:rPr>
      </w:pPr>
      <w:r>
        <w:rPr>
          <w:rFonts w:hint="eastAsia" w:ascii="方正小标宋简体" w:eastAsia="方正小标宋简体"/>
          <w:sz w:val="44"/>
          <w:szCs w:val="44"/>
        </w:rPr>
        <w:t>广元市财政</w:t>
      </w:r>
      <w:r>
        <w:rPr>
          <w:rFonts w:hint="eastAsia" w:ascii="方正小标宋简体" w:eastAsia="方正小标宋简体"/>
          <w:sz w:val="44"/>
          <w:szCs w:val="44"/>
          <w:lang w:eastAsia="zh-CN"/>
        </w:rPr>
        <w:t>局</w:t>
      </w:r>
    </w:p>
    <w:p>
      <w:pPr>
        <w:pStyle w:val="34"/>
        <w:keepNext w:val="0"/>
        <w:keepLines w:val="0"/>
        <w:pageBreakBefore w:val="0"/>
        <w:widowControl w:val="0"/>
        <w:kinsoku/>
        <w:wordWrap/>
        <w:overflowPunct/>
        <w:topLinePunct w:val="0"/>
        <w:autoSpaceDE/>
        <w:autoSpaceDN/>
        <w:bidi w:val="0"/>
        <w:spacing w:line="576" w:lineRule="exact"/>
        <w:jc w:val="center"/>
        <w:textAlignment w:val="auto"/>
        <w:rPr>
          <w:rFonts w:hint="eastAsia" w:ascii="楷体_GB2312" w:hAnsi="楷体_GB2312" w:eastAsia="楷体_GB2312" w:cs="楷体_GB2312"/>
          <w:b w:val="0"/>
          <w:bCs w:val="0"/>
          <w:color w:val="auto"/>
          <w:kern w:val="2"/>
          <w:sz w:val="32"/>
          <w:szCs w:val="32"/>
        </w:rPr>
      </w:pPr>
      <w:r>
        <w:rPr>
          <w:rFonts w:hint="eastAsia" w:ascii="方正小标宋简体" w:hAnsi="宋体" w:eastAsia="方正小标宋简体"/>
          <w:b w:val="0"/>
          <w:bCs w:val="0"/>
          <w:sz w:val="44"/>
          <w:szCs w:val="44"/>
          <w:lang w:val="en-US" w:eastAsia="zh-CN"/>
        </w:rPr>
        <w:t>关于2022年</w:t>
      </w:r>
      <w:r>
        <w:rPr>
          <w:rFonts w:hint="eastAsia" w:ascii="方正小标宋简体" w:eastAsia="方正小标宋简体"/>
          <w:sz w:val="44"/>
          <w:szCs w:val="44"/>
          <w:lang w:eastAsia="zh-CN"/>
        </w:rPr>
        <w:t>公务车辆购置经费项目支出</w:t>
      </w:r>
      <w:r>
        <w:rPr>
          <w:rFonts w:hint="eastAsia" w:ascii="方正小标宋简体" w:hAnsi="宋体" w:eastAsia="方正小标宋简体"/>
          <w:b w:val="0"/>
          <w:bCs w:val="0"/>
          <w:sz w:val="44"/>
          <w:szCs w:val="44"/>
        </w:rPr>
        <w:t>绩效自评报告</w:t>
      </w:r>
    </w:p>
    <w:p>
      <w:pPr>
        <w:pStyle w:val="34"/>
        <w:keepNext w:val="0"/>
        <w:keepLines w:val="0"/>
        <w:pageBreakBefore w:val="0"/>
        <w:widowControl w:val="0"/>
        <w:kinsoku/>
        <w:wordWrap/>
        <w:overflowPunct/>
        <w:topLinePunct w:val="0"/>
        <w:autoSpaceDE/>
        <w:autoSpaceDN/>
        <w:bidi w:val="0"/>
        <w:spacing w:line="576" w:lineRule="exact"/>
        <w:ind w:firstLine="640"/>
        <w:jc w:val="both"/>
        <w:textAlignment w:val="auto"/>
        <w:rPr>
          <w:rFonts w:ascii="宋体" w:hAnsi="宋体"/>
          <w:b w:val="0"/>
          <w:bCs w:val="0"/>
          <w:color w:val="auto"/>
          <w:kern w:val="2"/>
          <w:sz w:val="32"/>
          <w:szCs w:val="32"/>
        </w:rPr>
      </w:pP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hint="eastAsia" w:ascii="CESI黑体-GB2312" w:hAnsi="CESI黑体-GB2312" w:eastAsia="CESI黑体-GB2312" w:cs="CESI黑体-GB2312"/>
          <w:sz w:val="32"/>
          <w:szCs w:val="32"/>
          <w:lang w:val="zh-CN"/>
        </w:rPr>
      </w:pPr>
      <w:bookmarkStart w:id="107" w:name="_Toc24493"/>
      <w:r>
        <w:rPr>
          <w:rFonts w:hint="eastAsia" w:ascii="CESI黑体-GB2312" w:hAnsi="CESI黑体-GB2312" w:eastAsia="CESI黑体-GB2312" w:cs="CESI黑体-GB2312"/>
          <w:sz w:val="32"/>
          <w:szCs w:val="32"/>
        </w:rPr>
        <w:t>一、</w:t>
      </w:r>
      <w:r>
        <w:rPr>
          <w:rFonts w:hint="eastAsia" w:ascii="CESI黑体-GB2312" w:hAnsi="CESI黑体-GB2312" w:eastAsia="CESI黑体-GB2312" w:cs="CESI黑体-GB2312"/>
          <w:sz w:val="32"/>
          <w:szCs w:val="32"/>
          <w:lang w:val="zh-CN"/>
        </w:rPr>
        <w:t>项目概况</w:t>
      </w:r>
      <w:bookmarkEnd w:id="107"/>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仿宋_GB2312" w:hAnsi="仿宋" w:eastAsia="仿宋_GB2312" w:cs="仿宋_GB2312"/>
          <w:sz w:val="32"/>
          <w:szCs w:val="32"/>
          <w:lang w:val="en-US" w:eastAsia="zh-CN"/>
        </w:rPr>
      </w:pPr>
      <w:r>
        <w:rPr>
          <w:rFonts w:hint="eastAsia" w:ascii="仿宋_GB2312" w:hAnsi="仿宋" w:eastAsia="仿宋_GB2312" w:cs="仿宋_GB2312"/>
          <w:sz w:val="32"/>
          <w:szCs w:val="32"/>
        </w:rPr>
        <w:t>本项目根据市委市政府授予市财政评审中心职能职责所设立，主管部门为广元市财政局。</w:t>
      </w:r>
      <w:r>
        <w:rPr>
          <w:rFonts w:hint="eastAsia" w:ascii="仿宋_GB2312" w:hAnsi="仿宋" w:eastAsia="仿宋_GB2312" w:cs="仿宋_GB2312"/>
          <w:sz w:val="32"/>
          <w:szCs w:val="32"/>
          <w:lang w:val="en-US" w:eastAsia="zh-CN"/>
        </w:rPr>
        <w:t>项目经局党组会审定同意申报预算资金35万元，经《广元市财政局关于下达财政专项补助资金的通知》（广财行〔2022〕72号）在年末追加下达项目预算35万元。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（二）项目绩效目标。</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1.项目主要内容。保障评审工作</w:t>
      </w:r>
      <w:r>
        <w:rPr>
          <w:rFonts w:hint="eastAsia" w:ascii="仿宋_GB2312" w:hAnsi="仿宋" w:eastAsia="仿宋_GB2312" w:cs="仿宋_GB2312"/>
          <w:sz w:val="32"/>
          <w:szCs w:val="32"/>
          <w:lang w:eastAsia="zh-CN"/>
        </w:rPr>
        <w:t>开展和政府性投资项目顺利推进，购置公务车辆</w:t>
      </w:r>
      <w:r>
        <w:rPr>
          <w:rFonts w:hint="eastAsia" w:ascii="仿宋_GB2312" w:hAnsi="仿宋" w:eastAsia="仿宋_GB2312" w:cs="仿宋_GB2312"/>
          <w:sz w:val="32"/>
          <w:szCs w:val="32"/>
          <w:lang w:val="en-US" w:eastAsia="zh-CN"/>
        </w:rPr>
        <w:t>1辆。</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仿宋_GB2312"/>
          <w:sz w:val="32"/>
          <w:szCs w:val="32"/>
          <w:lang w:val="zh-CN"/>
        </w:rPr>
      </w:pP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lang w:val="zh-CN"/>
        </w:rPr>
        <w:t>项目绩效目标。项目分别设立产出指标、成本指标、效益指标和满意度指标，对采购内容和数量、完成时限和采购质量等进行了细化和量化。</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仿宋_GB2312"/>
          <w:sz w:val="32"/>
          <w:szCs w:val="32"/>
          <w:lang w:val="zh-CN"/>
        </w:rPr>
      </w:pPr>
      <w:r>
        <w:rPr>
          <w:rFonts w:hint="eastAsia" w:ascii="仿宋_GB2312" w:hAnsi="仿宋" w:eastAsia="仿宋_GB2312" w:cs="仿宋_GB2312"/>
          <w:sz w:val="32"/>
          <w:szCs w:val="32"/>
          <w:lang w:val="en-US" w:eastAsia="zh-CN"/>
        </w:rPr>
        <w:t>3.</w:t>
      </w:r>
      <w:r>
        <w:rPr>
          <w:rFonts w:hint="eastAsia" w:ascii="仿宋_GB2312" w:hAnsi="仿宋" w:eastAsia="仿宋_GB2312" w:cs="仿宋_GB2312"/>
          <w:sz w:val="32"/>
          <w:szCs w:val="32"/>
          <w:lang w:val="zh-CN"/>
        </w:rPr>
        <w:t>项目资金申报相符性。</w:t>
      </w:r>
      <w:r>
        <w:rPr>
          <w:rFonts w:hint="eastAsia" w:ascii="仿宋_GB2312" w:hAnsi="仿宋" w:eastAsia="仿宋_GB2312" w:cs="仿宋_GB2312"/>
          <w:sz w:val="32"/>
          <w:szCs w:val="32"/>
          <w:lang w:val="en-US" w:eastAsia="zh-CN"/>
        </w:rPr>
        <w:t>该</w:t>
      </w:r>
      <w:r>
        <w:rPr>
          <w:rFonts w:hint="eastAsia" w:ascii="仿宋_GB2312" w:hAnsi="仿宋" w:eastAsia="仿宋_GB2312" w:cs="仿宋_GB2312"/>
          <w:sz w:val="32"/>
          <w:szCs w:val="32"/>
          <w:lang w:val="zh-CN"/>
        </w:rPr>
        <w:t>项目</w:t>
      </w:r>
      <w:r>
        <w:rPr>
          <w:rFonts w:hint="eastAsia" w:ascii="仿宋_GB2312" w:hAnsi="仿宋" w:eastAsia="仿宋_GB2312" w:cs="仿宋_GB2312"/>
          <w:sz w:val="32"/>
          <w:szCs w:val="32"/>
          <w:lang w:val="en-US" w:eastAsia="zh-CN"/>
        </w:rPr>
        <w:t>根据单位职能职责设定具体工作内容，</w:t>
      </w:r>
      <w:r>
        <w:rPr>
          <w:rFonts w:hint="eastAsia" w:ascii="仿宋_GB2312" w:hAnsi="仿宋" w:eastAsia="仿宋_GB2312" w:cs="仿宋_GB2312"/>
          <w:sz w:val="32"/>
          <w:szCs w:val="32"/>
          <w:lang w:val="zh-CN"/>
        </w:rPr>
        <w:t>申报内容</w:t>
      </w:r>
      <w:r>
        <w:rPr>
          <w:rFonts w:hint="eastAsia" w:ascii="仿宋_GB2312" w:hAnsi="仿宋" w:eastAsia="仿宋_GB2312" w:cs="仿宋_GB2312"/>
          <w:sz w:val="32"/>
          <w:szCs w:val="32"/>
          <w:lang w:val="en-US" w:eastAsia="zh-CN"/>
        </w:rPr>
        <w:t>和项目绩效</w:t>
      </w:r>
      <w:r>
        <w:rPr>
          <w:rFonts w:hint="eastAsia" w:ascii="仿宋_GB2312" w:hAnsi="仿宋" w:eastAsia="仿宋_GB2312" w:cs="仿宋_GB2312"/>
          <w:sz w:val="32"/>
          <w:szCs w:val="32"/>
          <w:lang w:val="zh-CN"/>
        </w:rPr>
        <w:t>目标</w:t>
      </w:r>
      <w:r>
        <w:rPr>
          <w:rFonts w:hint="eastAsia" w:ascii="仿宋_GB2312" w:hAnsi="仿宋" w:eastAsia="仿宋_GB2312" w:cs="仿宋_GB2312"/>
          <w:sz w:val="32"/>
          <w:szCs w:val="32"/>
          <w:lang w:val="en-US" w:eastAsia="zh-CN"/>
        </w:rPr>
        <w:t>与财政评审工作</w:t>
      </w:r>
      <w:r>
        <w:rPr>
          <w:rFonts w:hint="eastAsia" w:ascii="仿宋_GB2312" w:hAnsi="仿宋" w:eastAsia="仿宋_GB2312" w:cs="仿宋_GB2312"/>
          <w:sz w:val="32"/>
          <w:szCs w:val="32"/>
          <w:lang w:val="zh-CN"/>
        </w:rPr>
        <w:t>相符，</w:t>
      </w:r>
      <w:r>
        <w:rPr>
          <w:rFonts w:hint="eastAsia" w:ascii="仿宋_GB2312" w:hAnsi="仿宋" w:eastAsia="仿宋_GB2312" w:cs="仿宋_GB2312"/>
          <w:sz w:val="32"/>
          <w:szCs w:val="32"/>
          <w:lang w:val="en-US" w:eastAsia="zh-CN"/>
        </w:rPr>
        <w:t>项目</w:t>
      </w:r>
      <w:r>
        <w:rPr>
          <w:rFonts w:hint="eastAsia" w:ascii="仿宋_GB2312" w:hAnsi="仿宋" w:eastAsia="仿宋_GB2312" w:cs="仿宋_GB2312"/>
          <w:sz w:val="32"/>
          <w:szCs w:val="32"/>
          <w:lang w:val="zh-CN"/>
        </w:rPr>
        <w:t>合理可行。</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（三）项目自评步骤及方法。</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仿宋_GB2312"/>
          <w:sz w:val="32"/>
          <w:szCs w:val="32"/>
          <w:lang w:val="zh-CN"/>
        </w:rPr>
      </w:pPr>
      <w:r>
        <w:rPr>
          <w:rFonts w:hint="eastAsia" w:ascii="仿宋_GB2312" w:hAnsi="仿宋" w:eastAsia="仿宋_GB2312" w:cs="仿宋_GB2312"/>
          <w:sz w:val="32"/>
          <w:szCs w:val="32"/>
        </w:rPr>
        <w:t>按照项目评价要求，明确自评责任人，通过查验资料、报告工作等形式严格自评，做到自评真实不走形式。</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hint="eastAsia" w:ascii="CESI黑体-GB2312" w:hAnsi="CESI黑体-GB2312" w:eastAsia="CESI黑体-GB2312" w:cs="CESI黑体-GB2312"/>
          <w:sz w:val="32"/>
          <w:szCs w:val="32"/>
        </w:rPr>
      </w:pPr>
      <w:bookmarkStart w:id="108" w:name="_Toc15056"/>
      <w:r>
        <w:rPr>
          <w:rFonts w:hint="eastAsia" w:ascii="CESI黑体-GB2312" w:hAnsi="CESI黑体-GB2312" w:eastAsia="CESI黑体-GB2312" w:cs="CESI黑体-GB2312"/>
          <w:sz w:val="32"/>
          <w:szCs w:val="32"/>
        </w:rPr>
        <w:t>二、项目资金申报及使用情况</w:t>
      </w:r>
      <w:bookmarkEnd w:id="108"/>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（一）项目资金申报及批复情况。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仿宋_GB2312"/>
          <w:sz w:val="32"/>
          <w:szCs w:val="32"/>
          <w:lang w:val="zh-CN"/>
        </w:rPr>
      </w:pPr>
      <w:r>
        <w:rPr>
          <w:rFonts w:hint="eastAsia" w:ascii="仿宋_GB2312" w:hAnsi="仿宋" w:eastAsia="仿宋_GB2312" w:cs="仿宋_GB2312"/>
          <w:sz w:val="32"/>
          <w:szCs w:val="32"/>
        </w:rPr>
        <w:t>按照一般公共预算管理要求， 市财政</w:t>
      </w:r>
      <w:r>
        <w:rPr>
          <w:rFonts w:hint="eastAsia" w:ascii="仿宋_GB2312" w:hAnsi="仿宋" w:eastAsia="仿宋_GB2312" w:cs="仿宋_GB2312"/>
          <w:sz w:val="32"/>
          <w:szCs w:val="32"/>
          <w:lang w:eastAsia="zh-CN"/>
        </w:rPr>
        <w:t>评审中心</w:t>
      </w:r>
      <w:r>
        <w:rPr>
          <w:rFonts w:hint="eastAsia" w:ascii="仿宋_GB2312" w:hAnsi="仿宋" w:eastAsia="仿宋_GB2312" w:cs="仿宋_GB2312"/>
          <w:sz w:val="32"/>
          <w:szCs w:val="32"/>
        </w:rPr>
        <w:t>申报项目资金预算，202</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年</w:t>
      </w:r>
      <w:r>
        <w:rPr>
          <w:rFonts w:hint="eastAsia" w:ascii="仿宋_GB2312" w:hAnsi="仿宋" w:eastAsia="仿宋_GB2312" w:cs="仿宋_GB2312"/>
          <w:sz w:val="32"/>
          <w:szCs w:val="32"/>
          <w:lang w:val="en-US" w:eastAsia="zh-CN"/>
        </w:rPr>
        <w:t>12月</w:t>
      </w:r>
      <w:r>
        <w:rPr>
          <w:rFonts w:hint="eastAsia" w:ascii="仿宋_GB2312" w:hAnsi="仿宋" w:eastAsia="仿宋_GB2312" w:cs="仿宋_GB2312"/>
          <w:sz w:val="32"/>
          <w:szCs w:val="32"/>
          <w:lang w:eastAsia="zh-CN"/>
        </w:rPr>
        <w:t>经</w:t>
      </w:r>
      <w:r>
        <w:rPr>
          <w:rFonts w:hint="eastAsia" w:ascii="仿宋_GB2312" w:hAnsi="仿宋" w:eastAsia="仿宋_GB2312" w:cs="仿宋_GB2312"/>
          <w:sz w:val="32"/>
          <w:szCs w:val="32"/>
        </w:rPr>
        <w:t>广元市财政局通过</w:t>
      </w:r>
      <w:r>
        <w:rPr>
          <w:rFonts w:hint="eastAsia" w:ascii="仿宋_GB2312" w:hAnsi="仿宋" w:eastAsia="仿宋_GB2312" w:cs="仿宋_GB2312"/>
          <w:sz w:val="32"/>
          <w:szCs w:val="32"/>
          <w:lang w:val="en-US" w:eastAsia="zh-CN"/>
        </w:rPr>
        <w:t>《广元市财政局关于下达财政专项补助资金的通知》（广财行〔2022〕72号）</w:t>
      </w:r>
      <w:r>
        <w:rPr>
          <w:rFonts w:hint="eastAsia" w:ascii="仿宋_GB2312" w:hAnsi="仿宋" w:eastAsia="仿宋_GB2312" w:cs="仿宋_GB2312"/>
          <w:sz w:val="32"/>
          <w:szCs w:val="32"/>
        </w:rPr>
        <w:t>文件下达我单位项目资金</w:t>
      </w:r>
      <w:r>
        <w:rPr>
          <w:rFonts w:hint="eastAsia" w:ascii="仿宋_GB2312" w:hAnsi="仿宋" w:eastAsia="仿宋_GB2312" w:cs="仿宋_GB2312"/>
          <w:sz w:val="32"/>
          <w:szCs w:val="32"/>
          <w:lang w:val="en-US" w:eastAsia="zh-CN"/>
        </w:rPr>
        <w:t>35</w:t>
      </w:r>
      <w:r>
        <w:rPr>
          <w:rFonts w:hint="eastAsia" w:ascii="仿宋_GB2312" w:hAnsi="仿宋" w:eastAsia="仿宋_GB2312" w:cs="仿宋_GB2312"/>
          <w:sz w:val="32"/>
          <w:szCs w:val="32"/>
        </w:rPr>
        <w:t>万元。</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（二）资金计划、到位及使用情况。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lang w:val="zh-CN"/>
        </w:rPr>
        <w:t>资金计划。</w:t>
      </w:r>
      <w:r>
        <w:rPr>
          <w:rFonts w:hint="eastAsia" w:ascii="仿宋_GB2312" w:hAnsi="仿宋" w:eastAsia="仿宋_GB2312" w:cs="仿宋_GB2312"/>
          <w:sz w:val="32"/>
          <w:szCs w:val="32"/>
        </w:rPr>
        <w:t>本项目</w:t>
      </w:r>
      <w:r>
        <w:rPr>
          <w:rFonts w:hint="eastAsia" w:ascii="仿宋_GB2312" w:hAnsi="仿宋" w:eastAsia="仿宋_GB2312" w:cs="仿宋_GB2312"/>
          <w:sz w:val="32"/>
          <w:szCs w:val="32"/>
          <w:lang w:eastAsia="zh-CN"/>
        </w:rPr>
        <w:t>为政府采购预算资金，</w:t>
      </w:r>
      <w:r>
        <w:rPr>
          <w:rFonts w:hint="eastAsia" w:ascii="仿宋_GB2312" w:hAnsi="仿宋" w:eastAsia="仿宋_GB2312" w:cs="仿宋_GB2312"/>
          <w:sz w:val="32"/>
          <w:szCs w:val="32"/>
          <w:lang w:val="en-US" w:eastAsia="zh-CN"/>
        </w:rPr>
        <w:t>该项目</w:t>
      </w:r>
      <w:r>
        <w:rPr>
          <w:rFonts w:hint="eastAsia" w:ascii="仿宋_GB2312" w:hAnsi="仿宋" w:eastAsia="仿宋_GB2312" w:cs="仿宋_GB2312"/>
          <w:sz w:val="32"/>
          <w:szCs w:val="32"/>
        </w:rPr>
        <w:t>实际拨付</w:t>
      </w:r>
      <w:r>
        <w:rPr>
          <w:rFonts w:hint="eastAsia" w:ascii="仿宋_GB2312" w:hAnsi="仿宋" w:eastAsia="仿宋_GB2312" w:cs="仿宋_GB2312"/>
          <w:sz w:val="32"/>
          <w:szCs w:val="32"/>
          <w:lang w:val="en-US" w:eastAsia="zh-CN"/>
        </w:rPr>
        <w:t>到位</w:t>
      </w:r>
      <w:r>
        <w:rPr>
          <w:rFonts w:hint="eastAsia" w:ascii="仿宋_GB2312" w:hAnsi="仿宋" w:eastAsia="仿宋_GB2312" w:cs="仿宋_GB2312"/>
          <w:sz w:val="32"/>
          <w:szCs w:val="32"/>
        </w:rPr>
        <w:t>资金</w:t>
      </w:r>
      <w:r>
        <w:rPr>
          <w:rFonts w:hint="eastAsia" w:ascii="仿宋_GB2312" w:hAnsi="仿宋" w:eastAsia="仿宋_GB2312" w:cs="仿宋_GB2312"/>
          <w:sz w:val="32"/>
          <w:szCs w:val="32"/>
          <w:lang w:val="en-US" w:eastAsia="zh-CN"/>
        </w:rPr>
        <w:t>35</w:t>
      </w:r>
      <w:r>
        <w:rPr>
          <w:rFonts w:hint="eastAsia" w:ascii="仿宋_GB2312" w:hAnsi="仿宋" w:eastAsia="仿宋_GB2312" w:cs="仿宋_GB2312"/>
          <w:sz w:val="32"/>
          <w:szCs w:val="32"/>
        </w:rPr>
        <w:t>万元，资金拨付率为100%。</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lang w:val="zh-CN"/>
        </w:rPr>
        <w:t>资金使用。</w:t>
      </w:r>
      <w:r>
        <w:rPr>
          <w:rFonts w:hint="eastAsia" w:ascii="仿宋_GB2312" w:hAnsi="仿宋" w:eastAsia="仿宋_GB2312" w:cs="仿宋_GB2312"/>
          <w:sz w:val="32"/>
          <w:szCs w:val="32"/>
        </w:rPr>
        <w:t>该项目资金</w:t>
      </w:r>
      <w:r>
        <w:rPr>
          <w:rFonts w:hint="eastAsia" w:ascii="仿宋_GB2312" w:hAnsi="仿宋" w:eastAsia="仿宋_GB2312" w:cs="仿宋_GB2312"/>
          <w:sz w:val="32"/>
          <w:szCs w:val="32"/>
          <w:lang w:val="en-US" w:eastAsia="zh-CN"/>
        </w:rPr>
        <w:t>2022年未实现支出，主要原因是该项目资金在年末下达，部门需按政府采购管理实施车辆采购后再予以支付，因此该项目在2023年完成采购并支付资金。</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（三）项目财务管理情况。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仿宋_GB2312"/>
          <w:sz w:val="32"/>
          <w:szCs w:val="32"/>
          <w:lang w:val="en-US" w:eastAsia="zh-CN"/>
        </w:rPr>
      </w:pPr>
      <w:r>
        <w:rPr>
          <w:rFonts w:hint="eastAsia" w:ascii="仿宋_GB2312" w:hAnsi="仿宋" w:eastAsia="仿宋_GB2312" w:cs="仿宋_GB2312"/>
          <w:sz w:val="32"/>
          <w:szCs w:val="32"/>
          <w:lang w:eastAsia="zh-CN"/>
        </w:rPr>
        <w:t>我部门</w:t>
      </w:r>
      <w:r>
        <w:rPr>
          <w:rFonts w:hint="eastAsia" w:ascii="仿宋_GB2312" w:hAnsi="仿宋" w:eastAsia="仿宋_GB2312" w:cs="仿宋_GB2312"/>
          <w:sz w:val="32"/>
          <w:szCs w:val="32"/>
        </w:rPr>
        <w:t>严格按照财务管理相关制度规定，建立健全财务管理制度及内控制度，加强对财政管理专项经费的使用管理，按照专项资金管理办法做好项目实施和监管，及时、规范进行账务处理及会计核算</w:t>
      </w:r>
      <w:r>
        <w:rPr>
          <w:rFonts w:hint="eastAsia" w:ascii="仿宋_GB2312" w:hAnsi="仿宋" w:eastAsia="仿宋_GB2312" w:cs="仿宋_GB2312"/>
          <w:sz w:val="32"/>
          <w:szCs w:val="32"/>
          <w:lang w:eastAsia="zh-CN"/>
        </w:rPr>
        <w:t>，</w:t>
      </w:r>
      <w:r>
        <w:rPr>
          <w:rFonts w:hint="eastAsia" w:ascii="仿宋_GB2312" w:hAnsi="仿宋" w:eastAsia="仿宋_GB2312" w:cs="仿宋_GB2312"/>
          <w:sz w:val="32"/>
          <w:szCs w:val="32"/>
        </w:rPr>
        <w:t>切实做到专款专用，最大可能发挥专项资金作用。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hint="eastAsia" w:ascii="CESI黑体-GB2312" w:hAnsi="CESI黑体-GB2312" w:eastAsia="CESI黑体-GB2312" w:cs="CESI黑体-GB2312"/>
          <w:sz w:val="32"/>
          <w:szCs w:val="32"/>
        </w:rPr>
      </w:pPr>
      <w:bookmarkStart w:id="109" w:name="_Toc23233"/>
      <w:r>
        <w:rPr>
          <w:rFonts w:hint="eastAsia" w:ascii="CESI黑体-GB2312" w:hAnsi="CESI黑体-GB2312" w:eastAsia="CESI黑体-GB2312" w:cs="CESI黑体-GB2312"/>
          <w:sz w:val="32"/>
          <w:szCs w:val="32"/>
        </w:rPr>
        <w:t>三、项目实施及管理情况</w:t>
      </w:r>
      <w:bookmarkEnd w:id="109"/>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仿宋_GB2312"/>
          <w:sz w:val="32"/>
          <w:szCs w:val="32"/>
          <w:lang w:val="zh-CN"/>
        </w:rPr>
      </w:pPr>
      <w:r>
        <w:rPr>
          <w:rFonts w:hint="eastAsia" w:ascii="仿宋_GB2312" w:hAnsi="仿宋" w:eastAsia="仿宋_GB2312" w:cs="仿宋_GB2312"/>
          <w:sz w:val="32"/>
          <w:szCs w:val="32"/>
          <w:lang w:val="zh-CN"/>
        </w:rPr>
        <w:t>该项目属于政府采购项目，部门严格按照政府采购流程组织实施，报销环节严格按照我单位财务管理规定报销费用。部门严格按照项目管理有关规定管理专项经费，为保障项目资金安全，确保资金专款专用，从资金申请、资金使用、会计核算三个环节加强资金管理。在项目资金申请环节，严格按照国库集中支付流程申请财政资金;在资金使用环节，严格遵守相关法律法规规定，严格按照单位财务管理审批流程办理款项支付；在会计核算环节，对本项目资金实行单独核算，确保专款专用。通过上述三个环节的管理，极力避免了挪用、挤占、截留项目资金的现象，保证财政资金安全有效使用。</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hint="eastAsia" w:ascii="CESI黑体-GB2312" w:hAnsi="CESI黑体-GB2312" w:eastAsia="CESI黑体-GB2312" w:cs="CESI黑体-GB2312"/>
          <w:sz w:val="32"/>
          <w:szCs w:val="32"/>
          <w:lang w:val="zh-CN"/>
        </w:rPr>
      </w:pPr>
      <w:bookmarkStart w:id="110" w:name="_Toc10831"/>
      <w:r>
        <w:rPr>
          <w:rFonts w:hint="eastAsia" w:ascii="CESI黑体-GB2312" w:hAnsi="CESI黑体-GB2312" w:eastAsia="CESI黑体-GB2312" w:cs="CESI黑体-GB2312"/>
          <w:sz w:val="32"/>
          <w:szCs w:val="32"/>
          <w:lang w:eastAsia="zh-CN"/>
        </w:rPr>
        <w:t>四</w:t>
      </w:r>
      <w:r>
        <w:rPr>
          <w:rFonts w:hint="eastAsia" w:ascii="CESI黑体-GB2312" w:hAnsi="CESI黑体-GB2312" w:eastAsia="CESI黑体-GB2312" w:cs="CESI黑体-GB2312"/>
          <w:sz w:val="32"/>
          <w:szCs w:val="32"/>
        </w:rPr>
        <w:t>、项目绩效情况</w:t>
      </w:r>
      <w:bookmarkEnd w:id="110"/>
      <w:r>
        <w:rPr>
          <w:rFonts w:hint="eastAsia" w:ascii="CESI黑体-GB2312" w:hAnsi="CESI黑体-GB2312" w:eastAsia="CESI黑体-GB2312" w:cs="CESI黑体-GB2312"/>
          <w:sz w:val="32"/>
          <w:szCs w:val="32"/>
          <w:lang w:val="zh-CN"/>
        </w:rPr>
        <w:tab/>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（一）项目完成情况。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default" w:ascii="仿宋_GB2312" w:hAnsi="仿宋" w:eastAsia="仿宋_GB2312" w:cs="仿宋_GB2312"/>
          <w:sz w:val="32"/>
          <w:szCs w:val="32"/>
          <w:lang w:val="en-US"/>
        </w:rPr>
      </w:pPr>
      <w:r>
        <w:rPr>
          <w:rFonts w:hint="eastAsia" w:ascii="仿宋_GB2312" w:hAnsi="仿宋" w:eastAsia="仿宋_GB2312" w:cs="仿宋_GB2312"/>
          <w:sz w:val="32"/>
          <w:szCs w:val="32"/>
          <w:lang w:eastAsia="zh-CN"/>
        </w:rPr>
        <w:t>该项目资金下达后，部门严格按照规定实施采购，因采购流程复杂且耗时长，因此在</w:t>
      </w:r>
      <w:r>
        <w:rPr>
          <w:rFonts w:hint="eastAsia" w:ascii="仿宋_GB2312" w:hAnsi="仿宋" w:eastAsia="仿宋_GB2312" w:cs="仿宋_GB2312"/>
          <w:sz w:val="32"/>
          <w:szCs w:val="32"/>
          <w:lang w:val="en-US" w:eastAsia="zh-CN"/>
        </w:rPr>
        <w:t>2023年完成采购，本着经济实用和厉行节约原则，市财政评审中心采购商务车1辆，符合相关规定。</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CESI楷体-GB2312" w:hAnsi="CESI楷体-GB2312" w:eastAsia="CESI楷体-GB2312" w:cs="CESI楷体-GB2312"/>
          <w:sz w:val="32"/>
          <w:szCs w:val="32"/>
          <w:lang w:val="zh-CN"/>
        </w:rPr>
      </w:pPr>
      <w:r>
        <w:rPr>
          <w:rFonts w:hint="eastAsia" w:ascii="CESI楷体-GB2312" w:hAnsi="CESI楷体-GB2312" w:eastAsia="CESI楷体-GB2312" w:cs="CESI楷体-GB2312"/>
          <w:sz w:val="32"/>
          <w:szCs w:val="32"/>
          <w:lang w:val="zh-CN"/>
        </w:rPr>
        <w:t>（二）项目效益情况。</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仿宋_GB2312"/>
          <w:sz w:val="32"/>
          <w:szCs w:val="32"/>
        </w:rPr>
      </w:pPr>
      <w:r>
        <w:rPr>
          <w:rFonts w:hint="eastAsia" w:ascii="仿宋_GB2312" w:hAnsi="仿宋" w:eastAsia="仿宋_GB2312" w:cs="仿宋_GB2312"/>
          <w:sz w:val="32"/>
          <w:szCs w:val="32"/>
        </w:rPr>
        <w:t>1.项目实施对经济和社会的影响。通过</w:t>
      </w:r>
      <w:r>
        <w:rPr>
          <w:rFonts w:hint="eastAsia" w:ascii="仿宋_GB2312" w:hAnsi="仿宋" w:eastAsia="仿宋_GB2312" w:cs="仿宋_GB2312"/>
          <w:sz w:val="32"/>
          <w:szCs w:val="32"/>
          <w:lang w:eastAsia="zh-CN"/>
        </w:rPr>
        <w:t>车辆采购，将切实保障评审</w:t>
      </w:r>
      <w:r>
        <w:rPr>
          <w:rFonts w:hint="eastAsia" w:ascii="仿宋_GB2312" w:hAnsi="仿宋" w:eastAsia="仿宋_GB2312" w:cs="仿宋_GB2312"/>
          <w:sz w:val="32"/>
          <w:szCs w:val="32"/>
        </w:rPr>
        <w:t>工作正常开展，</w:t>
      </w:r>
      <w:r>
        <w:rPr>
          <w:rFonts w:hint="eastAsia" w:ascii="仿宋_GB2312" w:hAnsi="仿宋" w:eastAsia="仿宋_GB2312" w:cs="仿宋_GB2312"/>
          <w:sz w:val="32"/>
          <w:szCs w:val="32"/>
          <w:lang w:eastAsia="zh-CN"/>
        </w:rPr>
        <w:t>助推</w:t>
      </w:r>
      <w:r>
        <w:rPr>
          <w:rFonts w:hint="eastAsia" w:ascii="仿宋_GB2312" w:hAnsi="仿宋" w:eastAsia="仿宋_GB2312" w:cs="仿宋_GB2312"/>
          <w:sz w:val="32"/>
          <w:szCs w:val="32"/>
        </w:rPr>
        <w:t>评审项目</w:t>
      </w:r>
      <w:r>
        <w:rPr>
          <w:rFonts w:hint="eastAsia" w:ascii="仿宋_GB2312" w:hAnsi="仿宋" w:eastAsia="仿宋_GB2312" w:cs="仿宋_GB2312"/>
          <w:sz w:val="32"/>
          <w:szCs w:val="32"/>
          <w:lang w:eastAsia="zh-CN"/>
        </w:rPr>
        <w:t>顺利实施</w:t>
      </w:r>
      <w:r>
        <w:rPr>
          <w:rFonts w:hint="eastAsia" w:ascii="仿宋_GB2312" w:hAnsi="仿宋" w:eastAsia="仿宋_GB2312" w:cs="仿宋_GB2312"/>
          <w:sz w:val="32"/>
          <w:szCs w:val="32"/>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仿宋_GB2312"/>
          <w:sz w:val="32"/>
          <w:szCs w:val="32"/>
          <w:lang w:val="zh-CN"/>
        </w:rPr>
      </w:pPr>
      <w:r>
        <w:rPr>
          <w:rFonts w:hint="eastAsia" w:ascii="仿宋_GB2312" w:hAnsi="仿宋" w:eastAsia="仿宋_GB2312" w:cs="仿宋_GB2312"/>
          <w:sz w:val="32"/>
          <w:szCs w:val="32"/>
        </w:rPr>
        <w:t>2.项目服务对象满意度。</w:t>
      </w:r>
      <w:r>
        <w:rPr>
          <w:rFonts w:hint="eastAsia" w:ascii="仿宋_GB2312" w:hAnsi="仿宋" w:eastAsia="仿宋_GB2312" w:cs="仿宋_GB2312"/>
          <w:sz w:val="32"/>
          <w:szCs w:val="32"/>
          <w:lang w:eastAsia="zh-CN"/>
        </w:rPr>
        <w:t>使用</w:t>
      </w:r>
      <w:r>
        <w:rPr>
          <w:rFonts w:hint="eastAsia" w:ascii="仿宋_GB2312" w:hAnsi="仿宋" w:eastAsia="仿宋_GB2312" w:cs="仿宋_GB2312"/>
          <w:sz w:val="32"/>
          <w:szCs w:val="32"/>
        </w:rPr>
        <w:t>人员满意度达95%以上</w:t>
      </w:r>
      <w:r>
        <w:rPr>
          <w:rFonts w:hint="eastAsia" w:ascii="仿宋_GB2312" w:hAnsi="仿宋" w:eastAsia="仿宋_GB2312" w:cs="仿宋_GB2312"/>
          <w:sz w:val="32"/>
          <w:szCs w:val="32"/>
          <w:lang w:val="zh-CN"/>
        </w:rPr>
        <w:t>。</w:t>
      </w:r>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outlineLvl w:val="1"/>
        <w:rPr>
          <w:rFonts w:hint="eastAsia" w:ascii="CESI黑体-GB2312" w:hAnsi="CESI黑体-GB2312" w:eastAsia="CESI黑体-GB2312" w:cs="CESI黑体-GB2312"/>
          <w:sz w:val="32"/>
          <w:szCs w:val="32"/>
        </w:rPr>
      </w:pPr>
      <w:bookmarkStart w:id="111" w:name="_Toc9008"/>
      <w:r>
        <w:rPr>
          <w:rFonts w:hint="eastAsia" w:ascii="CESI黑体-GB2312" w:hAnsi="CESI黑体-GB2312" w:eastAsia="CESI黑体-GB2312" w:cs="CESI黑体-GB2312"/>
          <w:sz w:val="32"/>
          <w:szCs w:val="32"/>
        </w:rPr>
        <w:t>五、评价结论及建议</w:t>
      </w:r>
      <w:bookmarkEnd w:id="111"/>
    </w:p>
    <w:p>
      <w:pPr>
        <w:keepNext w:val="0"/>
        <w:keepLines w:val="0"/>
        <w:pageBreakBefore w:val="0"/>
        <w:widowControl w:val="0"/>
        <w:kinsoku/>
        <w:wordWrap/>
        <w:overflowPunct/>
        <w:topLinePunct w:val="0"/>
        <w:autoSpaceDE/>
        <w:autoSpaceDN/>
        <w:bidi w:val="0"/>
        <w:adjustRightInd w:val="0"/>
        <w:snapToGrid w:val="0"/>
        <w:spacing w:line="576" w:lineRule="exact"/>
        <w:ind w:firstLine="640" w:firstLineChars="200"/>
        <w:jc w:val="both"/>
        <w:textAlignment w:val="auto"/>
        <w:rPr>
          <w:rFonts w:hint="eastAsia" w:ascii="仿宋_GB2312" w:hAnsi="仿宋" w:eastAsia="仿宋_GB2312" w:cs="仿宋_GB2312"/>
          <w:sz w:val="32"/>
          <w:szCs w:val="32"/>
          <w:lang w:val="zh-CN"/>
        </w:rPr>
      </w:pPr>
      <w:r>
        <w:rPr>
          <w:rFonts w:hint="eastAsia" w:ascii="仿宋_GB2312" w:hAnsi="仿宋" w:eastAsia="仿宋_GB2312" w:cs="仿宋_GB2312"/>
          <w:sz w:val="32"/>
          <w:szCs w:val="32"/>
          <w:lang w:val="zh-CN"/>
        </w:rPr>
        <w:t>结合项目自身特点、评价重点及管理办法等要求，</w:t>
      </w:r>
      <w:r>
        <w:rPr>
          <w:rFonts w:hint="eastAsia" w:ascii="仿宋_GB2312" w:hAnsi="仿宋" w:eastAsia="仿宋_GB2312" w:cs="仿宋_GB2312"/>
          <w:sz w:val="32"/>
          <w:szCs w:val="32"/>
          <w:lang w:val="en-US" w:eastAsia="zh-CN"/>
        </w:rPr>
        <w:t>根据</w:t>
      </w:r>
      <w:r>
        <w:rPr>
          <w:rFonts w:hint="eastAsia" w:ascii="仿宋_GB2312" w:hAnsi="仿宋" w:eastAsia="仿宋_GB2312" w:cs="仿宋_GB2312"/>
          <w:sz w:val="32"/>
          <w:szCs w:val="32"/>
          <w:lang w:val="zh-CN"/>
        </w:rPr>
        <w:t>专项项目支出绩效评价指标体系，因该项目在</w:t>
      </w:r>
      <w:r>
        <w:rPr>
          <w:rFonts w:hint="eastAsia" w:ascii="仿宋_GB2312" w:hAnsi="仿宋" w:eastAsia="仿宋_GB2312" w:cs="仿宋_GB2312"/>
          <w:sz w:val="32"/>
          <w:szCs w:val="32"/>
          <w:lang w:val="en-US" w:eastAsia="zh-CN"/>
        </w:rPr>
        <w:t>2022年未完成支付，该</w:t>
      </w:r>
      <w:r>
        <w:rPr>
          <w:rFonts w:hint="eastAsia" w:ascii="仿宋_GB2312" w:hAnsi="仿宋" w:eastAsia="仿宋_GB2312" w:cs="仿宋_GB2312"/>
          <w:sz w:val="32"/>
          <w:szCs w:val="32"/>
          <w:lang w:val="zh-CN"/>
        </w:rPr>
        <w:t>项目</w:t>
      </w:r>
      <w:r>
        <w:rPr>
          <w:rFonts w:hint="eastAsia" w:ascii="仿宋_GB2312" w:hAnsi="仿宋" w:eastAsia="仿宋_GB2312" w:cs="仿宋_GB2312"/>
          <w:sz w:val="32"/>
          <w:szCs w:val="32"/>
          <w:lang w:val="en-US" w:eastAsia="zh-CN"/>
        </w:rPr>
        <w:t>自评得分为90分</w:t>
      </w:r>
      <w:r>
        <w:rPr>
          <w:rFonts w:hint="eastAsia" w:ascii="仿宋_GB2312" w:hAnsi="仿宋" w:eastAsia="仿宋_GB2312" w:cs="仿宋_GB2312"/>
          <w:sz w:val="32"/>
          <w:szCs w:val="32"/>
          <w:lang w:val="zh-CN"/>
        </w:rPr>
        <w:t>。</w:t>
      </w:r>
    </w:p>
    <w:p>
      <w:pPr>
        <w:pStyle w:val="2"/>
        <w:rPr>
          <w:rFonts w:hint="eastAsia"/>
        </w:rPr>
        <w:sectPr>
          <w:footerReference r:id="rId19" w:type="first"/>
          <w:footerReference r:id="rId18" w:type="default"/>
          <w:pgSz w:w="11906" w:h="16838"/>
          <w:pgMar w:top="1440" w:right="1800" w:bottom="1440" w:left="1800" w:header="851" w:footer="992" w:gutter="0"/>
          <w:pgNumType w:fmt="decimal"/>
          <w:cols w:space="425" w:num="1"/>
          <w:titlePg/>
          <w:docGrid w:type="lines" w:linePitch="312" w:charSpace="0"/>
        </w:sectPr>
      </w:pPr>
    </w:p>
    <w:p>
      <w:pPr>
        <w:spacing w:line="600" w:lineRule="exact"/>
        <w:jc w:val="center"/>
        <w:outlineLvl w:val="0"/>
        <w:rPr>
          <w:rFonts w:hint="eastAsia" w:ascii="黑体" w:hAnsi="黑体" w:eastAsia="黑体"/>
          <w:color w:val="auto"/>
          <w:sz w:val="44"/>
          <w:szCs w:val="44"/>
          <w:highlight w:val="none"/>
        </w:rPr>
      </w:pPr>
      <w:bookmarkStart w:id="112" w:name="_Toc24797"/>
      <w:r>
        <w:rPr>
          <w:rStyle w:val="19"/>
          <w:rFonts w:hint="eastAsia" w:ascii="黑体" w:hAnsi="黑体" w:eastAsia="黑体"/>
          <w:b w:val="0"/>
          <w:color w:val="auto"/>
          <w:sz w:val="32"/>
          <w:szCs w:val="32"/>
          <w:highlight w:val="none"/>
        </w:rPr>
        <w:t>部门预算、专项资金预算项目支出绩效目标自评表（2022年度）</w:t>
      </w:r>
      <w:bookmarkEnd w:id="112"/>
    </w:p>
    <w:tbl>
      <w:tblPr>
        <w:tblStyle w:val="15"/>
        <w:tblW w:w="499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3"/>
        <w:gridCol w:w="1535"/>
        <w:gridCol w:w="1238"/>
        <w:gridCol w:w="1731"/>
        <w:gridCol w:w="618"/>
        <w:gridCol w:w="943"/>
        <w:gridCol w:w="595"/>
        <w:gridCol w:w="963"/>
        <w:gridCol w:w="674"/>
        <w:gridCol w:w="830"/>
        <w:gridCol w:w="1017"/>
        <w:gridCol w:w="25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1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项目名称</w:t>
            </w:r>
          </w:p>
        </w:tc>
        <w:tc>
          <w:tcPr>
            <w:tcW w:w="393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公务车辆购置经费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106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主管部门（盖章）</w:t>
            </w:r>
          </w:p>
        </w:tc>
        <w:tc>
          <w:tcPr>
            <w:tcW w:w="18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广元市财政评审中心</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实施单位（盖章）</w:t>
            </w:r>
          </w:p>
        </w:tc>
        <w:tc>
          <w:tcPr>
            <w:tcW w:w="1788"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广元市财政评审中心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项目基本情况</w:t>
            </w:r>
          </w:p>
        </w:tc>
        <w:tc>
          <w:tcPr>
            <w:tcW w:w="54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1.项目年度目标完成情况</w:t>
            </w:r>
          </w:p>
        </w:tc>
        <w:tc>
          <w:tcPr>
            <w:tcW w:w="18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项目年度目标</w:t>
            </w:r>
          </w:p>
        </w:tc>
        <w:tc>
          <w:tcPr>
            <w:tcW w:w="21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4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180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采购公务车1辆，保证评审工作开展，确保政府性投资项目顺利推进。</w:t>
            </w:r>
          </w:p>
        </w:tc>
        <w:tc>
          <w:tcPr>
            <w:tcW w:w="212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因该项目在年末下达，同时需按规定完成政府采购所有流程，因此2022年未完成采购，在2023年完成。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2.项目实施内容及过程概述</w:t>
            </w:r>
          </w:p>
        </w:tc>
        <w:tc>
          <w:tcPr>
            <w:tcW w:w="393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该项目属公务车辆采购，我单位严格按照政府采购管理规定实施。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预算执行情况（10分）</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年度预算数</w:t>
            </w:r>
            <w:r>
              <w:rPr>
                <w:rFonts w:hint="eastAsia" w:ascii="宋体" w:hAnsi="宋体" w:eastAsia="宋体" w:cs="宋体"/>
                <w:b/>
                <w:i w:val="0"/>
                <w:color w:val="000000"/>
                <w:kern w:val="0"/>
                <w:sz w:val="16"/>
                <w:szCs w:val="16"/>
                <w:u w:val="none"/>
                <w:lang w:val="en-US" w:eastAsia="zh-CN" w:bidi="ar"/>
              </w:rPr>
              <w:br w:type="textWrapping"/>
            </w:r>
            <w:r>
              <w:rPr>
                <w:rFonts w:hint="eastAsia" w:ascii="宋体" w:hAnsi="宋体" w:eastAsia="宋体" w:cs="宋体"/>
                <w:b/>
                <w:i w:val="0"/>
                <w:color w:val="000000"/>
                <w:kern w:val="0"/>
                <w:sz w:val="16"/>
                <w:szCs w:val="16"/>
                <w:u w:val="none"/>
                <w:lang w:val="en-US" w:eastAsia="zh-CN" w:bidi="ar"/>
              </w:rPr>
              <w:t>（万元）</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年初预算</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调整后预算数</w:t>
            </w:r>
          </w:p>
        </w:tc>
        <w:tc>
          <w:tcPr>
            <w:tcW w:w="7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预算执行数</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预算执行率</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总额</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0</w:t>
            </w:r>
          </w:p>
        </w:tc>
        <w:tc>
          <w:tcPr>
            <w:tcW w:w="7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0%</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default"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9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因该项目在年末下达，同时需按规定完成政府采购所有流程，因此2022年未完成采购，在2023年完成。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其中：财政资金</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35.00</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0</w:t>
            </w:r>
          </w:p>
        </w:tc>
        <w:tc>
          <w:tcPr>
            <w:tcW w:w="7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lang w:val="en-US" w:eastAsia="zh-CN"/>
              </w:rPr>
            </w:pPr>
            <w:r>
              <w:rPr>
                <w:rFonts w:hint="eastAsia" w:ascii="宋体" w:hAnsi="宋体" w:cs="宋体"/>
                <w:i w:val="0"/>
                <w:color w:val="000000"/>
                <w:sz w:val="16"/>
                <w:szCs w:val="16"/>
                <w:u w:val="none"/>
                <w:lang w:val="en-US" w:eastAsia="zh-CN"/>
              </w:rPr>
              <w:t>0</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财政专户管理资金</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单位资金</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其他资金</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59"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9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5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绩效指标（90分）</w:t>
            </w: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一级指标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二级指标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三级指标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指标性质</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指标值</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度量单位</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完成值</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采购车辆合格率</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购买完成时限</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采购车辆</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辆</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cs="宋体"/>
                <w:i w:val="0"/>
                <w:color w:val="000000"/>
                <w:kern w:val="0"/>
                <w:sz w:val="16"/>
                <w:szCs w:val="16"/>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经济成本指标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车辆购置费</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35</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财政评审工作顺利开展</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使用时间</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达到车辆使用年限规定</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5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4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6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使用人员满意度</w:t>
            </w:r>
          </w:p>
        </w:tc>
        <w:tc>
          <w:tcPr>
            <w:tcW w:w="2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东文宋体" w:hAnsi="东文宋体" w:eastAsia="东文宋体" w:cs="东文宋体"/>
                <w:i w:val="0"/>
                <w:color w:val="000000"/>
                <w:sz w:val="16"/>
                <w:szCs w:val="16"/>
                <w:u w:val="none"/>
              </w:rPr>
            </w:pPr>
            <w:r>
              <w:rPr>
                <w:rFonts w:hint="default" w:ascii="东文宋体" w:hAnsi="东文宋体" w:eastAsia="东文宋体" w:cs="东文宋体"/>
                <w:i w:val="0"/>
                <w:color w:val="000000"/>
                <w:kern w:val="0"/>
                <w:sz w:val="16"/>
                <w:szCs w:val="16"/>
                <w:u w:val="none"/>
                <w:lang w:val="en-US" w:eastAsia="zh-CN" w:bidi="ar"/>
              </w:rPr>
              <w:t>≥</w:t>
            </w:r>
          </w:p>
        </w:tc>
        <w:tc>
          <w:tcPr>
            <w:tcW w:w="33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2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211"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2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3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89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部门（单位）自评结论</w:t>
            </w:r>
          </w:p>
        </w:tc>
        <w:tc>
          <w:tcPr>
            <w:tcW w:w="447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因该项目在年末下达，同时需按规定完成政府采购所有流程，因此2022年未完成采购，在2023年完成。项目自评得分90分。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部门（单位）自评存在问题</w:t>
            </w:r>
          </w:p>
        </w:tc>
        <w:tc>
          <w:tcPr>
            <w:tcW w:w="447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部门（单位）自评改进措施</w:t>
            </w:r>
          </w:p>
        </w:tc>
        <w:tc>
          <w:tcPr>
            <w:tcW w:w="447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财政部门对口科室复评结论及整改要求</w:t>
            </w:r>
          </w:p>
        </w:tc>
        <w:tc>
          <w:tcPr>
            <w:tcW w:w="447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单位项目负责人：</w:t>
            </w:r>
          </w:p>
        </w:tc>
        <w:tc>
          <w:tcPr>
            <w:tcW w:w="267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单位财务负责人：朴锦阳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32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部门项目负责人：</w:t>
            </w:r>
          </w:p>
        </w:tc>
        <w:tc>
          <w:tcPr>
            <w:tcW w:w="2671"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部门财务负责人：衡云云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财政部门科室负责人：</w:t>
            </w:r>
          </w:p>
        </w:tc>
      </w:tr>
    </w:tbl>
    <w:p>
      <w:pPr>
        <w:pStyle w:val="2"/>
        <w:rPr>
          <w:rFonts w:hint="eastAsia" w:ascii="黑体" w:hAnsi="黑体" w:eastAsia="黑体"/>
          <w:color w:val="auto"/>
          <w:sz w:val="44"/>
          <w:szCs w:val="44"/>
          <w:highlight w:val="none"/>
        </w:rPr>
      </w:pPr>
    </w:p>
    <w:p>
      <w:pPr>
        <w:spacing w:line="600" w:lineRule="exact"/>
        <w:jc w:val="center"/>
        <w:outlineLvl w:val="9"/>
        <w:rPr>
          <w:rStyle w:val="19"/>
          <w:rFonts w:hint="eastAsia" w:ascii="黑体" w:hAnsi="黑体" w:eastAsia="黑体"/>
          <w:b w:val="0"/>
          <w:color w:val="auto"/>
          <w:sz w:val="32"/>
          <w:szCs w:val="32"/>
          <w:highlight w:val="none"/>
        </w:rPr>
      </w:pPr>
    </w:p>
    <w:p>
      <w:pPr>
        <w:spacing w:line="600" w:lineRule="exact"/>
        <w:jc w:val="center"/>
        <w:outlineLvl w:val="0"/>
        <w:rPr>
          <w:rStyle w:val="19"/>
          <w:rFonts w:hint="eastAsia" w:ascii="黑体" w:hAnsi="黑体" w:eastAsia="黑体"/>
          <w:b w:val="0"/>
          <w:color w:val="auto"/>
          <w:sz w:val="32"/>
          <w:szCs w:val="32"/>
          <w:highlight w:val="none"/>
        </w:rPr>
      </w:pPr>
      <w:bookmarkStart w:id="113" w:name="_Toc21018"/>
    </w:p>
    <w:p>
      <w:pPr>
        <w:spacing w:line="600" w:lineRule="exact"/>
        <w:jc w:val="center"/>
        <w:outlineLvl w:val="0"/>
        <w:rPr>
          <w:rFonts w:hint="eastAsia" w:ascii="黑体" w:hAnsi="黑体" w:eastAsia="黑体"/>
          <w:color w:val="auto"/>
          <w:sz w:val="44"/>
          <w:szCs w:val="44"/>
          <w:highlight w:val="none"/>
        </w:rPr>
      </w:pPr>
      <w:r>
        <w:rPr>
          <w:rStyle w:val="19"/>
          <w:rFonts w:hint="eastAsia" w:ascii="黑体" w:hAnsi="黑体" w:eastAsia="黑体"/>
          <w:b w:val="0"/>
          <w:color w:val="auto"/>
          <w:sz w:val="32"/>
          <w:szCs w:val="32"/>
          <w:highlight w:val="none"/>
        </w:rPr>
        <w:t>部门预算、专项资金预算项目支出绩效目标自评表（2022年度）</w:t>
      </w:r>
      <w:bookmarkEnd w:id="113"/>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60"/>
        <w:gridCol w:w="1181"/>
        <w:gridCol w:w="1176"/>
        <w:gridCol w:w="1176"/>
        <w:gridCol w:w="1195"/>
        <w:gridCol w:w="1176"/>
        <w:gridCol w:w="955"/>
        <w:gridCol w:w="1224"/>
        <w:gridCol w:w="938"/>
        <w:gridCol w:w="872"/>
        <w:gridCol w:w="1198"/>
        <w:gridCol w:w="191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项目名称</w:t>
            </w:r>
          </w:p>
        </w:tc>
        <w:tc>
          <w:tcPr>
            <w:tcW w:w="41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预算绩效管理工作经费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8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主管部门（盖章）</w:t>
            </w:r>
          </w:p>
        </w:tc>
        <w:tc>
          <w:tcPr>
            <w:tcW w:w="20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广元市财政绩效管理中心</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实施单位（盖章）</w:t>
            </w:r>
          </w:p>
        </w:tc>
        <w:tc>
          <w:tcPr>
            <w:tcW w:w="173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广元市财政绩效管理中心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项目基本情况</w:t>
            </w:r>
          </w:p>
        </w:tc>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1.项目年度目标完成情况</w:t>
            </w:r>
          </w:p>
        </w:tc>
        <w:tc>
          <w:tcPr>
            <w:tcW w:w="20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项目年度目标</w:t>
            </w:r>
          </w:p>
        </w:tc>
        <w:tc>
          <w:tcPr>
            <w:tcW w:w="21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i w:val="0"/>
                <w:color w:val="000000"/>
                <w:sz w:val="16"/>
                <w:szCs w:val="16"/>
                <w:u w:val="none"/>
              </w:rPr>
            </w:pPr>
          </w:p>
        </w:tc>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i w:val="0"/>
                <w:color w:val="000000"/>
                <w:sz w:val="16"/>
                <w:szCs w:val="16"/>
                <w:u w:val="none"/>
              </w:rPr>
            </w:pPr>
          </w:p>
        </w:tc>
        <w:tc>
          <w:tcPr>
            <w:tcW w:w="200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　为更好地全面推进全市预算绩效管理，提高全市绩效管理水平，确保全市绩效目标全覆盖，做好绩效目标管理及运行监控试点工作，做好做实项目绩效评价及部门整体绩效评价工作。</w:t>
            </w:r>
          </w:p>
        </w:tc>
        <w:tc>
          <w:tcPr>
            <w:tcW w:w="2167"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2022年，全市预算绩效管理全面推进，绩效管理水平不断提高，绩效目标编制实现全覆盖，全面开展预算绩效目标管理、绩效运行监控、部门整体和项目绩效评价等工作。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2.项目实施内容及过程概述</w:t>
            </w:r>
          </w:p>
        </w:tc>
        <w:tc>
          <w:tcPr>
            <w:tcW w:w="4172"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项目主要保障绩效管理工作开展，包括调研指导差旅费、向上对接工作、开展项目和部门绩效评价工作开展的网络费和印刷费等其他费用。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预算执行情况（10分）</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年度预算数（万元）</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年初预算</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调整后预算数</w:t>
            </w:r>
          </w:p>
        </w:tc>
        <w:tc>
          <w:tcPr>
            <w:tcW w:w="11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预算执行数</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预算执行率</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总额</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30.12</w:t>
            </w:r>
          </w:p>
        </w:tc>
        <w:tc>
          <w:tcPr>
            <w:tcW w:w="11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19.49</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64.71%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因受疫情影响，</w:t>
            </w:r>
            <w:bookmarkStart w:id="142" w:name="_GoBack"/>
            <w:bookmarkEnd w:id="142"/>
            <w:r>
              <w:rPr>
                <w:rFonts w:hint="eastAsia" w:ascii="宋体" w:hAnsi="宋体" w:eastAsia="宋体" w:cs="宋体"/>
                <w:i w:val="0"/>
                <w:color w:val="000000"/>
                <w:kern w:val="0"/>
                <w:sz w:val="16"/>
                <w:szCs w:val="16"/>
                <w:u w:val="none"/>
                <w:lang w:val="en-US" w:eastAsia="zh-CN" w:bidi="ar"/>
              </w:rPr>
              <w:t>同时压减一般性支出，该项目预算当年未全部执行，同时部分资金需结转到下年支付。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其中：财政资金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30.12</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30.12</w:t>
            </w:r>
          </w:p>
        </w:tc>
        <w:tc>
          <w:tcPr>
            <w:tcW w:w="11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19.49</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64.71%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9"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财政专户管理资金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单位资金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其他资金</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7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lef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绩效指标（90分）</w:t>
            </w: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一级指标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二级指标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三级指标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指标性质</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指标值</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度量单位</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完成值</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项目及政策绩效评价个数</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绩效目标覆盖率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始终绩效监控完成时间</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业务培训完成时间</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绩效评价完成时间</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预算绩效目标填报完成时间</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工作会议</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场次</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工作经费</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30.12</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19.49</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业务培训</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场次</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部门整体支出绩效评价个数</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事中绩效监控覆盖率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绩效目标使用期限</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开展预算绩效管理环节数量</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绩效目标结果调整预算金额</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4067.38</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预算绩效考核部门通过率</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事中绩效监控持续时间</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月</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绩效评价结果预算调整金额</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640.6831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绩效目标调整项目数</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1.4</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因受疫情影响，开展绩效目标会审项目个数减少，故调整项目个数减少。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绩效监控整改问题个数</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1.1</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因受疫情影响，开展绩效重点监控个数减少，故问题整改个数减少。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1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市本级部门满意度</w:t>
            </w:r>
          </w:p>
        </w:tc>
        <w:tc>
          <w:tcPr>
            <w:tcW w:w="42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33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4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5" w:hRule="atLeast"/>
        </w:trPr>
        <w:tc>
          <w:tcPr>
            <w:tcW w:w="326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33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3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ascii="宋体" w:hAnsi="宋体" w:eastAsia="宋体" w:cs="宋体"/>
                <w:i w:val="0"/>
                <w:color w:val="000000"/>
                <w:sz w:val="16"/>
                <w:szCs w:val="16"/>
                <w:u w:val="none"/>
                <w:lang w:val="en-US"/>
              </w:rPr>
            </w:pPr>
            <w:r>
              <w:rPr>
                <w:rFonts w:hint="eastAsia" w:ascii="宋体" w:hAnsi="宋体" w:eastAsia="宋体" w:cs="宋体"/>
                <w:i w:val="0"/>
                <w:color w:val="000000"/>
                <w:kern w:val="0"/>
                <w:sz w:val="16"/>
                <w:szCs w:val="16"/>
                <w:u w:val="none"/>
                <w:lang w:val="en-US" w:eastAsia="zh-CN" w:bidi="ar"/>
              </w:rPr>
              <w:t>86</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6"/>
                <w:szCs w:val="16"/>
                <w:u w:val="none"/>
              </w:rPr>
            </w:pPr>
          </w:p>
        </w:tc>
        <w:tc>
          <w:tcPr>
            <w:tcW w:w="6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both"/>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部门（单位）自评结论</w:t>
            </w:r>
          </w:p>
        </w:tc>
        <w:tc>
          <w:tcPr>
            <w:tcW w:w="458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广元市财政绩效管理中心全面推进全市预算绩效管理工作，相继开展预算绩效目标管理、事中绩效运行监控以及部门整体和项目（政策）绩效评价（估）等工作，多次开展预算绩效管理业务培训和绩效管理工作会议，不断提高全市预算绩效管理工作水平。经自评，预算绩效管理工作经费项目总分100分，自评得分86分，其中，预算执行情况得6.5分，绩效指标得86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5"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部门（单位）自评存在问题</w:t>
            </w:r>
          </w:p>
        </w:tc>
        <w:tc>
          <w:tcPr>
            <w:tcW w:w="458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自评，发现以下问题：一是年初预算资金执行情况偏低。原因为受疫情影响，检查调研项目次数减少，同时使用了部分上年度结转项目资金，故该项目当年预算未全部执行。二是开展项目及政策绩效评价个数未达指标值。因当年政府采购第三方机构数量减少，且工作开展时间偏晚，加上疫情影响，故选择开展项目及政策绩效评价个数未达年初绩效目标设置值。三是绩效目标调整项目数和绩效监控问题整改个数未达指标值。原因为受疫情影响，开展绩效目标和绩效监控个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部门（单位）自评改进措施</w:t>
            </w:r>
          </w:p>
        </w:tc>
        <w:tc>
          <w:tcPr>
            <w:tcW w:w="458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下一步改进措施：一是优先使用当年度预算资金，加快预算执行进度，合理安排检查调研等绩效管理工作内容。二是科学设置项目绩效指标值，结合绩效管理工作实际，从源头把控绩效指标设置，做到精准客观。三是提前谋划，尽早布局，高速高质高效开展预算绩效管理相关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0" w:hRule="atLeast"/>
        </w:trPr>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财政部门对口科室复评结论及整改要求</w:t>
            </w:r>
          </w:p>
        </w:tc>
        <w:tc>
          <w:tcPr>
            <w:tcW w:w="458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单位项目负责人：</w:t>
            </w:r>
          </w:p>
        </w:tc>
        <w:tc>
          <w:tcPr>
            <w:tcW w:w="292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07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部门项目负责人：</w:t>
            </w:r>
          </w:p>
        </w:tc>
        <w:tc>
          <w:tcPr>
            <w:tcW w:w="292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财政部门科室负责人：</w:t>
            </w:r>
          </w:p>
        </w:tc>
      </w:tr>
    </w:tbl>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pStyle w:val="2"/>
        <w:rPr>
          <w:rFonts w:hint="eastAsia" w:ascii="黑体" w:hAnsi="黑体" w:eastAsia="黑体"/>
          <w:color w:val="auto"/>
          <w:sz w:val="44"/>
          <w:szCs w:val="44"/>
          <w:highlight w:val="none"/>
        </w:rPr>
      </w:pPr>
    </w:p>
    <w:p>
      <w:pPr>
        <w:spacing w:line="600" w:lineRule="exact"/>
        <w:jc w:val="both"/>
        <w:outlineLvl w:val="9"/>
        <w:rPr>
          <w:rFonts w:hint="eastAsia" w:ascii="黑体" w:hAnsi="黑体" w:eastAsia="黑体"/>
          <w:color w:val="auto"/>
          <w:sz w:val="44"/>
          <w:szCs w:val="44"/>
          <w:highlight w:val="none"/>
        </w:rPr>
      </w:pPr>
    </w:p>
    <w:p>
      <w:pPr>
        <w:spacing w:line="600" w:lineRule="exact"/>
        <w:jc w:val="both"/>
        <w:outlineLvl w:val="9"/>
        <w:rPr>
          <w:rFonts w:hint="eastAsia" w:ascii="黑体" w:hAnsi="黑体" w:eastAsia="黑体"/>
          <w:color w:val="auto"/>
          <w:sz w:val="44"/>
          <w:szCs w:val="44"/>
          <w:highlight w:val="none"/>
        </w:rPr>
      </w:pPr>
    </w:p>
    <w:p>
      <w:pPr>
        <w:spacing w:line="600" w:lineRule="exact"/>
        <w:jc w:val="center"/>
        <w:outlineLvl w:val="0"/>
        <w:rPr>
          <w:rStyle w:val="19"/>
          <w:rFonts w:hint="eastAsia" w:ascii="黑体" w:hAnsi="黑体" w:eastAsia="黑体"/>
          <w:b w:val="0"/>
          <w:color w:val="auto"/>
          <w:sz w:val="32"/>
          <w:szCs w:val="32"/>
          <w:highlight w:val="none"/>
        </w:rPr>
      </w:pPr>
      <w:bookmarkStart w:id="114" w:name="_Toc22026"/>
    </w:p>
    <w:p>
      <w:pPr>
        <w:spacing w:line="600" w:lineRule="exact"/>
        <w:jc w:val="center"/>
        <w:outlineLvl w:val="0"/>
        <w:rPr>
          <w:rFonts w:hint="eastAsia" w:ascii="黑体" w:hAnsi="黑体" w:eastAsia="黑体"/>
          <w:color w:val="auto"/>
          <w:sz w:val="44"/>
          <w:szCs w:val="44"/>
          <w:highlight w:val="none"/>
        </w:rPr>
      </w:pPr>
      <w:r>
        <w:rPr>
          <w:rStyle w:val="19"/>
          <w:rFonts w:hint="eastAsia" w:ascii="黑体" w:hAnsi="黑体" w:eastAsia="黑体"/>
          <w:b w:val="0"/>
          <w:color w:val="auto"/>
          <w:sz w:val="32"/>
          <w:szCs w:val="32"/>
          <w:highlight w:val="none"/>
        </w:rPr>
        <w:t>部门预算、专项资金预算项目支出绩效目标自评表（2022年度）</w:t>
      </w:r>
      <w:bookmarkEnd w:id="114"/>
    </w:p>
    <w:tbl>
      <w:tblPr>
        <w:tblStyle w:val="15"/>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388"/>
        <w:gridCol w:w="1450"/>
        <w:gridCol w:w="1164"/>
        <w:gridCol w:w="1634"/>
        <w:gridCol w:w="592"/>
        <w:gridCol w:w="804"/>
        <w:gridCol w:w="654"/>
        <w:gridCol w:w="915"/>
        <w:gridCol w:w="635"/>
        <w:gridCol w:w="785"/>
        <w:gridCol w:w="796"/>
        <w:gridCol w:w="33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5" w:hRule="atLeast"/>
        </w:trPr>
        <w:tc>
          <w:tcPr>
            <w:tcW w:w="10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项目名称</w:t>
            </w:r>
          </w:p>
        </w:tc>
        <w:tc>
          <w:tcPr>
            <w:tcW w:w="399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第三方绩效评价工作经费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10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主管部门（盖章）</w:t>
            </w:r>
          </w:p>
        </w:tc>
        <w:tc>
          <w:tcPr>
            <w:tcW w:w="17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广元市财政绩效管理中心</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实施单位（盖章）</w:t>
            </w:r>
          </w:p>
        </w:tc>
        <w:tc>
          <w:tcPr>
            <w:tcW w:w="196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广元市财政绩效管理中心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项目基本情况</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1.项目年度目标完成情况</w:t>
            </w:r>
          </w:p>
        </w:tc>
        <w:tc>
          <w:tcPr>
            <w:tcW w:w="17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项目年度目标</w:t>
            </w:r>
          </w:p>
        </w:tc>
        <w:tc>
          <w:tcPr>
            <w:tcW w:w="228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年度目标完成情况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171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完成2022年事前政策和项目的绩效评估，重点事后部门整体和项目、政策支出绩效评价，对市级部门单位进行2021年度考核，评估和评价结果运用于2022年预算安排，让绩效和预算调整深度挂钩。</w:t>
            </w:r>
          </w:p>
        </w:tc>
        <w:tc>
          <w:tcPr>
            <w:tcW w:w="228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开展事前绩效评估项目（政策）15个，事后部门整体重点绩效评价15个以及项目（政策）重点绩效评价18个，对市级部门单位开展了2021年度绩效考核，市级部门单位绩效管理水平显著提升，同时，将事前评估和事后评价结果应用于2022年预算安排，与预算安排调整相挂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2.项目实施内容及过程概述</w:t>
            </w:r>
          </w:p>
        </w:tc>
        <w:tc>
          <w:tcPr>
            <w:tcW w:w="3997" w:type="pct"/>
            <w:gridSpan w:val="10"/>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该项目经费主要保障2022年事前绩效评估、事后绩效评价工作的开展，以及开展对市级部门绩效考核工作，评估和评价结果应用以及市级部门单位年度考核情况与年度预算安排资金相挂钩。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预算执行情况（10分）</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年度预算数（万元）</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年初预算</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调整后预算数</w:t>
            </w:r>
          </w:p>
        </w:tc>
        <w:tc>
          <w:tcPr>
            <w:tcW w:w="7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预算执行数</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预算执行率</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5"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总额</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0</w:t>
            </w:r>
          </w:p>
        </w:tc>
        <w:tc>
          <w:tcPr>
            <w:tcW w:w="7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0.00%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重新通过政府招投标，与2家第三方机构签订绩效管理工作合同，合同约定委托第三方机构开展的绩效管理工作全部完成后，经市财政绩效管理中心对第三方机构开展的绩效工作进行考核，待考核合格后测算并支付合同约定金额，同时考核结果作为下一年度续签合同的依据。故当年预算金额暂未执行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其中：财政资金</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100.00</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lang w:val="en-US" w:eastAsia="zh-CN"/>
              </w:rPr>
            </w:pPr>
            <w:r>
              <w:rPr>
                <w:rFonts w:hint="eastAsia" w:ascii="宋体" w:hAnsi="宋体" w:eastAsia="宋体" w:cs="宋体"/>
                <w:i w:val="0"/>
                <w:color w:val="000000"/>
                <w:sz w:val="16"/>
                <w:szCs w:val="16"/>
                <w:u w:val="none"/>
                <w:lang w:val="en-US" w:eastAsia="zh-CN"/>
              </w:rPr>
              <w:t>0</w:t>
            </w:r>
          </w:p>
        </w:tc>
        <w:tc>
          <w:tcPr>
            <w:tcW w:w="7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财政专户管理资金</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2"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单位资金</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其他资金</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72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49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绩效指标（90分）</w:t>
            </w: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一级指标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二级指标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三级指标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指标性质</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指标值</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度量单位</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完成值</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权重</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部门自评得分</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财政部门科室复评得分</w:t>
            </w: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未完成原因分析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部门整体支出绩效评价采购标准</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元/个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19333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成本指标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政策和项目绩效评价采购标准</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20000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元/个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19333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政策绩效评价</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部门整体评价</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3.8</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因受疫情影响，委托开展绩效评价工作的第三方减少，故开展部门整体绩效评价个数减少。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项目事前绩效评价</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2.3</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因受疫情影响，委托开展绩效评估工作的第三方减少，故开展项目事前绩效评估个数减少。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数量指标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项目支出绩效评价</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18</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2.7</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因受疫情影响，委托开展绩效评价工作的第三方减少，故开展项目支出绩效评价个数减少。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事前绩效评估完成时间</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时效指标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绩效评价完成时间</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年</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项目事前绩效评估报告考核通过率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项目及政策绩效评价报告考核通过率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产出指标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质量指标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部门整体支出绩效评价报告考核通过率</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部门整体支出绩效评价整改问题个数</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部门整体支出绩效评价调整预算金额</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640.6831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项目支出绩效评价调整预算金额</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640.6831</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经济效益指标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项目事前绩效评估调整预算金额</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500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万元</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55.4</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0.6</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因单位申报项目资金大多为实际需求资金，故开展事前绩效评估调整资金减少。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绩效评价总结材料编制情况</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项目支出绩效评价整改问题个数</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33</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可持续影响指标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事前绩效评估总结材料编制情况</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定性</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级</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优</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效益指标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社会效益指标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政策绩效评价整改问题个数</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个</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6</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涉及科室满意度</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95</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49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i w:val="0"/>
                <w:color w:val="000000"/>
                <w:sz w:val="16"/>
                <w:szCs w:val="16"/>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满意度指标</w:t>
            </w:r>
          </w:p>
        </w:tc>
        <w:tc>
          <w:tcPr>
            <w:tcW w:w="41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服务对象满意度指标</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涉及部门满意度</w:t>
            </w:r>
          </w:p>
        </w:tc>
        <w:tc>
          <w:tcPr>
            <w:tcW w:w="20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28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3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w:t>
            </w:r>
          </w:p>
        </w:tc>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90</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5</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036"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合计</w:t>
            </w:r>
          </w:p>
        </w:tc>
        <w:tc>
          <w:tcPr>
            <w:tcW w:w="2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100%</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79.4</w:t>
            </w:r>
          </w:p>
        </w:tc>
        <w:tc>
          <w:tcPr>
            <w:tcW w:w="2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c>
          <w:tcPr>
            <w:tcW w:w="11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部门（单位）自评结论</w:t>
            </w:r>
          </w:p>
        </w:tc>
        <w:tc>
          <w:tcPr>
            <w:tcW w:w="450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2022年，我市共开展事前绩效评估项目（政策）15个，事后部门整体重点绩效评价15个以及项目（政策）重点绩效评价18个，对市级部门单位开展了2021年度绩效考核，市级部门单位绩效管理水平显著提升，同时，将事前评估和事后评价结果应用于2022年预算安排，与预算安排调整相挂钩，不断提高全市预算绩效管理工作水平。经自评，第三方绩效评价工作经费项目总分100分，自评得分79.4分，其中，预算执行情况得0分，绩效指标得79.4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部门（单位）自评存在问题</w:t>
            </w:r>
          </w:p>
        </w:tc>
        <w:tc>
          <w:tcPr>
            <w:tcW w:w="450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经自评，发现以下问题：一是年初预算资金执行情况为0。主要原因为2022年通过政府招投标与新的第三方机构签订了合同，合同约定第三方机构完成市财政绩效管理中心所委托工作后，经绩效中心考核合格，再测算并支付合同约定金额，故当年预算资金未执行支付。二是开展绩效评价（估）项目个数未达指标值。主要原因为受疫情影响，加上当年委托第三方机构减少，选择开展绩效评价（估）个数相应减少。三是事前绩效评估调整预算金额未达指标值。主要原因为单位年初申报预算项目资金为该项目实际需求资金，在评估过程中发现，项目预算资金确为刚需，故调整金额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部门（单位）自评改进措施</w:t>
            </w:r>
          </w:p>
        </w:tc>
        <w:tc>
          <w:tcPr>
            <w:tcW w:w="450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下一步改进措施：一是提前签订与第三方机构委托合同，提前谋划，及早开展绩效评价（估）工作，待评价工作完成后，按照合同约定支付金额，加快预算资金执行效率。二是精准定位，结合绩效管理工作实际，客观合理设置年初绩效目标指标值。同时，委托第三方开展工作时，以年初绩效目标指标值为基础，选取部门整体和项目、政策。三是加强绩效评价（估）结果应用，合理调整使用预算资金，提高预算资金使用效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0" w:hRule="atLeast"/>
        </w:trPr>
        <w:tc>
          <w:tcPr>
            <w:tcW w:w="49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i w:val="0"/>
                <w:color w:val="000000"/>
                <w:sz w:val="16"/>
                <w:szCs w:val="16"/>
                <w:u w:val="none"/>
              </w:rPr>
            </w:pPr>
            <w:r>
              <w:rPr>
                <w:rFonts w:hint="eastAsia" w:ascii="宋体" w:hAnsi="宋体" w:eastAsia="宋体" w:cs="宋体"/>
                <w:b/>
                <w:i w:val="0"/>
                <w:color w:val="000000"/>
                <w:kern w:val="0"/>
                <w:sz w:val="16"/>
                <w:szCs w:val="16"/>
                <w:u w:val="none"/>
                <w:lang w:val="en-US" w:eastAsia="zh-CN" w:bidi="ar"/>
              </w:rPr>
              <w:t>财政部门对口科室复评结论及整改要求</w:t>
            </w:r>
          </w:p>
        </w:tc>
        <w:tc>
          <w:tcPr>
            <w:tcW w:w="4509" w:type="pct"/>
            <w:gridSpan w:val="11"/>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单位项目负责人：</w:t>
            </w:r>
          </w:p>
        </w:tc>
        <w:tc>
          <w:tcPr>
            <w:tcW w:w="28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单位财务负责人：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219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部门项目负责人：</w:t>
            </w:r>
          </w:p>
        </w:tc>
        <w:tc>
          <w:tcPr>
            <w:tcW w:w="28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部门财务负责人：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5000" w:type="pct"/>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
              </w:rPr>
              <w:t>财政部门科室负责人：</w:t>
            </w:r>
          </w:p>
        </w:tc>
      </w:tr>
    </w:tbl>
    <w:p>
      <w:pPr>
        <w:spacing w:line="600" w:lineRule="exact"/>
        <w:ind w:firstLine="440" w:firstLineChars="100"/>
        <w:jc w:val="both"/>
        <w:outlineLvl w:val="9"/>
        <w:rPr>
          <w:rFonts w:hint="eastAsia" w:ascii="黑体" w:hAnsi="黑体" w:eastAsia="黑体"/>
          <w:color w:val="auto"/>
          <w:sz w:val="44"/>
          <w:szCs w:val="44"/>
          <w:highlight w:val="none"/>
        </w:rPr>
      </w:pPr>
    </w:p>
    <w:p>
      <w:pPr>
        <w:spacing w:line="600" w:lineRule="exact"/>
        <w:ind w:firstLine="440" w:firstLineChars="100"/>
        <w:jc w:val="both"/>
        <w:outlineLvl w:val="9"/>
        <w:rPr>
          <w:rFonts w:hint="eastAsia" w:ascii="黑体" w:hAnsi="黑体" w:eastAsia="黑体"/>
          <w:color w:val="auto"/>
          <w:sz w:val="44"/>
          <w:szCs w:val="44"/>
          <w:highlight w:val="none"/>
        </w:rPr>
        <w:sectPr>
          <w:pgSz w:w="16838" w:h="11906" w:orient="landscape"/>
          <w:pgMar w:top="1800" w:right="1440" w:bottom="1800" w:left="1440" w:header="851" w:footer="992" w:gutter="0"/>
          <w:pgNumType w:fmt="decimal"/>
          <w:cols w:space="425" w:num="1"/>
          <w:titlePg/>
          <w:docGrid w:type="lines" w:linePitch="312" w:charSpace="0"/>
        </w:sectPr>
      </w:pPr>
    </w:p>
    <w:p>
      <w:pPr>
        <w:spacing w:line="600" w:lineRule="exact"/>
        <w:jc w:val="center"/>
        <w:outlineLvl w:val="0"/>
        <w:rPr>
          <w:rFonts w:hint="eastAsia" w:ascii="仿宋" w:hAnsi="仿宋" w:eastAsia="仿宋"/>
          <w:b w:val="0"/>
          <w:color w:val="auto"/>
          <w:highlight w:val="none"/>
        </w:rPr>
      </w:pPr>
      <w:bookmarkStart w:id="115" w:name="_Toc32755"/>
      <w:r>
        <w:rPr>
          <w:rFonts w:hint="eastAsia" w:ascii="黑体" w:hAnsi="黑体" w:eastAsia="黑体"/>
          <w:color w:val="auto"/>
          <w:sz w:val="44"/>
          <w:szCs w:val="44"/>
          <w:highlight w:val="none"/>
        </w:rPr>
        <w:t>第</w:t>
      </w:r>
      <w:r>
        <w:rPr>
          <w:rStyle w:val="19"/>
          <w:rFonts w:hint="eastAsia" w:ascii="黑体" w:hAnsi="黑体" w:eastAsia="黑体"/>
          <w:b w:val="0"/>
          <w:color w:val="auto"/>
          <w:highlight w:val="none"/>
        </w:rPr>
        <w:t>五部分附表</w:t>
      </w:r>
      <w:bookmarkEnd w:id="80"/>
      <w:bookmarkEnd w:id="115"/>
      <w:bookmarkStart w:id="116" w:name="_Toc15396619"/>
    </w:p>
    <w:p>
      <w:pPr>
        <w:pStyle w:val="4"/>
        <w:rPr>
          <w:rFonts w:ascii="仿宋" w:hAnsi="仿宋" w:eastAsia="仿宋"/>
          <w:color w:val="auto"/>
          <w:highlight w:val="none"/>
        </w:rPr>
      </w:pPr>
      <w:bookmarkStart w:id="117" w:name="_Toc27387"/>
      <w:r>
        <w:rPr>
          <w:rFonts w:hint="eastAsia" w:ascii="仿宋" w:hAnsi="仿宋" w:eastAsia="仿宋"/>
          <w:b w:val="0"/>
          <w:color w:val="auto"/>
          <w:highlight w:val="none"/>
        </w:rPr>
        <w:t>一、收</w:t>
      </w:r>
      <w:r>
        <w:rPr>
          <w:rStyle w:val="20"/>
          <w:rFonts w:hint="eastAsia" w:ascii="仿宋" w:hAnsi="仿宋" w:eastAsia="仿宋"/>
          <w:b w:val="0"/>
          <w:bCs w:val="0"/>
          <w:color w:val="auto"/>
          <w:highlight w:val="none"/>
        </w:rPr>
        <w:t>入支出决算总表</w:t>
      </w:r>
      <w:bookmarkEnd w:id="116"/>
      <w:bookmarkEnd w:id="117"/>
    </w:p>
    <w:p>
      <w:pPr>
        <w:pStyle w:val="4"/>
        <w:rPr>
          <w:rFonts w:ascii="仿宋" w:hAnsi="仿宋" w:eastAsia="仿宋"/>
          <w:color w:val="auto"/>
          <w:highlight w:val="none"/>
        </w:rPr>
      </w:pPr>
      <w:bookmarkStart w:id="118" w:name="_Toc4554"/>
      <w:bookmarkStart w:id="119" w:name="_Toc15396620"/>
      <w:r>
        <w:rPr>
          <w:rFonts w:hint="eastAsia" w:ascii="仿宋" w:hAnsi="仿宋" w:eastAsia="仿宋"/>
          <w:b w:val="0"/>
          <w:color w:val="auto"/>
          <w:highlight w:val="none"/>
        </w:rPr>
        <w:t>二、收</w:t>
      </w:r>
      <w:r>
        <w:rPr>
          <w:rStyle w:val="20"/>
          <w:rFonts w:hint="eastAsia" w:ascii="仿宋" w:hAnsi="仿宋" w:eastAsia="仿宋"/>
          <w:b w:val="0"/>
          <w:bCs w:val="0"/>
          <w:color w:val="auto"/>
          <w:highlight w:val="none"/>
        </w:rPr>
        <w:t>入决算表</w:t>
      </w:r>
      <w:bookmarkEnd w:id="118"/>
      <w:bookmarkEnd w:id="119"/>
    </w:p>
    <w:p>
      <w:pPr>
        <w:pStyle w:val="4"/>
        <w:rPr>
          <w:rFonts w:ascii="仿宋" w:hAnsi="仿宋" w:eastAsia="仿宋"/>
          <w:color w:val="auto"/>
          <w:highlight w:val="none"/>
        </w:rPr>
      </w:pPr>
      <w:bookmarkStart w:id="120" w:name="_Toc15396621"/>
      <w:bookmarkStart w:id="121" w:name="_Toc16151"/>
      <w:r>
        <w:rPr>
          <w:rStyle w:val="20"/>
          <w:rFonts w:hint="eastAsia" w:ascii="仿宋" w:hAnsi="仿宋" w:eastAsia="仿宋"/>
          <w:b w:val="0"/>
          <w:bCs w:val="0"/>
          <w:color w:val="auto"/>
          <w:highlight w:val="none"/>
        </w:rPr>
        <w:t>三、</w:t>
      </w:r>
      <w:r>
        <w:rPr>
          <w:rFonts w:hint="eastAsia" w:ascii="仿宋" w:hAnsi="仿宋" w:eastAsia="仿宋"/>
          <w:b w:val="0"/>
          <w:color w:val="auto"/>
          <w:highlight w:val="none"/>
        </w:rPr>
        <w:t>支</w:t>
      </w:r>
      <w:r>
        <w:rPr>
          <w:rStyle w:val="20"/>
          <w:rFonts w:hint="eastAsia" w:ascii="仿宋" w:hAnsi="仿宋" w:eastAsia="仿宋"/>
          <w:b w:val="0"/>
          <w:bCs w:val="0"/>
          <w:color w:val="auto"/>
          <w:highlight w:val="none"/>
        </w:rPr>
        <w:t>出决算表</w:t>
      </w:r>
      <w:bookmarkEnd w:id="120"/>
      <w:bookmarkEnd w:id="121"/>
    </w:p>
    <w:p>
      <w:pPr>
        <w:pStyle w:val="4"/>
        <w:rPr>
          <w:rFonts w:ascii="仿宋" w:hAnsi="仿宋" w:eastAsia="仿宋"/>
          <w:b w:val="0"/>
          <w:color w:val="auto"/>
          <w:highlight w:val="none"/>
        </w:rPr>
      </w:pPr>
      <w:bookmarkStart w:id="122" w:name="_Toc15396622"/>
      <w:bookmarkStart w:id="123" w:name="_Toc1462"/>
      <w:r>
        <w:rPr>
          <w:rStyle w:val="20"/>
          <w:rFonts w:hint="eastAsia" w:ascii="仿宋" w:hAnsi="仿宋" w:eastAsia="仿宋"/>
          <w:b w:val="0"/>
          <w:bCs w:val="0"/>
          <w:color w:val="auto"/>
          <w:highlight w:val="none"/>
        </w:rPr>
        <w:t>四、</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政拨款收入支出决算总表</w:t>
      </w:r>
      <w:bookmarkEnd w:id="122"/>
      <w:bookmarkEnd w:id="123"/>
    </w:p>
    <w:p>
      <w:pPr>
        <w:pStyle w:val="4"/>
        <w:rPr>
          <w:rStyle w:val="20"/>
          <w:rFonts w:ascii="仿宋" w:hAnsi="仿宋" w:eastAsia="仿宋"/>
          <w:b w:val="0"/>
          <w:bCs w:val="0"/>
          <w:color w:val="auto"/>
          <w:highlight w:val="none"/>
        </w:rPr>
      </w:pPr>
      <w:bookmarkStart w:id="124" w:name="_Toc15396623"/>
      <w:bookmarkStart w:id="125" w:name="_Toc27451"/>
      <w:r>
        <w:rPr>
          <w:rStyle w:val="20"/>
          <w:rFonts w:hint="eastAsia" w:ascii="仿宋" w:hAnsi="仿宋" w:eastAsia="仿宋"/>
          <w:b w:val="0"/>
          <w:bCs w:val="0"/>
          <w:color w:val="auto"/>
          <w:highlight w:val="none"/>
        </w:rPr>
        <w:t>五、</w:t>
      </w:r>
      <w:r>
        <w:rPr>
          <w:rFonts w:hint="eastAsia" w:ascii="仿宋" w:hAnsi="仿宋" w:eastAsia="仿宋"/>
          <w:b w:val="0"/>
          <w:color w:val="auto"/>
          <w:highlight w:val="none"/>
        </w:rPr>
        <w:t>财</w:t>
      </w:r>
      <w:r>
        <w:rPr>
          <w:rStyle w:val="20"/>
          <w:rFonts w:hint="eastAsia" w:ascii="仿宋" w:hAnsi="仿宋" w:eastAsia="仿宋"/>
          <w:b w:val="0"/>
          <w:bCs w:val="0"/>
          <w:color w:val="auto"/>
          <w:highlight w:val="none"/>
        </w:rPr>
        <w:t>政拨款支出决算明细表</w:t>
      </w:r>
      <w:bookmarkEnd w:id="124"/>
      <w:bookmarkEnd w:id="125"/>
      <w:bookmarkStart w:id="126" w:name="_Toc15396624"/>
    </w:p>
    <w:p>
      <w:pPr>
        <w:pStyle w:val="4"/>
        <w:rPr>
          <w:rFonts w:ascii="仿宋" w:hAnsi="仿宋" w:eastAsia="仿宋"/>
          <w:color w:val="auto"/>
          <w:highlight w:val="none"/>
        </w:rPr>
      </w:pPr>
      <w:bookmarkStart w:id="127" w:name="_Toc24499"/>
      <w:r>
        <w:rPr>
          <w:rStyle w:val="20"/>
          <w:rFonts w:hint="eastAsia" w:ascii="仿宋" w:hAnsi="仿宋" w:eastAsia="仿宋"/>
          <w:b w:val="0"/>
          <w:bCs w:val="0"/>
          <w:color w:val="auto"/>
          <w:highlight w:val="none"/>
        </w:rPr>
        <w:t>六、</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般公共预算财政拨款支出决算表</w:t>
      </w:r>
      <w:bookmarkEnd w:id="126"/>
      <w:bookmarkEnd w:id="127"/>
    </w:p>
    <w:p>
      <w:pPr>
        <w:pStyle w:val="4"/>
        <w:rPr>
          <w:rFonts w:ascii="仿宋" w:hAnsi="仿宋" w:eastAsia="仿宋"/>
          <w:color w:val="auto"/>
          <w:highlight w:val="none"/>
        </w:rPr>
      </w:pPr>
      <w:bookmarkStart w:id="128" w:name="_Toc15396625"/>
      <w:bookmarkStart w:id="129" w:name="_Toc24483"/>
      <w:r>
        <w:rPr>
          <w:rStyle w:val="20"/>
          <w:rFonts w:hint="eastAsia" w:ascii="仿宋" w:hAnsi="仿宋" w:eastAsia="仿宋"/>
          <w:b w:val="0"/>
          <w:bCs w:val="0"/>
          <w:color w:val="auto"/>
          <w:highlight w:val="none"/>
        </w:rPr>
        <w:t>七、</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般公共预算财政拨款支出决算明细表</w:t>
      </w:r>
      <w:bookmarkEnd w:id="128"/>
      <w:bookmarkEnd w:id="129"/>
    </w:p>
    <w:p>
      <w:pPr>
        <w:pStyle w:val="4"/>
        <w:rPr>
          <w:rFonts w:ascii="仿宋" w:hAnsi="仿宋" w:eastAsia="仿宋"/>
          <w:color w:val="auto"/>
          <w:highlight w:val="none"/>
        </w:rPr>
      </w:pPr>
      <w:bookmarkStart w:id="130" w:name="_Toc15396626"/>
      <w:bookmarkStart w:id="131" w:name="_Toc8830"/>
      <w:r>
        <w:rPr>
          <w:rStyle w:val="20"/>
          <w:rFonts w:hint="eastAsia" w:ascii="仿宋" w:hAnsi="仿宋" w:eastAsia="仿宋"/>
          <w:b w:val="0"/>
          <w:bCs w:val="0"/>
          <w:color w:val="auto"/>
          <w:highlight w:val="none"/>
        </w:rPr>
        <w:t>八、</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般公共预算财政拨款基本支出决算表</w:t>
      </w:r>
      <w:bookmarkEnd w:id="130"/>
      <w:bookmarkEnd w:id="131"/>
    </w:p>
    <w:p>
      <w:pPr>
        <w:pStyle w:val="4"/>
        <w:rPr>
          <w:rFonts w:ascii="仿宋" w:hAnsi="仿宋" w:eastAsia="仿宋"/>
          <w:color w:val="auto"/>
          <w:highlight w:val="none"/>
        </w:rPr>
      </w:pPr>
      <w:bookmarkStart w:id="132" w:name="_Toc16858"/>
      <w:bookmarkStart w:id="133" w:name="_Toc15396627"/>
      <w:r>
        <w:rPr>
          <w:rStyle w:val="20"/>
          <w:rFonts w:hint="eastAsia" w:ascii="仿宋" w:hAnsi="仿宋" w:eastAsia="仿宋"/>
          <w:b w:val="0"/>
          <w:bCs w:val="0"/>
          <w:color w:val="auto"/>
          <w:highlight w:val="none"/>
        </w:rPr>
        <w:t>九、</w:t>
      </w:r>
      <w:r>
        <w:rPr>
          <w:rFonts w:hint="eastAsia" w:ascii="仿宋" w:hAnsi="仿宋" w:eastAsia="仿宋"/>
          <w:b w:val="0"/>
          <w:color w:val="auto"/>
          <w:highlight w:val="none"/>
        </w:rPr>
        <w:t>一</w:t>
      </w:r>
      <w:r>
        <w:rPr>
          <w:rStyle w:val="20"/>
          <w:rFonts w:hint="eastAsia" w:ascii="仿宋" w:hAnsi="仿宋" w:eastAsia="仿宋"/>
          <w:b w:val="0"/>
          <w:bCs w:val="0"/>
          <w:color w:val="auto"/>
          <w:highlight w:val="none"/>
        </w:rPr>
        <w:t>般公共预算财政拨款项目支出决算表</w:t>
      </w:r>
      <w:bookmarkEnd w:id="132"/>
      <w:bookmarkEnd w:id="133"/>
    </w:p>
    <w:p>
      <w:pPr>
        <w:pStyle w:val="4"/>
        <w:rPr>
          <w:rFonts w:ascii="仿宋" w:hAnsi="仿宋" w:eastAsia="仿宋"/>
          <w:color w:val="auto"/>
          <w:highlight w:val="none"/>
        </w:rPr>
      </w:pPr>
      <w:bookmarkStart w:id="134" w:name="_Toc15396628"/>
      <w:bookmarkStart w:id="135" w:name="_Toc23597"/>
      <w:r>
        <w:rPr>
          <w:rStyle w:val="20"/>
          <w:rFonts w:hint="eastAsia" w:ascii="仿宋" w:hAnsi="仿宋" w:eastAsia="仿宋"/>
          <w:b w:val="0"/>
          <w:bCs w:val="0"/>
          <w:color w:val="auto"/>
          <w:highlight w:val="none"/>
        </w:rPr>
        <w:t>十、</w:t>
      </w:r>
      <w:bookmarkEnd w:id="134"/>
      <w:r>
        <w:rPr>
          <w:rFonts w:hint="eastAsia" w:ascii="仿宋" w:hAnsi="仿宋" w:eastAsia="仿宋"/>
          <w:b w:val="0"/>
          <w:color w:val="auto"/>
          <w:highlight w:val="none"/>
        </w:rPr>
        <w:t>政</w:t>
      </w:r>
      <w:r>
        <w:rPr>
          <w:rStyle w:val="20"/>
          <w:rFonts w:hint="eastAsia" w:ascii="仿宋" w:hAnsi="仿宋" w:eastAsia="仿宋"/>
          <w:b w:val="0"/>
          <w:bCs w:val="0"/>
          <w:color w:val="auto"/>
          <w:highlight w:val="none"/>
        </w:rPr>
        <w:t>府性基金预算财政拨款收入支出决算表</w:t>
      </w:r>
      <w:bookmarkEnd w:id="135"/>
    </w:p>
    <w:p>
      <w:pPr>
        <w:pStyle w:val="4"/>
        <w:rPr>
          <w:rFonts w:ascii="仿宋" w:hAnsi="仿宋" w:eastAsia="仿宋"/>
          <w:color w:val="auto"/>
          <w:highlight w:val="none"/>
        </w:rPr>
      </w:pPr>
      <w:bookmarkStart w:id="136" w:name="_Toc15396629"/>
      <w:bookmarkStart w:id="137" w:name="_Toc21363"/>
      <w:r>
        <w:rPr>
          <w:rStyle w:val="20"/>
          <w:rFonts w:hint="eastAsia" w:ascii="仿宋" w:hAnsi="仿宋" w:eastAsia="仿宋"/>
          <w:b w:val="0"/>
          <w:bCs w:val="0"/>
          <w:color w:val="auto"/>
          <w:highlight w:val="none"/>
        </w:rPr>
        <w:t>十一、</w:t>
      </w:r>
      <w:bookmarkEnd w:id="136"/>
      <w:r>
        <w:rPr>
          <w:rFonts w:hint="eastAsia" w:ascii="仿宋" w:hAnsi="仿宋" w:eastAsia="仿宋"/>
          <w:b w:val="0"/>
          <w:color w:val="auto"/>
          <w:highlight w:val="none"/>
        </w:rPr>
        <w:t>国</w:t>
      </w:r>
      <w:r>
        <w:rPr>
          <w:rStyle w:val="20"/>
          <w:rFonts w:hint="eastAsia" w:ascii="仿宋" w:hAnsi="仿宋" w:eastAsia="仿宋"/>
          <w:b w:val="0"/>
          <w:bCs w:val="0"/>
          <w:color w:val="auto"/>
          <w:highlight w:val="none"/>
        </w:rPr>
        <w:t>有资本经营预算</w:t>
      </w:r>
      <w:r>
        <w:rPr>
          <w:rStyle w:val="20"/>
          <w:rFonts w:hint="eastAsia" w:ascii="仿宋" w:hAnsi="仿宋" w:eastAsia="仿宋"/>
          <w:b w:val="0"/>
          <w:bCs w:val="0"/>
          <w:color w:val="auto"/>
          <w:highlight w:val="none"/>
          <w:lang w:eastAsia="zh-CN"/>
        </w:rPr>
        <w:t>财政拨款收入</w:t>
      </w:r>
      <w:r>
        <w:rPr>
          <w:rStyle w:val="20"/>
          <w:rFonts w:hint="eastAsia" w:ascii="仿宋" w:hAnsi="仿宋" w:eastAsia="仿宋"/>
          <w:b w:val="0"/>
          <w:bCs w:val="0"/>
          <w:color w:val="auto"/>
          <w:highlight w:val="none"/>
        </w:rPr>
        <w:t>支出决算表</w:t>
      </w:r>
      <w:bookmarkEnd w:id="137"/>
    </w:p>
    <w:p>
      <w:pPr>
        <w:pStyle w:val="4"/>
        <w:rPr>
          <w:rFonts w:ascii="仿宋" w:hAnsi="仿宋" w:eastAsia="仿宋"/>
          <w:color w:val="auto"/>
          <w:highlight w:val="none"/>
        </w:rPr>
      </w:pPr>
      <w:bookmarkStart w:id="138" w:name="_Toc15396630"/>
      <w:bookmarkStart w:id="139" w:name="_Toc19598"/>
      <w:r>
        <w:rPr>
          <w:rStyle w:val="20"/>
          <w:rFonts w:hint="eastAsia" w:ascii="仿宋" w:hAnsi="仿宋" w:eastAsia="仿宋"/>
          <w:b w:val="0"/>
          <w:bCs w:val="0"/>
          <w:color w:val="auto"/>
          <w:highlight w:val="none"/>
        </w:rPr>
        <w:t>十二、</w:t>
      </w:r>
      <w:bookmarkEnd w:id="138"/>
      <w:r>
        <w:rPr>
          <w:rStyle w:val="20"/>
          <w:rFonts w:hint="eastAsia" w:ascii="仿宋" w:hAnsi="仿宋" w:eastAsia="仿宋"/>
          <w:b w:val="0"/>
          <w:bCs w:val="0"/>
          <w:color w:val="auto"/>
          <w:highlight w:val="none"/>
          <w:lang w:eastAsia="zh-CN"/>
        </w:rPr>
        <w:t>国有资本经营预算财政拨款支出决算表</w:t>
      </w:r>
      <w:bookmarkEnd w:id="139"/>
    </w:p>
    <w:p>
      <w:pPr>
        <w:pStyle w:val="4"/>
        <w:rPr>
          <w:rFonts w:hint="eastAsia" w:eastAsia="仿宋"/>
          <w:color w:val="auto"/>
          <w:highlight w:val="none"/>
          <w:lang w:eastAsia="zh-CN"/>
        </w:rPr>
      </w:pPr>
      <w:bookmarkStart w:id="140" w:name="_Toc15396631"/>
      <w:bookmarkStart w:id="141" w:name="_Toc28517"/>
      <w:r>
        <w:rPr>
          <w:rStyle w:val="20"/>
          <w:rFonts w:hint="eastAsia" w:ascii="仿宋" w:hAnsi="仿宋" w:eastAsia="仿宋"/>
          <w:b w:val="0"/>
          <w:bCs w:val="0"/>
          <w:color w:val="auto"/>
          <w:highlight w:val="none"/>
        </w:rPr>
        <w:t>十三、</w:t>
      </w:r>
      <w:bookmarkEnd w:id="140"/>
      <w:r>
        <w:rPr>
          <w:rStyle w:val="20"/>
          <w:rFonts w:hint="eastAsia" w:ascii="仿宋" w:hAnsi="仿宋" w:eastAsia="仿宋"/>
          <w:b w:val="0"/>
          <w:bCs w:val="0"/>
          <w:color w:val="auto"/>
          <w:highlight w:val="none"/>
          <w:lang w:eastAsia="zh-CN"/>
        </w:rPr>
        <w:t>财政拨款“三公”经费支出决算</w:t>
      </w:r>
      <w:bookmarkEnd w:id="72"/>
      <w:bookmarkEnd w:id="141"/>
    </w:p>
    <w:sectPr>
      <w:pgSz w:w="11906" w:h="16838"/>
      <w:pgMar w:top="1440" w:right="1800" w:bottom="1440" w:left="1800" w:header="851" w:footer="992" w:gutter="0"/>
      <w:pgNumType w:fmt="decimal"/>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mbria">
    <w:altName w:val="FreeSerif"/>
    <w:panose1 w:val="02040503050406030204"/>
    <w:charset w:val="00"/>
    <w:family w:val="roman"/>
    <w:pitch w:val="default"/>
    <w:sig w:usb0="00000000" w:usb1="00000000" w:usb2="02000000" w:usb3="00000000" w:csb0="2000019F" w:csb1="00000000"/>
  </w:font>
  <w:font w:name="仿宋_GB2312">
    <w:altName w:val="方正仿宋_GBK"/>
    <w:panose1 w:val="02010609030101010101"/>
    <w:charset w:val="86"/>
    <w:family w:val="modern"/>
    <w:pitch w:val="default"/>
    <w:sig w:usb0="00000000" w:usb1="00000000" w:usb2="0000001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
    <w:altName w:val="URW Bookman"/>
    <w:panose1 w:val="00000000000000000000"/>
    <w:charset w:val="00"/>
    <w:family w:val="roman"/>
    <w:pitch w:val="default"/>
    <w:sig w:usb0="00000000" w:usb1="00000000" w:usb2="00000000" w:usb3="00000000" w:csb0="00000000" w:csb1="00000000"/>
  </w:font>
  <w:font w:name="东文宋体">
    <w:altName w:val="方正书宋_GBK"/>
    <w:panose1 w:val="00000000000000000000"/>
    <w:charset w:val="00"/>
    <w:family w:val="auto"/>
    <w:pitch w:val="default"/>
    <w:sig w:usb0="00000000" w:usb1="00000000" w:usb2="00000000" w:usb3="00000000" w:csb0="0000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CESI仿宋-GB2312">
    <w:panose1 w:val="02000500000000000000"/>
    <w:charset w:val="86"/>
    <w:family w:val="auto"/>
    <w:pitch w:val="default"/>
    <w:sig w:usb0="800002AF" w:usb1="084F6CF8" w:usb2="00000010" w:usb3="00000000" w:csb0="0004000F" w:csb1="00000000"/>
  </w:font>
  <w:font w:name="CESI黑体-GB2312">
    <w:panose1 w:val="02000500000000000000"/>
    <w:charset w:val="86"/>
    <w:family w:val="auto"/>
    <w:pitch w:val="default"/>
    <w:sig w:usb0="800002BF" w:usb1="184F6CF8" w:usb2="00000012" w:usb3="00000000" w:csb0="0004000F" w:csb1="00000000"/>
  </w:font>
  <w:font w:name="CESI楷体-GB2312">
    <w:panose1 w:val="02000500000000000000"/>
    <w:charset w:val="86"/>
    <w:family w:val="auto"/>
    <w:pitch w:val="default"/>
    <w:sig w:usb0="800002BF" w:usb1="184F6CF8" w:usb2="00000012" w:usb3="00000000" w:csb0="0004000F"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Liberation Serif">
    <w:panose1 w:val="02020603050405020304"/>
    <w:charset w:val="00"/>
    <w:family w:val="auto"/>
    <w:pitch w:val="default"/>
    <w:sig w:usb0="A00002AF" w:usb1="500078FB" w:usb2="00000000" w:usb3="00000000" w:csb0="6000009F" w:csb1="DFD70000"/>
  </w:font>
  <w:font w:name="FreeSerif">
    <w:panose1 w:val="02020603050405020304"/>
    <w:charset w:val="00"/>
    <w:family w:val="auto"/>
    <w:pitch w:val="default"/>
    <w:sig w:usb0="E59FAFFF" w:usb1="C200FDFF" w:usb2="43501B29" w:usb3="04000043" w:csb0="600101FF" w:csb1="FFFF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URW Bookman">
    <w:panose1 w:val="00000400000000000000"/>
    <w:charset w:val="00"/>
    <w:family w:val="auto"/>
    <w:pitch w:val="default"/>
    <w:sig w:usb0="00000287" w:usb1="00000800" w:usb2="00000000" w:usb3="00000000" w:csb0="6000009F" w:csb1="0000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zQKKhHA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s0CioRwCAAAr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KgUyDHQIAACsEAAAOAAAAZHJz&#10;L2Uyb0RvYy54bWytU82O0zAQviPxDpbvNGkRS1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qBTIM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QcJ/5BwCAAAr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zAJlYHQIAACsEAAAOAAAAZHJz&#10;L2Uyb0RvYy54bWytU82O0zAQviPxDpbvNGkRq1I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mhLDNGZ0+vb19P3p9OML&#10;wRsAalyYwW/j4BnbN7YtaPR7MZgC3lPrrfQ63WiKwAVoHy8IizYSjsfxdDKd5jBx2AYFKbLrd+dD&#10;fCusJkkoqMcIO2TZYR3i2XVwSdmMXdVKdWNUhjQFvXn5K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DMAmVg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h37cb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Id+3GxwCAAAr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tabs>
        <w:tab w:val="clear" w:pos="4153"/>
      </w:tabs>
      <w:jc w:val="center"/>
    </w:pPr>
    <w:r>
      <w:rPr>
        <w:sz w:val="18"/>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BTHVGnGwIAACsEAAAOAAAAAAAAAAEAIAAAADUBAABkcnMvZTJvRG9jLnhtbFBLBQYA&#10;AAAABgAGAFkBAADC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EXQu5HQIAACs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IRdC7kdAgAAKwQAAA4AAAAAAAAAAQAgAAAANQ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sdt>
                    <w:sdtPr>
                      <w:id w:val="-1"/>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K8tgzBwCAAAp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36915205"/>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FsIeAxwCAAArBAAADgAAAAAAAAABACAAAAA1AQAAZHJzL2Uyb0RvYy54bWxQSwUG&#10;AAAAAAYABgBZAQAAwwUAAAAA&#10;">
              <v:fill on="f" focussize="0,0"/>
              <v:stroke on="f" weight="0.5pt"/>
              <v:imagedata o:title=""/>
              <o:lock v:ext="edit" aspectratio="f"/>
              <v:textbox inset="0mm,0mm,0mm,0mm" style="mso-fit-shape-to-text:t;">
                <w:txbxContent>
                  <w:sdt>
                    <w:sdtPr>
                      <w:id w:val="336915205"/>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GQA+L8aAgAAKwQAAA4AAAAAAAAAAQAgAAAANQEAAGRycy9lMm9Eb2MueG1sUEsFBgAA&#10;AAAGAAYAWQEAAME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59556769"/>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BgkQdHQIAACsEAAAOAAAAZHJz&#10;L2Uyb0RvYy54bWytU82O0zAQviPxDpbvNGlXrK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N6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MGCRB0dAgAAKwQAAA4AAAAAAAAAAQAgAAAANQEAAGRycy9lMm9Eb2MueG1sUEsF&#10;BgAAAAAGAAYAWQEAAMQFAAAAAA==&#10;">
              <v:fill on="f" focussize="0,0"/>
              <v:stroke on="f" weight="0.5pt"/>
              <v:imagedata o:title=""/>
              <o:lock v:ext="edit" aspectratio="f"/>
              <v:textbox inset="0mm,0mm,0mm,0mm" style="mso-fit-shape-to-text:t;">
                <w:txbxContent>
                  <w:sdt>
                    <w:sdtPr>
                      <w:id w:val="159556769"/>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390312693"/>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B3BFp0dAgAAKwQAAA4AAAAAAAAAAQAgAAAANQEAAGRycy9lMm9Eb2MueG1sUEsF&#10;BgAAAAAGAAYAWQEAAMQFAAAAAA==&#10;">
              <v:fill on="f" focussize="0,0"/>
              <v:stroke on="f" weight="0.5pt"/>
              <v:imagedata o:title=""/>
              <o:lock v:ext="edit" aspectratio="f"/>
              <v:textbox inset="0mm,0mm,0mm,0mm" style="mso-fit-shape-to-text:t;">
                <w:txbxContent>
                  <w:sdt>
                    <w:sdtPr>
                      <w:id w:val="390312693"/>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p>
  <w:p>
    <w:pPr>
      <w:pStyle w:val="10"/>
      <w:jc w:val="cente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0897135"/>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FgAAAGRycy9QSwECFAAUAAAA&#10;CACHTuJAs0lY7tAAAAAFAQAADwAAAAAAAAABACAAAAA4AAAAZHJzL2Rvd25yZXYueG1sUEsBAhQA&#10;FAAAAAgAh07iQG8D8CEdAgAAKwQAAA4AAAAAAAAAAQAgAAAANQEAAGRycy9lMm9Eb2MueG1sUEsF&#10;BgAAAAAGAAYAWQEAAMQFAAAAAA==&#10;">
              <v:fill on="f" focussize="0,0"/>
              <v:stroke on="f" weight="0.5pt"/>
              <v:imagedata o:title=""/>
              <o:lock v:ext="edit" aspectratio="f"/>
              <v:textbox inset="0mm,0mm,0mm,0mm" style="mso-fit-shape-to-text:t;">
                <w:txbxContent>
                  <w:sdt>
                    <w:sdtPr>
                      <w:id w:val="120897135"/>
                    </w:sdtPr>
                    <w:sdtContent>
                      <w:p>
                        <w:pPr>
                          <w:pStyle w:val="10"/>
                          <w:jc w:val="center"/>
                        </w:pPr>
                        <w:r>
                          <w:fldChar w:fldCharType="begin"/>
                        </w:r>
                        <w:r>
                          <w:instrText xml:space="preserve">PAGE   \* MERGEFORMAT</w:instrText>
                        </w:r>
                        <w:r>
                          <w:fldChar w:fldCharType="separate"/>
                        </w:r>
                        <w:r>
                          <w:rPr>
                            <w:lang w:val="zh-CN"/>
                          </w:rPr>
                          <w:t>8</w:t>
                        </w:r>
                        <w:r>
                          <w:fldChar w:fldCharType="end"/>
                        </w:r>
                      </w:p>
                    </w:sdtContent>
                  </w:sdt>
                  <w:p>
                    <w:pPr>
                      <w:pStyle w:val="2"/>
                    </w:pPr>
                  </w:p>
                </w:txbxContent>
              </v:textbox>
            </v:shape>
          </w:pict>
        </mc:Fallback>
      </mc:AlternateContent>
    </w:r>
  </w:p>
  <w:p>
    <w:pPr>
      <w:pStyle w:val="1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WAAAAZHJzL1BLAQIUABQAAAAI&#10;AIdO4kCzSVju0AAAAAUBAAAPAAAAAAAAAAEAIAAAADgAAABkcnMvZG93bnJldi54bWxQSwECFAAU&#10;AAAACACHTuJAuEOqPxwCAAArBAAADgAAAAAAAAABACAAAAA1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FFF674BC"/>
    <w:multiLevelType w:val="singleLevel"/>
    <w:tmpl w:val="FFF674BC"/>
    <w:lvl w:ilvl="0" w:tentative="0">
      <w:start w:val="1"/>
      <w:numFmt w:val="chineseCounting"/>
      <w:suff w:val="nothing"/>
      <w:lvlText w:val="%1、"/>
      <w:lvlJc w:val="left"/>
      <w:rPr>
        <w:rFonts w:hint="eastAsia"/>
      </w:rPr>
    </w:lvl>
  </w:abstractNum>
  <w:abstractNum w:abstractNumId="3">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false"/>
  <w:bordersDoNotSurroundFooter w:val="false"/>
  <w:documentProtection w:enforcement="0"/>
  <w:defaultTabStop w:val="420"/>
  <w:drawingGridHorizontalSpacing w:val="105"/>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5975B8"/>
    <w:rsid w:val="02143E91"/>
    <w:rsid w:val="066E0107"/>
    <w:rsid w:val="07996F6E"/>
    <w:rsid w:val="079E03C1"/>
    <w:rsid w:val="0A2032A3"/>
    <w:rsid w:val="0F98263C"/>
    <w:rsid w:val="101860EC"/>
    <w:rsid w:val="108F5D13"/>
    <w:rsid w:val="10C055FF"/>
    <w:rsid w:val="118107EC"/>
    <w:rsid w:val="13D50BC4"/>
    <w:rsid w:val="16BB723D"/>
    <w:rsid w:val="17EB01FC"/>
    <w:rsid w:val="1BE8440E"/>
    <w:rsid w:val="1D155CEE"/>
    <w:rsid w:val="1F7FF6E3"/>
    <w:rsid w:val="1FE7E9B9"/>
    <w:rsid w:val="1FED1986"/>
    <w:rsid w:val="1FF35744"/>
    <w:rsid w:val="1FF579E8"/>
    <w:rsid w:val="23860B96"/>
    <w:rsid w:val="240371BF"/>
    <w:rsid w:val="26C26CF7"/>
    <w:rsid w:val="29FD04D3"/>
    <w:rsid w:val="2BDFC329"/>
    <w:rsid w:val="2C8A61B5"/>
    <w:rsid w:val="2D7F4265"/>
    <w:rsid w:val="2DF04E50"/>
    <w:rsid w:val="2F040D46"/>
    <w:rsid w:val="2F7B1BF6"/>
    <w:rsid w:val="2F7D3CCA"/>
    <w:rsid w:val="306D4B10"/>
    <w:rsid w:val="319F7F4E"/>
    <w:rsid w:val="326EA8C1"/>
    <w:rsid w:val="32A9493D"/>
    <w:rsid w:val="32FF5ADE"/>
    <w:rsid w:val="3304709D"/>
    <w:rsid w:val="35BDEF03"/>
    <w:rsid w:val="369BB427"/>
    <w:rsid w:val="36AA5135"/>
    <w:rsid w:val="36FC2002"/>
    <w:rsid w:val="376D39B2"/>
    <w:rsid w:val="37E16F03"/>
    <w:rsid w:val="37E7CD34"/>
    <w:rsid w:val="37FFA8D0"/>
    <w:rsid w:val="38D469F0"/>
    <w:rsid w:val="39F93176"/>
    <w:rsid w:val="3AD71409"/>
    <w:rsid w:val="3AFE81C0"/>
    <w:rsid w:val="3B937C5E"/>
    <w:rsid w:val="3BFBE6AB"/>
    <w:rsid w:val="3BFF0631"/>
    <w:rsid w:val="3D98207C"/>
    <w:rsid w:val="3E78745D"/>
    <w:rsid w:val="3EFB18D2"/>
    <w:rsid w:val="3F9FCE59"/>
    <w:rsid w:val="3FAFBF81"/>
    <w:rsid w:val="3FEF92DF"/>
    <w:rsid w:val="3FFFF631"/>
    <w:rsid w:val="44E268DA"/>
    <w:rsid w:val="49D7BA87"/>
    <w:rsid w:val="4A627F82"/>
    <w:rsid w:val="4B0E749A"/>
    <w:rsid w:val="4B4F25DA"/>
    <w:rsid w:val="4BE068DB"/>
    <w:rsid w:val="4BFF183B"/>
    <w:rsid w:val="4C7FFFDC"/>
    <w:rsid w:val="4D577224"/>
    <w:rsid w:val="4DBEB9D8"/>
    <w:rsid w:val="4EAB630A"/>
    <w:rsid w:val="4EB246A2"/>
    <w:rsid w:val="4ECE2238"/>
    <w:rsid w:val="4FB7D827"/>
    <w:rsid w:val="537E6D0A"/>
    <w:rsid w:val="57C77508"/>
    <w:rsid w:val="5AF92295"/>
    <w:rsid w:val="5BBD53F7"/>
    <w:rsid w:val="5BED184A"/>
    <w:rsid w:val="5CD71FC4"/>
    <w:rsid w:val="5EBB07B1"/>
    <w:rsid w:val="5EDFFAFB"/>
    <w:rsid w:val="5EF8A976"/>
    <w:rsid w:val="5EFF9457"/>
    <w:rsid w:val="5F6D6DC3"/>
    <w:rsid w:val="5F7F6135"/>
    <w:rsid w:val="5FCF02F9"/>
    <w:rsid w:val="5FD7AB9C"/>
    <w:rsid w:val="5FDE7704"/>
    <w:rsid w:val="5FFDCE5E"/>
    <w:rsid w:val="5FFF2DB8"/>
    <w:rsid w:val="5FFFEA72"/>
    <w:rsid w:val="627F9AF9"/>
    <w:rsid w:val="636F6BDA"/>
    <w:rsid w:val="656BE371"/>
    <w:rsid w:val="673F7B24"/>
    <w:rsid w:val="67737463"/>
    <w:rsid w:val="67F3D881"/>
    <w:rsid w:val="6BF643CD"/>
    <w:rsid w:val="6C4A05C8"/>
    <w:rsid w:val="6D948B54"/>
    <w:rsid w:val="6DB3D28B"/>
    <w:rsid w:val="6DBDEEC7"/>
    <w:rsid w:val="6DF79715"/>
    <w:rsid w:val="6E7E3605"/>
    <w:rsid w:val="6EE85EE4"/>
    <w:rsid w:val="6F5EBA28"/>
    <w:rsid w:val="6FDD28BB"/>
    <w:rsid w:val="6FDD9F15"/>
    <w:rsid w:val="6FDE214E"/>
    <w:rsid w:val="6FE480AB"/>
    <w:rsid w:val="6FEE9DFD"/>
    <w:rsid w:val="6FF5CC65"/>
    <w:rsid w:val="6FFBF0D3"/>
    <w:rsid w:val="6FFF8BBD"/>
    <w:rsid w:val="6FFFD2FC"/>
    <w:rsid w:val="715C0E4B"/>
    <w:rsid w:val="72734D90"/>
    <w:rsid w:val="72C232B3"/>
    <w:rsid w:val="72EE2F92"/>
    <w:rsid w:val="72FFD8B9"/>
    <w:rsid w:val="73AD73D5"/>
    <w:rsid w:val="73B6EB34"/>
    <w:rsid w:val="73BFD5BA"/>
    <w:rsid w:val="73FF7595"/>
    <w:rsid w:val="744731E5"/>
    <w:rsid w:val="75771B78"/>
    <w:rsid w:val="765F048B"/>
    <w:rsid w:val="76E3355F"/>
    <w:rsid w:val="76FF0BA3"/>
    <w:rsid w:val="778769C8"/>
    <w:rsid w:val="77F67833"/>
    <w:rsid w:val="77FA2D2B"/>
    <w:rsid w:val="79E7C83F"/>
    <w:rsid w:val="79EE5BA4"/>
    <w:rsid w:val="7A894339"/>
    <w:rsid w:val="7A95FC63"/>
    <w:rsid w:val="7AED5626"/>
    <w:rsid w:val="7AF07A71"/>
    <w:rsid w:val="7AF97BCC"/>
    <w:rsid w:val="7AFF8A8E"/>
    <w:rsid w:val="7B392705"/>
    <w:rsid w:val="7B6D0BE6"/>
    <w:rsid w:val="7BDEEE2B"/>
    <w:rsid w:val="7BFF2689"/>
    <w:rsid w:val="7C57FA7A"/>
    <w:rsid w:val="7CEF12D3"/>
    <w:rsid w:val="7D164A50"/>
    <w:rsid w:val="7DAD5C84"/>
    <w:rsid w:val="7DBB361F"/>
    <w:rsid w:val="7DFE6FDA"/>
    <w:rsid w:val="7EAE8218"/>
    <w:rsid w:val="7EBF4925"/>
    <w:rsid w:val="7EEDF853"/>
    <w:rsid w:val="7EEF11D3"/>
    <w:rsid w:val="7EF596C1"/>
    <w:rsid w:val="7EFA3103"/>
    <w:rsid w:val="7EFE6B8A"/>
    <w:rsid w:val="7F5F327F"/>
    <w:rsid w:val="7F78272A"/>
    <w:rsid w:val="7F7E4737"/>
    <w:rsid w:val="7F7FE92A"/>
    <w:rsid w:val="7FA30C79"/>
    <w:rsid w:val="7FA397AA"/>
    <w:rsid w:val="7FB7269E"/>
    <w:rsid w:val="7FBB2494"/>
    <w:rsid w:val="7FBBDCF8"/>
    <w:rsid w:val="7FC96657"/>
    <w:rsid w:val="7FD63CF9"/>
    <w:rsid w:val="7FD666AA"/>
    <w:rsid w:val="7FD6C6F5"/>
    <w:rsid w:val="7FE74726"/>
    <w:rsid w:val="7FE78158"/>
    <w:rsid w:val="7FEBA5C9"/>
    <w:rsid w:val="7FF7DB3D"/>
    <w:rsid w:val="7FFDAADB"/>
    <w:rsid w:val="7FFED6BC"/>
    <w:rsid w:val="7FFEE688"/>
    <w:rsid w:val="7FFF435A"/>
    <w:rsid w:val="7FFF4D7D"/>
    <w:rsid w:val="7FFF6788"/>
    <w:rsid w:val="8BBF6B2B"/>
    <w:rsid w:val="8FFEECEF"/>
    <w:rsid w:val="8FFF290D"/>
    <w:rsid w:val="97F6FFAB"/>
    <w:rsid w:val="9A7E46CE"/>
    <w:rsid w:val="9ADE54FE"/>
    <w:rsid w:val="9BCF1E46"/>
    <w:rsid w:val="9E6AA202"/>
    <w:rsid w:val="AE761BFC"/>
    <w:rsid w:val="AECF4488"/>
    <w:rsid w:val="AFDF8F7F"/>
    <w:rsid w:val="AFFBE897"/>
    <w:rsid w:val="B27EA72E"/>
    <w:rsid w:val="B4FFAD1C"/>
    <w:rsid w:val="B5E711A8"/>
    <w:rsid w:val="B7FF4D70"/>
    <w:rsid w:val="B8FFC31D"/>
    <w:rsid w:val="B9BCB788"/>
    <w:rsid w:val="BD5CFD98"/>
    <w:rsid w:val="BDB98181"/>
    <w:rsid w:val="BE74B385"/>
    <w:rsid w:val="BEDEB869"/>
    <w:rsid w:val="BEFEDC4F"/>
    <w:rsid w:val="BF1FE108"/>
    <w:rsid w:val="BF355552"/>
    <w:rsid w:val="BFB3B9EE"/>
    <w:rsid w:val="BFD3DF73"/>
    <w:rsid w:val="BFFE8566"/>
    <w:rsid w:val="BFFF2981"/>
    <w:rsid w:val="BFFFDCAF"/>
    <w:rsid w:val="C33BC51B"/>
    <w:rsid w:val="C73A88CD"/>
    <w:rsid w:val="C8FFC415"/>
    <w:rsid w:val="CD5A6573"/>
    <w:rsid w:val="CD826DB2"/>
    <w:rsid w:val="CDFA092D"/>
    <w:rsid w:val="CEF1F1B1"/>
    <w:rsid w:val="CFCFC0CA"/>
    <w:rsid w:val="D37BF10F"/>
    <w:rsid w:val="D47F71BA"/>
    <w:rsid w:val="D5F7FC05"/>
    <w:rsid w:val="D8D6DB89"/>
    <w:rsid w:val="D9BC00A3"/>
    <w:rsid w:val="DB6F4CAB"/>
    <w:rsid w:val="DB7B3D57"/>
    <w:rsid w:val="DB9E6B6C"/>
    <w:rsid w:val="DBA621BC"/>
    <w:rsid w:val="DBFF8BF8"/>
    <w:rsid w:val="DC7F6377"/>
    <w:rsid w:val="DD7E562E"/>
    <w:rsid w:val="DE7B6241"/>
    <w:rsid w:val="DEBED2D8"/>
    <w:rsid w:val="DF6F9789"/>
    <w:rsid w:val="DFBFE27E"/>
    <w:rsid w:val="DFDF5E08"/>
    <w:rsid w:val="DFE6EF15"/>
    <w:rsid w:val="DFEF8A36"/>
    <w:rsid w:val="DFFA7B7A"/>
    <w:rsid w:val="E3BF525D"/>
    <w:rsid w:val="E3FCFF69"/>
    <w:rsid w:val="E3FF5A0F"/>
    <w:rsid w:val="E9EF68F5"/>
    <w:rsid w:val="EBF551BB"/>
    <w:rsid w:val="EBF7397E"/>
    <w:rsid w:val="EDF3ABA3"/>
    <w:rsid w:val="EE7783AB"/>
    <w:rsid w:val="EEFBD397"/>
    <w:rsid w:val="EF3F4A05"/>
    <w:rsid w:val="EF77061A"/>
    <w:rsid w:val="EF77D9D0"/>
    <w:rsid w:val="EFEFC52E"/>
    <w:rsid w:val="F2FBFBCB"/>
    <w:rsid w:val="F36906B5"/>
    <w:rsid w:val="F3EDB3D8"/>
    <w:rsid w:val="F3FCB84E"/>
    <w:rsid w:val="F3FF557D"/>
    <w:rsid w:val="F6DF8F9E"/>
    <w:rsid w:val="F7B1B6A7"/>
    <w:rsid w:val="F7BF6F06"/>
    <w:rsid w:val="F7DDDECE"/>
    <w:rsid w:val="F7DFB311"/>
    <w:rsid w:val="F7EFBF91"/>
    <w:rsid w:val="F7F9B6E3"/>
    <w:rsid w:val="F95F1E66"/>
    <w:rsid w:val="F9DB8656"/>
    <w:rsid w:val="FAD61418"/>
    <w:rsid w:val="FB3E6E23"/>
    <w:rsid w:val="FB5FABB5"/>
    <w:rsid w:val="FBD5CEB1"/>
    <w:rsid w:val="FBFED5EA"/>
    <w:rsid w:val="FC3AB894"/>
    <w:rsid w:val="FCFAD134"/>
    <w:rsid w:val="FDD12895"/>
    <w:rsid w:val="FDF6F79D"/>
    <w:rsid w:val="FDF982F4"/>
    <w:rsid w:val="FDFF4AC0"/>
    <w:rsid w:val="FE3375B2"/>
    <w:rsid w:val="FE792B0F"/>
    <w:rsid w:val="FEFB24C4"/>
    <w:rsid w:val="FEFF8B13"/>
    <w:rsid w:val="FF3FEB7F"/>
    <w:rsid w:val="FF7110D2"/>
    <w:rsid w:val="FF7B0C92"/>
    <w:rsid w:val="FF7EE34F"/>
    <w:rsid w:val="FF9BFB4A"/>
    <w:rsid w:val="FF9F0964"/>
    <w:rsid w:val="FFAA2CFA"/>
    <w:rsid w:val="FFAF5BB9"/>
    <w:rsid w:val="FFB32738"/>
    <w:rsid w:val="FFBB6E74"/>
    <w:rsid w:val="FFDFB832"/>
    <w:rsid w:val="FFE5FE94"/>
    <w:rsid w:val="FFF6C263"/>
    <w:rsid w:val="FFF75B04"/>
    <w:rsid w:val="FFFAF512"/>
    <w:rsid w:val="FFFEE6C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2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21"/>
    <w:unhideWhenUsed/>
    <w:qFormat/>
    <w:uiPriority w:val="9"/>
    <w:pPr>
      <w:keepNext/>
      <w:keepLines/>
      <w:spacing w:before="260" w:after="260" w:line="416" w:lineRule="auto"/>
      <w:outlineLvl w:val="2"/>
    </w:pPr>
    <w:rPr>
      <w:b/>
      <w:bCs/>
      <w:sz w:val="32"/>
      <w:szCs w:val="32"/>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6">
    <w:name w:val="Body Text"/>
    <w:basedOn w:val="1"/>
    <w:link w:val="28"/>
    <w:qFormat/>
    <w:uiPriority w:val="99"/>
    <w:pPr>
      <w:spacing w:beforeLines="30"/>
    </w:pPr>
    <w:rPr>
      <w:rFonts w:ascii="仿宋_GB2312" w:eastAsia="仿宋_GB2312"/>
      <w:kern w:val="0"/>
      <w:sz w:val="30"/>
    </w:rPr>
  </w:style>
  <w:style w:type="paragraph" w:styleId="7">
    <w:name w:val="Body Text Indent"/>
    <w:basedOn w:val="1"/>
    <w:qFormat/>
    <w:uiPriority w:val="0"/>
    <w:pPr>
      <w:spacing w:after="120"/>
      <w:ind w:leftChars="200"/>
    </w:pPr>
    <w:rPr>
      <w:rFonts w:ascii="仿宋_GB231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2"/>
    <w:semiHidden/>
    <w:unhideWhenUsed/>
    <w:qFormat/>
    <w:uiPriority w:val="99"/>
    <w:rPr>
      <w:sz w:val="18"/>
      <w:szCs w:val="18"/>
    </w:rPr>
  </w:style>
  <w:style w:type="paragraph" w:styleId="10">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unhideWhenUsed/>
    <w:qFormat/>
    <w:uiPriority w:val="99"/>
    <w:pPr>
      <w:ind w:firstLine="420" w:firstLineChars="20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14:textFill>
        <w14:solidFill>
          <w14:schemeClr w14:val="hlink"/>
        </w14:solidFill>
      </w14:textFill>
    </w:rPr>
  </w:style>
  <w:style w:type="character" w:customStyle="1" w:styleId="19">
    <w:name w:val="标题 1 Char"/>
    <w:basedOn w:val="16"/>
    <w:link w:val="3"/>
    <w:qFormat/>
    <w:uiPriority w:val="9"/>
    <w:rPr>
      <w:rFonts w:ascii="Times New Roman" w:hAnsi="Times New Roman"/>
      <w:b/>
      <w:bCs/>
      <w:kern w:val="44"/>
      <w:sz w:val="44"/>
      <w:szCs w:val="44"/>
    </w:rPr>
  </w:style>
  <w:style w:type="character" w:customStyle="1" w:styleId="20">
    <w:name w:val="标题 2 Char"/>
    <w:basedOn w:val="16"/>
    <w:link w:val="4"/>
    <w:qFormat/>
    <w:uiPriority w:val="9"/>
    <w:rPr>
      <w:rFonts w:asciiTheme="majorHAnsi" w:hAnsiTheme="majorHAnsi" w:eastAsiaTheme="majorEastAsia" w:cstheme="majorBidi"/>
      <w:b/>
      <w:bCs/>
      <w:kern w:val="2"/>
      <w:sz w:val="32"/>
      <w:szCs w:val="32"/>
    </w:rPr>
  </w:style>
  <w:style w:type="character" w:customStyle="1" w:styleId="21">
    <w:name w:val="标题 3 Char"/>
    <w:basedOn w:val="16"/>
    <w:link w:val="5"/>
    <w:qFormat/>
    <w:uiPriority w:val="9"/>
    <w:rPr>
      <w:rFonts w:ascii="Times New Roman" w:hAnsi="Times New Roman"/>
      <w:b/>
      <w:bCs/>
      <w:kern w:val="2"/>
      <w:sz w:val="32"/>
      <w:szCs w:val="32"/>
    </w:rPr>
  </w:style>
  <w:style w:type="paragraph" w:customStyle="1" w:styleId="22">
    <w:name w:val="标题 5（有编号）（绿盟科技）"/>
    <w:next w:val="1"/>
    <w:qFormat/>
    <w:uiPriority w:val="99"/>
    <w:pPr>
      <w:keepNext/>
      <w:keepLines/>
      <w:widowControl w:val="0"/>
      <w:spacing w:before="280" w:after="156" w:line="377" w:lineRule="auto"/>
      <w:jc w:val="left"/>
      <w:outlineLvl w:val="4"/>
    </w:pPr>
    <w:rPr>
      <w:rFonts w:ascii="Arial" w:hAnsi="Arial" w:eastAsia="黑体" w:cs="Times New Roman"/>
      <w:b/>
      <w:kern w:val="2"/>
      <w:sz w:val="24"/>
      <w:szCs w:val="28"/>
      <w:lang w:val="en-US" w:eastAsia="zh-CN" w:bidi="ar-SA"/>
    </w:rPr>
  </w:style>
  <w:style w:type="character" w:customStyle="1" w:styleId="23">
    <w:name w:val="Header Char"/>
    <w:basedOn w:val="16"/>
    <w:semiHidden/>
    <w:qFormat/>
    <w:uiPriority w:val="99"/>
    <w:rPr>
      <w:rFonts w:ascii="Times New Roman" w:hAnsi="Times New Roman"/>
      <w:sz w:val="18"/>
      <w:szCs w:val="18"/>
    </w:rPr>
  </w:style>
  <w:style w:type="character" w:customStyle="1" w:styleId="24">
    <w:name w:val="页眉 Char"/>
    <w:link w:val="11"/>
    <w:semiHidden/>
    <w:qFormat/>
    <w:locked/>
    <w:uiPriority w:val="99"/>
    <w:rPr>
      <w:sz w:val="18"/>
    </w:rPr>
  </w:style>
  <w:style w:type="character" w:customStyle="1" w:styleId="25">
    <w:name w:val="Footer Char"/>
    <w:basedOn w:val="16"/>
    <w:semiHidden/>
    <w:qFormat/>
    <w:uiPriority w:val="99"/>
    <w:rPr>
      <w:rFonts w:ascii="Times New Roman" w:hAnsi="Times New Roman"/>
      <w:sz w:val="18"/>
      <w:szCs w:val="18"/>
    </w:rPr>
  </w:style>
  <w:style w:type="character" w:customStyle="1" w:styleId="26">
    <w:name w:val="页脚 Char"/>
    <w:link w:val="10"/>
    <w:qFormat/>
    <w:locked/>
    <w:uiPriority w:val="99"/>
    <w:rPr>
      <w:sz w:val="18"/>
    </w:rPr>
  </w:style>
  <w:style w:type="character" w:customStyle="1" w:styleId="27">
    <w:name w:val="Body Text Char"/>
    <w:basedOn w:val="16"/>
    <w:semiHidden/>
    <w:qFormat/>
    <w:uiPriority w:val="99"/>
    <w:rPr>
      <w:rFonts w:ascii="Times New Roman" w:hAnsi="Times New Roman"/>
      <w:szCs w:val="24"/>
    </w:rPr>
  </w:style>
  <w:style w:type="character" w:customStyle="1" w:styleId="28">
    <w:name w:val="正文文本 Char"/>
    <w:link w:val="6"/>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6"/>
    <w:link w:val="9"/>
    <w:semiHidden/>
    <w:qFormat/>
    <w:uiPriority w:val="99"/>
    <w:rPr>
      <w:rFonts w:ascii="Times New Roman" w:hAnsi="Times New Roman"/>
      <w:kern w:val="2"/>
      <w:sz w:val="18"/>
      <w:szCs w:val="18"/>
    </w:r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4">
    <w:name w:val="四号正文"/>
    <w:basedOn w:val="1"/>
    <w:qFormat/>
    <w:uiPriority w:val="0"/>
    <w:pPr>
      <w:spacing w:line="360" w:lineRule="auto"/>
    </w:pPr>
    <w:rPr>
      <w:rFonts w:ascii="??" w:hAnsi="??" w:eastAsia="宋体"/>
      <w:color w:val="000000"/>
      <w:kern w:val="0"/>
      <w:sz w:val="28"/>
      <w:szCs w:val="21"/>
      <w:lang w:val="zh-CN" w:eastAsia="zh-CN"/>
    </w:rPr>
  </w:style>
  <w:style w:type="character" w:customStyle="1" w:styleId="35">
    <w:name w:val="font51"/>
    <w:basedOn w:val="16"/>
    <w:qFormat/>
    <w:uiPriority w:val="0"/>
    <w:rPr>
      <w:rFonts w:hint="default" w:ascii="东文宋体" w:hAnsi="东文宋体" w:eastAsia="东文宋体" w:cs="东文宋体"/>
      <w:color w:val="000000"/>
      <w:sz w:val="20"/>
      <w:szCs w:val="20"/>
      <w:u w:val="none"/>
    </w:rPr>
  </w:style>
  <w:style w:type="character" w:customStyle="1" w:styleId="36">
    <w:name w:val="font21"/>
    <w:basedOn w:val="16"/>
    <w:qFormat/>
    <w:uiPriority w:val="0"/>
    <w:rPr>
      <w:rFonts w:hint="eastAsia" w:ascii="宋体" w:hAnsi="宋体" w:eastAsia="宋体" w:cs="宋体"/>
      <w:color w:val="000000"/>
      <w:sz w:val="20"/>
      <w:szCs w:val="20"/>
      <w:u w:val="none"/>
    </w:rPr>
  </w:style>
  <w:style w:type="character" w:customStyle="1" w:styleId="37">
    <w:name w:val="font41"/>
    <w:basedOn w:val="16"/>
    <w:qFormat/>
    <w:uiPriority w:val="0"/>
    <w:rPr>
      <w:rFonts w:hint="eastAsia" w:ascii="宋体" w:hAnsi="宋体" w:eastAsia="宋体" w:cs="宋体"/>
      <w:color w:val="000000"/>
      <w:sz w:val="20"/>
      <w:szCs w:val="20"/>
      <w:u w:val="none"/>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0" Type="http://schemas.openxmlformats.org/officeDocument/2006/relationships/fontTable" Target="fontTable.xml"/><Relationship Id="rId3" Type="http://schemas.openxmlformats.org/officeDocument/2006/relationships/header" Target="header1.xml"/><Relationship Id="rId29" Type="http://schemas.openxmlformats.org/officeDocument/2006/relationships/numbering" Target="numbering.xml"/><Relationship Id="rId28" Type="http://schemas.openxmlformats.org/officeDocument/2006/relationships/customXml" Target="../customXml/item1.xml"/><Relationship Id="rId27" Type="http://schemas.openxmlformats.org/officeDocument/2006/relationships/chart" Target="charts/chart7.xml"/><Relationship Id="rId26" Type="http://schemas.openxmlformats.org/officeDocument/2006/relationships/chart" Target="charts/chart6.xml"/><Relationship Id="rId25" Type="http://schemas.openxmlformats.org/officeDocument/2006/relationships/chart" Target="charts/chart5.xml"/><Relationship Id="rId24" Type="http://schemas.openxmlformats.org/officeDocument/2006/relationships/chart" Target="charts/chart4.xml"/><Relationship Id="rId23" Type="http://schemas.openxmlformats.org/officeDocument/2006/relationships/chart" Target="charts/chart3.xml"/><Relationship Id="rId22" Type="http://schemas.openxmlformats.org/officeDocument/2006/relationships/chart" Target="charts/chart2.xml"/><Relationship Id="rId21" Type="http://schemas.openxmlformats.org/officeDocument/2006/relationships/chart" Target="charts/chart1.xml"/><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6.xml"/><Relationship Id="rId18" Type="http://schemas.openxmlformats.org/officeDocument/2006/relationships/footer" Target="footer15.xml"/><Relationship Id="rId17" Type="http://schemas.openxmlformats.org/officeDocument/2006/relationships/footer" Target="footer14.xml"/><Relationship Id="rId16" Type="http://schemas.openxmlformats.org/officeDocument/2006/relationships/footer" Target="footer13.xml"/><Relationship Id="rId15" Type="http://schemas.openxmlformats.org/officeDocument/2006/relationships/footer" Target="footer12.xml"/><Relationship Id="rId14" Type="http://schemas.openxmlformats.org/officeDocument/2006/relationships/footer" Target="footer11.xml"/><Relationship Id="rId13" Type="http://schemas.openxmlformats.org/officeDocument/2006/relationships/footer" Target="footer10.xml"/><Relationship Id="rId12" Type="http://schemas.openxmlformats.org/officeDocument/2006/relationships/footer" Target="footer9.xml"/><Relationship Id="rId11" Type="http://schemas.openxmlformats.org/officeDocument/2006/relationships/footer" Target="footer8.xml"/><Relationship Id="rId10" Type="http://schemas.openxmlformats.org/officeDocument/2006/relationships/footer" Target="footer7.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24037;&#20316;&#31807;1"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24037;&#20316;&#31807;1"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24037;&#20316;&#31807;1"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24037;&#20316;&#31807;1"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oleObject" Target="&#24037;&#20316;&#31807;1" TargetMode="External"/></Relationships>
</file>

<file path=word/charts/_rels/chart7.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24037;&#20316;&#31807;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elete val="true"/>
          </c:dLbls>
          <c:cat>
            <c:strRef>
              <c:f>[工作簿1]Sheet1!$A$3:$A$4</c:f>
              <c:strCache>
                <c:ptCount val="2"/>
                <c:pt idx="0">
                  <c:v>2021年</c:v>
                </c:pt>
                <c:pt idx="1">
                  <c:v>2022年</c:v>
                </c:pt>
              </c:strCache>
            </c:strRef>
          </c:cat>
          <c:val>
            <c:numRef>
              <c:f>[工作簿1]Sheet1!$B$3:$B$4</c:f>
              <c:numCache>
                <c:formatCode>General</c:formatCode>
                <c:ptCount val="2"/>
                <c:pt idx="0">
                  <c:v>3887.97</c:v>
                </c:pt>
                <c:pt idx="1">
                  <c:v>3449.89</c:v>
                </c:pt>
              </c:numCache>
            </c:numRef>
          </c:val>
        </c:ser>
        <c:dLbls>
          <c:showLegendKey val="false"/>
          <c:showVal val="false"/>
          <c:showCatName val="false"/>
          <c:showSerName val="false"/>
          <c:showPercent val="false"/>
          <c:showBubbleSize val="false"/>
        </c:dLbls>
        <c:gapWidth val="219"/>
        <c:overlap val="-27"/>
        <c:axId val="626670765"/>
        <c:axId val="598535078"/>
      </c:barChart>
      <c:catAx>
        <c:axId val="626670765"/>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598535078"/>
        <c:crosses val="autoZero"/>
        <c:auto val="true"/>
        <c:lblAlgn val="ctr"/>
        <c:lblOffset val="100"/>
        <c:noMultiLvlLbl val="false"/>
      </c:catAx>
      <c:valAx>
        <c:axId val="598535078"/>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626670765"/>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00949574600692366"/>
                  <c:y val="-0.12962696908601"/>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 </a:t>
                    </a:r>
                    <a:r>
                      <a:rPr lang="en-US" altLang="zh-CN"/>
                      <a:t>99.89</a:t>
                    </a:r>
                    <a:r>
                      <a:t>%</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 </a:t>
                    </a:r>
                    <a:r>
                      <a:rPr lang="en-US" altLang="zh-CN"/>
                      <a:t>0.11</a:t>
                    </a:r>
                    <a:r>
                      <a:t>%</a:t>
                    </a:r>
                  </a:p>
                </c:rich>
              </c:tx>
              <c:dLblPos val="bestFit"/>
              <c:showLegendKey val="false"/>
              <c:showVal val="true"/>
              <c:showCatName val="false"/>
              <c:showSerName val="false"/>
              <c:showPercent val="tru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[工作簿1]Sheet1!$A$6:$A$7</c:f>
              <c:strCache>
                <c:ptCount val="2"/>
                <c:pt idx="0">
                  <c:v>一般公共预算财政拨款收入</c:v>
                </c:pt>
                <c:pt idx="1">
                  <c:v>其他收入</c:v>
                </c:pt>
              </c:strCache>
            </c:strRef>
          </c:cat>
          <c:val>
            <c:numRef>
              <c:f>[工作簿1]Sheet1!$B$6:$B$7</c:f>
              <c:numCache>
                <c:formatCode>General</c:formatCode>
                <c:ptCount val="2"/>
                <c:pt idx="0">
                  <c:v>3059.39</c:v>
                </c:pt>
                <c:pt idx="1">
                  <c:v>3.18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Lbls>
            <c:dLbl>
              <c:idx val="0"/>
              <c:layout>
                <c:manualLayout>
                  <c:x val="-0.148874411183187"/>
                  <c:y val="-0.0564467612259572"/>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60.74</a:t>
                    </a:r>
                    <a:r>
                      <a:t>%</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dLbl>
              <c:idx val="1"/>
              <c:layout>
                <c:manualLayout>
                  <c:x val="0.14375"/>
                  <c:y val="0.0243055555555556"/>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39</a:t>
                    </a:r>
                    <a:r>
                      <a:rPr lang="en-US" altLang="zh-CN"/>
                      <a:t>.26</a:t>
                    </a:r>
                    <a:r>
                      <a:t>%</a:t>
                    </a:r>
                  </a:p>
                </c:rich>
              </c:tx>
              <c:dLblPos val="bestFit"/>
              <c:showLegendKey val="false"/>
              <c:showVal val="tru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fals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[工作簿1]Sheet1!$A$6:$A$7</c:f>
              <c:strCache>
                <c:ptCount val="2"/>
                <c:pt idx="0">
                  <c:v>基本支出</c:v>
                </c:pt>
                <c:pt idx="1">
                  <c:v>项目支出</c:v>
                </c:pt>
              </c:strCache>
            </c:strRef>
          </c:cat>
          <c:val>
            <c:numRef>
              <c:f>[工作簿1]Sheet1!$B$6:$B$7</c:f>
              <c:numCache>
                <c:formatCode>General</c:formatCode>
                <c:ptCount val="2"/>
                <c:pt idx="0">
                  <c:v>2009.62</c:v>
                </c:pt>
                <c:pt idx="1">
                  <c:v>1298.59</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3364.89万元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3801万元</a:t>
                    </a:r>
                  </a:p>
                </c:rich>
              </c:tx>
              <c:dLblPos val="outEnd"/>
              <c:showLegendKey val="false"/>
              <c:showVal val="true"/>
              <c:showCatName val="false"/>
              <c:showSerName val="false"/>
              <c:showPercent val="false"/>
              <c:showBubbleSize val="false"/>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[工作簿1]Sheet1!$A$6:$A$7</c:f>
              <c:strCache>
                <c:ptCount val="2"/>
                <c:pt idx="0">
                  <c:v>2022年财政拨款收、支总计</c:v>
                </c:pt>
                <c:pt idx="1">
                  <c:v>2021年财政拨款收、支总计</c:v>
                </c:pt>
              </c:strCache>
            </c:strRef>
          </c:cat>
          <c:val>
            <c:numRef>
              <c:f>[工作簿1]Sheet1!$B$6:$B$7</c:f>
              <c:numCache>
                <c:formatCode>General</c:formatCode>
                <c:ptCount val="2"/>
                <c:pt idx="0">
                  <c:v>3364.89</c:v>
                </c:pt>
                <c:pt idx="1">
                  <c:v>3801</c:v>
                </c:pt>
              </c:numCache>
            </c:numRef>
          </c:val>
        </c:ser>
        <c:dLbls>
          <c:showLegendKey val="false"/>
          <c:showVal val="true"/>
          <c:showCatName val="false"/>
          <c:showSerName val="false"/>
          <c:showPercent val="false"/>
          <c:showBubbleSize val="false"/>
        </c:dLbls>
        <c:gapWidth val="219"/>
        <c:overlap val="-27"/>
        <c:axId val="916491288"/>
        <c:axId val="903919028"/>
      </c:barChart>
      <c:catAx>
        <c:axId val="916491288"/>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03919028"/>
        <c:crosses val="autoZero"/>
        <c:auto val="true"/>
        <c:lblAlgn val="ctr"/>
        <c:lblOffset val="100"/>
        <c:noMultiLvlLbl val="false"/>
      </c:catAx>
      <c:valAx>
        <c:axId val="903919028"/>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916491288"/>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c:rich>
      </c:tx>
      <c:layout/>
      <c:overlay val="false"/>
      <c:spPr>
        <a:noFill/>
        <a:ln>
          <a:noFill/>
        </a:ln>
        <a:effectLst/>
      </c:spPr>
    </c:title>
    <c:autoTitleDeleted val="false"/>
    <c:plotArea>
      <c:layout/>
      <c:barChart>
        <c:barDir val="col"/>
        <c:grouping val="clustered"/>
        <c:varyColors val="false"/>
        <c:ser>
          <c:idx val="0"/>
          <c:order val="0"/>
          <c:spPr>
            <a:solidFill>
              <a:schemeClr val="accent1"/>
            </a:solidFill>
            <a:ln>
              <a:noFill/>
            </a:ln>
            <a:effectLst/>
          </c:spPr>
          <c:invertIfNegative val="false"/>
          <c:dLbls>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false"/>
            <c:showVal val="true"/>
            <c:showCatName val="false"/>
            <c:showSerName val="false"/>
            <c:showPercent val="false"/>
            <c:showBubbleSize val="false"/>
            <c:showLeaderLines val="fals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[工作簿1]Sheet1!$A$6:$A$7</c:f>
              <c:strCache>
                <c:ptCount val="2"/>
                <c:pt idx="0">
                  <c:v>2022年一般公共预算财政拨款支出</c:v>
                </c:pt>
                <c:pt idx="1">
                  <c:v>2021年一般公共预算财政拨款支出</c:v>
                </c:pt>
              </c:strCache>
            </c:strRef>
          </c:cat>
          <c:val>
            <c:numRef>
              <c:f>[工作簿1]Sheet1!$B$6:$B$7</c:f>
              <c:numCache>
                <c:formatCode>General</c:formatCode>
                <c:ptCount val="2"/>
                <c:pt idx="0">
                  <c:v>3287.11</c:v>
                </c:pt>
                <c:pt idx="1">
                  <c:v>3194.58</c:v>
                </c:pt>
              </c:numCache>
            </c:numRef>
          </c:val>
        </c:ser>
        <c:dLbls>
          <c:showLegendKey val="false"/>
          <c:showVal val="true"/>
          <c:showCatName val="false"/>
          <c:showSerName val="false"/>
          <c:showPercent val="false"/>
          <c:showBubbleSize val="false"/>
        </c:dLbls>
        <c:gapWidth val="219"/>
        <c:overlap val="-27"/>
        <c:axId val="853519751"/>
        <c:axId val="447871327"/>
      </c:barChart>
      <c:catAx>
        <c:axId val="853519751"/>
        <c:scaling>
          <c:orientation val="minMax"/>
        </c:scaling>
        <c:delete val="false"/>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447871327"/>
        <c:crosses val="autoZero"/>
        <c:auto val="true"/>
        <c:lblAlgn val="ctr"/>
        <c:lblOffset val="100"/>
        <c:noMultiLvlLbl val="false"/>
      </c:catAx>
      <c:valAx>
        <c:axId val="447871327"/>
        <c:scaling>
          <c:orientation val="minMax"/>
        </c:scaling>
        <c:delete val="false"/>
        <c:axPos val="l"/>
        <c:majorGridlines>
          <c:spPr>
            <a:ln w="9525" cap="flat" cmpd="sng" algn="ctr">
              <a:solidFill>
                <a:schemeClr val="tx1">
                  <a:lumMod val="15000"/>
                  <a:lumOff val="85000"/>
                </a:schemeClr>
              </a:solidFill>
              <a:round/>
            </a:ln>
            <a:effectLst/>
          </c:spPr>
        </c:majorGridlines>
        <c:numFmt formatCode="General" sourceLinked="true"/>
        <c:majorTickMark val="none"/>
        <c:minorTickMark val="none"/>
        <c:tickLblPos val="nextTo"/>
        <c:spPr>
          <a:noFill/>
          <a:ln>
            <a:noFill/>
          </a:ln>
          <a:effectLst/>
        </c:spPr>
        <c:txPr>
          <a:bodyPr rot="-6000000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crossAx val="853519751"/>
        <c:crosses val="autoZero"/>
        <c:crossBetween val="between"/>
      </c:valAx>
      <c:spPr>
        <a:noFill/>
        <a:ln>
          <a:noFill/>
        </a:ln>
        <a:effectLst/>
      </c:spPr>
    </c:plotArea>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Pt>
            <c:idx val="3"/>
            <c:bubble3D val="false"/>
            <c:spPr>
              <a:solidFill>
                <a:schemeClr val="accent4"/>
              </a:solidFill>
              <a:ln w="19050">
                <a:solidFill>
                  <a:schemeClr val="lt1"/>
                </a:solidFill>
              </a:ln>
              <a:effectLst/>
            </c:spPr>
          </c:dPt>
          <c:dPt>
            <c:idx val="4"/>
            <c:bubble3D val="false"/>
            <c:spPr>
              <a:solidFill>
                <a:schemeClr val="accent5"/>
              </a:solidFill>
              <a:ln w="19050">
                <a:solidFill>
                  <a:schemeClr val="lt1"/>
                </a:solidFill>
              </a:ln>
              <a:effectLst/>
            </c:spPr>
          </c:dPt>
          <c:dLbls>
            <c:dLbl>
              <c:idx val="0"/>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8</a:t>
                    </a:r>
                    <a:r>
                      <a:rPr lang="en-US" altLang="zh-CN"/>
                      <a:t>7.79</a:t>
                    </a:r>
                    <a:r>
                      <a:t>%</a:t>
                    </a:r>
                  </a:p>
                </c:rich>
              </c:tx>
              <c:dLblPos val="bestFit"/>
              <c:showLegendKey val="true"/>
              <c:showVal val="false"/>
              <c:showCatName val="false"/>
              <c:showSerName val="false"/>
              <c:showPercent val="true"/>
              <c:showBubbleSize val="false"/>
              <c:extLst>
                <c:ext xmlns:c15="http://schemas.microsoft.com/office/drawing/2012/chart" uri="{CE6537A1-D6FC-4f65-9D91-7224C49458BB}"/>
              </c:extLst>
            </c:dLbl>
            <c:dLbl>
              <c:idx val="1"/>
              <c:layout>
                <c:manualLayout>
                  <c:x val="-0.0557864694279949"/>
                  <c:y val="0.0356953658673293"/>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4</a:t>
                    </a:r>
                    <a:r>
                      <a:rPr lang="en-US" altLang="zh-CN"/>
                      <a:t>.71</a:t>
                    </a:r>
                    <a:r>
                      <a:t>%</a:t>
                    </a:r>
                  </a:p>
                </c:rich>
              </c:tx>
              <c:dLblPos val="bestFit"/>
              <c:showLegendKey val="true"/>
              <c:showVal val="false"/>
              <c:showCatName val="false"/>
              <c:showSerName val="false"/>
              <c:showPercent val="true"/>
              <c:showBubbleSize val="false"/>
              <c:extLst>
                <c:ext xmlns:c15="http://schemas.microsoft.com/office/drawing/2012/chart" uri="{CE6537A1-D6FC-4f65-9D91-7224C49458BB}">
                  <c15:layout/>
                </c:ext>
              </c:extLst>
            </c:dLbl>
            <c:dLbl>
              <c:idx val="2"/>
              <c:layout>
                <c:manualLayout>
                  <c:x val="-0.0625781776205586"/>
                  <c:y val="-0.0404375704498495"/>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1.86</a:t>
                    </a:r>
                    <a:r>
                      <a:t>%</a:t>
                    </a:r>
                  </a:p>
                </c:rich>
              </c:tx>
              <c:dLblPos val="bestFit"/>
              <c:showLegendKey val="true"/>
              <c:showVal val="false"/>
              <c:showCatName val="false"/>
              <c:showSerName val="false"/>
              <c:showPercent val="true"/>
              <c:showBubbleSize val="false"/>
              <c:extLst>
                <c:ext xmlns:c15="http://schemas.microsoft.com/office/drawing/2012/chart" uri="{CE6537A1-D6FC-4f65-9D91-7224C49458BB}">
                  <c15:layout/>
                </c:ext>
              </c:extLst>
            </c:dLbl>
            <c:dLbl>
              <c:idx val="3"/>
              <c:layout>
                <c:manualLayout>
                  <c:x val="-0.0131732435068149"/>
                  <c:y val="-0.0402792328294371"/>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4.73</a:t>
                    </a:r>
                    <a:r>
                      <a:t>%</a:t>
                    </a:r>
                  </a:p>
                </c:rich>
              </c:tx>
              <c:dLblPos val="bestFit"/>
              <c:showLegendKey val="true"/>
              <c:showVal val="false"/>
              <c:showCatName val="false"/>
              <c:showSerName val="false"/>
              <c:showPercent val="true"/>
              <c:showBubbleSize val="false"/>
              <c:extLst>
                <c:ext xmlns:c15="http://schemas.microsoft.com/office/drawing/2012/chart" uri="{CE6537A1-D6FC-4f65-9D91-7224C49458BB}">
                  <c15:layout/>
                </c:ext>
              </c:extLst>
            </c:dLbl>
            <c:dLbl>
              <c:idx val="4"/>
              <c:layout>
                <c:manualLayout>
                  <c:x val="0.0529624221573606"/>
                  <c:y val="0.0257450047967572"/>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0.91</a:t>
                    </a:r>
                    <a:r>
                      <a:t>%</a:t>
                    </a:r>
                  </a:p>
                </c:rich>
              </c:tx>
              <c:dLblPos val="bestFit"/>
              <c:showLegendKey val="true"/>
              <c:showVal val="fals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true"/>
            <c:showVal val="fals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[工作簿1]Sheet1!$A$6:$A$10</c:f>
              <c:strCache>
                <c:ptCount val="5"/>
                <c:pt idx="0">
                  <c:v>一般公共服务支出</c:v>
                </c:pt>
                <c:pt idx="1">
                  <c:v>社会保障和就业支出</c:v>
                </c:pt>
                <c:pt idx="2">
                  <c:v>卫生健康支出</c:v>
                </c:pt>
                <c:pt idx="3">
                  <c:v>住房保障支出</c:v>
                </c:pt>
                <c:pt idx="4">
                  <c:v>其他支出</c:v>
                </c:pt>
              </c:strCache>
            </c:strRef>
          </c:cat>
          <c:val>
            <c:numRef>
              <c:f>[工作簿1]Sheet1!$B$6:$B$10</c:f>
              <c:numCache>
                <c:formatCode>General</c:formatCode>
                <c:ptCount val="5"/>
                <c:pt idx="0">
                  <c:v>2885.69</c:v>
                </c:pt>
                <c:pt idx="1">
                  <c:v>154.92</c:v>
                </c:pt>
                <c:pt idx="2">
                  <c:v>61.12</c:v>
                </c:pt>
                <c:pt idx="3">
                  <c:v>155.58</c:v>
                </c:pt>
                <c:pt idx="4">
                  <c:v>29.8</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r"/>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false"/>
  <c:lang val="zh-CN"/>
  <c:roundedCorners val="false"/>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true"/>
          <a:lstStyle/>
          <a:p>
            <a:pPr defTabSz="914400">
              <a:defRPr lang="zh-CN" sz="1400" b="0" i="0" u="none" strike="noStrike" kern="1200" spc="0" baseline="0">
                <a:solidFill>
                  <a:schemeClr val="tx1">
                    <a:lumMod val="65000"/>
                    <a:lumOff val="35000"/>
                  </a:schemeClr>
                </a:solidFill>
                <a:latin typeface="+mn-lt"/>
                <a:ea typeface="+mn-ea"/>
                <a:cs typeface="+mn-cs"/>
              </a:defRPr>
            </a:pPr>
            <a:r>
              <a:t>“三公”经费财政拨款支出结构</a:t>
            </a:r>
          </a:p>
        </c:rich>
      </c:tx>
      <c:layout/>
      <c:overlay val="false"/>
      <c:spPr>
        <a:noFill/>
        <a:ln>
          <a:noFill/>
        </a:ln>
        <a:effectLst/>
      </c:spPr>
    </c:title>
    <c:autoTitleDeleted val="false"/>
    <c:plotArea>
      <c:layout/>
      <c:pieChart>
        <c:varyColors val="true"/>
        <c:ser>
          <c:idx val="0"/>
          <c:order val="0"/>
          <c:spPr/>
          <c:explosion val="0"/>
          <c:dPt>
            <c:idx val="0"/>
            <c:bubble3D val="false"/>
            <c:spPr>
              <a:solidFill>
                <a:schemeClr val="accent1"/>
              </a:solidFill>
              <a:ln w="19050">
                <a:solidFill>
                  <a:schemeClr val="lt1"/>
                </a:solidFill>
              </a:ln>
              <a:effectLst/>
            </c:spPr>
          </c:dPt>
          <c:dPt>
            <c:idx val="1"/>
            <c:bubble3D val="false"/>
            <c:spPr>
              <a:solidFill>
                <a:schemeClr val="accent2"/>
              </a:solidFill>
              <a:ln w="19050">
                <a:solidFill>
                  <a:schemeClr val="lt1"/>
                </a:solidFill>
              </a:ln>
              <a:effectLst/>
            </c:spPr>
          </c:dPt>
          <c:dPt>
            <c:idx val="2"/>
            <c:bubble3D val="false"/>
            <c:spPr>
              <a:solidFill>
                <a:schemeClr val="accent3"/>
              </a:solidFill>
              <a:ln w="19050">
                <a:solidFill>
                  <a:schemeClr val="lt1"/>
                </a:solidFill>
              </a:ln>
              <a:effectLst/>
            </c:spPr>
          </c:dPt>
          <c:dLbls>
            <c:dLbl>
              <c:idx val="0"/>
              <c:layout>
                <c:manualLayout>
                  <c:x val="0.0708333333333333"/>
                  <c:y val="0.0138888888888889"/>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 0%</a:t>
                    </a:r>
                  </a:p>
                </c:rich>
              </c:tx>
              <c:dLblPos val="bestFit"/>
              <c:showLegendKey val="true"/>
              <c:showVal val="true"/>
              <c:showCatName val="false"/>
              <c:showSerName val="false"/>
              <c:showPercent val="true"/>
              <c:showBubbleSize val="false"/>
              <c:extLst>
                <c:ext xmlns:c15="http://schemas.microsoft.com/office/drawing/2012/chart" uri="{CE6537A1-D6FC-4f65-9D91-7224C49458BB}">
                  <c15:layout/>
                </c:ext>
              </c:extLst>
            </c:dLbl>
            <c:dLbl>
              <c:idx val="1"/>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rPr lang="en-US" altLang="zh-CN"/>
                      <a:t>92.4</a:t>
                    </a:r>
                    <a:r>
                      <a:t>%</a:t>
                    </a:r>
                  </a:p>
                </c:rich>
              </c:tx>
              <c:dLblPos val="bestFit"/>
              <c:showLegendKey val="true"/>
              <c:showVal val="true"/>
              <c:showCatName val="false"/>
              <c:showSerName val="false"/>
              <c:showPercent val="true"/>
              <c:showBubbleSize val="false"/>
              <c:extLst>
                <c:ext xmlns:c15="http://schemas.microsoft.com/office/drawing/2012/chart" uri="{CE6537A1-D6FC-4f65-9D91-7224C49458BB}"/>
              </c:extLst>
            </c:dLbl>
            <c:dLbl>
              <c:idx val="2"/>
              <c:layout>
                <c:manualLayout>
                  <c:x val="-0.0731725160989974"/>
                  <c:y val="0.0395631818880131"/>
                </c:manualLayout>
              </c:layout>
              <c:tx>
                <c:rich>
                  <a:bodyPr rot="0" spcFirstLastPara="0" vertOverflow="ellipsis" vert="horz" wrap="square" lIns="38100" tIns="19050" rIns="38100" bIns="19050" anchor="ctr" anchorCtr="true"/>
                  <a:lstStyle/>
                  <a:p>
                    <a:pPr defTabSz="914400">
                      <a:defRPr lang="zh-CN" sz="900" b="0" i="0" u="none" strike="noStrike" kern="1200" baseline="0">
                        <a:solidFill>
                          <a:schemeClr val="tx1">
                            <a:lumMod val="75000"/>
                            <a:lumOff val="25000"/>
                          </a:schemeClr>
                        </a:solidFill>
                        <a:latin typeface="+mn-lt"/>
                        <a:ea typeface="+mn-ea"/>
                        <a:cs typeface="+mn-cs"/>
                      </a:defRPr>
                    </a:pPr>
                    <a:r>
                      <a:t> </a:t>
                    </a:r>
                    <a:r>
                      <a:rPr lang="en-US" altLang="zh-CN"/>
                      <a:t>7.6</a:t>
                    </a:r>
                    <a:r>
                      <a:t>%</a:t>
                    </a:r>
                  </a:p>
                </c:rich>
              </c:tx>
              <c:dLblPos val="bestFit"/>
              <c:showLegendKey val="true"/>
              <c:showVal val="true"/>
              <c:showCatName val="false"/>
              <c:showSerName val="false"/>
              <c:showPercent val="true"/>
              <c:showBubbleSize val="false"/>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true"/>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true"/>
            <c:showVal val="true"/>
            <c:showCatName val="false"/>
            <c:showSerName val="false"/>
            <c:showPercent val="true"/>
            <c:showBubbleSize val="false"/>
            <c:showLeaderLines val="true"/>
            <c:extLst>
              <c:ext xmlns:c15="http://schemas.microsoft.com/office/drawing/2012/chart" uri="{CE6537A1-D6FC-4f65-9D91-7224C49458BB}">
                <c15:layout/>
                <c15:showLeaderLines val="true"/>
                <c15:leaderLines>
                  <c:spPr>
                    <a:ln w="9525" cap="flat" cmpd="sng" algn="ctr">
                      <a:solidFill>
                        <a:schemeClr val="tx1">
                          <a:lumMod val="35000"/>
                          <a:lumOff val="65000"/>
                        </a:schemeClr>
                      </a:solidFill>
                      <a:round/>
                    </a:ln>
                    <a:effectLst/>
                  </c:spPr>
                </c15:leaderLines>
              </c:ext>
            </c:extLst>
          </c:dLbls>
          <c:cat>
            <c:strRef>
              <c:f>[工作簿1]Sheet1!$A$5:$A$7</c:f>
              <c:strCache>
                <c:ptCount val="3"/>
                <c:pt idx="0">
                  <c:v>因公出国（境）费支出</c:v>
                </c:pt>
                <c:pt idx="1">
                  <c:v>公务用车购置及运行维护费支出</c:v>
                </c:pt>
                <c:pt idx="2">
                  <c:v>公务接待费支出</c:v>
                </c:pt>
              </c:strCache>
            </c:strRef>
          </c:cat>
          <c:val>
            <c:numRef>
              <c:f>[工作簿1]Sheet1!$B$5:$B$7</c:f>
              <c:numCache>
                <c:formatCode>General</c:formatCode>
                <c:ptCount val="3"/>
                <c:pt idx="0">
                  <c:v>0</c:v>
                </c:pt>
                <c:pt idx="1">
                  <c:v>16.06</c:v>
                </c:pt>
                <c:pt idx="2">
                  <c:v>1.32</c:v>
                </c:pt>
              </c:numCache>
            </c:numRef>
          </c:val>
        </c:ser>
        <c:dLbls>
          <c:showLegendKey val="false"/>
          <c:showVal val="true"/>
          <c:showCatName val="false"/>
          <c:showSerName val="false"/>
          <c:showPercent val="false"/>
          <c:showBubbleSize val="false"/>
          <c:showLeaderLines val="true"/>
        </c:dLbls>
        <c:firstSliceAng val="0"/>
      </c:pieChart>
      <c:spPr>
        <a:noFill/>
        <a:ln>
          <a:noFill/>
        </a:ln>
        <a:effectLst/>
      </c:spPr>
    </c:plotArea>
    <c:legend>
      <c:legendPos val="b"/>
      <c:layout/>
      <c:overlay val="false"/>
      <c:spPr>
        <a:noFill/>
        <a:ln>
          <a:noFill/>
        </a:ln>
        <a:effectLst/>
      </c:spPr>
      <c:txPr>
        <a:bodyPr rot="0" spcFirstLastPara="0" vertOverflow="ellipsis" vert="horz" wrap="square" anchor="ctr" anchorCtr="true"/>
        <a:lstStyle/>
        <a:p>
          <a:pPr>
            <a:defRPr lang="zh-CN" sz="900" b="0" i="0" u="none" strike="noStrike" kern="1200" baseline="0">
              <a:solidFill>
                <a:schemeClr val="tx1">
                  <a:lumMod val="65000"/>
                  <a:lumOff val="35000"/>
                </a:schemeClr>
              </a:solidFill>
              <a:latin typeface="+mn-lt"/>
              <a:ea typeface="+mn-ea"/>
              <a:cs typeface="+mn-cs"/>
            </a:defRPr>
          </a:pPr>
        </a:p>
      </c:txPr>
    </c:legend>
    <c:plotVisOnly val="true"/>
    <c:dispBlanksAs val="gap"/>
    <c:showDLblsOverMax val="false"/>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false"/>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true">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四川省财政厅</Company>
  <Pages>24</Pages>
  <Words>1299</Words>
  <Characters>7410</Characters>
  <Lines>61</Lines>
  <Paragraphs>17</Paragraphs>
  <TotalTime>1</TotalTime>
  <ScaleCrop>false</ScaleCrop>
  <LinksUpToDate>false</LinksUpToDate>
  <CharactersWithSpaces>8692</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2020-08-09T01:49:00Z</dcterms:created>
  <dc:creator>曹颖</dc:creator>
  <cp:lastModifiedBy> </cp:lastModifiedBy>
  <cp:lastPrinted>2023-08-04T02:35:00Z</cp:lastPrinted>
  <dcterms:modified xsi:type="dcterms:W3CDTF">2023-09-21T09:08:09Z</dcterms:modified>
  <dc:title>四川省***</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1BF328E4FCBC46E183310AF8D9815CC9</vt:lpwstr>
  </property>
</Properties>
</file>