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7193"/>
      <w:bookmarkStart w:id="2" w:name="_Toc15396597"/>
      <w:bookmarkStart w:id="3" w:name="_Toc15378441"/>
      <w:bookmarkStart w:id="4" w:name="_Toc15396475"/>
      <w:bookmarkStart w:id="5" w:name="_Toc15377425"/>
      <w:r>
        <w:rPr>
          <w:rFonts w:hint="eastAsia" w:ascii="方正小标宋简体" w:hAnsi="方正小标宋简体" w:eastAsia="方正小标宋简体" w:cs="方正小标宋简体"/>
          <w:sz w:val="72"/>
          <w:szCs w:val="72"/>
        </w:rPr>
        <w:t>2021年度</w:t>
      </w:r>
      <w:bookmarkEnd w:id="1"/>
      <w:bookmarkEnd w:id="2"/>
      <w:bookmarkEnd w:id="3"/>
      <w:bookmarkEnd w:id="4"/>
      <w:bookmarkEnd w:id="5"/>
    </w:p>
    <w:p>
      <w:pPr>
        <w:adjustRightInd w:val="0"/>
        <w:snapToGrid w:val="0"/>
        <w:spacing w:line="360" w:lineRule="auto"/>
        <w:jc w:val="center"/>
        <w:outlineLvl w:val="0"/>
        <w:rPr>
          <w:rFonts w:ascii="方正小标宋简体" w:hAnsi="方正小标宋简体" w:eastAsia="方正小标宋简体" w:cs="方正小标宋简体"/>
          <w:sz w:val="68"/>
          <w:szCs w:val="68"/>
        </w:rPr>
      </w:pPr>
      <w:bookmarkStart w:id="6" w:name="_Toc15396476"/>
      <w:bookmarkStart w:id="7" w:name="_Toc15378442"/>
      <w:bookmarkStart w:id="8" w:name="_Toc15377426"/>
      <w:bookmarkStart w:id="9" w:name="_Toc15396598"/>
      <w:bookmarkStart w:id="10" w:name="_Toc15377194"/>
      <w:r>
        <w:rPr>
          <w:rFonts w:hint="eastAsia" w:ascii="方正小标宋简体" w:hAnsi="方正小标宋简体" w:eastAsia="方正小标宋简体" w:cs="方正小标宋简体"/>
          <w:sz w:val="68"/>
          <w:szCs w:val="68"/>
        </w:rPr>
        <w:t>广元市</w:t>
      </w:r>
      <w:bookmarkEnd w:id="0"/>
      <w:bookmarkStart w:id="11" w:name="_Toc15306268"/>
      <w:r>
        <w:rPr>
          <w:rFonts w:hint="eastAsia" w:ascii="方正小标宋简体" w:hAnsi="方正小标宋简体" w:eastAsia="方正小标宋简体" w:cs="方正小标宋简体"/>
          <w:sz w:val="68"/>
          <w:szCs w:val="68"/>
        </w:rPr>
        <w:t>军队离退休干部休养所单位决算</w:t>
      </w:r>
      <w:bookmarkEnd w:id="6"/>
      <w:bookmarkEnd w:id="7"/>
      <w:bookmarkEnd w:id="8"/>
      <w:bookmarkEnd w:id="9"/>
      <w:bookmarkEnd w:id="10"/>
      <w:bookmarkEnd w:id="11"/>
    </w:p>
    <w:p>
      <w:pPr>
        <w:widowControl/>
        <w:jc w:val="center"/>
        <w:rPr>
          <w:rFonts w:ascii="方正小标宋简体" w:hAnsi="宋体" w:eastAsia="方正小标宋简体"/>
          <w:sz w:val="36"/>
          <w:szCs w:val="36"/>
        </w:rPr>
        <w:sectPr>
          <w:headerReference r:id="rId3" w:type="default"/>
          <w:footerReference r:id="rId4" w:type="default"/>
          <w:footerReference r:id="rId5" w:type="even"/>
          <w:pgSz w:w="11906" w:h="16838"/>
          <w:pgMar w:top="2098" w:right="1474" w:bottom="1985" w:left="1588" w:header="851" w:footer="1588" w:gutter="0"/>
          <w:pgNumType w:start="1"/>
          <w:cols w:space="425" w:num="1"/>
          <w:titlePg/>
          <w:docGrid w:type="lines" w:linePitch="312" w:charSpace="0"/>
        </w:sectPr>
      </w:pPr>
    </w:p>
    <w:p>
      <w:pPr>
        <w:widowControl/>
        <w:jc w:val="center"/>
        <w:rPr>
          <w:rFonts w:ascii="黑体" w:hAnsi="黑体" w:eastAsia="黑体"/>
          <w:sz w:val="48"/>
          <w:szCs w:val="48"/>
        </w:rPr>
      </w:pP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0"/>
      </w:pPr>
      <w:r>
        <w:rPr>
          <w:rFonts w:hint="eastAsia"/>
        </w:rPr>
        <w:t>公开时间：2022年10月10日</w:t>
      </w:r>
    </w:p>
    <w:p/>
    <w:p>
      <w:pPr>
        <w:pStyle w:val="10"/>
        <w:adjustRightInd w:val="0"/>
        <w:snapToGrid w:val="0"/>
        <w:spacing w:before="0" w:line="440" w:lineRule="exact"/>
        <w:ind w:left="900" w:hanging="480"/>
        <w:jc w:val="distribute"/>
        <w:rPr>
          <w:rFonts w:cstheme="minorBidi"/>
          <w:sz w:val="24"/>
          <w:szCs w:val="24"/>
        </w:rPr>
      </w:pPr>
      <w:r>
        <w:rPr>
          <w:rFonts w:hint="eastAsia"/>
          <w:sz w:val="24"/>
        </w:rPr>
        <w:t>第一部分</w:t>
      </w:r>
      <w:r>
        <w:rPr>
          <w:sz w:val="24"/>
        </w:rPr>
        <w:t xml:space="preserve"> </w:t>
      </w:r>
      <w:r>
        <w:rPr>
          <w:rFonts w:hint="eastAsia"/>
          <w:sz w:val="24"/>
        </w:rPr>
        <w:t>单位概况……………………………………………………………………1</w:t>
      </w:r>
    </w:p>
    <w:p>
      <w:pPr>
        <w:pStyle w:val="12"/>
        <w:adjustRightInd w:val="0"/>
        <w:snapToGrid w:val="0"/>
        <w:spacing w:before="93" w:line="440" w:lineRule="exact"/>
        <w:jc w:val="distribute"/>
        <w:rPr>
          <w:sz w:val="24"/>
        </w:rPr>
      </w:pPr>
      <w:r>
        <w:rPr>
          <w:rFonts w:hint="eastAsia"/>
          <w:sz w:val="24"/>
        </w:rPr>
        <w:t>一、职能简介…………………………………………………………………………1</w:t>
      </w:r>
    </w:p>
    <w:p>
      <w:pPr>
        <w:pStyle w:val="12"/>
        <w:adjustRightInd w:val="0"/>
        <w:snapToGrid w:val="0"/>
        <w:spacing w:before="93" w:line="440" w:lineRule="exact"/>
        <w:jc w:val="distribute"/>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二、2021年重点工作完成情况………………………………………………1</w:t>
      </w:r>
    </w:p>
    <w:p>
      <w:pPr>
        <w:pStyle w:val="12"/>
        <w:adjustRightInd w:val="0"/>
        <w:snapToGrid w:val="0"/>
        <w:spacing w:before="93" w:line="440" w:lineRule="exact"/>
        <w:jc w:val="distribute"/>
        <w:rPr>
          <w:rFonts w:hint="default" w:eastAsiaTheme="minorEastAsia"/>
          <w:lang w:val="en-US" w:eastAsia="zh-CN"/>
        </w:rPr>
      </w:pPr>
      <w:r>
        <w:rPr>
          <w:rFonts w:hint="eastAsia" w:asciiTheme="minorEastAsia" w:hAnsiTheme="minorEastAsia" w:eastAsiaTheme="minorEastAsia" w:cstheme="minorEastAsia"/>
          <w:sz w:val="24"/>
          <w:lang w:eastAsia="zh-CN"/>
        </w:rPr>
        <w:t>三、机构设置</w:t>
      </w:r>
      <w:r>
        <w:rPr>
          <w:rFonts w:hint="eastAsia"/>
          <w:sz w:val="24"/>
        </w:rPr>
        <w:t>…………………………………………………………………………</w:t>
      </w:r>
      <w:r>
        <w:rPr>
          <w:rFonts w:hint="eastAsia" w:asciiTheme="minorEastAsia" w:hAnsiTheme="minorEastAsia" w:eastAsiaTheme="minorEastAsia" w:cstheme="minorEastAsia"/>
          <w:sz w:val="24"/>
          <w:lang w:val="en-US" w:eastAsia="zh-CN"/>
        </w:rPr>
        <w:t>4</w:t>
      </w:r>
    </w:p>
    <w:p>
      <w:pPr>
        <w:pStyle w:val="10"/>
        <w:adjustRightInd w:val="0"/>
        <w:snapToGrid w:val="0"/>
        <w:spacing w:before="0" w:line="440" w:lineRule="exact"/>
        <w:ind w:left="900" w:hanging="480"/>
        <w:jc w:val="distribute"/>
        <w:rPr>
          <w:sz w:val="24"/>
          <w:szCs w:val="24"/>
        </w:rPr>
      </w:pPr>
      <w:r>
        <w:rPr>
          <w:rFonts w:hint="eastAsia"/>
          <w:sz w:val="24"/>
        </w:rPr>
        <w:t>第二部分 2021年度单位决算情况说明……………………………………………5</w:t>
      </w:r>
    </w:p>
    <w:p>
      <w:pPr>
        <w:pStyle w:val="12"/>
        <w:adjustRightInd w:val="0"/>
        <w:snapToGrid w:val="0"/>
        <w:spacing w:before="93" w:line="440" w:lineRule="exact"/>
        <w:jc w:val="distribute"/>
        <w:rPr>
          <w:rFonts w:ascii="仿宋" w:hAnsi="仿宋" w:eastAsia="仿宋" w:cstheme="minorBidi"/>
          <w:sz w:val="24"/>
        </w:rPr>
      </w:pPr>
      <w:r>
        <w:rPr>
          <w:rFonts w:hint="eastAsia"/>
          <w:sz w:val="24"/>
        </w:rPr>
        <w:t>一、收入支出决算总体情况说明……………………………………………………5</w:t>
      </w:r>
    </w:p>
    <w:p>
      <w:pPr>
        <w:pStyle w:val="12"/>
        <w:adjustRightInd w:val="0"/>
        <w:snapToGrid w:val="0"/>
        <w:spacing w:before="93" w:line="440" w:lineRule="exact"/>
        <w:jc w:val="distribute"/>
        <w:rPr>
          <w:rFonts w:ascii="仿宋" w:hAnsi="仿宋" w:eastAsia="仿宋" w:cstheme="minorBidi"/>
          <w:sz w:val="24"/>
        </w:rPr>
      </w:pPr>
      <w:r>
        <w:rPr>
          <w:rFonts w:hint="eastAsia"/>
          <w:sz w:val="24"/>
        </w:rPr>
        <w:t>二、收入决算情况说明………………………………………………………………5</w:t>
      </w:r>
    </w:p>
    <w:p>
      <w:pPr>
        <w:pStyle w:val="12"/>
        <w:adjustRightInd w:val="0"/>
        <w:snapToGrid w:val="0"/>
        <w:spacing w:before="93" w:line="440" w:lineRule="exact"/>
        <w:jc w:val="distribute"/>
        <w:rPr>
          <w:rFonts w:ascii="仿宋" w:hAnsi="仿宋" w:eastAsia="仿宋" w:cstheme="minorBidi"/>
          <w:sz w:val="24"/>
        </w:rPr>
      </w:pPr>
      <w:r>
        <w:rPr>
          <w:rFonts w:hint="eastAsia"/>
          <w:sz w:val="24"/>
        </w:rPr>
        <w:t>三、支出决算情况说明………………………………………………………………6</w:t>
      </w:r>
    </w:p>
    <w:p>
      <w:pPr>
        <w:pStyle w:val="12"/>
        <w:adjustRightInd w:val="0"/>
        <w:snapToGrid w:val="0"/>
        <w:spacing w:before="93" w:line="440" w:lineRule="exact"/>
        <w:jc w:val="distribute"/>
        <w:rPr>
          <w:rFonts w:hint="eastAsia" w:ascii="仿宋" w:hAnsi="仿宋" w:eastAsia="宋体" w:cstheme="minorBidi"/>
          <w:sz w:val="24"/>
          <w:lang w:eastAsia="zh-CN"/>
        </w:rPr>
      </w:pPr>
      <w:r>
        <w:rPr>
          <w:rFonts w:hint="eastAsia"/>
          <w:sz w:val="24"/>
        </w:rPr>
        <w:t>四、财政拨款收入支出决算总体情况说明…………………………………………</w:t>
      </w:r>
      <w:r>
        <w:rPr>
          <w:rFonts w:hint="eastAsia"/>
          <w:sz w:val="24"/>
          <w:lang w:val="en-US" w:eastAsia="zh-CN"/>
        </w:rPr>
        <w:t>6</w:t>
      </w:r>
    </w:p>
    <w:p>
      <w:pPr>
        <w:pStyle w:val="12"/>
        <w:adjustRightInd w:val="0"/>
        <w:snapToGrid w:val="0"/>
        <w:spacing w:before="93" w:line="440" w:lineRule="exact"/>
        <w:jc w:val="distribute"/>
        <w:rPr>
          <w:rFonts w:hint="eastAsia" w:ascii="仿宋" w:hAnsi="仿宋" w:eastAsia="宋体" w:cstheme="minorBidi"/>
          <w:sz w:val="24"/>
          <w:lang w:eastAsia="zh-CN"/>
        </w:rPr>
      </w:pPr>
      <w:r>
        <w:rPr>
          <w:rFonts w:hint="eastAsia"/>
          <w:sz w:val="24"/>
        </w:rPr>
        <w:t>五、一般公共预算财政拨款支出决算情况说明……………………………………</w:t>
      </w:r>
      <w:r>
        <w:rPr>
          <w:rFonts w:hint="eastAsia"/>
          <w:sz w:val="24"/>
          <w:lang w:val="en-US" w:eastAsia="zh-CN"/>
        </w:rPr>
        <w:t>7</w:t>
      </w:r>
    </w:p>
    <w:p>
      <w:pPr>
        <w:pStyle w:val="12"/>
        <w:adjustRightInd w:val="0"/>
        <w:snapToGrid w:val="0"/>
        <w:spacing w:before="93" w:line="440" w:lineRule="exact"/>
        <w:jc w:val="distribute"/>
        <w:rPr>
          <w:rFonts w:hint="eastAsia" w:ascii="仿宋" w:hAnsi="仿宋" w:eastAsia="宋体" w:cstheme="minorBidi"/>
          <w:sz w:val="24"/>
          <w:lang w:eastAsia="zh-CN"/>
        </w:rPr>
      </w:pPr>
      <w:r>
        <w:rPr>
          <w:rFonts w:hint="eastAsia"/>
          <w:sz w:val="24"/>
        </w:rPr>
        <w:t>六、一般公共预算财政拨款基本支出决算情况说明………………………………</w:t>
      </w:r>
      <w:r>
        <w:rPr>
          <w:rFonts w:hint="eastAsia"/>
          <w:sz w:val="24"/>
          <w:lang w:val="en-US" w:eastAsia="zh-CN"/>
        </w:rPr>
        <w:t>9</w:t>
      </w:r>
    </w:p>
    <w:p>
      <w:pPr>
        <w:pStyle w:val="12"/>
        <w:adjustRightInd w:val="0"/>
        <w:snapToGrid w:val="0"/>
        <w:spacing w:before="93" w:line="440" w:lineRule="exact"/>
        <w:jc w:val="distribute"/>
        <w:rPr>
          <w:rFonts w:hint="eastAsia" w:ascii="仿宋" w:hAnsi="仿宋" w:eastAsia="宋体" w:cstheme="minorBidi"/>
          <w:sz w:val="24"/>
          <w:lang w:eastAsia="zh-CN"/>
        </w:rPr>
      </w:pPr>
      <w:r>
        <w:rPr>
          <w:rFonts w:hint="eastAsia"/>
          <w:sz w:val="24"/>
        </w:rPr>
        <w:t>七、“三公”经费财政拨款支出决算情况说明……………………………………1</w:t>
      </w:r>
      <w:r>
        <w:rPr>
          <w:rFonts w:hint="eastAsia"/>
          <w:sz w:val="24"/>
          <w:lang w:val="en-US" w:eastAsia="zh-CN"/>
        </w:rPr>
        <w:t>0</w:t>
      </w:r>
    </w:p>
    <w:p>
      <w:pPr>
        <w:pStyle w:val="12"/>
        <w:adjustRightInd w:val="0"/>
        <w:snapToGrid w:val="0"/>
        <w:spacing w:before="93" w:line="440" w:lineRule="exact"/>
        <w:jc w:val="distribute"/>
        <w:rPr>
          <w:rFonts w:hint="eastAsia" w:ascii="仿宋" w:hAnsi="仿宋" w:eastAsia="宋体" w:cstheme="minorBidi"/>
          <w:sz w:val="24"/>
          <w:lang w:eastAsia="zh-CN"/>
        </w:rPr>
      </w:pPr>
      <w:r>
        <w:rPr>
          <w:rFonts w:hint="eastAsia"/>
          <w:sz w:val="24"/>
        </w:rPr>
        <w:t>八、政府性基金预算支出决算情况说明……………………………………………1</w:t>
      </w:r>
      <w:r>
        <w:rPr>
          <w:rFonts w:hint="eastAsia"/>
          <w:sz w:val="24"/>
          <w:lang w:val="en-US" w:eastAsia="zh-CN"/>
        </w:rPr>
        <w:t>2</w:t>
      </w:r>
    </w:p>
    <w:p>
      <w:pPr>
        <w:pStyle w:val="12"/>
        <w:adjustRightInd w:val="0"/>
        <w:snapToGrid w:val="0"/>
        <w:spacing w:before="93" w:line="440" w:lineRule="exact"/>
        <w:jc w:val="distribute"/>
        <w:rPr>
          <w:rFonts w:hint="eastAsia" w:eastAsia="宋体"/>
          <w:sz w:val="24"/>
          <w:lang w:eastAsia="zh-CN"/>
        </w:rPr>
      </w:pPr>
      <w:r>
        <w:rPr>
          <w:rFonts w:hint="eastAsia"/>
          <w:sz w:val="24"/>
        </w:rPr>
        <w:t>九、国有资本经营预算支出决算情况说明…………………………………………1</w:t>
      </w:r>
      <w:r>
        <w:rPr>
          <w:rFonts w:hint="eastAsia"/>
          <w:sz w:val="24"/>
          <w:lang w:val="en-US" w:eastAsia="zh-CN"/>
        </w:rPr>
        <w:t>2</w:t>
      </w:r>
    </w:p>
    <w:p>
      <w:pPr>
        <w:pStyle w:val="12"/>
        <w:adjustRightInd w:val="0"/>
        <w:snapToGrid w:val="0"/>
        <w:spacing w:before="93" w:line="440" w:lineRule="exact"/>
        <w:jc w:val="distribute"/>
        <w:rPr>
          <w:rFonts w:hint="eastAsia" w:eastAsiaTheme="minorEastAsia"/>
          <w:lang w:eastAsia="zh-CN"/>
        </w:rPr>
      </w:pPr>
      <w:r>
        <w:rPr>
          <w:rFonts w:hint="eastAsia"/>
          <w:sz w:val="24"/>
        </w:rPr>
        <w:t>十、</w:t>
      </w:r>
      <w:r>
        <w:rPr>
          <w:rFonts w:hint="eastAsia" w:asciiTheme="minorEastAsia" w:hAnsiTheme="minorEastAsia" w:eastAsiaTheme="minorEastAsia" w:cstheme="minorEastAsia"/>
          <w:sz w:val="24"/>
        </w:rPr>
        <w:t>预算绩效管理情况………………………………………………………………1</w:t>
      </w:r>
      <w:r>
        <w:rPr>
          <w:rFonts w:hint="eastAsia" w:asciiTheme="minorEastAsia" w:hAnsiTheme="minorEastAsia" w:eastAsiaTheme="minorEastAsia" w:cstheme="minorEastAsia"/>
          <w:sz w:val="24"/>
          <w:lang w:val="en-US" w:eastAsia="zh-CN"/>
        </w:rPr>
        <w:t>2</w:t>
      </w:r>
    </w:p>
    <w:p>
      <w:pPr>
        <w:pStyle w:val="12"/>
        <w:adjustRightInd w:val="0"/>
        <w:snapToGrid w:val="0"/>
        <w:spacing w:before="93" w:line="440" w:lineRule="exact"/>
        <w:jc w:val="distribute"/>
        <w:rPr>
          <w:rFonts w:hint="eastAsia" w:eastAsia="宋体"/>
          <w:lang w:eastAsia="zh-CN"/>
        </w:rPr>
      </w:pPr>
      <w:r>
        <w:rPr>
          <w:rFonts w:hint="eastAsia"/>
          <w:sz w:val="24"/>
        </w:rPr>
        <w:t>十一、其他重要事项的情况说明……………………………………………………1</w:t>
      </w:r>
      <w:r>
        <w:rPr>
          <w:rFonts w:hint="eastAsia"/>
          <w:sz w:val="24"/>
          <w:lang w:val="en-US" w:eastAsia="zh-CN"/>
        </w:rPr>
        <w:t>3</w:t>
      </w:r>
    </w:p>
    <w:p>
      <w:pPr>
        <w:pStyle w:val="10"/>
        <w:adjustRightInd w:val="0"/>
        <w:snapToGrid w:val="0"/>
        <w:spacing w:before="0" w:line="440" w:lineRule="exact"/>
        <w:ind w:left="900" w:hanging="480"/>
        <w:jc w:val="distribute"/>
        <w:rPr>
          <w:rFonts w:hint="eastAsia" w:eastAsia="仿宋" w:cstheme="minorBidi"/>
          <w:sz w:val="24"/>
          <w:szCs w:val="24"/>
          <w:lang w:eastAsia="zh-CN"/>
        </w:rPr>
      </w:pPr>
      <w:r>
        <w:rPr>
          <w:rFonts w:hint="eastAsia"/>
          <w:sz w:val="24"/>
        </w:rPr>
        <w:t>第三部分</w:t>
      </w:r>
      <w:r>
        <w:rPr>
          <w:sz w:val="24"/>
        </w:rPr>
        <w:t xml:space="preserve"> </w:t>
      </w:r>
      <w:r>
        <w:rPr>
          <w:rFonts w:hint="eastAsia"/>
          <w:sz w:val="24"/>
        </w:rPr>
        <w:t>名词解释…………………………………………………………………1</w:t>
      </w:r>
      <w:r>
        <w:rPr>
          <w:rFonts w:hint="eastAsia"/>
          <w:sz w:val="24"/>
          <w:lang w:val="en-US" w:eastAsia="zh-CN"/>
        </w:rPr>
        <w:t>4</w:t>
      </w:r>
    </w:p>
    <w:p>
      <w:pPr>
        <w:pStyle w:val="10"/>
        <w:adjustRightInd w:val="0"/>
        <w:snapToGrid w:val="0"/>
        <w:spacing w:before="0" w:line="440" w:lineRule="exact"/>
        <w:ind w:left="900" w:hanging="480"/>
        <w:jc w:val="distribute"/>
        <w:rPr>
          <w:rFonts w:hint="eastAsia" w:eastAsia="仿宋" w:cstheme="minorBidi"/>
          <w:sz w:val="24"/>
          <w:szCs w:val="24"/>
          <w:lang w:eastAsia="zh-CN"/>
        </w:rPr>
      </w:pPr>
      <w:r>
        <w:rPr>
          <w:rFonts w:hint="eastAsia"/>
          <w:sz w:val="24"/>
        </w:rPr>
        <w:t>第四部分</w:t>
      </w:r>
      <w:r>
        <w:rPr>
          <w:sz w:val="24"/>
        </w:rPr>
        <w:t xml:space="preserve"> </w:t>
      </w:r>
      <w:r>
        <w:rPr>
          <w:rFonts w:hint="eastAsia"/>
          <w:sz w:val="24"/>
        </w:rPr>
        <w:t>附件………………………………………………………………………1</w:t>
      </w:r>
      <w:r>
        <w:rPr>
          <w:rFonts w:hint="eastAsia"/>
          <w:sz w:val="24"/>
          <w:lang w:val="en-US" w:eastAsia="zh-CN"/>
        </w:rPr>
        <w:t>6</w:t>
      </w:r>
    </w:p>
    <w:p>
      <w:pPr>
        <w:pStyle w:val="12"/>
        <w:adjustRightInd w:val="0"/>
        <w:snapToGrid w:val="0"/>
        <w:spacing w:before="93" w:line="440" w:lineRule="exact"/>
        <w:jc w:val="left"/>
        <w:rPr>
          <w:rFonts w:hint="eastAsia" w:eastAsia="宋体"/>
          <w:sz w:val="24"/>
          <w:lang w:val="en-US" w:eastAsia="zh-CN"/>
        </w:rPr>
      </w:pPr>
      <w:r>
        <w:rPr>
          <w:rFonts w:hint="eastAsia"/>
          <w:sz w:val="24"/>
        </w:rPr>
        <w:t>第五部分</w:t>
      </w:r>
      <w:r>
        <w:rPr>
          <w:sz w:val="24"/>
        </w:rPr>
        <w:t xml:space="preserve"> </w:t>
      </w:r>
      <w:r>
        <w:rPr>
          <w:rFonts w:hint="eastAsia"/>
          <w:sz w:val="24"/>
        </w:rPr>
        <w:t>附表………………………………………………………………………</w:t>
      </w:r>
      <w:r>
        <w:rPr>
          <w:rFonts w:hint="eastAsia"/>
          <w:sz w:val="24"/>
          <w:lang w:val="en-US" w:eastAsia="zh-CN"/>
        </w:rPr>
        <w:t xml:space="preserve"> </w:t>
      </w:r>
      <w:r>
        <w:rPr>
          <w:rFonts w:hint="eastAsia"/>
          <w:sz w:val="24"/>
        </w:rPr>
        <w:t>2</w:t>
      </w:r>
      <w:r>
        <w:rPr>
          <w:rFonts w:hint="eastAsia"/>
          <w:sz w:val="24"/>
          <w:lang w:val="en-US" w:eastAsia="zh-CN"/>
        </w:rPr>
        <w:t>1</w:t>
      </w:r>
    </w:p>
    <w:p>
      <w:pPr>
        <w:pStyle w:val="12"/>
        <w:adjustRightInd w:val="0"/>
        <w:snapToGrid w:val="0"/>
        <w:spacing w:before="93" w:line="440" w:lineRule="exact"/>
        <w:jc w:val="left"/>
        <w:rPr>
          <w:sz w:val="24"/>
        </w:rPr>
      </w:pPr>
      <w:r>
        <w:rPr>
          <w:rFonts w:hint="eastAsia"/>
          <w:sz w:val="24"/>
        </w:rPr>
        <w:t>二、收入决算表</w:t>
      </w:r>
    </w:p>
    <w:p>
      <w:pPr>
        <w:pStyle w:val="12"/>
        <w:adjustRightInd w:val="0"/>
        <w:snapToGrid w:val="0"/>
        <w:spacing w:before="93" w:line="440" w:lineRule="exact"/>
        <w:jc w:val="left"/>
        <w:rPr>
          <w:sz w:val="24"/>
        </w:rPr>
      </w:pPr>
      <w:r>
        <w:rPr>
          <w:rFonts w:hint="eastAsia"/>
          <w:sz w:val="24"/>
        </w:rPr>
        <w:t>三、支出决算表</w:t>
      </w:r>
    </w:p>
    <w:p>
      <w:pPr>
        <w:pStyle w:val="12"/>
        <w:adjustRightInd w:val="0"/>
        <w:snapToGrid w:val="0"/>
        <w:spacing w:before="93" w:line="440" w:lineRule="exact"/>
        <w:jc w:val="left"/>
        <w:rPr>
          <w:sz w:val="24"/>
        </w:rPr>
      </w:pPr>
      <w:r>
        <w:rPr>
          <w:rFonts w:hint="eastAsia"/>
          <w:sz w:val="24"/>
        </w:rPr>
        <w:t>四、财政拨款收入支出决算总表</w:t>
      </w:r>
    </w:p>
    <w:p>
      <w:pPr>
        <w:pStyle w:val="12"/>
        <w:adjustRightInd w:val="0"/>
        <w:snapToGrid w:val="0"/>
        <w:spacing w:before="93" w:line="440" w:lineRule="exact"/>
        <w:jc w:val="left"/>
        <w:rPr>
          <w:sz w:val="24"/>
        </w:rPr>
      </w:pPr>
      <w:r>
        <w:rPr>
          <w:rFonts w:hint="eastAsia"/>
          <w:sz w:val="24"/>
        </w:rPr>
        <w:t>五、财政拨款支出决算明细表</w:t>
      </w:r>
    </w:p>
    <w:p>
      <w:pPr>
        <w:pStyle w:val="12"/>
        <w:adjustRightInd w:val="0"/>
        <w:snapToGrid w:val="0"/>
        <w:spacing w:before="93" w:line="440" w:lineRule="exact"/>
        <w:jc w:val="left"/>
        <w:rPr>
          <w:sz w:val="24"/>
        </w:rPr>
      </w:pPr>
      <w:r>
        <w:rPr>
          <w:rFonts w:hint="eastAsia"/>
          <w:sz w:val="24"/>
        </w:rPr>
        <w:t>六、一般公共预算财政拨款支出决算表</w:t>
      </w:r>
    </w:p>
    <w:p>
      <w:pPr>
        <w:pStyle w:val="12"/>
        <w:adjustRightInd w:val="0"/>
        <w:snapToGrid w:val="0"/>
        <w:spacing w:before="93" w:line="440" w:lineRule="exact"/>
        <w:jc w:val="left"/>
        <w:rPr>
          <w:sz w:val="24"/>
        </w:rPr>
      </w:pPr>
      <w:r>
        <w:rPr>
          <w:rFonts w:hint="eastAsia"/>
          <w:sz w:val="24"/>
        </w:rPr>
        <w:t>七、一般公共预算财政拨款支出决算明细表</w:t>
      </w:r>
    </w:p>
    <w:p>
      <w:pPr>
        <w:pStyle w:val="12"/>
        <w:adjustRightInd w:val="0"/>
        <w:snapToGrid w:val="0"/>
        <w:spacing w:before="93" w:line="440" w:lineRule="exact"/>
        <w:jc w:val="left"/>
        <w:rPr>
          <w:sz w:val="24"/>
        </w:rPr>
      </w:pPr>
      <w:r>
        <w:rPr>
          <w:rFonts w:hint="eastAsia"/>
          <w:sz w:val="24"/>
        </w:rPr>
        <w:t>八、一般公共预算财政拨款基本支出决算表</w:t>
      </w:r>
    </w:p>
    <w:p>
      <w:pPr>
        <w:pStyle w:val="12"/>
        <w:adjustRightInd w:val="0"/>
        <w:snapToGrid w:val="0"/>
        <w:spacing w:before="93" w:line="440" w:lineRule="exact"/>
        <w:jc w:val="left"/>
        <w:rPr>
          <w:sz w:val="24"/>
        </w:rPr>
      </w:pPr>
      <w:r>
        <w:rPr>
          <w:rFonts w:hint="eastAsia"/>
          <w:sz w:val="24"/>
        </w:rPr>
        <w:t>九、一般公共预算财政拨款项目支出决算表</w:t>
      </w:r>
    </w:p>
    <w:p>
      <w:pPr>
        <w:pStyle w:val="12"/>
        <w:adjustRightInd w:val="0"/>
        <w:snapToGrid w:val="0"/>
        <w:spacing w:before="93" w:line="440" w:lineRule="exact"/>
        <w:jc w:val="left"/>
        <w:rPr>
          <w:sz w:val="24"/>
        </w:rPr>
      </w:pPr>
      <w:r>
        <w:rPr>
          <w:rFonts w:hint="eastAsia"/>
          <w:sz w:val="24"/>
        </w:rPr>
        <w:t>十、一般公共预算财政拨款“三公”经费支出决算表</w:t>
      </w:r>
    </w:p>
    <w:p>
      <w:pPr>
        <w:pStyle w:val="12"/>
        <w:adjustRightInd w:val="0"/>
        <w:snapToGrid w:val="0"/>
        <w:spacing w:before="93" w:line="440" w:lineRule="exact"/>
        <w:jc w:val="left"/>
        <w:rPr>
          <w:sz w:val="24"/>
        </w:rPr>
      </w:pPr>
      <w:r>
        <w:rPr>
          <w:rFonts w:hint="eastAsia"/>
          <w:sz w:val="24"/>
        </w:rPr>
        <w:t>十一、政府性基金预算财政拨款收入支出决算表</w:t>
      </w:r>
    </w:p>
    <w:p>
      <w:pPr>
        <w:pStyle w:val="12"/>
        <w:adjustRightInd w:val="0"/>
        <w:snapToGrid w:val="0"/>
        <w:spacing w:before="93" w:line="440" w:lineRule="exact"/>
        <w:jc w:val="left"/>
        <w:rPr>
          <w:sz w:val="24"/>
        </w:rPr>
      </w:pPr>
      <w:r>
        <w:rPr>
          <w:rFonts w:hint="eastAsia"/>
          <w:sz w:val="24"/>
        </w:rPr>
        <w:t>十二、政府性基金预算财政拨款“三公”经费支出决算表</w:t>
      </w:r>
    </w:p>
    <w:p>
      <w:pPr>
        <w:pStyle w:val="12"/>
        <w:adjustRightInd w:val="0"/>
        <w:snapToGrid w:val="0"/>
        <w:spacing w:before="93" w:line="440" w:lineRule="exact"/>
        <w:jc w:val="left"/>
        <w:rPr>
          <w:sz w:val="24"/>
        </w:rPr>
      </w:pPr>
      <w:r>
        <w:rPr>
          <w:rFonts w:hint="eastAsia"/>
          <w:sz w:val="24"/>
        </w:rPr>
        <w:t>十三、国有资本经营预算财政拨款收入支出决算表</w:t>
      </w:r>
    </w:p>
    <w:p>
      <w:pPr>
        <w:pStyle w:val="12"/>
        <w:adjustRightInd w:val="0"/>
        <w:snapToGrid w:val="0"/>
        <w:spacing w:before="93" w:line="440" w:lineRule="exact"/>
        <w:jc w:val="left"/>
        <w:rPr>
          <w:sz w:val="24"/>
        </w:rPr>
      </w:pPr>
      <w:r>
        <w:rPr>
          <w:rFonts w:hint="eastAsia"/>
          <w:sz w:val="24"/>
        </w:rPr>
        <w:t>十四、国有资本经营预算财政拨款支出决算表</w:t>
      </w:r>
    </w:p>
    <w:p>
      <w:pPr>
        <w:widowControl/>
        <w:spacing w:line="440" w:lineRule="exact"/>
        <w:jc w:val="left"/>
        <w:rPr>
          <w:rFonts w:ascii="仿宋" w:hAnsi="仿宋" w:eastAsia="仿宋"/>
          <w:b/>
          <w:sz w:val="24"/>
        </w:rPr>
        <w:sectPr>
          <w:pgSz w:w="11906" w:h="16838"/>
          <w:pgMar w:top="2098" w:right="1474" w:bottom="1985" w:left="1588" w:header="851" w:footer="1588" w:gutter="0"/>
          <w:pgNumType w:start="1"/>
          <w:cols w:space="425" w:num="1"/>
          <w:docGrid w:type="lines" w:linePitch="312" w:charSpace="0"/>
        </w:sectPr>
      </w:pPr>
      <w:bookmarkStart w:id="12" w:name="_Toc15396599"/>
      <w:bookmarkStart w:id="13" w:name="_Toc15377196"/>
      <w:r>
        <w:rPr>
          <w:rFonts w:ascii="仿宋" w:hAnsi="仿宋" w:eastAsia="仿宋"/>
          <w:b/>
          <w:sz w:val="24"/>
        </w:rPr>
        <w:br w:type="page"/>
      </w:r>
    </w:p>
    <w:p>
      <w:pPr>
        <w:pStyle w:val="3"/>
        <w:spacing w:before="0" w:after="0" w:line="576" w:lineRule="exact"/>
        <w:jc w:val="center"/>
        <w:rPr>
          <w:rStyle w:val="25"/>
          <w:rFonts w:ascii="黑体" w:hAnsi="黑体" w:eastAsia="黑体"/>
          <w:b/>
          <w:bCs w:val="0"/>
        </w:rPr>
      </w:pPr>
      <w:r>
        <w:rPr>
          <w:rFonts w:hint="eastAsia" w:ascii="黑体" w:hAnsi="黑体" w:eastAsia="黑体"/>
          <w:b w:val="0"/>
        </w:rPr>
        <w:t>第一部分 单位</w:t>
      </w:r>
      <w:r>
        <w:rPr>
          <w:rStyle w:val="25"/>
          <w:rFonts w:hint="eastAsia" w:ascii="黑体" w:hAnsi="黑体" w:eastAsia="黑体"/>
          <w:b w:val="0"/>
          <w:bCs w:val="0"/>
        </w:rPr>
        <w:t>概况</w:t>
      </w:r>
      <w:bookmarkEnd w:id="12"/>
      <w:bookmarkEnd w:id="13"/>
    </w:p>
    <w:p>
      <w:pPr>
        <w:pStyle w:val="4"/>
        <w:numPr>
          <w:ilvl w:val="0"/>
          <w:numId w:val="1"/>
        </w:numPr>
        <w:ind w:firstLine="640" w:firstLineChars="200"/>
        <w:rPr>
          <w:rFonts w:ascii="楷体_GB2312" w:eastAsia="楷体_GB2312"/>
        </w:rPr>
      </w:pPr>
      <w:r>
        <w:rPr>
          <w:rStyle w:val="26"/>
          <w:rFonts w:hint="eastAsia" w:ascii="黑体" w:hAnsi="黑体" w:eastAsia="黑体"/>
          <w:b w:val="0"/>
          <w:bCs w:val="0"/>
          <w:color w:val="auto"/>
          <w:highlight w:val="none"/>
        </w:rPr>
        <w:t>职能</w:t>
      </w:r>
      <w:r>
        <w:rPr>
          <w:rStyle w:val="26"/>
          <w:rFonts w:hint="eastAsia" w:ascii="黑体" w:hAnsi="黑体" w:eastAsia="黑体"/>
          <w:b w:val="0"/>
          <w:bCs w:val="0"/>
          <w:color w:val="auto"/>
          <w:highlight w:val="none"/>
          <w:lang w:eastAsia="zh-CN"/>
        </w:rPr>
        <w:t>简介及</w:t>
      </w:r>
      <w:r>
        <w:rPr>
          <w:rFonts w:hint="eastAsia" w:ascii="黑体" w:hAnsi="黑体" w:eastAsia="黑体"/>
          <w:b w:val="0"/>
          <w:color w:val="auto"/>
          <w:highlight w:val="none"/>
          <w:lang w:val="en-US" w:eastAsia="zh-CN"/>
        </w:rPr>
        <w:t>2021年重点</w:t>
      </w:r>
      <w:r>
        <w:rPr>
          <w:rFonts w:hint="eastAsia" w:ascii="黑体" w:hAnsi="黑体" w:eastAsia="黑体"/>
          <w:b w:val="0"/>
          <w:color w:val="auto"/>
          <w:highlight w:val="none"/>
        </w:rPr>
        <w:t>工作</w:t>
      </w:r>
      <w:r>
        <w:rPr>
          <w:rFonts w:hint="eastAsia" w:ascii="黑体" w:hAnsi="黑体" w:eastAsia="黑体"/>
          <w:b w:val="0"/>
          <w:color w:val="auto"/>
          <w:highlight w:val="none"/>
          <w:lang w:eastAsia="zh-CN"/>
        </w:rPr>
        <w:t>完成情况</w:t>
      </w:r>
      <w:bookmarkStart w:id="14" w:name="_Toc15377197"/>
      <w:bookmarkStart w:id="15" w:name="_Toc15396600"/>
    </w:p>
    <w:p>
      <w:pPr>
        <w:pStyle w:val="4"/>
        <w:numPr>
          <w:ilvl w:val="0"/>
          <w:numId w:val="0"/>
        </w:numPr>
        <w:ind w:firstLine="640" w:firstLineChars="200"/>
        <w:rPr>
          <w:rFonts w:ascii="楷体_GB2312" w:eastAsia="楷体_GB2312"/>
          <w:b w:val="0"/>
          <w:bCs w:val="0"/>
        </w:rPr>
      </w:pPr>
      <w:r>
        <w:rPr>
          <w:rStyle w:val="26"/>
          <w:rFonts w:hint="eastAsia" w:ascii="黑体" w:hAnsi="黑体" w:eastAsia="黑体"/>
          <w:b w:val="0"/>
          <w:bCs w:val="0"/>
          <w:lang w:eastAsia="zh-CN"/>
        </w:rPr>
        <w:t>（一）</w:t>
      </w:r>
      <w:r>
        <w:rPr>
          <w:rStyle w:val="26"/>
          <w:rFonts w:hint="eastAsia" w:ascii="黑体" w:hAnsi="黑体" w:eastAsia="黑体"/>
          <w:b w:val="0"/>
          <w:bCs w:val="0"/>
        </w:rPr>
        <w:t>职能简介</w:t>
      </w:r>
    </w:p>
    <w:p>
      <w:pPr>
        <w:pStyle w:val="2"/>
        <w:adjustRightInd w:val="0"/>
        <w:snapToGrid w:val="0"/>
        <w:spacing w:beforeLines="0" w:line="576" w:lineRule="exact"/>
        <w:ind w:firstLine="672" w:firstLineChars="210"/>
        <w:outlineLvl w:val="2"/>
        <w:rPr>
          <w:rFonts w:hint="eastAsia" w:hAnsi="仿宋" w:cs="仿宋"/>
          <w:sz w:val="32"/>
          <w:szCs w:val="32"/>
        </w:rPr>
      </w:pPr>
      <w:r>
        <w:rPr>
          <w:rFonts w:hint="eastAsia" w:hAnsi="仿宋" w:cs="仿宋"/>
          <w:sz w:val="32"/>
          <w:szCs w:val="32"/>
        </w:rPr>
        <w:t>坚持政治关心、生活照顾、服务为先、依法管理的原则，按照国家有关政策规定，落实军休人员政治待遇、生活待遇，维护军休人员合法权益，做好相关保障工作，实现军休人员“老有所养、老有所医、老有所教、老有所学、老有所为、老有所乐”的目标。</w:t>
      </w:r>
    </w:p>
    <w:p>
      <w:pPr>
        <w:pStyle w:val="2"/>
        <w:adjustRightInd w:val="0"/>
        <w:snapToGrid w:val="0"/>
        <w:spacing w:beforeLines="0" w:line="576" w:lineRule="exact"/>
        <w:ind w:firstLine="640" w:firstLineChars="200"/>
        <w:outlineLvl w:val="2"/>
        <w:rPr>
          <w:rFonts w:hint="eastAsia" w:ascii="黑体" w:hAnsi="黑体" w:eastAsia="黑体" w:cs="黑体"/>
          <w:b w:val="0"/>
          <w:bCs w:val="0"/>
          <w:snapToGrid w:val="0"/>
          <w:color w:val="000000"/>
          <w:sz w:val="32"/>
          <w:szCs w:val="32"/>
          <w:lang w:eastAsia="zh-CN"/>
        </w:rPr>
      </w:pPr>
      <w:r>
        <w:rPr>
          <w:rFonts w:hint="default" w:ascii="黑体" w:hAnsi="仿宋" w:cs="仿宋"/>
          <w:b w:val="0"/>
          <w:bCs w:val="0"/>
          <w:sz w:val="32"/>
          <w:szCs w:val="32"/>
          <w:lang w:val="en"/>
        </w:rPr>
        <w:t>(</w:t>
      </w:r>
      <w:r>
        <w:rPr>
          <w:rFonts w:hint="eastAsia" w:ascii="黑体" w:hAnsi="仿宋" w:cs="仿宋"/>
          <w:b w:val="0"/>
          <w:bCs w:val="0"/>
          <w:sz w:val="32"/>
          <w:szCs w:val="32"/>
          <w:lang w:val="en" w:eastAsia="zh-CN"/>
        </w:rPr>
        <w:t>二）</w:t>
      </w:r>
      <w:r>
        <w:rPr>
          <w:rFonts w:hint="eastAsia" w:ascii="黑体" w:hAnsi="黑体" w:eastAsia="黑体" w:cs="黑体"/>
          <w:b w:val="0"/>
          <w:bCs w:val="0"/>
          <w:snapToGrid w:val="0"/>
          <w:color w:val="000000"/>
          <w:sz w:val="32"/>
          <w:szCs w:val="32"/>
          <w:lang w:eastAsia="zh-CN"/>
        </w:rPr>
        <w:t>机构设置</w:t>
      </w:r>
    </w:p>
    <w:p>
      <w:pPr>
        <w:pStyle w:val="11"/>
        <w:ind w:left="0" w:leftChars="0" w:firstLine="640" w:firstLineChars="200"/>
        <w:rPr>
          <w:rFonts w:hint="eastAsia" w:ascii="仿宋_GB2312" w:eastAsia="仿宋_GB2312"/>
          <w:sz w:val="32"/>
          <w:szCs w:val="32"/>
        </w:rPr>
      </w:pPr>
      <w:r>
        <w:rPr>
          <w:rFonts w:hint="eastAsia" w:ascii="仿宋_GB2312" w:eastAsia="仿宋_GB2312"/>
          <w:sz w:val="32"/>
          <w:szCs w:val="32"/>
        </w:rPr>
        <w:t>市退役军人事务局下属事业单位，现有在编职工17人，编配服务用车2辆。2010年8月成立了党委，下设有3个军休支部和1个职工支部，建有军休干部管理委员会和职工工会。</w:t>
      </w:r>
    </w:p>
    <w:p>
      <w:pPr>
        <w:pStyle w:val="11"/>
        <w:rPr>
          <w:rFonts w:ascii="黑体" w:hAnsi="黑体" w:eastAsia="黑体"/>
          <w:b w:val="0"/>
          <w:bCs w:val="0"/>
          <w:sz w:val="32"/>
          <w:szCs w:val="32"/>
        </w:rPr>
      </w:pPr>
      <w:r>
        <w:rPr>
          <w:rFonts w:hint="eastAsia" w:ascii="黑体" w:hAnsi="黑体" w:eastAsia="黑体" w:cs="黑体"/>
          <w:b w:val="0"/>
          <w:bCs w:val="0"/>
          <w:snapToGrid w:val="0"/>
          <w:color w:val="000000"/>
          <w:sz w:val="32"/>
          <w:szCs w:val="32"/>
          <w:lang w:eastAsia="zh-CN"/>
        </w:rPr>
        <w:t>（三）</w:t>
      </w:r>
      <w:r>
        <w:rPr>
          <w:rFonts w:hint="eastAsia" w:ascii="黑体" w:hAnsi="黑体" w:eastAsia="黑体"/>
          <w:b w:val="0"/>
          <w:bCs w:val="0"/>
          <w:sz w:val="32"/>
          <w:szCs w:val="32"/>
        </w:rPr>
        <w:t>2021年重点工作</w:t>
      </w:r>
      <w:bookmarkEnd w:id="14"/>
      <w:bookmarkEnd w:id="15"/>
      <w:r>
        <w:rPr>
          <w:rFonts w:hint="eastAsia" w:ascii="黑体" w:hAnsi="黑体" w:eastAsia="黑体"/>
          <w:b w:val="0"/>
          <w:bCs w:val="0"/>
          <w:sz w:val="32"/>
          <w:szCs w:val="32"/>
        </w:rPr>
        <w:t>完成情况</w:t>
      </w:r>
    </w:p>
    <w:p>
      <w:pPr>
        <w:widowControl/>
        <w:spacing w:line="576" w:lineRule="exact"/>
        <w:ind w:firstLine="640" w:firstLineChars="200"/>
        <w:jc w:val="left"/>
        <w:rPr>
          <w:rFonts w:ascii="仿宋_GB2312" w:hAnsi="楷体_GB2312" w:eastAsia="仿宋_GB2312" w:cs="楷体_GB2312"/>
          <w:snapToGrid w:val="0"/>
          <w:sz w:val="32"/>
          <w:szCs w:val="32"/>
        </w:rPr>
      </w:pPr>
      <w:r>
        <w:rPr>
          <w:rFonts w:hint="eastAsia" w:ascii="楷体_GB2312" w:hAnsi="楷体_GB2312" w:eastAsia="楷体_GB2312" w:cs="楷体_GB2312"/>
          <w:snapToGrid w:val="0"/>
          <w:kern w:val="0"/>
          <w:sz w:val="32"/>
          <w:szCs w:val="32"/>
          <w:lang w:eastAsia="zh-CN"/>
        </w:rPr>
        <w:t>一、</w:t>
      </w:r>
      <w:r>
        <w:rPr>
          <w:rFonts w:hint="eastAsia" w:ascii="楷体_GB2312" w:hAnsi="楷体_GB2312" w:eastAsia="楷体_GB2312" w:cs="楷体_GB2312"/>
          <w:snapToGrid w:val="0"/>
          <w:kern w:val="0"/>
          <w:sz w:val="32"/>
          <w:szCs w:val="32"/>
        </w:rPr>
        <w:t>注重教育引领，思想政治建设不断加强。</w:t>
      </w:r>
      <w:r>
        <w:rPr>
          <w:rFonts w:hint="eastAsia" w:ascii="仿宋_GB2312" w:hAnsi="仿宋_GB2312" w:eastAsia="仿宋_GB2312" w:cs="仿宋_GB2312"/>
          <w:kern w:val="0"/>
          <w:sz w:val="32"/>
          <w:szCs w:val="32"/>
          <w:lang w:bidi="ar"/>
        </w:rPr>
        <w:t>坚持以习近平新时代中国特色社会主义思想为指导，</w:t>
      </w:r>
      <w:r>
        <w:rPr>
          <w:rFonts w:hint="eastAsia" w:ascii="仿宋_GB2312" w:hAnsi="仿宋" w:eastAsia="仿宋_GB2312"/>
          <w:sz w:val="32"/>
          <w:szCs w:val="32"/>
        </w:rPr>
        <w:t>着眼增强“四个意识”、坚定“四个自信”、做到“两个维护”，</w:t>
      </w:r>
      <w:r>
        <w:rPr>
          <w:rFonts w:hint="eastAsia" w:ascii="仿宋_GB2312" w:hAnsi="仿宋_GB2312" w:eastAsia="仿宋_GB2312" w:cs="仿宋_GB2312"/>
          <w:kern w:val="0"/>
          <w:sz w:val="32"/>
          <w:szCs w:val="32"/>
          <w:lang w:bidi="ar"/>
        </w:rPr>
        <w:t>坚定不移贯彻落实党中央</w:t>
      </w:r>
      <w:r>
        <w:rPr>
          <w:rFonts w:hint="eastAsia" w:ascii="仿宋_GB2312" w:hAnsi="仿宋_GB2312" w:eastAsia="仿宋_GB2312" w:cs="仿宋_GB2312"/>
          <w:kern w:val="0"/>
          <w:sz w:val="32"/>
          <w:szCs w:val="32"/>
          <w:lang w:eastAsia="zh-CN" w:bidi="ar"/>
        </w:rPr>
        <w:t>决策</w:t>
      </w:r>
      <w:r>
        <w:rPr>
          <w:rFonts w:hint="eastAsia" w:ascii="仿宋_GB2312" w:hAnsi="仿宋_GB2312" w:eastAsia="仿宋_GB2312" w:cs="仿宋_GB2312"/>
          <w:kern w:val="0"/>
          <w:sz w:val="32"/>
          <w:szCs w:val="32"/>
          <w:lang w:bidi="ar"/>
        </w:rPr>
        <w:t>和工作部署，不断开创各项工作新局面。</w:t>
      </w:r>
      <w:r>
        <w:rPr>
          <w:rFonts w:hint="eastAsia" w:ascii="仿宋_GB2312" w:hAnsi="仿宋" w:eastAsia="仿宋_GB2312"/>
          <w:b/>
          <w:bCs/>
          <w:sz w:val="32"/>
          <w:szCs w:val="32"/>
        </w:rPr>
        <w:t>一是深入开展党史学习教育，强化理论武装</w:t>
      </w:r>
      <w:r>
        <w:rPr>
          <w:rFonts w:hint="eastAsia" w:ascii="仿宋_GB2312" w:hAnsi="仿宋" w:eastAsia="仿宋_GB2312"/>
          <w:sz w:val="32"/>
          <w:szCs w:val="32"/>
        </w:rPr>
        <w:t>。</w:t>
      </w:r>
      <w:r>
        <w:rPr>
          <w:rFonts w:hint="eastAsia" w:ascii="仿宋_GB2312" w:hAnsi="仿宋_GB2312" w:eastAsia="仿宋_GB2312" w:cs="仿宋_GB2312"/>
          <w:sz w:val="32"/>
          <w:szCs w:val="32"/>
        </w:rPr>
        <w:t>4月初，成立党史学习教育领导小组，专项推进党史学习教育和庆祝建党100周年系列活动。通过组织红色教育参观学习、红歌演唱、红稿征集和党史知识竞赛活动，不断深化对伟大建党精神、党的百年奋斗重大成就和历史经验的理解把握，</w:t>
      </w:r>
      <w:r>
        <w:rPr>
          <w:rFonts w:hint="eastAsia" w:ascii="仿宋_GB2312" w:hAnsi="仿宋_GB2312" w:eastAsia="仿宋_GB2312" w:cs="仿宋_GB2312"/>
          <w:sz w:val="32"/>
          <w:szCs w:val="32"/>
          <w:lang w:eastAsia="zh-CN"/>
        </w:rPr>
        <w:t>坚决</w:t>
      </w:r>
      <w:r>
        <w:rPr>
          <w:rFonts w:hint="eastAsia" w:ascii="仿宋_GB2312" w:hAnsi="仿宋_GB2312" w:eastAsia="仿宋_GB2312" w:cs="仿宋_GB2312"/>
          <w:sz w:val="32"/>
          <w:szCs w:val="32"/>
        </w:rPr>
        <w:t>捍卫“两个确立”，做到“两个维护”。</w:t>
      </w:r>
      <w:r>
        <w:rPr>
          <w:rFonts w:hint="eastAsia" w:ascii="仿宋_GB2312" w:hAnsi="仿宋" w:eastAsia="仿宋_GB2312"/>
          <w:b/>
          <w:bCs/>
          <w:sz w:val="32"/>
          <w:szCs w:val="32"/>
        </w:rPr>
        <w:t>二是切实保障政治待遇落实，加强思想引领。</w:t>
      </w:r>
      <w:r>
        <w:rPr>
          <w:rFonts w:hint="eastAsia" w:ascii="仿宋_GB2312" w:hAnsi="黑体" w:eastAsia="仿宋_GB2312" w:cs="仿宋_GB2312"/>
          <w:snapToGrid w:val="0"/>
          <w:kern w:val="0"/>
          <w:sz w:val="32"/>
          <w:szCs w:val="32"/>
        </w:rPr>
        <w:t>严格落实军休干部理论学习、阅文看报、读书观影、参加重要会议和重大活动、参观学习等制度。</w:t>
      </w:r>
      <w:r>
        <w:rPr>
          <w:rFonts w:hint="eastAsia" w:ascii="仿宋_GB2312" w:hAnsi="仿宋_GB2312" w:eastAsia="仿宋_GB2312" w:cs="仿宋_GB2312"/>
          <w:snapToGrid w:val="0"/>
          <w:kern w:val="0"/>
          <w:sz w:val="32"/>
          <w:szCs w:val="32"/>
        </w:rPr>
        <w:t>全年订购报刊杂志15种，下发</w:t>
      </w:r>
      <w:r>
        <w:rPr>
          <w:rFonts w:hint="eastAsia" w:ascii="仿宋_GB2312" w:eastAsia="仿宋_GB2312"/>
          <w:sz w:val="32"/>
          <w:szCs w:val="32"/>
        </w:rPr>
        <w:t>理论学习资料200余册，</w:t>
      </w:r>
      <w:r>
        <w:rPr>
          <w:rFonts w:hint="eastAsia" w:ascii="仿宋_GB2312" w:hAnsi="仿宋_GB2312" w:eastAsia="仿宋_GB2312" w:cs="仿宋_GB2312"/>
          <w:snapToGrid w:val="0"/>
          <w:kern w:val="0"/>
          <w:sz w:val="32"/>
          <w:szCs w:val="32"/>
        </w:rPr>
        <w:t>组织观影活动2次、荣誉疗养1次、专题游学活动2次。推荐4名军休干部参加军地座谈会，1名军休干部参加全市“五老”先进事迹报告会并作报告，1名军休干部被选为党代表参加市第八次党代会；为31名老党员发放“光荣在党50年”纪念章，为60名军休干部办理发放新式离退休证，充分保障了军休人员的政治待遇，引导他们坚守理想信念，永葆革命精神。</w:t>
      </w:r>
      <w:r>
        <w:rPr>
          <w:rFonts w:hint="eastAsia" w:ascii="仿宋_GB2312" w:hAnsi="仿宋" w:eastAsia="仿宋_GB2312"/>
          <w:b/>
          <w:bCs/>
          <w:sz w:val="32"/>
          <w:szCs w:val="32"/>
        </w:rPr>
        <w:t>三是不断加强党委支部建设，突出作用发挥。</w:t>
      </w:r>
      <w:r>
        <w:rPr>
          <w:rFonts w:hint="eastAsia" w:ascii="仿宋_GB2312" w:hAnsi="仿宋_GB2312" w:eastAsia="仿宋_GB2312" w:cs="仿宋_GB2312"/>
          <w:snapToGrid w:val="0"/>
          <w:kern w:val="0"/>
          <w:sz w:val="32"/>
          <w:szCs w:val="32"/>
        </w:rPr>
        <w:t>5月份，配齐单位行政领导班子；9月份，完成支部换届选举</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坚持</w:t>
      </w:r>
      <w:r>
        <w:rPr>
          <w:rFonts w:hint="eastAsia" w:ascii="仿宋_GB2312" w:hAnsi="仿宋_GB2312" w:eastAsia="仿宋_GB2312" w:cs="仿宋_GB2312"/>
          <w:snapToGrid w:val="0"/>
          <w:kern w:val="0"/>
          <w:sz w:val="32"/>
          <w:szCs w:val="32"/>
          <w:lang w:eastAsia="zh-CN"/>
        </w:rPr>
        <w:t>以习近平新时代中国特色社会主义思想为</w:t>
      </w:r>
      <w:r>
        <w:rPr>
          <w:rFonts w:hint="eastAsia" w:ascii="仿宋_GB2312" w:hAnsi="仿宋_GB2312" w:eastAsia="仿宋_GB2312" w:cs="仿宋_GB2312"/>
          <w:snapToGrid w:val="0"/>
          <w:kern w:val="0"/>
          <w:sz w:val="32"/>
          <w:szCs w:val="32"/>
        </w:rPr>
        <w:t>指导，强化对意识形态领域的正确引导，加强党的路线、方针、政策宣传和社会主义核心价值观培育。严格落实民主集中制、“三重一大”事项决策办法和“三会一课”制度，加强党员队伍管理教育，注重在重大任务中培养考察、锤炼讲政治、重品行、能干事、有担当的干部</w:t>
      </w:r>
      <w:r>
        <w:rPr>
          <w:rFonts w:hint="eastAsia" w:ascii="仿宋_GB2312" w:hAnsi="仿宋_GB2312" w:eastAsia="仿宋_GB2312" w:cs="仿宋_GB2312"/>
          <w:snapToGrid w:val="0"/>
          <w:kern w:val="0"/>
          <w:sz w:val="32"/>
          <w:szCs w:val="32"/>
          <w:lang w:eastAsia="zh-CN"/>
        </w:rPr>
        <w:t>队伍</w:t>
      </w:r>
      <w:r>
        <w:rPr>
          <w:rFonts w:hint="eastAsia" w:ascii="仿宋_GB2312" w:hAnsi="仿宋_GB2312" w:eastAsia="仿宋_GB2312" w:cs="仿宋_GB2312"/>
          <w:snapToGrid w:val="0"/>
          <w:kern w:val="0"/>
          <w:sz w:val="32"/>
          <w:szCs w:val="32"/>
        </w:rPr>
        <w:t>。今年，</w:t>
      </w:r>
      <w:r>
        <w:rPr>
          <w:rFonts w:hint="eastAsia" w:ascii="仿宋_GB2312" w:hAnsi="仿宋_GB2312" w:eastAsia="仿宋_GB2312" w:cs="仿宋_GB2312"/>
          <w:sz w:val="32"/>
          <w:szCs w:val="32"/>
        </w:rPr>
        <w:t>所党委被表彰为“先进基层党组织”，</w:t>
      </w:r>
      <w:r>
        <w:rPr>
          <w:rFonts w:hint="eastAsia" w:ascii="仿宋_GB2312" w:hAnsi="仿宋_GB2312" w:eastAsia="仿宋_GB2312" w:cs="仿宋_GB2312"/>
          <w:snapToGrid w:val="0"/>
          <w:kern w:val="0"/>
          <w:sz w:val="32"/>
          <w:szCs w:val="32"/>
        </w:rPr>
        <w:t>党</w:t>
      </w:r>
      <w:r>
        <w:rPr>
          <w:rFonts w:hint="eastAsia" w:ascii="仿宋_GB2312" w:hAnsi="仿宋_GB2312" w:eastAsia="仿宋_GB2312" w:cs="仿宋_GB2312"/>
          <w:sz w:val="32"/>
          <w:szCs w:val="32"/>
        </w:rPr>
        <w:t>委副书记王晓梅被市直机关工委表彰为“疫情防控优秀共产党员”。</w:t>
      </w:r>
    </w:p>
    <w:p>
      <w:pPr>
        <w:adjustRightInd w:val="0"/>
        <w:snapToGrid w:val="0"/>
        <w:spacing w:line="576" w:lineRule="exact"/>
        <w:ind w:firstLine="640" w:firstLineChars="200"/>
        <w:rPr>
          <w:rFonts w:ascii="仿宋_GB2312" w:hAnsi="no value" w:eastAsia="仿宋_GB2312" w:cs="宋体"/>
          <w:kern w:val="0"/>
          <w:sz w:val="32"/>
          <w:szCs w:val="32"/>
        </w:rPr>
      </w:pPr>
      <w:r>
        <w:rPr>
          <w:rFonts w:hint="eastAsia" w:ascii="楷体_GB2312" w:hAnsi="楷体_GB2312" w:eastAsia="楷体_GB2312" w:cs="楷体_GB2312"/>
          <w:snapToGrid w:val="0"/>
          <w:kern w:val="0"/>
          <w:sz w:val="32"/>
          <w:szCs w:val="32"/>
          <w:lang w:eastAsia="zh-CN"/>
        </w:rPr>
        <w:t>二、</w:t>
      </w:r>
      <w:r>
        <w:rPr>
          <w:rFonts w:hint="eastAsia" w:ascii="楷体_GB2312" w:hAnsi="楷体_GB2312" w:eastAsia="楷体_GB2312" w:cs="楷体_GB2312"/>
          <w:snapToGrid w:val="0"/>
          <w:kern w:val="0"/>
          <w:sz w:val="32"/>
          <w:szCs w:val="32"/>
        </w:rPr>
        <w:t>突出求实创新，军休服务保障提质增效。</w:t>
      </w:r>
      <w:r>
        <w:rPr>
          <w:rFonts w:hint="eastAsia" w:ascii="仿宋_GB2312" w:hAnsi="仿宋" w:eastAsia="仿宋_GB2312"/>
          <w:b/>
          <w:bCs/>
          <w:sz w:val="32"/>
          <w:szCs w:val="32"/>
        </w:rPr>
        <w:t>一是落实生活待遇。</w:t>
      </w:r>
      <w:r>
        <w:rPr>
          <w:rFonts w:hint="eastAsia" w:ascii="仿宋_GB2312" w:eastAsia="仿宋_GB2312"/>
          <w:snapToGrid w:val="0"/>
          <w:kern w:val="0"/>
          <w:sz w:val="32"/>
          <w:szCs w:val="32"/>
        </w:rPr>
        <w:t>按时足额发放离退休费和各类生活补贴，及时核算、申报和缴纳各类人员的医保、社保费用，组织开展好</w:t>
      </w:r>
      <w:r>
        <w:rPr>
          <w:rFonts w:hint="eastAsia" w:ascii="仿宋_GB2312" w:eastAsia="仿宋_GB2312"/>
          <w:snapToGrid w:val="0"/>
          <w:kern w:val="0"/>
          <w:sz w:val="32"/>
          <w:szCs w:val="32"/>
          <w:lang w:eastAsia="zh-CN"/>
        </w:rPr>
        <w:t>重要节日</w:t>
      </w:r>
      <w:r>
        <w:rPr>
          <w:rFonts w:hint="eastAsia" w:ascii="仿宋_GB2312" w:eastAsia="仿宋_GB2312"/>
          <w:snapToGrid w:val="0"/>
          <w:kern w:val="0"/>
          <w:sz w:val="32"/>
          <w:szCs w:val="32"/>
        </w:rPr>
        <w:t>慰问，坚持落实好日常、节日和重点人群“三走访”活动。全年顺利完成2名新接收人员的工资核算和关系转接，协助2名病故军休人员家属做好善后服务，并及时按规定申报发放丧葬费和一次性抚恤金，</w:t>
      </w:r>
      <w:r>
        <w:rPr>
          <w:rFonts w:hint="eastAsia" w:ascii="仿宋_GB2312" w:hAnsi="仿宋" w:eastAsia="仿宋_GB2312"/>
          <w:b/>
          <w:bCs/>
          <w:sz w:val="32"/>
          <w:szCs w:val="32"/>
        </w:rPr>
        <w:t>二是强化健康保障。</w:t>
      </w:r>
      <w:r>
        <w:rPr>
          <w:rFonts w:hint="eastAsia" w:ascii="仿宋_GB2312" w:eastAsia="仿宋_GB2312"/>
          <w:snapToGrid w:val="0"/>
          <w:kern w:val="0"/>
          <w:sz w:val="32"/>
          <w:szCs w:val="32"/>
        </w:rPr>
        <w:t>严格落实常态化疫情防控要求，保持防疫物资储备充足，配备</w:t>
      </w:r>
      <w:r>
        <w:rPr>
          <w:rFonts w:hint="eastAsia" w:ascii="仿宋_GB2312" w:hAnsi="仿宋_GB2312" w:eastAsia="仿宋_GB2312" w:cs="仿宋_GB2312"/>
          <w:sz w:val="32"/>
          <w:szCs w:val="32"/>
        </w:rPr>
        <w:t>疫情防控人脸识别一体机，</w:t>
      </w:r>
      <w:r>
        <w:rPr>
          <w:rFonts w:hint="eastAsia" w:ascii="仿宋_GB2312" w:hAnsi="仿宋_GB2312" w:eastAsia="仿宋_GB2312" w:cs="仿宋_GB2312"/>
          <w:snapToGrid w:val="0"/>
          <w:kern w:val="0"/>
          <w:sz w:val="32"/>
          <w:szCs w:val="32"/>
        </w:rPr>
        <w:t>坚持做好进出扫码、每日消杀、外出报备等工作，工休人员应种尽种接种新冠疫苗，确保了零感染。</w:t>
      </w:r>
      <w:r>
        <w:rPr>
          <w:rFonts w:hint="eastAsia" w:ascii="仿宋_GB2312" w:eastAsia="仿宋_GB2312"/>
          <w:snapToGrid w:val="0"/>
          <w:kern w:val="0"/>
          <w:sz w:val="32"/>
          <w:szCs w:val="32"/>
        </w:rPr>
        <w:t>组织95名军休人员参加年度体检，</w:t>
      </w:r>
      <w:r>
        <w:rPr>
          <w:rFonts w:hint="eastAsia" w:ascii="仿宋_GB2312" w:hAnsi="仿宋_GB2312" w:eastAsia="仿宋_GB2312" w:cs="仿宋_GB2312"/>
          <w:snapToGrid w:val="0"/>
          <w:kern w:val="0"/>
          <w:sz w:val="32"/>
          <w:szCs w:val="32"/>
        </w:rPr>
        <w:t>按规定办理好军休人员的门诊报账、住院补助等工作；</w:t>
      </w:r>
      <w:r>
        <w:rPr>
          <w:rFonts w:hint="eastAsia" w:ascii="仿宋_GB2312" w:hAnsi="仿宋" w:eastAsia="仿宋_GB2312"/>
          <w:b/>
          <w:bCs/>
          <w:sz w:val="32"/>
          <w:szCs w:val="32"/>
        </w:rPr>
        <w:t>三是办好文体活动。</w:t>
      </w:r>
      <w:r>
        <w:rPr>
          <w:rFonts w:hint="eastAsia" w:ascii="仿宋_GB2312" w:hAnsi="仿宋_GB2312" w:eastAsia="仿宋_GB2312" w:cs="仿宋_GB2312"/>
          <w:sz w:val="32"/>
          <w:szCs w:val="32"/>
        </w:rPr>
        <w:t>组织开展了“庆元旦、迎新年”游园、阆中古城春游、月坝湿地重阳秋游、室外休闲垂钓、“旧时光、老故事”照片征集等活动，大大提升了军休人员的幸福指数。常年开展门球、地掷球训练与比赛，今年我所军休干部门球队参加四川省退役军人事务系统2021年东北片区军休干部门球邀请赛获第二名。</w:t>
      </w:r>
      <w:r>
        <w:rPr>
          <w:rFonts w:hint="eastAsia" w:ascii="仿宋_GB2312" w:hAnsi="仿宋" w:eastAsia="仿宋_GB2312"/>
          <w:b/>
          <w:bCs/>
          <w:sz w:val="32"/>
          <w:szCs w:val="32"/>
        </w:rPr>
        <w:t>四是推进环境改造。</w:t>
      </w:r>
      <w:r>
        <w:rPr>
          <w:rFonts w:hint="eastAsia" w:ascii="仿宋_GB2312" w:eastAsia="仿宋_GB2312"/>
          <w:snapToGrid w:val="0"/>
          <w:kern w:val="0"/>
          <w:sz w:val="32"/>
          <w:szCs w:val="32"/>
        </w:rPr>
        <w:t>大力开展“我为老兵办实事”活动，积</w:t>
      </w:r>
      <w:r>
        <w:rPr>
          <w:rFonts w:hint="eastAsia" w:ascii="仿宋_GB2312" w:eastAsia="仿宋_GB2312"/>
          <w:sz w:val="32"/>
          <w:szCs w:val="32"/>
        </w:rPr>
        <w:t>极推进军休设施维修改造和老旧小区加装电梯项目。</w:t>
      </w:r>
      <w:r>
        <w:rPr>
          <w:rFonts w:hint="eastAsia" w:ascii="仿宋_GB2312" w:hAnsi="no value" w:eastAsia="仿宋_GB2312" w:cs="宋体"/>
          <w:kern w:val="0"/>
          <w:sz w:val="32"/>
          <w:szCs w:val="32"/>
        </w:rPr>
        <w:t>两个项目</w:t>
      </w:r>
      <w:r>
        <w:rPr>
          <w:rFonts w:hint="eastAsia" w:ascii="仿宋_GB2312" w:hAnsi="仿宋_GB2312" w:eastAsia="仿宋_GB2312" w:cs="仿宋_GB2312"/>
          <w:sz w:val="32"/>
          <w:szCs w:val="32"/>
          <w:lang w:val="en"/>
        </w:rPr>
        <w:t>全部完工后，将极大改善小区环境，提升军休人员获得感、归属感。</w:t>
      </w:r>
    </w:p>
    <w:p>
      <w:pPr>
        <w:adjustRightInd w:val="0"/>
        <w:snapToGrid w:val="0"/>
        <w:spacing w:line="576"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napToGrid w:val="0"/>
          <w:kern w:val="0"/>
          <w:sz w:val="32"/>
          <w:szCs w:val="32"/>
          <w:lang w:eastAsia="zh-CN"/>
        </w:rPr>
        <w:t>三、</w:t>
      </w:r>
      <w:r>
        <w:rPr>
          <w:rFonts w:hint="eastAsia" w:ascii="楷体_GB2312" w:hAnsi="楷体_GB2312" w:eastAsia="楷体_GB2312" w:cs="楷体_GB2312"/>
          <w:snapToGrid w:val="0"/>
          <w:kern w:val="0"/>
          <w:sz w:val="32"/>
          <w:szCs w:val="32"/>
        </w:rPr>
        <w:t>整顿纪律作风，职工队伍形象明显改观。</w:t>
      </w:r>
      <w:r>
        <w:rPr>
          <w:rFonts w:hint="eastAsia" w:ascii="仿宋_GB2312" w:hAnsi="no value" w:eastAsia="仿宋_GB2312" w:cs="宋体"/>
          <w:kern w:val="0"/>
          <w:sz w:val="32"/>
          <w:szCs w:val="32"/>
        </w:rPr>
        <w:t>严格按照市纪律作风整顿工作部署，成立了所纪</w:t>
      </w:r>
      <w:r>
        <w:rPr>
          <w:rFonts w:hint="eastAsia" w:ascii="仿宋_GB2312" w:hAnsi="楷体_GB2312" w:eastAsia="仿宋_GB2312" w:cs="楷体_GB2312"/>
          <w:snapToGrid w:val="0"/>
          <w:sz w:val="32"/>
          <w:szCs w:val="32"/>
        </w:rPr>
        <w:t>律作风整顿领导小组，</w:t>
      </w:r>
      <w:r>
        <w:rPr>
          <w:rFonts w:hint="eastAsia" w:ascii="仿宋_GB2312" w:hAnsi="no value" w:eastAsia="仿宋_GB2312" w:cs="宋体"/>
          <w:kern w:val="0"/>
          <w:sz w:val="32"/>
          <w:szCs w:val="32"/>
        </w:rPr>
        <w:t>及时召开动员大会，统一思想认识。</w:t>
      </w:r>
      <w:r>
        <w:rPr>
          <w:rFonts w:hint="eastAsia" w:ascii="仿宋_GB2312" w:hAnsi="楷体_GB2312" w:eastAsia="仿宋_GB2312" w:cs="楷体_GB2312"/>
          <w:snapToGrid w:val="0"/>
          <w:sz w:val="32"/>
          <w:szCs w:val="32"/>
        </w:rPr>
        <w:t>多次召开专题工作会议，对照清单查问题，结合实际抓整改，适时组织“回头看”。利用正反两方面的典型案例，教育全体职工要时刻珍惜政治生命、珍惜个人前途、珍惜家庭名声，莫做后悔事，不当糊涂人，树牢了法</w:t>
      </w:r>
      <w:r>
        <w:rPr>
          <w:rFonts w:hint="eastAsia" w:ascii="仿宋_GB2312" w:hAnsi="楷体_GB2312" w:eastAsia="仿宋_GB2312" w:cs="楷体_GB2312"/>
          <w:snapToGrid w:val="0"/>
          <w:sz w:val="32"/>
          <w:szCs w:val="32"/>
          <w:lang w:eastAsia="zh-CN"/>
        </w:rPr>
        <w:t>治</w:t>
      </w:r>
      <w:r>
        <w:rPr>
          <w:rFonts w:hint="eastAsia" w:ascii="仿宋_GB2312" w:hAnsi="楷体_GB2312" w:eastAsia="仿宋_GB2312" w:cs="楷体_GB2312"/>
          <w:snapToGrid w:val="0"/>
          <w:sz w:val="32"/>
          <w:szCs w:val="32"/>
        </w:rPr>
        <w:t>观念，改观了精神面貌。</w:t>
      </w:r>
    </w:p>
    <w:p>
      <w:pPr>
        <w:adjustRightInd w:val="0"/>
        <w:snapToGrid w:val="0"/>
        <w:spacing w:line="576" w:lineRule="exact"/>
        <w:ind w:firstLine="640" w:firstLineChars="200"/>
        <w:rPr>
          <w:rFonts w:hint="eastAsia" w:ascii="仿宋_GB2312" w:hAnsi="楷体_GB2312" w:eastAsia="仿宋_GB2312" w:cs="楷体_GB2312"/>
          <w:snapToGrid w:val="0"/>
          <w:sz w:val="32"/>
          <w:szCs w:val="32"/>
          <w:lang w:eastAsia="zh-CN"/>
        </w:rPr>
      </w:pPr>
      <w:r>
        <w:rPr>
          <w:rFonts w:hint="eastAsia" w:ascii="楷体_GB2312" w:hAnsi="楷体_GB2312" w:eastAsia="楷体_GB2312" w:cs="楷体_GB2312"/>
          <w:snapToGrid w:val="0"/>
          <w:kern w:val="0"/>
          <w:sz w:val="32"/>
          <w:szCs w:val="32"/>
          <w:lang w:eastAsia="zh-CN"/>
        </w:rPr>
        <w:t>四、</w:t>
      </w:r>
      <w:r>
        <w:rPr>
          <w:rFonts w:hint="eastAsia" w:ascii="楷体_GB2312" w:hAnsi="楷体_GB2312" w:eastAsia="楷体_GB2312" w:cs="楷体_GB2312"/>
          <w:snapToGrid w:val="0"/>
          <w:kern w:val="0"/>
          <w:sz w:val="32"/>
          <w:szCs w:val="32"/>
        </w:rPr>
        <w:t>科学统筹协调，其</w:t>
      </w:r>
      <w:r>
        <w:rPr>
          <w:rFonts w:hint="eastAsia" w:ascii="楷体_GB2312" w:hAnsi="楷体_GB2312" w:eastAsia="楷体_GB2312" w:cs="楷体_GB2312"/>
          <w:snapToGrid w:val="0"/>
          <w:kern w:val="0"/>
          <w:sz w:val="32"/>
          <w:szCs w:val="32"/>
          <w:lang w:eastAsia="zh-CN"/>
        </w:rPr>
        <w:t>他</w:t>
      </w:r>
      <w:r>
        <w:rPr>
          <w:rFonts w:hint="eastAsia" w:ascii="楷体_GB2312" w:hAnsi="楷体_GB2312" w:eastAsia="楷体_GB2312" w:cs="楷体_GB2312"/>
          <w:snapToGrid w:val="0"/>
          <w:kern w:val="0"/>
          <w:sz w:val="32"/>
          <w:szCs w:val="32"/>
        </w:rPr>
        <w:t>各项工作齐头并进。</w:t>
      </w:r>
      <w:r>
        <w:rPr>
          <w:rFonts w:hint="eastAsia" w:ascii="仿宋_GB2312" w:hAnsi="楷体_GB2312" w:eastAsia="仿宋_GB2312" w:cs="楷体_GB2312"/>
          <w:snapToGrid w:val="0"/>
          <w:sz w:val="32"/>
          <w:szCs w:val="32"/>
        </w:rPr>
        <w:t>选派2名职工脱产参与乡村振兴驻村帮扶，积极完成对接，迅速进入角色，帮扶工作开局良好。积极参与“双创”工作，认真做好包街包段巡查，倡导工休人员讲文明话、办文明事，低碳出行，绿色上网，做守规市民，建干净城市。落实节假日值班制度，定期组织安全检查，维护好军休服务用车，及时更新老化失效消防设备，</w:t>
      </w:r>
      <w:r>
        <w:rPr>
          <w:rFonts w:hint="eastAsia" w:ascii="仿宋_GB2312" w:hAnsi="楷体_GB2312" w:eastAsia="仿宋_GB2312" w:cs="楷体_GB2312"/>
          <w:snapToGrid w:val="0"/>
          <w:sz w:val="32"/>
          <w:szCs w:val="32"/>
          <w:lang w:eastAsia="zh-CN"/>
        </w:rPr>
        <w:t>确保了全所的安全。</w:t>
      </w:r>
    </w:p>
    <w:p>
      <w:pPr>
        <w:adjustRightInd w:val="0"/>
        <w:snapToGrid w:val="0"/>
        <w:spacing w:line="576" w:lineRule="exact"/>
        <w:rPr>
          <w:rFonts w:hint="eastAsia" w:ascii="仿宋_GB2312" w:eastAsia="仿宋_GB2312"/>
          <w:sz w:val="32"/>
          <w:szCs w:val="32"/>
        </w:rPr>
      </w:pPr>
    </w:p>
    <w:p>
      <w:pPr>
        <w:widowControl/>
        <w:jc w:val="left"/>
        <w:rPr>
          <w:rFonts w:ascii="仿宋" w:hAnsi="仿宋" w:eastAsia="仿宋"/>
          <w:kern w:val="0"/>
          <w:sz w:val="32"/>
          <w:szCs w:val="32"/>
        </w:rPr>
      </w:pPr>
    </w:p>
    <w:p>
      <w:pPr>
        <w:pStyle w:val="3"/>
        <w:spacing w:before="0" w:after="0" w:line="576" w:lineRule="exact"/>
        <w:jc w:val="center"/>
        <w:rPr>
          <w:rFonts w:hint="eastAsia" w:ascii="黑体" w:hAnsi="黑体" w:eastAsia="黑体"/>
          <w:b w:val="0"/>
        </w:rPr>
      </w:pPr>
      <w:bookmarkStart w:id="16" w:name="_Toc15396602"/>
      <w:bookmarkStart w:id="17" w:name="_Toc15377204"/>
    </w:p>
    <w:p>
      <w:pPr>
        <w:pStyle w:val="3"/>
        <w:spacing w:before="0" w:after="0" w:line="576" w:lineRule="exact"/>
        <w:jc w:val="center"/>
        <w:rPr>
          <w:rFonts w:hint="eastAsia" w:ascii="黑体" w:hAnsi="黑体" w:eastAsia="黑体"/>
          <w:b w:val="0"/>
        </w:rPr>
      </w:pPr>
      <w:bookmarkStart w:id="67" w:name="_GoBack"/>
      <w:bookmarkEnd w:id="67"/>
    </w:p>
    <w:p>
      <w:pPr>
        <w:pStyle w:val="3"/>
        <w:keepNext w:val="0"/>
        <w:keepLines w:val="0"/>
        <w:spacing w:before="0" w:after="0" w:line="576" w:lineRule="exact"/>
        <w:jc w:val="center"/>
        <w:rPr>
          <w:rFonts w:hint="eastAsia" w:ascii="黑体" w:hAnsi="黑体" w:eastAsia="黑体"/>
          <w:b w:val="0"/>
        </w:rPr>
      </w:pPr>
    </w:p>
    <w:p>
      <w:pPr>
        <w:pStyle w:val="3"/>
        <w:keepNext w:val="0"/>
        <w:keepLines w:val="0"/>
        <w:spacing w:before="0" w:after="0" w:line="576" w:lineRule="exact"/>
        <w:jc w:val="center"/>
        <w:rPr>
          <w:rFonts w:hint="eastAsia" w:ascii="黑体" w:hAnsi="黑体" w:eastAsia="黑体"/>
          <w:b w:val="0"/>
        </w:rPr>
      </w:pPr>
    </w:p>
    <w:p>
      <w:pPr>
        <w:pStyle w:val="3"/>
        <w:keepNext w:val="0"/>
        <w:keepLines w:val="0"/>
        <w:spacing w:before="0" w:after="0" w:line="576" w:lineRule="exact"/>
        <w:jc w:val="center"/>
        <w:rPr>
          <w:rFonts w:hint="eastAsia" w:ascii="黑体" w:hAnsi="黑体" w:eastAsia="黑体"/>
          <w:b w:val="0"/>
        </w:rPr>
      </w:pPr>
    </w:p>
    <w:p>
      <w:pPr>
        <w:pStyle w:val="3"/>
        <w:keepNext w:val="0"/>
        <w:keepLines w:val="0"/>
        <w:spacing w:before="0" w:after="0" w:line="576" w:lineRule="exact"/>
        <w:jc w:val="center"/>
        <w:rPr>
          <w:rFonts w:hint="eastAsia" w:ascii="黑体" w:hAnsi="黑体" w:eastAsia="黑体"/>
          <w:b w:val="0"/>
        </w:rPr>
      </w:pPr>
    </w:p>
    <w:p>
      <w:pPr>
        <w:pStyle w:val="3"/>
        <w:keepNext w:val="0"/>
        <w:keepLines w:val="0"/>
        <w:spacing w:before="0" w:after="0" w:line="576" w:lineRule="exact"/>
        <w:jc w:val="center"/>
        <w:rPr>
          <w:rFonts w:hint="eastAsia" w:ascii="黑体" w:hAnsi="黑体" w:eastAsia="黑体"/>
          <w:b w:val="0"/>
        </w:rPr>
      </w:pPr>
    </w:p>
    <w:p>
      <w:pPr>
        <w:pStyle w:val="3"/>
        <w:keepNext w:val="0"/>
        <w:keepLines w:val="0"/>
        <w:spacing w:before="0" w:after="0" w:line="576" w:lineRule="exact"/>
        <w:jc w:val="center"/>
        <w:rPr>
          <w:rFonts w:hint="eastAsia" w:ascii="黑体" w:hAnsi="黑体" w:eastAsia="黑体"/>
          <w:b w:val="0"/>
        </w:rPr>
      </w:pPr>
    </w:p>
    <w:p>
      <w:pPr>
        <w:pStyle w:val="3"/>
        <w:keepNext w:val="0"/>
        <w:keepLines w:val="0"/>
        <w:spacing w:before="0" w:after="0" w:line="576" w:lineRule="exact"/>
        <w:jc w:val="center"/>
        <w:rPr>
          <w:rFonts w:hint="eastAsia" w:ascii="黑体" w:hAnsi="黑体" w:eastAsia="黑体"/>
          <w:b w:val="0"/>
        </w:rPr>
      </w:pPr>
    </w:p>
    <w:p>
      <w:pPr>
        <w:pStyle w:val="3"/>
        <w:keepNext w:val="0"/>
        <w:keepLines w:val="0"/>
        <w:spacing w:before="0" w:after="0" w:line="576" w:lineRule="exact"/>
        <w:jc w:val="center"/>
        <w:rPr>
          <w:rFonts w:hint="eastAsia" w:ascii="黑体" w:hAnsi="黑体" w:eastAsia="黑体"/>
          <w:b w:val="0"/>
        </w:rPr>
      </w:pPr>
    </w:p>
    <w:p>
      <w:pPr>
        <w:pStyle w:val="3"/>
        <w:keepNext w:val="0"/>
        <w:keepLines w:val="0"/>
        <w:spacing w:before="0" w:after="0" w:line="576" w:lineRule="exact"/>
        <w:jc w:val="center"/>
        <w:rPr>
          <w:rFonts w:hint="eastAsia" w:ascii="黑体" w:hAnsi="黑体" w:eastAsia="黑体"/>
          <w:b w:val="0"/>
        </w:rPr>
      </w:pPr>
    </w:p>
    <w:p>
      <w:pPr>
        <w:pStyle w:val="3"/>
        <w:keepNext w:val="0"/>
        <w:keepLines w:val="0"/>
        <w:spacing w:before="0" w:after="0" w:line="576" w:lineRule="exact"/>
        <w:jc w:val="center"/>
        <w:rPr>
          <w:rStyle w:val="25"/>
          <w:rFonts w:ascii="黑体" w:hAnsi="黑体" w:eastAsia="黑体"/>
          <w:b w:val="0"/>
          <w:bCs/>
        </w:rPr>
      </w:pPr>
      <w:r>
        <w:rPr>
          <w:rFonts w:hint="eastAsia" w:ascii="黑体" w:hAnsi="黑体" w:eastAsia="黑体"/>
          <w:b w:val="0"/>
        </w:rPr>
        <w:t>第二部分 2021年度</w:t>
      </w:r>
      <w:r>
        <w:rPr>
          <w:rStyle w:val="25"/>
          <w:rFonts w:hint="eastAsia" w:ascii="黑体" w:hAnsi="黑体" w:eastAsia="黑体"/>
          <w:b w:val="0"/>
          <w:bCs/>
        </w:rPr>
        <w:t>单位决算情况说明</w:t>
      </w:r>
      <w:bookmarkEnd w:id="16"/>
      <w:bookmarkEnd w:id="17"/>
    </w:p>
    <w:p>
      <w:pPr>
        <w:spacing w:line="576" w:lineRule="exact"/>
        <w:jc w:val="center"/>
      </w:pPr>
    </w:p>
    <w:p>
      <w:pPr>
        <w:spacing w:line="576" w:lineRule="exact"/>
        <w:ind w:firstLine="640" w:firstLineChars="200"/>
        <w:outlineLvl w:val="1"/>
        <w:rPr>
          <w:rStyle w:val="26"/>
          <w:rFonts w:ascii="黑体" w:hAnsi="黑体" w:eastAsia="黑体"/>
          <w:b w:val="0"/>
        </w:rPr>
      </w:pPr>
      <w:bookmarkStart w:id="18" w:name="_Toc15377205"/>
      <w:bookmarkStart w:id="19" w:name="_Toc15396603"/>
      <w:r>
        <w:rPr>
          <w:rFonts w:hint="eastAsia" w:ascii="黑体" w:hAnsi="黑体" w:eastAsia="黑体"/>
          <w:sz w:val="32"/>
          <w:szCs w:val="32"/>
        </w:rPr>
        <w:t>一、收</w:t>
      </w:r>
      <w:r>
        <w:rPr>
          <w:rStyle w:val="26"/>
          <w:rFonts w:hint="eastAsia" w:ascii="黑体" w:hAnsi="黑体" w:eastAsia="黑体"/>
          <w:b w:val="0"/>
        </w:rPr>
        <w:t>入支出决算总体情况说明</w:t>
      </w:r>
      <w:bookmarkEnd w:id="18"/>
      <w:bookmarkEnd w:id="19"/>
    </w:p>
    <w:p>
      <w:pPr>
        <w:spacing w:line="576" w:lineRule="exact"/>
        <w:ind w:firstLine="640" w:firstLineChars="200"/>
        <w:rPr>
          <w:rFonts w:ascii="仿宋" w:hAnsi="仿宋" w:eastAsia="仿宋"/>
          <w:sz w:val="32"/>
          <w:szCs w:val="32"/>
        </w:rPr>
      </w:pPr>
      <w:r>
        <w:rPr>
          <w:rFonts w:hint="eastAsia" w:ascii="仿宋" w:hAnsi="仿宋" w:eastAsia="仿宋"/>
          <w:sz w:val="32"/>
          <w:szCs w:val="32"/>
        </w:rPr>
        <w:t>2021年度收、支总计3290.53万元。与2020年相比，收、支总计增加212.73万元，增长</w:t>
      </w:r>
      <w:r>
        <w:rPr>
          <w:rFonts w:hint="eastAsia" w:ascii="仿宋" w:hAnsi="仿宋" w:eastAsia="仿宋"/>
          <w:sz w:val="32"/>
          <w:szCs w:val="32"/>
          <w:lang w:val="en-US" w:eastAsia="zh-CN"/>
        </w:rPr>
        <w:t>6.91</w:t>
      </w:r>
      <w:r>
        <w:rPr>
          <w:rFonts w:ascii="仿宋" w:hAnsi="仿宋" w:eastAsia="仿宋"/>
          <w:sz w:val="32"/>
          <w:szCs w:val="32"/>
        </w:rPr>
        <w:t>%</w:t>
      </w:r>
      <w:r>
        <w:rPr>
          <w:rFonts w:hint="eastAsia" w:ascii="仿宋" w:hAnsi="仿宋" w:eastAsia="仿宋"/>
          <w:sz w:val="32"/>
          <w:szCs w:val="32"/>
        </w:rPr>
        <w:t>。主要变动原因是军休人员调资安置经费增加。</w:t>
      </w:r>
    </w:p>
    <w:p>
      <w:pPr>
        <w:pStyle w:val="11"/>
        <w:ind w:left="840" w:hanging="420"/>
      </w:pPr>
      <w:r>
        <w:rPr>
          <w:rFonts w:hint="eastAsia"/>
        </w:rPr>
        <w:drawing>
          <wp:inline distT="0" distB="0" distL="114300" distR="114300">
            <wp:extent cx="4363720" cy="2378075"/>
            <wp:effectExtent l="5080" t="4445" r="5080" b="1016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firstLineChars="200"/>
        <w:rPr>
          <w:rFonts w:ascii="仿宋_GB2312" w:eastAsia="仿宋_GB2312"/>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pStyle w:val="24"/>
        <w:spacing w:line="600" w:lineRule="exact"/>
        <w:ind w:left="720" w:firstLine="0" w:firstLineChars="0"/>
        <w:outlineLvl w:val="1"/>
        <w:rPr>
          <w:rStyle w:val="26"/>
          <w:rFonts w:ascii="黑体" w:hAnsi="黑体" w:eastAsia="黑体"/>
          <w:b w:val="0"/>
        </w:rPr>
      </w:pPr>
      <w:bookmarkStart w:id="20" w:name="_Toc15396604"/>
      <w:bookmarkStart w:id="21" w:name="_Toc15377206"/>
      <w:r>
        <w:rPr>
          <w:rFonts w:hint="eastAsia" w:ascii="黑体" w:hAnsi="黑体" w:eastAsia="黑体"/>
          <w:sz w:val="32"/>
          <w:szCs w:val="32"/>
        </w:rPr>
        <w:t>二、收</w:t>
      </w:r>
      <w:r>
        <w:rPr>
          <w:rStyle w:val="26"/>
          <w:rFonts w:hint="eastAsia" w:ascii="黑体" w:hAnsi="黑体" w:eastAsia="黑体"/>
          <w:b w:val="0"/>
        </w:rPr>
        <w:t>入决算情况说明</w:t>
      </w:r>
      <w:bookmarkEnd w:id="20"/>
      <w:bookmarkEnd w:id="21"/>
    </w:p>
    <w:p>
      <w:pPr>
        <w:spacing w:line="600" w:lineRule="exact"/>
        <w:ind w:firstLine="640" w:firstLineChars="200"/>
        <w:outlineLvl w:val="1"/>
      </w:pPr>
      <w:r>
        <w:rPr>
          <w:rFonts w:ascii="仿宋" w:hAnsi="仿宋" w:eastAsia="仿宋"/>
          <w:sz w:val="32"/>
          <w:szCs w:val="32"/>
        </w:rPr>
        <w:t>20</w:t>
      </w:r>
      <w:r>
        <w:rPr>
          <w:rFonts w:hint="eastAsia" w:ascii="仿宋" w:hAnsi="仿宋" w:eastAsia="仿宋"/>
          <w:sz w:val="32"/>
          <w:szCs w:val="32"/>
        </w:rPr>
        <w:t>21年本年收入合计</w:t>
      </w:r>
      <w:r>
        <w:rPr>
          <w:rFonts w:hint="eastAsia" w:ascii="仿宋" w:hAnsi="仿宋" w:eastAsia="仿宋"/>
          <w:sz w:val="32"/>
          <w:szCs w:val="32"/>
          <w:lang w:val="en-US" w:eastAsia="zh-CN"/>
        </w:rPr>
        <w:t>1960.53</w:t>
      </w:r>
      <w:r>
        <w:rPr>
          <w:rFonts w:hint="eastAsia" w:ascii="仿宋" w:hAnsi="仿宋" w:eastAsia="仿宋"/>
          <w:sz w:val="32"/>
          <w:szCs w:val="32"/>
        </w:rPr>
        <w:t>万元，其中：一般公共预算财政拨款收入1960.5</w:t>
      </w:r>
      <w:r>
        <w:rPr>
          <w:rFonts w:hint="eastAsia" w:ascii="仿宋" w:hAnsi="仿宋" w:eastAsia="仿宋"/>
          <w:sz w:val="32"/>
          <w:szCs w:val="32"/>
          <w:lang w:val="en-US" w:eastAsia="zh-CN"/>
        </w:rPr>
        <w:t>3</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；无政府性基金预算财政拨款收入；无国有资本经营预算财政拨款收入。</w:t>
      </w:r>
    </w:p>
    <w:p>
      <w:pPr>
        <w:pStyle w:val="2"/>
        <w:spacing w:before="93"/>
      </w:pPr>
      <w:r>
        <w:rPr>
          <w:rFonts w:hint="eastAsia" w:eastAsia="仿宋"/>
          <w:lang w:val="en-US" w:eastAsia="zh-CN"/>
        </w:rPr>
        <w:t xml:space="preserve">      </w:t>
      </w:r>
      <w:r>
        <w:rPr>
          <w:rFonts w:hint="eastAsia"/>
        </w:rPr>
        <w:drawing>
          <wp:inline distT="0" distB="0" distL="114300" distR="114300">
            <wp:extent cx="4048760" cy="2638425"/>
            <wp:effectExtent l="4445" t="4445" r="15875" b="889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11"/>
        <w:ind w:left="840" w:hanging="420"/>
        <w:rPr>
          <w:rFonts w:hint="eastAsia" w:eastAsia="仿宋"/>
          <w:lang w:val="en-US" w:eastAsia="zh-CN"/>
        </w:rPr>
      </w:pPr>
    </w:p>
    <w:p>
      <w:pPr>
        <w:spacing w:line="600" w:lineRule="exact"/>
        <w:ind w:firstLine="640" w:firstLineChars="200"/>
        <w:outlineLvl w:val="1"/>
        <w:rPr>
          <w:rFonts w:ascii="仿宋" w:hAnsi="仿宋" w:eastAsia="仿宋"/>
          <w:sz w:val="32"/>
          <w:szCs w:val="32"/>
        </w:rPr>
      </w:pPr>
    </w:p>
    <w:p>
      <w:pPr>
        <w:spacing w:line="600" w:lineRule="exact"/>
        <w:ind w:firstLine="960" w:firstLineChars="300"/>
      </w:pPr>
      <w:r>
        <w:rPr>
          <w:rFonts w:hint="eastAsia" w:ascii="仿宋" w:hAnsi="仿宋" w:eastAsia="仿宋"/>
          <w:sz w:val="32"/>
          <w:szCs w:val="32"/>
        </w:rPr>
        <w:t>（图2：收入决算结构图）（饼状图）</w:t>
      </w:r>
    </w:p>
    <w:p>
      <w:pPr>
        <w:pStyle w:val="24"/>
        <w:spacing w:line="600" w:lineRule="exact"/>
        <w:ind w:left="720" w:firstLine="0" w:firstLineChars="0"/>
        <w:outlineLvl w:val="1"/>
        <w:rPr>
          <w:rStyle w:val="26"/>
          <w:rFonts w:ascii="黑体" w:hAnsi="黑体" w:eastAsia="黑体"/>
          <w:b w:val="0"/>
        </w:rPr>
      </w:pPr>
      <w:bookmarkStart w:id="22" w:name="_Toc15377207"/>
      <w:bookmarkStart w:id="23" w:name="_Toc15396605"/>
      <w:r>
        <w:rPr>
          <w:rFonts w:hint="eastAsia" w:ascii="黑体" w:hAnsi="黑体" w:eastAsia="黑体"/>
          <w:sz w:val="32"/>
          <w:szCs w:val="32"/>
        </w:rPr>
        <w:t>三、支</w:t>
      </w:r>
      <w:r>
        <w:rPr>
          <w:rStyle w:val="26"/>
          <w:rFonts w:hint="eastAsia" w:ascii="黑体" w:hAnsi="黑体" w:eastAsia="黑体"/>
          <w:b w:val="0"/>
        </w:rPr>
        <w:t>出决算情况说明</w:t>
      </w:r>
      <w:bookmarkEnd w:id="22"/>
      <w:bookmarkEnd w:id="23"/>
    </w:p>
    <w:p>
      <w:pPr>
        <w:spacing w:line="600" w:lineRule="exact"/>
        <w:ind w:firstLine="640" w:firstLineChars="200"/>
        <w:outlineLvl w:val="1"/>
        <w:rPr>
          <w:rFonts w:ascii="仿宋" w:hAnsi="仿宋" w:eastAsia="仿宋"/>
          <w:sz w:val="32"/>
          <w:szCs w:val="32"/>
          <w:shd w:val="pct10" w:color="auto" w:fill="FFFFFF"/>
        </w:rPr>
      </w:pPr>
      <w:r>
        <w:rPr>
          <w:rFonts w:ascii="仿宋" w:hAnsi="仿宋" w:eastAsia="仿宋"/>
          <w:sz w:val="32"/>
          <w:szCs w:val="32"/>
        </w:rPr>
        <w:t>20</w:t>
      </w:r>
      <w:r>
        <w:rPr>
          <w:rFonts w:hint="eastAsia" w:ascii="仿宋" w:hAnsi="仿宋" w:eastAsia="仿宋"/>
          <w:sz w:val="32"/>
          <w:szCs w:val="32"/>
        </w:rPr>
        <w:t>21年本年支出合计1925.14万元，其中：基本支出420.4万元，占21.8</w:t>
      </w:r>
      <w:r>
        <w:rPr>
          <w:rFonts w:ascii="仿宋" w:hAnsi="仿宋" w:eastAsia="仿宋"/>
          <w:sz w:val="32"/>
          <w:szCs w:val="32"/>
        </w:rPr>
        <w:t>%</w:t>
      </w:r>
      <w:r>
        <w:rPr>
          <w:rFonts w:hint="eastAsia" w:ascii="仿宋" w:hAnsi="仿宋" w:eastAsia="仿宋"/>
          <w:sz w:val="32"/>
          <w:szCs w:val="32"/>
        </w:rPr>
        <w:t>；项目支出1504.74万元，占78.2</w:t>
      </w:r>
      <w:r>
        <w:rPr>
          <w:rFonts w:ascii="仿宋" w:hAnsi="仿宋" w:eastAsia="仿宋"/>
          <w:sz w:val="32"/>
          <w:szCs w:val="32"/>
        </w:rPr>
        <w:t>%</w:t>
      </w:r>
      <w:r>
        <w:rPr>
          <w:rFonts w:hint="eastAsia" w:ascii="仿宋" w:hAnsi="仿宋" w:eastAsia="仿宋"/>
          <w:sz w:val="32"/>
          <w:szCs w:val="32"/>
        </w:rPr>
        <w:t>。</w:t>
      </w:r>
    </w:p>
    <w:p>
      <w:pPr>
        <w:pStyle w:val="11"/>
        <w:ind w:left="840" w:hanging="420"/>
        <w:rPr>
          <w:rFonts w:eastAsia="仿宋"/>
        </w:rPr>
      </w:pPr>
    </w:p>
    <w:p>
      <w:pPr>
        <w:pStyle w:val="11"/>
        <w:ind w:left="840" w:hanging="420"/>
        <w:rPr>
          <w:rFonts w:eastAsia="仿宋"/>
        </w:rPr>
      </w:pPr>
      <w:r>
        <w:rPr>
          <w:rFonts w:hint="eastAsia" w:eastAsia="仿宋"/>
        </w:rPr>
        <w:drawing>
          <wp:inline distT="0" distB="0" distL="114300" distR="114300">
            <wp:extent cx="4302125" cy="2532380"/>
            <wp:effectExtent l="4445" t="4445" r="6350" b="825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rPr>
          <w:rFonts w:ascii="仿宋_GB2312" w:eastAsia="仿宋_GB2312"/>
          <w:sz w:val="32"/>
          <w:szCs w:val="32"/>
        </w:rPr>
      </w:pPr>
      <w:r>
        <w:rPr>
          <w:rFonts w:hint="eastAsia" w:ascii="仿宋" w:hAnsi="仿宋" w:eastAsia="仿宋"/>
          <w:sz w:val="32"/>
          <w:szCs w:val="32"/>
        </w:rPr>
        <w:t>（图3：支出决算结构图）（饼状图）</w:t>
      </w:r>
    </w:p>
    <w:p>
      <w:pPr>
        <w:spacing w:line="600" w:lineRule="exact"/>
        <w:ind w:firstLine="640" w:firstLineChars="200"/>
        <w:outlineLvl w:val="1"/>
        <w:rPr>
          <w:rStyle w:val="26"/>
          <w:rFonts w:ascii="黑体" w:hAnsi="黑体" w:eastAsia="黑体"/>
          <w:b w:val="0"/>
        </w:rPr>
      </w:pPr>
      <w:bookmarkStart w:id="24" w:name="_Toc15377208"/>
      <w:bookmarkStart w:id="25" w:name="_Toc15396606"/>
      <w:r>
        <w:rPr>
          <w:rFonts w:hint="eastAsia" w:ascii="黑体" w:hAnsi="黑体" w:eastAsia="黑体"/>
          <w:sz w:val="32"/>
          <w:szCs w:val="32"/>
        </w:rPr>
        <w:t>四、财</w:t>
      </w:r>
      <w:r>
        <w:rPr>
          <w:rStyle w:val="26"/>
          <w:rFonts w:hint="eastAsia" w:ascii="黑体" w:hAnsi="黑体" w:eastAsia="黑体"/>
          <w:b w:val="0"/>
        </w:rPr>
        <w:t>政拨款收入支出决算总体情况说明</w:t>
      </w:r>
      <w:bookmarkEnd w:id="24"/>
      <w:bookmarkEnd w:id="25"/>
    </w:p>
    <w:p>
      <w:pPr>
        <w:spacing w:line="600" w:lineRule="exact"/>
        <w:ind w:firstLine="640" w:firstLineChars="200"/>
      </w:pPr>
      <w:r>
        <w:rPr>
          <w:rFonts w:ascii="仿宋" w:hAnsi="仿宋" w:eastAsia="仿宋"/>
          <w:sz w:val="32"/>
          <w:szCs w:val="32"/>
        </w:rPr>
        <w:t>20</w:t>
      </w:r>
      <w:r>
        <w:rPr>
          <w:rFonts w:hint="eastAsia" w:ascii="仿宋" w:hAnsi="仿宋" w:eastAsia="仿宋"/>
          <w:sz w:val="32"/>
          <w:szCs w:val="32"/>
        </w:rPr>
        <w:t>21年财政拨款收、支总计3290.53万元。与</w:t>
      </w:r>
      <w:r>
        <w:rPr>
          <w:rFonts w:ascii="仿宋" w:hAnsi="仿宋" w:eastAsia="仿宋"/>
          <w:sz w:val="32"/>
          <w:szCs w:val="32"/>
        </w:rPr>
        <w:t>20</w:t>
      </w:r>
      <w:r>
        <w:rPr>
          <w:rFonts w:hint="eastAsia" w:ascii="仿宋" w:hAnsi="仿宋" w:eastAsia="仿宋"/>
          <w:sz w:val="32"/>
          <w:szCs w:val="32"/>
        </w:rPr>
        <w:t>20年相比，财政拨款收、支总计增加212.73万元，增长6.</w:t>
      </w:r>
      <w:r>
        <w:rPr>
          <w:rFonts w:hint="eastAsia" w:ascii="仿宋" w:hAnsi="仿宋" w:eastAsia="仿宋"/>
          <w:sz w:val="32"/>
          <w:szCs w:val="32"/>
          <w:lang w:val="en-US" w:eastAsia="zh-CN"/>
        </w:rPr>
        <w:t>91</w:t>
      </w:r>
      <w:r>
        <w:rPr>
          <w:rFonts w:ascii="仿宋" w:hAnsi="仿宋" w:eastAsia="仿宋"/>
          <w:sz w:val="32"/>
          <w:szCs w:val="32"/>
        </w:rPr>
        <w:t>%</w:t>
      </w:r>
      <w:r>
        <w:rPr>
          <w:rFonts w:hint="eastAsia" w:ascii="仿宋" w:hAnsi="仿宋" w:eastAsia="仿宋"/>
          <w:sz w:val="32"/>
          <w:szCs w:val="32"/>
        </w:rPr>
        <w:t>。主要变动原因是军休人员调资安置经费增加。</w:t>
      </w:r>
    </w:p>
    <w:p>
      <w:pPr>
        <w:spacing w:line="600" w:lineRule="exact"/>
        <w:rPr>
          <w:rFonts w:ascii="仿宋" w:hAnsi="仿宋" w:eastAsia="仿宋"/>
          <w:b/>
          <w:sz w:val="32"/>
          <w:szCs w:val="32"/>
        </w:rPr>
      </w:pPr>
      <w:r>
        <w:rPr>
          <w:rFonts w:hint="eastAsia" w:ascii="仿宋" w:hAnsi="仿宋" w:eastAsia="仿宋"/>
          <w:sz w:val="32"/>
          <w:szCs w:val="32"/>
        </w:rPr>
        <w:drawing>
          <wp:anchor distT="0" distB="0" distL="114300" distR="114300" simplePos="0" relativeHeight="251660288" behindDoc="0" locked="0" layoutInCell="1" allowOverlap="1">
            <wp:simplePos x="0" y="0"/>
            <wp:positionH relativeFrom="column">
              <wp:posOffset>24765</wp:posOffset>
            </wp:positionH>
            <wp:positionV relativeFrom="paragraph">
              <wp:posOffset>227965</wp:posOffset>
            </wp:positionV>
            <wp:extent cx="5241925" cy="2560955"/>
            <wp:effectExtent l="4445" t="4445" r="11430" b="10160"/>
            <wp:wrapSquare wrapText="bothSides"/>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 w:hAnsi="仿宋" w:eastAsia="仿宋"/>
          <w:sz w:val="32"/>
          <w:szCs w:val="32"/>
        </w:rPr>
        <w:t>（图4：财政拨款收、支决算总计变动情况）（柱状图）</w:t>
      </w:r>
    </w:p>
    <w:p>
      <w:pPr>
        <w:spacing w:line="600" w:lineRule="exact"/>
        <w:ind w:firstLine="640" w:firstLineChars="200"/>
        <w:outlineLvl w:val="1"/>
        <w:rPr>
          <w:rFonts w:hint="eastAsia"/>
        </w:rPr>
      </w:pPr>
      <w:bookmarkStart w:id="26" w:name="_Toc15396607"/>
      <w:bookmarkStart w:id="27" w:name="_Toc15377209"/>
      <w:r>
        <w:rPr>
          <w:rFonts w:hint="eastAsia" w:ascii="黑体" w:hAnsi="黑体" w:eastAsia="黑体"/>
          <w:sz w:val="32"/>
          <w:szCs w:val="32"/>
        </w:rPr>
        <w:t>五、</w:t>
      </w:r>
      <w:r>
        <w:rPr>
          <w:rFonts w:hint="eastAsia" w:ascii="黑体" w:hAnsi="黑体" w:eastAsia="黑体"/>
          <w:b/>
          <w:sz w:val="32"/>
          <w:szCs w:val="32"/>
        </w:rPr>
        <w:t>一</w:t>
      </w:r>
      <w:r>
        <w:rPr>
          <w:rStyle w:val="26"/>
          <w:rFonts w:hint="eastAsia" w:ascii="黑体" w:hAnsi="黑体" w:eastAsia="黑体"/>
          <w:b w:val="0"/>
        </w:rPr>
        <w:t>般公共预算财政拨款支出决算情况说明</w:t>
      </w:r>
      <w:bookmarkEnd w:id="26"/>
      <w:bookmarkEnd w:id="27"/>
      <w:bookmarkStart w:id="28" w:name="_Toc15377210"/>
    </w:p>
    <w:p>
      <w:pPr>
        <w:spacing w:line="600" w:lineRule="exact"/>
        <w:ind w:firstLine="642" w:firstLineChars="200"/>
        <w:outlineLvl w:val="2"/>
        <w:rPr>
          <w:rFonts w:ascii="仿宋" w:hAnsi="仿宋" w:eastAsia="仿宋"/>
          <w:b/>
          <w:sz w:val="32"/>
          <w:szCs w:val="32"/>
        </w:rPr>
      </w:pPr>
      <w:r>
        <w:rPr>
          <w:rFonts w:hint="eastAsia" w:ascii="仿宋" w:hAnsi="仿宋" w:eastAsia="仿宋"/>
          <w:b/>
          <w:sz w:val="32"/>
          <w:szCs w:val="32"/>
        </w:rPr>
        <w:t>（一）一般公共预算财政拨款支出决算总体情况</w:t>
      </w:r>
      <w:bookmarkEnd w:id="28"/>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21年一般公共预算财政拨款支出1925.14万元，占本年支出合计的100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20年相比，一般公共预算财政拨款支出增加177.33万元，增长9.2%。主要变动原因是军休人员工资调标补差及军休人员死亡抚恤增加。</w:t>
      </w:r>
    </w:p>
    <w:p>
      <w:pPr>
        <w:spacing w:line="600" w:lineRule="exact"/>
        <w:ind w:firstLine="640" w:firstLineChars="200"/>
        <w:rPr>
          <w:rFonts w:ascii="仿宋" w:hAnsi="仿宋" w:eastAsia="仿宋"/>
          <w:sz w:val="32"/>
          <w:szCs w:val="32"/>
        </w:rPr>
      </w:pPr>
    </w:p>
    <w:p>
      <w:pPr>
        <w:pStyle w:val="11"/>
        <w:ind w:left="1060" w:hanging="640"/>
        <w:rPr>
          <w:rFonts w:ascii="仿宋" w:hAnsi="仿宋" w:eastAsia="仿宋"/>
          <w:sz w:val="32"/>
          <w:szCs w:val="32"/>
        </w:rPr>
      </w:pPr>
    </w:p>
    <w:p>
      <w:pPr>
        <w:rPr>
          <w:rFonts w:ascii="仿宋" w:hAnsi="仿宋" w:eastAsia="仿宋"/>
          <w:sz w:val="32"/>
          <w:szCs w:val="32"/>
        </w:rPr>
      </w:pPr>
    </w:p>
    <w:p>
      <w:pPr>
        <w:pStyle w:val="11"/>
        <w:ind w:left="840" w:hanging="420"/>
      </w:pPr>
    </w:p>
    <w:p>
      <w:pPr>
        <w:spacing w:line="600" w:lineRule="exact"/>
        <w:ind w:firstLine="640" w:firstLineChars="200"/>
        <w:rPr>
          <w:rFonts w:ascii="仿宋" w:hAnsi="仿宋" w:eastAsia="仿宋"/>
          <w:sz w:val="32"/>
          <w:szCs w:val="32"/>
        </w:rPr>
      </w:pPr>
      <w:r>
        <w:rPr>
          <w:rFonts w:hint="eastAsia" w:ascii="仿宋" w:hAnsi="仿宋" w:eastAsia="仿宋"/>
          <w:sz w:val="32"/>
          <w:szCs w:val="32"/>
        </w:rPr>
        <w:drawing>
          <wp:anchor distT="0" distB="0" distL="114300" distR="114300" simplePos="0" relativeHeight="251661312" behindDoc="0" locked="0" layoutInCell="1" allowOverlap="1">
            <wp:simplePos x="0" y="0"/>
            <wp:positionH relativeFrom="column">
              <wp:posOffset>614680</wp:posOffset>
            </wp:positionH>
            <wp:positionV relativeFrom="paragraph">
              <wp:posOffset>-193675</wp:posOffset>
            </wp:positionV>
            <wp:extent cx="4886325" cy="2675890"/>
            <wp:effectExtent l="4445" t="4445" r="16510" b="17145"/>
            <wp:wrapSquare wrapText="bothSides"/>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r>
        <w:rPr>
          <w:rFonts w:hint="eastAsia" w:ascii="仿宋" w:hAnsi="仿宋" w:eastAsia="仿宋"/>
          <w:sz w:val="32"/>
          <w:szCs w:val="32"/>
        </w:rPr>
        <w:t>（</w:t>
      </w: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pPr>
        <w:spacing w:line="600" w:lineRule="exact"/>
        <w:ind w:firstLine="642"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21年一般公共预算财政拨款支出1925.14万元，主要用于以下方面</w:t>
      </w:r>
      <w:r>
        <w:rPr>
          <w:rFonts w:ascii="仿宋" w:hAnsi="仿宋" w:eastAsia="仿宋"/>
          <w:sz w:val="32"/>
          <w:szCs w:val="32"/>
        </w:rPr>
        <w:t>:</w:t>
      </w:r>
      <w:r>
        <w:rPr>
          <w:rFonts w:hint="eastAsia" w:ascii="仿宋" w:hAnsi="仿宋" w:eastAsia="仿宋"/>
          <w:b/>
          <w:sz w:val="32"/>
          <w:szCs w:val="32"/>
        </w:rPr>
        <w:t>社会保障和就业（类）</w:t>
      </w:r>
      <w:r>
        <w:rPr>
          <w:rFonts w:hint="eastAsia" w:ascii="仿宋" w:hAnsi="仿宋" w:eastAsia="仿宋"/>
          <w:sz w:val="32"/>
          <w:szCs w:val="32"/>
        </w:rPr>
        <w:t>支出1896.88万元，占98.5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卫生健康支出7.31</w:t>
      </w:r>
      <w:r>
        <w:rPr>
          <w:rFonts w:hint="eastAsia" w:ascii="仿宋" w:hAnsi="仿宋" w:eastAsia="仿宋"/>
          <w:sz w:val="32"/>
          <w:szCs w:val="32"/>
        </w:rPr>
        <w:t>万元，占0.4</w:t>
      </w:r>
      <w:r>
        <w:rPr>
          <w:rFonts w:ascii="仿宋" w:hAnsi="仿宋" w:eastAsia="仿宋"/>
          <w:sz w:val="32"/>
          <w:szCs w:val="32"/>
        </w:rPr>
        <w:t>%</w:t>
      </w:r>
      <w:r>
        <w:rPr>
          <w:rFonts w:hint="eastAsia" w:ascii="仿宋" w:hAnsi="仿宋" w:eastAsia="仿宋"/>
          <w:sz w:val="32"/>
          <w:szCs w:val="32"/>
        </w:rPr>
        <w:t>；住房保障支出20.95万元，占1.1%。</w:t>
      </w:r>
    </w:p>
    <w:p>
      <w:pPr>
        <w:spacing w:line="600" w:lineRule="exact"/>
        <w:rPr>
          <w:rFonts w:ascii="仿宋" w:hAnsi="仿宋" w:eastAsia="仿宋"/>
          <w:sz w:val="32"/>
          <w:szCs w:val="32"/>
        </w:rPr>
      </w:pPr>
      <w:r>
        <w:rPr>
          <w:rFonts w:hint="eastAsia" w:ascii="仿宋" w:hAnsi="仿宋" w:eastAsia="仿宋"/>
          <w:sz w:val="32"/>
          <w:szCs w:val="32"/>
        </w:rPr>
        <w:drawing>
          <wp:anchor distT="0" distB="0" distL="114300" distR="114300" simplePos="0" relativeHeight="251662336" behindDoc="0" locked="0" layoutInCell="1" allowOverlap="1">
            <wp:simplePos x="0" y="0"/>
            <wp:positionH relativeFrom="column">
              <wp:posOffset>209550</wp:posOffset>
            </wp:positionH>
            <wp:positionV relativeFrom="paragraph">
              <wp:posOffset>49530</wp:posOffset>
            </wp:positionV>
            <wp:extent cx="4821555" cy="2609850"/>
            <wp:effectExtent l="4445" t="5080" r="5080" b="6350"/>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pacing w:line="600" w:lineRule="exact"/>
        <w:ind w:firstLine="640"/>
        <w:rPr>
          <w:rFonts w:ascii="仿宋" w:hAnsi="仿宋" w:eastAsia="仿宋"/>
          <w:sz w:val="32"/>
          <w:szCs w:val="32"/>
        </w:rPr>
      </w:pPr>
    </w:p>
    <w:p>
      <w:pPr>
        <w:spacing w:line="600" w:lineRule="exact"/>
        <w:ind w:firstLine="640"/>
        <w:rPr>
          <w:rFonts w:ascii="仿宋" w:hAnsi="仿宋" w:eastAsia="仿宋"/>
          <w:sz w:val="32"/>
          <w:szCs w:val="32"/>
        </w:rPr>
      </w:pPr>
    </w:p>
    <w:p>
      <w:pPr>
        <w:spacing w:line="600" w:lineRule="exact"/>
        <w:ind w:firstLine="640"/>
        <w:rPr>
          <w:rFonts w:ascii="仿宋" w:hAnsi="仿宋" w:eastAsia="仿宋"/>
          <w:sz w:val="32"/>
          <w:szCs w:val="32"/>
        </w:rPr>
      </w:pPr>
    </w:p>
    <w:p>
      <w:pPr>
        <w:spacing w:line="600" w:lineRule="exact"/>
        <w:ind w:firstLine="640"/>
        <w:rPr>
          <w:rFonts w:ascii="仿宋" w:hAnsi="仿宋" w:eastAsia="仿宋"/>
          <w:sz w:val="32"/>
          <w:szCs w:val="32"/>
        </w:rPr>
      </w:pPr>
    </w:p>
    <w:p>
      <w:pPr>
        <w:spacing w:line="600" w:lineRule="exact"/>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rPr>
          <w:rFonts w:ascii="仿宋" w:hAnsi="仿宋" w:eastAsia="仿宋"/>
          <w:sz w:val="32"/>
          <w:szCs w:val="32"/>
        </w:rPr>
      </w:pPr>
      <w:r>
        <w:rPr>
          <w:rFonts w:hint="eastAsia" w:ascii="仿宋" w:hAnsi="仿宋" w:eastAsia="仿宋"/>
          <w:sz w:val="32"/>
          <w:szCs w:val="32"/>
        </w:rPr>
        <w:t>图6：一般公共预算财政拨款支出决算结构（饼状图）</w:t>
      </w:r>
    </w:p>
    <w:p>
      <w:pPr>
        <w:spacing w:line="600" w:lineRule="exact"/>
        <w:ind w:firstLine="642"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pPr>
        <w:spacing w:line="600" w:lineRule="exact"/>
        <w:ind w:firstLine="642" w:firstLineChars="200"/>
        <w:outlineLvl w:val="2"/>
        <w:rPr>
          <w:rFonts w:ascii="仿宋_GB2312" w:eastAsia="仿宋_GB2312"/>
          <w:sz w:val="32"/>
          <w:szCs w:val="32"/>
        </w:rPr>
      </w:pPr>
      <w:bookmarkStart w:id="31" w:name="_Toc15377444"/>
      <w:bookmarkStart w:id="32" w:name="_Toc15377213"/>
      <w:bookmarkStart w:id="33" w:name="_Toc15378460"/>
      <w:r>
        <w:rPr>
          <w:rFonts w:hint="eastAsia" w:ascii="仿宋" w:hAnsi="仿宋" w:eastAsia="仿宋"/>
          <w:b/>
          <w:sz w:val="32"/>
          <w:szCs w:val="32"/>
        </w:rPr>
        <w:t>2021年一般公共预算支出决算数为1925.14</w:t>
      </w:r>
      <w:r>
        <w:rPr>
          <w:rFonts w:hint="eastAsia" w:ascii="仿宋" w:hAnsi="仿宋" w:eastAsia="仿宋"/>
          <w:sz w:val="32"/>
          <w:szCs w:val="32"/>
        </w:rPr>
        <w:t>，</w:t>
      </w:r>
      <w:r>
        <w:rPr>
          <w:rStyle w:val="15"/>
          <w:rFonts w:hint="eastAsia" w:ascii="仿宋" w:hAnsi="仿宋" w:eastAsia="仿宋"/>
          <w:bCs/>
          <w:sz w:val="32"/>
          <w:szCs w:val="32"/>
        </w:rPr>
        <w:t>完成预算61.3</w:t>
      </w:r>
      <w:r>
        <w:rPr>
          <w:rStyle w:val="15"/>
          <w:rFonts w:ascii="仿宋" w:hAnsi="仿宋" w:eastAsia="仿宋"/>
          <w:bCs/>
          <w:sz w:val="32"/>
          <w:szCs w:val="32"/>
        </w:rPr>
        <w:t>%</w:t>
      </w:r>
      <w:r>
        <w:rPr>
          <w:rStyle w:val="15"/>
          <w:rFonts w:hint="eastAsia" w:ascii="仿宋" w:hAnsi="仿宋" w:eastAsia="仿宋"/>
          <w:bCs/>
          <w:sz w:val="32"/>
          <w:szCs w:val="32"/>
        </w:rPr>
        <w:t>。其中：</w:t>
      </w:r>
      <w:bookmarkEnd w:id="31"/>
      <w:bookmarkEnd w:id="32"/>
      <w:bookmarkEnd w:id="33"/>
    </w:p>
    <w:p>
      <w:pPr>
        <w:numPr>
          <w:ilvl w:val="0"/>
          <w:numId w:val="2"/>
        </w:numPr>
        <w:spacing w:line="600" w:lineRule="exact"/>
        <w:ind w:left="-10" w:leftChars="0" w:firstLine="640" w:firstLineChars="0"/>
        <w:rPr>
          <w:rStyle w:val="15"/>
          <w:rFonts w:ascii="仿宋_GB2312" w:hAnsi="仿宋_GB2312" w:eastAsia="仿宋_GB2312" w:cs="仿宋_GB2312"/>
          <w:b w:val="0"/>
          <w:bCs/>
          <w:sz w:val="32"/>
          <w:szCs w:val="32"/>
        </w:rPr>
      </w:pPr>
      <w:r>
        <w:rPr>
          <w:rStyle w:val="15"/>
          <w:rFonts w:hint="eastAsia" w:ascii="仿宋_GB2312" w:hAnsi="仿宋_GB2312" w:eastAsia="仿宋_GB2312" w:cs="仿宋_GB2312"/>
          <w:b w:val="0"/>
          <w:bCs/>
          <w:sz w:val="32"/>
          <w:szCs w:val="32"/>
        </w:rPr>
        <w:t>社会保障和就业（类）行政事业单位养老支出（款）机关事业单位基本养老保险缴费支出（项）: 支出决算为20.84万元，完成预算100%。</w:t>
      </w:r>
    </w:p>
    <w:p>
      <w:pPr>
        <w:spacing w:line="600" w:lineRule="exact"/>
        <w:ind w:firstLine="640" w:firstLineChars="200"/>
      </w:pPr>
      <w:r>
        <w:rPr>
          <w:rStyle w:val="15"/>
          <w:rFonts w:hint="eastAsia" w:ascii="仿宋_GB2312" w:hAnsi="仿宋_GB2312" w:eastAsia="仿宋_GB2312" w:cs="仿宋_GB2312"/>
          <w:b w:val="0"/>
          <w:bCs/>
          <w:sz w:val="32"/>
          <w:szCs w:val="32"/>
          <w:lang w:val="en-US" w:eastAsia="zh-CN"/>
        </w:rPr>
        <w:t>2</w:t>
      </w:r>
      <w:r>
        <w:rPr>
          <w:rStyle w:val="15"/>
          <w:rFonts w:hint="eastAsia" w:ascii="仿宋_GB2312" w:hAnsi="仿宋_GB2312" w:eastAsia="仿宋_GB2312" w:cs="仿宋_GB2312"/>
          <w:b w:val="0"/>
          <w:bCs/>
          <w:sz w:val="32"/>
          <w:szCs w:val="32"/>
        </w:rPr>
        <w:t>.社会保障和就业（类）抚恤（款）死亡抚恤（项）: 支出决算为101.13万元，完成预算100%。</w:t>
      </w:r>
    </w:p>
    <w:p>
      <w:pPr>
        <w:spacing w:line="600" w:lineRule="exact"/>
        <w:ind w:firstLine="420" w:firstLineChars="200"/>
        <w:rPr>
          <w:rStyle w:val="15"/>
          <w:rFonts w:ascii="仿宋_GB2312" w:hAnsi="仿宋_GB2312" w:eastAsia="仿宋_GB2312" w:cs="仿宋_GB2312"/>
          <w:b w:val="0"/>
          <w:bCs/>
          <w:sz w:val="32"/>
          <w:szCs w:val="32"/>
        </w:rPr>
      </w:pPr>
      <w:r>
        <w:rPr>
          <w:rFonts w:hint="eastAsia" w:eastAsia="仿宋"/>
        </w:rPr>
        <w:t xml:space="preserve">   </w:t>
      </w:r>
      <w:r>
        <w:rPr>
          <w:rStyle w:val="15"/>
          <w:rFonts w:hint="eastAsia" w:ascii="仿宋_GB2312" w:hAnsi="仿宋_GB2312" w:eastAsia="仿宋_GB2312" w:cs="仿宋_GB2312"/>
          <w:b w:val="0"/>
          <w:bCs/>
          <w:sz w:val="32"/>
          <w:szCs w:val="32"/>
        </w:rPr>
        <w:t>3.卫生健康（类）行政事业单位医疗（款）事业单位医疗（项）：支出决算为7.31万元，完成预算100%。</w:t>
      </w:r>
    </w:p>
    <w:p>
      <w:pPr>
        <w:spacing w:line="600" w:lineRule="exact"/>
        <w:ind w:firstLine="420" w:firstLineChars="200"/>
        <w:rPr>
          <w:rFonts w:ascii="仿宋_GB2312" w:hAnsi="仿宋_GB2312" w:eastAsia="仿宋_GB2312" w:cs="仿宋_GB2312"/>
          <w:b/>
          <w:sz w:val="32"/>
          <w:szCs w:val="32"/>
        </w:rPr>
      </w:pPr>
      <w:r>
        <w:rPr>
          <w:rFonts w:hint="eastAsia" w:eastAsia="仿宋"/>
        </w:rPr>
        <w:t xml:space="preserve">   </w:t>
      </w:r>
      <w:r>
        <w:rPr>
          <w:rStyle w:val="15"/>
          <w:rFonts w:hint="eastAsia" w:ascii="仿宋_GB2312" w:hAnsi="仿宋_GB2312" w:eastAsia="仿宋_GB2312" w:cs="仿宋_GB2312"/>
          <w:b w:val="0"/>
          <w:bCs/>
          <w:sz w:val="32"/>
          <w:szCs w:val="32"/>
        </w:rPr>
        <w:t>4.</w:t>
      </w:r>
      <w:r>
        <w:rPr>
          <w:rFonts w:hint="eastAsia" w:ascii="仿宋_GB2312" w:hAnsi="仿宋_GB2312" w:eastAsia="仿宋_GB2312" w:cs="仿宋_GB2312"/>
          <w:sz w:val="32"/>
          <w:szCs w:val="32"/>
        </w:rPr>
        <w:t>住房保障支出</w:t>
      </w:r>
      <w:r>
        <w:rPr>
          <w:rStyle w:val="15"/>
          <w:rFonts w:hint="eastAsia" w:ascii="仿宋_GB2312" w:hAnsi="仿宋_GB2312" w:eastAsia="仿宋_GB2312" w:cs="仿宋_GB2312"/>
          <w:b w:val="0"/>
          <w:sz w:val="32"/>
          <w:szCs w:val="32"/>
        </w:rPr>
        <w:t>（类）住房改革支出（款）住房公积金（项）：</w:t>
      </w:r>
      <w:r>
        <w:rPr>
          <w:rStyle w:val="15"/>
          <w:rFonts w:hint="eastAsia" w:ascii="仿宋_GB2312" w:hAnsi="仿宋_GB2312" w:eastAsia="仿宋_GB2312" w:cs="仿宋_GB2312"/>
          <w:b w:val="0"/>
          <w:bCs/>
          <w:sz w:val="32"/>
          <w:szCs w:val="32"/>
        </w:rPr>
        <w:t>支出决算为20.95万元，完成预算100%。</w:t>
      </w:r>
    </w:p>
    <w:p>
      <w:pPr>
        <w:adjustRightInd w:val="0"/>
        <w:snapToGrid w:val="0"/>
        <w:spacing w:line="550" w:lineRule="exact"/>
        <w:ind w:firstLine="640" w:firstLineChars="200"/>
        <w:rPr>
          <w:rFonts w:hint="eastAsia" w:ascii="仿宋_GB2312" w:eastAsia="仿宋_GB2312"/>
          <w:sz w:val="32"/>
          <w:szCs w:val="32"/>
        </w:rPr>
      </w:pPr>
      <w:r>
        <w:rPr>
          <w:rFonts w:hint="eastAsia" w:ascii="仿宋_GB2312" w:eastAsia="仿宋_GB2312"/>
          <w:sz w:val="32"/>
          <w:szCs w:val="32"/>
        </w:rPr>
        <w:t>5.社会保障和就业（类）退役安置（款）军队移交政府的离退休人员安置（项）: 支出决算为</w:t>
      </w:r>
      <w:r>
        <w:rPr>
          <w:rFonts w:hint="eastAsia" w:ascii="仿宋_GB2312" w:eastAsia="仿宋_GB2312"/>
          <w:sz w:val="32"/>
          <w:szCs w:val="32"/>
          <w:lang w:val="en-US" w:eastAsia="zh-CN"/>
        </w:rPr>
        <w:t>1504.73</w:t>
      </w:r>
      <w:r>
        <w:rPr>
          <w:rFonts w:hint="eastAsia" w:ascii="仿宋_GB2312" w:eastAsia="仿宋_GB2312"/>
          <w:sz w:val="32"/>
          <w:szCs w:val="32"/>
        </w:rPr>
        <w:t>万元，完成预算57%，决算数小于预算数的主要原因是历年来为保障军休人员来年生活待遇按落实到位，提前下达次年安置经费。</w:t>
      </w:r>
    </w:p>
    <w:p>
      <w:pPr>
        <w:pStyle w:val="11"/>
        <w:ind w:left="0" w:leftChars="0" w:firstLine="640" w:firstLineChars="200"/>
        <w:rPr>
          <w:rFonts w:hint="eastAsia"/>
        </w:rPr>
      </w:pPr>
      <w:r>
        <w:rPr>
          <w:rFonts w:hint="eastAsia" w:ascii="仿宋_GB2312" w:eastAsia="仿宋_GB2312"/>
          <w:sz w:val="32"/>
          <w:szCs w:val="32"/>
          <w:lang w:val="en-US" w:eastAsia="zh-CN"/>
        </w:rPr>
        <w:t>6</w:t>
      </w:r>
      <w:r>
        <w:rPr>
          <w:rFonts w:hint="eastAsia" w:ascii="仿宋_GB2312" w:eastAsia="仿宋_GB2312"/>
          <w:sz w:val="32"/>
          <w:szCs w:val="32"/>
        </w:rPr>
        <w:t>.社会保障和就业（类）退役安置（款）军队移交政府离退休</w:t>
      </w:r>
      <w:r>
        <w:rPr>
          <w:rFonts w:hint="eastAsia" w:ascii="仿宋_GB2312" w:eastAsia="仿宋_GB2312"/>
          <w:sz w:val="32"/>
          <w:szCs w:val="32"/>
          <w:lang w:val="en-US" w:eastAsia="zh-CN"/>
        </w:rPr>
        <w:t>干部管理机构</w:t>
      </w:r>
      <w:r>
        <w:rPr>
          <w:rFonts w:hint="eastAsia" w:ascii="仿宋_GB2312" w:eastAsia="仿宋_GB2312"/>
          <w:sz w:val="32"/>
          <w:szCs w:val="32"/>
        </w:rPr>
        <w:t xml:space="preserve">（项）: </w:t>
      </w:r>
      <w:r>
        <w:rPr>
          <w:rStyle w:val="15"/>
          <w:rFonts w:hint="eastAsia" w:ascii="仿宋_GB2312" w:hAnsi="仿宋_GB2312" w:eastAsia="仿宋_GB2312" w:cs="仿宋_GB2312"/>
          <w:b w:val="0"/>
          <w:bCs/>
          <w:sz w:val="32"/>
          <w:szCs w:val="32"/>
        </w:rPr>
        <w:t>支出决算为</w:t>
      </w:r>
      <w:r>
        <w:rPr>
          <w:rStyle w:val="15"/>
          <w:rFonts w:hint="eastAsia" w:ascii="仿宋_GB2312" w:hAnsi="仿宋_GB2312" w:eastAsia="仿宋_GB2312" w:cs="仿宋_GB2312"/>
          <w:b w:val="0"/>
          <w:bCs/>
          <w:sz w:val="32"/>
          <w:szCs w:val="32"/>
          <w:lang w:val="en-US" w:eastAsia="zh-CN"/>
        </w:rPr>
        <w:t>270.17</w:t>
      </w:r>
      <w:r>
        <w:rPr>
          <w:rStyle w:val="15"/>
          <w:rFonts w:hint="eastAsia" w:ascii="仿宋_GB2312" w:hAnsi="仿宋_GB2312" w:eastAsia="仿宋_GB2312" w:cs="仿宋_GB2312"/>
          <w:b w:val="0"/>
          <w:bCs/>
          <w:sz w:val="32"/>
          <w:szCs w:val="32"/>
        </w:rPr>
        <w:t>万元，完成预算100%。</w:t>
      </w:r>
    </w:p>
    <w:p>
      <w:pPr>
        <w:tabs>
          <w:tab w:val="right" w:pos="8306"/>
        </w:tabs>
        <w:spacing w:line="600" w:lineRule="exact"/>
        <w:ind w:firstLine="640"/>
        <w:outlineLvl w:val="1"/>
        <w:rPr>
          <w:rStyle w:val="26"/>
        </w:rPr>
      </w:pPr>
      <w:bookmarkStart w:id="34" w:name="_Toc15377214"/>
      <w:bookmarkStart w:id="35"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6"/>
          <w:rFonts w:hint="eastAsia" w:ascii="黑体" w:hAnsi="黑体" w:eastAsia="黑体"/>
          <w:b w:val="0"/>
        </w:rPr>
        <w:t>般公共预算财政拨款基本支出决算情况说明</w:t>
      </w:r>
      <w:bookmarkEnd w:id="34"/>
      <w:bookmarkEnd w:id="35"/>
      <w:r>
        <w:rPr>
          <w:rStyle w:val="26"/>
          <w:rFonts w:ascii="黑体" w:hAnsi="黑体" w:eastAsia="黑体"/>
          <w:b w:val="0"/>
        </w:rPr>
        <w:tab/>
      </w:r>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21年一般公共预算财政拨款基本支出420.4万元，其中：</w:t>
      </w:r>
    </w:p>
    <w:p>
      <w:pPr>
        <w:spacing w:line="600" w:lineRule="exact"/>
        <w:rPr>
          <w:rFonts w:hint="eastAsia" w:ascii="仿宋" w:hAnsi="仿宋" w:eastAsia="仿宋"/>
          <w:sz w:val="32"/>
          <w:szCs w:val="32"/>
          <w:lang w:eastAsia="zh-CN"/>
        </w:rPr>
      </w:pPr>
      <w:r>
        <w:rPr>
          <w:rFonts w:hint="eastAsia" w:ascii="仿宋" w:hAnsi="仿宋" w:eastAsia="仿宋"/>
          <w:sz w:val="32"/>
          <w:szCs w:val="32"/>
        </w:rPr>
        <w:t>人员经费349.01万元，主要包括：基本工资、津贴补贴、伙食补助费、绩效工资、机关事业单位基本养老保险缴费、职业年金缴费、</w:t>
      </w:r>
      <w:r>
        <w:rPr>
          <w:rFonts w:hint="eastAsia" w:ascii="仿宋" w:hAnsi="仿宋" w:eastAsia="仿宋"/>
          <w:sz w:val="32"/>
          <w:szCs w:val="32"/>
          <w:lang w:eastAsia="zh-CN"/>
        </w:rPr>
        <w:t>职工基本医疗保险缴费、</w:t>
      </w:r>
      <w:r>
        <w:rPr>
          <w:rFonts w:hint="eastAsia" w:ascii="仿宋" w:hAnsi="仿宋" w:eastAsia="仿宋"/>
          <w:sz w:val="32"/>
          <w:szCs w:val="32"/>
        </w:rPr>
        <w:t>其他社会保障缴费、其他工资福利支出、抚恤金、住房公积金</w:t>
      </w:r>
      <w:r>
        <w:rPr>
          <w:rFonts w:hint="eastAsia" w:ascii="仿宋" w:hAnsi="仿宋" w:eastAsia="仿宋"/>
          <w:sz w:val="32"/>
          <w:szCs w:val="32"/>
          <w:lang w:eastAsia="zh-CN"/>
        </w:rPr>
        <w:t>、其他个人和家庭的补助支出</w:t>
      </w:r>
      <w:r>
        <w:rPr>
          <w:rFonts w:hint="eastAsia" w:ascii="仿宋" w:hAnsi="仿宋" w:eastAsia="仿宋"/>
          <w:sz w:val="32"/>
          <w:szCs w:val="32"/>
        </w:rPr>
        <w:t>等。</w:t>
      </w:r>
    </w:p>
    <w:p>
      <w:pPr>
        <w:spacing w:line="600" w:lineRule="exact"/>
        <w:rPr>
          <w:rFonts w:ascii="仿宋" w:hAnsi="仿宋" w:eastAsia="仿宋"/>
          <w:sz w:val="32"/>
          <w:szCs w:val="32"/>
        </w:rPr>
      </w:pPr>
      <w:r>
        <w:rPr>
          <w:rFonts w:hint="eastAsia" w:ascii="仿宋" w:hAnsi="仿宋" w:eastAsia="仿宋"/>
          <w:sz w:val="32"/>
          <w:szCs w:val="32"/>
        </w:rPr>
        <w:t>　　公用经费71.39万元，主要包括：办公费、印刷费、咨询费、水费、电费、邮电费、物业管理费、差旅费、维修（护）费、培训费、公务接待费、劳务费、委托业务费、工会经费、福利费、公务用车运行维护费、其他交通费、税金及附加费用、其他商品和服务支出、办公设备购置等。</w:t>
      </w:r>
    </w:p>
    <w:p>
      <w:pPr>
        <w:spacing w:line="600" w:lineRule="exact"/>
        <w:ind w:firstLine="640"/>
        <w:outlineLvl w:val="1"/>
        <w:rPr>
          <w:rStyle w:val="26"/>
          <w:rFonts w:ascii="黑体" w:hAnsi="黑体" w:eastAsia="黑体"/>
          <w:b w:val="0"/>
        </w:rPr>
      </w:pPr>
      <w:bookmarkStart w:id="36" w:name="_Toc15377215"/>
      <w:bookmarkStart w:id="37" w:name="_Toc15396609"/>
      <w:r>
        <w:rPr>
          <w:rFonts w:hint="eastAsia" w:ascii="黑体" w:eastAsia="黑体"/>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36"/>
      <w:bookmarkEnd w:id="37"/>
    </w:p>
    <w:p>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21年“三公”经费财政拨款支出决算为7.44万元，完成预算81</w:t>
      </w:r>
      <w:r>
        <w:rPr>
          <w:rFonts w:ascii="仿宋" w:hAnsi="仿宋" w:eastAsia="仿宋"/>
          <w:sz w:val="32"/>
          <w:szCs w:val="32"/>
        </w:rPr>
        <w:t>%</w:t>
      </w:r>
      <w:r>
        <w:rPr>
          <w:rFonts w:hint="eastAsia" w:ascii="仿宋" w:hAnsi="仿宋" w:eastAsia="仿宋"/>
          <w:sz w:val="32"/>
          <w:szCs w:val="32"/>
        </w:rPr>
        <w:t>，决算数小于预算数的主要原因是1、公务接待减少；2、公务用车运行维护费用减少。</w:t>
      </w:r>
    </w:p>
    <w:p>
      <w:pPr>
        <w:spacing w:line="600" w:lineRule="exact"/>
        <w:ind w:firstLine="640"/>
        <w:outlineLvl w:val="2"/>
        <w:rPr>
          <w:rFonts w:hint="eastAsia"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pPr>
        <w:pStyle w:val="11"/>
        <w:ind w:left="0" w:leftChars="0" w:firstLine="640" w:firstLineChars="200"/>
      </w:pPr>
      <w:r>
        <w:rPr>
          <w:rFonts w:ascii="仿宋" w:hAnsi="仿宋" w:eastAsia="仿宋"/>
          <w:sz w:val="32"/>
          <w:szCs w:val="32"/>
        </w:rPr>
        <w:t>20</w:t>
      </w:r>
      <w:r>
        <w:rPr>
          <w:rFonts w:hint="eastAsia" w:ascii="仿宋" w:hAnsi="仿宋" w:eastAsia="仿宋"/>
          <w:sz w:val="32"/>
          <w:szCs w:val="32"/>
        </w:rPr>
        <w:t>21年“三公”经费财政拨款支出决算中，因公出国（境）费支出决算0万元，占0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；公务用车购置及运行维护费支出决算7.17万元，占96.5</w:t>
      </w:r>
      <w:r>
        <w:rPr>
          <w:rFonts w:ascii="仿宋" w:hAnsi="仿宋" w:eastAsia="仿宋"/>
          <w:sz w:val="32"/>
          <w:szCs w:val="32"/>
        </w:rPr>
        <w:t>%</w:t>
      </w:r>
      <w:r>
        <w:rPr>
          <w:rFonts w:hint="eastAsia" w:ascii="仿宋" w:hAnsi="仿宋" w:eastAsia="仿宋"/>
          <w:sz w:val="32"/>
          <w:szCs w:val="32"/>
        </w:rPr>
        <w:t>；公务接待费支出决算0.26万元，占3.5</w:t>
      </w:r>
      <w:r>
        <w:rPr>
          <w:rFonts w:ascii="仿宋" w:hAnsi="仿宋" w:eastAsia="仿宋"/>
          <w:sz w:val="32"/>
          <w:szCs w:val="32"/>
        </w:rPr>
        <w:t>%</w:t>
      </w:r>
      <w:r>
        <w:rPr>
          <w:rFonts w:hint="eastAsia" w:ascii="仿宋" w:hAnsi="仿宋" w:eastAsia="仿宋"/>
          <w:sz w:val="32"/>
          <w:szCs w:val="32"/>
        </w:rPr>
        <w:t>。具体情况如下：</w:t>
      </w:r>
    </w:p>
    <w:p>
      <w:pPr>
        <w:spacing w:line="600" w:lineRule="exact"/>
        <w:ind w:left="319" w:leftChars="152" w:firstLine="652" w:firstLineChars="204"/>
        <w:rPr>
          <w:rFonts w:ascii="仿宋" w:hAnsi="仿宋" w:eastAsia="仿宋"/>
          <w:sz w:val="32"/>
          <w:szCs w:val="32"/>
        </w:rPr>
      </w:pPr>
      <w:r>
        <w:rPr>
          <w:rFonts w:hint="eastAsia" w:ascii="仿宋" w:hAnsi="仿宋" w:eastAsia="仿宋"/>
          <w:sz w:val="32"/>
          <w:szCs w:val="32"/>
        </w:rPr>
        <w:drawing>
          <wp:anchor distT="0" distB="0" distL="114300" distR="114300" simplePos="0" relativeHeight="251663360" behindDoc="0" locked="0" layoutInCell="1" allowOverlap="1">
            <wp:simplePos x="0" y="0"/>
            <wp:positionH relativeFrom="column">
              <wp:posOffset>315595</wp:posOffset>
            </wp:positionH>
            <wp:positionV relativeFrom="paragraph">
              <wp:posOffset>445770</wp:posOffset>
            </wp:positionV>
            <wp:extent cx="5220970" cy="3112770"/>
            <wp:effectExtent l="4445" t="4445" r="17145" b="6985"/>
            <wp:wrapSquare wrapText="bothSides"/>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spacing w:line="600" w:lineRule="exact"/>
        <w:ind w:firstLine="640"/>
        <w:rPr>
          <w:rFonts w:hint="eastAsia" w:ascii="仿宋_GB2312" w:eastAsia="仿宋"/>
          <w:b/>
          <w:sz w:val="32"/>
          <w:szCs w:val="32"/>
          <w:lang w:val="en-US" w:eastAsia="zh-CN"/>
        </w:rPr>
      </w:pPr>
      <w:r>
        <w:rPr>
          <w:rFonts w:hint="eastAsia" w:ascii="仿宋" w:hAnsi="仿宋" w:eastAsia="仿宋"/>
          <w:sz w:val="32"/>
          <w:szCs w:val="32"/>
        </w:rPr>
        <w:t>（图7：“三公”经费财政拨款支出结构）（饼状图</w:t>
      </w:r>
      <w:r>
        <w:rPr>
          <w:rFonts w:hint="eastAsia" w:ascii="仿宋" w:hAnsi="仿宋" w:eastAsia="仿宋"/>
          <w:sz w:val="32"/>
          <w:szCs w:val="32"/>
          <w:lang w:val="en-US" w:eastAsia="zh-CN"/>
        </w:rPr>
        <w:t>)</w:t>
      </w:r>
    </w:p>
    <w:p>
      <w:pPr>
        <w:spacing w:line="600" w:lineRule="exact"/>
        <w:ind w:firstLine="640"/>
        <w:rPr>
          <w:rFonts w:ascii="仿宋_GB2312" w:eastAsia="仿宋_GB2312"/>
          <w:sz w:val="32"/>
          <w:szCs w:val="32"/>
        </w:rPr>
      </w:pPr>
      <w:r>
        <w:rPr>
          <w:rFonts w:ascii="仿宋_GB2312" w:eastAsia="仿宋_GB2312"/>
          <w:b/>
          <w:sz w:val="32"/>
          <w:szCs w:val="32"/>
        </w:rPr>
        <w:t>1.</w:t>
      </w:r>
      <w:r>
        <w:rPr>
          <w:rFonts w:hint="eastAsia" w:ascii="仿宋_GB2312" w:eastAsia="仿宋_GB2312"/>
          <w:b/>
          <w:sz w:val="32"/>
          <w:szCs w:val="32"/>
        </w:rPr>
        <w:t>因公出国（境）经费支出0</w:t>
      </w:r>
      <w:r>
        <w:rPr>
          <w:rFonts w:hint="eastAsia" w:ascii="仿宋_GB2312" w:eastAsia="仿宋_GB2312"/>
          <w:sz w:val="32"/>
          <w:szCs w:val="32"/>
        </w:rPr>
        <w:t>万元，年初未安排预算，因公出国(境)支出决算较2020年无变化。</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公务用车购置及运行维护费支出7.17</w:t>
      </w:r>
      <w:r>
        <w:rPr>
          <w:rFonts w:hint="eastAsia" w:ascii="仿宋_GB2312" w:eastAsia="仿宋_GB2312"/>
          <w:sz w:val="32"/>
          <w:szCs w:val="32"/>
        </w:rPr>
        <w:t>万元,</w:t>
      </w:r>
      <w:r>
        <w:rPr>
          <w:rStyle w:val="15"/>
          <w:rFonts w:hint="eastAsia" w:ascii="仿宋" w:hAnsi="仿宋" w:eastAsia="仿宋"/>
          <w:b w:val="0"/>
          <w:bCs/>
          <w:sz w:val="32"/>
          <w:szCs w:val="32"/>
        </w:rPr>
        <w:t>完成预算89.6</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20年增加2.3万元，增长32</w:t>
      </w:r>
      <w:r>
        <w:rPr>
          <w:rFonts w:ascii="仿宋_GB2312" w:eastAsia="仿宋_GB2312"/>
          <w:sz w:val="32"/>
          <w:szCs w:val="32"/>
        </w:rPr>
        <w:t>%</w:t>
      </w:r>
      <w:r>
        <w:rPr>
          <w:rFonts w:hint="eastAsia" w:ascii="仿宋_GB2312" w:eastAsia="仿宋_GB2312"/>
          <w:sz w:val="32"/>
          <w:szCs w:val="32"/>
        </w:rPr>
        <w:t>。主要原因是为军休人员活动用车年限已久，故障频发,保障军休人员外出活动用车安全维修费用较2020年增加。</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公务用车购置支出0</w:t>
      </w:r>
      <w:r>
        <w:rPr>
          <w:rFonts w:hint="eastAsia" w:ascii="仿宋_GB2312" w:eastAsia="仿宋_GB2312"/>
          <w:sz w:val="32"/>
          <w:szCs w:val="32"/>
        </w:rPr>
        <w:t>万元。全年按规定更新购置公务用车0辆，其中：轿车0辆、金额0万元，越野车0辆、金额0万元，载客汽车0辆、金额0万元。截至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月底，单位共有公务用车2辆，其中：轿车1辆、商务车1辆。</w:t>
      </w:r>
    </w:p>
    <w:p>
      <w:pPr>
        <w:adjustRightInd w:val="0"/>
        <w:snapToGrid w:val="0"/>
        <w:spacing w:line="550" w:lineRule="exact"/>
        <w:ind w:firstLine="642" w:firstLineChars="200"/>
        <w:rPr>
          <w:rFonts w:ascii="仿宋_GB2312" w:eastAsia="仿宋_GB2312"/>
          <w:sz w:val="32"/>
          <w:szCs w:val="32"/>
        </w:rPr>
      </w:pPr>
      <w:r>
        <w:rPr>
          <w:rFonts w:hint="eastAsia" w:ascii="仿宋_GB2312" w:eastAsia="仿宋_GB2312"/>
          <w:b/>
          <w:sz w:val="32"/>
          <w:szCs w:val="32"/>
        </w:rPr>
        <w:t>公务用车运行维护费支出7.17</w:t>
      </w:r>
      <w:r>
        <w:rPr>
          <w:rFonts w:hint="eastAsia" w:ascii="仿宋_GB2312" w:eastAsia="仿宋_GB2312"/>
          <w:sz w:val="32"/>
          <w:szCs w:val="32"/>
        </w:rPr>
        <w:t>万元。主要用于军休人员活动用车及公务用车等所需的公务用车燃料费、维修费、过路过桥费、保险费等支出。</w:t>
      </w:r>
    </w:p>
    <w:p>
      <w:pPr>
        <w:numPr>
          <w:ilvl w:val="0"/>
          <w:numId w:val="0"/>
        </w:numPr>
        <w:adjustRightInd w:val="0"/>
        <w:snapToGrid w:val="0"/>
        <w:spacing w:line="550" w:lineRule="exact"/>
        <w:ind w:firstLine="642" w:firstLineChars="200"/>
        <w:rPr>
          <w:rFonts w:ascii="仿宋_GB2312" w:eastAsia="仿宋_GB2312"/>
          <w:sz w:val="32"/>
          <w:szCs w:val="32"/>
        </w:rPr>
      </w:pPr>
      <w:r>
        <w:rPr>
          <w:rFonts w:hint="eastAsia" w:ascii="仿宋_GB2312" w:eastAsia="仿宋_GB2312"/>
          <w:b/>
          <w:sz w:val="32"/>
          <w:szCs w:val="32"/>
          <w:lang w:val="en-US" w:eastAsia="zh-CN"/>
        </w:rPr>
        <w:t>3.</w:t>
      </w:r>
      <w:r>
        <w:rPr>
          <w:rFonts w:hint="eastAsia" w:ascii="仿宋_GB2312" w:eastAsia="仿宋_GB2312"/>
          <w:b/>
          <w:sz w:val="32"/>
          <w:szCs w:val="32"/>
        </w:rPr>
        <w:t>公务接待费支出0.27</w:t>
      </w:r>
      <w:r>
        <w:rPr>
          <w:rFonts w:hint="eastAsia" w:ascii="仿宋_GB2312" w:eastAsia="仿宋_GB2312"/>
          <w:sz w:val="32"/>
          <w:szCs w:val="32"/>
        </w:rPr>
        <w:t>万元，</w:t>
      </w:r>
      <w:r>
        <w:rPr>
          <w:rStyle w:val="15"/>
          <w:rFonts w:hint="eastAsia" w:ascii="仿宋" w:hAnsi="仿宋" w:eastAsia="仿宋"/>
          <w:b w:val="0"/>
          <w:bCs/>
          <w:sz w:val="32"/>
          <w:szCs w:val="32"/>
        </w:rPr>
        <w:t>完成预算22.5</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20年减少0.1万元，下降27</w:t>
      </w:r>
      <w:r>
        <w:rPr>
          <w:rFonts w:ascii="仿宋_GB2312" w:eastAsia="仿宋_GB2312"/>
          <w:sz w:val="32"/>
          <w:szCs w:val="32"/>
        </w:rPr>
        <w:t>%</w:t>
      </w:r>
      <w:r>
        <w:rPr>
          <w:rFonts w:hint="eastAsia" w:ascii="仿宋_GB2312" w:eastAsia="仿宋_GB2312"/>
          <w:sz w:val="32"/>
          <w:szCs w:val="32"/>
        </w:rPr>
        <w:t>。主要</w:t>
      </w:r>
      <w:r>
        <w:rPr>
          <w:rFonts w:hint="eastAsia" w:ascii="仿宋_GB2312" w:eastAsia="仿宋_GB2312"/>
          <w:sz w:val="32"/>
          <w:szCs w:val="32"/>
          <w:lang w:eastAsia="zh-CN"/>
        </w:rPr>
        <w:t>是因</w:t>
      </w:r>
      <w:r>
        <w:rPr>
          <w:rFonts w:hint="eastAsia" w:ascii="仿宋_GB2312" w:eastAsia="仿宋_GB2312"/>
          <w:sz w:val="32"/>
          <w:szCs w:val="32"/>
        </w:rPr>
        <w:t>疫情原因其他市州军休所来本所交流学习减少。其中：</w:t>
      </w:r>
      <w:r>
        <w:rPr>
          <w:rFonts w:hint="eastAsia" w:ascii="仿宋" w:hAnsi="仿宋" w:eastAsia="仿宋"/>
          <w:b/>
          <w:sz w:val="32"/>
          <w:szCs w:val="32"/>
        </w:rPr>
        <w:t>国内公务接待支出0.27</w:t>
      </w:r>
      <w:r>
        <w:rPr>
          <w:rFonts w:hint="eastAsia" w:ascii="仿宋_GB2312" w:eastAsia="仿宋_GB2312"/>
          <w:sz w:val="32"/>
          <w:szCs w:val="32"/>
        </w:rPr>
        <w:t>万元，主要用于国内公务接待3批次，20人次（不包括陪同人员），共计支出0.27万元，具体内容包括：其他市州军休所来我所交流学习。因公出国经费支出为0万元，年初未安排预算,与上年数无变化。</w:t>
      </w:r>
    </w:p>
    <w:p>
      <w:pPr>
        <w:spacing w:line="600" w:lineRule="exact"/>
        <w:ind w:firstLine="642" w:firstLineChars="200"/>
        <w:rPr>
          <w:rFonts w:ascii="仿宋_GB2312" w:eastAsia="仿宋_GB2312"/>
          <w:sz w:val="32"/>
          <w:szCs w:val="32"/>
        </w:rPr>
      </w:pPr>
      <w:r>
        <w:rPr>
          <w:rFonts w:hint="eastAsia" w:ascii="仿宋" w:hAnsi="仿宋" w:eastAsia="仿宋"/>
          <w:b/>
          <w:sz w:val="32"/>
          <w:szCs w:val="32"/>
        </w:rPr>
        <w:t>外事接待支出0</w:t>
      </w:r>
      <w:r>
        <w:rPr>
          <w:rFonts w:hint="eastAsia" w:ascii="仿宋_GB2312" w:eastAsia="仿宋_GB2312"/>
          <w:sz w:val="32"/>
          <w:szCs w:val="32"/>
        </w:rPr>
        <w:t>万元，外事接待0批次，0人，年初未安排预算,与上年数无变化。</w:t>
      </w:r>
    </w:p>
    <w:p>
      <w:pPr>
        <w:spacing w:line="600" w:lineRule="exact"/>
        <w:ind w:firstLine="640"/>
        <w:outlineLvl w:val="1"/>
        <w:rPr>
          <w:rFonts w:ascii="仿宋_GB2312" w:eastAsia="仿宋_GB2312"/>
          <w:sz w:val="32"/>
          <w:szCs w:val="32"/>
        </w:rPr>
      </w:pPr>
      <w:bookmarkStart w:id="40" w:name="_Toc15377218"/>
      <w:bookmarkStart w:id="41" w:name="_Toc15396610"/>
      <w:r>
        <w:rPr>
          <w:rFonts w:hint="eastAsia" w:ascii="黑体" w:eastAsia="黑体"/>
          <w:sz w:val="32"/>
          <w:szCs w:val="32"/>
        </w:rPr>
        <w:t>八、</w:t>
      </w:r>
      <w:r>
        <w:rPr>
          <w:rStyle w:val="26"/>
          <w:rFonts w:hint="eastAsia" w:ascii="黑体" w:hAnsi="黑体" w:eastAsia="黑体"/>
          <w:b w:val="0"/>
        </w:rPr>
        <w:t>政府性基金预算支出决算情况说明</w:t>
      </w:r>
      <w:bookmarkEnd w:id="40"/>
      <w:bookmarkEnd w:id="41"/>
    </w:p>
    <w:p>
      <w:pPr>
        <w:adjustRightInd w:val="0"/>
        <w:snapToGrid w:val="0"/>
        <w:spacing w:line="550" w:lineRule="exact"/>
        <w:ind w:firstLine="640" w:firstLineChars="200"/>
        <w:rPr>
          <w:rFonts w:ascii="仿宋_GB2312" w:eastAsia="仿宋_GB2312"/>
          <w:sz w:val="32"/>
          <w:szCs w:val="32"/>
        </w:rPr>
      </w:pPr>
      <w:r>
        <w:rPr>
          <w:rFonts w:hint="eastAsia" w:ascii="楷体_GB2312" w:hAnsi="楷体_GB2312" w:eastAsia="楷体_GB2312" w:cs="楷体_GB2312"/>
          <w:kern w:val="0"/>
          <w:sz w:val="32"/>
          <w:szCs w:val="32"/>
          <w:shd w:val="clear" w:color="auto" w:fill="FFFFFF"/>
          <w:lang w:bidi="ar"/>
        </w:rPr>
        <w:t>2021年本单位</w:t>
      </w:r>
      <w:r>
        <w:rPr>
          <w:rFonts w:hint="eastAsia" w:ascii="仿宋" w:hAnsi="仿宋" w:eastAsia="仿宋"/>
          <w:sz w:val="32"/>
          <w:szCs w:val="32"/>
        </w:rPr>
        <w:t>无政府性基金预算拨款支出，</w:t>
      </w:r>
      <w:r>
        <w:rPr>
          <w:rFonts w:hint="eastAsia" w:ascii="楷体_GB2312" w:hAnsi="楷体_GB2312" w:eastAsia="楷体_GB2312" w:cs="楷体_GB2312"/>
          <w:kern w:val="0"/>
          <w:sz w:val="32"/>
          <w:szCs w:val="32"/>
          <w:shd w:val="clear" w:color="auto" w:fill="FFFFFF"/>
          <w:lang w:bidi="ar"/>
        </w:rPr>
        <w:t>未在政府性基金预算拨款安排“三公经费”支出。</w:t>
      </w:r>
    </w:p>
    <w:p>
      <w:pPr>
        <w:numPr>
          <w:ilvl w:val="0"/>
          <w:numId w:val="3"/>
        </w:numPr>
        <w:spacing w:line="600" w:lineRule="exact"/>
        <w:ind w:firstLine="640"/>
        <w:outlineLvl w:val="1"/>
        <w:rPr>
          <w:rStyle w:val="26"/>
          <w:rFonts w:ascii="黑体" w:hAnsi="黑体" w:eastAsia="黑体"/>
          <w:b w:val="0"/>
        </w:rPr>
      </w:pPr>
      <w:bookmarkStart w:id="42" w:name="_Toc15396611"/>
      <w:bookmarkStart w:id="43" w:name="_Toc15377219"/>
      <w:r>
        <w:rPr>
          <w:rStyle w:val="26"/>
          <w:rFonts w:hint="eastAsia" w:ascii="黑体" w:hAnsi="黑体" w:eastAsia="黑体"/>
          <w:b w:val="0"/>
        </w:rPr>
        <w:t>国有资本经营预算支出决算情况说明</w:t>
      </w:r>
      <w:bookmarkEnd w:id="42"/>
      <w:bookmarkEnd w:id="43"/>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sz w:val="32"/>
          <w:szCs w:val="32"/>
        </w:rPr>
        <w:t>20</w:t>
      </w:r>
      <w:r>
        <w:rPr>
          <w:rFonts w:hint="eastAsia" w:ascii="仿宋_GB2312" w:eastAsia="仿宋_GB2312"/>
          <w:sz w:val="32"/>
          <w:szCs w:val="32"/>
        </w:rPr>
        <w:t>21年本单位无国有资本经营预算财政拨款支出。</w:t>
      </w:r>
    </w:p>
    <w:p>
      <w:pPr>
        <w:numPr>
          <w:ilvl w:val="0"/>
          <w:numId w:val="3"/>
        </w:numPr>
        <w:spacing w:line="600" w:lineRule="exact"/>
        <w:ind w:firstLine="640"/>
        <w:outlineLvl w:val="1"/>
        <w:rPr>
          <w:rStyle w:val="26"/>
          <w:rFonts w:ascii="黑体" w:hAnsi="黑体" w:eastAsia="黑体"/>
          <w:b w:val="0"/>
        </w:rPr>
      </w:pPr>
      <w:bookmarkStart w:id="44" w:name="_Toc15396612"/>
      <w:bookmarkStart w:id="45" w:name="_Toc15377221"/>
      <w:r>
        <w:rPr>
          <w:rStyle w:val="26"/>
          <w:rFonts w:hint="eastAsia" w:ascii="黑体" w:hAnsi="黑体" w:eastAsia="黑体"/>
          <w:b w:val="0"/>
        </w:rPr>
        <w:t>预算绩效管理情况</w:t>
      </w:r>
    </w:p>
    <w:p>
      <w:pPr>
        <w:spacing w:line="580" w:lineRule="exact"/>
        <w:ind w:firstLine="640" w:firstLineChars="200"/>
      </w:pPr>
      <w:r>
        <w:rPr>
          <w:rFonts w:hint="eastAsia" w:ascii="仿宋_GB2312" w:hAnsi="仿宋_GB2312" w:eastAsia="仿宋_GB2312" w:cs="仿宋_GB2312"/>
          <w:sz w:val="32"/>
          <w:szCs w:val="32"/>
        </w:rPr>
        <w:t>根据预算绩效管理要求，本单位在2021年度预算编制阶段，组织对(乡村振兴工作经费项目、军休人员活动经费(非税征收))等2个项目开展了预算事前绩效评估，对2个项目编制了绩效目标，预算执行过程中，选取2个项目开展绩效监控，年终执行完毕后，对2个项目开展了绩效自评，2021年部门预算项目绩效目标自评表见附件（第四部分）。</w:t>
      </w:r>
    </w:p>
    <w:p>
      <w:pPr>
        <w:numPr>
          <w:ilvl w:val="0"/>
          <w:numId w:val="3"/>
        </w:numPr>
        <w:spacing w:line="600" w:lineRule="exact"/>
        <w:ind w:firstLine="640"/>
        <w:outlineLvl w:val="1"/>
        <w:rPr>
          <w:rStyle w:val="26"/>
          <w:rFonts w:ascii="黑体" w:hAnsi="黑体" w:eastAsia="黑体"/>
          <w:b w:val="0"/>
        </w:rPr>
      </w:pPr>
      <w:r>
        <w:rPr>
          <w:rStyle w:val="26"/>
          <w:rFonts w:hint="eastAsia" w:ascii="黑体" w:hAnsi="黑体" w:eastAsia="黑体"/>
          <w:b w:val="0"/>
        </w:rPr>
        <w:t>其他重要事项的情况说明</w:t>
      </w:r>
      <w:bookmarkEnd w:id="44"/>
      <w:bookmarkEnd w:id="45"/>
    </w:p>
    <w:p>
      <w:pPr>
        <w:spacing w:line="600" w:lineRule="exact"/>
        <w:ind w:firstLine="642"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21年，军休所机关运行经费支出71.39万元，比</w:t>
      </w:r>
      <w:r>
        <w:rPr>
          <w:rFonts w:ascii="仿宋_GB2312" w:eastAsia="仿宋_GB2312"/>
          <w:sz w:val="32"/>
          <w:szCs w:val="32"/>
        </w:rPr>
        <w:t>20</w:t>
      </w:r>
      <w:r>
        <w:rPr>
          <w:rFonts w:hint="eastAsia" w:ascii="仿宋_GB2312" w:eastAsia="仿宋_GB2312"/>
          <w:sz w:val="32"/>
          <w:szCs w:val="32"/>
        </w:rPr>
        <w:t>20年减少19.32万元，下降27</w:t>
      </w:r>
      <w:r>
        <w:rPr>
          <w:rFonts w:ascii="仿宋_GB2312" w:eastAsia="仿宋_GB2312"/>
          <w:sz w:val="32"/>
          <w:szCs w:val="32"/>
        </w:rPr>
        <w:t>%</w:t>
      </w:r>
      <w:r>
        <w:rPr>
          <w:rFonts w:hint="eastAsia" w:ascii="仿宋_GB2312" w:eastAsia="仿宋_GB2312"/>
          <w:sz w:val="32"/>
          <w:szCs w:val="32"/>
        </w:rPr>
        <w:t>。主要原因是脱贫攻坚结束</w:t>
      </w:r>
      <w:r>
        <w:rPr>
          <w:rFonts w:hint="eastAsia" w:ascii="仿宋_GB2312" w:eastAsia="仿宋_GB2312"/>
          <w:sz w:val="32"/>
          <w:szCs w:val="32"/>
          <w:lang w:eastAsia="zh-CN"/>
        </w:rPr>
        <w:t>，</w:t>
      </w:r>
      <w:r>
        <w:rPr>
          <w:rFonts w:hint="eastAsia" w:ascii="仿宋_GB2312" w:eastAsia="仿宋_GB2312"/>
          <w:sz w:val="32"/>
          <w:szCs w:val="32"/>
        </w:rPr>
        <w:t>工作经费减少；维修费用减少。</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w:t>
      </w:r>
      <w:r>
        <w:rPr>
          <w:rFonts w:ascii="仿宋" w:hAnsi="仿宋" w:eastAsia="仿宋"/>
          <w:sz w:val="32"/>
          <w:szCs w:val="32"/>
        </w:rPr>
        <w:t>广元市</w:t>
      </w:r>
      <w:r>
        <w:rPr>
          <w:rFonts w:hint="eastAsia" w:ascii="仿宋" w:hAnsi="仿宋" w:eastAsia="仿宋"/>
          <w:sz w:val="32"/>
          <w:szCs w:val="32"/>
        </w:rPr>
        <w:t>军队离退休干部休养所无政府采购预算拨款支出。</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pPr>
        <w:adjustRightInd w:val="0"/>
        <w:snapToGrid w:val="0"/>
        <w:spacing w:line="550" w:lineRule="exact"/>
        <w:ind w:firstLine="640" w:firstLineChars="200"/>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日，军休所共有车辆2辆，其他用车2辆。其他用车主要是用于军休人员活动用车及公务用车。</w:t>
      </w: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4"/>
        </w:numPr>
        <w:spacing w:line="600" w:lineRule="exact"/>
        <w:ind w:firstLine="660" w:firstLineChars="150"/>
        <w:jc w:val="center"/>
        <w:outlineLvl w:val="0"/>
        <w:rPr>
          <w:rStyle w:val="25"/>
          <w:rFonts w:ascii="黑体" w:hAnsi="黑体" w:eastAsia="黑体"/>
          <w:b w:val="0"/>
        </w:rPr>
      </w:pPr>
      <w:bookmarkStart w:id="49" w:name="_Toc15377225"/>
      <w:bookmarkStart w:id="50" w:name="_Toc15396613"/>
      <w:r>
        <w:rPr>
          <w:rFonts w:hint="eastAsia" w:ascii="黑体" w:hAnsi="黑体" w:eastAsia="黑体"/>
          <w:sz w:val="44"/>
          <w:szCs w:val="44"/>
        </w:rPr>
        <w:t>名</w:t>
      </w:r>
      <w:r>
        <w:rPr>
          <w:rStyle w:val="25"/>
          <w:rFonts w:hint="eastAsia" w:ascii="黑体" w:hAnsi="黑体" w:eastAsia="黑体"/>
          <w:b w:val="0"/>
        </w:rPr>
        <w:t>词解释</w:t>
      </w:r>
      <w:bookmarkEnd w:id="49"/>
      <w:bookmarkEnd w:id="50"/>
    </w:p>
    <w:p>
      <w:pPr>
        <w:spacing w:line="600" w:lineRule="exact"/>
        <w:jc w:val="left"/>
        <w:rPr>
          <w:rFonts w:ascii="宋体"/>
          <w:b/>
          <w:sz w:val="44"/>
          <w:szCs w:val="44"/>
        </w:rPr>
      </w:pP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3"/>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w:t>
      </w:r>
      <w:r>
        <w:rPr>
          <w:rFonts w:ascii="仿宋_GB2312" w:eastAsia="仿宋_GB2312"/>
          <w:color w:val="auto"/>
          <w:sz w:val="32"/>
          <w:szCs w:val="32"/>
        </w:rPr>
        <w:t>.</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3"/>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w:t>
      </w:r>
      <w:r>
        <w:rPr>
          <w:rFonts w:hint="eastAsia" w:ascii="仿宋_GB2312" w:eastAsia="仿宋_GB2312"/>
          <w:color w:val="auto"/>
          <w:sz w:val="32"/>
          <w:szCs w:val="32"/>
          <w:lang w:val="en-US" w:eastAsia="zh-CN"/>
        </w:rPr>
        <w:t>.</w:t>
      </w:r>
      <w:r>
        <w:rPr>
          <w:rFonts w:hint="eastAsia" w:ascii="仿宋_GB2312" w:eastAsia="仿宋_GB2312"/>
          <w:color w:val="auto"/>
          <w:sz w:val="32"/>
          <w:szCs w:val="32"/>
        </w:rPr>
        <w:t>年末结转和结余：指单位按有关规定结转到下年或以后年度继续使用的资金。</w:t>
      </w:r>
    </w:p>
    <w:p>
      <w:pPr>
        <w:ind w:firstLine="640" w:firstLineChars="200"/>
        <w:rPr>
          <w:rStyle w:val="15"/>
          <w:rFonts w:hint="eastAsia" w:ascii="仿宋_GB2312" w:hAnsi="仿宋_GB2312" w:eastAsia="仿宋_GB2312" w:cs="仿宋_GB2312"/>
          <w:b w:val="0"/>
          <w:bCs/>
          <w:sz w:val="32"/>
          <w:szCs w:val="32"/>
          <w:lang w:eastAsia="zh-CN"/>
        </w:rPr>
      </w:pPr>
      <w:r>
        <w:rPr>
          <w:rFonts w:hint="eastAsia" w:ascii="仿宋_GB2312" w:eastAsia="仿宋_GB2312"/>
          <w:color w:val="auto"/>
          <w:sz w:val="32"/>
          <w:szCs w:val="32"/>
          <w:highlight w:val="none"/>
        </w:rPr>
        <w:t>4</w:t>
      </w:r>
      <w:r>
        <w:rPr>
          <w:rFonts w:ascii="仿宋_GB2312" w:eastAsia="仿宋_GB2312"/>
          <w:color w:val="auto"/>
          <w:sz w:val="32"/>
          <w:szCs w:val="32"/>
          <w:highlight w:val="none"/>
        </w:rPr>
        <w:t>.</w:t>
      </w:r>
      <w:r>
        <w:rPr>
          <w:rStyle w:val="15"/>
          <w:rFonts w:hint="eastAsia" w:ascii="仿宋_GB2312" w:hAnsi="仿宋_GB2312" w:eastAsia="仿宋_GB2312" w:cs="仿宋_GB2312"/>
          <w:b w:val="0"/>
          <w:bCs/>
          <w:sz w:val="32"/>
          <w:szCs w:val="32"/>
        </w:rPr>
        <w:t>社会保障和就业（类）行政事业单位养老支出（款）机关事业单位基本养老保险缴费支出（项）:</w:t>
      </w:r>
      <w:r>
        <w:rPr>
          <w:rStyle w:val="15"/>
          <w:rFonts w:hint="eastAsia" w:ascii="仿宋_GB2312" w:hAnsi="仿宋_GB2312" w:eastAsia="仿宋_GB2312" w:cs="仿宋_GB2312"/>
          <w:b w:val="0"/>
          <w:bCs/>
          <w:sz w:val="32"/>
          <w:szCs w:val="32"/>
          <w:lang w:eastAsia="zh-CN"/>
        </w:rPr>
        <w:t>指机关</w:t>
      </w:r>
      <w:r>
        <w:rPr>
          <w:rStyle w:val="15"/>
          <w:rFonts w:hint="eastAsia" w:ascii="仿宋_GB2312" w:hAnsi="仿宋_GB2312" w:eastAsia="仿宋_GB2312" w:cs="仿宋_GB2312"/>
          <w:b w:val="0"/>
          <w:bCs/>
          <w:sz w:val="32"/>
          <w:szCs w:val="32"/>
        </w:rPr>
        <w:t>事业单位</w:t>
      </w:r>
      <w:r>
        <w:rPr>
          <w:rStyle w:val="15"/>
          <w:rFonts w:hint="eastAsia" w:ascii="仿宋_GB2312" w:hAnsi="仿宋_GB2312" w:eastAsia="仿宋_GB2312" w:cs="仿宋_GB2312"/>
          <w:b w:val="0"/>
          <w:bCs/>
          <w:sz w:val="32"/>
          <w:szCs w:val="32"/>
          <w:lang w:eastAsia="zh-CN"/>
        </w:rPr>
        <w:t>职工</w:t>
      </w:r>
      <w:r>
        <w:rPr>
          <w:rStyle w:val="15"/>
          <w:rFonts w:hint="eastAsia" w:ascii="仿宋_GB2312" w:hAnsi="仿宋_GB2312" w:eastAsia="仿宋_GB2312" w:cs="仿宋_GB2312"/>
          <w:b w:val="0"/>
          <w:bCs/>
          <w:sz w:val="32"/>
          <w:szCs w:val="32"/>
        </w:rPr>
        <w:t>基本养老保险</w:t>
      </w:r>
      <w:r>
        <w:rPr>
          <w:rStyle w:val="15"/>
          <w:rFonts w:hint="eastAsia" w:ascii="仿宋_GB2312" w:hAnsi="仿宋_GB2312" w:eastAsia="仿宋_GB2312" w:cs="仿宋_GB2312"/>
          <w:b w:val="0"/>
          <w:bCs/>
          <w:sz w:val="32"/>
          <w:szCs w:val="32"/>
          <w:lang w:eastAsia="zh-CN"/>
        </w:rPr>
        <w:t>缴费</w:t>
      </w:r>
      <w:r>
        <w:rPr>
          <w:rStyle w:val="15"/>
          <w:rFonts w:hint="eastAsia" w:ascii="仿宋_GB2312" w:hAnsi="仿宋_GB2312" w:eastAsia="仿宋_GB2312" w:cs="仿宋_GB2312"/>
          <w:b w:val="0"/>
          <w:bCs/>
          <w:sz w:val="32"/>
          <w:szCs w:val="32"/>
        </w:rPr>
        <w:t>支出</w:t>
      </w:r>
      <w:r>
        <w:rPr>
          <w:rStyle w:val="15"/>
          <w:rFonts w:hint="eastAsia" w:ascii="仿宋_GB2312" w:hAnsi="仿宋_GB2312" w:eastAsia="仿宋_GB2312" w:cs="仿宋_GB2312"/>
          <w:b w:val="0"/>
          <w:bCs/>
          <w:sz w:val="32"/>
          <w:szCs w:val="32"/>
          <w:lang w:eastAsia="zh-CN"/>
        </w:rPr>
        <w:t>。</w:t>
      </w:r>
    </w:p>
    <w:p>
      <w:pPr>
        <w:ind w:firstLine="640" w:firstLineChars="200"/>
        <w:rPr>
          <w:rFonts w:ascii="仿宋_GB2312" w:eastAsia="仿宋_GB2312"/>
          <w:color w:val="auto"/>
          <w:sz w:val="32"/>
          <w:szCs w:val="32"/>
          <w:highlight w:val="none"/>
        </w:rPr>
      </w:pPr>
      <w:r>
        <w:rPr>
          <w:rStyle w:val="15"/>
          <w:rFonts w:hint="eastAsia" w:ascii="仿宋_GB2312" w:hAnsi="仿宋_GB2312" w:eastAsia="仿宋_GB2312" w:cs="仿宋_GB2312"/>
          <w:b w:val="0"/>
          <w:bCs/>
          <w:sz w:val="32"/>
          <w:szCs w:val="32"/>
          <w:lang w:val="en-US" w:eastAsia="zh-CN"/>
        </w:rPr>
        <w:t>5.</w:t>
      </w:r>
      <w:r>
        <w:rPr>
          <w:rFonts w:hint="eastAsia" w:ascii="仿宋_GB2312" w:eastAsia="仿宋_GB2312"/>
          <w:color w:val="auto"/>
          <w:sz w:val="32"/>
          <w:szCs w:val="32"/>
          <w:highlight w:val="none"/>
        </w:rPr>
        <w:t xml:space="preserve">社会保障和就业（类）退役安置（款）军队移交政府的离退休人员安置（项）：指移交政府的军队离退休人员安置支出。  </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6</w:t>
      </w:r>
      <w:r>
        <w:rPr>
          <w:rFonts w:ascii="仿宋_GB2312" w:eastAsia="仿宋_GB2312"/>
          <w:color w:val="auto"/>
          <w:sz w:val="32"/>
          <w:szCs w:val="32"/>
          <w:highlight w:val="none"/>
        </w:rPr>
        <w:t>.</w:t>
      </w:r>
      <w:r>
        <w:rPr>
          <w:rFonts w:hint="eastAsia" w:ascii="仿宋_GB2312" w:eastAsia="仿宋_GB2312"/>
          <w:color w:val="auto"/>
          <w:sz w:val="32"/>
          <w:szCs w:val="32"/>
          <w:highlight w:val="none"/>
        </w:rPr>
        <w:t>社会保障和就业（类）退役安置（款）军队移交政府离退休干部管理机构（项）：指军队移交政府安置的离退休干部管理机构列入事业编制的人员经费、公用经费以及管理机构用房建设经费等支出。</w:t>
      </w:r>
    </w:p>
    <w:p>
      <w:pPr>
        <w:pStyle w:val="11"/>
        <w:ind w:left="0" w:leftChars="0" w:firstLine="640" w:firstLineChars="200"/>
        <w:rPr>
          <w:rFonts w:hint="eastAsia" w:eastAsia="仿宋_GB2312"/>
          <w:lang w:eastAsia="zh-CN"/>
        </w:rPr>
      </w:pPr>
      <w:r>
        <w:rPr>
          <w:rStyle w:val="15"/>
          <w:rFonts w:hint="eastAsia" w:ascii="仿宋_GB2312" w:hAnsi="仿宋_GB2312" w:eastAsia="仿宋_GB2312" w:cs="仿宋_GB2312"/>
          <w:b w:val="0"/>
          <w:bCs/>
          <w:sz w:val="32"/>
          <w:szCs w:val="32"/>
          <w:lang w:val="en-US" w:eastAsia="zh-CN"/>
        </w:rPr>
        <w:t>7.</w:t>
      </w:r>
      <w:r>
        <w:rPr>
          <w:rStyle w:val="15"/>
          <w:rFonts w:hint="eastAsia" w:ascii="仿宋_GB2312" w:hAnsi="仿宋_GB2312" w:eastAsia="仿宋_GB2312" w:cs="仿宋_GB2312"/>
          <w:b w:val="0"/>
          <w:bCs/>
          <w:sz w:val="32"/>
          <w:szCs w:val="32"/>
        </w:rPr>
        <w:t>社会保障和就业（类）抚恤（款）死亡抚恤（项）</w:t>
      </w:r>
      <w:r>
        <w:rPr>
          <w:rStyle w:val="15"/>
          <w:rFonts w:hint="eastAsia" w:ascii="仿宋_GB2312" w:hAnsi="仿宋_GB2312" w:eastAsia="仿宋_GB2312" w:cs="仿宋_GB2312"/>
          <w:b w:val="0"/>
          <w:bCs/>
          <w:sz w:val="32"/>
          <w:szCs w:val="32"/>
          <w:lang w:eastAsia="zh-CN"/>
        </w:rPr>
        <w:t>：指军队离退休干部丧葬抚恤费用支出。</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8.卫生健康（类）行政事业单位医疗（款）行政单位医疗（项）:指机关事业单位职工基本医疗保险缴费支出。</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9</w:t>
      </w:r>
      <w:r>
        <w:rPr>
          <w:rFonts w:ascii="仿宋_GB2312" w:eastAsia="仿宋_GB2312"/>
          <w:color w:val="auto"/>
          <w:sz w:val="32"/>
          <w:szCs w:val="32"/>
          <w:highlight w:val="none"/>
        </w:rPr>
        <w:t>.</w:t>
      </w:r>
      <w:r>
        <w:rPr>
          <w:rFonts w:hint="eastAsia" w:ascii="仿宋_GB2312" w:eastAsia="仿宋_GB2312"/>
          <w:color w:val="auto"/>
          <w:sz w:val="32"/>
          <w:szCs w:val="32"/>
          <w:highlight w:val="none"/>
        </w:rPr>
        <w:t>住房保障（类）住房改革支出（款）住房公积金（项）: 指行政事业单位按人力资源和社会保障部、财政部规定的基本工资和津贴补贴以及规定比例为职工缴纳的住房公积金。</w:t>
      </w:r>
    </w:p>
    <w:p>
      <w:pPr>
        <w:ind w:firstLine="640" w:firstLineChars="200"/>
        <w:rPr>
          <w:rFonts w:ascii="仿宋_GB2312" w:eastAsia="仿宋_GB2312"/>
          <w:sz w:val="32"/>
          <w:szCs w:val="32"/>
        </w:rPr>
      </w:pPr>
      <w:r>
        <w:rPr>
          <w:rFonts w:hint="eastAsia" w:ascii="仿宋_GB2312" w:eastAsia="仿宋_GB2312"/>
          <w:sz w:val="32"/>
          <w:szCs w:val="32"/>
          <w:lang w:val="en-US" w:eastAsia="zh-CN"/>
        </w:rPr>
        <w:t>10</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11</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pStyle w:val="23"/>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12</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spacing w:line="560" w:lineRule="exact"/>
        <w:ind w:firstLine="640" w:firstLineChars="200"/>
        <w:rPr>
          <w:rFonts w:ascii="仿宋_GB2312" w:eastAsia="仿宋_GB2312" w:cs="黑体"/>
          <w:color w:val="auto"/>
          <w:sz w:val="32"/>
          <w:szCs w:val="32"/>
        </w:rPr>
      </w:pPr>
      <w:r>
        <w:rPr>
          <w:rFonts w:hint="eastAsia" w:ascii="仿宋_GB2312" w:eastAsia="仿宋_GB2312"/>
          <w:color w:val="auto"/>
          <w:sz w:val="32"/>
          <w:szCs w:val="32"/>
        </w:rPr>
        <w:t>1</w:t>
      </w:r>
      <w:r>
        <w:rPr>
          <w:rFonts w:hint="eastAsia" w:ascii="仿宋_GB2312" w:eastAsia="仿宋_GB2312"/>
          <w:color w:val="auto"/>
          <w:sz w:val="32"/>
          <w:szCs w:val="32"/>
          <w:lang w:val="en-US" w:eastAsia="zh-CN"/>
        </w:rPr>
        <w:t>3</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p>
    <w:p>
      <w:pPr>
        <w:spacing w:line="576" w:lineRule="exact"/>
        <w:jc w:val="center"/>
        <w:outlineLvl w:val="0"/>
      </w:pPr>
      <w:bookmarkStart w:id="51" w:name="_Toc15377226"/>
      <w:r>
        <w:rPr>
          <w:rFonts w:ascii="宋体"/>
          <w:b/>
          <w:sz w:val="44"/>
          <w:szCs w:val="44"/>
        </w:rPr>
        <w:br w:type="page"/>
      </w:r>
      <w:bookmarkStart w:id="52" w:name="_Toc15396614"/>
      <w:r>
        <w:rPr>
          <w:rFonts w:hint="eastAsia" w:ascii="黑体" w:hAnsi="黑体" w:eastAsia="黑体"/>
          <w:sz w:val="44"/>
          <w:szCs w:val="44"/>
        </w:rPr>
        <w:t>第</w:t>
      </w:r>
      <w:r>
        <w:rPr>
          <w:rStyle w:val="25"/>
          <w:rFonts w:hint="eastAsia" w:ascii="黑体" w:hAnsi="黑体" w:eastAsia="黑体"/>
          <w:b w:val="0"/>
        </w:rPr>
        <w:t>四部分 附件</w:t>
      </w:r>
      <w:bookmarkEnd w:id="52"/>
    </w:p>
    <w:p>
      <w:pPr>
        <w:spacing w:line="576" w:lineRule="exact"/>
        <w:jc w:val="center"/>
        <w:rPr>
          <w:rFonts w:hint="eastAsia" w:ascii="方正小标宋_GBK" w:hAnsi="方正小标宋_GBK" w:eastAsia="方正小标宋_GBK" w:cs="方正小标宋_GBK"/>
          <w:sz w:val="44"/>
          <w:szCs w:val="44"/>
        </w:rPr>
      </w:pPr>
    </w:p>
    <w:p>
      <w:pPr>
        <w:spacing w:line="576"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广元市军队离退休干部休养所202</w:t>
      </w:r>
      <w:r>
        <w:rPr>
          <w:rFonts w:ascii="方正小标宋_GBK" w:hAnsi="方正小标宋_GBK" w:eastAsia="方正小标宋_GBK" w:cs="方正小标宋_GBK"/>
          <w:sz w:val="44"/>
          <w:szCs w:val="44"/>
          <w:lang w:val="en"/>
        </w:rPr>
        <w:t>1</w:t>
      </w:r>
      <w:r>
        <w:rPr>
          <w:rFonts w:hint="eastAsia" w:ascii="方正小标宋_GBK" w:hAnsi="方正小标宋_GBK" w:eastAsia="方正小标宋_GBK" w:cs="方正小标宋_GBK"/>
          <w:sz w:val="44"/>
          <w:szCs w:val="44"/>
        </w:rPr>
        <w:t>年项目支出绩效自评报告</w:t>
      </w:r>
    </w:p>
    <w:p>
      <w:pPr>
        <w:pStyle w:val="11"/>
        <w:ind w:left="840" w:hanging="420"/>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根据工作要求我所对2021年项目支出绩效认真进行了自评，具体情况如下：</w:t>
      </w:r>
    </w:p>
    <w:p>
      <w:pPr>
        <w:keepNext w:val="0"/>
        <w:keepLines w:val="0"/>
        <w:pageBreakBefore w:val="0"/>
        <w:widowControl w:val="0"/>
        <w:numPr>
          <w:ilvl w:val="0"/>
          <w:numId w:val="5"/>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项目概况：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（一）项目基本情况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项目说明：乡村振兴工作经费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按照市委市政府及相关乡村振兴工作安排，我所牵头广元军供站联合组建派驻苍溪县龙山镇金桥村驻村工作队，为全面落实巩固拓展脱贫攻坚成果等各项乡村振兴工作任务。</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项目立项、资金申报依据：我所联系乡村振兴工作经费。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US" w:eastAsia="zh-CN"/>
        </w:rPr>
        <w:t>资金管理办法制定情况，资金支持具体项目的条件、范围与支持方式概况</w:t>
      </w:r>
      <w:r>
        <w:rPr>
          <w:rFonts w:hint="eastAsia" w:ascii="仿宋_GB2312" w:hAnsi="仿宋_GB2312" w:eastAsia="仿宋_GB2312" w:cs="仿宋_GB2312"/>
          <w:sz w:val="32"/>
          <w:szCs w:val="32"/>
          <w:lang w:val="en" w:eastAsia="zh-CN"/>
        </w:rPr>
        <w:t>:我所制定了《财务管理制度》做到专款专用。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（二）项目绩效目标</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800" w:firstLineChars="25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项目主要内容：</w:t>
      </w:r>
      <w:r>
        <w:rPr>
          <w:rFonts w:hint="eastAsia" w:ascii="仿宋_GB2312" w:hAnsi="仿宋_GB2312" w:eastAsia="仿宋_GB2312" w:cs="仿宋_GB2312"/>
          <w:i w:val="0"/>
          <w:color w:val="000000"/>
          <w:kern w:val="0"/>
          <w:sz w:val="32"/>
          <w:szCs w:val="32"/>
          <w:u w:val="none"/>
          <w:lang w:val="en-US" w:eastAsia="zh-CN" w:bidi="ar"/>
        </w:rPr>
        <w:t>通过基础设施改造，种养殖业技术培训，经济扶持等多方面帮扶，提高贫困户经济收入，通过落实各项扶贫政策与措施</w:t>
      </w:r>
      <w:r>
        <w:rPr>
          <w:rFonts w:hint="eastAsia" w:ascii="仿宋_GB2312" w:hAnsi="仿宋_GB2312" w:eastAsia="仿宋_GB2312" w:cs="仿宋_GB2312"/>
          <w:b w:val="0"/>
          <w:bCs w:val="0"/>
          <w:i w:val="0"/>
          <w:color w:val="000000"/>
          <w:kern w:val="0"/>
          <w:sz w:val="32"/>
          <w:szCs w:val="32"/>
          <w:u w:val="none"/>
          <w:lang w:val="en-US" w:eastAsia="zh-CN" w:bidi="ar"/>
        </w:rPr>
        <w:t>，</w:t>
      </w:r>
      <w:r>
        <w:rPr>
          <w:rFonts w:hint="eastAsia" w:ascii="仿宋_GB2312" w:hAnsi="仿宋_GB2312" w:eastAsia="仿宋_GB2312" w:cs="仿宋_GB2312"/>
          <w:b w:val="0"/>
          <w:bCs w:val="0"/>
          <w:color w:val="000000"/>
          <w:kern w:val="0"/>
          <w:sz w:val="32"/>
          <w:szCs w:val="32"/>
          <w:lang w:bidi="ar"/>
        </w:rPr>
        <w:t>巩固脱贫攻坚成效，防止返贫动态监测和帮扶集中排查。</w:t>
      </w:r>
      <w:r>
        <w:rPr>
          <w:rFonts w:hint="eastAsia" w:ascii="仿宋_GB2312" w:hAnsi="仿宋_GB2312" w:eastAsia="仿宋_GB2312" w:cs="仿宋_GB2312"/>
          <w:sz w:val="32"/>
          <w:szCs w:val="32"/>
          <w:lang w:val="en-US" w:eastAsia="zh-CN"/>
        </w:rPr>
        <w:t>项目应实现的具体绩效目标：包括目标的量化，细化情况及项目实施进度计划等。开展乡村振兴驻村工作，一是与村“两委”班子接洽配合；二是到岗履职，全面摸排，定期开展防止返贫动态监测和帮扶集中排查。</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分析评价申报内容是否与实际相符，申报目标是否合理。申报内容与工作相符，目标合理可行。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（三）项目自评步骤及方法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说明项目绩效自评采用的组织实施步骤及方法，自评工作领导小组，认真全面的进行绩效评价工作，建立健全财务管理制度和内控约束机制，依法有效地合用财政资金，提高财政资金使用效率，合理分配人、财、物，完成部门脱贫工作目标，实现较高的工作效率和水平。</w:t>
      </w:r>
    </w:p>
    <w:p>
      <w:pPr>
        <w:keepNext w:val="0"/>
        <w:keepLines w:val="0"/>
        <w:pageBreakBefore w:val="0"/>
        <w:widowControl w:val="0"/>
        <w:numPr>
          <w:ilvl w:val="0"/>
          <w:numId w:val="5"/>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项目资金申报及批复情况</w:t>
      </w:r>
    </w:p>
    <w:p>
      <w:pPr>
        <w:keepNext w:val="0"/>
        <w:keepLines w:val="0"/>
        <w:pageBreakBefore w:val="0"/>
        <w:widowControl w:val="0"/>
        <w:numPr>
          <w:ilvl w:val="0"/>
          <w:numId w:val="6"/>
        </w:numPr>
        <w:kinsoku/>
        <w:wordWrap/>
        <w:overflowPunct/>
        <w:topLinePunct w:val="0"/>
        <w:autoSpaceDE/>
        <w:autoSpaceDN/>
        <w:bidi w:val="0"/>
        <w:adjustRightInd/>
        <w:snapToGrid/>
        <w:spacing w:line="576" w:lineRule="exact"/>
        <w:ind w:left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项目资金申报、批复及预算调整等程序的相关情况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w:t>
      </w:r>
      <w:r>
        <w:rPr>
          <w:rFonts w:hint="default" w:ascii="仿宋_GB2312" w:hAnsi="仿宋_GB2312" w:eastAsia="仿宋_GB2312" w:cs="仿宋_GB2312"/>
          <w:sz w:val="32"/>
          <w:szCs w:val="32"/>
          <w:lang w:val="en" w:eastAsia="zh-CN"/>
        </w:rPr>
        <w:t>1</w:t>
      </w:r>
      <w:r>
        <w:rPr>
          <w:rFonts w:hint="eastAsia" w:ascii="仿宋_GB2312" w:hAnsi="仿宋_GB2312" w:eastAsia="仿宋_GB2312" w:cs="仿宋_GB2312"/>
          <w:sz w:val="32"/>
          <w:szCs w:val="32"/>
          <w:lang w:val="en-US" w:eastAsia="zh-CN"/>
        </w:rPr>
        <w:t>年申报乡村振兴项目资金</w:t>
      </w:r>
      <w:r>
        <w:rPr>
          <w:rFonts w:hint="default" w:ascii="仿宋_GB2312" w:hAnsi="仿宋_GB2312" w:eastAsia="仿宋_GB2312" w:cs="仿宋_GB2312"/>
          <w:sz w:val="32"/>
          <w:szCs w:val="32"/>
          <w:lang w:val="en" w:eastAsia="zh-CN"/>
        </w:rPr>
        <w:t>0.75</w:t>
      </w:r>
      <w:r>
        <w:rPr>
          <w:rFonts w:hint="eastAsia" w:ascii="仿宋_GB2312" w:hAnsi="仿宋_GB2312" w:eastAsia="仿宋_GB2312" w:cs="仿宋_GB2312"/>
          <w:sz w:val="32"/>
          <w:szCs w:val="32"/>
          <w:lang w:val="en-US" w:eastAsia="zh-CN"/>
        </w:rPr>
        <w:t>万元，批复资金</w:t>
      </w:r>
      <w:r>
        <w:rPr>
          <w:rFonts w:hint="default" w:ascii="仿宋_GB2312" w:hAnsi="仿宋_GB2312" w:eastAsia="仿宋_GB2312" w:cs="仿宋_GB2312"/>
          <w:sz w:val="32"/>
          <w:szCs w:val="32"/>
          <w:lang w:val="en" w:eastAsia="zh-CN"/>
        </w:rPr>
        <w:t>0.75</w:t>
      </w:r>
      <w:r>
        <w:rPr>
          <w:rFonts w:hint="eastAsia" w:ascii="仿宋_GB2312" w:hAnsi="仿宋_GB2312" w:eastAsia="仿宋_GB2312" w:cs="仿宋_GB2312"/>
          <w:sz w:val="32"/>
          <w:szCs w:val="32"/>
          <w:lang w:val="en-US" w:eastAsia="zh-CN"/>
        </w:rPr>
        <w:t>万元。</w:t>
      </w:r>
    </w:p>
    <w:p>
      <w:pPr>
        <w:keepNext w:val="0"/>
        <w:keepLines w:val="0"/>
        <w:pageBreakBefore w:val="0"/>
        <w:widowControl w:val="0"/>
        <w:numPr>
          <w:ilvl w:val="0"/>
          <w:numId w:val="6"/>
        </w:numPr>
        <w:kinsoku/>
        <w:wordWrap/>
        <w:overflowPunct/>
        <w:topLinePunct w:val="0"/>
        <w:autoSpaceDE/>
        <w:autoSpaceDN/>
        <w:bidi w:val="0"/>
        <w:adjustRightInd/>
        <w:snapToGrid/>
        <w:spacing w:line="576" w:lineRule="exact"/>
        <w:ind w:left="420" w:leftChars="20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资金计划、到位及使用情况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w:t>
      </w:r>
      <w:r>
        <w:rPr>
          <w:rFonts w:hint="default" w:ascii="仿宋_GB2312" w:hAnsi="仿宋_GB2312" w:eastAsia="仿宋_GB2312" w:cs="仿宋_GB2312"/>
          <w:sz w:val="32"/>
          <w:szCs w:val="32"/>
          <w:lang w:val="en" w:eastAsia="zh-CN"/>
        </w:rPr>
        <w:t>1</w:t>
      </w:r>
      <w:r>
        <w:rPr>
          <w:rFonts w:hint="eastAsia" w:ascii="仿宋_GB2312" w:hAnsi="仿宋_GB2312" w:eastAsia="仿宋_GB2312" w:cs="仿宋_GB2312"/>
          <w:sz w:val="32"/>
          <w:szCs w:val="32"/>
          <w:lang w:val="en-US" w:eastAsia="zh-CN"/>
        </w:rPr>
        <w:t>年乡村振兴工作项目资金计划</w:t>
      </w:r>
      <w:r>
        <w:rPr>
          <w:rFonts w:hint="default" w:ascii="仿宋_GB2312" w:hAnsi="仿宋_GB2312" w:eastAsia="仿宋_GB2312" w:cs="仿宋_GB2312"/>
          <w:sz w:val="32"/>
          <w:szCs w:val="32"/>
          <w:lang w:val="en" w:eastAsia="zh-CN"/>
        </w:rPr>
        <w:t>0.75</w:t>
      </w:r>
      <w:r>
        <w:rPr>
          <w:rFonts w:hint="eastAsia" w:ascii="仿宋_GB2312" w:hAnsi="仿宋_GB2312" w:eastAsia="仿宋_GB2312" w:cs="仿宋_GB2312"/>
          <w:sz w:val="32"/>
          <w:szCs w:val="32"/>
          <w:lang w:val="en-US" w:eastAsia="zh-CN"/>
        </w:rPr>
        <w:t>万元，到位</w:t>
      </w:r>
      <w:r>
        <w:rPr>
          <w:rFonts w:hint="default" w:ascii="仿宋_GB2312" w:hAnsi="仿宋_GB2312" w:eastAsia="仿宋_GB2312" w:cs="仿宋_GB2312"/>
          <w:sz w:val="32"/>
          <w:szCs w:val="32"/>
          <w:lang w:val="en" w:eastAsia="zh-CN"/>
        </w:rPr>
        <w:t>0.75</w:t>
      </w:r>
      <w:r>
        <w:rPr>
          <w:rFonts w:hint="eastAsia" w:ascii="仿宋_GB2312" w:hAnsi="仿宋_GB2312" w:eastAsia="仿宋_GB2312" w:cs="仿宋_GB2312"/>
          <w:sz w:val="32"/>
          <w:szCs w:val="32"/>
          <w:lang w:val="en-US" w:eastAsia="zh-CN"/>
        </w:rPr>
        <w:t>万元，主要用于乡村振兴办公费，工作人员交通等工作经费开支。</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项目财务管理情况：本单位制定了《财务管理制度》财务处理及时，会计核算规范。</w:t>
      </w:r>
    </w:p>
    <w:p>
      <w:pPr>
        <w:keepNext w:val="0"/>
        <w:keepLines w:val="0"/>
        <w:pageBreakBefore w:val="0"/>
        <w:widowControl w:val="0"/>
        <w:numPr>
          <w:ilvl w:val="0"/>
          <w:numId w:val="5"/>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项目实施及管理情况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结合项目组织实施管理办法，重点围绕以下内容进行分析评价，并对自评中发现的问题分析说明。</w:t>
      </w:r>
    </w:p>
    <w:p>
      <w:pPr>
        <w:keepNext w:val="0"/>
        <w:keepLines w:val="0"/>
        <w:pageBreakBefore w:val="0"/>
        <w:widowControl w:val="0"/>
        <w:numPr>
          <w:ilvl w:val="0"/>
          <w:numId w:val="7"/>
        </w:numPr>
        <w:kinsoku/>
        <w:wordWrap/>
        <w:overflowPunct/>
        <w:topLinePunct w:val="0"/>
        <w:autoSpaceDE/>
        <w:autoSpaceDN/>
        <w:bidi w:val="0"/>
        <w:adjustRightInd/>
        <w:snapToGrid/>
        <w:spacing w:line="576" w:lineRule="exact"/>
        <w:ind w:left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项目管理情况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根据《财务管理制度》严格审核票据，降低工作成本。</w:t>
      </w:r>
    </w:p>
    <w:p>
      <w:pPr>
        <w:keepNext w:val="0"/>
        <w:keepLines w:val="0"/>
        <w:pageBreakBefore w:val="0"/>
        <w:widowControl w:val="0"/>
        <w:numPr>
          <w:ilvl w:val="0"/>
          <w:numId w:val="7"/>
        </w:numPr>
        <w:kinsoku/>
        <w:wordWrap/>
        <w:overflowPunct/>
        <w:topLinePunct w:val="0"/>
        <w:autoSpaceDE/>
        <w:autoSpaceDN/>
        <w:bidi w:val="0"/>
        <w:adjustRightInd/>
        <w:snapToGrid/>
        <w:spacing w:line="576" w:lineRule="exact"/>
        <w:ind w:left="420" w:leftChars="20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明确具体责任人，对工作开展情况进行严格监管，</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有效降低运行成本。</w:t>
      </w:r>
    </w:p>
    <w:p>
      <w:pPr>
        <w:keepNext w:val="0"/>
        <w:keepLines w:val="0"/>
        <w:pageBreakBefore w:val="0"/>
        <w:widowControl w:val="0"/>
        <w:numPr>
          <w:ilvl w:val="0"/>
          <w:numId w:val="5"/>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项目绩效情况</w:t>
      </w:r>
    </w:p>
    <w:p>
      <w:pPr>
        <w:keepNext w:val="0"/>
        <w:keepLines w:val="0"/>
        <w:pageBreakBefore w:val="0"/>
        <w:widowControl w:val="0"/>
        <w:numPr>
          <w:ilvl w:val="0"/>
          <w:numId w:val="8"/>
        </w:numPr>
        <w:kinsoku/>
        <w:wordWrap/>
        <w:overflowPunct/>
        <w:topLinePunct w:val="0"/>
        <w:autoSpaceDE/>
        <w:autoSpaceDN/>
        <w:bidi w:val="0"/>
        <w:adjustRightInd/>
        <w:snapToGrid/>
        <w:spacing w:line="576" w:lineRule="exact"/>
        <w:ind w:left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项目完成情况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相关要求完成乡村振兴年度目标工作。一是立即行动有效衔接乡村振兴，到岗履职，全面摸排，做好脱贫攻坚档案交接，查漏补缺，归档入库；二是定期开展防止返贫动态监测和帮扶集中排查；三是高度重视谋划推进乡村振兴；四是勇于担当，发挥党员先锋模范，常态化疫情防控，宣传防疫知识，协助做好群众疫苗接种；协助做好防汛减灾，认真清理排水通道和土地滑坡，保障村道畅通，妥善安置受灾群众。</w:t>
      </w:r>
    </w:p>
    <w:p>
      <w:pPr>
        <w:keepNext w:val="0"/>
        <w:keepLines w:val="0"/>
        <w:pageBreakBefore w:val="0"/>
        <w:widowControl w:val="0"/>
        <w:numPr>
          <w:ilvl w:val="0"/>
          <w:numId w:val="8"/>
        </w:numPr>
        <w:kinsoku/>
        <w:wordWrap/>
        <w:overflowPunct/>
        <w:topLinePunct w:val="0"/>
        <w:autoSpaceDE/>
        <w:autoSpaceDN/>
        <w:bidi w:val="0"/>
        <w:adjustRightInd/>
        <w:snapToGrid/>
        <w:spacing w:line="576" w:lineRule="exact"/>
        <w:ind w:left="420" w:leftChars="200" w:firstLine="0" w:firstLineChars="0"/>
        <w:textAlignment w:val="auto"/>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项目效益指标</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经济效益：提高贫困户收入，确保贫困户年人均4200元。</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社会效益：维护社会稳定，巩固脱贫攻坚成果。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i w:val="0"/>
          <w:color w:val="auto"/>
          <w:sz w:val="30"/>
          <w:szCs w:val="30"/>
          <w:u w:val="none"/>
          <w:lang w:eastAsia="zh-CN"/>
        </w:rPr>
      </w:pPr>
      <w:r>
        <w:rPr>
          <w:rFonts w:hint="eastAsia" w:ascii="仿宋_GB2312" w:hAnsi="仿宋_GB2312" w:eastAsia="仿宋_GB2312" w:cs="仿宋_GB2312"/>
          <w:i w:val="0"/>
          <w:color w:val="000000"/>
          <w:kern w:val="0"/>
          <w:sz w:val="32"/>
          <w:szCs w:val="32"/>
          <w:u w:val="none"/>
          <w:lang w:val="en-US" w:eastAsia="zh-CN" w:bidi="ar"/>
        </w:rPr>
        <w:t>数量指标：帮扶一个村</w:t>
      </w:r>
      <w:r>
        <w:rPr>
          <w:rFonts w:hint="eastAsia" w:ascii="仿宋_GB2312" w:hAnsi="仿宋_GB2312" w:eastAsia="仿宋_GB2312" w:cs="仿宋_GB2312"/>
          <w:i w:val="0"/>
          <w:color w:val="auto"/>
          <w:sz w:val="30"/>
          <w:szCs w:val="30"/>
          <w:u w:val="none"/>
        </w:rPr>
        <w:t>7个村小组632户2252人，脱贫97户320人，享受低保213人</w:t>
      </w:r>
      <w:r>
        <w:rPr>
          <w:rFonts w:hint="eastAsia" w:ascii="仿宋_GB2312" w:hAnsi="仿宋_GB2312" w:eastAsia="仿宋_GB2312" w:cs="仿宋_GB2312"/>
          <w:i w:val="0"/>
          <w:color w:val="auto"/>
          <w:sz w:val="30"/>
          <w:szCs w:val="30"/>
          <w:u w:val="none"/>
          <w:lang w:eastAsia="zh-CN"/>
        </w:rPr>
        <w:t>。</w:t>
      </w:r>
    </w:p>
    <w:p>
      <w:pPr>
        <w:pStyle w:val="11"/>
        <w:keepNext w:val="0"/>
        <w:keepLines w:val="0"/>
        <w:pageBreakBefore w:val="0"/>
        <w:widowControl w:val="0"/>
        <w:kinsoku/>
        <w:wordWrap/>
        <w:overflowPunct/>
        <w:topLinePunct w:val="0"/>
        <w:autoSpaceDE/>
        <w:autoSpaceDN/>
        <w:bidi w:val="0"/>
        <w:adjustRightInd/>
        <w:snapToGrid/>
        <w:spacing w:line="576" w:lineRule="exact"/>
        <w:ind w:left="1059" w:leftChars="352" w:hanging="320" w:hangingChars="100"/>
        <w:textAlignment w:val="auto"/>
        <w:rPr>
          <w:rFonts w:hint="eastAsia"/>
          <w:lang w:val="en-US" w:eastAsia="zh-CN"/>
        </w:rPr>
      </w:pPr>
      <w:r>
        <w:rPr>
          <w:rFonts w:hint="eastAsia" w:ascii="仿宋_GB2312" w:hAnsi="仿宋_GB2312" w:eastAsia="仿宋_GB2312" w:cs="仿宋_GB2312"/>
          <w:i w:val="0"/>
          <w:color w:val="000000"/>
          <w:kern w:val="0"/>
          <w:sz w:val="32"/>
          <w:szCs w:val="32"/>
          <w:u w:val="none"/>
          <w:lang w:val="en-US" w:eastAsia="zh-CN" w:bidi="ar"/>
        </w:rPr>
        <w:t>满意度：社会及帮扶村满意度达到95%以上</w:t>
      </w:r>
    </w:p>
    <w:p>
      <w:pPr>
        <w:keepNext w:val="0"/>
        <w:keepLines w:val="0"/>
        <w:pageBreakBefore w:val="0"/>
        <w:widowControl w:val="0"/>
        <w:numPr>
          <w:ilvl w:val="0"/>
          <w:numId w:val="5"/>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评价结论及建议</w:t>
      </w:r>
    </w:p>
    <w:p>
      <w:pPr>
        <w:keepNext w:val="0"/>
        <w:keepLines w:val="0"/>
        <w:pageBreakBefore w:val="0"/>
        <w:widowControl w:val="0"/>
        <w:numPr>
          <w:ilvl w:val="0"/>
          <w:numId w:val="9"/>
        </w:numPr>
        <w:kinsoku/>
        <w:wordWrap/>
        <w:overflowPunct/>
        <w:topLinePunct w:val="0"/>
        <w:autoSpaceDE/>
        <w:autoSpaceDN/>
        <w:bidi w:val="0"/>
        <w:adjustRightInd/>
        <w:snapToGrid/>
        <w:spacing w:line="576" w:lineRule="exact"/>
        <w:ind w:leftChars="200"/>
        <w:textAlignment w:val="auto"/>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评价结论</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通过项目实施，加大帮扶力度，确保乡村振兴工作目标任务按要求完成。</w:t>
      </w:r>
    </w:p>
    <w:p>
      <w:pPr>
        <w:keepNext w:val="0"/>
        <w:keepLines w:val="0"/>
        <w:pageBreakBefore w:val="0"/>
        <w:widowControl w:val="0"/>
        <w:numPr>
          <w:ilvl w:val="0"/>
          <w:numId w:val="9"/>
        </w:numPr>
        <w:kinsoku/>
        <w:wordWrap/>
        <w:overflowPunct/>
        <w:topLinePunct w:val="0"/>
        <w:autoSpaceDE/>
        <w:autoSpaceDN/>
        <w:bidi w:val="0"/>
        <w:adjustRightInd/>
        <w:snapToGrid/>
        <w:spacing w:line="576" w:lineRule="exact"/>
        <w:ind w:left="420" w:leftChars="200" w:firstLine="0" w:firstLineChars="0"/>
        <w:textAlignment w:val="auto"/>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存在的问题</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帮扶任务重，我单位工作人员较少，在确保军休人员两个待遇落实的情况下又要抽出两名工作人员进行乡村振兴工作，还要抽出多名职工参加火车站疫情值守及网格化执守，人员调配上存在困难。</w:t>
      </w:r>
    </w:p>
    <w:p>
      <w:pPr>
        <w:keepNext w:val="0"/>
        <w:keepLines w:val="0"/>
        <w:pageBreakBefore w:val="0"/>
        <w:widowControl w:val="0"/>
        <w:numPr>
          <w:ilvl w:val="0"/>
          <w:numId w:val="9"/>
        </w:numPr>
        <w:kinsoku/>
        <w:wordWrap/>
        <w:overflowPunct/>
        <w:topLinePunct w:val="0"/>
        <w:autoSpaceDE/>
        <w:autoSpaceDN/>
        <w:bidi w:val="0"/>
        <w:adjustRightInd/>
        <w:snapToGrid/>
        <w:spacing w:line="576" w:lineRule="exact"/>
        <w:ind w:left="420" w:leftChars="200" w:firstLine="0" w:firstLineChars="0"/>
        <w:textAlignment w:val="auto"/>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相关建议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textAlignment w:val="auto"/>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 xml:space="preserve"> 争取财政支持，增加工作经费。</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_GB2312" w:hAnsi="仿宋_GB2312" w:eastAsia="仿宋_GB2312" w:cs="仿宋_GB2312"/>
          <w:kern w:val="0"/>
          <w:sz w:val="32"/>
          <w:szCs w:val="32"/>
          <w:lang w:bidi="ar"/>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 xml:space="preserve">                    </w:t>
      </w:r>
    </w:p>
    <w:p>
      <w:pPr>
        <w:pStyle w:val="11"/>
        <w:rPr>
          <w:rFonts w:hint="eastAsia"/>
        </w:rPr>
      </w:pPr>
    </w:p>
    <w:p>
      <w:pPr>
        <w:pStyle w:val="11"/>
        <w:rPr>
          <w:rFonts w:hint="eastAsia" w:ascii="仿宋_GB2312" w:hAnsi="仿宋_GB2312" w:eastAsia="仿宋_GB2312" w:cs="仿宋_GB2312"/>
          <w:kern w:val="0"/>
          <w:sz w:val="32"/>
          <w:szCs w:val="32"/>
          <w:lang w:bidi="ar"/>
        </w:rPr>
      </w:pPr>
    </w:p>
    <w:p>
      <w:pPr>
        <w:rPr>
          <w:rFonts w:hint="eastAsia" w:ascii="仿宋_GB2312" w:hAnsi="仿宋_GB2312" w:eastAsia="仿宋_GB2312" w:cs="仿宋_GB2312"/>
          <w:kern w:val="0"/>
          <w:sz w:val="32"/>
          <w:szCs w:val="32"/>
          <w:lang w:bidi="ar"/>
        </w:rPr>
      </w:pPr>
    </w:p>
    <w:p>
      <w:pPr>
        <w:pStyle w:val="11"/>
        <w:rPr>
          <w:rFonts w:hint="eastAsia" w:ascii="仿宋_GB2312" w:hAnsi="仿宋_GB2312" w:eastAsia="仿宋_GB2312" w:cs="仿宋_GB2312"/>
          <w:kern w:val="0"/>
          <w:sz w:val="32"/>
          <w:szCs w:val="32"/>
          <w:lang w:bidi="ar"/>
        </w:rPr>
      </w:pPr>
    </w:p>
    <w:p>
      <w:pPr>
        <w:rPr>
          <w:rFonts w:hint="eastAsia" w:ascii="仿宋_GB2312" w:hAnsi="仿宋_GB2312" w:eastAsia="仿宋_GB2312" w:cs="仿宋_GB2312"/>
          <w:kern w:val="0"/>
          <w:sz w:val="32"/>
          <w:szCs w:val="32"/>
          <w:lang w:bidi="ar"/>
        </w:rPr>
      </w:pPr>
    </w:p>
    <w:p>
      <w:pPr>
        <w:pStyle w:val="11"/>
        <w:rPr>
          <w:rFonts w:hint="eastAsia" w:ascii="仿宋_GB2312" w:hAnsi="仿宋_GB2312" w:eastAsia="仿宋_GB2312" w:cs="仿宋_GB2312"/>
          <w:kern w:val="0"/>
          <w:sz w:val="32"/>
          <w:szCs w:val="32"/>
          <w:lang w:bidi="ar"/>
        </w:rPr>
      </w:pPr>
    </w:p>
    <w:p>
      <w:pPr>
        <w:rPr>
          <w:rFonts w:hint="eastAsia" w:ascii="仿宋_GB2312" w:hAnsi="仿宋_GB2312" w:eastAsia="仿宋_GB2312" w:cs="仿宋_GB2312"/>
          <w:kern w:val="0"/>
          <w:sz w:val="32"/>
          <w:szCs w:val="32"/>
          <w:lang w:bidi="ar"/>
        </w:rPr>
      </w:pPr>
    </w:p>
    <w:p>
      <w:pPr>
        <w:pStyle w:val="11"/>
        <w:rPr>
          <w:rFonts w:hint="eastAsia" w:ascii="仿宋_GB2312" w:hAnsi="仿宋_GB2312" w:eastAsia="仿宋_GB2312" w:cs="仿宋_GB2312"/>
          <w:kern w:val="0"/>
          <w:sz w:val="32"/>
          <w:szCs w:val="32"/>
          <w:lang w:bidi="ar"/>
        </w:rPr>
      </w:pPr>
    </w:p>
    <w:p>
      <w:pPr>
        <w:rPr>
          <w:rFonts w:hint="eastAsia" w:ascii="仿宋_GB2312" w:hAnsi="仿宋_GB2312" w:eastAsia="仿宋_GB2312" w:cs="仿宋_GB2312"/>
          <w:kern w:val="0"/>
          <w:sz w:val="32"/>
          <w:szCs w:val="32"/>
          <w:lang w:bidi="ar"/>
        </w:rPr>
      </w:pPr>
    </w:p>
    <w:p>
      <w:pPr>
        <w:pStyle w:val="11"/>
        <w:rPr>
          <w:rFonts w:hint="eastAsia"/>
        </w:rPr>
      </w:pPr>
    </w:p>
    <w:p>
      <w:pPr>
        <w:rPr>
          <w:rFonts w:hint="eastAsia"/>
        </w:rPr>
      </w:pPr>
    </w:p>
    <w:p>
      <w:pPr>
        <w:pStyle w:val="11"/>
      </w:pPr>
    </w:p>
    <w:p>
      <w:pPr>
        <w:spacing w:line="572" w:lineRule="exact"/>
        <w:jc w:val="left"/>
        <w:outlineLvl w:val="0"/>
        <w:rPr>
          <w:rFonts w:ascii="仿宋_GB2312" w:hAnsi="仿宋_GB2312" w:eastAsia="黑体" w:cs="仿宋_GB2312"/>
          <w:sz w:val="32"/>
          <w:szCs w:val="32"/>
        </w:rPr>
      </w:pPr>
      <w:r>
        <w:rPr>
          <w:rFonts w:hint="eastAsia" w:ascii="黑体" w:hAnsi="黑体" w:eastAsia="黑体" w:cs="黑体"/>
          <w:sz w:val="32"/>
          <w:szCs w:val="32"/>
        </w:rPr>
        <w:t>附表1</w:t>
      </w:r>
    </w:p>
    <w:tbl>
      <w:tblPr>
        <w:tblStyle w:val="13"/>
        <w:tblpPr w:leftFromText="180" w:rightFromText="180" w:vertAnchor="text" w:horzAnchor="page" w:tblpX="1300" w:tblpY="269"/>
        <w:tblOverlap w:val="never"/>
        <w:tblW w:w="9981" w:type="dxa"/>
        <w:tblInd w:w="0" w:type="dxa"/>
        <w:tblLayout w:type="fixed"/>
        <w:tblCellMar>
          <w:top w:w="0" w:type="dxa"/>
          <w:left w:w="108" w:type="dxa"/>
          <w:bottom w:w="0" w:type="dxa"/>
          <w:right w:w="108" w:type="dxa"/>
        </w:tblCellMar>
      </w:tblPr>
      <w:tblGrid>
        <w:gridCol w:w="1710"/>
        <w:gridCol w:w="795"/>
        <w:gridCol w:w="956"/>
        <w:gridCol w:w="1868"/>
        <w:gridCol w:w="2102"/>
        <w:gridCol w:w="2314"/>
        <w:gridCol w:w="236"/>
      </w:tblGrid>
      <w:tr>
        <w:tblPrEx>
          <w:tblCellMar>
            <w:top w:w="0" w:type="dxa"/>
            <w:left w:w="108" w:type="dxa"/>
            <w:bottom w:w="0" w:type="dxa"/>
            <w:right w:w="108" w:type="dxa"/>
          </w:tblCellMar>
        </w:tblPrEx>
        <w:trPr>
          <w:trHeight w:val="675" w:hRule="atLeast"/>
        </w:trPr>
        <w:tc>
          <w:tcPr>
            <w:tcW w:w="9745" w:type="dxa"/>
            <w:gridSpan w:val="6"/>
            <w:tcBorders>
              <w:top w:val="nil"/>
              <w:left w:val="nil"/>
              <w:bottom w:val="nil"/>
              <w:right w:val="nil"/>
            </w:tcBorders>
            <w:shd w:val="clear" w:color="auto" w:fill="auto"/>
            <w:vAlign w:val="center"/>
          </w:tcPr>
          <w:p>
            <w:pPr>
              <w:widowControl/>
              <w:jc w:val="center"/>
              <w:textAlignment w:val="center"/>
              <w:rPr>
                <w:rFonts w:ascii="宋体" w:hAnsi="宋体" w:cs="宋体"/>
                <w:b/>
                <w:sz w:val="32"/>
                <w:szCs w:val="32"/>
              </w:rPr>
            </w:pPr>
            <w:bookmarkStart w:id="53" w:name="_Toc15396618"/>
            <w:r>
              <w:rPr>
                <w:rFonts w:hint="eastAsia" w:ascii="宋体" w:hAnsi="宋体" w:cs="宋体"/>
                <w:b/>
                <w:sz w:val="32"/>
                <w:szCs w:val="32"/>
              </w:rPr>
              <w:t>2021年部门预算项目绩效目标自评</w:t>
            </w:r>
          </w:p>
        </w:tc>
        <w:tc>
          <w:tcPr>
            <w:tcW w:w="236" w:type="dxa"/>
            <w:tcBorders>
              <w:top w:val="nil"/>
              <w:left w:val="nil"/>
              <w:bottom w:val="nil"/>
              <w:right w:val="nil"/>
            </w:tcBorders>
            <w:shd w:val="clear" w:color="auto" w:fill="auto"/>
            <w:vAlign w:val="center"/>
          </w:tcPr>
          <w:p>
            <w:pPr>
              <w:widowControl/>
              <w:jc w:val="center"/>
              <w:textAlignment w:val="center"/>
              <w:rPr>
                <w:rFonts w:ascii="宋体" w:hAnsi="宋体" w:cs="宋体"/>
                <w:b/>
                <w:kern w:val="0"/>
                <w:sz w:val="32"/>
                <w:szCs w:val="32"/>
                <w:lang w:bidi="ar"/>
              </w:rPr>
            </w:pPr>
          </w:p>
        </w:tc>
      </w:tr>
      <w:tr>
        <w:tblPrEx>
          <w:tblCellMar>
            <w:top w:w="0" w:type="dxa"/>
            <w:left w:w="108" w:type="dxa"/>
            <w:bottom w:w="0" w:type="dxa"/>
            <w:right w:w="108" w:type="dxa"/>
          </w:tblCellMar>
        </w:tblPrEx>
        <w:trPr>
          <w:gridAfter w:val="1"/>
          <w:wAfter w:w="236" w:type="dxa"/>
          <w:trHeight w:val="254" w:hRule="atLeast"/>
        </w:trPr>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18"/>
                <w:szCs w:val="18"/>
              </w:rPr>
            </w:pPr>
            <w:r>
              <w:rPr>
                <w:rFonts w:hint="eastAsia" w:ascii="宋体" w:hAnsi="宋体" w:cs="宋体"/>
                <w:kern w:val="0"/>
                <w:sz w:val="18"/>
                <w:szCs w:val="18"/>
                <w:lang w:bidi="ar"/>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18"/>
                <w:szCs w:val="18"/>
              </w:rPr>
            </w:pPr>
            <w:r>
              <w:rPr>
                <w:rFonts w:hint="eastAsia" w:ascii="宋体" w:hAnsi="宋体" w:cs="宋体"/>
                <w:sz w:val="18"/>
                <w:szCs w:val="18"/>
              </w:rPr>
              <w:t>广元市退役军人事务局643</w:t>
            </w:r>
            <w:r>
              <w:rPr>
                <w:rFonts w:hint="eastAsia" w:ascii="宋体" w:hAnsi="宋体" w:cs="宋体"/>
                <w:sz w:val="18"/>
                <w:szCs w:val="18"/>
                <w:lang w:val="en-US" w:eastAsia="zh-CN"/>
              </w:rPr>
              <w:t>0</w:t>
            </w:r>
            <w:r>
              <w:rPr>
                <w:rFonts w:hint="eastAsia" w:ascii="宋体" w:hAnsi="宋体" w:cs="宋体"/>
                <w:sz w:val="18"/>
                <w:szCs w:val="18"/>
              </w:rPr>
              <w:t>01</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18"/>
                <w:szCs w:val="18"/>
              </w:rPr>
            </w:pPr>
            <w:r>
              <w:rPr>
                <w:rFonts w:hint="eastAsia" w:ascii="宋体" w:hAnsi="宋体" w:cs="宋体"/>
                <w:kern w:val="0"/>
                <w:sz w:val="18"/>
                <w:szCs w:val="18"/>
                <w:lang w:bidi="ar"/>
              </w:rPr>
              <w:t>实施单位</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18"/>
                <w:szCs w:val="18"/>
              </w:rPr>
            </w:pPr>
            <w:r>
              <w:rPr>
                <w:rFonts w:hint="eastAsia" w:ascii="宋体" w:hAnsi="宋体" w:cs="宋体"/>
                <w:sz w:val="18"/>
                <w:szCs w:val="18"/>
              </w:rPr>
              <w:t>广元市军队离退休干部休养所</w:t>
            </w:r>
          </w:p>
        </w:tc>
      </w:tr>
      <w:tr>
        <w:tblPrEx>
          <w:tblCellMar>
            <w:top w:w="0" w:type="dxa"/>
            <w:left w:w="108" w:type="dxa"/>
            <w:bottom w:w="0" w:type="dxa"/>
            <w:right w:w="108" w:type="dxa"/>
          </w:tblCellMar>
        </w:tblPrEx>
        <w:trPr>
          <w:gridAfter w:val="1"/>
          <w:wAfter w:w="236" w:type="dxa"/>
          <w:trHeight w:val="424" w:hRule="atLeast"/>
        </w:trPr>
        <w:tc>
          <w:tcPr>
            <w:tcW w:w="250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eastAsia="宋体" w:cs="宋体"/>
                <w:kern w:val="0"/>
                <w:sz w:val="18"/>
                <w:szCs w:val="18"/>
                <w:lang w:eastAsia="zh-CN" w:bidi="ar"/>
              </w:rPr>
            </w:pPr>
            <w:r>
              <w:rPr>
                <w:rFonts w:hint="eastAsia" w:ascii="宋体" w:hAnsi="宋体" w:cs="宋体"/>
                <w:kern w:val="0"/>
                <w:sz w:val="18"/>
                <w:szCs w:val="18"/>
                <w:lang w:bidi="ar"/>
              </w:rPr>
              <w:t>项目预算</w:t>
            </w:r>
          </w:p>
          <w:p>
            <w:pPr>
              <w:widowControl/>
              <w:spacing w:line="320" w:lineRule="exact"/>
              <w:jc w:val="center"/>
              <w:textAlignment w:val="center"/>
              <w:rPr>
                <w:rFonts w:hint="eastAsia" w:ascii="宋体" w:hAnsi="宋体" w:eastAsia="宋体" w:cs="宋体"/>
                <w:kern w:val="0"/>
                <w:sz w:val="18"/>
                <w:szCs w:val="18"/>
                <w:lang w:eastAsia="zh-CN" w:bidi="ar"/>
              </w:rPr>
            </w:pPr>
            <w:r>
              <w:rPr>
                <w:rFonts w:hint="eastAsia" w:ascii="宋体" w:hAnsi="宋体" w:cs="宋体"/>
                <w:kern w:val="0"/>
                <w:sz w:val="18"/>
                <w:szCs w:val="18"/>
                <w:lang w:bidi="ar"/>
              </w:rPr>
              <w:t>执行情况</w:t>
            </w:r>
          </w:p>
          <w:p>
            <w:pPr>
              <w:widowControl/>
              <w:spacing w:line="320" w:lineRule="exact"/>
              <w:jc w:val="center"/>
              <w:textAlignment w:val="center"/>
              <w:rPr>
                <w:rFonts w:ascii="宋体" w:hAnsi="宋体" w:cs="宋体"/>
                <w:sz w:val="18"/>
                <w:szCs w:val="18"/>
              </w:rPr>
            </w:pPr>
            <w:r>
              <w:rPr>
                <w:rFonts w:hint="eastAsia" w:ascii="宋体" w:hAnsi="宋体" w:cs="宋体"/>
                <w:kern w:val="0"/>
                <w:sz w:val="18"/>
                <w:szCs w:val="18"/>
                <w:lang w:bidi="ar"/>
              </w:rPr>
              <w:t>（万元）</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18"/>
                <w:szCs w:val="18"/>
              </w:rPr>
            </w:pPr>
            <w:r>
              <w:rPr>
                <w:rFonts w:hint="eastAsia" w:ascii="宋体" w:hAnsi="宋体" w:cs="宋体"/>
                <w:kern w:val="0"/>
                <w:sz w:val="18"/>
                <w:szCs w:val="18"/>
                <w:lang w:bidi="ar"/>
              </w:rPr>
              <w:t xml:space="preserve"> 预算数：</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18"/>
                <w:szCs w:val="18"/>
              </w:rPr>
            </w:pPr>
            <w:r>
              <w:rPr>
                <w:rFonts w:hint="eastAsia" w:ascii="宋体" w:hAnsi="宋体" w:cs="宋体"/>
                <w:sz w:val="18"/>
                <w:szCs w:val="18"/>
              </w:rPr>
              <w:t>0.75</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18"/>
                <w:szCs w:val="18"/>
              </w:rPr>
            </w:pPr>
            <w:r>
              <w:rPr>
                <w:rFonts w:hint="eastAsia" w:ascii="宋体" w:hAnsi="宋体" w:cs="宋体"/>
                <w:kern w:val="0"/>
                <w:sz w:val="18"/>
                <w:szCs w:val="18"/>
                <w:lang w:bidi="ar"/>
              </w:rPr>
              <w:t xml:space="preserve"> 执行数：</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18"/>
                <w:szCs w:val="18"/>
              </w:rPr>
            </w:pPr>
            <w:r>
              <w:rPr>
                <w:rFonts w:hint="eastAsia" w:ascii="宋体" w:hAnsi="宋体" w:cs="宋体"/>
                <w:sz w:val="18"/>
                <w:szCs w:val="18"/>
              </w:rPr>
              <w:t>0.75</w:t>
            </w:r>
          </w:p>
        </w:tc>
      </w:tr>
      <w:tr>
        <w:tblPrEx>
          <w:tblCellMar>
            <w:top w:w="0" w:type="dxa"/>
            <w:left w:w="108" w:type="dxa"/>
            <w:bottom w:w="0" w:type="dxa"/>
            <w:right w:w="108" w:type="dxa"/>
          </w:tblCellMar>
        </w:tblPrEx>
        <w:trPr>
          <w:gridAfter w:val="1"/>
          <w:wAfter w:w="236" w:type="dxa"/>
          <w:trHeight w:val="481" w:hRule="atLeast"/>
        </w:trPr>
        <w:tc>
          <w:tcPr>
            <w:tcW w:w="25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18"/>
                <w:szCs w:val="18"/>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其中：</w:t>
            </w:r>
          </w:p>
          <w:p>
            <w:pPr>
              <w:widowControl/>
              <w:spacing w:line="320" w:lineRule="exact"/>
              <w:jc w:val="left"/>
              <w:textAlignment w:val="center"/>
              <w:rPr>
                <w:rFonts w:ascii="宋体" w:hAnsi="宋体" w:cs="宋体"/>
                <w:sz w:val="18"/>
                <w:szCs w:val="18"/>
              </w:rPr>
            </w:pPr>
            <w:r>
              <w:rPr>
                <w:rFonts w:hint="eastAsia" w:ascii="宋体" w:hAnsi="宋体" w:cs="宋体"/>
                <w:kern w:val="0"/>
                <w:sz w:val="18"/>
                <w:szCs w:val="18"/>
                <w:lang w:bidi="ar"/>
              </w:rPr>
              <w:t>财政拨款</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18"/>
                <w:szCs w:val="18"/>
              </w:rPr>
            </w:pPr>
            <w:r>
              <w:rPr>
                <w:rFonts w:hint="eastAsia" w:ascii="宋体" w:hAnsi="宋体" w:cs="宋体"/>
                <w:sz w:val="18"/>
                <w:szCs w:val="18"/>
              </w:rPr>
              <w:t>0.75</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其中：</w:t>
            </w:r>
          </w:p>
          <w:p>
            <w:pPr>
              <w:widowControl/>
              <w:spacing w:line="320" w:lineRule="exact"/>
              <w:jc w:val="left"/>
              <w:textAlignment w:val="center"/>
              <w:rPr>
                <w:rFonts w:ascii="宋体" w:hAnsi="宋体" w:cs="宋体"/>
                <w:sz w:val="18"/>
                <w:szCs w:val="18"/>
              </w:rPr>
            </w:pPr>
            <w:r>
              <w:rPr>
                <w:rFonts w:hint="eastAsia" w:ascii="宋体" w:hAnsi="宋体" w:cs="宋体"/>
                <w:kern w:val="0"/>
                <w:sz w:val="18"/>
                <w:szCs w:val="18"/>
                <w:lang w:bidi="ar"/>
              </w:rPr>
              <w:t>财政拨款</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18"/>
                <w:szCs w:val="18"/>
              </w:rPr>
            </w:pPr>
            <w:r>
              <w:rPr>
                <w:rFonts w:hint="eastAsia" w:ascii="宋体" w:hAnsi="宋体" w:cs="宋体"/>
                <w:sz w:val="18"/>
                <w:szCs w:val="18"/>
              </w:rPr>
              <w:t>0.75</w:t>
            </w:r>
          </w:p>
        </w:tc>
      </w:tr>
      <w:tr>
        <w:tblPrEx>
          <w:tblCellMar>
            <w:top w:w="0" w:type="dxa"/>
            <w:left w:w="108" w:type="dxa"/>
            <w:bottom w:w="0" w:type="dxa"/>
            <w:right w:w="108" w:type="dxa"/>
          </w:tblCellMar>
        </w:tblPrEx>
        <w:trPr>
          <w:gridAfter w:val="1"/>
          <w:wAfter w:w="236" w:type="dxa"/>
          <w:trHeight w:val="478" w:hRule="atLeast"/>
        </w:trPr>
        <w:tc>
          <w:tcPr>
            <w:tcW w:w="25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18"/>
                <w:szCs w:val="18"/>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18"/>
                <w:szCs w:val="18"/>
              </w:rPr>
            </w:pPr>
            <w:r>
              <w:rPr>
                <w:rFonts w:hint="eastAsia" w:ascii="宋体" w:hAnsi="宋体" w:cs="宋体"/>
                <w:kern w:val="0"/>
                <w:sz w:val="18"/>
                <w:szCs w:val="18"/>
                <w:lang w:bidi="ar"/>
              </w:rPr>
              <w:t>其他资金</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18"/>
                <w:szCs w:val="18"/>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18"/>
                <w:szCs w:val="18"/>
              </w:rPr>
            </w:pPr>
            <w:r>
              <w:rPr>
                <w:rFonts w:hint="eastAsia" w:ascii="宋体" w:hAnsi="宋体" w:cs="宋体"/>
                <w:kern w:val="0"/>
                <w:sz w:val="18"/>
                <w:szCs w:val="18"/>
                <w:lang w:bidi="ar"/>
              </w:rPr>
              <w:t>其他资金</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18"/>
                <w:szCs w:val="18"/>
              </w:rPr>
            </w:pPr>
          </w:p>
        </w:tc>
      </w:tr>
      <w:tr>
        <w:tblPrEx>
          <w:tblCellMar>
            <w:top w:w="0" w:type="dxa"/>
            <w:left w:w="108" w:type="dxa"/>
            <w:bottom w:w="0" w:type="dxa"/>
            <w:right w:w="108" w:type="dxa"/>
          </w:tblCellMar>
        </w:tblPrEx>
        <w:trPr>
          <w:gridAfter w:val="1"/>
          <w:wAfter w:w="236" w:type="dxa"/>
          <w:trHeight w:val="506" w:hRule="atLeast"/>
        </w:trPr>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年度总体目标</w:t>
            </w:r>
          </w:p>
          <w:p>
            <w:pPr>
              <w:widowControl/>
              <w:spacing w:line="320" w:lineRule="exact"/>
              <w:jc w:val="center"/>
              <w:textAlignment w:val="center"/>
              <w:rPr>
                <w:rFonts w:ascii="宋体" w:hAnsi="宋体" w:cs="宋体"/>
                <w:sz w:val="18"/>
                <w:szCs w:val="18"/>
              </w:rPr>
            </w:pPr>
            <w:r>
              <w:rPr>
                <w:rFonts w:hint="eastAsia" w:ascii="宋体" w:hAnsi="宋体" w:cs="宋体"/>
                <w:kern w:val="0"/>
                <w:sz w:val="18"/>
                <w:szCs w:val="18"/>
                <w:lang w:bidi="ar"/>
              </w:rPr>
              <w:t>完成情况</w:t>
            </w:r>
          </w:p>
        </w:tc>
        <w:tc>
          <w:tcPr>
            <w:tcW w:w="36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18"/>
                <w:szCs w:val="18"/>
              </w:rPr>
            </w:pPr>
            <w:r>
              <w:rPr>
                <w:rFonts w:hint="eastAsia" w:ascii="宋体" w:hAnsi="宋体" w:cs="宋体"/>
                <w:kern w:val="0"/>
                <w:sz w:val="18"/>
                <w:szCs w:val="18"/>
                <w:lang w:bidi="ar"/>
              </w:rPr>
              <w:t>预期目标</w:t>
            </w:r>
          </w:p>
        </w:tc>
        <w:tc>
          <w:tcPr>
            <w:tcW w:w="4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18"/>
                <w:szCs w:val="18"/>
              </w:rPr>
            </w:pPr>
            <w:r>
              <w:rPr>
                <w:rFonts w:hint="eastAsia" w:ascii="宋体" w:hAnsi="宋体" w:cs="宋体"/>
                <w:kern w:val="0"/>
                <w:sz w:val="18"/>
                <w:szCs w:val="18"/>
                <w:lang w:bidi="ar"/>
              </w:rPr>
              <w:t>目标实际完成情况</w:t>
            </w:r>
          </w:p>
        </w:tc>
      </w:tr>
      <w:tr>
        <w:tblPrEx>
          <w:tblCellMar>
            <w:top w:w="0" w:type="dxa"/>
            <w:left w:w="108" w:type="dxa"/>
            <w:bottom w:w="0" w:type="dxa"/>
            <w:right w:w="108" w:type="dxa"/>
          </w:tblCellMar>
        </w:tblPrEx>
        <w:trPr>
          <w:gridAfter w:val="1"/>
          <w:wAfter w:w="236" w:type="dxa"/>
          <w:trHeight w:val="659" w:hRule="atLeast"/>
        </w:trPr>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18"/>
                <w:szCs w:val="18"/>
              </w:rPr>
            </w:pPr>
          </w:p>
        </w:tc>
        <w:tc>
          <w:tcPr>
            <w:tcW w:w="3619"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 w:val="18"/>
                <w:szCs w:val="18"/>
              </w:rPr>
            </w:pPr>
            <w:r>
              <w:rPr>
                <w:rFonts w:hint="eastAsia" w:ascii="宋体" w:hAnsi="宋体" w:cs="宋体"/>
                <w:sz w:val="18"/>
                <w:szCs w:val="18"/>
              </w:rPr>
              <w:t>巩固脱贫攻坚成果，全面推进乡村振兴工作</w:t>
            </w:r>
          </w:p>
        </w:tc>
        <w:tc>
          <w:tcPr>
            <w:tcW w:w="4416"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 w:val="18"/>
                <w:szCs w:val="18"/>
              </w:rPr>
            </w:pPr>
            <w:r>
              <w:rPr>
                <w:rFonts w:hint="eastAsia" w:ascii="宋体" w:hAnsi="宋体" w:cs="宋体"/>
                <w:sz w:val="18"/>
                <w:szCs w:val="18"/>
              </w:rPr>
              <w:t>巩固脱贫攻坚成果，全面推进乡村振兴工作</w:t>
            </w:r>
          </w:p>
        </w:tc>
      </w:tr>
      <w:tr>
        <w:tblPrEx>
          <w:tblCellMar>
            <w:top w:w="0" w:type="dxa"/>
            <w:left w:w="108" w:type="dxa"/>
            <w:bottom w:w="0" w:type="dxa"/>
            <w:right w:w="108" w:type="dxa"/>
          </w:tblCellMar>
        </w:tblPrEx>
        <w:trPr>
          <w:gridAfter w:val="1"/>
          <w:wAfter w:w="236" w:type="dxa"/>
          <w:trHeight w:val="405" w:hRule="atLeast"/>
        </w:trPr>
        <w:tc>
          <w:tcPr>
            <w:tcW w:w="1710"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年度绩效指标完成情况</w:t>
            </w:r>
          </w:p>
        </w:tc>
        <w:tc>
          <w:tcPr>
            <w:tcW w:w="795"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18"/>
                <w:szCs w:val="18"/>
                <w:lang w:bidi="ar"/>
              </w:rPr>
            </w:pPr>
            <w:r>
              <w:rPr>
                <w:rFonts w:hint="eastAsia" w:ascii="仿宋_GB2312" w:hAnsi="仿宋_GB2312" w:eastAsia="仿宋_GB2312" w:cs="仿宋_GB2312"/>
                <w:kern w:val="0"/>
                <w:sz w:val="18"/>
                <w:szCs w:val="18"/>
                <w:lang w:bidi="ar"/>
              </w:rPr>
              <w:t>一级</w:t>
            </w:r>
          </w:p>
          <w:p>
            <w:pPr>
              <w:widowControl/>
              <w:spacing w:line="320" w:lineRule="exact"/>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指标</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18"/>
                <w:szCs w:val="18"/>
                <w:lang w:bidi="ar"/>
              </w:rPr>
            </w:pPr>
            <w:r>
              <w:rPr>
                <w:rFonts w:hint="eastAsia" w:ascii="仿宋_GB2312" w:hAnsi="仿宋_GB2312" w:eastAsia="仿宋_GB2312" w:cs="仿宋_GB2312"/>
                <w:kern w:val="0"/>
                <w:sz w:val="18"/>
                <w:szCs w:val="18"/>
                <w:lang w:bidi="ar"/>
              </w:rPr>
              <w:t>二级</w:t>
            </w:r>
          </w:p>
          <w:p>
            <w:pPr>
              <w:widowControl/>
              <w:spacing w:line="320" w:lineRule="exact"/>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指标</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18"/>
                <w:szCs w:val="18"/>
                <w:lang w:bidi="ar"/>
              </w:rPr>
            </w:pPr>
            <w:r>
              <w:rPr>
                <w:rFonts w:hint="eastAsia" w:ascii="仿宋_GB2312" w:hAnsi="仿宋_GB2312" w:eastAsia="仿宋_GB2312" w:cs="仿宋_GB2312"/>
                <w:kern w:val="0"/>
                <w:sz w:val="18"/>
                <w:szCs w:val="18"/>
                <w:lang w:bidi="ar"/>
              </w:rPr>
              <w:t>三级</w:t>
            </w:r>
          </w:p>
          <w:p>
            <w:pPr>
              <w:widowControl/>
              <w:spacing w:line="320" w:lineRule="exact"/>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指标</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预期指标值</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实际完成指标值</w:t>
            </w:r>
          </w:p>
        </w:tc>
      </w:tr>
      <w:tr>
        <w:tblPrEx>
          <w:tblCellMar>
            <w:top w:w="0" w:type="dxa"/>
            <w:left w:w="108" w:type="dxa"/>
            <w:bottom w:w="0" w:type="dxa"/>
            <w:right w:w="108" w:type="dxa"/>
          </w:tblCellMar>
        </w:tblPrEx>
        <w:trPr>
          <w:gridAfter w:val="1"/>
          <w:wAfter w:w="236" w:type="dxa"/>
          <w:trHeight w:val="812" w:hRule="atLeast"/>
        </w:trPr>
        <w:tc>
          <w:tcPr>
            <w:tcW w:w="1710"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18"/>
                <w:szCs w:val="18"/>
              </w:rPr>
            </w:pP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18"/>
                <w:szCs w:val="18"/>
                <w:lang w:bidi="ar"/>
              </w:rPr>
            </w:pPr>
            <w:r>
              <w:rPr>
                <w:rFonts w:hint="eastAsia" w:ascii="仿宋_GB2312" w:hAnsi="仿宋_GB2312" w:eastAsia="仿宋_GB2312" w:cs="仿宋_GB2312"/>
                <w:kern w:val="0"/>
                <w:sz w:val="18"/>
                <w:szCs w:val="18"/>
                <w:lang w:bidi="ar"/>
              </w:rPr>
              <w:t>完成</w:t>
            </w:r>
          </w:p>
          <w:p>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指标</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数量指标</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乡村振兴帮扶一个村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1个村7个村小组632户2252人，脱贫97户320人，享受低保213人</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1个村7个村小组632户2252人，脱贫97户320人，享受低保213人</w:t>
            </w:r>
          </w:p>
        </w:tc>
      </w:tr>
      <w:tr>
        <w:tblPrEx>
          <w:tblCellMar>
            <w:top w:w="0" w:type="dxa"/>
            <w:left w:w="108" w:type="dxa"/>
            <w:bottom w:w="0" w:type="dxa"/>
            <w:right w:w="108" w:type="dxa"/>
          </w:tblCellMar>
        </w:tblPrEx>
        <w:trPr>
          <w:gridAfter w:val="1"/>
          <w:wAfter w:w="236" w:type="dxa"/>
          <w:trHeight w:val="407" w:hRule="atLeast"/>
        </w:trPr>
        <w:tc>
          <w:tcPr>
            <w:tcW w:w="1710"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18"/>
                <w:szCs w:val="18"/>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18"/>
                <w:szCs w:val="18"/>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质量指标</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乡村振兴帮扶一个村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巩固脱贫攻坚成果，防止返贫</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巩固脱贫攻坚成果，防止返贫</w:t>
            </w:r>
          </w:p>
        </w:tc>
      </w:tr>
      <w:tr>
        <w:tblPrEx>
          <w:tblCellMar>
            <w:top w:w="0" w:type="dxa"/>
            <w:left w:w="108" w:type="dxa"/>
            <w:bottom w:w="0" w:type="dxa"/>
            <w:right w:w="108" w:type="dxa"/>
          </w:tblCellMar>
        </w:tblPrEx>
        <w:trPr>
          <w:gridAfter w:val="1"/>
          <w:wAfter w:w="236" w:type="dxa"/>
          <w:trHeight w:val="593" w:hRule="atLeast"/>
        </w:trPr>
        <w:tc>
          <w:tcPr>
            <w:tcW w:w="1710"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18"/>
                <w:szCs w:val="18"/>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18"/>
                <w:szCs w:val="18"/>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时效指标</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乡村振兴帮扶一个村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2021年12月31日止</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2021年12月31日止</w:t>
            </w:r>
          </w:p>
        </w:tc>
      </w:tr>
      <w:tr>
        <w:tblPrEx>
          <w:tblCellMar>
            <w:top w:w="0" w:type="dxa"/>
            <w:left w:w="108" w:type="dxa"/>
            <w:bottom w:w="0" w:type="dxa"/>
            <w:right w:w="108" w:type="dxa"/>
          </w:tblCellMar>
        </w:tblPrEx>
        <w:trPr>
          <w:gridAfter w:val="1"/>
          <w:wAfter w:w="236" w:type="dxa"/>
          <w:trHeight w:val="640" w:hRule="atLeast"/>
        </w:trPr>
        <w:tc>
          <w:tcPr>
            <w:tcW w:w="1710"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18"/>
                <w:szCs w:val="18"/>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18"/>
                <w:szCs w:val="18"/>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成本指标</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乡村振兴帮扶一个村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0.75万元</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0.75万元</w:t>
            </w:r>
          </w:p>
        </w:tc>
      </w:tr>
      <w:tr>
        <w:tblPrEx>
          <w:tblCellMar>
            <w:top w:w="0" w:type="dxa"/>
            <w:left w:w="108" w:type="dxa"/>
            <w:bottom w:w="0" w:type="dxa"/>
            <w:right w:w="108" w:type="dxa"/>
          </w:tblCellMar>
        </w:tblPrEx>
        <w:trPr>
          <w:gridAfter w:val="1"/>
          <w:wAfter w:w="236" w:type="dxa"/>
          <w:trHeight w:val="480" w:hRule="atLeast"/>
        </w:trPr>
        <w:tc>
          <w:tcPr>
            <w:tcW w:w="1710"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18"/>
                <w:szCs w:val="18"/>
              </w:rPr>
            </w:pP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18"/>
                <w:szCs w:val="18"/>
                <w:lang w:eastAsia="zh-CN" w:bidi="ar"/>
              </w:rPr>
            </w:pPr>
            <w:r>
              <w:rPr>
                <w:rFonts w:hint="eastAsia" w:ascii="仿宋_GB2312" w:hAnsi="仿宋_GB2312" w:eastAsia="仿宋_GB2312" w:cs="仿宋_GB2312"/>
                <w:kern w:val="0"/>
                <w:sz w:val="18"/>
                <w:szCs w:val="18"/>
                <w:lang w:bidi="ar"/>
              </w:rPr>
              <w:t>效益</w:t>
            </w:r>
          </w:p>
          <w:p>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指标</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经济效益  指标</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乡村振兴帮扶一个村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巩固脱贫攻坚成果，防止返贫</w:t>
            </w:r>
            <w:r>
              <w:rPr>
                <w:rFonts w:hint="eastAsia" w:ascii="宋体" w:hAnsi="宋体" w:cs="宋体"/>
                <w:kern w:val="0"/>
                <w:sz w:val="18"/>
                <w:szCs w:val="18"/>
                <w:lang w:bidi="ar"/>
              </w:rPr>
              <w:t>完成贫困户收入超过4200元/人/年</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巩固脱贫攻坚成果，防止返贫</w:t>
            </w:r>
            <w:r>
              <w:rPr>
                <w:rFonts w:hint="eastAsia" w:ascii="宋体" w:hAnsi="宋体" w:cs="宋体"/>
                <w:kern w:val="0"/>
                <w:sz w:val="18"/>
                <w:szCs w:val="18"/>
                <w:lang w:bidi="ar"/>
              </w:rPr>
              <w:t>完成贫困户收入超过4200元/人/年</w:t>
            </w:r>
          </w:p>
        </w:tc>
      </w:tr>
      <w:tr>
        <w:tblPrEx>
          <w:tblCellMar>
            <w:top w:w="0" w:type="dxa"/>
            <w:left w:w="108" w:type="dxa"/>
            <w:bottom w:w="0" w:type="dxa"/>
            <w:right w:w="108" w:type="dxa"/>
          </w:tblCellMar>
        </w:tblPrEx>
        <w:trPr>
          <w:gridAfter w:val="1"/>
          <w:wAfter w:w="236" w:type="dxa"/>
          <w:trHeight w:val="480" w:hRule="atLeast"/>
        </w:trPr>
        <w:tc>
          <w:tcPr>
            <w:tcW w:w="1710"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18"/>
                <w:szCs w:val="18"/>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18"/>
                <w:szCs w:val="18"/>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社会效益  指标</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18"/>
                <w:szCs w:val="18"/>
              </w:rPr>
            </w:pPr>
            <w:r>
              <w:rPr>
                <w:rFonts w:hint="eastAsia" w:ascii="宋体" w:hAnsi="宋体" w:cs="宋体"/>
                <w:kern w:val="0"/>
                <w:sz w:val="18"/>
                <w:szCs w:val="18"/>
                <w:lang w:bidi="ar"/>
              </w:rPr>
              <w:t>维护社会稳定度</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巩固脱贫攻坚成效，防止返贫动态监测和帮扶集中排查。</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巩固脱贫攻坚成效，防止返贫动态监测和帮扶集中排查。</w:t>
            </w:r>
          </w:p>
        </w:tc>
      </w:tr>
      <w:tr>
        <w:tblPrEx>
          <w:tblCellMar>
            <w:top w:w="0" w:type="dxa"/>
            <w:left w:w="108" w:type="dxa"/>
            <w:bottom w:w="0" w:type="dxa"/>
            <w:right w:w="108" w:type="dxa"/>
          </w:tblCellMar>
        </w:tblPrEx>
        <w:trPr>
          <w:gridAfter w:val="1"/>
          <w:wAfter w:w="236" w:type="dxa"/>
          <w:trHeight w:val="577" w:hRule="atLeast"/>
        </w:trPr>
        <w:tc>
          <w:tcPr>
            <w:tcW w:w="1710"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18"/>
                <w:szCs w:val="18"/>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18"/>
                <w:szCs w:val="18"/>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生态效益指标</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18"/>
                <w:szCs w:val="18"/>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18"/>
                <w:szCs w:val="18"/>
              </w:rPr>
            </w:pP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18"/>
                <w:szCs w:val="18"/>
              </w:rPr>
            </w:pPr>
          </w:p>
        </w:tc>
      </w:tr>
      <w:tr>
        <w:tblPrEx>
          <w:tblCellMar>
            <w:top w:w="0" w:type="dxa"/>
            <w:left w:w="108" w:type="dxa"/>
            <w:bottom w:w="0" w:type="dxa"/>
            <w:right w:w="108" w:type="dxa"/>
          </w:tblCellMar>
        </w:tblPrEx>
        <w:trPr>
          <w:gridAfter w:val="1"/>
          <w:wAfter w:w="236" w:type="dxa"/>
          <w:trHeight w:val="480" w:hRule="atLeast"/>
        </w:trPr>
        <w:tc>
          <w:tcPr>
            <w:tcW w:w="1710"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18"/>
                <w:szCs w:val="18"/>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18"/>
                <w:szCs w:val="18"/>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可持续影响 指标</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18"/>
                <w:szCs w:val="18"/>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18"/>
                <w:szCs w:val="18"/>
              </w:rPr>
            </w:pP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18"/>
                <w:szCs w:val="18"/>
              </w:rPr>
            </w:pPr>
          </w:p>
        </w:tc>
      </w:tr>
      <w:tr>
        <w:tblPrEx>
          <w:tblCellMar>
            <w:top w:w="0" w:type="dxa"/>
            <w:left w:w="108" w:type="dxa"/>
            <w:bottom w:w="0" w:type="dxa"/>
            <w:right w:w="108" w:type="dxa"/>
          </w:tblCellMar>
        </w:tblPrEx>
        <w:trPr>
          <w:gridAfter w:val="1"/>
          <w:wAfter w:w="236" w:type="dxa"/>
          <w:trHeight w:val="866" w:hRule="atLeast"/>
        </w:trPr>
        <w:tc>
          <w:tcPr>
            <w:tcW w:w="1710"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18"/>
                <w:szCs w:val="18"/>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kern w:val="0"/>
                <w:sz w:val="18"/>
                <w:szCs w:val="18"/>
                <w:lang w:eastAsia="zh-CN" w:bidi="ar"/>
              </w:rPr>
            </w:pPr>
            <w:r>
              <w:rPr>
                <w:rFonts w:hint="eastAsia" w:ascii="仿宋_GB2312" w:hAnsi="仿宋_GB2312" w:eastAsia="仿宋_GB2312" w:cs="仿宋_GB2312"/>
                <w:kern w:val="0"/>
                <w:sz w:val="18"/>
                <w:szCs w:val="18"/>
                <w:lang w:bidi="ar"/>
              </w:rPr>
              <w:t>满意</w:t>
            </w:r>
          </w:p>
          <w:p>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度指标</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18"/>
                <w:szCs w:val="18"/>
                <w:lang w:bidi="ar"/>
              </w:rPr>
            </w:pPr>
            <w:r>
              <w:rPr>
                <w:rFonts w:hint="eastAsia" w:ascii="仿宋_GB2312" w:hAnsi="仿宋_GB2312" w:eastAsia="仿宋_GB2312" w:cs="仿宋_GB2312"/>
                <w:kern w:val="0"/>
                <w:sz w:val="18"/>
                <w:szCs w:val="18"/>
                <w:lang w:bidi="ar"/>
              </w:rPr>
              <w:t>满意度</w:t>
            </w:r>
          </w:p>
          <w:p>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指标</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乡村振兴帮扶村</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18"/>
                <w:szCs w:val="18"/>
              </w:rPr>
            </w:pPr>
            <w:r>
              <w:rPr>
                <w:rFonts w:hint="eastAsia" w:ascii="宋体" w:hAnsi="宋体" w:cs="宋体"/>
                <w:kern w:val="0"/>
                <w:sz w:val="18"/>
                <w:szCs w:val="18"/>
                <w:lang w:bidi="ar"/>
              </w:rPr>
              <w:t>100%</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18"/>
                <w:szCs w:val="18"/>
              </w:rPr>
            </w:pPr>
            <w:r>
              <w:rPr>
                <w:rFonts w:hint="eastAsia" w:ascii="宋体" w:hAnsi="宋体" w:cs="宋体"/>
                <w:kern w:val="0"/>
                <w:sz w:val="18"/>
                <w:szCs w:val="18"/>
                <w:lang w:bidi="ar"/>
              </w:rPr>
              <w:t>100%</w:t>
            </w:r>
          </w:p>
        </w:tc>
      </w:tr>
    </w:tbl>
    <w:p>
      <w:pPr>
        <w:spacing w:line="600" w:lineRule="exact"/>
        <w:jc w:val="center"/>
        <w:outlineLvl w:val="0"/>
        <w:rPr>
          <w:rFonts w:ascii="黑体" w:hAnsi="黑体" w:eastAsia="黑体"/>
          <w:sz w:val="18"/>
          <w:szCs w:val="18"/>
        </w:rPr>
      </w:pPr>
    </w:p>
    <w:p>
      <w:pPr>
        <w:spacing w:line="560" w:lineRule="exact"/>
        <w:jc w:val="center"/>
        <w:outlineLvl w:val="0"/>
        <w:rPr>
          <w:rFonts w:hint="eastAsia" w:ascii="黑体" w:hAnsi="黑体" w:eastAsia="黑体"/>
          <w:sz w:val="44"/>
          <w:szCs w:val="44"/>
        </w:rPr>
      </w:pPr>
    </w:p>
    <w:p>
      <w:pPr>
        <w:spacing w:line="560" w:lineRule="exact"/>
        <w:jc w:val="center"/>
        <w:outlineLvl w:val="0"/>
        <w:rPr>
          <w:rStyle w:val="25"/>
          <w:rFonts w:hint="eastAsia" w:ascii="黑体" w:hAnsi="黑体" w:eastAsia="黑体"/>
          <w:b w:val="0"/>
        </w:rPr>
      </w:pPr>
      <w:r>
        <w:rPr>
          <w:rFonts w:hint="eastAsia" w:ascii="黑体" w:hAnsi="黑体" w:eastAsia="黑体"/>
          <w:sz w:val="44"/>
          <w:szCs w:val="44"/>
        </w:rPr>
        <w:t>第</w:t>
      </w:r>
      <w:r>
        <w:rPr>
          <w:rStyle w:val="25"/>
          <w:rFonts w:hint="eastAsia" w:ascii="黑体" w:hAnsi="黑体" w:eastAsia="黑体"/>
          <w:b w:val="0"/>
        </w:rPr>
        <w:t>五部分 附表</w:t>
      </w:r>
      <w:bookmarkEnd w:id="51"/>
      <w:bookmarkEnd w:id="53"/>
      <w:bookmarkStart w:id="54" w:name="_Toc15396619"/>
    </w:p>
    <w:p>
      <w:pPr>
        <w:pStyle w:val="11"/>
        <w:ind w:left="840" w:hanging="420"/>
      </w:pPr>
    </w:p>
    <w:p>
      <w:pPr>
        <w:pStyle w:val="4"/>
        <w:keepNext w:val="0"/>
        <w:keepLines w:val="0"/>
        <w:spacing w:before="0" w:after="0" w:line="560" w:lineRule="exact"/>
        <w:rPr>
          <w:rFonts w:ascii="仿宋" w:hAnsi="仿宋" w:eastAsia="仿宋"/>
        </w:rPr>
      </w:pPr>
      <w:r>
        <w:rPr>
          <w:rFonts w:hint="eastAsia" w:ascii="仿宋" w:hAnsi="仿宋" w:eastAsia="仿宋"/>
          <w:b w:val="0"/>
        </w:rPr>
        <w:t>一、收</w:t>
      </w:r>
      <w:r>
        <w:rPr>
          <w:rStyle w:val="26"/>
          <w:rFonts w:hint="eastAsia" w:ascii="仿宋" w:hAnsi="仿宋" w:eastAsia="仿宋"/>
          <w:b w:val="0"/>
          <w:bCs w:val="0"/>
        </w:rPr>
        <w:t>入支出决算总表</w:t>
      </w:r>
      <w:bookmarkEnd w:id="54"/>
    </w:p>
    <w:p>
      <w:pPr>
        <w:pStyle w:val="4"/>
        <w:keepNext w:val="0"/>
        <w:keepLines w:val="0"/>
        <w:spacing w:before="0" w:after="0" w:line="560" w:lineRule="exact"/>
        <w:rPr>
          <w:rFonts w:ascii="仿宋" w:hAnsi="仿宋" w:eastAsia="仿宋"/>
        </w:rPr>
      </w:pPr>
      <w:bookmarkStart w:id="55" w:name="_Toc15396620"/>
      <w:r>
        <w:rPr>
          <w:rFonts w:hint="eastAsia" w:ascii="仿宋" w:hAnsi="仿宋" w:eastAsia="仿宋"/>
          <w:b w:val="0"/>
        </w:rPr>
        <w:t>二、收</w:t>
      </w:r>
      <w:r>
        <w:rPr>
          <w:rStyle w:val="26"/>
          <w:rFonts w:hint="eastAsia" w:ascii="仿宋" w:hAnsi="仿宋" w:eastAsia="仿宋"/>
          <w:b w:val="0"/>
          <w:bCs w:val="0"/>
        </w:rPr>
        <w:t>入决算表</w:t>
      </w:r>
      <w:bookmarkEnd w:id="55"/>
    </w:p>
    <w:p>
      <w:pPr>
        <w:pStyle w:val="4"/>
        <w:keepNext w:val="0"/>
        <w:keepLines w:val="0"/>
        <w:spacing w:before="0" w:after="0" w:line="560" w:lineRule="exact"/>
        <w:rPr>
          <w:rFonts w:ascii="仿宋" w:hAnsi="仿宋" w:eastAsia="仿宋"/>
        </w:rPr>
      </w:pPr>
      <w:bookmarkStart w:id="56" w:name="_Toc15396621"/>
      <w:r>
        <w:rPr>
          <w:rStyle w:val="26"/>
          <w:rFonts w:hint="eastAsia" w:ascii="仿宋" w:hAnsi="仿宋" w:eastAsia="仿宋"/>
          <w:b w:val="0"/>
          <w:bCs w:val="0"/>
        </w:rPr>
        <w:t>三、</w:t>
      </w:r>
      <w:r>
        <w:rPr>
          <w:rFonts w:hint="eastAsia" w:ascii="仿宋" w:hAnsi="仿宋" w:eastAsia="仿宋"/>
          <w:b w:val="0"/>
        </w:rPr>
        <w:t>支</w:t>
      </w:r>
      <w:r>
        <w:rPr>
          <w:rStyle w:val="26"/>
          <w:rFonts w:hint="eastAsia" w:ascii="仿宋" w:hAnsi="仿宋" w:eastAsia="仿宋"/>
          <w:b w:val="0"/>
          <w:bCs w:val="0"/>
        </w:rPr>
        <w:t>出决算表</w:t>
      </w:r>
      <w:bookmarkEnd w:id="56"/>
    </w:p>
    <w:p>
      <w:pPr>
        <w:pStyle w:val="4"/>
        <w:keepNext w:val="0"/>
        <w:keepLines w:val="0"/>
        <w:spacing w:before="0" w:after="0" w:line="560" w:lineRule="exact"/>
        <w:rPr>
          <w:rFonts w:ascii="仿宋" w:hAnsi="仿宋" w:eastAsia="仿宋"/>
          <w:b w:val="0"/>
        </w:rPr>
      </w:pPr>
      <w:bookmarkStart w:id="57" w:name="_Toc15396622"/>
      <w:r>
        <w:rPr>
          <w:rStyle w:val="26"/>
          <w:rFonts w:hint="eastAsia" w:ascii="仿宋" w:hAnsi="仿宋" w:eastAsia="仿宋"/>
          <w:b w:val="0"/>
          <w:bCs w:val="0"/>
        </w:rPr>
        <w:t>四、</w:t>
      </w:r>
      <w:r>
        <w:rPr>
          <w:rFonts w:hint="eastAsia" w:ascii="仿宋" w:hAnsi="仿宋" w:eastAsia="仿宋"/>
          <w:b w:val="0"/>
        </w:rPr>
        <w:t>财</w:t>
      </w:r>
      <w:r>
        <w:rPr>
          <w:rStyle w:val="26"/>
          <w:rFonts w:hint="eastAsia" w:ascii="仿宋" w:hAnsi="仿宋" w:eastAsia="仿宋"/>
          <w:b w:val="0"/>
          <w:bCs w:val="0"/>
        </w:rPr>
        <w:t>政拨款收入支出决算总表</w:t>
      </w:r>
      <w:bookmarkEnd w:id="57"/>
    </w:p>
    <w:p>
      <w:pPr>
        <w:pStyle w:val="4"/>
        <w:keepNext w:val="0"/>
        <w:keepLines w:val="0"/>
        <w:spacing w:before="0" w:after="0" w:line="560" w:lineRule="exact"/>
        <w:rPr>
          <w:rStyle w:val="26"/>
          <w:rFonts w:ascii="仿宋" w:hAnsi="仿宋" w:eastAsia="仿宋"/>
          <w:b w:val="0"/>
          <w:bCs w:val="0"/>
        </w:rPr>
      </w:pPr>
      <w:bookmarkStart w:id="58" w:name="_Toc15396623"/>
      <w:r>
        <w:rPr>
          <w:rStyle w:val="26"/>
          <w:rFonts w:hint="eastAsia" w:ascii="仿宋" w:hAnsi="仿宋" w:eastAsia="仿宋"/>
          <w:b w:val="0"/>
          <w:bCs w:val="0"/>
        </w:rPr>
        <w:t>五、</w:t>
      </w:r>
      <w:r>
        <w:rPr>
          <w:rFonts w:hint="eastAsia" w:ascii="仿宋" w:hAnsi="仿宋" w:eastAsia="仿宋"/>
          <w:b w:val="0"/>
        </w:rPr>
        <w:t>财</w:t>
      </w:r>
      <w:r>
        <w:rPr>
          <w:rStyle w:val="26"/>
          <w:rFonts w:hint="eastAsia" w:ascii="仿宋" w:hAnsi="仿宋" w:eastAsia="仿宋"/>
          <w:b w:val="0"/>
          <w:bCs w:val="0"/>
        </w:rPr>
        <w:t>政拨款支出决算明细表</w:t>
      </w:r>
      <w:bookmarkEnd w:id="58"/>
      <w:bookmarkStart w:id="59" w:name="_Toc15396624"/>
    </w:p>
    <w:p>
      <w:pPr>
        <w:pStyle w:val="4"/>
        <w:keepNext w:val="0"/>
        <w:keepLines w:val="0"/>
        <w:spacing w:before="0" w:after="0" w:line="560" w:lineRule="exact"/>
        <w:rPr>
          <w:rFonts w:ascii="仿宋" w:hAnsi="仿宋" w:eastAsia="仿宋"/>
        </w:rPr>
      </w:pPr>
      <w:r>
        <w:rPr>
          <w:rStyle w:val="26"/>
          <w:rFonts w:hint="eastAsia" w:ascii="仿宋" w:hAnsi="仿宋" w:eastAsia="仿宋"/>
          <w:b w:val="0"/>
          <w:bCs w:val="0"/>
        </w:rPr>
        <w:t>六、</w:t>
      </w:r>
      <w:r>
        <w:rPr>
          <w:rFonts w:hint="eastAsia" w:ascii="仿宋" w:hAnsi="仿宋" w:eastAsia="仿宋"/>
          <w:b w:val="0"/>
        </w:rPr>
        <w:t>一</w:t>
      </w:r>
      <w:r>
        <w:rPr>
          <w:rStyle w:val="26"/>
          <w:rFonts w:hint="eastAsia" w:ascii="仿宋" w:hAnsi="仿宋" w:eastAsia="仿宋"/>
          <w:b w:val="0"/>
          <w:bCs w:val="0"/>
        </w:rPr>
        <w:t>般公共预算财政拨款支出决算表</w:t>
      </w:r>
      <w:bookmarkEnd w:id="59"/>
    </w:p>
    <w:p>
      <w:pPr>
        <w:pStyle w:val="4"/>
        <w:keepNext w:val="0"/>
        <w:keepLines w:val="0"/>
        <w:spacing w:before="0" w:after="0" w:line="560" w:lineRule="exact"/>
        <w:rPr>
          <w:rFonts w:ascii="仿宋" w:hAnsi="仿宋" w:eastAsia="仿宋"/>
        </w:rPr>
      </w:pPr>
      <w:bookmarkStart w:id="60" w:name="_Toc15396625"/>
      <w:r>
        <w:rPr>
          <w:rStyle w:val="26"/>
          <w:rFonts w:hint="eastAsia" w:ascii="仿宋" w:hAnsi="仿宋" w:eastAsia="仿宋"/>
          <w:b w:val="0"/>
          <w:bCs w:val="0"/>
        </w:rPr>
        <w:t>七、</w:t>
      </w:r>
      <w:r>
        <w:rPr>
          <w:rFonts w:hint="eastAsia" w:ascii="仿宋" w:hAnsi="仿宋" w:eastAsia="仿宋"/>
          <w:b w:val="0"/>
        </w:rPr>
        <w:t>一</w:t>
      </w:r>
      <w:r>
        <w:rPr>
          <w:rStyle w:val="26"/>
          <w:rFonts w:hint="eastAsia" w:ascii="仿宋" w:hAnsi="仿宋" w:eastAsia="仿宋"/>
          <w:b w:val="0"/>
          <w:bCs w:val="0"/>
        </w:rPr>
        <w:t>般公共预算财政拨款支出决算明细表</w:t>
      </w:r>
      <w:bookmarkEnd w:id="60"/>
    </w:p>
    <w:p>
      <w:pPr>
        <w:pStyle w:val="4"/>
        <w:keepNext w:val="0"/>
        <w:keepLines w:val="0"/>
        <w:spacing w:before="0" w:after="0" w:line="560" w:lineRule="exact"/>
        <w:rPr>
          <w:rFonts w:ascii="仿宋" w:hAnsi="仿宋" w:eastAsia="仿宋"/>
        </w:rPr>
      </w:pPr>
      <w:bookmarkStart w:id="61" w:name="_Toc15396626"/>
      <w:r>
        <w:rPr>
          <w:rStyle w:val="26"/>
          <w:rFonts w:hint="eastAsia" w:ascii="仿宋" w:hAnsi="仿宋" w:eastAsia="仿宋"/>
          <w:b w:val="0"/>
          <w:bCs w:val="0"/>
        </w:rPr>
        <w:t>八、</w:t>
      </w:r>
      <w:r>
        <w:rPr>
          <w:rFonts w:hint="eastAsia" w:ascii="仿宋" w:hAnsi="仿宋" w:eastAsia="仿宋"/>
          <w:b w:val="0"/>
        </w:rPr>
        <w:t>一</w:t>
      </w:r>
      <w:r>
        <w:rPr>
          <w:rStyle w:val="26"/>
          <w:rFonts w:hint="eastAsia" w:ascii="仿宋" w:hAnsi="仿宋" w:eastAsia="仿宋"/>
          <w:b w:val="0"/>
          <w:bCs w:val="0"/>
        </w:rPr>
        <w:t>般公共预算财政拨款基本支出决算表</w:t>
      </w:r>
      <w:bookmarkEnd w:id="61"/>
    </w:p>
    <w:p>
      <w:pPr>
        <w:pStyle w:val="4"/>
        <w:keepNext w:val="0"/>
        <w:keepLines w:val="0"/>
        <w:spacing w:before="0" w:after="0" w:line="560" w:lineRule="exact"/>
        <w:rPr>
          <w:rFonts w:ascii="仿宋" w:hAnsi="仿宋" w:eastAsia="仿宋"/>
        </w:rPr>
      </w:pPr>
      <w:bookmarkStart w:id="62" w:name="_Toc15396627"/>
      <w:r>
        <w:rPr>
          <w:rStyle w:val="26"/>
          <w:rFonts w:hint="eastAsia" w:ascii="仿宋" w:hAnsi="仿宋" w:eastAsia="仿宋"/>
          <w:b w:val="0"/>
          <w:bCs w:val="0"/>
        </w:rPr>
        <w:t>九、</w:t>
      </w:r>
      <w:r>
        <w:rPr>
          <w:rFonts w:hint="eastAsia" w:ascii="仿宋" w:hAnsi="仿宋" w:eastAsia="仿宋"/>
          <w:b w:val="0"/>
        </w:rPr>
        <w:t>一</w:t>
      </w:r>
      <w:r>
        <w:rPr>
          <w:rStyle w:val="26"/>
          <w:rFonts w:hint="eastAsia" w:ascii="仿宋" w:hAnsi="仿宋" w:eastAsia="仿宋"/>
          <w:b w:val="0"/>
          <w:bCs w:val="0"/>
        </w:rPr>
        <w:t>般公共预算财政拨款项目支出决算表</w:t>
      </w:r>
      <w:bookmarkEnd w:id="62"/>
    </w:p>
    <w:p>
      <w:pPr>
        <w:pStyle w:val="4"/>
        <w:keepNext w:val="0"/>
        <w:keepLines w:val="0"/>
        <w:spacing w:before="0" w:after="0" w:line="560" w:lineRule="exact"/>
        <w:rPr>
          <w:rFonts w:ascii="仿宋" w:hAnsi="仿宋" w:eastAsia="仿宋"/>
        </w:rPr>
      </w:pPr>
      <w:bookmarkStart w:id="63" w:name="_Toc15396628"/>
      <w:r>
        <w:rPr>
          <w:rStyle w:val="26"/>
          <w:rFonts w:hint="eastAsia" w:ascii="仿宋" w:hAnsi="仿宋" w:eastAsia="仿宋"/>
          <w:b w:val="0"/>
          <w:bCs w:val="0"/>
        </w:rPr>
        <w:t>十、</w:t>
      </w:r>
      <w:r>
        <w:rPr>
          <w:rFonts w:hint="eastAsia" w:ascii="仿宋" w:hAnsi="仿宋" w:eastAsia="仿宋"/>
          <w:b w:val="0"/>
        </w:rPr>
        <w:t>一</w:t>
      </w:r>
      <w:r>
        <w:rPr>
          <w:rStyle w:val="26"/>
          <w:rFonts w:hint="eastAsia" w:ascii="仿宋" w:hAnsi="仿宋" w:eastAsia="仿宋"/>
          <w:b w:val="0"/>
          <w:bCs w:val="0"/>
        </w:rPr>
        <w:t>般公共预算财政拨款“三公”经费支出决算表</w:t>
      </w:r>
      <w:bookmarkEnd w:id="63"/>
    </w:p>
    <w:p>
      <w:pPr>
        <w:pStyle w:val="4"/>
        <w:keepNext w:val="0"/>
        <w:keepLines w:val="0"/>
        <w:spacing w:before="0" w:after="0" w:line="560" w:lineRule="exact"/>
        <w:rPr>
          <w:rFonts w:ascii="仿宋" w:hAnsi="仿宋" w:eastAsia="仿宋"/>
        </w:rPr>
      </w:pPr>
      <w:bookmarkStart w:id="64" w:name="_Toc15396629"/>
      <w:r>
        <w:rPr>
          <w:rStyle w:val="26"/>
          <w:rFonts w:hint="eastAsia" w:ascii="仿宋" w:hAnsi="仿宋" w:eastAsia="仿宋"/>
          <w:b w:val="0"/>
          <w:bCs w:val="0"/>
        </w:rPr>
        <w:t>十一、</w:t>
      </w:r>
      <w:r>
        <w:rPr>
          <w:rFonts w:hint="eastAsia" w:ascii="仿宋" w:hAnsi="仿宋" w:eastAsia="仿宋"/>
          <w:b w:val="0"/>
        </w:rPr>
        <w:t>政</w:t>
      </w:r>
      <w:r>
        <w:rPr>
          <w:rStyle w:val="26"/>
          <w:rFonts w:hint="eastAsia" w:ascii="仿宋" w:hAnsi="仿宋" w:eastAsia="仿宋"/>
          <w:b w:val="0"/>
          <w:bCs w:val="0"/>
        </w:rPr>
        <w:t>府性基金预算财政拨款收入支出决算表</w:t>
      </w:r>
      <w:bookmarkEnd w:id="64"/>
    </w:p>
    <w:p>
      <w:pPr>
        <w:pStyle w:val="4"/>
        <w:keepNext w:val="0"/>
        <w:keepLines w:val="0"/>
        <w:spacing w:before="0" w:after="0" w:line="560" w:lineRule="exact"/>
        <w:rPr>
          <w:rFonts w:ascii="仿宋" w:hAnsi="仿宋" w:eastAsia="仿宋"/>
        </w:rPr>
      </w:pPr>
      <w:bookmarkStart w:id="65" w:name="_Toc15396630"/>
      <w:r>
        <w:rPr>
          <w:rStyle w:val="26"/>
          <w:rFonts w:hint="eastAsia" w:ascii="仿宋" w:hAnsi="仿宋" w:eastAsia="仿宋"/>
          <w:b w:val="0"/>
          <w:bCs w:val="0"/>
        </w:rPr>
        <w:t>十二、</w:t>
      </w:r>
      <w:r>
        <w:rPr>
          <w:rFonts w:hint="eastAsia" w:ascii="仿宋" w:hAnsi="仿宋" w:eastAsia="仿宋"/>
          <w:b w:val="0"/>
        </w:rPr>
        <w:t>政</w:t>
      </w:r>
      <w:r>
        <w:rPr>
          <w:rStyle w:val="26"/>
          <w:rFonts w:hint="eastAsia" w:ascii="仿宋" w:hAnsi="仿宋" w:eastAsia="仿宋"/>
          <w:b w:val="0"/>
          <w:bCs w:val="0"/>
        </w:rPr>
        <w:t>府性基金预算财政拨款“三公”经费支出决算表</w:t>
      </w:r>
      <w:bookmarkEnd w:id="65"/>
    </w:p>
    <w:p>
      <w:pPr>
        <w:pStyle w:val="4"/>
        <w:keepNext w:val="0"/>
        <w:keepLines w:val="0"/>
        <w:spacing w:before="0" w:after="0" w:line="560" w:lineRule="exact"/>
        <w:rPr>
          <w:rStyle w:val="26"/>
          <w:rFonts w:ascii="仿宋" w:hAnsi="仿宋" w:eastAsia="仿宋"/>
          <w:b w:val="0"/>
          <w:bCs w:val="0"/>
        </w:rPr>
      </w:pPr>
      <w:bookmarkStart w:id="66" w:name="_Toc15396631"/>
      <w:r>
        <w:rPr>
          <w:rStyle w:val="26"/>
          <w:rFonts w:hint="eastAsia" w:ascii="仿宋" w:hAnsi="仿宋" w:eastAsia="仿宋"/>
          <w:b w:val="0"/>
          <w:bCs w:val="0"/>
        </w:rPr>
        <w:t>十三、</w:t>
      </w:r>
      <w:r>
        <w:rPr>
          <w:rFonts w:hint="eastAsia" w:ascii="仿宋" w:hAnsi="仿宋" w:eastAsia="仿宋"/>
          <w:b w:val="0"/>
        </w:rPr>
        <w:t>国</w:t>
      </w:r>
      <w:r>
        <w:rPr>
          <w:rStyle w:val="26"/>
          <w:rFonts w:hint="eastAsia" w:ascii="仿宋" w:hAnsi="仿宋" w:eastAsia="仿宋"/>
          <w:b w:val="0"/>
          <w:bCs w:val="0"/>
        </w:rPr>
        <w:t>有资本经营预算财政拨款收入支出决算表</w:t>
      </w:r>
      <w:bookmarkEnd w:id="66"/>
    </w:p>
    <w:p>
      <w:pPr>
        <w:spacing w:line="560" w:lineRule="exact"/>
        <w:rPr>
          <w:rFonts w:eastAsia="仿宋"/>
        </w:rPr>
      </w:pPr>
      <w:r>
        <w:rPr>
          <w:rStyle w:val="26"/>
          <w:rFonts w:hint="eastAsia" w:ascii="仿宋" w:hAnsi="仿宋" w:eastAsia="仿宋"/>
          <w:b w:val="0"/>
          <w:bCs w:val="0"/>
        </w:rPr>
        <w:t>十四、国有资本经营预算财政拨款支出决算表</w:t>
      </w:r>
    </w:p>
    <w:sectPr>
      <w:pgSz w:w="11906" w:h="16838"/>
      <w:pgMar w:top="2098" w:right="1474" w:bottom="1985" w:left="1588" w:header="851" w:footer="1588"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no value">
    <w:altName w:val="Courier New"/>
    <w:panose1 w:val="00000000000000000000"/>
    <w:charset w:val="00"/>
    <w:family w:val="roman"/>
    <w:pitch w:val="default"/>
    <w:sig w:usb0="00000000" w:usb1="00000000" w:usb2="00000000" w:usb3="00000000" w:csb0="00040001" w:csb1="00000000"/>
  </w:font>
  <w:font w:name="方正小标宋_GBK">
    <w:panose1 w:val="02000000000000000000"/>
    <w:charset w:val="86"/>
    <w:family w:val="script"/>
    <w:pitch w:val="default"/>
    <w:sig w:usb0="00000001" w:usb1="08000000" w:usb2="00000000" w:usb3="00000000" w:csb0="00040000" w:csb1="00000000"/>
  </w:font>
  <w:font w:name="Lucida Sans">
    <w:panose1 w:val="020B0602030504020204"/>
    <w:charset w:val="00"/>
    <w:family w:val="auto"/>
    <w:pitch w:val="default"/>
    <w:sig w:usb0="00000000" w:usb1="00000000" w:usb2="00000000" w:usb3="00000000" w:csb0="00000000" w:csb1="00000000"/>
  </w:font>
  <w:font w:name="Comic Sans MS">
    <w:panose1 w:val="030F0702030302020204"/>
    <w:charset w:val="00"/>
    <w:family w:val="auto"/>
    <w:pitch w:val="default"/>
    <w:sig w:usb0="00000287" w:usb1="00000000" w:usb2="00000000" w:usb3="00000000" w:csb0="2000009F"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73701981"/>
      <w:docPartObj>
        <w:docPartGallery w:val="autotext"/>
      </w:docPartObj>
    </w:sdtPr>
    <w:sdtEndPr>
      <w:rPr>
        <w:sz w:val="28"/>
        <w:szCs w:val="28"/>
      </w:rPr>
    </w:sdtEndPr>
    <w:sdtContent>
      <w:p>
        <w:pPr>
          <w:pStyle w:val="8"/>
          <w:ind w:right="180"/>
          <w:jc w:val="right"/>
          <w:rPr>
            <w:sz w:val="28"/>
            <w:szCs w:val="28"/>
          </w:rPr>
        </w:pPr>
        <w:r>
          <w:rPr>
            <w:rFonts w:hint="eastAsia"/>
            <w:sz w:val="28"/>
            <w:szCs w:val="28"/>
          </w:rPr>
          <w:t xml:space="preserve">—  </w:t>
        </w: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3</w:t>
        </w:r>
        <w:r>
          <w:rPr>
            <w:rFonts w:asciiTheme="majorEastAsia" w:hAnsiTheme="majorEastAsia" w:eastAsiaTheme="majorEastAsia"/>
            <w:sz w:val="28"/>
            <w:szCs w:val="28"/>
          </w:rPr>
          <w:fldChar w:fldCharType="end"/>
        </w:r>
        <w:r>
          <w:rPr>
            <w:rFonts w:hint="eastAsia" w:asciiTheme="majorEastAsia" w:hAnsiTheme="majorEastAsia" w:eastAsiaTheme="majorEastAsia"/>
            <w:sz w:val="28"/>
            <w:szCs w:val="28"/>
          </w:rPr>
          <w:t xml:space="preserve">  —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53576013"/>
      <w:docPartObj>
        <w:docPartGallery w:val="autotext"/>
      </w:docPartObj>
    </w:sdtPr>
    <w:sdtEndPr>
      <w:rPr>
        <w:sz w:val="28"/>
        <w:szCs w:val="28"/>
      </w:rPr>
    </w:sdtEndPr>
    <w:sdtContent>
      <w:p>
        <w:pPr>
          <w:pStyle w:val="8"/>
          <w:ind w:right="180" w:firstLine="180" w:firstLineChars="100"/>
          <w:rPr>
            <w:sz w:val="28"/>
            <w:szCs w:val="28"/>
          </w:rPr>
        </w:pPr>
        <w:r>
          <w:rPr>
            <w:rFonts w:hint="eastAsia"/>
            <w:sz w:val="28"/>
            <w:szCs w:val="28"/>
          </w:rPr>
          <w:t xml:space="preserve">—  </w:t>
        </w: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2</w:t>
        </w:r>
        <w:r>
          <w:rPr>
            <w:rFonts w:asciiTheme="majorEastAsia" w:hAnsiTheme="majorEastAsia" w:eastAsiaTheme="majorEastAsia"/>
            <w:sz w:val="28"/>
            <w:szCs w:val="28"/>
          </w:rPr>
          <w:fldChar w:fldCharType="end"/>
        </w:r>
        <w:r>
          <w:rPr>
            <w:rFonts w:hint="eastAsia" w:asciiTheme="majorEastAsia" w:hAnsiTheme="majorEastAsia" w:eastAsiaTheme="majorEastAsia"/>
            <w:sz w:val="28"/>
            <w:szCs w:val="28"/>
          </w:rPr>
          <w:t xml:space="preserve">  —  </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F4EFAD"/>
    <w:multiLevelType w:val="singleLevel"/>
    <w:tmpl w:val="B8F4EFAD"/>
    <w:lvl w:ilvl="0" w:tentative="0">
      <w:start w:val="1"/>
      <w:numFmt w:val="chineseCounting"/>
      <w:suff w:val="nothing"/>
      <w:lvlText w:val="%1、"/>
      <w:lvlJc w:val="left"/>
      <w:rPr>
        <w:rFonts w:hint="eastAsia"/>
      </w:rPr>
    </w:lvl>
  </w:abstractNum>
  <w:abstractNum w:abstractNumId="1">
    <w:nsid w:val="BF6FC109"/>
    <w:multiLevelType w:val="singleLevel"/>
    <w:tmpl w:val="BF6FC109"/>
    <w:lvl w:ilvl="0" w:tentative="0">
      <w:start w:val="1"/>
      <w:numFmt w:val="chineseCounting"/>
      <w:suff w:val="nothing"/>
      <w:lvlText w:val="（%1）"/>
      <w:lvlJc w:val="left"/>
      <w:rPr>
        <w:rFonts w:hint="eastAsia"/>
      </w:r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DFBC8597"/>
    <w:multiLevelType w:val="singleLevel"/>
    <w:tmpl w:val="DFBC8597"/>
    <w:lvl w:ilvl="0" w:tentative="0">
      <w:start w:val="1"/>
      <w:numFmt w:val="chineseCounting"/>
      <w:suff w:val="nothing"/>
      <w:lvlText w:val="（%1）"/>
      <w:lvlJc w:val="left"/>
      <w:rPr>
        <w:rFonts w:hint="eastAsia"/>
      </w:rPr>
    </w:lvl>
  </w:abstractNum>
  <w:abstractNum w:abstractNumId="4">
    <w:nsid w:val="DFBF4641"/>
    <w:multiLevelType w:val="singleLevel"/>
    <w:tmpl w:val="DFBF4641"/>
    <w:lvl w:ilvl="0" w:tentative="0">
      <w:start w:val="1"/>
      <w:numFmt w:val="chineseCounting"/>
      <w:suff w:val="nothing"/>
      <w:lvlText w:val="（%1）"/>
      <w:lvlJc w:val="left"/>
      <w:rPr>
        <w:rFonts w:hint="eastAsia"/>
      </w:rPr>
    </w:lvl>
  </w:abstractNum>
  <w:abstractNum w:abstractNumId="5">
    <w:nsid w:val="E276F290"/>
    <w:multiLevelType w:val="singleLevel"/>
    <w:tmpl w:val="E276F290"/>
    <w:lvl w:ilvl="0" w:tentative="0">
      <w:start w:val="1"/>
      <w:numFmt w:val="decimal"/>
      <w:lvlText w:val="%1."/>
      <w:lvlJc w:val="left"/>
      <w:pPr>
        <w:tabs>
          <w:tab w:val="left" w:pos="312"/>
        </w:tabs>
        <w:ind w:left="-10"/>
      </w:pPr>
    </w:lvl>
  </w:abstractNum>
  <w:abstractNum w:abstractNumId="6">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7">
    <w:nsid w:val="F9E4CFD1"/>
    <w:multiLevelType w:val="singleLevel"/>
    <w:tmpl w:val="F9E4CFD1"/>
    <w:lvl w:ilvl="0" w:tentative="0">
      <w:start w:val="1"/>
      <w:numFmt w:val="chineseCounting"/>
      <w:suff w:val="nothing"/>
      <w:lvlText w:val="%1、"/>
      <w:lvlJc w:val="left"/>
      <w:rPr>
        <w:rFonts w:hint="eastAsia"/>
      </w:rPr>
    </w:lvl>
  </w:abstractNum>
  <w:abstractNum w:abstractNumId="8">
    <w:nsid w:val="3FFA828F"/>
    <w:multiLevelType w:val="singleLevel"/>
    <w:tmpl w:val="3FFA828F"/>
    <w:lvl w:ilvl="0" w:tentative="0">
      <w:start w:val="1"/>
      <w:numFmt w:val="chineseCounting"/>
      <w:suff w:val="nothing"/>
      <w:lvlText w:val="（%1）"/>
      <w:lvlJc w:val="left"/>
      <w:rPr>
        <w:rFonts w:hint="eastAsia"/>
      </w:rPr>
    </w:lvl>
  </w:abstractNum>
  <w:num w:numId="1">
    <w:abstractNumId w:val="7"/>
  </w:num>
  <w:num w:numId="2">
    <w:abstractNumId w:val="5"/>
  </w:num>
  <w:num w:numId="3">
    <w:abstractNumId w:val="2"/>
  </w:num>
  <w:num w:numId="4">
    <w:abstractNumId w:val="6"/>
  </w:num>
  <w:num w:numId="5">
    <w:abstractNumId w:val="0"/>
  </w:num>
  <w:num w:numId="6">
    <w:abstractNumId w:val="1"/>
  </w:num>
  <w:num w:numId="7">
    <w:abstractNumId w:val="8"/>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dit="trackedChanges" w:formatting="1" w:enforcement="0"/>
  <w:defaultTabStop w:val="420"/>
  <w:evenAndOddHeaders w:val="true"/>
  <w:drawingGridHorizontalSpacing w:val="105"/>
  <w:drawingGridVerticalSpacing w:val="156"/>
  <w:displayHorizontalDrawingGridEvery w:val="2"/>
  <w:displayVertic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0NjQ0NDRjYmQwZWVmYmU2YTA1YWE3NzFiOTFiZTk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E7A02"/>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136D"/>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108"/>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BF644F"/>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A2032A3"/>
    <w:rsid w:val="0A5E5791"/>
    <w:rsid w:val="0B8A37D8"/>
    <w:rsid w:val="0DA970D9"/>
    <w:rsid w:val="0F8948F5"/>
    <w:rsid w:val="10C055FF"/>
    <w:rsid w:val="118107EC"/>
    <w:rsid w:val="11DD6519"/>
    <w:rsid w:val="131B412C"/>
    <w:rsid w:val="13F66B3D"/>
    <w:rsid w:val="147B14DE"/>
    <w:rsid w:val="156B0D20"/>
    <w:rsid w:val="16BB723D"/>
    <w:rsid w:val="18015F3F"/>
    <w:rsid w:val="19F636A6"/>
    <w:rsid w:val="1A3E916E"/>
    <w:rsid w:val="1B5FB126"/>
    <w:rsid w:val="1BE8440E"/>
    <w:rsid w:val="1D155CEE"/>
    <w:rsid w:val="1FFE7062"/>
    <w:rsid w:val="2064549C"/>
    <w:rsid w:val="20F57F95"/>
    <w:rsid w:val="22DA2052"/>
    <w:rsid w:val="240371BF"/>
    <w:rsid w:val="243454F7"/>
    <w:rsid w:val="2475557D"/>
    <w:rsid w:val="24D85FE4"/>
    <w:rsid w:val="25052ED0"/>
    <w:rsid w:val="25C741E6"/>
    <w:rsid w:val="26BC2720"/>
    <w:rsid w:val="27842671"/>
    <w:rsid w:val="285F2D5E"/>
    <w:rsid w:val="299C1D51"/>
    <w:rsid w:val="29FD04D3"/>
    <w:rsid w:val="2ABE7A3E"/>
    <w:rsid w:val="2B9D7E0F"/>
    <w:rsid w:val="2BDB606B"/>
    <w:rsid w:val="2EFA178C"/>
    <w:rsid w:val="2F525729"/>
    <w:rsid w:val="307D45A6"/>
    <w:rsid w:val="30B46D73"/>
    <w:rsid w:val="319F7F4E"/>
    <w:rsid w:val="33F98F75"/>
    <w:rsid w:val="35B13B5B"/>
    <w:rsid w:val="38B955D1"/>
    <w:rsid w:val="390F5E8C"/>
    <w:rsid w:val="39AE70AB"/>
    <w:rsid w:val="3BF96974"/>
    <w:rsid w:val="3C0C0783"/>
    <w:rsid w:val="3E011BE0"/>
    <w:rsid w:val="3F641877"/>
    <w:rsid w:val="3F795B0E"/>
    <w:rsid w:val="3F9F3A96"/>
    <w:rsid w:val="3FFB00D8"/>
    <w:rsid w:val="40350D30"/>
    <w:rsid w:val="431D5C2F"/>
    <w:rsid w:val="436007A1"/>
    <w:rsid w:val="493C27E9"/>
    <w:rsid w:val="496F39ED"/>
    <w:rsid w:val="49FF41D3"/>
    <w:rsid w:val="4A185DC8"/>
    <w:rsid w:val="4BE068DB"/>
    <w:rsid w:val="4BF6002B"/>
    <w:rsid w:val="4ECE2238"/>
    <w:rsid w:val="4EFC4543"/>
    <w:rsid w:val="51865206"/>
    <w:rsid w:val="51AC6F6B"/>
    <w:rsid w:val="51DB4B86"/>
    <w:rsid w:val="527A7AE2"/>
    <w:rsid w:val="52AD2B17"/>
    <w:rsid w:val="538D3430"/>
    <w:rsid w:val="549E33C6"/>
    <w:rsid w:val="55333C3E"/>
    <w:rsid w:val="57082C42"/>
    <w:rsid w:val="5B0310C5"/>
    <w:rsid w:val="5C15410B"/>
    <w:rsid w:val="5FBEC5F8"/>
    <w:rsid w:val="60EF60A4"/>
    <w:rsid w:val="612E49EF"/>
    <w:rsid w:val="6280650B"/>
    <w:rsid w:val="64CA39A1"/>
    <w:rsid w:val="66937BF3"/>
    <w:rsid w:val="67EC0BE3"/>
    <w:rsid w:val="6C4A05C8"/>
    <w:rsid w:val="6DBB7727"/>
    <w:rsid w:val="6F3A6132"/>
    <w:rsid w:val="6F57AE2C"/>
    <w:rsid w:val="71E2009D"/>
    <w:rsid w:val="72734D90"/>
    <w:rsid w:val="7423420D"/>
    <w:rsid w:val="77F93DE5"/>
    <w:rsid w:val="79E7B28D"/>
    <w:rsid w:val="7A4704E4"/>
    <w:rsid w:val="7A505D40"/>
    <w:rsid w:val="7C775BAB"/>
    <w:rsid w:val="7C7F5F3F"/>
    <w:rsid w:val="7DF5272A"/>
    <w:rsid w:val="7F7F9910"/>
    <w:rsid w:val="7F9F20EE"/>
    <w:rsid w:val="7FFF7F61"/>
    <w:rsid w:val="9E3A10E2"/>
    <w:rsid w:val="BA7B23C6"/>
    <w:rsid w:val="E7DD80B3"/>
    <w:rsid w:val="EEF9BD97"/>
    <w:rsid w:val="F2E1F9D4"/>
    <w:rsid w:val="F37D0D26"/>
    <w:rsid w:val="F7880819"/>
    <w:rsid w:val="FB7CF17C"/>
    <w:rsid w:val="FD3F1C08"/>
    <w:rsid w:val="FEBF277B"/>
    <w:rsid w:val="FF2A3DF7"/>
    <w:rsid w:val="FFFD480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able of figures"/>
    <w:basedOn w:val="1"/>
    <w:next w:val="1"/>
    <w:semiHidden/>
    <w:qFormat/>
    <w:uiPriority w:val="0"/>
    <w:pPr>
      <w:ind w:left="200" w:leftChars="200" w:hanging="200" w:hangingChars="200"/>
    </w:pPr>
  </w:style>
  <w:style w:type="paragraph" w:styleId="12">
    <w:name w:val="toc 2"/>
    <w:basedOn w:val="1"/>
    <w:next w:val="1"/>
    <w:unhideWhenUsed/>
    <w:qFormat/>
    <w:uiPriority w:val="39"/>
    <w:pPr>
      <w:tabs>
        <w:tab w:val="right" w:leader="dot" w:pos="8296"/>
      </w:tabs>
      <w:ind w:left="420" w:leftChars="200"/>
    </w:p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9"/>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8"/>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2"/>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3"/>
    <w:qFormat/>
    <w:uiPriority w:val="9"/>
    <w:rPr>
      <w:rFonts w:ascii="Times New Roman" w:hAnsi="Times New Roman"/>
      <w:b/>
      <w:bCs/>
      <w:kern w:val="44"/>
      <w:sz w:val="44"/>
      <w:szCs w:val="44"/>
    </w:rPr>
  </w:style>
  <w:style w:type="character" w:customStyle="1" w:styleId="26">
    <w:name w:val="标题 2 Char"/>
    <w:basedOn w:val="14"/>
    <w:link w:val="4"/>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Char"/>
    <w:basedOn w:val="14"/>
    <w:link w:val="7"/>
    <w:semiHidden/>
    <w:qFormat/>
    <w:uiPriority w:val="99"/>
    <w:rPr>
      <w:rFonts w:ascii="Times New Roman" w:hAnsi="Times New Roman"/>
      <w:kern w:val="2"/>
      <w:sz w:val="18"/>
      <w:szCs w:val="18"/>
    </w:rPr>
  </w:style>
  <w:style w:type="character" w:customStyle="1" w:styleId="29">
    <w:name w:val="标题 3 Char"/>
    <w:basedOn w:val="14"/>
    <w:link w:val="5"/>
    <w:qFormat/>
    <w:uiPriority w:val="9"/>
    <w:rPr>
      <w:rFonts w:ascii="Times New Roman" w:hAnsi="Times New Roman"/>
      <w:b/>
      <w:bCs/>
      <w:kern w:val="2"/>
      <w:sz w:val="32"/>
      <w:szCs w:val="32"/>
    </w:rPr>
  </w:style>
  <w:style w:type="paragraph" w:customStyle="1" w:styleId="30">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0867074527252503"/>
          <c:y val="0.117766106442577"/>
          <c:w val="0.8858"/>
          <c:h val="0.792733333333333"/>
        </c:manualLayout>
      </c:layout>
      <c:barChart>
        <c:barDir val="col"/>
        <c:grouping val="clustered"/>
        <c:varyColors val="false"/>
        <c:ser>
          <c:idx val="0"/>
          <c:order val="0"/>
          <c:tx>
            <c:strRef>
              <c:f>Sheet1!$A$1</c:f>
              <c:strCache>
                <c:ptCount val="1"/>
                <c:pt idx="0">
                  <c:v>2020年</c:v>
                </c:pt>
              </c:strCache>
            </c:strRef>
          </c:tx>
          <c:spPr>
            <a:solidFill>
              <a:schemeClr val="accent1"/>
            </a:solidFill>
            <a:ln>
              <a:noFill/>
            </a:ln>
            <a:effectLst/>
          </c:spPr>
          <c:invertIfNegative val="false"/>
          <c:dLbls>
            <c:dLbl>
              <c:idx val="0"/>
              <c:layout>
                <c:manualLayout>
                  <c:x val="0.00542269187986652"/>
                  <c:y val="-0.386154461784714"/>
                </c:manualLayout>
              </c:layout>
              <c:tx>
                <c:rich>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r>
                      <a:rPr lang="zh-CN" altLang="en-US"/>
                      <a:t> </a:t>
                    </a:r>
                    <a:r>
                      <a:rPr lang="en-US" altLang="zh-CN"/>
                      <a:t>3077.8</a:t>
                    </a:r>
                    <a:r>
                      <a:rPr lang="zh-CN" altLang="en-US"/>
                      <a:t>万元</a:t>
                    </a:r>
                    <a:endParaRPr lang="zh-CN" altLang="en-US"/>
                  </a:p>
                </c:rich>
              </c:tx>
              <c:dLblPos val="ctr"/>
              <c:showLegendKey val="false"/>
              <c:showVal val="true"/>
              <c:showCatName val="true"/>
              <c:showSerName val="false"/>
              <c:showPercent val="tru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false"/>
            <c:showVal val="true"/>
            <c:showCatName val="true"/>
            <c:showSerName val="false"/>
            <c:showPercent val="tru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Sheet1!$A$1:$B$1</c:f>
              <c:strCache>
                <c:ptCount val="2"/>
                <c:pt idx="0">
                  <c:v>2020年</c:v>
                </c:pt>
                <c:pt idx="1">
                  <c:v>2021年</c:v>
                </c:pt>
              </c:strCache>
            </c:strRef>
          </c:cat>
          <c:val>
            <c:numRef>
              <c:f>Sheet1!$A$2:$B$2</c:f>
              <c:numCache>
                <c:formatCode>General</c:formatCode>
                <c:ptCount val="2"/>
                <c:pt idx="0">
                  <c:v>3077.8</c:v>
                </c:pt>
              </c:numCache>
            </c:numRef>
          </c:val>
        </c:ser>
        <c:ser>
          <c:idx val="1"/>
          <c:order val="1"/>
          <c:tx>
            <c:strRef>
              <c:f>Sheet1!$B$1</c:f>
              <c:strCache>
                <c:ptCount val="1"/>
                <c:pt idx="0">
                  <c:v>2021年</c:v>
                </c:pt>
              </c:strCache>
            </c:strRef>
          </c:tx>
          <c:spPr>
            <a:solidFill>
              <a:schemeClr val="accent2"/>
            </a:solidFill>
            <a:ln>
              <a:noFill/>
            </a:ln>
            <a:effectLst/>
          </c:spPr>
          <c:invertIfNegative val="false"/>
          <c:dLbls>
            <c:dLbl>
              <c:idx val="1"/>
              <c:layout>
                <c:manualLayout>
                  <c:x val="0.00875973303670745"/>
                  <c:y val="-0.403161264505802"/>
                </c:manualLayout>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3290.53</a:t>
                    </a:r>
                    <a:r>
                      <a:rPr lang="zh-CN" altLang="en-US"/>
                      <a:t>万元</a:t>
                    </a:r>
                    <a:endParaRPr lang="zh-CN" altLang="en-US"/>
                  </a:p>
                </c:rich>
              </c:tx>
              <c:numFmt formatCode="General" sourceLinked="true"/>
              <c:spPr>
                <a:no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true"/>
                  </a:grad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Sheet1!$A$1:$B$1</c:f>
              <c:strCache>
                <c:ptCount val="2"/>
                <c:pt idx="0">
                  <c:v>2020年</c:v>
                </c:pt>
                <c:pt idx="1">
                  <c:v>2021年</c:v>
                </c:pt>
              </c:strCache>
            </c:strRef>
          </c:cat>
          <c:val>
            <c:numRef>
              <c:f>Sheet1!$A$3:$B$3</c:f>
              <c:numCache>
                <c:formatCode>General</c:formatCode>
                <c:ptCount val="2"/>
                <c:pt idx="1">
                  <c:v>3290.5</c:v>
                </c:pt>
              </c:numCache>
            </c:numRef>
          </c:val>
        </c:ser>
        <c:dLbls>
          <c:showLegendKey val="false"/>
          <c:showVal val="true"/>
          <c:showCatName val="false"/>
          <c:showSerName val="false"/>
          <c:showPercent val="false"/>
          <c:showBubbleSize val="false"/>
        </c:dLbls>
        <c:gapWidth val="219"/>
        <c:axId val="368383872"/>
        <c:axId val="338108416"/>
      </c:barChart>
      <c:catAx>
        <c:axId val="368383872"/>
        <c:scaling>
          <c:orientation val="minMax"/>
        </c:scaling>
        <c:delete val="false"/>
        <c:axPos val="b"/>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338108416"/>
        <c:crosses val="autoZero"/>
        <c:auto val="true"/>
        <c:lblAlgn val="ctr"/>
        <c:lblOffset val="100"/>
        <c:noMultiLvlLbl val="false"/>
      </c:catAx>
      <c:valAx>
        <c:axId val="338108416"/>
        <c:scaling>
          <c:orientation val="minMax"/>
        </c:scaling>
        <c:delete val="false"/>
        <c:axPos val="l"/>
        <c:majorGridlines>
          <c:spPr>
            <a:ln w="9525" cap="flat" cmpd="sng" algn="ctr">
              <a:solidFill>
                <a:schemeClr val="tx1">
                  <a:lumMod val="15000"/>
                  <a:lumOff val="85000"/>
                </a:schemeClr>
              </a:solidFill>
              <a:prstDash val="solid"/>
              <a:round/>
            </a:ln>
            <a:effectLst/>
          </c:spPr>
        </c:majorGridlines>
        <c:numFmt formatCode="General" sourceLinked="true"/>
        <c:majorTickMark val="out"/>
        <c:minorTickMark val="none"/>
        <c:tickLblPos val="nextTo"/>
        <c:spPr>
          <a:noFill/>
          <a:ln w="9525" cap="flat" cmpd="sng" algn="ctr">
            <a:no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368383872"/>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c:rich>
      </c:tx>
      <c:layout>
        <c:manualLayout>
          <c:xMode val="edge"/>
          <c:yMode val="edge"/>
          <c:x val="0.337515683814311"/>
          <c:y val="0.0318072289156628"/>
        </c:manualLayout>
      </c:layout>
      <c:overlay val="false"/>
      <c:spPr>
        <a:noFill/>
        <a:ln>
          <a:noFill/>
        </a:ln>
        <a:effectLst/>
      </c:spPr>
    </c:title>
    <c:autoTitleDeleted val="false"/>
    <c:plotArea>
      <c:layout/>
      <c:pieChart>
        <c:varyColors val="true"/>
        <c:ser>
          <c:idx val="0"/>
          <c:order val="0"/>
          <c:tx>
            <c:strRef>
              <c:f>Sheet1!$B$1</c:f>
              <c:strCache>
                <c:ptCount val="1"/>
                <c:pt idx="0">
                  <c:v>收入决算结构图</c:v>
                </c:pt>
              </c:strCache>
            </c:strRef>
          </c:tx>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dLbl>
              <c:idx val="0"/>
              <c:layout>
                <c:manualLayout>
                  <c:x val="-0.00481999426985046"/>
                  <c:y val="-0.221992287065202"/>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manualLayout>
                      <c:w val="0.182402760351317"/>
                      <c:h val="0.102650602409639"/>
                    </c:manualLayout>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一般公共预算财政拨款收入</c:v>
                </c:pt>
                <c:pt idx="1">
                  <c:v>其他收入</c:v>
                </c:pt>
              </c:strCache>
            </c:strRef>
          </c:cat>
          <c:val>
            <c:numRef>
              <c:f>Sheet1!$B$2:$B$3</c:f>
              <c:numCache>
                <c:formatCode>0%</c:formatCode>
                <c:ptCount val="2"/>
                <c:pt idx="0">
                  <c:v>0.999</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manualLayout>
          <c:xMode val="edge"/>
          <c:yMode val="edge"/>
          <c:x val="0.197851317440401"/>
          <c:y val="0.890843373493983"/>
        </c:manualLayou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zero"/>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tx>
            <c:strRef>
              <c:f>Sheet1!$B$1</c:f>
              <c:strCache>
                <c:ptCount val="1"/>
                <c:pt idx="0">
                  <c:v>销售额</c:v>
                </c:pt>
              </c:strCache>
            </c:strRef>
          </c:tx>
          <c:explosion val="0"/>
          <c:dPt>
            <c:idx val="0"/>
            <c:bubble3D val="false"/>
            <c:spPr>
              <a:solidFill>
                <a:schemeClr val="accent1"/>
              </a:solidFill>
              <a:ln>
                <a:noFill/>
              </a:ln>
              <a:effectLst>
                <a:outerShdw blurRad="254000" sx="102000" sy="102000" algn="ctr" rotWithShape="0">
                  <a:prstClr val="black">
                    <a:alpha val="20000"/>
                  </a:prstClr>
                </a:outerShdw>
              </a:effectLst>
            </c:spPr>
          </c:dPt>
          <c:dPt>
            <c:idx val="1"/>
            <c:bubble3D val="false"/>
            <c:spPr>
              <a:solidFill>
                <a:schemeClr val="accent2"/>
              </a:solidFill>
              <a:ln>
                <a:noFill/>
              </a:ln>
              <a:effectLst>
                <a:outerShdw blurRad="254000" sx="102000" sy="102000" algn="ctr" rotWithShape="0">
                  <a:prstClr val="black">
                    <a:alpha val="20000"/>
                  </a:prstClr>
                </a:outerShdw>
              </a:effectLst>
            </c:spPr>
          </c:dPt>
          <c:dPt>
            <c:idx val="2"/>
            <c:bubble3D val="false"/>
            <c:spPr>
              <a:solidFill>
                <a:schemeClr val="accent3"/>
              </a:solidFill>
              <a:ln>
                <a:noFill/>
              </a:ln>
              <a:effectLst>
                <a:outerShdw blurRad="254000" sx="102000" sy="102000" algn="ctr" rotWithShape="0">
                  <a:prstClr val="black">
                    <a:alpha val="20000"/>
                  </a:prstClr>
                </a:outerShdw>
              </a:effectLst>
            </c:spPr>
          </c:dPt>
          <c:dPt>
            <c:idx val="3"/>
            <c:bubble3D val="false"/>
            <c:spPr>
              <a:solidFill>
                <a:schemeClr val="accent4"/>
              </a:solidFill>
              <a:ln>
                <a:noFill/>
              </a:ln>
              <a:effectLst>
                <a:outerShdw blurRad="254000" sx="102000" sy="102000" algn="ctr" rotWithShape="0">
                  <a:prstClr val="black">
                    <a:alpha val="20000"/>
                  </a:prstClr>
                </a:outerShdw>
              </a:effectLst>
            </c:spPr>
          </c:dPt>
          <c:dLbls>
            <c:dLbl>
              <c:idx val="0"/>
              <c:layout>
                <c:manualLayout>
                  <c:x val="-0.129297032872396"/>
                  <c:y val="0.193531635376605"/>
                </c:manualLayout>
              </c:layout>
              <c:tx>
                <c:rich>
                  <a:bodyPr rot="0" spcFirstLastPara="0" vertOverflow="ellipsis" vert="horz" wrap="square" lIns="38100" tIns="19050" rIns="38100" bIns="19050" anchor="ctr" anchorCtr="true"/>
                  <a:lstStyle/>
                  <a:p>
                    <a:pPr>
                      <a:defRPr lang="zh-CN" sz="1000" b="1" i="0" u="none" strike="noStrike" kern="1200" baseline="0">
                        <a:solidFill>
                          <a:schemeClr val="lt1"/>
                        </a:solidFill>
                        <a:latin typeface="+mn-lt"/>
                        <a:ea typeface="+mn-ea"/>
                        <a:cs typeface="+mn-cs"/>
                      </a:defRPr>
                    </a:pPr>
                    <a:r>
                      <a:rPr lang="en-US" altLang="zh-CN"/>
                      <a:t>420.4</a:t>
                    </a:r>
                    <a:r>
                      <a:rPr lang="zh-CN" altLang="en-US"/>
                      <a:t>万元</a:t>
                    </a:r>
                    <a:endParaRPr lang="zh-CN" altLang="en-US"/>
                  </a:p>
                  <a:p>
                    <a:pPr>
                      <a:defRPr lang="zh-CN" sz="1000" b="1" i="0" u="none" strike="noStrike" kern="1200" baseline="0">
                        <a:solidFill>
                          <a:schemeClr val="lt1"/>
                        </a:solidFill>
                        <a:latin typeface="+mn-lt"/>
                        <a:ea typeface="+mn-ea"/>
                        <a:cs typeface="+mn-cs"/>
                      </a:defRPr>
                    </a:pPr>
                    <a:r>
                      <a:rPr lang="en-US" altLang="zh-CN"/>
                      <a:t>21.8%</a:t>
                    </a:r>
                    <a:endParaRPr lang="en-US" altLang="zh-CN"/>
                  </a:p>
                </c:rich>
              </c:tx>
              <c:dLblPos val="bestFit"/>
              <c:showLegendKey val="false"/>
              <c:showVal val="false"/>
              <c:showCatName val="false"/>
              <c:showSerName val="false"/>
              <c:showPercent val="true"/>
              <c:showBubbleSize val="false"/>
              <c:extLst>
                <c:ext xmlns:c15="http://schemas.microsoft.com/office/drawing/2012/chart" uri="{CE6537A1-D6FC-4f65-9D91-7224C49458BB}">
                  <c15:layout/>
                </c:ext>
              </c:extLst>
            </c:dLbl>
            <c:dLbl>
              <c:idx val="1"/>
              <c:layout/>
              <c:tx>
                <c:rich>
                  <a:bodyPr rot="0" spcFirstLastPara="0" vertOverflow="ellipsis" vert="horz" wrap="square" lIns="38100" tIns="19050" rIns="38100" bIns="19050" anchor="ctr" anchorCtr="true"/>
                  <a:lstStyle/>
                  <a:p>
                    <a:pPr>
                      <a:defRPr lang="zh-CN" sz="1000" b="1" i="0" u="none" strike="noStrike" kern="1200" baseline="0">
                        <a:solidFill>
                          <a:schemeClr val="lt1"/>
                        </a:solidFill>
                        <a:latin typeface="+mn-lt"/>
                        <a:ea typeface="+mn-ea"/>
                        <a:cs typeface="+mn-cs"/>
                      </a:defRPr>
                    </a:pPr>
                    <a:r>
                      <a:rPr lang="en-US" altLang="zh-CN"/>
                      <a:t>1504.74</a:t>
                    </a:r>
                    <a:r>
                      <a:rPr lang="zh-CN" altLang="en-US"/>
                      <a:t>万元</a:t>
                    </a:r>
                    <a:r>
                      <a:rPr lang="en-US" altLang="zh-CN"/>
                      <a:t>78.2%</a:t>
                    </a:r>
                    <a:endParaRPr lang="en-US" altLang="zh-CN"/>
                  </a:p>
                </c:rich>
              </c:tx>
              <c:dLblPos val="ctr"/>
              <c:showLegendKey val="false"/>
              <c:showVal val="false"/>
              <c:showCatName val="false"/>
              <c:showSerName val="false"/>
              <c:showPercent val="true"/>
              <c:showBubbleSize val="false"/>
              <c:extLst>
                <c:ext xmlns:c15="http://schemas.microsoft.com/office/drawing/2012/chart" uri="{CE6537A1-D6FC-4f65-9D91-7224C49458BB}"/>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true"/>
              <a:lstStyle/>
              <a:p>
                <a:pPr>
                  <a:defRPr lang="zh-CN" sz="1000" b="1" i="0" u="none" strike="noStrike" kern="1200" baseline="0">
                    <a:solidFill>
                      <a:schemeClr val="lt1"/>
                    </a:solidFill>
                    <a:latin typeface="+mn-lt"/>
                    <a:ea typeface="+mn-ea"/>
                    <a:cs typeface="+mn-cs"/>
                  </a:defRPr>
                </a:pPr>
              </a:p>
            </c:txPr>
            <c:dLblPos val="ctr"/>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dk1">
                          <a:lumMod val="50000"/>
                          <a:lumOff val="50000"/>
                        </a:schemeClr>
                      </a:solidFill>
                      <a:prstDash val="solid"/>
                      <a:round/>
                    </a:ln>
                    <a:effectLst/>
                  </c:spPr>
                </c15:leaderLines>
              </c:ext>
            </c:extLst>
          </c:dLbls>
          <c:cat>
            <c:strRef>
              <c:f>Sheet1!$A$2:$A$5</c:f>
              <c:strCache>
                <c:ptCount val="4"/>
                <c:pt idx="0">
                  <c:v>基本支出</c:v>
                </c:pt>
                <c:pt idx="1">
                  <c:v>项目支出</c:v>
                </c:pt>
              </c:strCache>
            </c:strRef>
          </c:cat>
          <c:val>
            <c:numRef>
              <c:f>Sheet1!$B$2:$B$5</c:f>
              <c:numCache>
                <c:formatCode>General</c:formatCode>
                <c:ptCount val="4"/>
                <c:pt idx="0">
                  <c:v>420.4</c:v>
                </c:pt>
                <c:pt idx="1">
                  <c:v>1504.74</c:v>
                </c:pt>
              </c:numCache>
            </c:numRef>
          </c:val>
        </c:ser>
        <c:dLbls>
          <c:showLegendKey val="false"/>
          <c:showVal val="false"/>
          <c:showCatName val="false"/>
          <c:showSerName val="false"/>
          <c:showPercent val="true"/>
          <c:showBubbleSize val="false"/>
          <c:showLeaderLines val="true"/>
        </c:dLbls>
        <c:firstSliceAng val="0"/>
      </c:pieChart>
      <c:spPr>
        <a:noFill/>
        <a:ln>
          <a:noFill/>
        </a:ln>
        <a:effectLst/>
      </c:spPr>
    </c:plotArea>
    <c:legend>
      <c:legendPos val="r"/>
      <c:legendEntry>
        <c:idx val="2"/>
        <c:delete val="true"/>
      </c:legendEntry>
      <c:legendEntry>
        <c:idx val="3"/>
        <c:delete val="true"/>
      </c:legendEntry>
      <c:layout>
        <c:manualLayout>
          <c:xMode val="edge"/>
          <c:yMode val="edge"/>
          <c:x val="0.85725"/>
          <c:y val="0.444166666666667"/>
        </c:manualLayout>
      </c:layout>
      <c:overlay val="false"/>
      <c:spPr>
        <a:solidFill>
          <a:schemeClr val="lt1">
            <a:lumMod val="95000"/>
            <a:alpha val="39000"/>
          </a:schemeClr>
        </a:solidFill>
        <a:ln>
          <a:noFill/>
        </a:ln>
        <a:effectLst/>
      </c:spPr>
      <c:txPr>
        <a:bodyPr rot="0" spcFirstLastPara="0" vertOverflow="ellipsis" vert="horz" wrap="square" anchor="ctr" anchorCtr="true"/>
        <a:lstStyle/>
        <a:p>
          <a:pPr>
            <a:defRPr lang="zh-CN" sz="900" b="0" i="0" u="none" strike="noStrike" kern="1200" baseline="0">
              <a:solidFill>
                <a:schemeClr val="dk1">
                  <a:lumMod val="75000"/>
                  <a:lumOff val="25000"/>
                </a:schemeClr>
              </a:solidFill>
              <a:latin typeface="+mn-lt"/>
              <a:ea typeface="+mn-ea"/>
              <a:cs typeface="+mn-cs"/>
            </a:defRPr>
          </a:pPr>
        </a:p>
      </c:txPr>
    </c:legend>
    <c:plotVisOnly val="true"/>
    <c:dispBlanksAs val="gap"/>
    <c:showDLblsOverMax val="false"/>
  </c:chart>
  <c:spPr>
    <a:gradFill flip="none" rotWithShape="true">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0822127835905936"/>
          <c:y val="0.0483333333333333"/>
          <c:w val="0.667295141406816"/>
          <c:h val="0.883066666666667"/>
        </c:manualLayout>
      </c:layout>
      <c:barChart>
        <c:barDir val="col"/>
        <c:grouping val="clustered"/>
        <c:varyColors val="false"/>
        <c:ser>
          <c:idx val="0"/>
          <c:order val="0"/>
          <c:tx>
            <c:strRef>
              <c:f>Sheet1!$B$1</c:f>
              <c:strCache>
                <c:ptCount val="1"/>
                <c:pt idx="0">
                  <c:v> </c:v>
                </c:pt>
              </c:strCache>
            </c:strRef>
          </c:tx>
          <c:spPr>
            <a:solidFill>
              <a:schemeClr val="accent1"/>
            </a:solidFill>
            <a:ln>
              <a:noFill/>
            </a:ln>
            <a:effectLst/>
          </c:spPr>
          <c:invertIfNegative val="false"/>
          <c:dLbls>
            <c:dLbl>
              <c:idx val="0"/>
              <c:layout/>
              <c:tx>
                <c:rich>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r>
                      <a:rPr lang="en-US" altLang="zh-CN"/>
                      <a:t>3077.8</a:t>
                    </a:r>
                    <a:r>
                      <a:rPr lang="zh-CN" altLang="en-US"/>
                      <a:t>万元</a:t>
                    </a:r>
                    <a:endParaRPr lang="zh-CN" altLang="en-US"/>
                  </a:p>
                </c:rich>
              </c:tx>
              <c:dLblPos val="ctr"/>
              <c:showLegendKey val="false"/>
              <c:showVal val="true"/>
              <c:showCatName val="false"/>
              <c:showSerName val="false"/>
              <c:showPercent val="false"/>
              <c:showBubbleSize val="false"/>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2020年</c:v>
                </c:pt>
                <c:pt idx="1">
                  <c:v>2021年</c:v>
                </c:pt>
              </c:strCache>
            </c:strRef>
          </c:cat>
          <c:val>
            <c:numRef>
              <c:f>Sheet1!$B$2:$B$5</c:f>
              <c:numCache>
                <c:formatCode>General</c:formatCode>
                <c:ptCount val="4"/>
              </c:numCache>
            </c:numRef>
          </c:val>
        </c:ser>
        <c:ser>
          <c:idx val="1"/>
          <c:order val="1"/>
          <c:tx>
            <c:strRef>
              <c:f>Sheet1!$C$1</c:f>
              <c:strCache>
                <c:ptCount val="1"/>
                <c:pt idx="0">
                  <c:v> </c:v>
                </c:pt>
              </c:strCache>
            </c:strRef>
          </c:tx>
          <c:spPr>
            <a:solidFill>
              <a:schemeClr val="accent2"/>
            </a:solidFill>
            <a:ln>
              <a:noFill/>
            </a:ln>
            <a:effectLst/>
          </c:spPr>
          <c:invertIfNegative val="false"/>
          <c:dPt>
            <c:idx val="0"/>
            <c:invertIfNegative val="false"/>
            <c:bubble3D val="false"/>
            <c:spPr>
              <a:solidFill>
                <a:schemeClr val="tx2"/>
              </a:solidFill>
              <a:ln>
                <a:noFill/>
              </a:ln>
              <a:effectLst/>
            </c:spPr>
          </c:dPt>
          <c:dLbls>
            <c:dLbl>
              <c:idx val="0"/>
              <c:layout>
                <c:manualLayout>
                  <c:x val="-0.003875"/>
                  <c:y val="-0.167333333333333"/>
                </c:manualLayout>
              </c:layout>
              <c:tx>
                <c:rich>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r>
                      <a:rPr lang="en-US" altLang="zh-CN"/>
                      <a:t>3077.8</a:t>
                    </a:r>
                    <a:r>
                      <a:rPr lang="zh-CN" altLang="en-US"/>
                      <a:t>万元</a:t>
                    </a:r>
                    <a:endParaRPr lang="zh-CN" altLang="en-US"/>
                  </a:p>
                </c:rich>
              </c:tx>
              <c:dLblPos val="ctr"/>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tx>
                <c:rich>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r>
                      <a:rPr lang="en-US" altLang="zh-CN"/>
                      <a:t>3290.53</a:t>
                    </a:r>
                    <a:r>
                      <a:rPr lang="zh-CN" altLang="en-US"/>
                      <a:t>万元</a:t>
                    </a:r>
                    <a:endParaRPr lang="zh-CN" altLang="en-US"/>
                  </a:p>
                </c:rich>
              </c:tx>
              <c:dLblPos val="ctr"/>
              <c:showLegendKey val="false"/>
              <c:showVal val="true"/>
              <c:showCatName val="false"/>
              <c:showSerName val="false"/>
              <c:showPercent val="false"/>
              <c:showBubbleSize val="false"/>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2020年</c:v>
                </c:pt>
                <c:pt idx="1">
                  <c:v>2021年</c:v>
                </c:pt>
              </c:strCache>
            </c:strRef>
          </c:cat>
          <c:val>
            <c:numRef>
              <c:f>Sheet1!$C$2:$C$5</c:f>
              <c:numCache>
                <c:formatCode>General</c:formatCode>
                <c:ptCount val="4"/>
                <c:pt idx="0">
                  <c:v>3077.8</c:v>
                </c:pt>
              </c:numCache>
            </c:numRef>
          </c:val>
        </c:ser>
        <c:ser>
          <c:idx val="2"/>
          <c:order val="2"/>
          <c:tx>
            <c:strRef>
              <c:f>Sheet1!$D$1</c:f>
              <c:strCache>
                <c:ptCount val="1"/>
                <c:pt idx="0">
                  <c:v/>
                </c:pt>
              </c:strCache>
            </c:strRef>
          </c:tx>
          <c:spPr>
            <a:solidFill>
              <a:schemeClr val="accent2"/>
            </a:solidFill>
            <a:ln>
              <a:noFill/>
            </a:ln>
            <a:effectLst/>
          </c:spPr>
          <c:invertIfNegative val="false"/>
          <c:dPt>
            <c:idx val="1"/>
            <c:invertIfNegative val="false"/>
            <c:bubble3D val="false"/>
          </c:dPt>
          <c:dLbls>
            <c:dLbl>
              <c:idx val="1"/>
              <c:layout>
                <c:manualLayout>
                  <c:x val="0.001875"/>
                  <c:y val="-0.4365"/>
                </c:manualLayout>
              </c:layout>
              <c:tx>
                <c:rich>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r>
                      <a:rPr lang="en-US" altLang="zh-CN"/>
                      <a:t>3290.53</a:t>
                    </a:r>
                    <a:r>
                      <a:rPr lang="zh-CN" altLang="en-US"/>
                      <a:t>万元</a:t>
                    </a:r>
                    <a:endParaRPr lang="zh-CN" altLang="en-US"/>
                  </a:p>
                </c:rich>
              </c:tx>
              <c:dLblPos val="ctr"/>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2020年</c:v>
                </c:pt>
                <c:pt idx="1">
                  <c:v>2021年</c:v>
                </c:pt>
              </c:strCache>
            </c:strRef>
          </c:cat>
          <c:val>
            <c:numRef>
              <c:f>Sheet1!$D$2:$D$5</c:f>
              <c:numCache>
                <c:formatCode>General</c:formatCode>
                <c:ptCount val="4"/>
                <c:pt idx="1">
                  <c:v>3290.53</c:v>
                </c:pt>
              </c:numCache>
            </c:numRef>
          </c:val>
        </c:ser>
        <c:dLbls>
          <c:showLegendKey val="false"/>
          <c:showVal val="true"/>
          <c:showCatName val="false"/>
          <c:showSerName val="false"/>
          <c:showPercent val="false"/>
          <c:showBubbleSize val="false"/>
        </c:dLbls>
        <c:gapWidth val="0"/>
        <c:axId val="256613760"/>
        <c:axId val="362701952"/>
      </c:barChart>
      <c:catAx>
        <c:axId val="256613760"/>
        <c:scaling>
          <c:orientation val="minMax"/>
        </c:scaling>
        <c:delete val="false"/>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362701952"/>
        <c:crosses val="autoZero"/>
        <c:auto val="true"/>
        <c:lblAlgn val="ctr"/>
        <c:lblOffset val="100"/>
        <c:noMultiLvlLbl val="false"/>
      </c:catAx>
      <c:valAx>
        <c:axId val="362701952"/>
        <c:scaling>
          <c:orientation val="minMax"/>
        </c:scaling>
        <c:delete val="false"/>
        <c:axPos val="l"/>
        <c:majorGridlines>
          <c:spPr>
            <a:ln w="0" cap="flat" cmpd="sng" algn="ctr">
              <a:solidFill>
                <a:schemeClr val="tx1">
                  <a:lumMod val="15000"/>
                  <a:lumOff val="85000"/>
                </a:schemeClr>
              </a:solidFill>
              <a:prstDash val="solid"/>
              <a:round/>
            </a:ln>
            <a:effectLst/>
          </c:spPr>
        </c:majorGridlines>
        <c:numFmt formatCode="General" sourceLinked="true"/>
        <c:majorTickMark val="none"/>
        <c:minorTickMark val="none"/>
        <c:tickLblPos val="nextTo"/>
        <c:spPr>
          <a:noFill/>
          <a:ln w="9525" cap="flat" cmpd="sng" algn="ctr">
            <a:no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56613760"/>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1397"/>
          <c:y val="0.123166666666667"/>
          <c:w val="0.8338"/>
          <c:h val="0.7234"/>
        </c:manualLayout>
      </c:layout>
      <c:barChart>
        <c:barDir val="col"/>
        <c:grouping val="clustered"/>
        <c:varyColors val="false"/>
        <c:ser>
          <c:idx val="0"/>
          <c:order val="0"/>
          <c:tx>
            <c:strRef>
              <c:f>Sheet1!$B$1</c:f>
              <c:strCache>
                <c:ptCount val="1"/>
                <c:pt idx="0">
                  <c:v/>
                </c:pt>
              </c:strCache>
            </c:strRef>
          </c:tx>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2020年</c:v>
                </c:pt>
                <c:pt idx="1">
                  <c:v>2021年</c:v>
                </c:pt>
              </c:strCache>
            </c:strRef>
          </c:cat>
          <c:val>
            <c:numRef>
              <c:f>Sheet1!$B$2:$B$5</c:f>
              <c:numCache>
                <c:formatCode>General</c:formatCode>
                <c:ptCount val="4"/>
              </c:numCache>
            </c:numRef>
          </c:val>
        </c:ser>
        <c:ser>
          <c:idx val="1"/>
          <c:order val="1"/>
          <c:tx>
            <c:strRef>
              <c:f>Sheet1!$C$1</c:f>
              <c:strCache>
                <c:ptCount val="1"/>
                <c:pt idx="0">
                  <c:v/>
                </c:pt>
              </c:strCache>
            </c:strRef>
          </c:tx>
          <c:spPr>
            <a:solidFill>
              <a:schemeClr val="tx2"/>
            </a:solidFill>
            <a:ln>
              <a:noFill/>
            </a:ln>
            <a:effectLst/>
          </c:spPr>
          <c:invertIfNegative val="false"/>
          <c:dLbls>
            <c:dLbl>
              <c:idx val="0"/>
              <c:layout/>
              <c:tx>
                <c:rich>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r>
                      <a:rPr lang="en-US" altLang="zh-CN"/>
                      <a:t>1747.81</a:t>
                    </a:r>
                    <a:r>
                      <a:rPr lang="zh-CN" altLang="en-US"/>
                      <a:t>万元</a:t>
                    </a:r>
                    <a:endParaRPr lang="zh-CN" altLang="en-US"/>
                  </a:p>
                </c:rich>
              </c:tx>
              <c:dLblPos val="outEnd"/>
              <c:showLegendKey val="false"/>
              <c:showVal val="true"/>
              <c:showCatName val="false"/>
              <c:showSerName val="false"/>
              <c:showPercent val="false"/>
              <c:showBubbleSize val="false"/>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2020年</c:v>
                </c:pt>
                <c:pt idx="1">
                  <c:v>2021年</c:v>
                </c:pt>
              </c:strCache>
            </c:strRef>
          </c:cat>
          <c:val>
            <c:numRef>
              <c:f>Sheet1!$C$2:$C$5</c:f>
              <c:numCache>
                <c:formatCode>General</c:formatCode>
                <c:ptCount val="4"/>
                <c:pt idx="0">
                  <c:v>1747.81</c:v>
                </c:pt>
              </c:numCache>
            </c:numRef>
          </c:val>
        </c:ser>
        <c:ser>
          <c:idx val="2"/>
          <c:order val="2"/>
          <c:tx>
            <c:strRef>
              <c:f>Sheet1!$D$1</c:f>
              <c:strCache>
                <c:ptCount val="1"/>
                <c:pt idx="0">
                  <c:v/>
                </c:pt>
              </c:strCache>
            </c:strRef>
          </c:tx>
          <c:spPr>
            <a:solidFill>
              <a:schemeClr val="accent2"/>
            </a:solidFill>
            <a:ln>
              <a:noFill/>
            </a:ln>
            <a:effectLst/>
          </c:spPr>
          <c:invertIfNegative val="false"/>
          <c:dLbls>
            <c:dLbl>
              <c:idx val="1"/>
              <c:layout/>
              <c:tx>
                <c:rich>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r>
                      <a:rPr lang="en-US" altLang="zh-CN"/>
                      <a:t>1925.14</a:t>
                    </a:r>
                    <a:r>
                      <a:rPr lang="zh-CN" altLang="en-US"/>
                      <a:t>万元</a:t>
                    </a:r>
                    <a:endParaRPr lang="zh-CN" altLang="en-US"/>
                  </a:p>
                </c:rich>
              </c:tx>
              <c:dLblPos val="outEnd"/>
              <c:showLegendKey val="false"/>
              <c:showVal val="true"/>
              <c:showCatName val="false"/>
              <c:showSerName val="false"/>
              <c:showPercent val="false"/>
              <c:showBubbleSize val="false"/>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2020年</c:v>
                </c:pt>
                <c:pt idx="1">
                  <c:v>2021年</c:v>
                </c:pt>
              </c:strCache>
            </c:strRef>
          </c:cat>
          <c:val>
            <c:numRef>
              <c:f>Sheet1!$D$2:$D$5</c:f>
              <c:numCache>
                <c:formatCode>General</c:formatCode>
                <c:ptCount val="4"/>
                <c:pt idx="1">
                  <c:v>1925.14</c:v>
                </c:pt>
              </c:numCache>
            </c:numRef>
          </c:val>
        </c:ser>
        <c:dLbls>
          <c:showLegendKey val="false"/>
          <c:showVal val="true"/>
          <c:showCatName val="false"/>
          <c:showSerName val="false"/>
          <c:showPercent val="false"/>
          <c:showBubbleSize val="false"/>
        </c:dLbls>
        <c:gapWidth val="0"/>
        <c:axId val="363961344"/>
        <c:axId val="364401408"/>
      </c:barChart>
      <c:catAx>
        <c:axId val="363961344"/>
        <c:scaling>
          <c:orientation val="minMax"/>
        </c:scaling>
        <c:delete val="false"/>
        <c:axPos val="b"/>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364401408"/>
        <c:crosses val="autoZero"/>
        <c:auto val="true"/>
        <c:lblAlgn val="ctr"/>
        <c:lblOffset val="100"/>
        <c:noMultiLvlLbl val="false"/>
      </c:catAx>
      <c:valAx>
        <c:axId val="364401408"/>
        <c:scaling>
          <c:orientation val="minMax"/>
        </c:scaling>
        <c:delete val="false"/>
        <c:axPos val="l"/>
        <c:numFmt formatCode="General" sourceLinked="true"/>
        <c:majorTickMark val="out"/>
        <c:minorTickMark val="none"/>
        <c:tickLblPos val="nextTo"/>
        <c:spPr>
          <a:noFill/>
          <a:ln w="9525" cap="flat" cmpd="sng" algn="ctr">
            <a:no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363961344"/>
        <c:crosses val="autoZero"/>
        <c:crossBetween val="between"/>
      </c:valAx>
      <c:spPr>
        <a:noFill/>
        <a:ln>
          <a:noFill/>
        </a:ln>
        <a:effectLst/>
      </c:spPr>
    </c:plotArea>
    <c:plotVisOnly val="true"/>
    <c:dispBlanksAs val="gap"/>
    <c:showDLblsOverMax val="false"/>
  </c:chart>
  <c:spPr>
    <a:solidFill>
      <a:schemeClr val="bg1"/>
    </a:solidFill>
    <a:ln w="0"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1808125"/>
          <c:y val="0.033"/>
          <c:w val="0.638375"/>
          <c:h val="0.851166666666667"/>
        </c:manualLayout>
      </c:layout>
      <c:pieChart>
        <c:varyColors val="true"/>
        <c:ser>
          <c:idx val="0"/>
          <c:order val="0"/>
          <c:tx>
            <c:strRef>
              <c:f>Sheet1!$B$1</c:f>
              <c:strCache>
                <c:ptCount val="1"/>
                <c:pt idx="0">
                  <c:v>销售额</c:v>
                </c:pt>
              </c:strCache>
            </c:strRef>
          </c:tx>
          <c:explosion val="0"/>
          <c:dPt>
            <c:idx val="0"/>
            <c:bubble3D val="false"/>
            <c:explosion val="7"/>
            <c:spPr>
              <a:solidFill>
                <a:schemeClr val="accent1"/>
              </a:solidFill>
              <a:ln>
                <a:noFill/>
              </a:ln>
              <a:effectLst>
                <a:outerShdw blurRad="254000" sx="102000" sy="102000" algn="ctr" rotWithShape="0">
                  <a:prstClr val="black">
                    <a:alpha val="20000"/>
                  </a:prstClr>
                </a:outerShdw>
              </a:effectLst>
            </c:spPr>
          </c:dPt>
          <c:dPt>
            <c:idx val="1"/>
            <c:bubble3D val="false"/>
            <c:explosion val="4"/>
            <c:spPr>
              <a:solidFill>
                <a:schemeClr val="accent2"/>
              </a:solidFill>
              <a:ln>
                <a:noFill/>
              </a:ln>
              <a:effectLst>
                <a:outerShdw blurRad="254000" sx="102000" sy="102000" algn="ctr" rotWithShape="0">
                  <a:prstClr val="black">
                    <a:alpha val="20000"/>
                  </a:prstClr>
                </a:outerShdw>
              </a:effectLst>
            </c:spPr>
          </c:dPt>
          <c:dPt>
            <c:idx val="2"/>
            <c:bubble3D val="false"/>
            <c:spPr>
              <a:solidFill>
                <a:schemeClr val="accent3"/>
              </a:solidFill>
              <a:ln>
                <a:noFill/>
              </a:ln>
              <a:effectLst>
                <a:outerShdw blurRad="254000" sx="102000" sy="102000" algn="ctr" rotWithShape="0">
                  <a:prstClr val="black">
                    <a:alpha val="20000"/>
                  </a:prstClr>
                </a:outerShdw>
              </a:effectLst>
            </c:spPr>
          </c:dPt>
          <c:dLbls>
            <c:dLbl>
              <c:idx val="0"/>
              <c:layout/>
              <c:tx>
                <c:rich>
                  <a:bodyPr rot="0" spcFirstLastPara="0" vertOverflow="ellipsis" vert="horz" wrap="square" lIns="38100" tIns="19050" rIns="38100" bIns="19050" anchor="ctr" anchorCtr="true"/>
                  <a:lstStyle/>
                  <a:p>
                    <a:pPr>
                      <a:defRPr lang="zh-CN" sz="1000" b="1" i="0" u="none" strike="noStrike" kern="1200" baseline="0">
                        <a:solidFill>
                          <a:schemeClr val="lt1"/>
                        </a:solidFill>
                        <a:latin typeface="+mn-lt"/>
                        <a:ea typeface="+mn-ea"/>
                        <a:cs typeface="+mn-cs"/>
                      </a:defRPr>
                    </a:pPr>
                    <a:r>
                      <a:rPr lang="en-US" altLang="zh-CN"/>
                      <a:t>1896.88</a:t>
                    </a:r>
                    <a:r>
                      <a:rPr lang="zh-CN" altLang="en-US"/>
                      <a:t>万元</a:t>
                    </a:r>
                    <a:endParaRPr lang="zh-CN" altLang="en-US"/>
                  </a:p>
                  <a:p>
                    <a:pPr>
                      <a:defRPr lang="zh-CN" sz="1000" b="1" i="0" u="none" strike="noStrike" kern="1200" baseline="0">
                        <a:solidFill>
                          <a:schemeClr val="lt1"/>
                        </a:solidFill>
                        <a:latin typeface="+mn-lt"/>
                        <a:ea typeface="+mn-ea"/>
                        <a:cs typeface="+mn-cs"/>
                      </a:defRPr>
                    </a:pPr>
                    <a:r>
                      <a:rPr lang="en-US" altLang="zh-CN"/>
                      <a:t>98.5%</a:t>
                    </a:r>
                    <a:endParaRPr lang="en-US" altLang="zh-CN"/>
                  </a:p>
                </c:rich>
              </c:tx>
              <c:dLblPos val="ctr"/>
              <c:showLegendKey val="false"/>
              <c:showVal val="false"/>
              <c:showCatName val="true"/>
              <c:showSerName val="false"/>
              <c:showPercent val="true"/>
              <c:showBubbleSize val="false"/>
              <c:separator>
</c:separator>
              <c:extLst>
                <c:ext xmlns:c15="http://schemas.microsoft.com/office/drawing/2012/chart" uri="{CE6537A1-D6FC-4f65-9D91-7224C49458BB}"/>
              </c:extLst>
            </c:dLbl>
            <c:dLbl>
              <c:idx val="1"/>
              <c:layout>
                <c:manualLayout>
                  <c:x val="0.0314404086246514"/>
                  <c:y val="0.202081255725057"/>
                </c:manualLayout>
              </c:layout>
              <c:tx>
                <c:rich>
                  <a:bodyPr rot="0" spcFirstLastPara="0" vertOverflow="ellipsis" vert="horz" wrap="square" lIns="38100" tIns="19050" rIns="38100" bIns="19050" anchor="ctr" anchorCtr="true"/>
                  <a:lstStyle/>
                  <a:p>
                    <a:pPr>
                      <a:defRPr lang="zh-CN" sz="1000" b="1" i="0" u="none" strike="noStrike" kern="1200" baseline="0">
                        <a:solidFill>
                          <a:schemeClr val="lt1"/>
                        </a:solidFill>
                        <a:latin typeface="+mn-lt"/>
                        <a:ea typeface="+mn-ea"/>
                        <a:cs typeface="+mn-cs"/>
                      </a:defRPr>
                    </a:pPr>
                    <a:r>
                      <a:rPr lang="en-US" altLang="zh-CN"/>
                      <a:t>20.95</a:t>
                    </a:r>
                    <a:r>
                      <a:rPr lang="zh-CN" altLang="en-US"/>
                      <a:t>万元</a:t>
                    </a:r>
                    <a:endParaRPr lang="zh-CN" altLang="en-US"/>
                  </a:p>
                  <a:p>
                    <a:pPr>
                      <a:defRPr lang="zh-CN" sz="1000" b="1" i="0" u="none" strike="noStrike" kern="1200" baseline="0">
                        <a:solidFill>
                          <a:schemeClr val="lt1"/>
                        </a:solidFill>
                        <a:latin typeface="+mn-lt"/>
                        <a:ea typeface="+mn-ea"/>
                        <a:cs typeface="+mn-cs"/>
                      </a:defRPr>
                    </a:pPr>
                    <a:r>
                      <a:rPr lang="en-US" altLang="zh-CN"/>
                      <a:t>1.1%</a:t>
                    </a:r>
                    <a:endParaRPr lang="en-US" altLang="zh-CN"/>
                  </a:p>
                </c:rich>
              </c:tx>
              <c:dLblPos val="bestFit"/>
              <c:showLegendKey val="false"/>
              <c:showVal val="false"/>
              <c:showCatName val="true"/>
              <c:showSerName val="false"/>
              <c:showPercent val="true"/>
              <c:showBubbleSize val="false"/>
              <c:separator>
</c:separator>
              <c:extLst>
                <c:ext xmlns:c15="http://schemas.microsoft.com/office/drawing/2012/chart" uri="{CE6537A1-D6FC-4f65-9D91-7224C49458BB}">
                  <c15:layout/>
                </c:ext>
              </c:extLst>
            </c:dLbl>
            <c:dLbl>
              <c:idx val="2"/>
              <c:layout>
                <c:manualLayout>
                  <c:x val="-0.0637715804291411"/>
                  <c:y val="0.0827404353638278"/>
                </c:manualLayout>
              </c:layout>
              <c:tx>
                <c:rich>
                  <a:bodyPr rot="0" spcFirstLastPara="0" vertOverflow="ellipsis" vert="horz" wrap="square" lIns="38100" tIns="19050" rIns="38100" bIns="19050" anchor="ctr" anchorCtr="true"/>
                  <a:lstStyle/>
                  <a:p>
                    <a:pPr>
                      <a:defRPr lang="zh-CN" sz="1000" b="1" i="0" u="none" strike="noStrike" kern="1200" baseline="0">
                        <a:solidFill>
                          <a:schemeClr val="lt1"/>
                        </a:solidFill>
                        <a:latin typeface="+mn-lt"/>
                        <a:ea typeface="+mn-ea"/>
                        <a:cs typeface="+mn-cs"/>
                      </a:defRPr>
                    </a:pPr>
                    <a:r>
                      <a:rPr lang="en-US" altLang="zh-CN"/>
                      <a:t>7.3</a:t>
                    </a:r>
                    <a:r>
                      <a:rPr lang="zh-CN" altLang="en-US"/>
                      <a:t>万元</a:t>
                    </a:r>
                    <a:endParaRPr lang="zh-CN" altLang="en-US"/>
                  </a:p>
                  <a:p>
                    <a:pPr>
                      <a:defRPr lang="zh-CN" sz="1000" b="1" i="0" u="none" strike="noStrike" kern="1200" baseline="0">
                        <a:solidFill>
                          <a:schemeClr val="lt1"/>
                        </a:solidFill>
                        <a:latin typeface="+mn-lt"/>
                        <a:ea typeface="+mn-ea"/>
                        <a:cs typeface="+mn-cs"/>
                      </a:defRPr>
                    </a:pPr>
                    <a:r>
                      <a:rPr lang="en-US" altLang="zh-CN"/>
                      <a:t>0.4%</a:t>
                    </a:r>
                    <a:endParaRPr lang="en-US" altLang="zh-CN"/>
                  </a:p>
                </c:rich>
              </c:tx>
              <c:dLblPos val="bestFit"/>
              <c:showLegendKey val="false"/>
              <c:showVal val="false"/>
              <c:showCatName val="true"/>
              <c:showSerName val="false"/>
              <c:showPercent val="true"/>
              <c:showBubbleSize val="false"/>
              <c:separator>
</c:separator>
              <c:extLst>
                <c:ext xmlns:c15="http://schemas.microsoft.com/office/drawing/2012/chart" uri="{CE6537A1-D6FC-4f65-9D91-7224C49458BB}">
                  <c15:layout/>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true"/>
              <a:lstStyle/>
              <a:p>
                <a:pPr>
                  <a:defRPr lang="zh-CN" sz="1000" b="1" i="0" u="none" strike="noStrike" kern="1200" baseline="0">
                    <a:solidFill>
                      <a:schemeClr val="lt1"/>
                    </a:solidFill>
                    <a:latin typeface="+mn-lt"/>
                    <a:ea typeface="+mn-ea"/>
                    <a:cs typeface="+mn-cs"/>
                  </a:defRPr>
                </a:pPr>
              </a:p>
            </c:txPr>
            <c:dLblPos val="ctr"/>
            <c:showLegendKey val="false"/>
            <c:showVal val="false"/>
            <c:showCatName val="tru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dk1">
                          <a:lumMod val="50000"/>
                          <a:lumOff val="50000"/>
                        </a:schemeClr>
                      </a:solidFill>
                      <a:prstDash val="solid"/>
                      <a:round/>
                    </a:ln>
                    <a:effectLst/>
                  </c:spPr>
                </c15:leaderLines>
              </c:ext>
            </c:extLst>
          </c:dLbls>
          <c:cat>
            <c:strRef>
              <c:f>Sheet1!$A$2:$A$4</c:f>
              <c:strCache>
                <c:ptCount val="3"/>
                <c:pt idx="0">
                  <c:v>社会保障和就业支出</c:v>
                </c:pt>
                <c:pt idx="1">
                  <c:v>卫生健康支出</c:v>
                </c:pt>
                <c:pt idx="2">
                  <c:v>住房保障</c:v>
                </c:pt>
              </c:strCache>
            </c:strRef>
          </c:cat>
          <c:val>
            <c:numRef>
              <c:f>Sheet1!$B$2:$B$4</c:f>
              <c:numCache>
                <c:formatCode>General</c:formatCode>
                <c:ptCount val="3"/>
                <c:pt idx="0">
                  <c:v>1896.88</c:v>
                </c:pt>
                <c:pt idx="1">
                  <c:v>7.3</c:v>
                </c:pt>
                <c:pt idx="2">
                  <c:v>20.95</c:v>
                </c:pt>
              </c:numCache>
            </c:numRef>
          </c:val>
        </c:ser>
        <c:dLbls>
          <c:showLegendKey val="false"/>
          <c:showVal val="false"/>
          <c:showCatName val="false"/>
          <c:showSerName val="false"/>
          <c:showPercent val="true"/>
          <c:showBubbleSize val="false"/>
          <c:showLeaderLines val="true"/>
        </c:dLbls>
        <c:firstSliceAng val="0"/>
      </c:pieChart>
      <c:spPr>
        <a:noFill/>
        <a:ln>
          <a:noFill/>
        </a:ln>
        <a:effectLst/>
      </c:spPr>
    </c:plotArea>
    <c:legend>
      <c:legendPos val="r"/>
      <c:layout/>
      <c:overlay val="false"/>
      <c:spPr>
        <a:solidFill>
          <a:schemeClr val="lt1">
            <a:lumMod val="95000"/>
            <a:alpha val="39000"/>
          </a:schemeClr>
        </a:solidFill>
        <a:ln>
          <a:noFill/>
        </a:ln>
        <a:effectLst/>
      </c:spPr>
      <c:txPr>
        <a:bodyPr rot="0" spcFirstLastPara="0" vertOverflow="ellipsis" vert="horz" wrap="square" anchor="ctr" anchorCtr="true"/>
        <a:lstStyle/>
        <a:p>
          <a:pPr>
            <a:defRPr lang="zh-CN" sz="900" b="0" i="0" u="none" strike="noStrike" kern="1200" baseline="0">
              <a:solidFill>
                <a:schemeClr val="dk1">
                  <a:lumMod val="75000"/>
                  <a:lumOff val="25000"/>
                </a:schemeClr>
              </a:solidFill>
              <a:latin typeface="+mn-lt"/>
              <a:ea typeface="+mn-ea"/>
              <a:cs typeface="+mn-cs"/>
            </a:defRPr>
          </a:pPr>
        </a:p>
      </c:txPr>
    </c:legend>
    <c:plotVisOnly val="true"/>
    <c:dispBlanksAs val="gap"/>
    <c:showDLblsOverMax val="false"/>
  </c:chart>
  <c:spPr>
    <a:gradFill flip="none" rotWithShape="true">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tx>
            <c:strRef>
              <c:f>Sheet1!$B$1</c:f>
              <c:strCache>
                <c:ptCount val="1"/>
                <c:pt idx="0">
                  <c:v>销售额</c:v>
                </c:pt>
              </c:strCache>
            </c:strRef>
          </c:tx>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dLbl>
              <c:idx val="0"/>
              <c:layout>
                <c:manualLayout>
                  <c:x val="-0.0244497745292019"/>
                  <c:y val="-0.276778767022466"/>
                </c:manualLayout>
              </c:layout>
              <c:tx>
                <c:rich>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r>
                      <a:rPr lang="en-US" altLang="zh-CN"/>
                      <a:t>7.17</a:t>
                    </a:r>
                    <a:r>
                      <a:rPr lang="zh-CN" altLang="en-US"/>
                      <a:t>万元</a:t>
                    </a:r>
                    <a:endParaRPr lang="zh-CN" altLang="en-US"/>
                  </a:p>
                  <a:p>
                    <a:pPr>
                      <a:defRPr lang="zh-CN" sz="900" b="0" i="0" u="none" strike="noStrike" kern="1200" baseline="0">
                        <a:solidFill>
                          <a:schemeClr val="tx1">
                            <a:lumMod val="75000"/>
                            <a:lumOff val="25000"/>
                          </a:schemeClr>
                        </a:solidFill>
                        <a:latin typeface="+mn-lt"/>
                        <a:ea typeface="+mn-ea"/>
                        <a:cs typeface="+mn-cs"/>
                      </a:defRPr>
                    </a:pPr>
                    <a:r>
                      <a:rPr lang="en-US" altLang="zh-CN"/>
                      <a:t>96.5%</a:t>
                    </a:r>
                    <a:endParaRPr lang="en-US" altLang="zh-CN"/>
                  </a:p>
                </c:rich>
              </c:tx>
              <c:dLblPos val="bestFit"/>
              <c:showLegendKey val="false"/>
              <c:showVal val="false"/>
              <c:showCatName val="false"/>
              <c:showSerName val="false"/>
              <c:showPercent val="true"/>
              <c:showBubbleSize val="false"/>
              <c:extLst>
                <c:ext xmlns:c15="http://schemas.microsoft.com/office/drawing/2012/chart" uri="{CE6537A1-D6FC-4f65-9D91-7224C49458BB}">
                  <c15:layout/>
                </c:ext>
              </c:extLst>
            </c:dLbl>
            <c:dLbl>
              <c:idx val="1"/>
              <c:layout>
                <c:manualLayout>
                  <c:x val="0.0220200289832457"/>
                  <c:y val="0.255326368617685"/>
                </c:manualLayout>
              </c:layout>
              <c:tx>
                <c:rich>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r>
                      <a:rPr lang="en-US" altLang="zh-CN"/>
                      <a:t>0.26</a:t>
                    </a:r>
                    <a:r>
                      <a:rPr lang="zh-CN" altLang="en-US"/>
                      <a:t>万元</a:t>
                    </a:r>
                    <a:endParaRPr lang="zh-CN" altLang="en-US"/>
                  </a:p>
                  <a:p>
                    <a:pPr>
                      <a:defRPr lang="zh-CN" sz="900" b="0" i="0" u="none" strike="noStrike" kern="1200" baseline="0">
                        <a:solidFill>
                          <a:schemeClr val="tx1">
                            <a:lumMod val="75000"/>
                            <a:lumOff val="25000"/>
                          </a:schemeClr>
                        </a:solidFill>
                        <a:latin typeface="+mn-lt"/>
                        <a:ea typeface="+mn-ea"/>
                        <a:cs typeface="+mn-cs"/>
                      </a:defRPr>
                    </a:pPr>
                    <a:r>
                      <a:rPr lang="en-US" altLang="zh-CN"/>
                      <a:t>3.5%</a:t>
                    </a:r>
                    <a:endParaRPr lang="en-US" altLang="zh-CN"/>
                  </a:p>
                </c:rich>
              </c:tx>
              <c:dLblPos val="bestFit"/>
              <c:showLegendKey val="false"/>
              <c:showVal val="false"/>
              <c:showCatName val="false"/>
              <c:showSerName val="false"/>
              <c:showPercent val="tru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公务用车运行维护费</c:v>
                </c:pt>
                <c:pt idx="1">
                  <c:v>公务接待</c:v>
                </c:pt>
              </c:strCache>
            </c:strRef>
          </c:cat>
          <c:val>
            <c:numRef>
              <c:f>Sheet1!$B$2:$B$3</c:f>
              <c:numCache>
                <c:formatCode>General</c:formatCode>
                <c:ptCount val="2"/>
                <c:pt idx="0">
                  <c:v>7.44</c:v>
                </c:pt>
                <c:pt idx="1">
                  <c:v>0.27</c:v>
                </c:pt>
              </c:numCache>
            </c:numRef>
          </c:val>
        </c:ser>
        <c:dLbls>
          <c:showLegendKey val="false"/>
          <c:showVal val="false"/>
          <c:showCatName val="false"/>
          <c:showSerName val="false"/>
          <c:showPercent val="tru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25</Pages>
  <Words>8554</Words>
  <Characters>9060</Characters>
  <Lines>85</Lines>
  <Paragraphs>23</Paragraphs>
  <TotalTime>26</TotalTime>
  <ScaleCrop>false</ScaleCrop>
  <LinksUpToDate>false</LinksUpToDate>
  <CharactersWithSpaces>9122</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2020-08-10T01:49:00Z</dcterms:created>
  <dc:creator>曹颖</dc:creator>
  <cp:lastModifiedBy> </cp:lastModifiedBy>
  <cp:lastPrinted>2022-08-11T02:23:00Z</cp:lastPrinted>
  <dcterms:modified xsi:type="dcterms:W3CDTF">2023-10-09T18:02:57Z</dcterms:modified>
  <dc:title>四川省***</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18C4299B72334D3095585539B3212D20</vt:lpwstr>
  </property>
</Properties>
</file>