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color w:val="auto"/>
          <w:sz w:val="72"/>
          <w:szCs w:val="72"/>
          <w:highlight w:val="none"/>
        </w:rPr>
      </w:pPr>
      <w:bookmarkStart w:id="0" w:name="_Toc15378441"/>
      <w:bookmarkStart w:id="1" w:name="_Toc15377425"/>
      <w:bookmarkStart w:id="2" w:name="_Toc15396597"/>
      <w:bookmarkStart w:id="3" w:name="_Toc15377193"/>
      <w:bookmarkStart w:id="4" w:name="_Toc15396475"/>
      <w:bookmarkStart w:id="5"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7225"/>
      <w:bookmarkStart w:id="7" w:name="_Toc14543"/>
      <w:bookmarkStart w:id="8" w:name="_Toc621"/>
      <w:bookmarkStart w:id="9" w:name="_Toc15231"/>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6"/>
      <w:bookmarkEnd w:id="7"/>
      <w:bookmarkEnd w:id="8"/>
      <w:bookmarkEnd w:id="9"/>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0" w:name="_Toc15378442"/>
      <w:bookmarkStart w:id="11" w:name="_Toc15396476"/>
      <w:bookmarkStart w:id="12" w:name="_Toc15377426"/>
      <w:bookmarkStart w:id="13" w:name="_Toc15396598"/>
      <w:bookmarkStart w:id="14" w:name="_Toc21531"/>
      <w:bookmarkStart w:id="15" w:name="_Toc7924"/>
      <w:bookmarkStart w:id="16" w:name="_Toc22551"/>
      <w:bookmarkStart w:id="17" w:name="_Toc15377194"/>
      <w:bookmarkStart w:id="18" w:name="_Toc14885"/>
      <w:r>
        <w:rPr>
          <w:rFonts w:hint="eastAsia" w:ascii="方正小标宋简体" w:hAnsi="方正小标宋简体" w:eastAsia="方正小标宋简体" w:cs="方正小标宋简体"/>
          <w:color w:val="auto"/>
          <w:sz w:val="72"/>
          <w:szCs w:val="72"/>
          <w:highlight w:val="none"/>
          <w:lang w:eastAsia="zh-CN"/>
        </w:rPr>
        <w:t>广元市</w:t>
      </w:r>
      <w:bookmarkEnd w:id="5"/>
      <w:bookmarkStart w:id="19" w:name="_Toc15306268"/>
      <w:r>
        <w:rPr>
          <w:rFonts w:hint="eastAsia" w:ascii="方正小标宋简体" w:hAnsi="方正小标宋简体" w:eastAsia="方正小标宋简体" w:cs="方正小标宋简体"/>
          <w:color w:val="auto"/>
          <w:sz w:val="72"/>
          <w:szCs w:val="72"/>
          <w:highlight w:val="none"/>
          <w:lang w:val="en-US" w:eastAsia="zh-CN"/>
        </w:rPr>
        <w:t>人力资源和社会保障局</w:t>
      </w:r>
      <w:r>
        <w:rPr>
          <w:rFonts w:hint="eastAsia" w:ascii="方正小标宋简体" w:hAnsi="方正小标宋简体" w:eastAsia="方正小标宋简体" w:cs="方正小标宋简体"/>
          <w:color w:val="auto"/>
          <w:sz w:val="72"/>
          <w:szCs w:val="72"/>
          <w:highlight w:val="none"/>
        </w:rPr>
        <w:t>部门决算</w:t>
      </w:r>
      <w:bookmarkEnd w:id="10"/>
      <w:bookmarkEnd w:id="11"/>
      <w:bookmarkEnd w:id="12"/>
      <w:bookmarkEnd w:id="13"/>
      <w:bookmarkEnd w:id="14"/>
      <w:bookmarkEnd w:id="15"/>
      <w:bookmarkEnd w:id="16"/>
      <w:bookmarkEnd w:id="17"/>
      <w:bookmarkEnd w:id="18"/>
      <w:bookmarkEnd w:id="19"/>
    </w:p>
    <w:p>
      <w:pPr>
        <w:widowControl/>
        <w:jc w:val="center"/>
        <w:rPr>
          <w:rFonts w:hint="eastAsia" w:ascii="黑体" w:hAnsi="黑体" w:eastAsia="黑体"/>
          <w:color w:val="auto"/>
          <w:sz w:val="48"/>
          <w:szCs w:val="48"/>
          <w:highlight w:val="none"/>
        </w:rPr>
        <w:sectPr>
          <w:pgSz w:w="11906" w:h="16838"/>
          <w:pgMar w:top="2098" w:right="1474" w:bottom="1984" w:left="1587" w:header="851" w:footer="1559" w:gutter="0"/>
          <w:pgNumType w:fmt="decimal" w:start="1"/>
          <w:cols w:space="425" w:num="1"/>
          <w:docGrid w:type="lines" w:linePitch="312" w:charSpace="0"/>
        </w:sectPr>
      </w:pPr>
    </w:p>
    <w:p>
      <w:pPr>
        <w:widowControl/>
        <w:jc w:val="center"/>
        <w:rPr>
          <w:rFonts w:ascii="黑体" w:hAnsi="黑体" w:eastAsia="黑体" w:cstheme="minorBidi"/>
          <w:color w:val="auto"/>
          <w:sz w:val="28"/>
          <w:szCs w:val="28"/>
          <w:highlight w:val="none"/>
        </w:rPr>
      </w:pPr>
      <w:r>
        <w:rPr>
          <w:rFonts w:hint="eastAsia" w:ascii="黑体" w:hAnsi="黑体" w:eastAsia="黑体"/>
          <w:color w:val="auto"/>
          <w:sz w:val="48"/>
          <w:szCs w:val="48"/>
          <w:highlight w:val="none"/>
        </w:rPr>
        <w:t>目</w:t>
      </w:r>
      <w:r>
        <w:rPr>
          <w:rFonts w:hint="eastAsia" w:ascii="黑体" w:hAnsi="黑体" w:eastAsia="黑体"/>
          <w:color w:val="auto"/>
          <w:sz w:val="48"/>
          <w:szCs w:val="48"/>
          <w:highlight w:val="none"/>
          <w:lang w:val="en-US" w:eastAsia="zh-CN"/>
        </w:rPr>
        <w:t xml:space="preserve">  </w:t>
      </w:r>
      <w:r>
        <w:rPr>
          <w:rFonts w:hint="eastAsia" w:ascii="黑体" w:hAnsi="黑体" w:eastAsia="黑体"/>
          <w:color w:val="auto"/>
          <w:sz w:val="48"/>
          <w:szCs w:val="48"/>
          <w:highlight w:val="none"/>
        </w:rPr>
        <w:t>录</w:t>
      </w:r>
    </w:p>
    <w:p>
      <w:pPr>
        <w:pStyle w:val="11"/>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7</w:t>
      </w:r>
      <w:r>
        <w:rPr>
          <w:rFonts w:hint="eastAsia"/>
          <w:color w:val="auto"/>
          <w:highlight w:val="none"/>
        </w:rPr>
        <w:t>日</w:t>
      </w:r>
    </w:p>
    <w:sdt>
      <w:sdtPr>
        <w:rPr>
          <w:rFonts w:ascii="宋体" w:hAnsi="宋体" w:eastAsia="宋体" w:cs="Times New Roman"/>
          <w:kern w:val="2"/>
          <w:sz w:val="21"/>
          <w:szCs w:val="24"/>
          <w:lang w:val="en-US" w:eastAsia="zh-CN" w:bidi="ar-SA"/>
        </w:rPr>
        <w:id w:val="147458937"/>
        <w15:color w:val="DBDBDB"/>
        <w:docPartObj>
          <w:docPartGallery w:val="Table of Contents"/>
          <w:docPartUnique/>
        </w:docPartObj>
      </w:sdtPr>
      <w:sdtEndPr>
        <w:rPr>
          <w:rFonts w:hint="eastAsia" w:ascii="黑体" w:hAnsi="黑体" w:eastAsia="黑体" w:cs="Times New Roman"/>
          <w:b/>
          <w:bCs/>
          <w:color w:val="auto"/>
          <w:kern w:val="44"/>
          <w:sz w:val="44"/>
          <w:szCs w:val="44"/>
          <w:highlight w:val="none"/>
          <w:lang w:val="en-US" w:eastAsia="zh-CN" w:bidi="ar-SA"/>
        </w:rPr>
      </w:sdtEndPr>
      <w:sdtContent>
        <w:p>
          <w:pPr>
            <w:spacing w:before="0" w:beforeLines="0" w:after="0" w:afterLines="0" w:line="240" w:lineRule="auto"/>
            <w:ind w:left="0" w:leftChars="0" w:right="0" w:rightChars="0" w:firstLine="0" w:firstLineChars="0"/>
            <w:jc w:val="center"/>
          </w:pPr>
        </w:p>
        <w:p>
          <w:pPr>
            <w:pStyle w:val="36"/>
            <w:tabs>
              <w:tab w:val="right" w:leader="dot" w:pos="8845"/>
            </w:tabs>
            <w:rPr>
              <w:b/>
            </w:rPr>
          </w:pPr>
          <w:r>
            <w:rPr>
              <w:rFonts w:hint="eastAsia" w:ascii="黑体" w:hAnsi="黑体" w:eastAsia="黑体"/>
              <w:b w:val="0"/>
              <w:color w:val="auto"/>
              <w:highlight w:val="none"/>
            </w:rPr>
            <w:fldChar w:fldCharType="begin"/>
          </w:r>
          <w:r>
            <w:rPr>
              <w:rFonts w:hint="eastAsia" w:ascii="黑体" w:hAnsi="黑体" w:eastAsia="黑体"/>
              <w:b w:val="0"/>
              <w:color w:val="auto"/>
              <w:highlight w:val="none"/>
            </w:rPr>
            <w:instrText xml:space="preserve">TOC \o "1-2" \h \u </w:instrText>
          </w:r>
          <w:r>
            <w:rPr>
              <w:rFonts w:hint="eastAsia" w:ascii="黑体" w:hAnsi="黑体" w:eastAsia="黑体"/>
              <w:b w:val="0"/>
              <w:color w:val="auto"/>
              <w:highlight w:val="none"/>
            </w:rPr>
            <w:fldChar w:fldCharType="separate"/>
          </w:r>
          <w:r>
            <w:rPr>
              <w:rFonts w:hint="eastAsia" w:ascii="黑体" w:hAnsi="黑体" w:eastAsia="黑体"/>
              <w:b/>
              <w:color w:val="auto"/>
              <w:highlight w:val="none"/>
            </w:rPr>
            <w:fldChar w:fldCharType="begin"/>
          </w:r>
          <w:r>
            <w:rPr>
              <w:rFonts w:hint="eastAsia" w:ascii="黑体" w:hAnsi="黑体" w:eastAsia="黑体"/>
              <w:b/>
              <w:highlight w:val="none"/>
            </w:rPr>
            <w:instrText xml:space="preserve"> HYPERLINK \l _Toc975 </w:instrText>
          </w:r>
          <w:r>
            <w:rPr>
              <w:rFonts w:hint="eastAsia" w:ascii="黑体" w:hAnsi="黑体" w:eastAsia="黑体"/>
              <w:b/>
              <w:highlight w:val="none"/>
            </w:rPr>
            <w:fldChar w:fldCharType="separate"/>
          </w:r>
          <w:r>
            <w:rPr>
              <w:rFonts w:hint="eastAsia" w:ascii="黑体" w:hAnsi="黑体" w:eastAsia="黑体"/>
              <w:b/>
              <w:highlight w:val="none"/>
            </w:rPr>
            <w:t xml:space="preserve">第一部分 </w:t>
          </w:r>
          <w:r>
            <w:rPr>
              <w:rFonts w:hint="eastAsia" w:ascii="黑体" w:hAnsi="黑体" w:eastAsia="黑体"/>
              <w:b/>
              <w:bCs w:val="0"/>
              <w:highlight w:val="none"/>
            </w:rPr>
            <w:t>部门概况</w:t>
          </w:r>
          <w:r>
            <w:rPr>
              <w:b/>
            </w:rPr>
            <w:tab/>
          </w:r>
          <w:r>
            <w:rPr>
              <w:b/>
            </w:rPr>
            <w:fldChar w:fldCharType="begin"/>
          </w:r>
          <w:r>
            <w:rPr>
              <w:b/>
            </w:rPr>
            <w:instrText xml:space="preserve"> PAGEREF _Toc975 \h </w:instrText>
          </w:r>
          <w:r>
            <w:rPr>
              <w:b/>
            </w:rPr>
            <w:fldChar w:fldCharType="separate"/>
          </w:r>
          <w:r>
            <w:rPr>
              <w:b/>
            </w:rPr>
            <w:t>1</w:t>
          </w:r>
          <w:r>
            <w:rPr>
              <w:b/>
            </w:rPr>
            <w:fldChar w:fldCharType="end"/>
          </w:r>
          <w:r>
            <w:rPr>
              <w:rFonts w:hint="eastAsia" w:ascii="黑体" w:hAnsi="黑体" w:eastAsia="黑体"/>
              <w:b/>
              <w:color w:val="auto"/>
              <w:highlight w:val="none"/>
            </w:rPr>
            <w:fldChar w:fldCharType="end"/>
          </w:r>
        </w:p>
        <w:p>
          <w:pPr>
            <w:pStyle w:val="37"/>
            <w:tabs>
              <w:tab w:val="right" w:leader="dot" w:pos="8845"/>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_Toc19559 </w:instrText>
          </w:r>
          <w:r>
            <w:rPr>
              <w:rFonts w:hint="eastAsia" w:ascii="黑体" w:hAnsi="黑体" w:eastAsia="黑体"/>
              <w:highlight w:val="none"/>
            </w:rPr>
            <w:fldChar w:fldCharType="separate"/>
          </w:r>
          <w:r>
            <w:rPr>
              <w:rFonts w:hint="eastAsia" w:ascii="仿宋" w:hAnsi="仿宋" w:eastAsia="仿宋"/>
              <w:bCs/>
              <w:szCs w:val="32"/>
            </w:rPr>
            <w:t xml:space="preserve">一、 </w:t>
          </w:r>
          <w:r>
            <w:rPr>
              <w:rFonts w:hint="eastAsia" w:ascii="黑体" w:hAnsi="黑体" w:eastAsia="黑体"/>
              <w:highlight w:val="none"/>
              <w:lang w:eastAsia="zh-CN"/>
            </w:rPr>
            <w:t>部门职责</w:t>
          </w:r>
          <w:r>
            <w:tab/>
          </w:r>
          <w:r>
            <w:fldChar w:fldCharType="begin"/>
          </w:r>
          <w:r>
            <w:instrText xml:space="preserve"> PAGEREF _Toc19559 \h </w:instrText>
          </w:r>
          <w:r>
            <w:fldChar w:fldCharType="separate"/>
          </w:r>
          <w:r>
            <w:t>1</w:t>
          </w:r>
          <w:r>
            <w:fldChar w:fldCharType="end"/>
          </w:r>
          <w:r>
            <w:rPr>
              <w:rFonts w:hint="eastAsia" w:ascii="黑体" w:hAnsi="黑体" w:eastAsia="黑体"/>
              <w:color w:val="auto"/>
              <w:highlight w:val="none"/>
            </w:rPr>
            <w:fldChar w:fldCharType="end"/>
          </w:r>
        </w:p>
        <w:p>
          <w:pPr>
            <w:pStyle w:val="37"/>
            <w:tabs>
              <w:tab w:val="right" w:leader="dot" w:pos="8845"/>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_Toc12536 </w:instrText>
          </w:r>
          <w:r>
            <w:rPr>
              <w:rFonts w:hint="eastAsia" w:ascii="黑体" w:hAnsi="黑体" w:eastAsia="黑体"/>
              <w:highlight w:val="none"/>
            </w:rPr>
            <w:fldChar w:fldCharType="separate"/>
          </w:r>
          <w:r>
            <w:rPr>
              <w:rFonts w:hint="eastAsia" w:ascii="黑体" w:eastAsia="黑体"/>
              <w:highlight w:val="none"/>
            </w:rPr>
            <w:t>二、</w:t>
          </w:r>
          <w:r>
            <w:rPr>
              <w:rFonts w:hint="eastAsia" w:ascii="黑体" w:hAnsi="黑体" w:eastAsia="黑体"/>
              <w:highlight w:val="none"/>
            </w:rPr>
            <w:t>机</w:t>
          </w:r>
          <w:r>
            <w:rPr>
              <w:rFonts w:hint="eastAsia" w:ascii="黑体" w:hAnsi="黑体" w:eastAsia="黑体"/>
              <w:bCs w:val="0"/>
              <w:highlight w:val="none"/>
            </w:rPr>
            <w:t>构设置</w:t>
          </w:r>
          <w:r>
            <w:tab/>
          </w:r>
          <w:r>
            <w:fldChar w:fldCharType="begin"/>
          </w:r>
          <w:r>
            <w:instrText xml:space="preserve"> PAGEREF _Toc12536 \h </w:instrText>
          </w:r>
          <w:r>
            <w:fldChar w:fldCharType="separate"/>
          </w:r>
          <w:r>
            <w:t>4</w:t>
          </w:r>
          <w:r>
            <w:fldChar w:fldCharType="end"/>
          </w:r>
          <w:r>
            <w:rPr>
              <w:rFonts w:hint="eastAsia" w:ascii="黑体" w:hAnsi="黑体" w:eastAsia="黑体"/>
              <w:color w:val="auto"/>
              <w:highlight w:val="none"/>
            </w:rPr>
            <w:fldChar w:fldCharType="end"/>
          </w:r>
        </w:p>
        <w:p>
          <w:pPr>
            <w:pStyle w:val="36"/>
            <w:tabs>
              <w:tab w:val="right" w:leader="dot" w:pos="8845"/>
            </w:tabs>
            <w:rPr>
              <w:b/>
            </w:rPr>
          </w:pPr>
          <w:r>
            <w:rPr>
              <w:rFonts w:hint="eastAsia" w:ascii="黑体" w:hAnsi="黑体" w:eastAsia="黑体"/>
              <w:b/>
              <w:color w:val="auto"/>
              <w:highlight w:val="none"/>
            </w:rPr>
            <w:fldChar w:fldCharType="begin"/>
          </w:r>
          <w:r>
            <w:rPr>
              <w:rFonts w:hint="eastAsia" w:ascii="黑体" w:hAnsi="黑体" w:eastAsia="黑体"/>
              <w:b/>
              <w:highlight w:val="none"/>
            </w:rPr>
            <w:instrText xml:space="preserve"> HYPERLINK \l _Toc14315 </w:instrText>
          </w:r>
          <w:r>
            <w:rPr>
              <w:rFonts w:hint="eastAsia" w:ascii="黑体" w:hAnsi="黑体" w:eastAsia="黑体"/>
              <w:b/>
              <w:highlight w:val="none"/>
            </w:rPr>
            <w:fldChar w:fldCharType="separate"/>
          </w:r>
          <w:r>
            <w:rPr>
              <w:rFonts w:hint="eastAsia" w:ascii="黑体" w:hAnsi="黑体" w:eastAsia="黑体"/>
              <w:b/>
              <w:bCs/>
            </w:rPr>
            <w:t xml:space="preserve">第二部分 </w:t>
          </w:r>
          <w:r>
            <w:rPr>
              <w:rFonts w:hint="eastAsia" w:ascii="黑体" w:hAnsi="黑体" w:eastAsia="黑体"/>
              <w:b/>
              <w:bCs/>
              <w:highlight w:val="none"/>
              <w:lang w:val="en-US" w:eastAsia="zh-CN"/>
            </w:rPr>
            <w:t>2022年度</w:t>
          </w:r>
          <w:r>
            <w:rPr>
              <w:rFonts w:hint="eastAsia" w:ascii="黑体" w:hAnsi="黑体" w:eastAsia="黑体"/>
              <w:b/>
              <w:bCs/>
              <w:highlight w:val="none"/>
            </w:rPr>
            <w:t>部门决算情况说明</w:t>
          </w:r>
          <w:r>
            <w:rPr>
              <w:b/>
            </w:rPr>
            <w:tab/>
          </w:r>
          <w:r>
            <w:rPr>
              <w:b/>
            </w:rPr>
            <w:fldChar w:fldCharType="begin"/>
          </w:r>
          <w:r>
            <w:rPr>
              <w:b/>
            </w:rPr>
            <w:instrText xml:space="preserve"> PAGEREF _Toc14315 \h </w:instrText>
          </w:r>
          <w:r>
            <w:rPr>
              <w:b/>
            </w:rPr>
            <w:fldChar w:fldCharType="separate"/>
          </w:r>
          <w:r>
            <w:rPr>
              <w:b/>
            </w:rPr>
            <w:t>5</w:t>
          </w:r>
          <w:r>
            <w:rPr>
              <w:b/>
            </w:rPr>
            <w:fldChar w:fldCharType="end"/>
          </w:r>
          <w:r>
            <w:rPr>
              <w:rFonts w:hint="eastAsia" w:ascii="黑体" w:hAnsi="黑体" w:eastAsia="黑体"/>
              <w:b/>
              <w:color w:val="auto"/>
              <w:highlight w:val="none"/>
            </w:rPr>
            <w:fldChar w:fldCharType="end"/>
          </w:r>
        </w:p>
        <w:p>
          <w:pPr>
            <w:pStyle w:val="37"/>
            <w:tabs>
              <w:tab w:val="right" w:leader="dot" w:pos="8845"/>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_Toc30221 </w:instrText>
          </w:r>
          <w:r>
            <w:rPr>
              <w:rFonts w:hint="eastAsia" w:ascii="黑体" w:hAnsi="黑体" w:eastAsia="黑体"/>
              <w:highlight w:val="none"/>
            </w:rP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_Toc30221 \h </w:instrText>
          </w:r>
          <w:r>
            <w:fldChar w:fldCharType="separate"/>
          </w:r>
          <w:r>
            <w:t>5</w:t>
          </w:r>
          <w:r>
            <w:fldChar w:fldCharType="end"/>
          </w:r>
          <w:r>
            <w:rPr>
              <w:rFonts w:hint="eastAsia" w:ascii="黑体" w:hAnsi="黑体" w:eastAsia="黑体"/>
              <w:color w:val="auto"/>
              <w:highlight w:val="none"/>
            </w:rPr>
            <w:fldChar w:fldCharType="end"/>
          </w:r>
        </w:p>
        <w:p>
          <w:pPr>
            <w:pStyle w:val="37"/>
            <w:tabs>
              <w:tab w:val="right" w:leader="dot" w:pos="8845"/>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_Toc12266 </w:instrText>
          </w:r>
          <w:r>
            <w:rPr>
              <w:rFonts w:hint="eastAsia" w:ascii="黑体" w:hAnsi="黑体" w:eastAsia="黑体"/>
              <w:highlight w:val="none"/>
            </w:rPr>
            <w:fldChar w:fldCharType="separate"/>
          </w:r>
          <w:r>
            <w:rPr>
              <w:rFonts w:hint="default" w:ascii="黑体" w:hAnsi="黑体" w:eastAsia="黑体"/>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_Toc12266 \h </w:instrText>
          </w:r>
          <w:r>
            <w:fldChar w:fldCharType="separate"/>
          </w:r>
          <w:r>
            <w:t>5</w:t>
          </w:r>
          <w:r>
            <w:fldChar w:fldCharType="end"/>
          </w:r>
          <w:r>
            <w:rPr>
              <w:rFonts w:hint="eastAsia" w:ascii="黑体" w:hAnsi="黑体" w:eastAsia="黑体"/>
              <w:color w:val="auto"/>
              <w:highlight w:val="none"/>
            </w:rPr>
            <w:fldChar w:fldCharType="end"/>
          </w:r>
        </w:p>
        <w:p>
          <w:pPr>
            <w:pStyle w:val="37"/>
            <w:tabs>
              <w:tab w:val="right" w:leader="dot" w:pos="8845"/>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_Toc22410 </w:instrText>
          </w:r>
          <w:r>
            <w:rPr>
              <w:rFonts w:hint="eastAsia" w:ascii="黑体" w:hAnsi="黑体" w:eastAsia="黑体"/>
              <w:highlight w:val="none"/>
            </w:rPr>
            <w:fldChar w:fldCharType="separate"/>
          </w:r>
          <w:r>
            <w:rPr>
              <w:rFonts w:hint="default" w:ascii="黑体" w:hAnsi="黑体" w:eastAsia="黑体"/>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_Toc22410 \h </w:instrText>
          </w:r>
          <w:r>
            <w:fldChar w:fldCharType="separate"/>
          </w:r>
          <w:r>
            <w:t>6</w:t>
          </w:r>
          <w:r>
            <w:fldChar w:fldCharType="end"/>
          </w:r>
          <w:r>
            <w:rPr>
              <w:rFonts w:hint="eastAsia" w:ascii="黑体" w:hAnsi="黑体" w:eastAsia="黑体"/>
              <w:color w:val="auto"/>
              <w:highlight w:val="none"/>
            </w:rPr>
            <w:fldChar w:fldCharType="end"/>
          </w:r>
        </w:p>
        <w:p>
          <w:pPr>
            <w:pStyle w:val="37"/>
            <w:tabs>
              <w:tab w:val="right" w:leader="dot" w:pos="8845"/>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_Toc18839 </w:instrText>
          </w:r>
          <w:r>
            <w:rPr>
              <w:rFonts w:hint="eastAsia" w:ascii="黑体" w:hAnsi="黑体" w:eastAsia="黑体"/>
              <w:highlight w:val="none"/>
            </w:rP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_Toc18839 \h </w:instrText>
          </w:r>
          <w:r>
            <w:fldChar w:fldCharType="separate"/>
          </w:r>
          <w:r>
            <w:t>6</w:t>
          </w:r>
          <w:r>
            <w:fldChar w:fldCharType="end"/>
          </w:r>
          <w:r>
            <w:rPr>
              <w:rFonts w:hint="eastAsia" w:ascii="黑体" w:hAnsi="黑体" w:eastAsia="黑体"/>
              <w:color w:val="auto"/>
              <w:highlight w:val="none"/>
            </w:rPr>
            <w:fldChar w:fldCharType="end"/>
          </w:r>
        </w:p>
        <w:p>
          <w:pPr>
            <w:pStyle w:val="37"/>
            <w:tabs>
              <w:tab w:val="right" w:leader="dot" w:pos="8845"/>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_Toc11445 </w:instrText>
          </w:r>
          <w:r>
            <w:rPr>
              <w:rFonts w:hint="eastAsia" w:ascii="黑体" w:hAnsi="黑体" w:eastAsia="黑体"/>
              <w:highlight w:val="none"/>
            </w:rP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fldChar w:fldCharType="begin"/>
          </w:r>
          <w:r>
            <w:instrText xml:space="preserve"> PAGEREF _Toc11445 \h </w:instrText>
          </w:r>
          <w:r>
            <w:fldChar w:fldCharType="separate"/>
          </w:r>
          <w:r>
            <w:t>7</w:t>
          </w:r>
          <w:r>
            <w:fldChar w:fldCharType="end"/>
          </w:r>
          <w:r>
            <w:rPr>
              <w:rFonts w:hint="eastAsia" w:ascii="黑体" w:hAnsi="黑体" w:eastAsia="黑体"/>
              <w:color w:val="auto"/>
              <w:highlight w:val="none"/>
            </w:rPr>
            <w:fldChar w:fldCharType="end"/>
          </w:r>
        </w:p>
        <w:p>
          <w:pPr>
            <w:pStyle w:val="37"/>
            <w:tabs>
              <w:tab w:val="right" w:leader="dot" w:pos="8845"/>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_Toc26955 </w:instrText>
          </w:r>
          <w:r>
            <w:rPr>
              <w:rFonts w:hint="eastAsia" w:ascii="黑体" w:hAnsi="黑体" w:eastAsia="黑体"/>
              <w:highlight w:val="none"/>
            </w:rP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_Toc26955 \h </w:instrText>
          </w:r>
          <w:r>
            <w:fldChar w:fldCharType="separate"/>
          </w:r>
          <w:r>
            <w:t>11</w:t>
          </w:r>
          <w:r>
            <w:fldChar w:fldCharType="end"/>
          </w:r>
          <w:r>
            <w:rPr>
              <w:rFonts w:hint="eastAsia" w:ascii="黑体" w:hAnsi="黑体" w:eastAsia="黑体"/>
              <w:color w:val="auto"/>
              <w:highlight w:val="none"/>
            </w:rPr>
            <w:fldChar w:fldCharType="end"/>
          </w:r>
        </w:p>
        <w:p>
          <w:pPr>
            <w:pStyle w:val="37"/>
            <w:tabs>
              <w:tab w:val="right" w:leader="dot" w:pos="8845"/>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_Toc30887 </w:instrText>
          </w:r>
          <w:r>
            <w:rPr>
              <w:rFonts w:hint="eastAsia" w:ascii="黑体" w:hAnsi="黑体" w:eastAsia="黑体"/>
              <w:highlight w:val="none"/>
            </w:rPr>
            <w:fldChar w:fldCharType="separate"/>
          </w:r>
          <w:r>
            <w:rPr>
              <w:rFonts w:hint="eastAsia" w:ascii="黑体" w:eastAsia="黑体"/>
              <w:szCs w:val="32"/>
              <w:highlight w:val="none"/>
            </w:rPr>
            <w:t>七、</w:t>
          </w:r>
          <w:r>
            <w:rPr>
              <w:rFonts w:hint="eastAsia" w:ascii="黑体" w:hAnsi="黑体" w:eastAsia="黑体"/>
              <w:highlight w:val="none"/>
            </w:rPr>
            <w:t>财政拨款“三公”经费支出决算情况说明</w:t>
          </w:r>
          <w:r>
            <w:tab/>
          </w:r>
          <w:r>
            <w:fldChar w:fldCharType="begin"/>
          </w:r>
          <w:r>
            <w:instrText xml:space="preserve"> PAGEREF _Toc30887 \h </w:instrText>
          </w:r>
          <w:r>
            <w:fldChar w:fldCharType="separate"/>
          </w:r>
          <w:r>
            <w:t>12</w:t>
          </w:r>
          <w:r>
            <w:fldChar w:fldCharType="end"/>
          </w:r>
          <w:r>
            <w:rPr>
              <w:rFonts w:hint="eastAsia" w:ascii="黑体" w:hAnsi="黑体" w:eastAsia="黑体"/>
              <w:color w:val="auto"/>
              <w:highlight w:val="none"/>
            </w:rPr>
            <w:fldChar w:fldCharType="end"/>
          </w:r>
        </w:p>
        <w:p>
          <w:pPr>
            <w:pStyle w:val="37"/>
            <w:tabs>
              <w:tab w:val="right" w:leader="dot" w:pos="8845"/>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_Toc22124 </w:instrText>
          </w:r>
          <w:r>
            <w:rPr>
              <w:rFonts w:hint="eastAsia" w:ascii="黑体" w:hAnsi="黑体" w:eastAsia="黑体"/>
              <w:highlight w:val="none"/>
            </w:rP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_Toc22124 \h </w:instrText>
          </w:r>
          <w:r>
            <w:fldChar w:fldCharType="separate"/>
          </w:r>
          <w:r>
            <w:t>14</w:t>
          </w:r>
          <w:r>
            <w:fldChar w:fldCharType="end"/>
          </w:r>
          <w:r>
            <w:rPr>
              <w:rFonts w:hint="eastAsia" w:ascii="黑体" w:hAnsi="黑体" w:eastAsia="黑体"/>
              <w:color w:val="auto"/>
              <w:highlight w:val="none"/>
            </w:rPr>
            <w:fldChar w:fldCharType="end"/>
          </w:r>
        </w:p>
        <w:p>
          <w:pPr>
            <w:pStyle w:val="37"/>
            <w:tabs>
              <w:tab w:val="right" w:leader="dot" w:pos="8845"/>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_Toc18435 </w:instrText>
          </w:r>
          <w:r>
            <w:rPr>
              <w:rFonts w:hint="eastAsia" w:ascii="黑体" w:hAnsi="黑体" w:eastAsia="黑体"/>
              <w:highlight w:val="none"/>
            </w:rPr>
            <w:fldChar w:fldCharType="separate"/>
          </w:r>
          <w:r>
            <w:rPr>
              <w:rFonts w:hint="eastAsia" w:ascii="黑体" w:hAnsi="黑体" w:eastAsia="黑体"/>
            </w:rPr>
            <w:t xml:space="preserve">九、 </w:t>
          </w:r>
          <w:r>
            <w:rPr>
              <w:rFonts w:hint="eastAsia" w:ascii="黑体" w:hAnsi="黑体" w:eastAsia="黑体"/>
              <w:highlight w:val="none"/>
            </w:rPr>
            <w:t>国有资本经营预算支出决算情况说明</w:t>
          </w:r>
          <w:r>
            <w:tab/>
          </w:r>
          <w:r>
            <w:fldChar w:fldCharType="begin"/>
          </w:r>
          <w:r>
            <w:instrText xml:space="preserve"> PAGEREF _Toc18435 \h </w:instrText>
          </w:r>
          <w:r>
            <w:fldChar w:fldCharType="separate"/>
          </w:r>
          <w:r>
            <w:t>14</w:t>
          </w:r>
          <w:r>
            <w:fldChar w:fldCharType="end"/>
          </w:r>
          <w:r>
            <w:rPr>
              <w:rFonts w:hint="eastAsia" w:ascii="黑体" w:hAnsi="黑体" w:eastAsia="黑体"/>
              <w:color w:val="auto"/>
              <w:highlight w:val="none"/>
            </w:rPr>
            <w:fldChar w:fldCharType="end"/>
          </w:r>
        </w:p>
        <w:p>
          <w:pPr>
            <w:pStyle w:val="37"/>
            <w:tabs>
              <w:tab w:val="right" w:leader="dot" w:pos="8845"/>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_Toc1853 </w:instrText>
          </w:r>
          <w:r>
            <w:rPr>
              <w:rFonts w:hint="eastAsia" w:ascii="黑体" w:hAnsi="黑体" w:eastAsia="黑体"/>
              <w:highlight w:val="none"/>
            </w:rPr>
            <w:fldChar w:fldCharType="separate"/>
          </w:r>
          <w:r>
            <w:rPr>
              <w:rFonts w:hint="eastAsia" w:ascii="黑体" w:hAnsi="黑体" w:eastAsia="黑体"/>
            </w:rPr>
            <w:t xml:space="preserve">十、 </w:t>
          </w:r>
          <w:r>
            <w:rPr>
              <w:rFonts w:hint="eastAsia" w:ascii="黑体" w:hAnsi="黑体" w:eastAsia="黑体"/>
              <w:highlight w:val="none"/>
            </w:rPr>
            <w:t>其他重要事项的情况说明</w:t>
          </w:r>
          <w:r>
            <w:tab/>
          </w:r>
          <w:r>
            <w:fldChar w:fldCharType="begin"/>
          </w:r>
          <w:r>
            <w:instrText xml:space="preserve"> PAGEREF _Toc1853 \h </w:instrText>
          </w:r>
          <w:r>
            <w:fldChar w:fldCharType="separate"/>
          </w:r>
          <w:r>
            <w:t>14</w:t>
          </w:r>
          <w:r>
            <w:fldChar w:fldCharType="end"/>
          </w:r>
          <w:r>
            <w:rPr>
              <w:rFonts w:hint="eastAsia" w:ascii="黑体" w:hAnsi="黑体" w:eastAsia="黑体"/>
              <w:color w:val="auto"/>
              <w:highlight w:val="none"/>
            </w:rPr>
            <w:fldChar w:fldCharType="end"/>
          </w:r>
        </w:p>
        <w:p>
          <w:pPr>
            <w:pStyle w:val="36"/>
            <w:tabs>
              <w:tab w:val="right" w:leader="dot" w:pos="8845"/>
            </w:tabs>
            <w:rPr>
              <w:b/>
            </w:rPr>
          </w:pPr>
          <w:r>
            <w:rPr>
              <w:rFonts w:hint="eastAsia" w:ascii="黑体" w:hAnsi="黑体" w:eastAsia="黑体"/>
              <w:b/>
              <w:color w:val="auto"/>
              <w:highlight w:val="none"/>
            </w:rPr>
            <w:fldChar w:fldCharType="begin"/>
          </w:r>
          <w:r>
            <w:rPr>
              <w:rFonts w:hint="eastAsia" w:ascii="黑体" w:hAnsi="黑体" w:eastAsia="黑体"/>
              <w:b/>
              <w:highlight w:val="none"/>
            </w:rPr>
            <w:instrText xml:space="preserve"> HYPERLINK \l _Toc12159 </w:instrText>
          </w:r>
          <w:r>
            <w:rPr>
              <w:rFonts w:hint="eastAsia" w:ascii="黑体" w:hAnsi="黑体" w:eastAsia="黑体"/>
              <w:b/>
              <w:highlight w:val="none"/>
            </w:rPr>
            <w:fldChar w:fldCharType="separate"/>
          </w:r>
          <w:r>
            <w:rPr>
              <w:rFonts w:hint="eastAsia" w:ascii="黑体" w:hAnsi="黑体" w:eastAsia="黑体"/>
              <w:b/>
            </w:rPr>
            <w:t xml:space="preserve">第三部分 </w:t>
          </w:r>
          <w:r>
            <w:rPr>
              <w:rFonts w:hint="eastAsia" w:ascii="黑体" w:hAnsi="黑体" w:eastAsia="黑体"/>
              <w:b/>
              <w:szCs w:val="44"/>
              <w:highlight w:val="none"/>
            </w:rPr>
            <w:t>名</w:t>
          </w:r>
          <w:r>
            <w:rPr>
              <w:rFonts w:hint="eastAsia" w:ascii="黑体" w:hAnsi="黑体" w:eastAsia="黑体"/>
              <w:b/>
              <w:highlight w:val="none"/>
            </w:rPr>
            <w:t>词解释</w:t>
          </w:r>
          <w:r>
            <w:rPr>
              <w:b/>
            </w:rPr>
            <w:tab/>
          </w:r>
          <w:r>
            <w:rPr>
              <w:b/>
            </w:rPr>
            <w:fldChar w:fldCharType="begin"/>
          </w:r>
          <w:r>
            <w:rPr>
              <w:b/>
            </w:rPr>
            <w:instrText xml:space="preserve"> PAGEREF _Toc12159 \h </w:instrText>
          </w:r>
          <w:r>
            <w:rPr>
              <w:b/>
            </w:rPr>
            <w:fldChar w:fldCharType="separate"/>
          </w:r>
          <w:r>
            <w:rPr>
              <w:b/>
            </w:rPr>
            <w:t>17</w:t>
          </w:r>
          <w:r>
            <w:rPr>
              <w:b/>
            </w:rPr>
            <w:fldChar w:fldCharType="end"/>
          </w:r>
          <w:r>
            <w:rPr>
              <w:rFonts w:hint="eastAsia" w:ascii="黑体" w:hAnsi="黑体" w:eastAsia="黑体"/>
              <w:b/>
              <w:color w:val="auto"/>
              <w:highlight w:val="none"/>
            </w:rPr>
            <w:fldChar w:fldCharType="end"/>
          </w:r>
        </w:p>
        <w:p>
          <w:pPr>
            <w:pStyle w:val="36"/>
            <w:tabs>
              <w:tab w:val="right" w:leader="dot" w:pos="8845"/>
            </w:tabs>
            <w:rPr>
              <w:b/>
            </w:rPr>
          </w:pPr>
          <w:r>
            <w:rPr>
              <w:rFonts w:hint="eastAsia" w:ascii="黑体" w:hAnsi="黑体" w:eastAsia="黑体"/>
              <w:b/>
              <w:color w:val="auto"/>
              <w:highlight w:val="none"/>
            </w:rPr>
            <w:fldChar w:fldCharType="begin"/>
          </w:r>
          <w:r>
            <w:rPr>
              <w:rFonts w:hint="eastAsia" w:ascii="黑体" w:hAnsi="黑体" w:eastAsia="黑体"/>
              <w:b/>
              <w:highlight w:val="none"/>
            </w:rPr>
            <w:instrText xml:space="preserve"> HYPERLINK \l _Toc2214 </w:instrText>
          </w:r>
          <w:r>
            <w:rPr>
              <w:rFonts w:hint="eastAsia" w:ascii="黑体" w:hAnsi="黑体" w:eastAsia="黑体"/>
              <w:b/>
              <w:highlight w:val="none"/>
            </w:rPr>
            <w:fldChar w:fldCharType="separate"/>
          </w:r>
          <w:r>
            <w:rPr>
              <w:rFonts w:hint="eastAsia" w:ascii="黑体" w:hAnsi="黑体" w:eastAsia="黑体"/>
              <w:b/>
              <w:szCs w:val="44"/>
              <w:highlight w:val="none"/>
            </w:rPr>
            <w:t>第</w:t>
          </w:r>
          <w:r>
            <w:rPr>
              <w:rFonts w:hint="eastAsia" w:ascii="黑体" w:hAnsi="黑体" w:eastAsia="黑体"/>
              <w:b/>
              <w:highlight w:val="none"/>
            </w:rPr>
            <w:t>四部分 附件</w:t>
          </w:r>
          <w:r>
            <w:rPr>
              <w:b/>
            </w:rPr>
            <w:tab/>
          </w:r>
          <w:r>
            <w:rPr>
              <w:b/>
            </w:rPr>
            <w:fldChar w:fldCharType="begin"/>
          </w:r>
          <w:r>
            <w:rPr>
              <w:b/>
            </w:rPr>
            <w:instrText xml:space="preserve"> PAGEREF _Toc2214 \h </w:instrText>
          </w:r>
          <w:r>
            <w:rPr>
              <w:b/>
            </w:rPr>
            <w:fldChar w:fldCharType="separate"/>
          </w:r>
          <w:r>
            <w:rPr>
              <w:b/>
            </w:rPr>
            <w:t>22</w:t>
          </w:r>
          <w:r>
            <w:rPr>
              <w:b/>
            </w:rPr>
            <w:fldChar w:fldCharType="end"/>
          </w:r>
          <w:r>
            <w:rPr>
              <w:rFonts w:hint="eastAsia" w:ascii="黑体" w:hAnsi="黑体" w:eastAsia="黑体"/>
              <w:b/>
              <w:color w:val="auto"/>
              <w:highlight w:val="none"/>
            </w:rPr>
            <w:fldChar w:fldCharType="end"/>
          </w:r>
        </w:p>
        <w:p>
          <w:pPr>
            <w:pStyle w:val="37"/>
            <w:tabs>
              <w:tab w:val="right" w:leader="dot" w:pos="8845"/>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_Toc3747 </w:instrText>
          </w:r>
          <w:r>
            <w:rPr>
              <w:rFonts w:hint="eastAsia" w:ascii="黑体" w:hAnsi="黑体" w:eastAsia="黑体"/>
              <w:highlight w:val="none"/>
            </w:rPr>
            <w:fldChar w:fldCharType="separate"/>
          </w:r>
          <w:r>
            <w:rPr>
              <w:rFonts w:hint="eastAsia" w:ascii="黑体" w:hAnsi="黑体" w:eastAsia="黑体" w:cs="黑体"/>
              <w:szCs w:val="32"/>
              <w:highlight w:val="none"/>
            </w:rPr>
            <w:t>附件</w:t>
          </w:r>
          <w:r>
            <w:tab/>
          </w:r>
          <w:r>
            <w:fldChar w:fldCharType="begin"/>
          </w:r>
          <w:r>
            <w:instrText xml:space="preserve"> PAGEREF _Toc3747 \h </w:instrText>
          </w:r>
          <w:r>
            <w:fldChar w:fldCharType="separate"/>
          </w:r>
          <w:r>
            <w:t>22</w:t>
          </w:r>
          <w:r>
            <w:fldChar w:fldCharType="end"/>
          </w:r>
          <w:r>
            <w:rPr>
              <w:rFonts w:hint="eastAsia" w:ascii="黑体" w:hAnsi="黑体" w:eastAsia="黑体"/>
              <w:color w:val="auto"/>
              <w:highlight w:val="none"/>
            </w:rPr>
            <w:fldChar w:fldCharType="end"/>
          </w:r>
        </w:p>
        <w:p>
          <w:pPr>
            <w:pStyle w:val="36"/>
            <w:tabs>
              <w:tab w:val="right" w:leader="dot" w:pos="8845"/>
            </w:tabs>
            <w:rPr>
              <w:b/>
            </w:rPr>
          </w:pPr>
          <w:r>
            <w:rPr>
              <w:rFonts w:hint="eastAsia" w:ascii="黑体" w:hAnsi="黑体" w:eastAsia="黑体"/>
              <w:b/>
              <w:color w:val="auto"/>
              <w:highlight w:val="none"/>
            </w:rPr>
            <w:fldChar w:fldCharType="begin"/>
          </w:r>
          <w:r>
            <w:rPr>
              <w:rFonts w:hint="eastAsia" w:ascii="黑体" w:hAnsi="黑体" w:eastAsia="黑体"/>
              <w:b/>
              <w:highlight w:val="none"/>
            </w:rPr>
            <w:instrText xml:space="preserve"> HYPERLINK \l _Toc6944 </w:instrText>
          </w:r>
          <w:r>
            <w:rPr>
              <w:rFonts w:hint="eastAsia" w:ascii="黑体" w:hAnsi="黑体" w:eastAsia="黑体"/>
              <w:b/>
              <w:highlight w:val="none"/>
            </w:rPr>
            <w:fldChar w:fldCharType="separate"/>
          </w:r>
          <w:r>
            <w:rPr>
              <w:rFonts w:hint="eastAsia" w:ascii="黑体" w:hAnsi="黑体" w:eastAsia="黑体"/>
              <w:b/>
              <w:szCs w:val="44"/>
              <w:highlight w:val="none"/>
            </w:rPr>
            <w:t>第</w:t>
          </w:r>
          <w:r>
            <w:rPr>
              <w:rFonts w:hint="eastAsia" w:ascii="黑体" w:hAnsi="黑体" w:eastAsia="黑体"/>
              <w:b/>
              <w:highlight w:val="none"/>
            </w:rPr>
            <w:t>五部分 附表</w:t>
          </w:r>
          <w:r>
            <w:rPr>
              <w:b/>
            </w:rPr>
            <w:tab/>
          </w:r>
          <w:r>
            <w:rPr>
              <w:b/>
            </w:rPr>
            <w:fldChar w:fldCharType="begin"/>
          </w:r>
          <w:r>
            <w:rPr>
              <w:b/>
            </w:rPr>
            <w:instrText xml:space="preserve"> PAGEREF _Toc6944 \h </w:instrText>
          </w:r>
          <w:r>
            <w:rPr>
              <w:b/>
            </w:rPr>
            <w:fldChar w:fldCharType="separate"/>
          </w:r>
          <w:r>
            <w:rPr>
              <w:b/>
            </w:rPr>
            <w:t>77</w:t>
          </w:r>
          <w:r>
            <w:rPr>
              <w:b/>
            </w:rPr>
            <w:fldChar w:fldCharType="end"/>
          </w:r>
          <w:r>
            <w:rPr>
              <w:rFonts w:hint="eastAsia" w:ascii="黑体" w:hAnsi="黑体" w:eastAsia="黑体"/>
              <w:b/>
              <w:color w:val="auto"/>
              <w:highlight w:val="none"/>
            </w:rPr>
            <w:fldChar w:fldCharType="end"/>
          </w:r>
        </w:p>
        <w:p>
          <w:pPr>
            <w:pStyle w:val="37"/>
            <w:tabs>
              <w:tab w:val="right" w:leader="dot" w:pos="8845"/>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_Toc21412 </w:instrText>
          </w:r>
          <w:r>
            <w:rPr>
              <w:rFonts w:hint="eastAsia" w:ascii="黑体" w:hAnsi="黑体" w:eastAsia="黑体"/>
              <w:highlight w:val="none"/>
            </w:rPr>
            <w:fldChar w:fldCharType="separate"/>
          </w:r>
          <w:r>
            <w:rPr>
              <w:rFonts w:hint="eastAsia" w:ascii="黑体" w:hAnsi="黑体" w:eastAsia="黑体" w:cs="黑体"/>
              <w:bCs w:val="0"/>
              <w:highlight w:val="none"/>
              <w:lang w:val="en-US" w:eastAsia="zh-CN"/>
            </w:rPr>
            <w:t>一、收入支出决算总表</w:t>
          </w:r>
          <w:r>
            <w:tab/>
          </w:r>
          <w:r>
            <w:fldChar w:fldCharType="begin"/>
          </w:r>
          <w:r>
            <w:instrText xml:space="preserve"> PAGEREF _Toc21412 \h </w:instrText>
          </w:r>
          <w:r>
            <w:fldChar w:fldCharType="separate"/>
          </w:r>
          <w:r>
            <w:t>77</w:t>
          </w:r>
          <w:r>
            <w:fldChar w:fldCharType="end"/>
          </w:r>
          <w:r>
            <w:rPr>
              <w:rFonts w:hint="eastAsia" w:ascii="黑体" w:hAnsi="黑体" w:eastAsia="黑体"/>
              <w:color w:val="auto"/>
              <w:highlight w:val="none"/>
            </w:rPr>
            <w:fldChar w:fldCharType="end"/>
          </w:r>
        </w:p>
        <w:p>
          <w:pPr>
            <w:pStyle w:val="37"/>
            <w:tabs>
              <w:tab w:val="right" w:leader="dot" w:pos="8845"/>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_Toc9579 </w:instrText>
          </w:r>
          <w:r>
            <w:rPr>
              <w:rFonts w:hint="eastAsia" w:ascii="黑体" w:hAnsi="黑体" w:eastAsia="黑体"/>
              <w:highlight w:val="none"/>
            </w:rPr>
            <w:fldChar w:fldCharType="separate"/>
          </w:r>
          <w:r>
            <w:rPr>
              <w:rFonts w:hint="eastAsia" w:ascii="黑体" w:hAnsi="黑体" w:eastAsia="黑体" w:cs="黑体"/>
              <w:bCs w:val="0"/>
              <w:highlight w:val="none"/>
            </w:rPr>
            <w:t>二、收入决算表</w:t>
          </w:r>
          <w:r>
            <w:tab/>
          </w:r>
          <w:r>
            <w:fldChar w:fldCharType="begin"/>
          </w:r>
          <w:r>
            <w:instrText xml:space="preserve"> PAGEREF _Toc9579 \h </w:instrText>
          </w:r>
          <w:r>
            <w:fldChar w:fldCharType="separate"/>
          </w:r>
          <w:r>
            <w:t>77</w:t>
          </w:r>
          <w:r>
            <w:fldChar w:fldCharType="end"/>
          </w:r>
          <w:r>
            <w:rPr>
              <w:rFonts w:hint="eastAsia" w:ascii="黑体" w:hAnsi="黑体" w:eastAsia="黑体"/>
              <w:color w:val="auto"/>
              <w:highlight w:val="none"/>
            </w:rPr>
            <w:fldChar w:fldCharType="end"/>
          </w:r>
        </w:p>
        <w:p>
          <w:pPr>
            <w:pStyle w:val="37"/>
            <w:tabs>
              <w:tab w:val="right" w:leader="dot" w:pos="8845"/>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_Toc26320 </w:instrText>
          </w:r>
          <w:r>
            <w:rPr>
              <w:rFonts w:hint="eastAsia" w:ascii="黑体" w:hAnsi="黑体" w:eastAsia="黑体"/>
              <w:highlight w:val="none"/>
            </w:rPr>
            <w:fldChar w:fldCharType="separate"/>
          </w:r>
          <w:r>
            <w:rPr>
              <w:rFonts w:hint="eastAsia" w:ascii="黑体" w:hAnsi="黑体" w:eastAsia="黑体" w:cs="黑体"/>
              <w:bCs w:val="0"/>
              <w:highlight w:val="none"/>
            </w:rPr>
            <w:t>三、支出决算表</w:t>
          </w:r>
          <w:r>
            <w:tab/>
          </w:r>
          <w:r>
            <w:fldChar w:fldCharType="begin"/>
          </w:r>
          <w:r>
            <w:instrText xml:space="preserve"> PAGEREF _Toc26320 \h </w:instrText>
          </w:r>
          <w:r>
            <w:fldChar w:fldCharType="separate"/>
          </w:r>
          <w:r>
            <w:t>77</w:t>
          </w:r>
          <w:r>
            <w:fldChar w:fldCharType="end"/>
          </w:r>
          <w:r>
            <w:rPr>
              <w:rFonts w:hint="eastAsia" w:ascii="黑体" w:hAnsi="黑体" w:eastAsia="黑体"/>
              <w:color w:val="auto"/>
              <w:highlight w:val="none"/>
            </w:rPr>
            <w:fldChar w:fldCharType="end"/>
          </w:r>
        </w:p>
        <w:p>
          <w:pPr>
            <w:pStyle w:val="37"/>
            <w:tabs>
              <w:tab w:val="right" w:leader="dot" w:pos="8845"/>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_Toc17510 </w:instrText>
          </w:r>
          <w:r>
            <w:rPr>
              <w:rFonts w:hint="eastAsia" w:ascii="黑体" w:hAnsi="黑体" w:eastAsia="黑体"/>
              <w:highlight w:val="none"/>
            </w:rPr>
            <w:fldChar w:fldCharType="separate"/>
          </w:r>
          <w:r>
            <w:rPr>
              <w:rFonts w:hint="eastAsia" w:ascii="黑体" w:hAnsi="黑体" w:eastAsia="黑体" w:cs="黑体"/>
              <w:bCs w:val="0"/>
              <w:highlight w:val="none"/>
            </w:rPr>
            <w:t>四、</w:t>
          </w:r>
          <w:r>
            <w:rPr>
              <w:rFonts w:hint="eastAsia" w:ascii="黑体" w:hAnsi="黑体" w:eastAsia="黑体" w:cs="黑体"/>
              <w:highlight w:val="none"/>
            </w:rPr>
            <w:t>财</w:t>
          </w:r>
          <w:r>
            <w:rPr>
              <w:rFonts w:hint="eastAsia" w:ascii="黑体" w:hAnsi="黑体" w:eastAsia="黑体" w:cs="黑体"/>
              <w:bCs w:val="0"/>
              <w:highlight w:val="none"/>
            </w:rPr>
            <w:t>政拨款收入支出决算总表</w:t>
          </w:r>
          <w:r>
            <w:tab/>
          </w:r>
          <w:r>
            <w:fldChar w:fldCharType="begin"/>
          </w:r>
          <w:r>
            <w:instrText xml:space="preserve"> PAGEREF _Toc17510 \h </w:instrText>
          </w:r>
          <w:r>
            <w:fldChar w:fldCharType="separate"/>
          </w:r>
          <w:r>
            <w:t>77</w:t>
          </w:r>
          <w:r>
            <w:fldChar w:fldCharType="end"/>
          </w:r>
          <w:r>
            <w:rPr>
              <w:rFonts w:hint="eastAsia" w:ascii="黑体" w:hAnsi="黑体" w:eastAsia="黑体"/>
              <w:color w:val="auto"/>
              <w:highlight w:val="none"/>
            </w:rPr>
            <w:fldChar w:fldCharType="end"/>
          </w:r>
        </w:p>
        <w:p>
          <w:pPr>
            <w:pStyle w:val="37"/>
            <w:tabs>
              <w:tab w:val="right" w:leader="dot" w:pos="8845"/>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_Toc13443 </w:instrText>
          </w:r>
          <w:r>
            <w:rPr>
              <w:rFonts w:hint="eastAsia" w:ascii="黑体" w:hAnsi="黑体" w:eastAsia="黑体"/>
              <w:highlight w:val="none"/>
            </w:rPr>
            <w:fldChar w:fldCharType="separate"/>
          </w:r>
          <w:r>
            <w:rPr>
              <w:rFonts w:hint="eastAsia" w:ascii="黑体" w:hAnsi="黑体" w:eastAsia="黑体" w:cs="黑体"/>
              <w:bCs w:val="0"/>
              <w:highlight w:val="none"/>
            </w:rPr>
            <w:t>五、</w:t>
          </w:r>
          <w:r>
            <w:rPr>
              <w:rFonts w:hint="eastAsia" w:ascii="黑体" w:hAnsi="黑体" w:eastAsia="黑体" w:cs="黑体"/>
              <w:highlight w:val="none"/>
            </w:rPr>
            <w:t>财</w:t>
          </w:r>
          <w:r>
            <w:rPr>
              <w:rFonts w:hint="eastAsia" w:ascii="黑体" w:hAnsi="黑体" w:eastAsia="黑体" w:cs="黑体"/>
              <w:bCs w:val="0"/>
              <w:highlight w:val="none"/>
            </w:rPr>
            <w:t>政拨款支出决算明细表</w:t>
          </w:r>
          <w:r>
            <w:tab/>
          </w:r>
          <w:r>
            <w:fldChar w:fldCharType="begin"/>
          </w:r>
          <w:r>
            <w:instrText xml:space="preserve"> PAGEREF _Toc13443 \h </w:instrText>
          </w:r>
          <w:r>
            <w:fldChar w:fldCharType="separate"/>
          </w:r>
          <w:r>
            <w:t>77</w:t>
          </w:r>
          <w:r>
            <w:fldChar w:fldCharType="end"/>
          </w:r>
          <w:r>
            <w:rPr>
              <w:rFonts w:hint="eastAsia" w:ascii="黑体" w:hAnsi="黑体" w:eastAsia="黑体"/>
              <w:color w:val="auto"/>
              <w:highlight w:val="none"/>
            </w:rPr>
            <w:fldChar w:fldCharType="end"/>
          </w:r>
        </w:p>
        <w:p>
          <w:pPr>
            <w:pStyle w:val="37"/>
            <w:tabs>
              <w:tab w:val="right" w:leader="dot" w:pos="8845"/>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_Toc16129 </w:instrText>
          </w:r>
          <w:r>
            <w:rPr>
              <w:rFonts w:hint="eastAsia" w:ascii="黑体" w:hAnsi="黑体" w:eastAsia="黑体"/>
              <w:highlight w:val="none"/>
            </w:rPr>
            <w:fldChar w:fldCharType="separate"/>
          </w:r>
          <w:r>
            <w:rPr>
              <w:rFonts w:hint="eastAsia" w:ascii="黑体" w:hAnsi="黑体" w:eastAsia="黑体" w:cs="黑体"/>
              <w:bCs w:val="0"/>
              <w:highlight w:val="none"/>
            </w:rPr>
            <w:t>六、</w:t>
          </w:r>
          <w:r>
            <w:rPr>
              <w:rFonts w:hint="eastAsia" w:ascii="黑体" w:hAnsi="黑体" w:eastAsia="黑体" w:cs="黑体"/>
              <w:highlight w:val="none"/>
            </w:rPr>
            <w:t>一</w:t>
          </w:r>
          <w:r>
            <w:rPr>
              <w:rFonts w:hint="eastAsia" w:ascii="黑体" w:hAnsi="黑体" w:eastAsia="黑体" w:cs="黑体"/>
              <w:bCs w:val="0"/>
              <w:highlight w:val="none"/>
            </w:rPr>
            <w:t>般公共预算财政拨款支出决算表</w:t>
          </w:r>
          <w:r>
            <w:tab/>
          </w:r>
          <w:r>
            <w:fldChar w:fldCharType="begin"/>
          </w:r>
          <w:r>
            <w:instrText xml:space="preserve"> PAGEREF _Toc16129 \h </w:instrText>
          </w:r>
          <w:r>
            <w:fldChar w:fldCharType="separate"/>
          </w:r>
          <w:r>
            <w:t>77</w:t>
          </w:r>
          <w:r>
            <w:fldChar w:fldCharType="end"/>
          </w:r>
          <w:r>
            <w:rPr>
              <w:rFonts w:hint="eastAsia" w:ascii="黑体" w:hAnsi="黑体" w:eastAsia="黑体"/>
              <w:color w:val="auto"/>
              <w:highlight w:val="none"/>
            </w:rPr>
            <w:fldChar w:fldCharType="end"/>
          </w:r>
        </w:p>
        <w:p>
          <w:pPr>
            <w:pStyle w:val="37"/>
            <w:tabs>
              <w:tab w:val="right" w:leader="dot" w:pos="8845"/>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_Toc28344 </w:instrText>
          </w:r>
          <w:r>
            <w:rPr>
              <w:rFonts w:hint="eastAsia" w:ascii="黑体" w:hAnsi="黑体" w:eastAsia="黑体"/>
              <w:highlight w:val="none"/>
            </w:rPr>
            <w:fldChar w:fldCharType="separate"/>
          </w:r>
          <w:r>
            <w:rPr>
              <w:rFonts w:hint="eastAsia" w:ascii="黑体" w:hAnsi="黑体" w:eastAsia="黑体" w:cs="黑体"/>
              <w:bCs w:val="0"/>
              <w:highlight w:val="none"/>
            </w:rPr>
            <w:t>七、</w:t>
          </w:r>
          <w:r>
            <w:rPr>
              <w:rFonts w:hint="eastAsia" w:ascii="黑体" w:hAnsi="黑体" w:eastAsia="黑体" w:cs="黑体"/>
              <w:highlight w:val="none"/>
            </w:rPr>
            <w:t>一</w:t>
          </w:r>
          <w:r>
            <w:rPr>
              <w:rFonts w:hint="eastAsia" w:ascii="黑体" w:hAnsi="黑体" w:eastAsia="黑体" w:cs="黑体"/>
              <w:bCs w:val="0"/>
              <w:highlight w:val="none"/>
            </w:rPr>
            <w:t>般公共预算财政拨款支出决算明细表</w:t>
          </w:r>
          <w:r>
            <w:tab/>
          </w:r>
          <w:r>
            <w:fldChar w:fldCharType="begin"/>
          </w:r>
          <w:r>
            <w:instrText xml:space="preserve"> PAGEREF _Toc28344 \h </w:instrText>
          </w:r>
          <w:r>
            <w:fldChar w:fldCharType="separate"/>
          </w:r>
          <w:r>
            <w:t>77</w:t>
          </w:r>
          <w:r>
            <w:fldChar w:fldCharType="end"/>
          </w:r>
          <w:r>
            <w:rPr>
              <w:rFonts w:hint="eastAsia" w:ascii="黑体" w:hAnsi="黑体" w:eastAsia="黑体"/>
              <w:color w:val="auto"/>
              <w:highlight w:val="none"/>
            </w:rPr>
            <w:fldChar w:fldCharType="end"/>
          </w:r>
        </w:p>
        <w:p>
          <w:pPr>
            <w:pStyle w:val="37"/>
            <w:tabs>
              <w:tab w:val="right" w:leader="dot" w:pos="8845"/>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_Toc4841 </w:instrText>
          </w:r>
          <w:r>
            <w:rPr>
              <w:rFonts w:hint="eastAsia" w:ascii="黑体" w:hAnsi="黑体" w:eastAsia="黑体"/>
              <w:highlight w:val="none"/>
            </w:rPr>
            <w:fldChar w:fldCharType="separate"/>
          </w:r>
          <w:r>
            <w:rPr>
              <w:rFonts w:hint="eastAsia" w:ascii="黑体" w:hAnsi="黑体" w:eastAsia="黑体" w:cs="黑体"/>
              <w:bCs w:val="0"/>
              <w:highlight w:val="none"/>
            </w:rPr>
            <w:t>八、</w:t>
          </w:r>
          <w:r>
            <w:rPr>
              <w:rFonts w:hint="eastAsia" w:ascii="黑体" w:hAnsi="黑体" w:eastAsia="黑体" w:cs="黑体"/>
              <w:highlight w:val="none"/>
            </w:rPr>
            <w:t>一</w:t>
          </w:r>
          <w:r>
            <w:rPr>
              <w:rFonts w:hint="eastAsia" w:ascii="黑体" w:hAnsi="黑体" w:eastAsia="黑体" w:cs="黑体"/>
              <w:bCs w:val="0"/>
              <w:highlight w:val="none"/>
            </w:rPr>
            <w:t>般公共预算财政拨款基本支出决算表</w:t>
          </w:r>
          <w:r>
            <w:tab/>
          </w:r>
          <w:r>
            <w:fldChar w:fldCharType="begin"/>
          </w:r>
          <w:r>
            <w:instrText xml:space="preserve"> PAGEREF _Toc4841 \h </w:instrText>
          </w:r>
          <w:r>
            <w:fldChar w:fldCharType="separate"/>
          </w:r>
          <w:r>
            <w:t>77</w:t>
          </w:r>
          <w:r>
            <w:fldChar w:fldCharType="end"/>
          </w:r>
          <w:r>
            <w:rPr>
              <w:rFonts w:hint="eastAsia" w:ascii="黑体" w:hAnsi="黑体" w:eastAsia="黑体"/>
              <w:color w:val="auto"/>
              <w:highlight w:val="none"/>
            </w:rPr>
            <w:fldChar w:fldCharType="end"/>
          </w:r>
        </w:p>
        <w:p>
          <w:pPr>
            <w:pStyle w:val="37"/>
            <w:tabs>
              <w:tab w:val="right" w:leader="dot" w:pos="8845"/>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_Toc27014 </w:instrText>
          </w:r>
          <w:r>
            <w:rPr>
              <w:rFonts w:hint="eastAsia" w:ascii="黑体" w:hAnsi="黑体" w:eastAsia="黑体"/>
              <w:highlight w:val="none"/>
            </w:rPr>
            <w:fldChar w:fldCharType="separate"/>
          </w:r>
          <w:r>
            <w:rPr>
              <w:rFonts w:hint="eastAsia" w:ascii="黑体" w:hAnsi="黑体" w:eastAsia="黑体" w:cs="黑体"/>
              <w:bCs w:val="0"/>
              <w:highlight w:val="none"/>
            </w:rPr>
            <w:t>九、</w:t>
          </w:r>
          <w:r>
            <w:rPr>
              <w:rFonts w:hint="eastAsia" w:ascii="黑体" w:hAnsi="黑体" w:eastAsia="黑体" w:cs="黑体"/>
              <w:highlight w:val="none"/>
            </w:rPr>
            <w:t>一</w:t>
          </w:r>
          <w:r>
            <w:rPr>
              <w:rFonts w:hint="eastAsia" w:ascii="黑体" w:hAnsi="黑体" w:eastAsia="黑体" w:cs="黑体"/>
              <w:bCs w:val="0"/>
              <w:highlight w:val="none"/>
            </w:rPr>
            <w:t>般公共预算财政拨款项目支出决算表</w:t>
          </w:r>
          <w:r>
            <w:tab/>
          </w:r>
          <w:r>
            <w:fldChar w:fldCharType="begin"/>
          </w:r>
          <w:r>
            <w:instrText xml:space="preserve"> PAGEREF _Toc27014 \h </w:instrText>
          </w:r>
          <w:r>
            <w:fldChar w:fldCharType="separate"/>
          </w:r>
          <w:r>
            <w:t>77</w:t>
          </w:r>
          <w:r>
            <w:fldChar w:fldCharType="end"/>
          </w:r>
          <w:r>
            <w:rPr>
              <w:rFonts w:hint="eastAsia" w:ascii="黑体" w:hAnsi="黑体" w:eastAsia="黑体"/>
              <w:color w:val="auto"/>
              <w:highlight w:val="none"/>
            </w:rPr>
            <w:fldChar w:fldCharType="end"/>
          </w:r>
        </w:p>
        <w:p>
          <w:pPr>
            <w:pStyle w:val="37"/>
            <w:tabs>
              <w:tab w:val="right" w:leader="dot" w:pos="8845"/>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_Toc17554 </w:instrText>
          </w:r>
          <w:r>
            <w:rPr>
              <w:rFonts w:hint="eastAsia" w:ascii="黑体" w:hAnsi="黑体" w:eastAsia="黑体"/>
              <w:highlight w:val="none"/>
            </w:rPr>
            <w:fldChar w:fldCharType="separate"/>
          </w:r>
          <w:r>
            <w:rPr>
              <w:rFonts w:hint="eastAsia" w:ascii="黑体" w:hAnsi="黑体" w:eastAsia="黑体" w:cs="黑体"/>
              <w:bCs w:val="0"/>
              <w:highlight w:val="none"/>
            </w:rPr>
            <w:t>十、</w:t>
          </w:r>
          <w:r>
            <w:rPr>
              <w:rFonts w:hint="eastAsia" w:ascii="黑体" w:hAnsi="黑体" w:eastAsia="黑体" w:cs="黑体"/>
              <w:highlight w:val="none"/>
            </w:rPr>
            <w:t>政</w:t>
          </w:r>
          <w:r>
            <w:rPr>
              <w:rFonts w:hint="eastAsia" w:ascii="黑体" w:hAnsi="黑体" w:eastAsia="黑体" w:cs="黑体"/>
              <w:bCs w:val="0"/>
              <w:highlight w:val="none"/>
            </w:rPr>
            <w:t>府性基金预算财政拨款收入支出决算表</w:t>
          </w:r>
          <w:r>
            <w:tab/>
          </w:r>
          <w:r>
            <w:fldChar w:fldCharType="begin"/>
          </w:r>
          <w:r>
            <w:instrText xml:space="preserve"> PAGEREF _Toc17554 \h </w:instrText>
          </w:r>
          <w:r>
            <w:fldChar w:fldCharType="separate"/>
          </w:r>
          <w:r>
            <w:t>77</w:t>
          </w:r>
          <w:r>
            <w:fldChar w:fldCharType="end"/>
          </w:r>
          <w:r>
            <w:rPr>
              <w:rFonts w:hint="eastAsia" w:ascii="黑体" w:hAnsi="黑体" w:eastAsia="黑体"/>
              <w:color w:val="auto"/>
              <w:highlight w:val="none"/>
            </w:rPr>
            <w:fldChar w:fldCharType="end"/>
          </w:r>
        </w:p>
        <w:p>
          <w:pPr>
            <w:pStyle w:val="37"/>
            <w:tabs>
              <w:tab w:val="right" w:leader="dot" w:pos="8845"/>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_Toc23928 </w:instrText>
          </w:r>
          <w:r>
            <w:rPr>
              <w:rFonts w:hint="eastAsia" w:ascii="黑体" w:hAnsi="黑体" w:eastAsia="黑体"/>
              <w:highlight w:val="none"/>
            </w:rPr>
            <w:fldChar w:fldCharType="separate"/>
          </w:r>
          <w:r>
            <w:rPr>
              <w:rFonts w:hint="eastAsia" w:ascii="黑体" w:hAnsi="黑体" w:eastAsia="黑体" w:cs="黑体"/>
              <w:bCs w:val="0"/>
              <w:highlight w:val="none"/>
            </w:rPr>
            <w:t>十一、</w:t>
          </w:r>
          <w:r>
            <w:rPr>
              <w:rFonts w:hint="eastAsia" w:ascii="黑体" w:hAnsi="黑体" w:eastAsia="黑体" w:cs="黑体"/>
              <w:highlight w:val="none"/>
            </w:rPr>
            <w:t>国</w:t>
          </w:r>
          <w:r>
            <w:rPr>
              <w:rFonts w:hint="eastAsia" w:ascii="黑体" w:hAnsi="黑体" w:eastAsia="黑体" w:cs="黑体"/>
              <w:bCs w:val="0"/>
              <w:highlight w:val="none"/>
            </w:rPr>
            <w:t>有资本经营预算</w:t>
          </w:r>
          <w:r>
            <w:rPr>
              <w:rFonts w:hint="eastAsia" w:ascii="黑体" w:hAnsi="黑体" w:eastAsia="黑体" w:cs="黑体"/>
              <w:bCs w:val="0"/>
              <w:highlight w:val="none"/>
              <w:lang w:eastAsia="zh-CN"/>
            </w:rPr>
            <w:t>财政拨款收入</w:t>
          </w:r>
          <w:r>
            <w:rPr>
              <w:rFonts w:hint="eastAsia" w:ascii="黑体" w:hAnsi="黑体" w:eastAsia="黑体" w:cs="黑体"/>
              <w:bCs w:val="0"/>
              <w:highlight w:val="none"/>
            </w:rPr>
            <w:t>支出决算表</w:t>
          </w:r>
          <w:r>
            <w:tab/>
          </w:r>
          <w:r>
            <w:fldChar w:fldCharType="begin"/>
          </w:r>
          <w:r>
            <w:instrText xml:space="preserve"> PAGEREF _Toc23928 \h </w:instrText>
          </w:r>
          <w:r>
            <w:fldChar w:fldCharType="separate"/>
          </w:r>
          <w:r>
            <w:t>77</w:t>
          </w:r>
          <w:r>
            <w:fldChar w:fldCharType="end"/>
          </w:r>
          <w:r>
            <w:rPr>
              <w:rFonts w:hint="eastAsia" w:ascii="黑体" w:hAnsi="黑体" w:eastAsia="黑体"/>
              <w:color w:val="auto"/>
              <w:highlight w:val="none"/>
            </w:rPr>
            <w:fldChar w:fldCharType="end"/>
          </w:r>
        </w:p>
        <w:p>
          <w:pPr>
            <w:pStyle w:val="37"/>
            <w:tabs>
              <w:tab w:val="right" w:leader="dot" w:pos="8845"/>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_Toc152 </w:instrText>
          </w:r>
          <w:r>
            <w:rPr>
              <w:rFonts w:hint="eastAsia" w:ascii="黑体" w:hAnsi="黑体" w:eastAsia="黑体"/>
              <w:highlight w:val="none"/>
            </w:rPr>
            <w:fldChar w:fldCharType="separate"/>
          </w:r>
          <w:r>
            <w:rPr>
              <w:rFonts w:hint="eastAsia" w:ascii="黑体" w:hAnsi="黑体" w:eastAsia="黑体" w:cs="黑体"/>
              <w:bCs w:val="0"/>
              <w:highlight w:val="none"/>
            </w:rPr>
            <w:t>十二、</w:t>
          </w:r>
          <w:r>
            <w:rPr>
              <w:rFonts w:hint="eastAsia" w:ascii="黑体" w:hAnsi="黑体" w:eastAsia="黑体" w:cs="黑体"/>
              <w:bCs w:val="0"/>
              <w:highlight w:val="none"/>
              <w:lang w:eastAsia="zh-CN"/>
            </w:rPr>
            <w:t>国有资本经营预算财政拨款支出决算表</w:t>
          </w:r>
          <w:r>
            <w:tab/>
          </w:r>
          <w:r>
            <w:fldChar w:fldCharType="begin"/>
          </w:r>
          <w:r>
            <w:instrText xml:space="preserve"> PAGEREF _Toc152 \h </w:instrText>
          </w:r>
          <w:r>
            <w:fldChar w:fldCharType="separate"/>
          </w:r>
          <w:r>
            <w:t>77</w:t>
          </w:r>
          <w:r>
            <w:fldChar w:fldCharType="end"/>
          </w:r>
          <w:r>
            <w:rPr>
              <w:rFonts w:hint="eastAsia" w:ascii="黑体" w:hAnsi="黑体" w:eastAsia="黑体"/>
              <w:color w:val="auto"/>
              <w:highlight w:val="none"/>
            </w:rPr>
            <w:fldChar w:fldCharType="end"/>
          </w:r>
        </w:p>
        <w:p>
          <w:pPr>
            <w:pStyle w:val="37"/>
            <w:tabs>
              <w:tab w:val="right" w:leader="dot" w:pos="8845"/>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_Toc18932 </w:instrText>
          </w:r>
          <w:r>
            <w:rPr>
              <w:rFonts w:hint="eastAsia" w:ascii="黑体" w:hAnsi="黑体" w:eastAsia="黑体"/>
              <w:highlight w:val="none"/>
            </w:rPr>
            <w:fldChar w:fldCharType="separate"/>
          </w:r>
          <w:r>
            <w:rPr>
              <w:rFonts w:hint="eastAsia" w:ascii="黑体" w:hAnsi="黑体" w:eastAsia="黑体" w:cs="黑体"/>
              <w:bCs w:val="0"/>
              <w:highlight w:val="none"/>
            </w:rPr>
            <w:t>十三、</w:t>
          </w:r>
          <w:r>
            <w:rPr>
              <w:rFonts w:hint="eastAsia" w:ascii="黑体" w:hAnsi="黑体" w:eastAsia="黑体" w:cs="黑体"/>
              <w:bCs w:val="0"/>
              <w:highlight w:val="none"/>
              <w:lang w:eastAsia="zh-CN"/>
            </w:rPr>
            <w:t>财政拨款“三公”经费支出决算表</w:t>
          </w:r>
          <w:r>
            <w:tab/>
          </w:r>
          <w:r>
            <w:fldChar w:fldCharType="begin"/>
          </w:r>
          <w:r>
            <w:instrText xml:space="preserve"> PAGEREF _Toc18932 \h </w:instrText>
          </w:r>
          <w:r>
            <w:fldChar w:fldCharType="separate"/>
          </w:r>
          <w:r>
            <w:t>77</w:t>
          </w:r>
          <w:r>
            <w:fldChar w:fldCharType="end"/>
          </w:r>
          <w:r>
            <w:rPr>
              <w:rFonts w:hint="eastAsia" w:ascii="黑体" w:hAnsi="黑体" w:eastAsia="黑体"/>
              <w:color w:val="auto"/>
              <w:highlight w:val="none"/>
            </w:rPr>
            <w:fldChar w:fldCharType="end"/>
          </w:r>
        </w:p>
        <w:p>
          <w:pPr>
            <w:pStyle w:val="3"/>
            <w:jc w:val="center"/>
            <w:outlineLvl w:val="9"/>
            <w:rPr>
              <w:rFonts w:hint="eastAsia" w:ascii="黑体" w:hAnsi="黑体" w:eastAsia="黑体"/>
              <w:b w:val="0"/>
              <w:color w:val="auto"/>
              <w:highlight w:val="none"/>
            </w:rPr>
            <w:sectPr>
              <w:footerReference r:id="rId3" w:type="default"/>
              <w:pgSz w:w="11906" w:h="16838"/>
              <w:pgMar w:top="2098" w:right="1474" w:bottom="1984" w:left="1587" w:header="851" w:footer="1559" w:gutter="0"/>
              <w:pgNumType w:fmt="decimal" w:start="1"/>
              <w:cols w:space="425" w:num="1"/>
              <w:docGrid w:type="lines" w:linePitch="312" w:charSpace="0"/>
            </w:sectPr>
          </w:pPr>
          <w:r>
            <w:rPr>
              <w:rFonts w:hint="eastAsia" w:ascii="黑体" w:hAnsi="黑体" w:eastAsia="黑体"/>
              <w:b/>
              <w:color w:val="auto"/>
              <w:highlight w:val="none"/>
            </w:rPr>
            <w:fldChar w:fldCharType="end"/>
          </w:r>
        </w:p>
      </w:sdtContent>
    </w:sdt>
    <w:p>
      <w:pPr>
        <w:pStyle w:val="3"/>
        <w:jc w:val="center"/>
        <w:rPr>
          <w:rFonts w:ascii="黑体" w:eastAsia="黑体"/>
          <w:color w:val="auto"/>
          <w:sz w:val="32"/>
          <w:szCs w:val="32"/>
          <w:highlight w:val="none"/>
        </w:rPr>
      </w:pPr>
      <w:bookmarkStart w:id="20" w:name="_Toc975"/>
      <w:r>
        <w:rPr>
          <w:rFonts w:hint="eastAsia" w:ascii="黑体" w:hAnsi="黑体" w:eastAsia="黑体"/>
          <w:b w:val="0"/>
          <w:color w:val="auto"/>
          <w:highlight w:val="none"/>
        </w:rPr>
        <w:t xml:space="preserve">第一部分 </w:t>
      </w:r>
      <w:r>
        <w:rPr>
          <w:rStyle w:val="20"/>
          <w:rFonts w:hint="eastAsia" w:ascii="黑体" w:hAnsi="黑体" w:eastAsia="黑体"/>
          <w:b w:val="0"/>
          <w:bCs w:val="0"/>
          <w:color w:val="auto"/>
          <w:highlight w:val="none"/>
        </w:rPr>
        <w:t>部门概况</w:t>
      </w:r>
      <w:bookmarkEnd w:id="20"/>
    </w:p>
    <w:p>
      <w:pPr>
        <w:pStyle w:val="4"/>
        <w:numPr>
          <w:ilvl w:val="0"/>
          <w:numId w:val="1"/>
        </w:numPr>
        <w:rPr>
          <w:rFonts w:ascii="仿宋" w:hAnsi="仿宋" w:eastAsia="仿宋"/>
          <w:bCs/>
          <w:sz w:val="32"/>
          <w:szCs w:val="32"/>
        </w:rPr>
      </w:pPr>
      <w:bookmarkStart w:id="21" w:name="_Toc21477"/>
      <w:bookmarkStart w:id="22" w:name="_Toc19559"/>
      <w:r>
        <w:rPr>
          <w:rFonts w:hint="eastAsia" w:ascii="黑体" w:hAnsi="黑体" w:eastAsia="黑体"/>
          <w:b w:val="0"/>
          <w:color w:val="auto"/>
          <w:highlight w:val="none"/>
          <w:lang w:eastAsia="zh-CN"/>
        </w:rPr>
        <w:t>部门职责</w:t>
      </w:r>
      <w:bookmarkEnd w:id="21"/>
      <w:bookmarkEnd w:id="22"/>
    </w:p>
    <w:p>
      <w:pPr>
        <w:pStyle w:val="2"/>
        <w:keepNext w:val="0"/>
        <w:keepLines w:val="0"/>
        <w:pageBreakBefore w:val="0"/>
        <w:widowControl w:val="0"/>
        <w:kinsoku/>
        <w:wordWrap/>
        <w:overflowPunct/>
        <w:topLinePunct w:val="0"/>
        <w:autoSpaceDE/>
        <w:autoSpaceDN/>
        <w:bidi w:val="0"/>
        <w:adjustRightInd w:val="0"/>
        <w:snapToGrid w:val="0"/>
        <w:spacing w:before="93" w:line="600" w:lineRule="exact"/>
        <w:ind w:firstLine="640" w:firstLineChars="200"/>
        <w:textAlignment w:val="auto"/>
        <w:outlineLvl w:val="2"/>
        <w:rPr>
          <w:rFonts w:ascii="仿宋" w:hAnsi="仿宋" w:eastAsia="仿宋"/>
          <w:bCs/>
          <w:sz w:val="32"/>
          <w:szCs w:val="32"/>
        </w:rPr>
      </w:pPr>
      <w:r>
        <w:rPr>
          <w:rFonts w:hint="eastAsia" w:ascii="仿宋" w:hAnsi="仿宋" w:eastAsia="仿宋"/>
          <w:bCs/>
          <w:sz w:val="32"/>
          <w:szCs w:val="32"/>
          <w:lang w:eastAsia="zh-CN"/>
        </w:rPr>
        <w:t>（</w:t>
      </w:r>
      <w:r>
        <w:rPr>
          <w:rFonts w:hint="eastAsia" w:ascii="仿宋" w:hAnsi="仿宋" w:eastAsia="仿宋"/>
          <w:bCs/>
          <w:sz w:val="32"/>
          <w:szCs w:val="32"/>
          <w:lang w:val="en-US" w:eastAsia="zh-CN"/>
        </w:rPr>
        <w:t>一</w:t>
      </w:r>
      <w:r>
        <w:rPr>
          <w:rFonts w:hint="eastAsia" w:ascii="仿宋" w:hAnsi="仿宋" w:eastAsia="仿宋"/>
          <w:bCs/>
          <w:sz w:val="32"/>
          <w:szCs w:val="32"/>
          <w:lang w:eastAsia="zh-CN"/>
        </w:rPr>
        <w:t>）</w:t>
      </w:r>
      <w:r>
        <w:rPr>
          <w:rFonts w:hint="eastAsia" w:ascii="仿宋" w:hAnsi="仿宋" w:eastAsia="仿宋"/>
          <w:bCs/>
          <w:sz w:val="32"/>
          <w:szCs w:val="32"/>
        </w:rPr>
        <w:t>拟订全市人力资源和社会保障事业发展规划、政策并组织实施和监督检查。起草地方性法规、规章草案。</w:t>
      </w:r>
    </w:p>
    <w:p>
      <w:pPr>
        <w:pStyle w:val="2"/>
        <w:keepNext w:val="0"/>
        <w:keepLines w:val="0"/>
        <w:pageBreakBefore w:val="0"/>
        <w:widowControl w:val="0"/>
        <w:kinsoku/>
        <w:wordWrap/>
        <w:overflowPunct/>
        <w:topLinePunct w:val="0"/>
        <w:autoSpaceDE/>
        <w:autoSpaceDN/>
        <w:bidi w:val="0"/>
        <w:adjustRightInd w:val="0"/>
        <w:snapToGrid w:val="0"/>
        <w:spacing w:before="93" w:line="600" w:lineRule="exact"/>
        <w:ind w:firstLine="640" w:firstLineChars="200"/>
        <w:textAlignment w:val="auto"/>
        <w:outlineLvl w:val="2"/>
        <w:rPr>
          <w:rFonts w:ascii="仿宋" w:hAnsi="仿宋" w:eastAsia="仿宋"/>
          <w:bCs/>
          <w:sz w:val="32"/>
          <w:szCs w:val="32"/>
        </w:rPr>
      </w:pPr>
      <w:r>
        <w:rPr>
          <w:rFonts w:hint="eastAsia" w:ascii="仿宋" w:hAnsi="仿宋" w:eastAsia="仿宋"/>
          <w:bCs/>
          <w:sz w:val="32"/>
          <w:szCs w:val="32"/>
          <w:lang w:eastAsia="zh-CN"/>
        </w:rPr>
        <w:t>（</w:t>
      </w:r>
      <w:r>
        <w:rPr>
          <w:rFonts w:hint="eastAsia" w:ascii="仿宋" w:hAnsi="仿宋" w:eastAsia="仿宋"/>
          <w:bCs/>
          <w:sz w:val="32"/>
          <w:szCs w:val="32"/>
          <w:lang w:val="en-US" w:eastAsia="zh-CN"/>
        </w:rPr>
        <w:t>二</w:t>
      </w:r>
      <w:r>
        <w:rPr>
          <w:rFonts w:hint="eastAsia" w:ascii="仿宋" w:hAnsi="仿宋" w:eastAsia="仿宋"/>
          <w:bCs/>
          <w:sz w:val="32"/>
          <w:szCs w:val="32"/>
          <w:lang w:eastAsia="zh-CN"/>
        </w:rPr>
        <w:t>）</w:t>
      </w:r>
      <w:r>
        <w:rPr>
          <w:rFonts w:hint="eastAsia" w:ascii="仿宋" w:hAnsi="仿宋" w:eastAsia="仿宋"/>
          <w:bCs/>
          <w:sz w:val="32"/>
          <w:szCs w:val="32"/>
        </w:rPr>
        <w:t>拟订全市人力资源市场发展规划和人力资源流动政策并组织实施，建立全市统一规范的人力资源市场，促进人力资源合理流动、有效配置。</w:t>
      </w:r>
    </w:p>
    <w:p>
      <w:pPr>
        <w:pStyle w:val="2"/>
        <w:keepNext w:val="0"/>
        <w:keepLines w:val="0"/>
        <w:pageBreakBefore w:val="0"/>
        <w:widowControl w:val="0"/>
        <w:kinsoku/>
        <w:wordWrap/>
        <w:overflowPunct/>
        <w:topLinePunct w:val="0"/>
        <w:autoSpaceDE/>
        <w:autoSpaceDN/>
        <w:bidi w:val="0"/>
        <w:adjustRightInd w:val="0"/>
        <w:snapToGrid w:val="0"/>
        <w:spacing w:before="93" w:line="600" w:lineRule="exact"/>
        <w:ind w:firstLine="640" w:firstLineChars="200"/>
        <w:textAlignment w:val="auto"/>
        <w:outlineLvl w:val="2"/>
        <w:rPr>
          <w:rFonts w:ascii="仿宋" w:hAnsi="仿宋" w:eastAsia="仿宋"/>
          <w:bCs/>
          <w:sz w:val="32"/>
          <w:szCs w:val="32"/>
        </w:rPr>
      </w:pPr>
      <w:r>
        <w:rPr>
          <w:rFonts w:hint="eastAsia" w:ascii="仿宋" w:hAnsi="仿宋" w:eastAsia="仿宋"/>
          <w:bCs/>
          <w:sz w:val="32"/>
          <w:szCs w:val="32"/>
          <w:lang w:eastAsia="zh-CN"/>
        </w:rPr>
        <w:t>（</w:t>
      </w:r>
      <w:r>
        <w:rPr>
          <w:rFonts w:hint="eastAsia" w:ascii="仿宋" w:hAnsi="仿宋" w:eastAsia="仿宋"/>
          <w:bCs/>
          <w:sz w:val="32"/>
          <w:szCs w:val="32"/>
          <w:lang w:val="en-US" w:eastAsia="zh-CN"/>
        </w:rPr>
        <w:t>三</w:t>
      </w:r>
      <w:r>
        <w:rPr>
          <w:rFonts w:hint="eastAsia" w:ascii="仿宋" w:hAnsi="仿宋" w:eastAsia="仿宋"/>
          <w:bCs/>
          <w:sz w:val="32"/>
          <w:szCs w:val="32"/>
          <w:lang w:eastAsia="zh-CN"/>
        </w:rPr>
        <w:t>）</w:t>
      </w:r>
      <w:r>
        <w:rPr>
          <w:rFonts w:hint="eastAsia" w:ascii="仿宋" w:hAnsi="仿宋" w:eastAsia="仿宋"/>
          <w:bCs/>
          <w:sz w:val="32"/>
          <w:szCs w:val="32"/>
        </w:rPr>
        <w:t>负责促进就业工作，拟订统筹城乡的就业发展规划和政策，完善公共就业创业服务体系，拟订并组织落实创业、就业援助制度，完善职业资格制度，统筹建立面向城乡劳动者的职业培训制度，牵头拟订并实施高校毕业生就业政策。</w:t>
      </w:r>
    </w:p>
    <w:p>
      <w:pPr>
        <w:pStyle w:val="2"/>
        <w:keepNext w:val="0"/>
        <w:keepLines w:val="0"/>
        <w:pageBreakBefore w:val="0"/>
        <w:widowControl w:val="0"/>
        <w:kinsoku/>
        <w:wordWrap/>
        <w:overflowPunct/>
        <w:topLinePunct w:val="0"/>
        <w:autoSpaceDE/>
        <w:autoSpaceDN/>
        <w:bidi w:val="0"/>
        <w:adjustRightInd w:val="0"/>
        <w:snapToGrid w:val="0"/>
        <w:spacing w:before="93" w:line="600" w:lineRule="exact"/>
        <w:ind w:firstLine="640" w:firstLineChars="200"/>
        <w:textAlignment w:val="auto"/>
        <w:outlineLvl w:val="2"/>
        <w:rPr>
          <w:rFonts w:ascii="仿宋" w:hAnsi="仿宋" w:eastAsia="仿宋"/>
          <w:bCs/>
          <w:sz w:val="32"/>
          <w:szCs w:val="32"/>
        </w:rPr>
      </w:pPr>
      <w:r>
        <w:rPr>
          <w:rFonts w:hint="eastAsia" w:ascii="仿宋" w:hAnsi="仿宋" w:eastAsia="仿宋"/>
          <w:bCs/>
          <w:sz w:val="32"/>
          <w:szCs w:val="32"/>
          <w:lang w:eastAsia="zh-CN"/>
        </w:rPr>
        <w:t>（</w:t>
      </w:r>
      <w:r>
        <w:rPr>
          <w:rFonts w:hint="eastAsia" w:ascii="仿宋" w:hAnsi="仿宋" w:eastAsia="仿宋"/>
          <w:bCs/>
          <w:sz w:val="32"/>
          <w:szCs w:val="32"/>
          <w:lang w:val="en-US" w:eastAsia="zh-CN"/>
        </w:rPr>
        <w:t>四</w:t>
      </w:r>
      <w:r>
        <w:rPr>
          <w:rFonts w:hint="eastAsia" w:ascii="仿宋" w:hAnsi="仿宋" w:eastAsia="仿宋"/>
          <w:bCs/>
          <w:sz w:val="32"/>
          <w:szCs w:val="32"/>
          <w:lang w:eastAsia="zh-CN"/>
        </w:rPr>
        <w:t>）</w:t>
      </w:r>
      <w:r>
        <w:rPr>
          <w:rFonts w:hint="eastAsia" w:ascii="仿宋" w:hAnsi="仿宋" w:eastAsia="仿宋"/>
          <w:bCs/>
          <w:sz w:val="32"/>
          <w:szCs w:val="32"/>
        </w:rPr>
        <w:t>统筹建立覆盖城乡的多层次社会保障体系。拟订社会保险政策和标准。贯彻落实养老保险全国统筹办法和全国统一的养老、失业、工伤保险关系转续办法。组织拟订基本养老、企业年金、职业年金、失业、工伤保险基金管理和监督制度，编制全市社会保险基金预决算草案，参与制定全市社会保障基金投资政策。会同有关部门实施全民参保计划。拟订人力资源和社会保障信息化建设总体规划、年度计划，制订相关制度、标准和规范并组织实施。指导、督促企业参加工伤保险。</w:t>
      </w:r>
    </w:p>
    <w:p>
      <w:pPr>
        <w:pStyle w:val="2"/>
        <w:keepNext w:val="0"/>
        <w:keepLines w:val="0"/>
        <w:pageBreakBefore w:val="0"/>
        <w:widowControl w:val="0"/>
        <w:kinsoku/>
        <w:wordWrap/>
        <w:overflowPunct/>
        <w:topLinePunct w:val="0"/>
        <w:autoSpaceDE/>
        <w:autoSpaceDN/>
        <w:bidi w:val="0"/>
        <w:adjustRightInd w:val="0"/>
        <w:snapToGrid w:val="0"/>
        <w:spacing w:before="93" w:line="600" w:lineRule="exact"/>
        <w:ind w:firstLine="640" w:firstLineChars="200"/>
        <w:textAlignment w:val="auto"/>
        <w:outlineLvl w:val="2"/>
        <w:rPr>
          <w:rFonts w:ascii="仿宋" w:hAnsi="仿宋" w:eastAsia="仿宋"/>
          <w:bCs/>
          <w:sz w:val="32"/>
          <w:szCs w:val="32"/>
        </w:rPr>
      </w:pPr>
      <w:r>
        <w:rPr>
          <w:rFonts w:hint="eastAsia" w:ascii="仿宋" w:hAnsi="仿宋" w:eastAsia="仿宋"/>
          <w:bCs/>
          <w:sz w:val="32"/>
          <w:szCs w:val="32"/>
          <w:lang w:eastAsia="zh-CN"/>
        </w:rPr>
        <w:t>（</w:t>
      </w:r>
      <w:r>
        <w:rPr>
          <w:rFonts w:hint="eastAsia" w:ascii="仿宋" w:hAnsi="仿宋" w:eastAsia="仿宋"/>
          <w:bCs/>
          <w:sz w:val="32"/>
          <w:szCs w:val="32"/>
          <w:lang w:val="en-US" w:eastAsia="zh-CN"/>
        </w:rPr>
        <w:t>五</w:t>
      </w:r>
      <w:r>
        <w:rPr>
          <w:rFonts w:hint="eastAsia" w:ascii="仿宋" w:hAnsi="仿宋" w:eastAsia="仿宋"/>
          <w:bCs/>
          <w:sz w:val="32"/>
          <w:szCs w:val="32"/>
          <w:lang w:eastAsia="zh-CN"/>
        </w:rPr>
        <w:t>）</w:t>
      </w:r>
      <w:r>
        <w:rPr>
          <w:rFonts w:hint="eastAsia" w:ascii="仿宋" w:hAnsi="仿宋" w:eastAsia="仿宋"/>
          <w:bCs/>
          <w:sz w:val="32"/>
          <w:szCs w:val="32"/>
        </w:rPr>
        <w:t>负责就业、失业和相关社会保险基金预测预警和信息引导，拟订应对预案，实施预防、调节和控制，保持就业形势稳定和社会保险基金总体收支平衡。</w:t>
      </w:r>
    </w:p>
    <w:p>
      <w:pPr>
        <w:pStyle w:val="2"/>
        <w:keepNext w:val="0"/>
        <w:keepLines w:val="0"/>
        <w:pageBreakBefore w:val="0"/>
        <w:widowControl w:val="0"/>
        <w:kinsoku/>
        <w:wordWrap/>
        <w:overflowPunct/>
        <w:topLinePunct w:val="0"/>
        <w:autoSpaceDE/>
        <w:autoSpaceDN/>
        <w:bidi w:val="0"/>
        <w:adjustRightInd w:val="0"/>
        <w:snapToGrid w:val="0"/>
        <w:spacing w:before="93" w:line="600" w:lineRule="exact"/>
        <w:ind w:firstLine="640" w:firstLineChars="200"/>
        <w:textAlignment w:val="auto"/>
        <w:outlineLvl w:val="2"/>
        <w:rPr>
          <w:rFonts w:ascii="仿宋" w:hAnsi="仿宋" w:eastAsia="仿宋"/>
          <w:bCs/>
          <w:sz w:val="32"/>
          <w:szCs w:val="32"/>
        </w:rPr>
      </w:pPr>
      <w:r>
        <w:rPr>
          <w:rFonts w:hint="eastAsia" w:ascii="仿宋" w:hAnsi="仿宋" w:eastAsia="仿宋"/>
          <w:bCs/>
          <w:sz w:val="32"/>
          <w:szCs w:val="32"/>
          <w:lang w:eastAsia="zh-CN"/>
        </w:rPr>
        <w:t>（</w:t>
      </w:r>
      <w:r>
        <w:rPr>
          <w:rFonts w:hint="eastAsia" w:ascii="仿宋" w:hAnsi="仿宋" w:eastAsia="仿宋"/>
          <w:bCs/>
          <w:sz w:val="32"/>
          <w:szCs w:val="32"/>
          <w:lang w:val="en-US" w:eastAsia="zh-CN"/>
        </w:rPr>
        <w:t>六</w:t>
      </w:r>
      <w:r>
        <w:rPr>
          <w:rFonts w:hint="eastAsia" w:ascii="仿宋" w:hAnsi="仿宋" w:eastAsia="仿宋"/>
          <w:bCs/>
          <w:sz w:val="32"/>
          <w:szCs w:val="32"/>
          <w:lang w:eastAsia="zh-CN"/>
        </w:rPr>
        <w:t>）</w:t>
      </w:r>
      <w:r>
        <w:rPr>
          <w:rFonts w:hint="eastAsia" w:ascii="仿宋" w:hAnsi="仿宋" w:eastAsia="仿宋"/>
          <w:bCs/>
          <w:sz w:val="32"/>
          <w:szCs w:val="32"/>
        </w:rPr>
        <w:t>统筹拟订劳动人事争议调解仲裁制度，完善劳动关系协调机制，拟订职工工作时间、休息休假和假期制度，拟订消除非法使用童工政策和女工、未成年工的特殊劳动保护措施。依法督促用人单位在劳动用工、合同签订与履约时，载明劳动保护、劳动条件和职业危害防护等条款。组织实施劳动监察，协调劳动者维权工作，依法查处重大案件。</w:t>
      </w:r>
    </w:p>
    <w:p>
      <w:pPr>
        <w:pStyle w:val="2"/>
        <w:keepNext w:val="0"/>
        <w:keepLines w:val="0"/>
        <w:pageBreakBefore w:val="0"/>
        <w:widowControl w:val="0"/>
        <w:kinsoku/>
        <w:wordWrap/>
        <w:overflowPunct/>
        <w:topLinePunct w:val="0"/>
        <w:autoSpaceDE/>
        <w:autoSpaceDN/>
        <w:bidi w:val="0"/>
        <w:adjustRightInd w:val="0"/>
        <w:snapToGrid w:val="0"/>
        <w:spacing w:before="93" w:line="600" w:lineRule="exact"/>
        <w:ind w:firstLine="640" w:firstLineChars="200"/>
        <w:textAlignment w:val="auto"/>
        <w:outlineLvl w:val="2"/>
        <w:rPr>
          <w:rFonts w:ascii="仿宋" w:hAnsi="仿宋" w:eastAsia="仿宋"/>
          <w:bCs/>
          <w:sz w:val="32"/>
          <w:szCs w:val="32"/>
        </w:rPr>
      </w:pPr>
      <w:r>
        <w:rPr>
          <w:rFonts w:hint="eastAsia" w:ascii="仿宋" w:hAnsi="仿宋" w:eastAsia="仿宋"/>
          <w:bCs/>
          <w:sz w:val="32"/>
          <w:szCs w:val="32"/>
          <w:lang w:eastAsia="zh-CN"/>
        </w:rPr>
        <w:t>（</w:t>
      </w:r>
      <w:r>
        <w:rPr>
          <w:rFonts w:hint="eastAsia" w:ascii="仿宋" w:hAnsi="仿宋" w:eastAsia="仿宋"/>
          <w:bCs/>
          <w:sz w:val="32"/>
          <w:szCs w:val="32"/>
          <w:lang w:val="en-US" w:eastAsia="zh-CN"/>
        </w:rPr>
        <w:t>七</w:t>
      </w:r>
      <w:r>
        <w:rPr>
          <w:rFonts w:hint="eastAsia" w:ascii="仿宋" w:hAnsi="仿宋" w:eastAsia="仿宋"/>
          <w:bCs/>
          <w:sz w:val="32"/>
          <w:szCs w:val="32"/>
          <w:lang w:eastAsia="zh-CN"/>
        </w:rPr>
        <w:t>）</w:t>
      </w:r>
      <w:r>
        <w:rPr>
          <w:rFonts w:hint="eastAsia" w:ascii="仿宋" w:hAnsi="仿宋" w:eastAsia="仿宋"/>
          <w:bCs/>
          <w:sz w:val="32"/>
          <w:szCs w:val="32"/>
        </w:rPr>
        <w:t>牵头推进深化职称制度改革，拟订专业技术人员管理、继续教育和博士后管理等政策，负责高层次专业技术人才选拔和培养工作，拟订吸引国（境）外专家、留学人员来广（回广）工作或定居政策。组织拟订技能人才培养、评价、使用和激励制度。贯彻落实职业资格制度，健全职业技能多元化评价政策。指导、监督各级各类技工学校、民办职业培训机构按国家和省有关规定履行安全管理责任。</w:t>
      </w:r>
    </w:p>
    <w:p>
      <w:pPr>
        <w:pStyle w:val="2"/>
        <w:keepNext w:val="0"/>
        <w:keepLines w:val="0"/>
        <w:pageBreakBefore w:val="0"/>
        <w:widowControl w:val="0"/>
        <w:kinsoku/>
        <w:wordWrap/>
        <w:overflowPunct/>
        <w:topLinePunct w:val="0"/>
        <w:autoSpaceDE/>
        <w:autoSpaceDN/>
        <w:bidi w:val="0"/>
        <w:adjustRightInd w:val="0"/>
        <w:snapToGrid w:val="0"/>
        <w:spacing w:before="93" w:line="600" w:lineRule="exact"/>
        <w:ind w:firstLine="640" w:firstLineChars="200"/>
        <w:textAlignment w:val="auto"/>
        <w:outlineLvl w:val="2"/>
        <w:rPr>
          <w:rFonts w:ascii="仿宋" w:hAnsi="仿宋" w:eastAsia="仿宋"/>
          <w:bCs/>
          <w:sz w:val="32"/>
          <w:szCs w:val="32"/>
        </w:rPr>
      </w:pPr>
      <w:r>
        <w:rPr>
          <w:rFonts w:hint="eastAsia" w:ascii="仿宋" w:hAnsi="仿宋" w:eastAsia="仿宋"/>
          <w:bCs/>
          <w:sz w:val="32"/>
          <w:szCs w:val="32"/>
          <w:lang w:eastAsia="zh-CN"/>
        </w:rPr>
        <w:t>（</w:t>
      </w:r>
      <w:r>
        <w:rPr>
          <w:rFonts w:hint="eastAsia" w:ascii="仿宋" w:hAnsi="仿宋" w:eastAsia="仿宋"/>
          <w:bCs/>
          <w:sz w:val="32"/>
          <w:szCs w:val="32"/>
          <w:lang w:val="en-US" w:eastAsia="zh-CN"/>
        </w:rPr>
        <w:t>八</w:t>
      </w:r>
      <w:r>
        <w:rPr>
          <w:rFonts w:hint="eastAsia" w:ascii="仿宋" w:hAnsi="仿宋" w:eastAsia="仿宋"/>
          <w:bCs/>
          <w:sz w:val="32"/>
          <w:szCs w:val="32"/>
          <w:lang w:eastAsia="zh-CN"/>
        </w:rPr>
        <w:t>）</w:t>
      </w:r>
      <w:r>
        <w:rPr>
          <w:rFonts w:hint="eastAsia" w:ascii="仿宋" w:hAnsi="仿宋" w:eastAsia="仿宋"/>
          <w:bCs/>
          <w:sz w:val="32"/>
          <w:szCs w:val="32"/>
        </w:rPr>
        <w:t>会同有关部门指导事业单位人事制度改革，按照管理权限负责规范事业单位岗位设置、公开招聘、聘用合同等人事综合管理工作，拟订事业单位人员和机关工勤人员管理政策，将安全生产责任履行情况作为事业单位工作人员奖惩、考核的重要内容。</w:t>
      </w:r>
    </w:p>
    <w:p>
      <w:pPr>
        <w:pStyle w:val="2"/>
        <w:keepNext w:val="0"/>
        <w:keepLines w:val="0"/>
        <w:pageBreakBefore w:val="0"/>
        <w:widowControl w:val="0"/>
        <w:kinsoku/>
        <w:wordWrap/>
        <w:overflowPunct/>
        <w:topLinePunct w:val="0"/>
        <w:autoSpaceDE/>
        <w:autoSpaceDN/>
        <w:bidi w:val="0"/>
        <w:adjustRightInd w:val="0"/>
        <w:snapToGrid w:val="0"/>
        <w:spacing w:before="93" w:line="600" w:lineRule="exact"/>
        <w:ind w:firstLine="640" w:firstLineChars="200"/>
        <w:textAlignment w:val="auto"/>
        <w:outlineLvl w:val="2"/>
        <w:rPr>
          <w:rFonts w:ascii="仿宋" w:hAnsi="仿宋" w:eastAsia="仿宋"/>
          <w:bCs/>
          <w:sz w:val="32"/>
          <w:szCs w:val="32"/>
        </w:rPr>
      </w:pPr>
      <w:r>
        <w:rPr>
          <w:rFonts w:hint="eastAsia" w:ascii="仿宋" w:hAnsi="仿宋" w:eastAsia="仿宋"/>
          <w:bCs/>
          <w:sz w:val="32"/>
          <w:szCs w:val="32"/>
          <w:lang w:eastAsia="zh-CN"/>
        </w:rPr>
        <w:t>（</w:t>
      </w:r>
      <w:r>
        <w:rPr>
          <w:rFonts w:hint="eastAsia" w:ascii="仿宋" w:hAnsi="仿宋" w:eastAsia="仿宋"/>
          <w:bCs/>
          <w:sz w:val="32"/>
          <w:szCs w:val="32"/>
          <w:lang w:val="en-US" w:eastAsia="zh-CN"/>
        </w:rPr>
        <w:t>九</w:t>
      </w:r>
      <w:r>
        <w:rPr>
          <w:rFonts w:hint="eastAsia" w:ascii="仿宋" w:hAnsi="仿宋" w:eastAsia="仿宋"/>
          <w:bCs/>
          <w:sz w:val="32"/>
          <w:szCs w:val="32"/>
          <w:lang w:eastAsia="zh-CN"/>
        </w:rPr>
        <w:t>）</w:t>
      </w:r>
      <w:r>
        <w:rPr>
          <w:rFonts w:hint="eastAsia" w:ascii="仿宋" w:hAnsi="仿宋" w:eastAsia="仿宋"/>
          <w:bCs/>
          <w:sz w:val="32"/>
          <w:szCs w:val="32"/>
        </w:rPr>
        <w:t>贯彻执行事业单位人员工资收入分配政策和企业职工工资收入分配调控政策，贯彻落实企事业单位人员工资正常增长和支付保障政策，贯彻执行企事业单位人员福利和离退休政策。</w:t>
      </w:r>
    </w:p>
    <w:p>
      <w:pPr>
        <w:pStyle w:val="2"/>
        <w:keepNext w:val="0"/>
        <w:keepLines w:val="0"/>
        <w:pageBreakBefore w:val="0"/>
        <w:widowControl w:val="0"/>
        <w:kinsoku/>
        <w:wordWrap/>
        <w:overflowPunct/>
        <w:topLinePunct w:val="0"/>
        <w:autoSpaceDE/>
        <w:autoSpaceDN/>
        <w:bidi w:val="0"/>
        <w:adjustRightInd w:val="0"/>
        <w:snapToGrid w:val="0"/>
        <w:spacing w:before="93" w:line="600" w:lineRule="exact"/>
        <w:ind w:firstLine="640" w:firstLineChars="200"/>
        <w:textAlignment w:val="auto"/>
        <w:outlineLvl w:val="2"/>
        <w:rPr>
          <w:rFonts w:ascii="仿宋" w:hAnsi="仿宋" w:eastAsia="仿宋"/>
          <w:bCs/>
          <w:sz w:val="32"/>
          <w:szCs w:val="32"/>
        </w:rPr>
      </w:pPr>
      <w:r>
        <w:rPr>
          <w:rFonts w:hint="eastAsia" w:ascii="仿宋" w:hAnsi="仿宋" w:eastAsia="仿宋"/>
          <w:bCs/>
          <w:sz w:val="32"/>
          <w:szCs w:val="32"/>
          <w:lang w:eastAsia="zh-CN"/>
        </w:rPr>
        <w:t>（</w:t>
      </w:r>
      <w:r>
        <w:rPr>
          <w:rFonts w:hint="eastAsia" w:ascii="仿宋" w:hAnsi="仿宋" w:eastAsia="仿宋"/>
          <w:bCs/>
          <w:sz w:val="32"/>
          <w:szCs w:val="32"/>
          <w:lang w:val="en-US" w:eastAsia="zh-CN"/>
        </w:rPr>
        <w:t>十</w:t>
      </w:r>
      <w:r>
        <w:rPr>
          <w:rFonts w:hint="eastAsia" w:ascii="仿宋" w:hAnsi="仿宋" w:eastAsia="仿宋"/>
          <w:bCs/>
          <w:sz w:val="32"/>
          <w:szCs w:val="32"/>
          <w:lang w:eastAsia="zh-CN"/>
        </w:rPr>
        <w:t>）</w:t>
      </w:r>
      <w:r>
        <w:rPr>
          <w:rFonts w:hint="eastAsia" w:ascii="仿宋" w:hAnsi="仿宋" w:eastAsia="仿宋"/>
          <w:bCs/>
          <w:sz w:val="32"/>
          <w:szCs w:val="32"/>
        </w:rPr>
        <w:t>组织实施国家表彰奖励制度，综合管理政府奖励表彰工作，承担评比达标表彰等工作，根据授权承办以市委、市政府名义开展的奖励表彰活动。承办提请市人大常委会和市政府决定的人事任免事项。</w:t>
      </w:r>
    </w:p>
    <w:p>
      <w:pPr>
        <w:pStyle w:val="2"/>
        <w:keepNext w:val="0"/>
        <w:keepLines w:val="0"/>
        <w:pageBreakBefore w:val="0"/>
        <w:widowControl w:val="0"/>
        <w:kinsoku/>
        <w:wordWrap/>
        <w:overflowPunct/>
        <w:topLinePunct w:val="0"/>
        <w:autoSpaceDE/>
        <w:autoSpaceDN/>
        <w:bidi w:val="0"/>
        <w:adjustRightInd w:val="0"/>
        <w:snapToGrid w:val="0"/>
        <w:spacing w:before="93" w:line="600" w:lineRule="exact"/>
        <w:ind w:firstLine="640" w:firstLineChars="200"/>
        <w:textAlignment w:val="auto"/>
        <w:outlineLvl w:val="2"/>
        <w:rPr>
          <w:rFonts w:ascii="仿宋" w:hAnsi="仿宋" w:eastAsia="仿宋"/>
          <w:bCs/>
          <w:sz w:val="32"/>
          <w:szCs w:val="32"/>
        </w:rPr>
      </w:pPr>
      <w:r>
        <w:rPr>
          <w:rFonts w:hint="eastAsia" w:ascii="仿宋" w:hAnsi="仿宋" w:eastAsia="仿宋"/>
          <w:bCs/>
          <w:sz w:val="32"/>
          <w:szCs w:val="32"/>
          <w:lang w:eastAsia="zh-CN"/>
        </w:rPr>
        <w:t>（</w:t>
      </w:r>
      <w:r>
        <w:rPr>
          <w:rFonts w:hint="eastAsia" w:ascii="仿宋" w:hAnsi="仿宋" w:eastAsia="仿宋"/>
          <w:bCs/>
          <w:sz w:val="32"/>
          <w:szCs w:val="32"/>
          <w:lang w:val="en-US" w:eastAsia="zh-CN"/>
        </w:rPr>
        <w:t>十一</w:t>
      </w:r>
      <w:r>
        <w:rPr>
          <w:rFonts w:hint="eastAsia" w:ascii="仿宋" w:hAnsi="仿宋" w:eastAsia="仿宋"/>
          <w:bCs/>
          <w:sz w:val="32"/>
          <w:szCs w:val="32"/>
          <w:lang w:eastAsia="zh-CN"/>
        </w:rPr>
        <w:t>）</w:t>
      </w:r>
      <w:r>
        <w:rPr>
          <w:rFonts w:hint="eastAsia" w:ascii="仿宋" w:hAnsi="仿宋" w:eastAsia="仿宋"/>
          <w:bCs/>
          <w:sz w:val="32"/>
          <w:szCs w:val="32"/>
        </w:rPr>
        <w:t>贯彻执行农民工工作相关政策和规划，协调解决重点难点问题，维护农民工合法权益。负责将安全生产纳入农民工技能培训内容。</w:t>
      </w:r>
    </w:p>
    <w:p>
      <w:pPr>
        <w:pStyle w:val="2"/>
        <w:keepNext w:val="0"/>
        <w:keepLines w:val="0"/>
        <w:pageBreakBefore w:val="0"/>
        <w:widowControl w:val="0"/>
        <w:kinsoku/>
        <w:wordWrap/>
        <w:overflowPunct/>
        <w:topLinePunct w:val="0"/>
        <w:autoSpaceDE/>
        <w:autoSpaceDN/>
        <w:bidi w:val="0"/>
        <w:adjustRightInd w:val="0"/>
        <w:snapToGrid w:val="0"/>
        <w:spacing w:before="93" w:line="600" w:lineRule="exact"/>
        <w:ind w:firstLine="640" w:firstLineChars="200"/>
        <w:textAlignment w:val="auto"/>
        <w:outlineLvl w:val="2"/>
        <w:rPr>
          <w:rFonts w:ascii="仿宋" w:hAnsi="仿宋" w:eastAsia="仿宋"/>
          <w:bCs/>
          <w:sz w:val="32"/>
          <w:szCs w:val="32"/>
        </w:rPr>
      </w:pPr>
      <w:r>
        <w:rPr>
          <w:rFonts w:hint="eastAsia" w:ascii="仿宋" w:hAnsi="仿宋" w:eastAsia="仿宋"/>
          <w:bCs/>
          <w:sz w:val="32"/>
          <w:szCs w:val="32"/>
          <w:lang w:eastAsia="zh-CN"/>
        </w:rPr>
        <w:t>（</w:t>
      </w:r>
      <w:r>
        <w:rPr>
          <w:rFonts w:hint="eastAsia" w:ascii="仿宋" w:hAnsi="仿宋" w:eastAsia="仿宋"/>
          <w:bCs/>
          <w:sz w:val="32"/>
          <w:szCs w:val="32"/>
          <w:lang w:val="en-US" w:eastAsia="zh-CN"/>
        </w:rPr>
        <w:t>十二</w:t>
      </w:r>
      <w:r>
        <w:rPr>
          <w:rFonts w:hint="eastAsia" w:ascii="仿宋" w:hAnsi="仿宋" w:eastAsia="仿宋"/>
          <w:bCs/>
          <w:sz w:val="32"/>
          <w:szCs w:val="32"/>
          <w:lang w:eastAsia="zh-CN"/>
        </w:rPr>
        <w:t>）</w:t>
      </w:r>
      <w:r>
        <w:rPr>
          <w:rFonts w:hint="eastAsia" w:ascii="仿宋" w:hAnsi="仿宋" w:eastAsia="仿宋"/>
          <w:bCs/>
          <w:sz w:val="32"/>
          <w:szCs w:val="32"/>
        </w:rPr>
        <w:t>负责人力资源和社会保障领域内的对外交流与合作工作。</w:t>
      </w:r>
    </w:p>
    <w:p>
      <w:pPr>
        <w:pStyle w:val="2"/>
        <w:keepNext w:val="0"/>
        <w:keepLines w:val="0"/>
        <w:pageBreakBefore w:val="0"/>
        <w:widowControl w:val="0"/>
        <w:kinsoku/>
        <w:wordWrap/>
        <w:overflowPunct/>
        <w:topLinePunct w:val="0"/>
        <w:autoSpaceDE/>
        <w:autoSpaceDN/>
        <w:bidi w:val="0"/>
        <w:adjustRightInd w:val="0"/>
        <w:snapToGrid w:val="0"/>
        <w:spacing w:before="93" w:line="600" w:lineRule="exact"/>
        <w:ind w:firstLine="640" w:firstLineChars="200"/>
        <w:textAlignment w:val="auto"/>
        <w:outlineLvl w:val="2"/>
        <w:rPr>
          <w:rFonts w:ascii="仿宋" w:hAnsi="仿宋" w:eastAsia="仿宋"/>
          <w:bCs/>
          <w:sz w:val="32"/>
          <w:szCs w:val="32"/>
        </w:rPr>
      </w:pPr>
      <w:r>
        <w:rPr>
          <w:rFonts w:hint="eastAsia" w:ascii="仿宋" w:hAnsi="仿宋" w:eastAsia="仿宋"/>
          <w:bCs/>
          <w:sz w:val="32"/>
          <w:szCs w:val="32"/>
          <w:lang w:eastAsia="zh-CN"/>
        </w:rPr>
        <w:t>（</w:t>
      </w:r>
      <w:r>
        <w:rPr>
          <w:rFonts w:hint="eastAsia" w:ascii="仿宋" w:hAnsi="仿宋" w:eastAsia="仿宋"/>
          <w:bCs/>
          <w:sz w:val="32"/>
          <w:szCs w:val="32"/>
          <w:lang w:val="en-US" w:eastAsia="zh-CN"/>
        </w:rPr>
        <w:t>十三</w:t>
      </w:r>
      <w:r>
        <w:rPr>
          <w:rFonts w:hint="eastAsia" w:ascii="仿宋" w:hAnsi="仿宋" w:eastAsia="仿宋"/>
          <w:bCs/>
          <w:sz w:val="32"/>
          <w:szCs w:val="32"/>
          <w:lang w:eastAsia="zh-CN"/>
        </w:rPr>
        <w:t>）</w:t>
      </w:r>
      <w:r>
        <w:rPr>
          <w:rFonts w:hint="eastAsia" w:ascii="仿宋" w:hAnsi="仿宋" w:eastAsia="仿宋"/>
          <w:bCs/>
          <w:sz w:val="32"/>
          <w:szCs w:val="32"/>
        </w:rPr>
        <w:t>承担职责范围内的安全生产和职业健康、生态环境保护、审批服务便民化等工作。</w:t>
      </w:r>
    </w:p>
    <w:p>
      <w:pPr>
        <w:pStyle w:val="2"/>
        <w:keepNext w:val="0"/>
        <w:keepLines w:val="0"/>
        <w:pageBreakBefore w:val="0"/>
        <w:widowControl w:val="0"/>
        <w:kinsoku/>
        <w:wordWrap/>
        <w:overflowPunct/>
        <w:topLinePunct w:val="0"/>
        <w:autoSpaceDE/>
        <w:autoSpaceDN/>
        <w:bidi w:val="0"/>
        <w:adjustRightInd w:val="0"/>
        <w:snapToGrid w:val="0"/>
        <w:spacing w:before="93" w:line="600" w:lineRule="exact"/>
        <w:ind w:firstLine="640" w:firstLineChars="200"/>
        <w:textAlignment w:val="auto"/>
        <w:outlineLvl w:val="2"/>
        <w:rPr>
          <w:rFonts w:ascii="仿宋" w:hAnsi="仿宋" w:eastAsia="仿宋"/>
          <w:bCs/>
          <w:sz w:val="32"/>
          <w:szCs w:val="32"/>
        </w:rPr>
      </w:pPr>
      <w:r>
        <w:rPr>
          <w:rFonts w:hint="eastAsia" w:ascii="仿宋" w:hAnsi="仿宋" w:eastAsia="仿宋"/>
          <w:bCs/>
          <w:sz w:val="32"/>
          <w:szCs w:val="32"/>
          <w:lang w:eastAsia="zh-CN"/>
        </w:rPr>
        <w:t>（</w:t>
      </w:r>
      <w:r>
        <w:rPr>
          <w:rFonts w:hint="eastAsia" w:ascii="仿宋" w:hAnsi="仿宋" w:eastAsia="仿宋"/>
          <w:bCs/>
          <w:sz w:val="32"/>
          <w:szCs w:val="32"/>
          <w:lang w:val="en-US" w:eastAsia="zh-CN"/>
        </w:rPr>
        <w:t>十四</w:t>
      </w:r>
      <w:r>
        <w:rPr>
          <w:rFonts w:hint="eastAsia" w:ascii="仿宋" w:hAnsi="仿宋" w:eastAsia="仿宋"/>
          <w:bCs/>
          <w:sz w:val="32"/>
          <w:szCs w:val="32"/>
          <w:lang w:eastAsia="zh-CN"/>
        </w:rPr>
        <w:t>）</w:t>
      </w:r>
      <w:r>
        <w:rPr>
          <w:rFonts w:hint="eastAsia" w:ascii="仿宋" w:hAnsi="仿宋" w:eastAsia="仿宋"/>
          <w:bCs/>
          <w:sz w:val="32"/>
          <w:szCs w:val="32"/>
        </w:rPr>
        <w:t>完成市委、市政府交办的其他事项。</w:t>
      </w:r>
    </w:p>
    <w:p>
      <w:pPr>
        <w:pStyle w:val="2"/>
        <w:keepNext w:val="0"/>
        <w:keepLines w:val="0"/>
        <w:pageBreakBefore w:val="0"/>
        <w:widowControl w:val="0"/>
        <w:kinsoku/>
        <w:wordWrap/>
        <w:overflowPunct/>
        <w:topLinePunct w:val="0"/>
        <w:autoSpaceDE/>
        <w:autoSpaceDN/>
        <w:bidi w:val="0"/>
        <w:adjustRightInd w:val="0"/>
        <w:snapToGrid w:val="0"/>
        <w:spacing w:before="93" w:line="600" w:lineRule="exact"/>
        <w:ind w:firstLine="640" w:firstLineChars="200"/>
        <w:textAlignment w:val="auto"/>
        <w:outlineLvl w:val="2"/>
        <w:rPr>
          <w:rFonts w:ascii="仿宋" w:hAnsi="仿宋" w:eastAsia="仿宋"/>
          <w:bCs/>
          <w:sz w:val="32"/>
          <w:szCs w:val="32"/>
        </w:rPr>
      </w:pPr>
      <w:r>
        <w:rPr>
          <w:rFonts w:hint="eastAsia" w:ascii="仿宋" w:hAnsi="仿宋" w:eastAsia="仿宋"/>
          <w:bCs/>
          <w:sz w:val="32"/>
          <w:szCs w:val="32"/>
          <w:lang w:eastAsia="zh-CN"/>
        </w:rPr>
        <w:t>（</w:t>
      </w:r>
      <w:r>
        <w:rPr>
          <w:rFonts w:hint="eastAsia" w:ascii="仿宋" w:hAnsi="仿宋" w:eastAsia="仿宋"/>
          <w:bCs/>
          <w:sz w:val="32"/>
          <w:szCs w:val="32"/>
          <w:lang w:val="en-US" w:eastAsia="zh-CN"/>
        </w:rPr>
        <w:t>十五</w:t>
      </w:r>
      <w:r>
        <w:rPr>
          <w:rFonts w:hint="eastAsia" w:ascii="仿宋" w:hAnsi="仿宋" w:eastAsia="仿宋"/>
          <w:bCs/>
          <w:sz w:val="32"/>
          <w:szCs w:val="32"/>
          <w:lang w:eastAsia="zh-CN"/>
        </w:rPr>
        <w:t>）</w:t>
      </w:r>
      <w:r>
        <w:rPr>
          <w:rFonts w:hint="eastAsia" w:ascii="仿宋" w:hAnsi="仿宋" w:eastAsia="仿宋"/>
          <w:bCs/>
          <w:sz w:val="32"/>
          <w:szCs w:val="32"/>
        </w:rPr>
        <w:t>职能转变。深入推进简政放权、放管结合、优化服务改革，进一步减少行政审批事项，规范和优化对外办理事项，贯彻落实国家职业资格目录清单管理制度，加强事中事后监管，创新就业和社会保障等公共服务方式，加强信息共享，提高公共服务水平。</w:t>
      </w:r>
      <w:bookmarkStart w:id="306" w:name="_GoBack"/>
      <w:bookmarkEnd w:id="306"/>
    </w:p>
    <w:p>
      <w:pPr>
        <w:pStyle w:val="2"/>
        <w:keepNext w:val="0"/>
        <w:keepLines w:val="0"/>
        <w:pageBreakBefore w:val="0"/>
        <w:widowControl w:val="0"/>
        <w:kinsoku/>
        <w:wordWrap/>
        <w:overflowPunct/>
        <w:topLinePunct w:val="0"/>
        <w:autoSpaceDE/>
        <w:autoSpaceDN/>
        <w:bidi w:val="0"/>
        <w:adjustRightInd w:val="0"/>
        <w:snapToGrid w:val="0"/>
        <w:spacing w:before="93" w:line="600" w:lineRule="exact"/>
        <w:ind w:firstLine="640" w:firstLineChars="200"/>
        <w:textAlignment w:val="auto"/>
        <w:outlineLvl w:val="2"/>
        <w:rPr>
          <w:rFonts w:hint="eastAsia"/>
          <w:lang w:eastAsia="zh-CN"/>
        </w:rPr>
      </w:pPr>
      <w:r>
        <w:rPr>
          <w:rFonts w:hint="eastAsia" w:ascii="仿宋" w:hAnsi="仿宋" w:eastAsia="仿宋"/>
          <w:bCs/>
          <w:sz w:val="32"/>
          <w:szCs w:val="32"/>
          <w:lang w:eastAsia="zh-CN"/>
        </w:rPr>
        <w:t>（</w:t>
      </w:r>
      <w:r>
        <w:rPr>
          <w:rFonts w:hint="eastAsia" w:ascii="仿宋" w:hAnsi="仿宋" w:eastAsia="仿宋"/>
          <w:bCs/>
          <w:sz w:val="32"/>
          <w:szCs w:val="32"/>
          <w:lang w:val="en-US" w:eastAsia="zh-CN"/>
        </w:rPr>
        <w:t>十六</w:t>
      </w:r>
      <w:r>
        <w:rPr>
          <w:rFonts w:hint="eastAsia" w:ascii="仿宋" w:hAnsi="仿宋" w:eastAsia="仿宋"/>
          <w:bCs/>
          <w:sz w:val="32"/>
          <w:szCs w:val="32"/>
          <w:lang w:eastAsia="zh-CN"/>
        </w:rPr>
        <w:t>）</w:t>
      </w:r>
      <w:r>
        <w:rPr>
          <w:rFonts w:hint="eastAsia" w:ascii="仿宋" w:hAnsi="仿宋" w:eastAsia="仿宋"/>
          <w:bCs/>
          <w:sz w:val="32"/>
          <w:szCs w:val="32"/>
        </w:rPr>
        <w:t>有关职责分工。高校毕业生就业政策由市人力资源社会保障局牵头，会同教育等部门拟订。高校毕业生离校前的就业指导和服务工作，由教育部门负责；高校毕业生离校后的就业指导和服务工作，由市人力资源社会保障局负责。</w:t>
      </w:r>
    </w:p>
    <w:p>
      <w:pPr>
        <w:pStyle w:val="4"/>
        <w:rPr>
          <w:rStyle w:val="21"/>
          <w:b w:val="0"/>
          <w:bCs w:val="0"/>
          <w:color w:val="auto"/>
          <w:highlight w:val="none"/>
        </w:rPr>
      </w:pPr>
      <w:bookmarkStart w:id="23" w:name="_Toc15377200"/>
      <w:bookmarkStart w:id="24" w:name="_Toc12536"/>
      <w:bookmarkStart w:id="25" w:name="_Toc15396601"/>
      <w:bookmarkStart w:id="26" w:name="_Toc29368"/>
      <w:r>
        <w:rPr>
          <w:rFonts w:hint="eastAsia" w:ascii="黑体" w:eastAsia="黑体"/>
          <w:b w:val="0"/>
          <w:color w:val="auto"/>
          <w:highlight w:val="none"/>
        </w:rPr>
        <w:t>二、</w:t>
      </w:r>
      <w:r>
        <w:rPr>
          <w:rFonts w:hint="eastAsia" w:ascii="黑体" w:hAnsi="黑体" w:eastAsia="黑体"/>
          <w:b w:val="0"/>
          <w:color w:val="auto"/>
          <w:highlight w:val="none"/>
        </w:rPr>
        <w:t>机</w:t>
      </w:r>
      <w:r>
        <w:rPr>
          <w:rStyle w:val="21"/>
          <w:rFonts w:hint="eastAsia" w:ascii="黑体" w:hAnsi="黑体" w:eastAsia="黑体"/>
          <w:b w:val="0"/>
          <w:bCs w:val="0"/>
          <w:color w:val="auto"/>
          <w:highlight w:val="none"/>
        </w:rPr>
        <w:t>构设置</w:t>
      </w:r>
      <w:bookmarkEnd w:id="23"/>
      <w:bookmarkEnd w:id="24"/>
      <w:bookmarkEnd w:id="25"/>
      <w:bookmarkEnd w:id="26"/>
    </w:p>
    <w:p>
      <w:pPr>
        <w:ind w:firstLine="800" w:firstLineChars="25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广元市人力资源和社会保障局</w:t>
      </w:r>
      <w:r>
        <w:rPr>
          <w:rFonts w:hint="eastAsia" w:ascii="仿宋" w:hAnsi="仿宋" w:eastAsia="仿宋"/>
          <w:color w:val="auto"/>
          <w:sz w:val="32"/>
          <w:szCs w:val="32"/>
          <w:highlight w:val="none"/>
        </w:rPr>
        <w:t>下属二级</w:t>
      </w:r>
      <w:r>
        <w:rPr>
          <w:rFonts w:hint="eastAsia" w:ascii="仿宋" w:hAnsi="仿宋" w:eastAsia="仿宋"/>
          <w:color w:val="auto"/>
          <w:sz w:val="32"/>
          <w:szCs w:val="32"/>
          <w:highlight w:val="none"/>
          <w:lang w:eastAsia="zh-CN"/>
        </w:rPr>
        <w:t>预算</w:t>
      </w:r>
      <w:r>
        <w:rPr>
          <w:rFonts w:hint="eastAsia" w:ascii="仿宋" w:hAnsi="仿宋" w:eastAsia="仿宋"/>
          <w:color w:val="auto"/>
          <w:sz w:val="32"/>
          <w:szCs w:val="32"/>
          <w:highlight w:val="none"/>
        </w:rPr>
        <w:t>单位</w:t>
      </w:r>
      <w:r>
        <w:rPr>
          <w:rFonts w:hint="eastAsia" w:ascii="仿宋" w:hAnsi="仿宋" w:eastAsia="仿宋"/>
          <w:color w:val="auto"/>
          <w:sz w:val="32"/>
          <w:szCs w:val="32"/>
          <w:highlight w:val="none"/>
          <w:lang w:val="en-US" w:eastAsia="zh-CN"/>
        </w:rPr>
        <w:t>7</w:t>
      </w:r>
      <w:r>
        <w:rPr>
          <w:rFonts w:hint="eastAsia" w:ascii="仿宋" w:hAnsi="仿宋" w:eastAsia="仿宋"/>
          <w:color w:val="auto"/>
          <w:sz w:val="32"/>
          <w:szCs w:val="32"/>
          <w:highlight w:val="none"/>
        </w:rPr>
        <w:t>个，其中行政单位</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个，参照公务员法管理的事业单位</w:t>
      </w:r>
      <w:r>
        <w:rPr>
          <w:rFonts w:hint="eastAsia" w:ascii="仿宋" w:hAnsi="仿宋" w:eastAsia="仿宋"/>
          <w:bCs/>
          <w:color w:val="auto"/>
          <w:sz w:val="32"/>
          <w:szCs w:val="32"/>
          <w:highlight w:val="none"/>
          <w:lang w:val="en-US" w:eastAsia="zh-CN"/>
        </w:rPr>
        <w:t>4</w:t>
      </w:r>
      <w:r>
        <w:rPr>
          <w:rFonts w:hint="eastAsia" w:ascii="仿宋" w:hAnsi="仿宋" w:eastAsia="仿宋"/>
          <w:color w:val="auto"/>
          <w:sz w:val="32"/>
          <w:szCs w:val="32"/>
          <w:highlight w:val="none"/>
        </w:rPr>
        <w:t>个，其他事业单位</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个。</w:t>
      </w:r>
    </w:p>
    <w:p>
      <w:pPr>
        <w:pStyle w:val="2"/>
        <w:adjustRightInd w:val="0"/>
        <w:snapToGrid w:val="0"/>
        <w:spacing w:before="93" w:line="600" w:lineRule="exact"/>
        <w:ind w:firstLine="672" w:firstLineChars="210"/>
        <w:rPr>
          <w:rFonts w:ascii="仿宋" w:hAnsi="仿宋" w:eastAsia="仿宋"/>
          <w:color w:val="auto"/>
          <w:sz w:val="32"/>
          <w:szCs w:val="32"/>
          <w:highlight w:val="none"/>
        </w:rPr>
      </w:pPr>
      <w:r>
        <w:rPr>
          <w:rFonts w:hint="eastAsia" w:ascii="仿宋" w:hAnsi="仿宋" w:eastAsia="仿宋"/>
          <w:color w:val="auto"/>
          <w:sz w:val="32"/>
          <w:szCs w:val="32"/>
          <w:highlight w:val="none"/>
        </w:rPr>
        <w:t>纳入</w:t>
      </w:r>
      <w:r>
        <w:rPr>
          <w:rFonts w:hint="eastAsia" w:ascii="仿宋" w:hAnsi="仿宋" w:eastAsia="仿宋"/>
          <w:sz w:val="32"/>
          <w:szCs w:val="32"/>
        </w:rPr>
        <w:t>广元市人力资源和社会保障局</w:t>
      </w: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年度部门决算编制范围的二级预算单位包括：</w:t>
      </w:r>
    </w:p>
    <w:p>
      <w:pPr>
        <w:spacing w:line="576"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广元市人力资源和社会保障局机关</w:t>
      </w:r>
    </w:p>
    <w:p>
      <w:pPr>
        <w:spacing w:line="576"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广元市社会保险事务中心</w:t>
      </w:r>
    </w:p>
    <w:p>
      <w:pPr>
        <w:spacing w:line="576"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广元市农民工服务中心</w:t>
      </w:r>
    </w:p>
    <w:p>
      <w:pPr>
        <w:spacing w:line="576"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广元市就业创业促进中心</w:t>
      </w:r>
    </w:p>
    <w:p>
      <w:pPr>
        <w:spacing w:line="576"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广元市劳动人事争议仲裁院</w:t>
      </w:r>
    </w:p>
    <w:p>
      <w:pPr>
        <w:spacing w:line="576" w:lineRule="exact"/>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eastAsia="仿宋_GB2312"/>
          <w:sz w:val="32"/>
          <w:szCs w:val="32"/>
        </w:rPr>
        <w:t>广元市人才交流中心</w:t>
      </w:r>
    </w:p>
    <w:p>
      <w:pPr>
        <w:spacing w:line="576" w:lineRule="exact"/>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ascii="仿宋_GB2312" w:eastAsia="仿宋_GB2312"/>
          <w:sz w:val="32"/>
          <w:szCs w:val="32"/>
        </w:rPr>
        <w:t>.</w:t>
      </w:r>
      <w:r>
        <w:rPr>
          <w:rFonts w:hint="eastAsia" w:ascii="仿宋_GB2312" w:eastAsia="仿宋_GB2312"/>
          <w:sz w:val="32"/>
          <w:szCs w:val="32"/>
        </w:rPr>
        <w:t>广元市人事考试中心</w:t>
      </w:r>
    </w:p>
    <w:p>
      <w:pPr>
        <w:pStyle w:val="2"/>
        <w:adjustRightInd w:val="0"/>
        <w:snapToGrid w:val="0"/>
        <w:spacing w:before="93" w:line="600" w:lineRule="exact"/>
        <w:rPr>
          <w:rFonts w:ascii="仿宋" w:hAnsi="仿宋" w:eastAsia="仿宋"/>
          <w:color w:val="auto"/>
          <w:sz w:val="32"/>
          <w:szCs w:val="32"/>
          <w:highlight w:val="none"/>
        </w:rPr>
      </w:pP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pageBreakBefore w:val="0"/>
        <w:widowControl w:val="0"/>
        <w:numPr>
          <w:ilvl w:val="0"/>
          <w:numId w:val="2"/>
        </w:numPr>
        <w:kinsoku/>
        <w:wordWrap/>
        <w:overflowPunct/>
        <w:topLinePunct w:val="0"/>
        <w:autoSpaceDE/>
        <w:autoSpaceDN/>
        <w:bidi w:val="0"/>
        <w:adjustRightInd/>
        <w:snapToGrid/>
        <w:spacing w:line="560" w:lineRule="exact"/>
        <w:ind w:right="440"/>
        <w:jc w:val="center"/>
        <w:textAlignment w:val="auto"/>
        <w:rPr>
          <w:rStyle w:val="20"/>
          <w:rFonts w:hint="eastAsia" w:ascii="黑体" w:hAnsi="黑体" w:eastAsia="黑体"/>
          <w:b w:val="0"/>
          <w:bCs/>
          <w:color w:val="auto"/>
          <w:highlight w:val="none"/>
        </w:rPr>
      </w:pPr>
      <w:bookmarkStart w:id="27" w:name="_Toc15377204"/>
      <w:bookmarkStart w:id="28" w:name="_Toc14315"/>
      <w:bookmarkStart w:id="29" w:name="_Toc14342"/>
      <w:bookmarkStart w:id="30" w:name="_Toc15396602"/>
      <w:r>
        <w:rPr>
          <w:rFonts w:hint="eastAsia" w:ascii="黑体" w:hAnsi="黑体" w:eastAsia="黑体"/>
          <w:b w:val="0"/>
          <w:bCs/>
          <w:color w:val="auto"/>
          <w:highlight w:val="none"/>
          <w:lang w:val="en-US" w:eastAsia="zh-CN"/>
        </w:rPr>
        <w:t>2022年度</w:t>
      </w:r>
      <w:r>
        <w:rPr>
          <w:rStyle w:val="20"/>
          <w:rFonts w:hint="eastAsia" w:ascii="黑体" w:hAnsi="黑体" w:eastAsia="黑体"/>
          <w:b w:val="0"/>
          <w:bCs/>
          <w:color w:val="auto"/>
          <w:highlight w:val="none"/>
        </w:rPr>
        <w:t>部门决算情况说明</w:t>
      </w:r>
      <w:bookmarkEnd w:id="27"/>
      <w:bookmarkEnd w:id="28"/>
      <w:bookmarkEnd w:id="29"/>
      <w:bookmarkEnd w:id="30"/>
    </w:p>
    <w:p>
      <w:pPr>
        <w:numPr>
          <w:ilvl w:val="0"/>
          <w:numId w:val="0"/>
        </w:numPr>
      </w:pPr>
    </w:p>
    <w:p>
      <w:pPr>
        <w:pStyle w:val="31"/>
        <w:keepNext w:val="0"/>
        <w:keepLines w:val="0"/>
        <w:pageBreakBefore w:val="0"/>
        <w:widowControl w:val="0"/>
        <w:numPr>
          <w:ilvl w:val="0"/>
          <w:numId w:val="3"/>
        </w:numPr>
        <w:kinsoku/>
        <w:wordWrap/>
        <w:overflowPunct/>
        <w:topLinePunct w:val="0"/>
        <w:autoSpaceDE/>
        <w:autoSpaceDN/>
        <w:bidi w:val="0"/>
        <w:adjustRightInd/>
        <w:snapToGrid/>
        <w:spacing w:line="576" w:lineRule="exact"/>
        <w:ind w:firstLineChars="0"/>
        <w:textAlignment w:val="auto"/>
        <w:outlineLvl w:val="1"/>
        <w:rPr>
          <w:rStyle w:val="21"/>
          <w:rFonts w:ascii="黑体" w:hAnsi="黑体" w:eastAsia="黑体"/>
          <w:b w:val="0"/>
          <w:color w:val="auto"/>
          <w:highlight w:val="none"/>
        </w:rPr>
      </w:pPr>
      <w:bookmarkStart w:id="31" w:name="_Toc15377205"/>
      <w:bookmarkStart w:id="32" w:name="_Toc30221"/>
      <w:bookmarkStart w:id="33" w:name="_Toc15396603"/>
      <w:bookmarkStart w:id="34" w:name="_Toc31610"/>
      <w:r>
        <w:rPr>
          <w:rFonts w:hint="eastAsia" w:ascii="黑体" w:hAnsi="黑体" w:eastAsia="黑体"/>
          <w:color w:val="auto"/>
          <w:sz w:val="32"/>
          <w:szCs w:val="32"/>
          <w:highlight w:val="none"/>
        </w:rPr>
        <w:t>收</w:t>
      </w:r>
      <w:r>
        <w:rPr>
          <w:rStyle w:val="21"/>
          <w:rFonts w:hint="eastAsia" w:ascii="黑体" w:hAnsi="黑体" w:eastAsia="黑体"/>
          <w:b w:val="0"/>
          <w:color w:val="auto"/>
          <w:highlight w:val="none"/>
        </w:rPr>
        <w:t>入支出决算总体情况说明</w:t>
      </w:r>
      <w:bookmarkEnd w:id="31"/>
      <w:bookmarkEnd w:id="32"/>
      <w:bookmarkEnd w:id="33"/>
      <w:bookmarkEnd w:id="3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7368.67</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年相比，收、支总计各减少</w:t>
      </w:r>
      <w:r>
        <w:rPr>
          <w:rFonts w:hint="eastAsia" w:ascii="仿宋" w:hAnsi="仿宋" w:eastAsia="仿宋"/>
          <w:color w:val="auto"/>
          <w:sz w:val="32"/>
          <w:szCs w:val="32"/>
          <w:highlight w:val="none"/>
          <w:lang w:val="en-US" w:eastAsia="zh-CN"/>
        </w:rPr>
        <w:t>1003.17</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11.98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2022年职业年金贴息收、支较上年减少1218.26万元。</w:t>
      </w:r>
    </w:p>
    <w:p>
      <w:pPr>
        <w:pStyle w:val="2"/>
        <w:jc w:val="center"/>
        <w:rPr>
          <w:rFonts w:hint="eastAsia"/>
          <w:lang w:eastAsia="zh-CN"/>
        </w:rPr>
      </w:pPr>
      <w:r>
        <w:rPr>
          <w:sz w:val="30"/>
        </w:rPr>
        <mc:AlternateContent>
          <mc:Choice Requires="wps">
            <w:drawing>
              <wp:anchor distT="0" distB="0" distL="114300" distR="114300" simplePos="0" relativeHeight="251662336" behindDoc="0" locked="0" layoutInCell="1" allowOverlap="1">
                <wp:simplePos x="0" y="0"/>
                <wp:positionH relativeFrom="column">
                  <wp:posOffset>3227705</wp:posOffset>
                </wp:positionH>
                <wp:positionV relativeFrom="paragraph">
                  <wp:posOffset>935355</wp:posOffset>
                </wp:positionV>
                <wp:extent cx="933450" cy="257810"/>
                <wp:effectExtent l="0" t="0" r="0" b="8890"/>
                <wp:wrapNone/>
                <wp:docPr id="5" name="文本框 5"/>
                <wp:cNvGraphicFramePr/>
                <a:graphic xmlns:a="http://schemas.openxmlformats.org/drawingml/2006/main">
                  <a:graphicData uri="http://schemas.microsoft.com/office/word/2010/wordprocessingShape">
                    <wps:wsp>
                      <wps:cNvSpPr txBox="1"/>
                      <wps:spPr>
                        <a:xfrm>
                          <a:off x="4427855" y="5711190"/>
                          <a:ext cx="933450" cy="25781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7368.67万元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4.15pt;margin-top:73.65pt;height:20.3pt;width:73.5pt;z-index:251662336;mso-width-relative:page;mso-height-relative:page;" fillcolor="#FFFFFF [3201]" filled="t" stroked="f" coordsize="21600,21600" o:gfxdata="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F8/A7W&#10;AAAACwEAAA8AAAAAAAAAAQAgAAAAIgAAAGRycy9kb3ducmV2LnhtbFBLAQIUABQAAAAIAIdO4kC0&#10;OqclWwIAAJoEAAAOAAAAAAAAAAEAIAAAACUBAABkcnMvZTJvRG9jLnhtbFBLBQYAAAAABgAGAFkB&#10;AADyBQAAAAA=&#10;">
                <v:fill on="t" focussize="0,0"/>
                <v:stroke on="f" weight="0.5pt"/>
                <v:imagedata o:title=""/>
                <o:lock v:ext="edit" aspectratio="f"/>
                <v:textbox>
                  <w:txbxContent>
                    <w:p>
                      <w:pPr>
                        <w:rPr>
                          <w:rFonts w:hint="default" w:eastAsia="宋体"/>
                          <w:lang w:val="en-US" w:eastAsia="zh-CN"/>
                        </w:rPr>
                      </w:pPr>
                      <w:r>
                        <w:rPr>
                          <w:rFonts w:hint="eastAsia"/>
                          <w:lang w:val="en-US" w:eastAsia="zh-CN"/>
                        </w:rPr>
                        <w:t>7368.67万元</w:t>
                      </w:r>
                    </w:p>
                  </w:txbxContent>
                </v:textbox>
              </v:shape>
            </w:pict>
          </mc:Fallback>
        </mc:AlternateContent>
      </w:r>
      <w:r>
        <w:rPr>
          <w:sz w:val="30"/>
        </w:rPr>
        <mc:AlternateContent>
          <mc:Choice Requires="wps">
            <w:drawing>
              <wp:anchor distT="0" distB="0" distL="114300" distR="114300" simplePos="0" relativeHeight="251661312" behindDoc="0" locked="0" layoutInCell="1" allowOverlap="1">
                <wp:simplePos x="0" y="0"/>
                <wp:positionH relativeFrom="column">
                  <wp:posOffset>1856105</wp:posOffset>
                </wp:positionH>
                <wp:positionV relativeFrom="paragraph">
                  <wp:posOffset>146050</wp:posOffset>
                </wp:positionV>
                <wp:extent cx="962025" cy="294640"/>
                <wp:effectExtent l="0" t="0" r="9525" b="10160"/>
                <wp:wrapNone/>
                <wp:docPr id="4" name="文本框 4"/>
                <wp:cNvGraphicFramePr/>
                <a:graphic xmlns:a="http://schemas.openxmlformats.org/drawingml/2006/main">
                  <a:graphicData uri="http://schemas.microsoft.com/office/word/2010/wordprocessingShape">
                    <wps:wsp>
                      <wps:cNvSpPr txBox="1"/>
                      <wps:spPr>
                        <a:xfrm>
                          <a:off x="2703830" y="4644390"/>
                          <a:ext cx="962025" cy="2946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8371.84万元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6.15pt;margin-top:11.5pt;height:23.2pt;width:75.75pt;z-index:251661312;mso-width-relative:page;mso-height-relative:page;" fillcolor="#FFFFFF [3201]" filled="t" stroked="f" coordsize="21600,21600" o:gfxdata="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6VzIB1AAA&#10;AAkBAAAPAAAAAAAAAAEAIAAAACIAAABkcnMvZG93bnJldi54bWxQSwECFAAUAAAACACHTuJAKBLd&#10;vlsCAACaBAAADgAAAAAAAAABACAAAAAjAQAAZHJzL2Uyb0RvYy54bWxQSwUGAAAAAAYABgBZAQAA&#10;8AUAAAAA&#10;">
                <v:fill on="t" focussize="0,0"/>
                <v:stroke on="f" weight="0.5pt"/>
                <v:imagedata o:title=""/>
                <o:lock v:ext="edit" aspectratio="f"/>
                <v:textbox>
                  <w:txbxContent>
                    <w:p>
                      <w:pPr>
                        <w:rPr>
                          <w:rFonts w:hint="default" w:eastAsia="宋体"/>
                          <w:lang w:val="en-US" w:eastAsia="zh-CN"/>
                        </w:rPr>
                      </w:pPr>
                      <w:r>
                        <w:rPr>
                          <w:rFonts w:hint="eastAsia"/>
                          <w:lang w:val="en-US" w:eastAsia="zh-CN"/>
                        </w:rPr>
                        <w:t>8371.84万元</w:t>
                      </w:r>
                    </w:p>
                  </w:txbxContent>
                </v:textbox>
              </v:shape>
            </w:pict>
          </mc:Fallback>
        </mc:AlternateContent>
      </w:r>
      <w:r>
        <w:drawing>
          <wp:inline distT="0" distB="0" distL="114300" distR="114300">
            <wp:extent cx="3592830" cy="1894840"/>
            <wp:effectExtent l="4445" t="4445" r="22225" b="571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val="0"/>
        <w:kinsoku/>
        <w:wordWrap/>
        <w:overflowPunct/>
        <w:topLinePunct w:val="0"/>
        <w:autoSpaceDE/>
        <w:autoSpaceDN/>
        <w:bidi w:val="0"/>
        <w:adjustRightInd/>
        <w:snapToGrid/>
        <w:spacing w:line="576" w:lineRule="exact"/>
        <w:ind w:firstLine="1600" w:firstLineChars="500"/>
        <w:textAlignment w:val="auto"/>
        <w:rPr>
          <w:rFonts w:ascii="仿宋_GB2312" w:eastAsia="仿宋_GB2312"/>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pStyle w:val="31"/>
        <w:keepNext w:val="0"/>
        <w:keepLines w:val="0"/>
        <w:pageBreakBefore w:val="0"/>
        <w:widowControl w:val="0"/>
        <w:numPr>
          <w:ilvl w:val="0"/>
          <w:numId w:val="3"/>
        </w:numPr>
        <w:kinsoku/>
        <w:wordWrap/>
        <w:overflowPunct/>
        <w:topLinePunct w:val="0"/>
        <w:autoSpaceDE/>
        <w:autoSpaceDN/>
        <w:bidi w:val="0"/>
        <w:adjustRightInd/>
        <w:snapToGrid/>
        <w:spacing w:line="576" w:lineRule="exact"/>
        <w:ind w:firstLineChars="0"/>
        <w:textAlignment w:val="auto"/>
        <w:outlineLvl w:val="1"/>
        <w:rPr>
          <w:rStyle w:val="21"/>
          <w:rFonts w:ascii="黑体" w:hAnsi="黑体" w:eastAsia="黑体"/>
          <w:b w:val="0"/>
          <w:color w:val="auto"/>
          <w:highlight w:val="none"/>
        </w:rPr>
      </w:pPr>
      <w:bookmarkStart w:id="35" w:name="_Toc19702"/>
      <w:bookmarkStart w:id="36" w:name="_Toc15377206"/>
      <w:bookmarkStart w:id="37" w:name="_Toc15396604"/>
      <w:bookmarkStart w:id="38" w:name="_Toc12266"/>
      <w:r>
        <w:rPr>
          <w:rFonts w:hint="eastAsia" w:ascii="黑体" w:hAnsi="黑体" w:eastAsia="黑体"/>
          <w:color w:val="auto"/>
          <w:sz w:val="32"/>
          <w:szCs w:val="32"/>
          <w:highlight w:val="none"/>
        </w:rPr>
        <w:t>收</w:t>
      </w:r>
      <w:r>
        <w:rPr>
          <w:rStyle w:val="21"/>
          <w:rFonts w:hint="eastAsia" w:ascii="黑体" w:hAnsi="黑体" w:eastAsia="黑体"/>
          <w:b w:val="0"/>
          <w:color w:val="auto"/>
          <w:highlight w:val="none"/>
        </w:rPr>
        <w:t>入决算情况说明</w:t>
      </w:r>
      <w:bookmarkEnd w:id="35"/>
      <w:bookmarkEnd w:id="36"/>
      <w:bookmarkEnd w:id="37"/>
      <w:bookmarkEnd w:id="3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ascii="仿宋" w:hAnsi="仿宋" w:eastAsia="仿宋"/>
          <w:color w:val="auto"/>
          <w:sz w:val="32"/>
          <w:szCs w:val="32"/>
          <w:highlight w:val="none"/>
        </w:rPr>
      </w:pPr>
      <w:bookmarkStart w:id="39" w:name="_Toc10575"/>
      <w:bookmarkStart w:id="40" w:name="_Toc7673"/>
      <w:bookmarkStart w:id="41" w:name="_Toc17190"/>
      <w:bookmarkStart w:id="42" w:name="_Toc26931"/>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6685.35</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6685.30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99.99</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9"/>
      <w:bookmarkEnd w:id="40"/>
      <w:bookmarkEnd w:id="41"/>
      <w:bookmarkEnd w:id="42"/>
    </w:p>
    <w:p>
      <w:pPr>
        <w:pStyle w:val="2"/>
        <w:jc w:val="center"/>
        <w:rPr>
          <w:rFonts w:hint="eastAsia" w:ascii="仿宋" w:hAnsi="仿宋" w:eastAsia="仿宋"/>
          <w:color w:val="auto"/>
          <w:sz w:val="32"/>
          <w:szCs w:val="32"/>
          <w:highlight w:val="none"/>
        </w:rPr>
      </w:pPr>
      <w:r>
        <w:drawing>
          <wp:inline distT="0" distB="0" distL="114300" distR="114300">
            <wp:extent cx="3531235" cy="2103120"/>
            <wp:effectExtent l="4445" t="4445" r="7620" b="6985"/>
            <wp:docPr id="10"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（图2：收入决算结构图）</w:t>
      </w:r>
    </w:p>
    <w:p>
      <w:pPr>
        <w:spacing w:line="600" w:lineRule="exact"/>
        <w:rPr>
          <w:rFonts w:ascii="仿宋_GB2312" w:eastAsia="仿宋_GB2312"/>
          <w:color w:val="auto"/>
          <w:sz w:val="32"/>
          <w:szCs w:val="32"/>
          <w:highlight w:val="none"/>
        </w:rPr>
      </w:pPr>
    </w:p>
    <w:p>
      <w:pPr>
        <w:pStyle w:val="31"/>
        <w:numPr>
          <w:ilvl w:val="0"/>
          <w:numId w:val="3"/>
        </w:numPr>
        <w:spacing w:line="600" w:lineRule="exact"/>
        <w:ind w:firstLineChars="0"/>
        <w:outlineLvl w:val="1"/>
        <w:rPr>
          <w:rStyle w:val="21"/>
          <w:rFonts w:ascii="黑体" w:hAnsi="黑体" w:eastAsia="黑体"/>
          <w:b w:val="0"/>
          <w:color w:val="auto"/>
          <w:highlight w:val="none"/>
        </w:rPr>
      </w:pPr>
      <w:bookmarkStart w:id="43" w:name="_Toc22410"/>
      <w:bookmarkStart w:id="44" w:name="_Toc15396605"/>
      <w:bookmarkStart w:id="45" w:name="_Toc15377207"/>
      <w:bookmarkStart w:id="46" w:name="_Toc9759"/>
      <w:r>
        <w:rPr>
          <w:rFonts w:hint="eastAsia" w:ascii="黑体" w:hAnsi="黑体" w:eastAsia="黑体"/>
          <w:color w:val="auto"/>
          <w:sz w:val="32"/>
          <w:szCs w:val="32"/>
          <w:highlight w:val="none"/>
        </w:rPr>
        <w:t>支</w:t>
      </w:r>
      <w:r>
        <w:rPr>
          <w:rStyle w:val="21"/>
          <w:rFonts w:hint="eastAsia" w:ascii="黑体" w:hAnsi="黑体" w:eastAsia="黑体"/>
          <w:b w:val="0"/>
          <w:color w:val="auto"/>
          <w:highlight w:val="none"/>
        </w:rPr>
        <w:t>出决算情况说明</w:t>
      </w:r>
      <w:bookmarkEnd w:id="43"/>
      <w:bookmarkEnd w:id="44"/>
      <w:bookmarkEnd w:id="45"/>
      <w:bookmarkEnd w:id="4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ascii="仿宋_GB2312" w:eastAsia="仿宋_GB2312"/>
          <w:color w:val="auto"/>
          <w:sz w:val="32"/>
          <w:szCs w:val="32"/>
          <w:highlight w:val="none"/>
        </w:rPr>
      </w:pPr>
      <w:bookmarkStart w:id="47" w:name="_Toc23626"/>
      <w:bookmarkStart w:id="48" w:name="_Toc23436"/>
      <w:bookmarkStart w:id="49" w:name="_Toc22487"/>
      <w:bookmarkStart w:id="50" w:name="_Toc16772"/>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7259.94</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5642.69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77.72</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1617.25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22.28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47"/>
      <w:bookmarkEnd w:id="48"/>
      <w:bookmarkEnd w:id="49"/>
      <w:bookmarkEnd w:id="50"/>
    </w:p>
    <w:p>
      <w:pPr>
        <w:pStyle w:val="2"/>
        <w:jc w:val="center"/>
      </w:pPr>
      <w:r>
        <w:rPr>
          <w:sz w:val="30"/>
        </w:rPr>
        <mc:AlternateContent>
          <mc:Choice Requires="wps">
            <w:drawing>
              <wp:anchor distT="0" distB="0" distL="114300" distR="114300" simplePos="0" relativeHeight="251663360" behindDoc="0" locked="0" layoutInCell="1" allowOverlap="1">
                <wp:simplePos x="0" y="0"/>
                <wp:positionH relativeFrom="column">
                  <wp:posOffset>3561080</wp:posOffset>
                </wp:positionH>
                <wp:positionV relativeFrom="paragraph">
                  <wp:posOffset>1530350</wp:posOffset>
                </wp:positionV>
                <wp:extent cx="1096010" cy="514350"/>
                <wp:effectExtent l="0" t="0" r="0" b="0"/>
                <wp:wrapNone/>
                <wp:docPr id="12" name="文本框 12"/>
                <wp:cNvGraphicFramePr/>
                <a:graphic xmlns:a="http://schemas.openxmlformats.org/drawingml/2006/main">
                  <a:graphicData uri="http://schemas.microsoft.com/office/word/2010/wordprocessingShape">
                    <wps:wsp>
                      <wps:cNvSpPr txBox="1"/>
                      <wps:spPr>
                        <a:xfrm>
                          <a:off x="3751580" y="4355465"/>
                          <a:ext cx="1096010" cy="5143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5642.69万元，占比77.72%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0.4pt;margin-top:120.5pt;height:40.5pt;width:86.3pt;z-index:251663360;mso-width-relative:page;mso-height-relative:page;" filled="f" stroked="f" coordsize="21600,21600" o:gfxdata="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JRaeYLcAAAACwEAAA8AAAAAAAAA&#10;AQAgAAAAIgAAAGRycy9kb3ducmV2LnhtbFBLAQIUABQAAAAIAIdO4kDP6DF3RgIAAHQEAAAOAAAA&#10;AAAAAAEAIAAAACsBAABkcnMvZTJvRG9jLnhtbFBLBQYAAAAABgAGAFkBAADjBQAAAAA=&#10;">
                <v:fill on="f" focussize="0,0"/>
                <v:stroke on="f" weight="0.5pt"/>
                <v:imagedata o:title=""/>
                <o:lock v:ext="edit" aspectratio="f"/>
                <v:textbox>
                  <w:txbxContent>
                    <w:p>
                      <w:pPr>
                        <w:rPr>
                          <w:rFonts w:hint="default" w:eastAsia="宋体"/>
                          <w:lang w:val="en-US" w:eastAsia="zh-CN"/>
                        </w:rPr>
                      </w:pPr>
                      <w:r>
                        <w:rPr>
                          <w:rFonts w:hint="eastAsia"/>
                          <w:lang w:val="en-US" w:eastAsia="zh-CN"/>
                        </w:rPr>
                        <w:t>5642.69万元，占比77.72%</w:t>
                      </w:r>
                    </w:p>
                  </w:txbxContent>
                </v:textbox>
              </v:shape>
            </w:pict>
          </mc:Fallback>
        </mc:AlternateContent>
      </w:r>
      <w:r>
        <w:rPr>
          <w:sz w:val="30"/>
        </w:rPr>
        <mc:AlternateContent>
          <mc:Choice Requires="wps">
            <w:drawing>
              <wp:anchor distT="0" distB="0" distL="114300" distR="114300" simplePos="0" relativeHeight="251668480" behindDoc="0" locked="0" layoutInCell="1" allowOverlap="1">
                <wp:simplePos x="0" y="0"/>
                <wp:positionH relativeFrom="column">
                  <wp:posOffset>1875155</wp:posOffset>
                </wp:positionH>
                <wp:positionV relativeFrom="paragraph">
                  <wp:posOffset>861060</wp:posOffset>
                </wp:positionV>
                <wp:extent cx="438150" cy="133350"/>
                <wp:effectExtent l="3810" t="12065" r="15240" b="26035"/>
                <wp:wrapNone/>
                <wp:docPr id="19" name="直接箭头连接符 19"/>
                <wp:cNvGraphicFramePr/>
                <a:graphic xmlns:a="http://schemas.openxmlformats.org/drawingml/2006/main">
                  <a:graphicData uri="http://schemas.microsoft.com/office/word/2010/wordprocessingShape">
                    <wps:wsp>
                      <wps:cNvCnPr/>
                      <wps:spPr>
                        <a:xfrm>
                          <a:off x="3018155" y="3268980"/>
                          <a:ext cx="438150" cy="13335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47.65pt;margin-top:67.8pt;height:10.5pt;width:34.5pt;z-index:251668480;mso-width-relative:page;mso-height-relative:page;" filled="f" stroked="t" coordsize="21600,21600" o:gfxdata="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EDHtHaAAAACwEAAA8AAAAAAAAAAQAgAAAA&#10;IgAAAGRycy9kb3ducmV2LnhtbFBLAQIUABQAAAAIAIdO4kCfcpa4CQIAANoDAAAOAAAAAAAAAAEA&#10;IAAAACkBAABkcnMvZTJvRG9jLnhtbFBLBQYAAAAABgAGAFkBAACkBQAAAAA=&#10;">
                <v:fill on="f" focussize="0,0"/>
                <v:stroke weight="2pt" color="#000000 [3213]" joinstyle="round" endarrow="open"/>
                <v:imagedata o:title=""/>
                <o:lock v:ext="edit" aspectratio="f"/>
              </v:shape>
            </w:pict>
          </mc:Fallback>
        </mc:AlternateContent>
      </w:r>
      <w:r>
        <w:rPr>
          <w:sz w:val="30"/>
        </w:rPr>
        <mc:AlternateContent>
          <mc:Choice Requires="wps">
            <w:drawing>
              <wp:anchor distT="0" distB="0" distL="114300" distR="114300" simplePos="0" relativeHeight="251667456" behindDoc="0" locked="0" layoutInCell="1" allowOverlap="1">
                <wp:simplePos x="0" y="0"/>
                <wp:positionH relativeFrom="column">
                  <wp:posOffset>3237230</wp:posOffset>
                </wp:positionH>
                <wp:positionV relativeFrom="paragraph">
                  <wp:posOffset>1499235</wp:posOffset>
                </wp:positionV>
                <wp:extent cx="323850" cy="288290"/>
                <wp:effectExtent l="0" t="0" r="19050" b="16510"/>
                <wp:wrapNone/>
                <wp:docPr id="18" name="直接箭头连接符 18"/>
                <wp:cNvGraphicFramePr/>
                <a:graphic xmlns:a="http://schemas.openxmlformats.org/drawingml/2006/main">
                  <a:graphicData uri="http://schemas.microsoft.com/office/word/2010/wordprocessingShape">
                    <wps:wsp>
                      <wps:cNvCnPr>
                        <a:stCxn id="12" idx="1"/>
                      </wps:cNvCnPr>
                      <wps:spPr>
                        <a:xfrm flipH="1" flipV="1">
                          <a:off x="4180205" y="3869055"/>
                          <a:ext cx="323850" cy="28829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254.9pt;margin-top:118.05pt;height:22.7pt;width:25.5pt;z-index:251667456;mso-width-relative:page;mso-height-relative:page;" filled="f" stroked="t" coordsize="21600,21600" o:gfxdata="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k/JdpNgAAAALAQAADwAAAAAAAAABACAAAAAiAAAAZHJzL2Rvd25yZXYueG1sUEsBAhQAFAAAAAgA&#10;h07iQKC4ynIlAgAAFQQAAA4AAAAAAAAAAQAgAAAAJwEAAGRycy9lMm9Eb2MueG1sUEsFBgAAAAAG&#10;AAYAWQEAAL4FAAAAAA==&#10;">
                <v:fill on="f" focussize="0,0"/>
                <v:stroke weight="2pt" color="#000000 [3213]" joinstyle="round" endarrow="open"/>
                <v:imagedata o:title=""/>
                <o:lock v:ext="edit" aspectratio="f"/>
              </v:shape>
            </w:pict>
          </mc:Fallback>
        </mc:AlternateContent>
      </w:r>
      <w:r>
        <w:rPr>
          <w:sz w:val="30"/>
        </w:rPr>
        <mc:AlternateContent>
          <mc:Choice Requires="wps">
            <w:drawing>
              <wp:anchor distT="0" distB="0" distL="114300" distR="114300" simplePos="0" relativeHeight="251664384" behindDoc="0" locked="0" layoutInCell="1" allowOverlap="1">
                <wp:simplePos x="0" y="0"/>
                <wp:positionH relativeFrom="column">
                  <wp:posOffset>1046480</wp:posOffset>
                </wp:positionH>
                <wp:positionV relativeFrom="paragraph">
                  <wp:posOffset>596900</wp:posOffset>
                </wp:positionV>
                <wp:extent cx="1096010" cy="51435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096010" cy="5143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1617.25万元，占比22.28%</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2.4pt;margin-top:47pt;height:40.5pt;width:86.3pt;z-index:251664384;mso-width-relative:page;mso-height-relative:page;" filled="f" stroked="f" coordsize="21600,21600" o:gfxdata="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M8/kkNsAAAAKAQAADwAAAAAAAAABACAAAAAiAAAAZHJz&#10;L2Rvd25yZXYueG1sUEsBAhQAFAAAAAgAh07iQMcDwms6AgAAaAQAAA4AAAAAAAAAAQAgAAAAKgEA&#10;AGRycy9lMm9Eb2MueG1sUEsFBgAAAAAGAAYAWQEAANYFAAAAAA==&#10;">
                <v:fill on="f" focussize="0,0"/>
                <v:stroke on="f" weight="0.5pt"/>
                <v:imagedata o:title=""/>
                <o:lock v:ext="edit" aspectratio="f"/>
                <v:textbox>
                  <w:txbxContent>
                    <w:p>
                      <w:pPr>
                        <w:rPr>
                          <w:rFonts w:hint="default" w:eastAsia="宋体"/>
                          <w:lang w:val="en-US" w:eastAsia="zh-CN"/>
                        </w:rPr>
                      </w:pPr>
                      <w:r>
                        <w:rPr>
                          <w:rFonts w:hint="eastAsia"/>
                          <w:lang w:val="en-US" w:eastAsia="zh-CN"/>
                        </w:rPr>
                        <w:t>1617.25万元，占比22.28%</w:t>
                      </w:r>
                    </w:p>
                  </w:txbxContent>
                </v:textbox>
              </v:shape>
            </w:pict>
          </mc:Fallback>
        </mc:AlternateContent>
      </w:r>
      <w:r>
        <w:drawing>
          <wp:inline distT="0" distB="0" distL="114300" distR="114300">
            <wp:extent cx="3481705" cy="2190750"/>
            <wp:effectExtent l="4445" t="4445" r="19050" b="1460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pPr>
      <w:r>
        <w:rPr>
          <w:rFonts w:hint="eastAsia" w:ascii="仿宋" w:hAnsi="仿宋" w:eastAsia="仿宋"/>
          <w:color w:val="auto"/>
          <w:sz w:val="32"/>
          <w:szCs w:val="32"/>
          <w:highlight w:val="none"/>
        </w:rPr>
        <w:t>（图3：支出决算结构图）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Style w:val="21"/>
          <w:rFonts w:ascii="黑体" w:hAnsi="黑体" w:eastAsia="黑体"/>
          <w:b w:val="0"/>
          <w:color w:val="auto"/>
          <w:highlight w:val="none"/>
        </w:rPr>
      </w:pPr>
      <w:bookmarkStart w:id="51" w:name="_Toc18839"/>
      <w:bookmarkStart w:id="52" w:name="_Toc15396606"/>
      <w:bookmarkStart w:id="53" w:name="_Toc15377208"/>
      <w:bookmarkStart w:id="54" w:name="_Toc19827"/>
      <w:r>
        <w:rPr>
          <w:rFonts w:hint="eastAsia" w:ascii="黑体" w:hAnsi="黑体" w:eastAsia="黑体"/>
          <w:color w:val="auto"/>
          <w:sz w:val="32"/>
          <w:szCs w:val="32"/>
          <w:highlight w:val="none"/>
        </w:rPr>
        <w:t>四、财</w:t>
      </w:r>
      <w:r>
        <w:rPr>
          <w:rStyle w:val="21"/>
          <w:rFonts w:hint="eastAsia" w:ascii="黑体" w:hAnsi="黑体" w:eastAsia="黑体"/>
          <w:b w:val="0"/>
          <w:color w:val="auto"/>
          <w:highlight w:val="none"/>
        </w:rPr>
        <w:t>政拨款收入支出决算总体情况说明</w:t>
      </w:r>
      <w:bookmarkEnd w:id="51"/>
      <w:bookmarkEnd w:id="52"/>
      <w:bookmarkEnd w:id="53"/>
      <w:bookmarkEnd w:id="5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7368.56</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年相比，财政拨款收、支总计</w:t>
      </w:r>
      <w:r>
        <w:rPr>
          <w:rFonts w:hint="eastAsia" w:ascii="仿宋" w:hAnsi="仿宋" w:eastAsia="仿宋"/>
          <w:color w:val="auto"/>
          <w:sz w:val="32"/>
          <w:szCs w:val="32"/>
          <w:highlight w:val="none"/>
          <w:lang w:val="en-US" w:eastAsia="zh-CN"/>
        </w:rPr>
        <w:t>各</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1002.88</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11.98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2022年职业年金贴息收、支较上年减少1218.26万元。</w:t>
      </w:r>
    </w:p>
    <w:p>
      <w:pPr>
        <w:pStyle w:val="2"/>
        <w:jc w:val="center"/>
        <w:rPr>
          <w:rFonts w:ascii="仿宋" w:hAnsi="仿宋" w:eastAsia="仿宋"/>
          <w:color w:val="auto"/>
          <w:sz w:val="32"/>
          <w:szCs w:val="32"/>
          <w:highlight w:val="none"/>
        </w:rPr>
      </w:pPr>
      <w:r>
        <w:rPr>
          <w:sz w:val="30"/>
        </w:rPr>
        <mc:AlternateContent>
          <mc:Choice Requires="wps">
            <w:drawing>
              <wp:anchor distT="0" distB="0" distL="114300" distR="114300" simplePos="0" relativeHeight="251666432" behindDoc="0" locked="0" layoutInCell="1" allowOverlap="1">
                <wp:simplePos x="0" y="0"/>
                <wp:positionH relativeFrom="column">
                  <wp:posOffset>3190240</wp:posOffset>
                </wp:positionH>
                <wp:positionV relativeFrom="paragraph">
                  <wp:posOffset>154305</wp:posOffset>
                </wp:positionV>
                <wp:extent cx="998855" cy="266065"/>
                <wp:effectExtent l="0" t="0" r="10795" b="635"/>
                <wp:wrapNone/>
                <wp:docPr id="17" name="文本框 17"/>
                <wp:cNvGraphicFramePr/>
                <a:graphic xmlns:a="http://schemas.openxmlformats.org/drawingml/2006/main">
                  <a:graphicData uri="http://schemas.microsoft.com/office/word/2010/wordprocessingShape">
                    <wps:wsp>
                      <wps:cNvSpPr txBox="1"/>
                      <wps:spPr>
                        <a:xfrm>
                          <a:off x="0" y="0"/>
                          <a:ext cx="998855" cy="2660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8371.44万元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1.2pt;margin-top:12.15pt;height:20.95pt;width:78.65pt;z-index:251666432;mso-width-relative:page;mso-height-relative:page;" fillcolor="#FFFFFF [3201]" filled="t" stroked="f" coordsize="21600,21600" o:gfxdata="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N53V5HVAAAACQEAAA8AAAAA&#10;AAAAAQAgAAAAIgAAAGRycy9kb3ducmV2LnhtbFBLAQIUABQAAAAIAIdO4kARobJNUAIAAJAEAAAO&#10;AAAAAAAAAAEAIAAAACQBAABkcnMvZTJvRG9jLnhtbFBLBQYAAAAABgAGAFkBAADmBQAAAAA=&#10;">
                <v:fill on="t" focussize="0,0"/>
                <v:stroke on="f" weight="0.5pt"/>
                <v:imagedata o:title=""/>
                <o:lock v:ext="edit" aspectratio="f"/>
                <v:textbox>
                  <w:txbxContent>
                    <w:p>
                      <w:pPr>
                        <w:rPr>
                          <w:rFonts w:hint="default" w:eastAsia="宋体"/>
                          <w:lang w:val="en-US" w:eastAsia="zh-CN"/>
                        </w:rPr>
                      </w:pPr>
                      <w:r>
                        <w:rPr>
                          <w:rFonts w:hint="eastAsia"/>
                          <w:lang w:val="en-US" w:eastAsia="zh-CN"/>
                        </w:rPr>
                        <w:t>8371.44万元</w:t>
                      </w:r>
                    </w:p>
                  </w:txbxContent>
                </v:textbox>
              </v:shape>
            </w:pict>
          </mc:Fallback>
        </mc:AlternateContent>
      </w:r>
      <w:r>
        <w:rPr>
          <w:sz w:val="30"/>
        </w:rPr>
        <mc:AlternateContent>
          <mc:Choice Requires="wps">
            <w:drawing>
              <wp:anchor distT="0" distB="0" distL="114300" distR="114300" simplePos="0" relativeHeight="251665408" behindDoc="0" locked="0" layoutInCell="1" allowOverlap="1">
                <wp:simplePos x="0" y="0"/>
                <wp:positionH relativeFrom="column">
                  <wp:posOffset>1732915</wp:posOffset>
                </wp:positionH>
                <wp:positionV relativeFrom="paragraph">
                  <wp:posOffset>1078230</wp:posOffset>
                </wp:positionV>
                <wp:extent cx="998855" cy="266065"/>
                <wp:effectExtent l="0" t="0" r="10795" b="635"/>
                <wp:wrapNone/>
                <wp:docPr id="15" name="文本框 15"/>
                <wp:cNvGraphicFramePr/>
                <a:graphic xmlns:a="http://schemas.openxmlformats.org/drawingml/2006/main">
                  <a:graphicData uri="http://schemas.microsoft.com/office/word/2010/wordprocessingShape">
                    <wps:wsp>
                      <wps:cNvSpPr txBox="1"/>
                      <wps:spPr>
                        <a:xfrm>
                          <a:off x="2799080" y="8145780"/>
                          <a:ext cx="998855" cy="2660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7368.56万元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6.45pt;margin-top:84.9pt;height:20.95pt;width:78.65pt;z-index:251665408;mso-width-relative:page;mso-height-relative:page;" fillcolor="#FFFFFF [3201]" filled="t" stroked="f" coordsize="21600,21600" o:gfxdata="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B5NdOdUA&#10;AAALAQAADwAAAAAAAAABACAAAAAiAAAAZHJzL2Rvd25yZXYueG1sUEsBAhQAFAAAAAgAh07iQEp9&#10;Y6JbAgAAnAQAAA4AAAAAAAAAAQAgAAAAJAEAAGRycy9lMm9Eb2MueG1sUEsFBgAAAAAGAAYAWQEA&#10;APEFAAAAAA==&#10;">
                <v:fill on="t" focussize="0,0"/>
                <v:stroke on="f" weight="0.5pt"/>
                <v:imagedata o:title=""/>
                <o:lock v:ext="edit" aspectratio="f"/>
                <v:textbox>
                  <w:txbxContent>
                    <w:p>
                      <w:pPr>
                        <w:rPr>
                          <w:rFonts w:hint="default" w:eastAsia="宋体"/>
                          <w:lang w:val="en-US" w:eastAsia="zh-CN"/>
                        </w:rPr>
                      </w:pPr>
                      <w:r>
                        <w:rPr>
                          <w:rFonts w:hint="eastAsia"/>
                          <w:lang w:val="en-US" w:eastAsia="zh-CN"/>
                        </w:rPr>
                        <w:t>7368.56万元</w:t>
                      </w:r>
                    </w:p>
                  </w:txbxContent>
                </v:textbox>
              </v:shape>
            </w:pict>
          </mc:Fallback>
        </mc:AlternateContent>
      </w:r>
      <w:r>
        <w:drawing>
          <wp:inline distT="0" distB="0" distL="114300" distR="114300">
            <wp:extent cx="3434715" cy="2047875"/>
            <wp:effectExtent l="4445" t="4445" r="8890" b="508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jc w:val="center"/>
        <w:rPr>
          <w:rFonts w:ascii="仿宋" w:hAnsi="仿宋" w:eastAsia="仿宋"/>
          <w:b/>
          <w:color w:val="auto"/>
          <w:sz w:val="32"/>
          <w:szCs w:val="32"/>
          <w:highlight w:val="none"/>
        </w:rPr>
      </w:pPr>
      <w:r>
        <w:rPr>
          <w:rFonts w:hint="eastAsia" w:ascii="仿宋" w:hAnsi="仿宋" w:eastAsia="仿宋"/>
          <w:color w:val="auto"/>
          <w:sz w:val="32"/>
          <w:szCs w:val="32"/>
          <w:highlight w:val="none"/>
        </w:rPr>
        <w:t>（图4：财政拨款收、支决算总计变动情况）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Style w:val="21"/>
          <w:rFonts w:ascii="黑体" w:hAnsi="黑体" w:eastAsia="黑体"/>
          <w:b w:val="0"/>
          <w:color w:val="auto"/>
          <w:highlight w:val="none"/>
        </w:rPr>
      </w:pPr>
      <w:bookmarkStart w:id="55" w:name="_Toc15396607"/>
      <w:bookmarkStart w:id="56" w:name="_Toc15377209"/>
      <w:bookmarkStart w:id="57" w:name="_Toc11445"/>
      <w:bookmarkStart w:id="58" w:name="_Toc27692"/>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1"/>
          <w:rFonts w:hint="eastAsia" w:ascii="黑体" w:hAnsi="黑体" w:eastAsia="黑体"/>
          <w:b w:val="0"/>
          <w:color w:val="auto"/>
          <w:highlight w:val="none"/>
        </w:rPr>
        <w:t>般公共预算财政拨款支出决算情况说明</w:t>
      </w:r>
      <w:bookmarkEnd w:id="55"/>
      <w:bookmarkEnd w:id="56"/>
      <w:bookmarkEnd w:id="57"/>
      <w:bookmarkEnd w:id="58"/>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ascii="仿宋" w:hAnsi="仿宋" w:eastAsia="仿宋"/>
          <w:b/>
          <w:color w:val="auto"/>
          <w:sz w:val="32"/>
          <w:szCs w:val="32"/>
          <w:highlight w:val="none"/>
        </w:rPr>
      </w:pPr>
      <w:bookmarkStart w:id="59" w:name="_Toc15377210"/>
      <w:r>
        <w:rPr>
          <w:rFonts w:hint="eastAsia" w:ascii="仿宋" w:hAnsi="仿宋" w:eastAsia="仿宋"/>
          <w:b/>
          <w:color w:val="auto"/>
          <w:sz w:val="32"/>
          <w:szCs w:val="32"/>
          <w:highlight w:val="none"/>
        </w:rPr>
        <w:t>（一）一般公共预算财政拨款支出决算总体情况</w:t>
      </w:r>
      <w:bookmarkEnd w:id="5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7259.83</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99.99</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193.35</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2.59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2022年职业年金贴息收、支较上年减少所致。</w:t>
      </w:r>
    </w:p>
    <w:p>
      <w:pPr>
        <w:pStyle w:val="2"/>
        <w:rPr>
          <w:rFonts w:hint="default" w:ascii="仿宋" w:hAnsi="仿宋" w:eastAsia="仿宋"/>
          <w:color w:val="auto"/>
          <w:sz w:val="32"/>
          <w:szCs w:val="32"/>
          <w:highlight w:val="none"/>
          <w:lang w:val="en-US" w:eastAsia="zh-CN"/>
        </w:rPr>
      </w:pPr>
      <w:r>
        <w:rPr>
          <w:sz w:val="30"/>
        </w:rPr>
        <mc:AlternateContent>
          <mc:Choice Requires="wps">
            <w:drawing>
              <wp:anchor distT="0" distB="0" distL="114300" distR="114300" simplePos="0" relativeHeight="251669504" behindDoc="0" locked="0" layoutInCell="1" allowOverlap="1">
                <wp:simplePos x="0" y="0"/>
                <wp:positionH relativeFrom="column">
                  <wp:posOffset>1779905</wp:posOffset>
                </wp:positionH>
                <wp:positionV relativeFrom="paragraph">
                  <wp:posOffset>960755</wp:posOffset>
                </wp:positionV>
                <wp:extent cx="980440" cy="285750"/>
                <wp:effectExtent l="0" t="0" r="10160" b="0"/>
                <wp:wrapNone/>
                <wp:docPr id="20" name="文本框 20"/>
                <wp:cNvGraphicFramePr/>
                <a:graphic xmlns:a="http://schemas.openxmlformats.org/drawingml/2006/main">
                  <a:graphicData uri="http://schemas.microsoft.com/office/word/2010/wordprocessingShape">
                    <wps:wsp>
                      <wps:cNvSpPr txBox="1"/>
                      <wps:spPr>
                        <a:xfrm>
                          <a:off x="2827655" y="4599305"/>
                          <a:ext cx="980440"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7259.83万元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0.15pt;margin-top:75.65pt;height:22.5pt;width:77.2pt;z-index:251669504;mso-width-relative:page;mso-height-relative:page;" fillcolor="#FFFFFF [3201]" filled="t" stroked="f" coordsize="21600,21600" o:gfxdata="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IlO58&#10;1gAAAAsBAAAPAAAAAAAAAAEAIAAAACIAAABkcnMvZG93bnJldi54bWxQSwECFAAUAAAACACHTuJA&#10;3ojkrlwCAACcBAAADgAAAAAAAAABACAAAAAlAQAAZHJzL2Uyb0RvYy54bWxQSwUGAAAAAAYABgBZ&#10;AQAA8wUAAAAA&#10;">
                <v:fill on="t" focussize="0,0"/>
                <v:stroke on="f" weight="0.5pt"/>
                <v:imagedata o:title=""/>
                <o:lock v:ext="edit" aspectratio="f"/>
                <v:textbox>
                  <w:txbxContent>
                    <w:p>
                      <w:pPr>
                        <w:rPr>
                          <w:rFonts w:hint="default" w:eastAsia="宋体"/>
                          <w:lang w:val="en-US" w:eastAsia="zh-CN"/>
                        </w:rPr>
                      </w:pPr>
                      <w:r>
                        <w:rPr>
                          <w:rFonts w:hint="eastAsia"/>
                          <w:lang w:val="en-US" w:eastAsia="zh-CN"/>
                        </w:rPr>
                        <w:t>7259.83万元</w:t>
                      </w:r>
                    </w:p>
                  </w:txbxContent>
                </v:textbox>
              </v:shape>
            </w:pict>
          </mc:Fallback>
        </mc:AlternateContent>
      </w:r>
      <w:r>
        <w:rPr>
          <w:sz w:val="30"/>
        </w:rPr>
        <mc:AlternateContent>
          <mc:Choice Requires="wps">
            <w:drawing>
              <wp:anchor distT="0" distB="0" distL="114300" distR="114300" simplePos="0" relativeHeight="251670528" behindDoc="0" locked="0" layoutInCell="1" allowOverlap="1">
                <wp:simplePos x="0" y="0"/>
                <wp:positionH relativeFrom="column">
                  <wp:posOffset>3189605</wp:posOffset>
                </wp:positionH>
                <wp:positionV relativeFrom="paragraph">
                  <wp:posOffset>160655</wp:posOffset>
                </wp:positionV>
                <wp:extent cx="980440" cy="285750"/>
                <wp:effectExtent l="0" t="0" r="10160" b="0"/>
                <wp:wrapNone/>
                <wp:docPr id="21" name="文本框 21"/>
                <wp:cNvGraphicFramePr/>
                <a:graphic xmlns:a="http://schemas.openxmlformats.org/drawingml/2006/main">
                  <a:graphicData uri="http://schemas.microsoft.com/office/word/2010/wordprocessingShape">
                    <wps:wsp>
                      <wps:cNvSpPr txBox="1"/>
                      <wps:spPr>
                        <a:xfrm>
                          <a:off x="0" y="0"/>
                          <a:ext cx="980440"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7453.18万元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1.15pt;margin-top:12.65pt;height:22.5pt;width:77.2pt;z-index:251670528;mso-width-relative:page;mso-height-relative:page;" fillcolor="#FFFFFF [3201]" filled="t" stroked="f" coordsize="21600,21600" o:gfxdata="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HTMIC1QAAAAkBAAAPAAAAAAAA&#10;AAEAIAAAACIAAABkcnMvZG93bnJldi54bWxQSwECFAAUAAAACACHTuJAzCBemU4CAACQBAAADgAA&#10;AAAAAAABACAAAAAkAQAAZHJzL2Uyb0RvYy54bWxQSwUGAAAAAAYABgBZAQAA5AUAAAAA&#10;">
                <v:fill on="t" focussize="0,0"/>
                <v:stroke on="f" weight="0.5pt"/>
                <v:imagedata o:title=""/>
                <o:lock v:ext="edit" aspectratio="f"/>
                <v:textbox>
                  <w:txbxContent>
                    <w:p>
                      <w:pPr>
                        <w:rPr>
                          <w:rFonts w:hint="default" w:eastAsia="宋体"/>
                          <w:lang w:val="en-US" w:eastAsia="zh-CN"/>
                        </w:rPr>
                      </w:pPr>
                      <w:r>
                        <w:rPr>
                          <w:rFonts w:hint="eastAsia"/>
                          <w:lang w:val="en-US" w:eastAsia="zh-CN"/>
                        </w:rPr>
                        <w:t>7453.18万元</w:t>
                      </w:r>
                    </w:p>
                  </w:txbxContent>
                </v:textbox>
              </v:shape>
            </w:pict>
          </mc:Fallback>
        </mc:AlternateContent>
      </w:r>
      <w:r>
        <w:rPr>
          <w:rFonts w:hint="eastAsia"/>
          <w:lang w:val="en-US" w:eastAsia="zh-CN"/>
        </w:rPr>
        <w:t xml:space="preserve">           </w:t>
      </w:r>
      <w:r>
        <w:drawing>
          <wp:inline distT="0" distB="0" distL="114300" distR="114300">
            <wp:extent cx="3655060" cy="1897380"/>
            <wp:effectExtent l="4445" t="4445" r="17145" b="2222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p>
    <w:p>
      <w:pPr>
        <w:spacing w:line="600" w:lineRule="exact"/>
        <w:ind w:firstLine="643" w:firstLineChars="200"/>
        <w:outlineLvl w:val="2"/>
        <w:rPr>
          <w:rFonts w:ascii="仿宋" w:hAnsi="仿宋" w:eastAsia="仿宋"/>
          <w:b/>
          <w:color w:val="auto"/>
          <w:sz w:val="32"/>
          <w:szCs w:val="32"/>
          <w:highlight w:val="none"/>
        </w:rPr>
      </w:pPr>
      <w:bookmarkStart w:id="60" w:name="_Toc15377211"/>
      <w:r>
        <w:rPr>
          <w:rFonts w:hint="eastAsia" w:ascii="仿宋" w:hAnsi="仿宋" w:eastAsia="仿宋"/>
          <w:b/>
          <w:color w:val="auto"/>
          <w:sz w:val="32"/>
          <w:szCs w:val="32"/>
          <w:highlight w:val="none"/>
        </w:rPr>
        <w:t>（二）一般公共预算财政拨款支出决算结构情况</w:t>
      </w:r>
      <w:bookmarkEnd w:id="60"/>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7259.83</w:t>
      </w:r>
      <w:r>
        <w:rPr>
          <w:rFonts w:hint="eastAsia" w:ascii="仿宋" w:hAnsi="仿宋" w:eastAsia="仿宋"/>
          <w:color w:val="auto"/>
          <w:sz w:val="32"/>
          <w:szCs w:val="32"/>
          <w:highlight w:val="none"/>
        </w:rPr>
        <w:t>万元，主要用于以下方面</w:t>
      </w:r>
      <w:r>
        <w:rPr>
          <w:rFonts w:hint="eastAsia" w:ascii="仿宋" w:hAnsi="仿宋" w:eastAsia="仿宋"/>
          <w:color w:val="auto"/>
          <w:sz w:val="32"/>
          <w:szCs w:val="32"/>
          <w:highlight w:val="none"/>
          <w:lang w:eastAsia="zh-CN"/>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6741.35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92.86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140.19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1.93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lang w:val="en-US" w:eastAsia="zh-CN"/>
        </w:rPr>
        <w:t>农林水支出</w:t>
      </w:r>
      <w:r>
        <w:rPr>
          <w:rFonts w:hint="eastAsia" w:ascii="仿宋" w:hAnsi="仿宋" w:eastAsia="仿宋"/>
          <w:color w:val="auto"/>
          <w:sz w:val="32"/>
          <w:szCs w:val="32"/>
          <w:highlight w:val="none"/>
          <w:lang w:val="en-US" w:eastAsia="zh-CN"/>
        </w:rPr>
        <w:t>15.46万元，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0.21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362.83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2"/>
        <w:jc w:val="center"/>
        <w:rPr>
          <w:rFonts w:ascii="仿宋" w:hAnsi="仿宋" w:eastAsia="仿宋"/>
          <w:color w:val="auto"/>
          <w:sz w:val="32"/>
          <w:szCs w:val="32"/>
          <w:highlight w:val="none"/>
        </w:rPr>
      </w:pPr>
      <w:r>
        <w:rPr>
          <w:sz w:val="30"/>
        </w:rPr>
        <mc:AlternateContent>
          <mc:Choice Requires="wps">
            <w:drawing>
              <wp:anchor distT="0" distB="0" distL="114300" distR="114300" simplePos="0" relativeHeight="251677696" behindDoc="0" locked="0" layoutInCell="1" allowOverlap="1">
                <wp:simplePos x="0" y="0"/>
                <wp:positionH relativeFrom="column">
                  <wp:posOffset>2294255</wp:posOffset>
                </wp:positionH>
                <wp:positionV relativeFrom="paragraph">
                  <wp:posOffset>410210</wp:posOffset>
                </wp:positionV>
                <wp:extent cx="390525" cy="76200"/>
                <wp:effectExtent l="0" t="6350" r="9525" b="50800"/>
                <wp:wrapNone/>
                <wp:docPr id="27" name="直接箭头连接符 27"/>
                <wp:cNvGraphicFramePr/>
                <a:graphic xmlns:a="http://schemas.openxmlformats.org/drawingml/2006/main">
                  <a:graphicData uri="http://schemas.microsoft.com/office/word/2010/wordprocessingShape">
                    <wps:wsp>
                      <wps:cNvCnPr/>
                      <wps:spPr>
                        <a:xfrm flipH="1">
                          <a:off x="3332480" y="7683500"/>
                          <a:ext cx="390525" cy="76200"/>
                        </a:xfrm>
                        <a:prstGeom prst="straightConnector1">
                          <a:avLst/>
                        </a:prstGeom>
                        <a:ln w="127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80.65pt;margin-top:32.3pt;height:6pt;width:30.75pt;z-index:251677696;mso-width-relative:page;mso-height-relative:page;" filled="f" stroked="t" coordsize="21600,21600" o:gfxdata="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FC3QC2AAAAAkBAAAPAAAAAAAAAAEA&#10;IAAAACIAAABkcnMvZG93bnJldi54bWxQSwECFAAUAAAACACHTuJAGvjxdA8CAADjAwAADgAAAAAA&#10;AAABACAAAAAnAQAAZHJzL2Uyb0RvYy54bWxQSwUGAAAAAAYABgBZAQAAqAUAAAAA&#10;">
                <v:fill on="f" focussize="0,0"/>
                <v:stroke weight="1pt" color="#000000 [3213]" joinstyle="round" endarrow="open"/>
                <v:imagedata o:title=""/>
                <o:lock v:ext="edit" aspectratio="f"/>
              </v:shape>
            </w:pict>
          </mc:Fallback>
        </mc:AlternateContent>
      </w:r>
      <w:r>
        <w:rPr>
          <w:sz w:val="30"/>
        </w:rPr>
        <mc:AlternateContent>
          <mc:Choice Requires="wps">
            <w:drawing>
              <wp:anchor distT="0" distB="0" distL="114300" distR="114300" simplePos="0" relativeHeight="251673600" behindDoc="0" locked="0" layoutInCell="1" allowOverlap="1">
                <wp:simplePos x="0" y="0"/>
                <wp:positionH relativeFrom="column">
                  <wp:posOffset>1779905</wp:posOffset>
                </wp:positionH>
                <wp:positionV relativeFrom="paragraph">
                  <wp:posOffset>486410</wp:posOffset>
                </wp:positionV>
                <wp:extent cx="333375" cy="676275"/>
                <wp:effectExtent l="5715" t="0" r="22860" b="9525"/>
                <wp:wrapNone/>
                <wp:docPr id="23" name="直接箭头连接符 23"/>
                <wp:cNvGraphicFramePr/>
                <a:graphic xmlns:a="http://schemas.openxmlformats.org/drawingml/2006/main">
                  <a:graphicData uri="http://schemas.microsoft.com/office/word/2010/wordprocessingShape">
                    <wps:wsp>
                      <wps:cNvCnPr/>
                      <wps:spPr>
                        <a:xfrm flipV="1">
                          <a:off x="2837180" y="7731125"/>
                          <a:ext cx="333375" cy="676275"/>
                        </a:xfrm>
                        <a:prstGeom prst="straightConnector1">
                          <a:avLst/>
                        </a:prstGeom>
                        <a:ln w="12700" cmpd="sng">
                          <a:solidFill>
                            <a:schemeClr val="tx1"/>
                          </a:solidFill>
                          <a:prstDash val="solid"/>
                          <a:tailEnd type="arrow"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140.15pt;margin-top:38.3pt;height:53.25pt;width:26.25pt;z-index:251673600;mso-width-relative:page;mso-height-relative:page;" filled="f" stroked="t" coordsize="21600,21600" o:gfxdata="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hl0lHXAAAACgEAAA8AAAAAAAAAAQAgAAAA&#10;IgAAAGRycy9kb3ducmV2LnhtbFBLAQIUABQAAAAIAIdO4kCOKRPgDAIAAOADAAAOAAAAAAAAAAEA&#10;IAAAACYBAABkcnMvZTJvRG9jLnhtbFBLBQYAAAAABgAGAFkBAACkBQAAAAA=&#10;">
                <v:fill on="f" focussize="0,0"/>
                <v:stroke weight="1pt" color="#000000 [3213]" joinstyle="round" endarrow="open"/>
                <v:imagedata o:title=""/>
                <o:lock v:ext="edit" aspectratio="f"/>
              </v:shape>
            </w:pict>
          </mc:Fallback>
        </mc:AlternateContent>
      </w:r>
      <w:r>
        <w:rPr>
          <w:sz w:val="30"/>
        </w:rPr>
        <mc:AlternateContent>
          <mc:Choice Requires="wps">
            <w:drawing>
              <wp:anchor distT="0" distB="0" distL="114300" distR="114300" simplePos="0" relativeHeight="251675648" behindDoc="0" locked="0" layoutInCell="1" allowOverlap="1">
                <wp:simplePos x="0" y="0"/>
                <wp:positionH relativeFrom="column">
                  <wp:posOffset>1656080</wp:posOffset>
                </wp:positionH>
                <wp:positionV relativeFrom="paragraph">
                  <wp:posOffset>400685</wp:posOffset>
                </wp:positionV>
                <wp:extent cx="504825" cy="0"/>
                <wp:effectExtent l="0" t="50800" r="9525" b="63500"/>
                <wp:wrapNone/>
                <wp:docPr id="25" name="直接箭头连接符 25"/>
                <wp:cNvGraphicFramePr/>
                <a:graphic xmlns:a="http://schemas.openxmlformats.org/drawingml/2006/main">
                  <a:graphicData uri="http://schemas.microsoft.com/office/word/2010/wordprocessingShape">
                    <wps:wsp>
                      <wps:cNvCnPr/>
                      <wps:spPr>
                        <a:xfrm>
                          <a:off x="2713355" y="7635875"/>
                          <a:ext cx="504825" cy="0"/>
                        </a:xfrm>
                        <a:prstGeom prst="straightConnector1">
                          <a:avLst/>
                        </a:prstGeom>
                        <a:ln w="127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30.4pt;margin-top:31.55pt;height:0pt;width:39.75pt;z-index:251675648;mso-width-relative:page;mso-height-relative:page;" filled="f" stroked="t" coordsize="21600,21600" o:gfxdata="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G6u/CNgAAAAJAQAADwAAAAAAAAABACAAAAAiAAAA&#10;ZHJzL2Rvd25yZXYueG1sUEsBAhQAFAAAAAgAh07iQFJW8C8HAgAA1QMAAA4AAAAAAAAAAQAgAAAA&#10;JwEAAGRycy9lMm9Eb2MueG1sUEsFBgAAAAAGAAYAWQEAAKAFAAAAAA==&#10;">
                <v:fill on="f" focussize="0,0"/>
                <v:stroke weight="1pt" color="#000000 [3213]" joinstyle="round" endarrow="open"/>
                <v:imagedata o:title=""/>
                <o:lock v:ext="edit" aspectratio="f"/>
              </v:shape>
            </w:pict>
          </mc:Fallback>
        </mc:AlternateContent>
      </w:r>
      <w:r>
        <w:rPr>
          <w:sz w:val="30"/>
        </w:rPr>
        <mc:AlternateContent>
          <mc:Choice Requires="wps">
            <w:drawing>
              <wp:anchor distT="0" distB="0" distL="114300" distR="114300" simplePos="0" relativeHeight="251674624" behindDoc="0" locked="0" layoutInCell="1" allowOverlap="1">
                <wp:simplePos x="0" y="0"/>
                <wp:positionH relativeFrom="column">
                  <wp:posOffset>1008380</wp:posOffset>
                </wp:positionH>
                <wp:positionV relativeFrom="paragraph">
                  <wp:posOffset>105410</wp:posOffset>
                </wp:positionV>
                <wp:extent cx="885825" cy="513715"/>
                <wp:effectExtent l="0" t="0" r="0" b="0"/>
                <wp:wrapNone/>
                <wp:docPr id="24" name="文本框 24"/>
                <wp:cNvGraphicFramePr/>
                <a:graphic xmlns:a="http://schemas.openxmlformats.org/drawingml/2006/main">
                  <a:graphicData uri="http://schemas.microsoft.com/office/word/2010/wordprocessingShape">
                    <wps:wsp>
                      <wps:cNvSpPr txBox="1"/>
                      <wps:spPr>
                        <a:xfrm>
                          <a:off x="2218055" y="7378700"/>
                          <a:ext cx="885825" cy="5137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15.46万元，占0.21%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9.4pt;margin-top:8.3pt;height:40.45pt;width:69.75pt;z-index:251674624;mso-width-relative:page;mso-height-relative:page;" filled="f" stroked="f" coordsize="21600,21600" o:gfxdata="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F5BLC2gAAAAkBAAAPAAAAAAAA&#10;AAEAIAAAACIAAABkcnMvZG93bnJldi54bWxQSwECFAAUAAAACACHTuJAL16HpUkCAABzBAAADgAA&#10;AAAAAAABACAAAAApAQAAZHJzL2Uyb0RvYy54bWxQSwUGAAAAAAYABgBZAQAA5AUAAAAA&#10;">
                <v:fill on="f" focussize="0,0"/>
                <v:stroke on="f" weight="0.5pt"/>
                <v:imagedata o:title=""/>
                <o:lock v:ext="edit" aspectratio="f"/>
                <v:textbox>
                  <w:txbxContent>
                    <w:p>
                      <w:pPr>
                        <w:rPr>
                          <w:rFonts w:hint="default" w:eastAsia="宋体"/>
                          <w:lang w:val="en-US" w:eastAsia="zh-CN"/>
                        </w:rPr>
                      </w:pPr>
                      <w:r>
                        <w:rPr>
                          <w:rFonts w:hint="eastAsia"/>
                          <w:lang w:val="en-US" w:eastAsia="zh-CN"/>
                        </w:rPr>
                        <w:t>15.46万元，占0.21%</w:t>
                      </w:r>
                    </w:p>
                  </w:txbxContent>
                </v:textbox>
              </v:shape>
            </w:pict>
          </mc:Fallback>
        </mc:AlternateContent>
      </w:r>
      <w:r>
        <w:rPr>
          <w:sz w:val="30"/>
        </w:rPr>
        <mc:AlternateContent>
          <mc:Choice Requires="wps">
            <w:drawing>
              <wp:anchor distT="0" distB="0" distL="114300" distR="114300" simplePos="0" relativeHeight="251676672" behindDoc="0" locked="0" layoutInCell="1" allowOverlap="1">
                <wp:simplePos x="0" y="0"/>
                <wp:positionH relativeFrom="column">
                  <wp:posOffset>2580005</wp:posOffset>
                </wp:positionH>
                <wp:positionV relativeFrom="paragraph">
                  <wp:posOffset>181610</wp:posOffset>
                </wp:positionV>
                <wp:extent cx="914400" cy="457200"/>
                <wp:effectExtent l="0" t="0" r="0" b="0"/>
                <wp:wrapNone/>
                <wp:docPr id="26" name="文本框 26"/>
                <wp:cNvGraphicFramePr/>
                <a:graphic xmlns:a="http://schemas.openxmlformats.org/drawingml/2006/main">
                  <a:graphicData uri="http://schemas.microsoft.com/office/word/2010/wordprocessingShape">
                    <wps:wsp>
                      <wps:cNvSpPr txBox="1"/>
                      <wps:spPr>
                        <a:xfrm>
                          <a:off x="3580130" y="7454900"/>
                          <a:ext cx="914400" cy="457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362.83万元，占5.0%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3.15pt;margin-top:14.3pt;height:36pt;width:72pt;z-index:251676672;mso-width-relative:page;mso-height-relative:page;" filled="f" stroked="f" coordsize="21600,21600" o:gfxdata="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lRjUP9kAAAAKAQAADwAAAAAAAAABACAA&#10;AAAiAAAAZHJzL2Rvd25yZXYueG1sUEsBAhQAFAAAAAgAh07iQAYvdqJFAgAAcwQAAA4AAAAAAAAA&#10;AQAgAAAAKAEAAGRycy9lMm9Eb2MueG1sUEsFBgAAAAAGAAYAWQEAAN8FAAAAAA==&#10;">
                <v:fill on="f" focussize="0,0"/>
                <v:stroke on="f" weight="0.5pt"/>
                <v:imagedata o:title=""/>
                <o:lock v:ext="edit" aspectratio="f"/>
                <v:textbox>
                  <w:txbxContent>
                    <w:p>
                      <w:pPr>
                        <w:rPr>
                          <w:rFonts w:hint="default" w:eastAsia="宋体"/>
                          <w:lang w:val="en-US" w:eastAsia="zh-CN"/>
                        </w:rPr>
                      </w:pPr>
                      <w:r>
                        <w:rPr>
                          <w:rFonts w:hint="eastAsia"/>
                          <w:lang w:val="en-US" w:eastAsia="zh-CN"/>
                        </w:rPr>
                        <w:t>362.83万元，占5.0%</w:t>
                      </w:r>
                    </w:p>
                  </w:txbxContent>
                </v:textbox>
              </v:shape>
            </w:pict>
          </mc:Fallback>
        </mc:AlternateContent>
      </w:r>
      <w:r>
        <w:rPr>
          <w:sz w:val="30"/>
        </w:rPr>
        <mc:AlternateContent>
          <mc:Choice Requires="wps">
            <w:drawing>
              <wp:anchor distT="0" distB="0" distL="114300" distR="114300" simplePos="0" relativeHeight="251672576" behindDoc="0" locked="0" layoutInCell="1" allowOverlap="1">
                <wp:simplePos x="0" y="0"/>
                <wp:positionH relativeFrom="column">
                  <wp:posOffset>1056005</wp:posOffset>
                </wp:positionH>
                <wp:positionV relativeFrom="paragraph">
                  <wp:posOffset>1086485</wp:posOffset>
                </wp:positionV>
                <wp:extent cx="932815" cy="495300"/>
                <wp:effectExtent l="0" t="0" r="635" b="0"/>
                <wp:wrapNone/>
                <wp:docPr id="22" name="文本框 22"/>
                <wp:cNvGraphicFramePr/>
                <a:graphic xmlns:a="http://schemas.openxmlformats.org/drawingml/2006/main">
                  <a:graphicData uri="http://schemas.microsoft.com/office/word/2010/wordprocessingShape">
                    <wps:wsp>
                      <wps:cNvSpPr txBox="1"/>
                      <wps:spPr>
                        <a:xfrm>
                          <a:off x="2294255" y="7416800"/>
                          <a:ext cx="932815" cy="4953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140.19万元，占1.93%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3.15pt;margin-top:85.55pt;height:39pt;width:73.45pt;z-index:251672576;mso-width-relative:page;mso-height-relative:page;" filled="f" stroked="f" coordsize="21600,21600" o:gfxdata="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PsHqY3cAAAACwEAAA8AAAAA&#10;AAAAAQAgAAAAIgAAAGRycy9kb3ducmV2LnhtbFBLAQIUABQAAAAIAIdO4kAfjx2RSQIAAHMEAAAO&#10;AAAAAAAAAAEAIAAAACsBAABkcnMvZTJvRG9jLnhtbFBLBQYAAAAABgAGAFkBAADmBQAAAAA=&#10;">
                <v:fill on="f" focussize="0,0"/>
                <v:stroke on="f" weight="0.5pt"/>
                <v:imagedata o:title=""/>
                <o:lock v:ext="edit" aspectratio="f"/>
                <v:textbox>
                  <w:txbxContent>
                    <w:p>
                      <w:pPr>
                        <w:rPr>
                          <w:rFonts w:hint="default" w:eastAsia="宋体"/>
                          <w:lang w:val="en-US" w:eastAsia="zh-CN"/>
                        </w:rPr>
                      </w:pPr>
                      <w:r>
                        <w:rPr>
                          <w:rFonts w:hint="eastAsia"/>
                          <w:lang w:val="en-US" w:eastAsia="zh-CN"/>
                        </w:rPr>
                        <w:t>140.19万元，占1.93%</w:t>
                      </w:r>
                    </w:p>
                  </w:txbxContent>
                </v:textbox>
              </v:shape>
            </w:pict>
          </mc:Fallback>
        </mc:AlternateContent>
      </w:r>
      <w:r>
        <w:rPr>
          <w:sz w:val="30"/>
        </w:rPr>
        <mc:AlternateContent>
          <mc:Choice Requires="wps">
            <w:drawing>
              <wp:anchor distT="0" distB="0" distL="114300" distR="114300" simplePos="0" relativeHeight="251671552" behindDoc="0" locked="0" layoutInCell="1" allowOverlap="1">
                <wp:simplePos x="0" y="0"/>
                <wp:positionH relativeFrom="column">
                  <wp:posOffset>1970405</wp:posOffset>
                </wp:positionH>
                <wp:positionV relativeFrom="paragraph">
                  <wp:posOffset>1229360</wp:posOffset>
                </wp:positionV>
                <wp:extent cx="1010920" cy="485140"/>
                <wp:effectExtent l="0" t="0" r="0" b="0"/>
                <wp:wrapNone/>
                <wp:docPr id="16" name="文本框 16"/>
                <wp:cNvGraphicFramePr/>
                <a:graphic xmlns:a="http://schemas.openxmlformats.org/drawingml/2006/main">
                  <a:graphicData uri="http://schemas.microsoft.com/office/word/2010/wordprocessingShape">
                    <wps:wsp>
                      <wps:cNvSpPr txBox="1"/>
                      <wps:spPr>
                        <a:xfrm>
                          <a:off x="2303780" y="7426325"/>
                          <a:ext cx="1010920" cy="4851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6741.35万元，占92.86%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5.15pt;margin-top:96.8pt;height:38.2pt;width:79.6pt;z-index:251671552;mso-width-relative:page;mso-height-relative:page;" filled="f" stroked="f" coordsize="21600,21600" o:gfxdata="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IQNtg3AAAAAsBAAAPAAAAAAAA&#10;AAEAIAAAACIAAABkcnMvZG93bnJldi54bWxQSwECFAAUAAAACACHTuJAXt3Nm0cCAAB0BAAADgAA&#10;AAAAAAABACAAAAArAQAAZHJzL2Uyb0RvYy54bWxQSwUGAAAAAAYABgBZAQAA5AUAAAAA&#10;">
                <v:fill on="f" focussize="0,0"/>
                <v:stroke on="f" weight="0.5pt"/>
                <v:imagedata o:title=""/>
                <o:lock v:ext="edit" aspectratio="f"/>
                <v:textbox>
                  <w:txbxContent>
                    <w:p>
                      <w:pPr>
                        <w:rPr>
                          <w:rFonts w:hint="default" w:eastAsia="宋体"/>
                          <w:lang w:val="en-US" w:eastAsia="zh-CN"/>
                        </w:rPr>
                      </w:pPr>
                      <w:r>
                        <w:rPr>
                          <w:rFonts w:hint="eastAsia"/>
                          <w:lang w:val="en-US" w:eastAsia="zh-CN"/>
                        </w:rPr>
                        <w:t>6741.35万元，占92.86%</w:t>
                      </w:r>
                    </w:p>
                  </w:txbxContent>
                </v:textbox>
              </v:shape>
            </w:pict>
          </mc:Fallback>
        </mc:AlternateContent>
      </w:r>
      <w:r>
        <w:rPr>
          <w:rFonts w:hint="eastAsia"/>
          <w:lang w:val="en-US" w:eastAsia="zh-CN"/>
        </w:rPr>
        <w:t xml:space="preserve">      </w:t>
      </w:r>
      <w:r>
        <w:drawing>
          <wp:inline distT="0" distB="0" distL="114300" distR="114300">
            <wp:extent cx="3988435" cy="2000885"/>
            <wp:effectExtent l="0" t="0" r="12065" b="18415"/>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13"/>
                    <a:stretch>
                      <a:fillRect/>
                    </a:stretch>
                  </pic:blipFill>
                  <pic:spPr>
                    <a:xfrm>
                      <a:off x="0" y="0"/>
                      <a:ext cx="3988435" cy="2000885"/>
                    </a:xfrm>
                    <a:prstGeom prst="rect">
                      <a:avLst/>
                    </a:prstGeom>
                    <a:noFill/>
                    <a:ln>
                      <a:noFill/>
                    </a:ln>
                  </pic:spPr>
                </pic:pic>
              </a:graphicData>
            </a:graphic>
          </wp:inline>
        </w:drawing>
      </w: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pPr>
        <w:spacing w:line="600" w:lineRule="exact"/>
        <w:ind w:firstLine="643" w:firstLineChars="200"/>
        <w:outlineLvl w:val="2"/>
        <w:rPr>
          <w:rFonts w:ascii="仿宋" w:hAnsi="仿宋" w:eastAsia="仿宋"/>
          <w:b/>
          <w:color w:val="auto"/>
          <w:sz w:val="32"/>
          <w:szCs w:val="32"/>
          <w:highlight w:val="none"/>
        </w:rPr>
      </w:pPr>
      <w:bookmarkStart w:id="61" w:name="_Toc15377212"/>
      <w:r>
        <w:rPr>
          <w:rFonts w:hint="eastAsia" w:ascii="仿宋" w:hAnsi="仿宋" w:eastAsia="仿宋"/>
          <w:b/>
          <w:color w:val="auto"/>
          <w:sz w:val="32"/>
          <w:szCs w:val="32"/>
          <w:highlight w:val="none"/>
        </w:rPr>
        <w:t>（三）一般公共预算财政拨款支出决算具体情况</w:t>
      </w:r>
      <w:bookmarkEnd w:id="61"/>
    </w:p>
    <w:p>
      <w:pPr>
        <w:spacing w:line="600" w:lineRule="exact"/>
        <w:ind w:firstLine="643" w:firstLineChars="200"/>
        <w:outlineLvl w:val="2"/>
        <w:rPr>
          <w:rStyle w:val="18"/>
          <w:rFonts w:hint="eastAsia" w:ascii="仿宋" w:hAnsi="仿宋" w:eastAsia="仿宋"/>
          <w:bCs/>
          <w:color w:val="auto"/>
          <w:sz w:val="32"/>
          <w:szCs w:val="32"/>
          <w:highlight w:val="none"/>
        </w:rPr>
      </w:pPr>
      <w:bookmarkStart w:id="62" w:name="_Toc15377213"/>
      <w:bookmarkStart w:id="63" w:name="_Toc15377444"/>
      <w:bookmarkStart w:id="64"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7259.83万元</w:t>
      </w:r>
      <w:r>
        <w:rPr>
          <w:rFonts w:hint="eastAsia" w:ascii="仿宋" w:hAnsi="仿宋" w:eastAsia="仿宋"/>
          <w:color w:val="auto"/>
          <w:sz w:val="32"/>
          <w:szCs w:val="32"/>
          <w:highlight w:val="none"/>
        </w:rPr>
        <w:t>，</w:t>
      </w:r>
      <w:r>
        <w:rPr>
          <w:rStyle w:val="18"/>
          <w:rFonts w:hint="eastAsia" w:ascii="仿宋" w:hAnsi="仿宋" w:eastAsia="仿宋"/>
          <w:bCs/>
          <w:color w:val="auto"/>
          <w:sz w:val="32"/>
          <w:szCs w:val="32"/>
          <w:highlight w:val="none"/>
        </w:rPr>
        <w:t>完成预算</w:t>
      </w:r>
      <w:r>
        <w:rPr>
          <w:rStyle w:val="18"/>
          <w:rFonts w:hint="eastAsia" w:ascii="仿宋" w:hAnsi="仿宋" w:eastAsia="仿宋"/>
          <w:bCs/>
          <w:color w:val="auto"/>
          <w:sz w:val="32"/>
          <w:szCs w:val="32"/>
          <w:highlight w:val="none"/>
          <w:lang w:val="en-US" w:eastAsia="zh-CN"/>
        </w:rPr>
        <w:t>98.52</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。其中：</w:t>
      </w:r>
      <w:bookmarkEnd w:id="62"/>
      <w:bookmarkEnd w:id="63"/>
      <w:bookmarkEnd w:id="64"/>
    </w:p>
    <w:p>
      <w:pPr>
        <w:numPr>
          <w:ilvl w:val="0"/>
          <w:numId w:val="0"/>
        </w:numPr>
        <w:spacing w:line="600" w:lineRule="exact"/>
        <w:ind w:firstLine="643" w:firstLineChars="200"/>
        <w:rPr>
          <w:rStyle w:val="18"/>
          <w:rFonts w:hint="default" w:ascii="仿宋" w:hAnsi="仿宋" w:eastAsia="仿宋"/>
          <w:b w:val="0"/>
          <w:bCs/>
          <w:color w:val="000000"/>
          <w:sz w:val="32"/>
          <w:szCs w:val="32"/>
          <w:lang w:val="en-US" w:eastAsia="zh-CN"/>
        </w:rPr>
      </w:pPr>
      <w:r>
        <w:rPr>
          <w:rStyle w:val="18"/>
          <w:rFonts w:hint="eastAsia" w:ascii="仿宋" w:hAnsi="仿宋" w:eastAsia="仿宋"/>
          <w:bCs/>
          <w:color w:val="000000"/>
          <w:sz w:val="32"/>
          <w:szCs w:val="32"/>
          <w:lang w:val="en-US" w:eastAsia="zh-CN"/>
        </w:rPr>
        <w:t>1.</w:t>
      </w:r>
      <w:r>
        <w:rPr>
          <w:rStyle w:val="18"/>
          <w:rFonts w:hint="eastAsia" w:ascii="仿宋" w:hAnsi="仿宋" w:eastAsia="仿宋"/>
          <w:bCs/>
          <w:color w:val="000000"/>
          <w:sz w:val="32"/>
          <w:szCs w:val="32"/>
        </w:rPr>
        <w:t>社会保障和就业支出（类）人力资源和社会保障管理事务（款）行政运行（项）</w:t>
      </w:r>
      <w:r>
        <w:rPr>
          <w:rStyle w:val="18"/>
          <w:rFonts w:hint="eastAsia" w:ascii="仿宋" w:hAnsi="仿宋" w:eastAsia="仿宋"/>
          <w:bCs/>
          <w:color w:val="000000"/>
          <w:sz w:val="32"/>
          <w:szCs w:val="32"/>
          <w:lang w:eastAsia="zh-CN"/>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1386.11</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98.70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val="en-US" w:eastAsia="zh-CN"/>
        </w:rPr>
        <w:t>决算数小于预算数的主要原因是机关代扣的住房公积金和保险提标部分未支付，将结转至下一年。</w:t>
      </w:r>
    </w:p>
    <w:p>
      <w:pPr>
        <w:numPr>
          <w:ilvl w:val="0"/>
          <w:numId w:val="0"/>
        </w:numPr>
        <w:spacing w:line="60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bCs/>
          <w:color w:val="000000"/>
          <w:sz w:val="32"/>
          <w:szCs w:val="32"/>
          <w:lang w:val="en-US" w:eastAsia="zh-CN"/>
        </w:rPr>
        <w:t>2</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社会保障和就业支出（类）人力资源和社会保障管理事务（款）一般行政管理事务（项）</w:t>
      </w:r>
      <w:r>
        <w:rPr>
          <w:rStyle w:val="18"/>
          <w:rFonts w:hint="eastAsia" w:ascii="仿宋" w:hAnsi="仿宋" w:eastAsia="仿宋"/>
          <w:bCs/>
          <w:color w:val="000000"/>
          <w:sz w:val="32"/>
          <w:szCs w:val="32"/>
          <w:lang w:eastAsia="zh-CN"/>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341.65</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Style w:val="18"/>
          <w:rFonts w:hint="eastAsia" w:ascii="仿宋" w:hAnsi="仿宋" w:eastAsia="仿宋"/>
          <w:b w:val="0"/>
          <w:bCs/>
          <w:color w:val="000000"/>
          <w:sz w:val="32"/>
          <w:szCs w:val="32"/>
        </w:rPr>
        <w:t>决算数等于预算数。</w:t>
      </w:r>
    </w:p>
    <w:p>
      <w:pPr>
        <w:numPr>
          <w:ilvl w:val="0"/>
          <w:numId w:val="0"/>
        </w:numPr>
        <w:spacing w:line="600" w:lineRule="exact"/>
        <w:ind w:firstLine="643" w:firstLineChars="200"/>
        <w:rPr>
          <w:rFonts w:hint="default" w:eastAsia="仿宋"/>
          <w:lang w:val="en-US" w:eastAsia="zh-CN"/>
        </w:rPr>
      </w:pPr>
      <w:r>
        <w:rPr>
          <w:rStyle w:val="18"/>
          <w:rFonts w:hint="eastAsia" w:ascii="仿宋" w:hAnsi="仿宋" w:eastAsia="仿宋"/>
          <w:bCs/>
          <w:color w:val="000000"/>
          <w:sz w:val="32"/>
          <w:szCs w:val="32"/>
          <w:lang w:val="en-US" w:eastAsia="zh-CN"/>
        </w:rPr>
        <w:t>3</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社会保障和就业支出（类）人力资源和社会保障管理事务（款）</w:t>
      </w:r>
      <w:r>
        <w:rPr>
          <w:rStyle w:val="18"/>
          <w:rFonts w:hint="eastAsia" w:ascii="仿宋" w:hAnsi="仿宋" w:eastAsia="仿宋"/>
          <w:bCs/>
          <w:color w:val="000000"/>
          <w:sz w:val="32"/>
          <w:szCs w:val="32"/>
          <w:lang w:val="en-US" w:eastAsia="zh-CN"/>
        </w:rPr>
        <w:t>综合业务管理</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eastAsia="zh-CN"/>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136.33</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91.97</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val="en-US" w:eastAsia="zh-CN"/>
        </w:rPr>
        <w:t>决算数小于预算数的主要原因是市农民工服务中心代扣的住房公积金和保险提标部分未支付，将结转至下一年。</w:t>
      </w:r>
    </w:p>
    <w:p>
      <w:pPr>
        <w:numPr>
          <w:ilvl w:val="0"/>
          <w:numId w:val="0"/>
        </w:numPr>
        <w:spacing w:line="600" w:lineRule="exact"/>
        <w:ind w:firstLine="643" w:firstLineChars="200"/>
        <w:rPr>
          <w:rStyle w:val="18"/>
          <w:rFonts w:ascii="仿宋" w:hAnsi="仿宋" w:eastAsia="仿宋"/>
          <w:b w:val="0"/>
          <w:bCs/>
          <w:color w:val="000000"/>
          <w:sz w:val="32"/>
          <w:szCs w:val="32"/>
        </w:rPr>
      </w:pPr>
      <w:r>
        <w:rPr>
          <w:rStyle w:val="18"/>
          <w:rFonts w:hint="eastAsia" w:ascii="仿宋" w:hAnsi="仿宋" w:eastAsia="仿宋"/>
          <w:bCs/>
          <w:color w:val="000000"/>
          <w:sz w:val="32"/>
          <w:szCs w:val="32"/>
          <w:lang w:val="en-US" w:eastAsia="zh-CN"/>
        </w:rPr>
        <w:t>4</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社会保障和就业支出（类）人力资源和社会保障管理事务（款）就业管理事务（项）</w:t>
      </w:r>
      <w:r>
        <w:rPr>
          <w:rStyle w:val="18"/>
          <w:rFonts w:hint="eastAsia" w:ascii="仿宋" w:hAnsi="仿宋" w:eastAsia="仿宋"/>
          <w:bCs/>
          <w:color w:val="000000"/>
          <w:sz w:val="32"/>
          <w:szCs w:val="32"/>
          <w:lang w:eastAsia="zh-CN"/>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538.73</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97.07</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auto"/>
          <w:sz w:val="32"/>
          <w:szCs w:val="32"/>
          <w:highlight w:val="none"/>
          <w:lang w:val="en-US" w:eastAsia="zh-CN"/>
        </w:rPr>
        <w:t>决算数小于预算数的主要原因是市就业创业中心代扣的住房公积金和保险提标部分未支付，将结转至下一年。</w:t>
      </w:r>
    </w:p>
    <w:p>
      <w:pPr>
        <w:spacing w:line="600" w:lineRule="exact"/>
        <w:ind w:firstLine="643" w:firstLineChars="200"/>
        <w:rPr>
          <w:rStyle w:val="18"/>
          <w:rFonts w:ascii="仿宋" w:hAnsi="仿宋" w:eastAsia="仿宋"/>
          <w:b w:val="0"/>
          <w:bCs/>
          <w:color w:val="000000"/>
          <w:sz w:val="32"/>
          <w:szCs w:val="32"/>
        </w:rPr>
      </w:pPr>
      <w:r>
        <w:rPr>
          <w:rStyle w:val="18"/>
          <w:rFonts w:hint="eastAsia" w:ascii="仿宋" w:hAnsi="仿宋" w:eastAsia="仿宋"/>
          <w:bCs/>
          <w:color w:val="000000"/>
          <w:sz w:val="32"/>
          <w:szCs w:val="32"/>
          <w:lang w:val="en-US" w:eastAsia="zh-CN"/>
        </w:rPr>
        <w:t>5</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社会保障和就业支出（类）人力资源和社会保障管理事务（款）社会保险业务管理事务（项）</w:t>
      </w:r>
      <w:r>
        <w:rPr>
          <w:rStyle w:val="18"/>
          <w:rFonts w:hint="eastAsia" w:ascii="仿宋" w:hAnsi="仿宋" w:eastAsia="仿宋"/>
          <w:bCs/>
          <w:color w:val="000000"/>
          <w:sz w:val="32"/>
          <w:szCs w:val="32"/>
          <w:lang w:eastAsia="zh-CN"/>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158.86</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w:t>
      </w:r>
      <w:r>
        <w:rPr>
          <w:rStyle w:val="18"/>
          <w:rFonts w:hint="eastAsia" w:ascii="仿宋" w:hAnsi="仿宋" w:eastAsia="仿宋"/>
          <w:b w:val="0"/>
          <w:bCs/>
          <w:color w:val="000000"/>
          <w:sz w:val="32"/>
          <w:szCs w:val="32"/>
          <w:lang w:val="en-US" w:eastAsia="zh-CN"/>
        </w:rPr>
        <w:t>等于</w:t>
      </w:r>
      <w:r>
        <w:rPr>
          <w:rStyle w:val="18"/>
          <w:rFonts w:hint="eastAsia" w:ascii="仿宋" w:hAnsi="仿宋" w:eastAsia="仿宋"/>
          <w:b w:val="0"/>
          <w:bCs/>
          <w:color w:val="000000"/>
          <w:sz w:val="32"/>
          <w:szCs w:val="32"/>
        </w:rPr>
        <w:t>预算数。</w:t>
      </w:r>
    </w:p>
    <w:p>
      <w:pPr>
        <w:spacing w:line="600" w:lineRule="exact"/>
        <w:ind w:firstLine="643" w:firstLineChars="200"/>
        <w:rPr>
          <w:rStyle w:val="18"/>
          <w:rFonts w:ascii="仿宋" w:hAnsi="仿宋" w:eastAsia="仿宋"/>
          <w:b w:val="0"/>
          <w:bCs/>
          <w:color w:val="000000"/>
          <w:sz w:val="32"/>
          <w:szCs w:val="32"/>
        </w:rPr>
      </w:pPr>
      <w:r>
        <w:rPr>
          <w:rStyle w:val="18"/>
          <w:rFonts w:hint="eastAsia" w:ascii="仿宋" w:hAnsi="仿宋" w:eastAsia="仿宋"/>
          <w:bCs/>
          <w:color w:val="000000"/>
          <w:sz w:val="32"/>
          <w:szCs w:val="32"/>
          <w:lang w:val="en-US" w:eastAsia="zh-CN"/>
        </w:rPr>
        <w:t>6</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社会保障和就业支出（类）人力资源和社会保障管理事务（款）信息化建设（项）</w:t>
      </w:r>
      <w:r>
        <w:rPr>
          <w:rStyle w:val="18"/>
          <w:rFonts w:hint="eastAsia" w:ascii="仿宋" w:hAnsi="仿宋" w:eastAsia="仿宋"/>
          <w:bCs/>
          <w:color w:val="000000"/>
          <w:sz w:val="32"/>
          <w:szCs w:val="32"/>
          <w:lang w:eastAsia="zh-CN"/>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466.22</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w:t>
      </w:r>
      <w:r>
        <w:rPr>
          <w:rStyle w:val="18"/>
          <w:rFonts w:hint="eastAsia" w:ascii="仿宋" w:hAnsi="仿宋" w:eastAsia="仿宋"/>
          <w:b w:val="0"/>
          <w:bCs/>
          <w:color w:val="000000"/>
          <w:sz w:val="32"/>
          <w:szCs w:val="32"/>
          <w:lang w:val="en-US" w:eastAsia="zh-CN"/>
        </w:rPr>
        <w:t>等于</w:t>
      </w:r>
      <w:r>
        <w:rPr>
          <w:rStyle w:val="18"/>
          <w:rFonts w:hint="eastAsia" w:ascii="仿宋" w:hAnsi="仿宋" w:eastAsia="仿宋"/>
          <w:b w:val="0"/>
          <w:bCs/>
          <w:color w:val="000000"/>
          <w:sz w:val="32"/>
          <w:szCs w:val="32"/>
        </w:rPr>
        <w:t>预算数。</w:t>
      </w:r>
    </w:p>
    <w:p>
      <w:pPr>
        <w:spacing w:line="600" w:lineRule="exact"/>
        <w:ind w:firstLine="643" w:firstLineChars="200"/>
        <w:rPr>
          <w:rStyle w:val="18"/>
          <w:rFonts w:hint="eastAsia" w:ascii="仿宋" w:hAnsi="仿宋" w:eastAsia="仿宋"/>
          <w:b w:val="0"/>
          <w:bCs/>
          <w:color w:val="auto"/>
          <w:sz w:val="32"/>
          <w:szCs w:val="32"/>
          <w:highlight w:val="none"/>
          <w:lang w:val="en-US" w:eastAsia="zh-CN"/>
        </w:rPr>
      </w:pPr>
      <w:r>
        <w:rPr>
          <w:rStyle w:val="18"/>
          <w:rFonts w:hint="eastAsia" w:ascii="仿宋" w:hAnsi="仿宋" w:eastAsia="仿宋"/>
          <w:bCs/>
          <w:color w:val="000000"/>
          <w:sz w:val="32"/>
          <w:szCs w:val="32"/>
          <w:lang w:val="en-US" w:eastAsia="zh-CN"/>
        </w:rPr>
        <w:t>7</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社会保障和就业支出（类）人力资源和社会保障管理事务（款）社会保险经办机构（项）</w:t>
      </w:r>
      <w:r>
        <w:rPr>
          <w:rStyle w:val="18"/>
          <w:rFonts w:hint="eastAsia" w:ascii="仿宋" w:hAnsi="仿宋" w:eastAsia="仿宋"/>
          <w:bCs/>
          <w:color w:val="000000"/>
          <w:sz w:val="32"/>
          <w:szCs w:val="32"/>
          <w:lang w:eastAsia="zh-CN"/>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1842.66</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98.18</w:t>
      </w:r>
      <w:r>
        <w:rPr>
          <w:rStyle w:val="18"/>
          <w:rFonts w:ascii="仿宋" w:hAnsi="仿宋" w:eastAsia="仿宋"/>
          <w:b w:val="0"/>
          <w:bCs/>
          <w:sz w:val="32"/>
          <w:szCs w:val="32"/>
        </w:rPr>
        <w:t>%</w:t>
      </w:r>
      <w:r>
        <w:rPr>
          <w:rStyle w:val="18"/>
          <w:rFonts w:hint="eastAsia" w:ascii="仿宋" w:hAnsi="仿宋" w:eastAsia="仿宋"/>
          <w:b w:val="0"/>
          <w:bCs/>
          <w:sz w:val="32"/>
          <w:szCs w:val="32"/>
        </w:rPr>
        <w:t>，决算数小于预算数的</w:t>
      </w:r>
      <w:r>
        <w:rPr>
          <w:rStyle w:val="18"/>
          <w:rFonts w:hint="eastAsia" w:ascii="仿宋" w:hAnsi="仿宋" w:eastAsia="仿宋"/>
          <w:b w:val="0"/>
          <w:bCs/>
          <w:sz w:val="32"/>
          <w:szCs w:val="32"/>
          <w:lang w:val="en-US" w:eastAsia="zh-CN"/>
        </w:rPr>
        <w:t>主要原</w:t>
      </w:r>
      <w:r>
        <w:rPr>
          <w:rStyle w:val="18"/>
          <w:rFonts w:hint="eastAsia" w:ascii="仿宋" w:hAnsi="仿宋" w:eastAsia="仿宋"/>
          <w:b w:val="0"/>
          <w:bCs/>
          <w:sz w:val="32"/>
          <w:szCs w:val="32"/>
        </w:rPr>
        <w:t>因是</w:t>
      </w:r>
      <w:r>
        <w:rPr>
          <w:rStyle w:val="18"/>
          <w:rFonts w:hint="eastAsia" w:ascii="仿宋" w:hAnsi="仿宋" w:eastAsia="仿宋"/>
          <w:b w:val="0"/>
          <w:bCs/>
          <w:color w:val="auto"/>
          <w:sz w:val="32"/>
          <w:szCs w:val="32"/>
          <w:highlight w:val="none"/>
          <w:lang w:val="en-US" w:eastAsia="zh-CN"/>
        </w:rPr>
        <w:t>市社会保险事务中心代扣的住房公积金和保险提标部分未支付，将结转至下一年。</w:t>
      </w:r>
    </w:p>
    <w:p>
      <w:pPr>
        <w:spacing w:line="600" w:lineRule="exact"/>
        <w:ind w:firstLine="643" w:firstLineChars="200"/>
        <w:rPr>
          <w:rStyle w:val="18"/>
          <w:rFonts w:ascii="仿宋" w:hAnsi="仿宋" w:eastAsia="仿宋"/>
          <w:b w:val="0"/>
          <w:bCs/>
          <w:color w:val="000000"/>
          <w:sz w:val="32"/>
          <w:szCs w:val="32"/>
        </w:rPr>
      </w:pPr>
      <w:r>
        <w:rPr>
          <w:rStyle w:val="18"/>
          <w:rFonts w:hint="eastAsia" w:ascii="仿宋" w:hAnsi="仿宋" w:eastAsia="仿宋"/>
          <w:bCs/>
          <w:color w:val="000000"/>
          <w:sz w:val="32"/>
          <w:szCs w:val="32"/>
          <w:lang w:val="en-US" w:eastAsia="zh-CN"/>
        </w:rPr>
        <w:t>8</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社会保障和就业支出（类）人力资源和社会保障管理事务（款）劳动关系和维权（项）</w:t>
      </w:r>
      <w:r>
        <w:rPr>
          <w:rStyle w:val="18"/>
          <w:rFonts w:hint="eastAsia" w:ascii="仿宋" w:hAnsi="仿宋" w:eastAsia="仿宋"/>
          <w:bCs/>
          <w:color w:val="000000"/>
          <w:sz w:val="32"/>
          <w:szCs w:val="32"/>
          <w:lang w:eastAsia="zh-CN"/>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72.25</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w:t>
      </w:r>
      <w:r>
        <w:rPr>
          <w:rStyle w:val="18"/>
          <w:rFonts w:hint="eastAsia" w:ascii="仿宋" w:hAnsi="仿宋" w:eastAsia="仿宋"/>
          <w:b w:val="0"/>
          <w:bCs/>
          <w:color w:val="000000"/>
          <w:sz w:val="32"/>
          <w:szCs w:val="32"/>
          <w:lang w:val="en-US" w:eastAsia="zh-CN"/>
        </w:rPr>
        <w:t>等于</w:t>
      </w:r>
      <w:r>
        <w:rPr>
          <w:rStyle w:val="18"/>
          <w:rFonts w:hint="eastAsia" w:ascii="仿宋" w:hAnsi="仿宋" w:eastAsia="仿宋"/>
          <w:b w:val="0"/>
          <w:bCs/>
          <w:color w:val="000000"/>
          <w:sz w:val="32"/>
          <w:szCs w:val="32"/>
        </w:rPr>
        <w:t>预算数。</w:t>
      </w:r>
    </w:p>
    <w:p>
      <w:pPr>
        <w:spacing w:line="600" w:lineRule="exact"/>
        <w:ind w:firstLine="643" w:firstLineChars="200"/>
        <w:rPr>
          <w:rStyle w:val="18"/>
          <w:rFonts w:ascii="仿宋" w:hAnsi="仿宋" w:eastAsia="仿宋"/>
          <w:b w:val="0"/>
          <w:bCs/>
          <w:color w:val="000000"/>
          <w:sz w:val="32"/>
          <w:szCs w:val="32"/>
        </w:rPr>
      </w:pPr>
      <w:r>
        <w:rPr>
          <w:rStyle w:val="18"/>
          <w:rFonts w:hint="eastAsia" w:ascii="仿宋" w:hAnsi="仿宋" w:eastAsia="仿宋"/>
          <w:bCs/>
          <w:color w:val="000000"/>
          <w:sz w:val="32"/>
          <w:szCs w:val="32"/>
          <w:lang w:val="en-US" w:eastAsia="zh-CN"/>
        </w:rPr>
        <w:t>9</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社会保障和就业支出（类）人力资源和社会保障管理事务（款）劳动人事争议和</w:t>
      </w:r>
      <w:r>
        <w:rPr>
          <w:rStyle w:val="18"/>
          <w:rFonts w:hint="eastAsia" w:ascii="仿宋" w:hAnsi="仿宋" w:eastAsia="仿宋"/>
          <w:bCs/>
          <w:color w:val="000000"/>
          <w:sz w:val="32"/>
          <w:szCs w:val="32"/>
          <w:lang w:eastAsia="zh-CN"/>
        </w:rPr>
        <w:t>调解</w:t>
      </w:r>
      <w:r>
        <w:rPr>
          <w:rStyle w:val="18"/>
          <w:rFonts w:hint="eastAsia" w:ascii="仿宋" w:hAnsi="仿宋" w:eastAsia="仿宋"/>
          <w:bCs/>
          <w:color w:val="000000"/>
          <w:sz w:val="32"/>
          <w:szCs w:val="32"/>
        </w:rPr>
        <w:t>仲裁（项）</w:t>
      </w:r>
      <w:r>
        <w:rPr>
          <w:rStyle w:val="18"/>
          <w:rFonts w:hint="eastAsia" w:ascii="仿宋" w:hAnsi="仿宋" w:eastAsia="仿宋"/>
          <w:bCs/>
          <w:color w:val="000000"/>
          <w:sz w:val="32"/>
          <w:szCs w:val="32"/>
          <w:lang w:eastAsia="zh-CN"/>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231.68</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99.93</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，决算数小于预算数的主要原因是</w:t>
      </w:r>
      <w:r>
        <w:rPr>
          <w:rStyle w:val="18"/>
          <w:rFonts w:hint="eastAsia" w:ascii="仿宋" w:hAnsi="仿宋" w:eastAsia="仿宋"/>
          <w:b w:val="0"/>
          <w:bCs/>
          <w:color w:val="000000"/>
          <w:sz w:val="32"/>
          <w:szCs w:val="32"/>
          <w:lang w:val="en-US" w:eastAsia="zh-CN"/>
        </w:rPr>
        <w:t>零星收支差异所致</w:t>
      </w:r>
      <w:r>
        <w:rPr>
          <w:rStyle w:val="18"/>
          <w:rFonts w:hint="eastAsia" w:ascii="仿宋" w:hAnsi="仿宋" w:eastAsia="仿宋"/>
          <w:b w:val="0"/>
          <w:bCs/>
          <w:color w:val="000000"/>
          <w:sz w:val="32"/>
          <w:szCs w:val="32"/>
        </w:rPr>
        <w:t>。</w:t>
      </w:r>
    </w:p>
    <w:p>
      <w:pPr>
        <w:spacing w:line="600" w:lineRule="exact"/>
        <w:ind w:firstLine="643" w:firstLineChars="200"/>
        <w:rPr>
          <w:rStyle w:val="18"/>
          <w:rFonts w:ascii="仿宋" w:hAnsi="仿宋" w:eastAsia="仿宋"/>
          <w:b w:val="0"/>
          <w:bCs/>
          <w:color w:val="000000"/>
          <w:sz w:val="32"/>
          <w:szCs w:val="32"/>
        </w:rPr>
      </w:pPr>
      <w:r>
        <w:rPr>
          <w:rStyle w:val="18"/>
          <w:rFonts w:hint="eastAsia" w:ascii="仿宋" w:hAnsi="仿宋" w:eastAsia="仿宋"/>
          <w:bCs/>
          <w:color w:val="000000"/>
          <w:sz w:val="32"/>
          <w:szCs w:val="32"/>
        </w:rPr>
        <w:t>1</w:t>
      </w:r>
      <w:r>
        <w:rPr>
          <w:rStyle w:val="18"/>
          <w:rFonts w:hint="eastAsia" w:ascii="仿宋" w:hAnsi="仿宋" w:eastAsia="仿宋"/>
          <w:bCs/>
          <w:color w:val="000000"/>
          <w:sz w:val="32"/>
          <w:szCs w:val="32"/>
          <w:lang w:val="en-US" w:eastAsia="zh-CN"/>
        </w:rPr>
        <w:t>0</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社会保障和就业支出（类）人力资源和社会保障管理事务（款）</w:t>
      </w:r>
      <w:r>
        <w:rPr>
          <w:rStyle w:val="18"/>
          <w:rFonts w:hint="eastAsia" w:ascii="仿宋" w:hAnsi="仿宋" w:eastAsia="仿宋"/>
          <w:bCs/>
          <w:color w:val="000000"/>
          <w:sz w:val="32"/>
          <w:szCs w:val="32"/>
          <w:lang w:val="en-US" w:eastAsia="zh-CN"/>
        </w:rPr>
        <w:t>政府特殊津贴</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eastAsia="zh-CN"/>
        </w:rPr>
        <w:t>：</w:t>
      </w:r>
      <w:r>
        <w:rPr>
          <w:rStyle w:val="18"/>
          <w:rFonts w:ascii="仿宋" w:hAnsi="仿宋" w:eastAsia="仿宋"/>
          <w:b w:val="0"/>
          <w:bCs/>
          <w:color w:val="000000"/>
          <w:sz w:val="32"/>
          <w:szCs w:val="32"/>
        </w:rPr>
        <w:t xml:space="preserve"> 支出</w:t>
      </w:r>
      <w:r>
        <w:rPr>
          <w:rStyle w:val="18"/>
          <w:rFonts w:hint="eastAsia" w:ascii="仿宋" w:hAnsi="仿宋" w:eastAsia="仿宋"/>
          <w:b w:val="0"/>
          <w:bCs/>
          <w:color w:val="000000"/>
          <w:sz w:val="32"/>
          <w:szCs w:val="32"/>
        </w:rPr>
        <w:t>决算为</w:t>
      </w:r>
      <w:r>
        <w:rPr>
          <w:rStyle w:val="18"/>
          <w:rFonts w:hint="eastAsia" w:ascii="仿宋" w:hAnsi="仿宋" w:eastAsia="仿宋"/>
          <w:b w:val="0"/>
          <w:bCs/>
          <w:color w:val="000000"/>
          <w:sz w:val="32"/>
          <w:szCs w:val="32"/>
          <w:lang w:val="en-US" w:eastAsia="zh-CN"/>
        </w:rPr>
        <w:t>50.76</w:t>
      </w:r>
      <w:r>
        <w:rPr>
          <w:rStyle w:val="18"/>
          <w:rFonts w:hint="eastAsia" w:ascii="仿宋" w:hAnsi="仿宋" w:eastAsia="仿宋"/>
          <w:b w:val="0"/>
          <w:bCs/>
          <w:color w:val="000000"/>
          <w:sz w:val="32"/>
          <w:szCs w:val="32"/>
        </w:rPr>
        <w:t>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600" w:lineRule="exact"/>
        <w:ind w:firstLine="643" w:firstLineChars="200"/>
        <w:rPr>
          <w:rStyle w:val="18"/>
          <w:rFonts w:hint="eastAsia" w:ascii="仿宋" w:hAnsi="仿宋" w:eastAsia="仿宋"/>
          <w:b w:val="0"/>
          <w:bCs/>
          <w:color w:val="auto"/>
          <w:sz w:val="32"/>
          <w:szCs w:val="32"/>
          <w:highlight w:val="none"/>
          <w:lang w:val="en-US" w:eastAsia="zh-CN"/>
        </w:rPr>
      </w:pPr>
      <w:r>
        <w:rPr>
          <w:rStyle w:val="18"/>
          <w:rFonts w:hint="eastAsia" w:ascii="仿宋" w:hAnsi="仿宋" w:eastAsia="仿宋"/>
          <w:bCs/>
          <w:color w:val="000000"/>
          <w:sz w:val="32"/>
          <w:szCs w:val="32"/>
        </w:rPr>
        <w:t>1</w:t>
      </w:r>
      <w:r>
        <w:rPr>
          <w:rStyle w:val="18"/>
          <w:rFonts w:hint="eastAsia" w:ascii="仿宋" w:hAnsi="仿宋" w:eastAsia="仿宋"/>
          <w:bCs/>
          <w:color w:val="000000"/>
          <w:sz w:val="32"/>
          <w:szCs w:val="32"/>
          <w:lang w:val="en-US" w:eastAsia="zh-CN"/>
        </w:rPr>
        <w:t>1</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社会保障和就业支出（类）人力资源和社会保障管理事务（款）事业运行（项）</w:t>
      </w:r>
      <w:r>
        <w:rPr>
          <w:rStyle w:val="18"/>
          <w:rFonts w:hint="eastAsia" w:ascii="仿宋" w:hAnsi="仿宋" w:eastAsia="仿宋"/>
          <w:bCs/>
          <w:color w:val="000000"/>
          <w:sz w:val="32"/>
          <w:szCs w:val="32"/>
          <w:lang w:eastAsia="zh-CN"/>
        </w:rPr>
        <w:t>：</w:t>
      </w:r>
      <w:r>
        <w:rPr>
          <w:rStyle w:val="18"/>
          <w:rFonts w:ascii="仿宋" w:hAnsi="仿宋" w:eastAsia="仿宋"/>
          <w:b w:val="0"/>
          <w:bCs/>
          <w:color w:val="000000"/>
          <w:sz w:val="32"/>
          <w:szCs w:val="32"/>
        </w:rPr>
        <w:t xml:space="preserve"> 支出</w:t>
      </w:r>
      <w:r>
        <w:rPr>
          <w:rStyle w:val="18"/>
          <w:rFonts w:hint="eastAsia" w:ascii="仿宋" w:hAnsi="仿宋" w:eastAsia="仿宋"/>
          <w:b w:val="0"/>
          <w:bCs/>
          <w:color w:val="000000"/>
          <w:sz w:val="32"/>
          <w:szCs w:val="32"/>
        </w:rPr>
        <w:t>决算为</w:t>
      </w:r>
      <w:r>
        <w:rPr>
          <w:rStyle w:val="18"/>
          <w:rFonts w:hint="eastAsia" w:ascii="仿宋" w:hAnsi="仿宋" w:eastAsia="仿宋"/>
          <w:b w:val="0"/>
          <w:bCs/>
          <w:color w:val="000000"/>
          <w:sz w:val="32"/>
          <w:szCs w:val="32"/>
          <w:lang w:val="en-US" w:eastAsia="zh-CN"/>
        </w:rPr>
        <w:t>710.15</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96.20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，决算数小于预算数的原因是市人事考试中心</w:t>
      </w:r>
      <w:r>
        <w:rPr>
          <w:rStyle w:val="18"/>
          <w:rFonts w:hint="eastAsia" w:ascii="仿宋" w:hAnsi="仿宋" w:eastAsia="仿宋"/>
          <w:b w:val="0"/>
          <w:bCs/>
          <w:color w:val="auto"/>
          <w:sz w:val="32"/>
          <w:szCs w:val="32"/>
          <w:highlight w:val="none"/>
          <w:lang w:val="en-US" w:eastAsia="zh-CN"/>
        </w:rPr>
        <w:t>代扣的住房公积金和保险提标部分未支付，将结转至下一年。</w:t>
      </w:r>
    </w:p>
    <w:p>
      <w:pPr>
        <w:pStyle w:val="12"/>
        <w:spacing w:line="576" w:lineRule="exact"/>
        <w:ind w:firstLine="643" w:firstLineChars="200"/>
        <w:rPr>
          <w:rStyle w:val="18"/>
          <w:rFonts w:hint="eastAsia" w:ascii="仿宋" w:hAnsi="仿宋" w:eastAsia="仿宋"/>
          <w:b w:val="0"/>
          <w:bCs/>
          <w:color w:val="000000"/>
          <w:sz w:val="32"/>
          <w:szCs w:val="32"/>
          <w:lang w:eastAsia="zh-CN"/>
        </w:rPr>
      </w:pPr>
      <w:r>
        <w:rPr>
          <w:rStyle w:val="18"/>
          <w:rFonts w:hint="eastAsia" w:ascii="仿宋" w:hAnsi="仿宋" w:eastAsia="仿宋"/>
          <w:bCs/>
          <w:color w:val="000000"/>
          <w:sz w:val="32"/>
          <w:szCs w:val="32"/>
        </w:rPr>
        <w:t>1</w:t>
      </w:r>
      <w:r>
        <w:rPr>
          <w:rStyle w:val="18"/>
          <w:rFonts w:hint="eastAsia" w:ascii="仿宋" w:hAnsi="仿宋" w:eastAsia="仿宋"/>
          <w:bCs/>
          <w:color w:val="000000"/>
          <w:sz w:val="32"/>
          <w:szCs w:val="32"/>
          <w:lang w:val="en-US" w:eastAsia="zh-CN"/>
        </w:rPr>
        <w:t>2</w:t>
      </w:r>
      <w:r>
        <w:rPr>
          <w:rStyle w:val="18"/>
          <w:rFonts w:hint="eastAsia" w:ascii="仿宋" w:hAnsi="仿宋" w:eastAsia="仿宋"/>
          <w:bCs/>
          <w:color w:val="000000"/>
          <w:sz w:val="32"/>
          <w:szCs w:val="32"/>
        </w:rPr>
        <w:t>.社会保障和就业支出（类）人力资源和社会保障管理事务（款）其他人力资源和社会保障管理事务支出（项）</w:t>
      </w:r>
      <w:r>
        <w:rPr>
          <w:rStyle w:val="18"/>
          <w:rFonts w:hint="eastAsia" w:ascii="仿宋" w:hAnsi="仿宋" w:eastAsia="仿宋"/>
          <w:bCs/>
          <w:color w:val="000000"/>
          <w:sz w:val="32"/>
          <w:szCs w:val="32"/>
          <w:lang w:eastAsia="zh-CN"/>
        </w:rPr>
        <w:t>：</w:t>
      </w:r>
      <w:r>
        <w:rPr>
          <w:rStyle w:val="18"/>
          <w:rFonts w:ascii="仿宋" w:hAnsi="仿宋" w:eastAsia="仿宋"/>
          <w:b w:val="0"/>
          <w:bCs/>
          <w:color w:val="000000"/>
          <w:sz w:val="32"/>
          <w:szCs w:val="32"/>
        </w:rPr>
        <w:t xml:space="preserve"> 支出</w:t>
      </w:r>
      <w:r>
        <w:rPr>
          <w:rStyle w:val="18"/>
          <w:rFonts w:hint="eastAsia" w:ascii="仿宋" w:hAnsi="仿宋" w:eastAsia="仿宋"/>
          <w:b w:val="0"/>
          <w:bCs/>
          <w:color w:val="000000"/>
          <w:sz w:val="32"/>
          <w:szCs w:val="32"/>
        </w:rPr>
        <w:t>决算为</w:t>
      </w:r>
      <w:r>
        <w:rPr>
          <w:rStyle w:val="18"/>
          <w:rFonts w:hint="eastAsia" w:ascii="仿宋" w:hAnsi="仿宋" w:eastAsia="仿宋"/>
          <w:b w:val="0"/>
          <w:bCs/>
          <w:color w:val="000000"/>
          <w:sz w:val="32"/>
          <w:szCs w:val="32"/>
          <w:lang w:val="en-US" w:eastAsia="zh-CN"/>
        </w:rPr>
        <w:t>156.91</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w:t>
      </w:r>
      <w:r>
        <w:rPr>
          <w:rStyle w:val="18"/>
          <w:rFonts w:hint="eastAsia" w:ascii="仿宋" w:hAnsi="仿宋" w:eastAsia="仿宋"/>
          <w:b w:val="0"/>
          <w:bCs/>
          <w:color w:val="000000"/>
          <w:sz w:val="32"/>
          <w:szCs w:val="32"/>
          <w:lang w:val="en-US" w:eastAsia="zh-CN"/>
        </w:rPr>
        <w:t>等于</w:t>
      </w:r>
      <w:r>
        <w:rPr>
          <w:rStyle w:val="18"/>
          <w:rFonts w:hint="eastAsia" w:ascii="仿宋" w:hAnsi="仿宋" w:eastAsia="仿宋"/>
          <w:b w:val="0"/>
          <w:bCs/>
          <w:color w:val="000000"/>
          <w:sz w:val="32"/>
          <w:szCs w:val="32"/>
        </w:rPr>
        <w:t>预算数</w:t>
      </w:r>
      <w:r>
        <w:rPr>
          <w:rStyle w:val="18"/>
          <w:rFonts w:hint="eastAsia" w:ascii="仿宋" w:hAnsi="仿宋" w:eastAsia="仿宋"/>
          <w:b w:val="0"/>
          <w:bCs/>
          <w:color w:val="000000"/>
          <w:sz w:val="32"/>
          <w:szCs w:val="32"/>
          <w:lang w:eastAsia="zh-CN"/>
        </w:rPr>
        <w:t>。</w:t>
      </w:r>
    </w:p>
    <w:p>
      <w:pPr>
        <w:pStyle w:val="12"/>
        <w:spacing w:line="576" w:lineRule="exact"/>
        <w:ind w:firstLine="643" w:firstLineChars="200"/>
      </w:pPr>
      <w:r>
        <w:rPr>
          <w:rStyle w:val="18"/>
          <w:rFonts w:hint="eastAsia" w:ascii="仿宋" w:hAnsi="仿宋" w:eastAsia="仿宋"/>
          <w:bCs/>
          <w:color w:val="000000"/>
          <w:sz w:val="32"/>
          <w:szCs w:val="32"/>
        </w:rPr>
        <w:t>1</w:t>
      </w:r>
      <w:r>
        <w:rPr>
          <w:rStyle w:val="18"/>
          <w:rFonts w:hint="eastAsia" w:ascii="仿宋" w:hAnsi="仿宋" w:eastAsia="仿宋"/>
          <w:bCs/>
          <w:color w:val="000000"/>
          <w:sz w:val="32"/>
          <w:szCs w:val="32"/>
          <w:lang w:val="en-US" w:eastAsia="zh-CN"/>
        </w:rPr>
        <w:t>3</w:t>
      </w:r>
      <w:r>
        <w:rPr>
          <w:rStyle w:val="18"/>
          <w:rFonts w:ascii="仿宋" w:hAnsi="仿宋" w:eastAsia="仿宋"/>
          <w:bCs/>
          <w:color w:val="000000"/>
          <w:sz w:val="32"/>
          <w:szCs w:val="32"/>
        </w:rPr>
        <w:t>.</w:t>
      </w:r>
      <w:r>
        <w:rPr>
          <w:rStyle w:val="20"/>
          <w:rFonts w:hint="eastAsia" w:ascii="仿宋" w:hAnsi="仿宋" w:eastAsia="仿宋"/>
          <w:bCs w:val="0"/>
          <w:color w:val="000000"/>
          <w:sz w:val="32"/>
          <w:szCs w:val="32"/>
        </w:rPr>
        <w:t xml:space="preserve"> </w:t>
      </w:r>
      <w:r>
        <w:rPr>
          <w:rStyle w:val="18"/>
          <w:rFonts w:hint="eastAsia" w:ascii="仿宋" w:hAnsi="仿宋" w:eastAsia="仿宋"/>
          <w:bCs/>
          <w:color w:val="000000"/>
          <w:sz w:val="32"/>
          <w:szCs w:val="32"/>
        </w:rPr>
        <w:t>社会保障和就业支出（类）行政事业单位养老支出（款）行政单位离退休（项）</w:t>
      </w:r>
      <w:r>
        <w:rPr>
          <w:rStyle w:val="18"/>
          <w:rFonts w:hint="eastAsia" w:ascii="仿宋" w:hAnsi="仿宋" w:eastAsia="仿宋"/>
          <w:bCs/>
          <w:color w:val="000000"/>
          <w:sz w:val="32"/>
          <w:szCs w:val="32"/>
          <w:lang w:eastAsia="zh-CN"/>
        </w:rPr>
        <w:t>：</w:t>
      </w:r>
      <w:r>
        <w:rPr>
          <w:rStyle w:val="18"/>
          <w:rFonts w:ascii="仿宋" w:hAnsi="仿宋" w:eastAsia="仿宋"/>
          <w:b w:val="0"/>
          <w:bCs/>
          <w:color w:val="000000"/>
          <w:sz w:val="32"/>
          <w:szCs w:val="32"/>
        </w:rPr>
        <w:t>支出</w:t>
      </w:r>
      <w:r>
        <w:rPr>
          <w:rStyle w:val="18"/>
          <w:rFonts w:hint="eastAsia" w:ascii="仿宋" w:hAnsi="仿宋" w:eastAsia="仿宋"/>
          <w:b w:val="0"/>
          <w:bCs/>
          <w:color w:val="000000"/>
          <w:sz w:val="32"/>
          <w:szCs w:val="32"/>
        </w:rPr>
        <w:t>决算为</w:t>
      </w:r>
      <w:r>
        <w:rPr>
          <w:rStyle w:val="18"/>
          <w:rFonts w:hint="eastAsia" w:ascii="仿宋" w:hAnsi="仿宋" w:eastAsia="仿宋"/>
          <w:b w:val="0"/>
          <w:bCs/>
          <w:color w:val="000000"/>
          <w:sz w:val="32"/>
          <w:szCs w:val="32"/>
          <w:lang w:val="en-US" w:eastAsia="zh-CN"/>
        </w:rPr>
        <w:t>0.3</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0.3</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576" w:lineRule="exact"/>
        <w:ind w:firstLine="643" w:firstLineChars="200"/>
        <w:rPr>
          <w:rStyle w:val="18"/>
          <w:rFonts w:ascii="仿宋" w:hAnsi="仿宋" w:eastAsia="仿宋"/>
          <w:b w:val="0"/>
          <w:bCs/>
          <w:color w:val="000000"/>
          <w:sz w:val="32"/>
          <w:szCs w:val="32"/>
        </w:rPr>
      </w:pPr>
      <w:r>
        <w:rPr>
          <w:rStyle w:val="18"/>
          <w:rFonts w:hint="eastAsia" w:ascii="仿宋" w:hAnsi="仿宋" w:eastAsia="仿宋"/>
          <w:bCs/>
          <w:color w:val="000000"/>
          <w:sz w:val="32"/>
          <w:szCs w:val="32"/>
        </w:rPr>
        <w:t>1</w:t>
      </w:r>
      <w:r>
        <w:rPr>
          <w:rStyle w:val="18"/>
          <w:rFonts w:hint="eastAsia" w:ascii="仿宋" w:hAnsi="仿宋" w:eastAsia="仿宋"/>
          <w:bCs/>
          <w:color w:val="000000"/>
          <w:sz w:val="32"/>
          <w:szCs w:val="32"/>
          <w:lang w:val="en-US" w:eastAsia="zh-CN"/>
        </w:rPr>
        <w:t>4</w:t>
      </w:r>
      <w:r>
        <w:rPr>
          <w:rStyle w:val="18"/>
          <w:rFonts w:ascii="仿宋" w:hAnsi="仿宋" w:eastAsia="仿宋"/>
          <w:bCs/>
          <w:color w:val="000000"/>
          <w:sz w:val="32"/>
          <w:szCs w:val="32"/>
        </w:rPr>
        <w:t>.</w:t>
      </w:r>
      <w:r>
        <w:rPr>
          <w:rStyle w:val="20"/>
          <w:rFonts w:hint="eastAsia" w:ascii="仿宋" w:hAnsi="仿宋" w:eastAsia="仿宋"/>
          <w:bCs w:val="0"/>
          <w:color w:val="000000"/>
          <w:sz w:val="32"/>
          <w:szCs w:val="32"/>
        </w:rPr>
        <w:t xml:space="preserve"> </w:t>
      </w:r>
      <w:r>
        <w:rPr>
          <w:rStyle w:val="18"/>
          <w:rFonts w:hint="eastAsia" w:ascii="仿宋" w:hAnsi="仿宋" w:eastAsia="仿宋"/>
          <w:bCs/>
          <w:color w:val="000000"/>
          <w:sz w:val="32"/>
          <w:szCs w:val="32"/>
        </w:rPr>
        <w:t>社会保障和就业支出（类）行政事业单位养老支出（款）机关事业单位基本养老保险缴费支出（项）</w:t>
      </w:r>
      <w:r>
        <w:rPr>
          <w:rStyle w:val="18"/>
          <w:rFonts w:hint="eastAsia" w:ascii="仿宋" w:hAnsi="仿宋" w:eastAsia="仿宋"/>
          <w:bCs/>
          <w:color w:val="000000"/>
          <w:sz w:val="32"/>
          <w:szCs w:val="32"/>
          <w:lang w:eastAsia="zh-CN"/>
        </w:rPr>
        <w:t>：</w:t>
      </w:r>
      <w:r>
        <w:rPr>
          <w:rStyle w:val="18"/>
          <w:rFonts w:ascii="仿宋" w:hAnsi="仿宋" w:eastAsia="仿宋"/>
          <w:b w:val="0"/>
          <w:bCs/>
          <w:color w:val="000000"/>
          <w:sz w:val="32"/>
          <w:szCs w:val="32"/>
        </w:rPr>
        <w:t xml:space="preserve"> 支出</w:t>
      </w:r>
      <w:r>
        <w:rPr>
          <w:rStyle w:val="18"/>
          <w:rFonts w:hint="eastAsia" w:ascii="仿宋" w:hAnsi="仿宋" w:eastAsia="仿宋"/>
          <w:b w:val="0"/>
          <w:bCs/>
          <w:color w:val="000000"/>
          <w:sz w:val="32"/>
          <w:szCs w:val="32"/>
        </w:rPr>
        <w:t>决算为</w:t>
      </w:r>
      <w:r>
        <w:rPr>
          <w:rStyle w:val="18"/>
          <w:rFonts w:hint="eastAsia" w:ascii="仿宋" w:hAnsi="仿宋" w:eastAsia="仿宋"/>
          <w:b w:val="0"/>
          <w:bCs/>
          <w:color w:val="000000"/>
          <w:sz w:val="32"/>
          <w:szCs w:val="32"/>
          <w:lang w:val="en-US" w:eastAsia="zh-CN"/>
        </w:rPr>
        <w:t>278.33</w:t>
      </w:r>
      <w:r>
        <w:rPr>
          <w:rStyle w:val="18"/>
          <w:rFonts w:hint="eastAsia" w:ascii="仿宋" w:hAnsi="仿宋" w:eastAsia="仿宋"/>
          <w:b w:val="0"/>
          <w:bCs/>
          <w:color w:val="000000"/>
          <w:sz w:val="32"/>
          <w:szCs w:val="32"/>
        </w:rPr>
        <w:t>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576" w:lineRule="exact"/>
        <w:ind w:firstLine="643" w:firstLineChars="200"/>
        <w:rPr>
          <w:rStyle w:val="18"/>
          <w:rFonts w:ascii="仿宋" w:hAnsi="仿宋" w:eastAsia="仿宋"/>
          <w:b w:val="0"/>
          <w:bCs/>
          <w:color w:val="000000"/>
          <w:sz w:val="32"/>
          <w:szCs w:val="32"/>
        </w:rPr>
      </w:pPr>
      <w:r>
        <w:rPr>
          <w:rStyle w:val="18"/>
          <w:rFonts w:hint="eastAsia" w:ascii="仿宋" w:hAnsi="仿宋" w:eastAsia="仿宋"/>
          <w:bCs/>
          <w:color w:val="000000"/>
          <w:sz w:val="32"/>
          <w:szCs w:val="32"/>
        </w:rPr>
        <w:t>1</w:t>
      </w:r>
      <w:r>
        <w:rPr>
          <w:rStyle w:val="18"/>
          <w:rFonts w:hint="eastAsia" w:ascii="仿宋" w:hAnsi="仿宋" w:eastAsia="仿宋"/>
          <w:bCs/>
          <w:color w:val="000000"/>
          <w:sz w:val="32"/>
          <w:szCs w:val="32"/>
          <w:lang w:val="en-US" w:eastAsia="zh-CN"/>
        </w:rPr>
        <w:t>5</w:t>
      </w:r>
      <w:r>
        <w:rPr>
          <w:rStyle w:val="18"/>
          <w:rFonts w:ascii="仿宋" w:hAnsi="仿宋" w:eastAsia="仿宋"/>
          <w:bCs/>
          <w:color w:val="000000"/>
          <w:sz w:val="32"/>
          <w:szCs w:val="32"/>
        </w:rPr>
        <w:t>.</w:t>
      </w:r>
      <w:r>
        <w:rPr>
          <w:rStyle w:val="20"/>
          <w:rFonts w:hint="eastAsia" w:ascii="仿宋" w:hAnsi="仿宋" w:eastAsia="仿宋"/>
          <w:bCs w:val="0"/>
          <w:color w:val="000000"/>
          <w:sz w:val="32"/>
          <w:szCs w:val="32"/>
        </w:rPr>
        <w:t xml:space="preserve"> </w:t>
      </w:r>
      <w:r>
        <w:rPr>
          <w:rStyle w:val="18"/>
          <w:rFonts w:hint="eastAsia" w:ascii="仿宋" w:hAnsi="仿宋" w:eastAsia="仿宋"/>
          <w:bCs/>
          <w:color w:val="000000"/>
          <w:sz w:val="32"/>
          <w:szCs w:val="32"/>
        </w:rPr>
        <w:t>社会保障和就业支出（类）行政事业单位养老支出（款）机关事业单位职业年金缴费支出（项）</w:t>
      </w:r>
      <w:r>
        <w:rPr>
          <w:rStyle w:val="18"/>
          <w:rFonts w:hint="eastAsia" w:ascii="仿宋" w:hAnsi="仿宋" w:eastAsia="仿宋"/>
          <w:bCs/>
          <w:color w:val="000000"/>
          <w:sz w:val="32"/>
          <w:szCs w:val="32"/>
          <w:lang w:eastAsia="zh-CN"/>
        </w:rPr>
        <w:t>：</w:t>
      </w:r>
      <w:r>
        <w:rPr>
          <w:rStyle w:val="18"/>
          <w:rFonts w:ascii="仿宋" w:hAnsi="仿宋" w:eastAsia="仿宋"/>
          <w:b w:val="0"/>
          <w:bCs/>
          <w:color w:val="000000"/>
          <w:sz w:val="32"/>
          <w:szCs w:val="32"/>
        </w:rPr>
        <w:t xml:space="preserve"> 支出</w:t>
      </w:r>
      <w:r>
        <w:rPr>
          <w:rStyle w:val="18"/>
          <w:rFonts w:hint="eastAsia" w:ascii="仿宋" w:hAnsi="仿宋" w:eastAsia="仿宋"/>
          <w:b w:val="0"/>
          <w:bCs/>
          <w:color w:val="000000"/>
          <w:sz w:val="32"/>
          <w:szCs w:val="32"/>
        </w:rPr>
        <w:t>决算为</w:t>
      </w:r>
      <w:r>
        <w:rPr>
          <w:rStyle w:val="18"/>
          <w:rFonts w:hint="eastAsia" w:ascii="仿宋" w:hAnsi="仿宋" w:eastAsia="仿宋"/>
          <w:b w:val="0"/>
          <w:bCs/>
          <w:color w:val="000000"/>
          <w:sz w:val="32"/>
          <w:szCs w:val="32"/>
          <w:lang w:val="en-US" w:eastAsia="zh-CN"/>
        </w:rPr>
        <w:t>29.38</w:t>
      </w:r>
      <w:r>
        <w:rPr>
          <w:rStyle w:val="18"/>
          <w:rFonts w:hint="eastAsia" w:ascii="仿宋" w:hAnsi="仿宋" w:eastAsia="仿宋"/>
          <w:b w:val="0"/>
          <w:bCs/>
          <w:color w:val="000000"/>
          <w:sz w:val="32"/>
          <w:szCs w:val="32"/>
        </w:rPr>
        <w:t>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576" w:lineRule="exact"/>
        <w:ind w:firstLine="643" w:firstLineChars="200"/>
        <w:rPr>
          <w:rStyle w:val="18"/>
          <w:rFonts w:ascii="仿宋" w:hAnsi="仿宋" w:eastAsia="仿宋"/>
          <w:b w:val="0"/>
          <w:bCs/>
          <w:color w:val="000000"/>
          <w:sz w:val="32"/>
          <w:szCs w:val="32"/>
        </w:rPr>
      </w:pPr>
      <w:r>
        <w:rPr>
          <w:rStyle w:val="18"/>
          <w:rFonts w:hint="eastAsia" w:ascii="仿宋" w:hAnsi="仿宋" w:eastAsia="仿宋"/>
          <w:bCs/>
          <w:color w:val="000000"/>
          <w:sz w:val="32"/>
          <w:szCs w:val="32"/>
        </w:rPr>
        <w:t>1</w:t>
      </w:r>
      <w:r>
        <w:rPr>
          <w:rStyle w:val="18"/>
          <w:rFonts w:hint="eastAsia" w:ascii="仿宋" w:hAnsi="仿宋" w:eastAsia="仿宋"/>
          <w:bCs/>
          <w:color w:val="000000"/>
          <w:sz w:val="32"/>
          <w:szCs w:val="32"/>
          <w:lang w:val="en-US" w:eastAsia="zh-CN"/>
        </w:rPr>
        <w:t>6</w:t>
      </w:r>
      <w:r>
        <w:rPr>
          <w:rStyle w:val="18"/>
          <w:rFonts w:ascii="仿宋" w:hAnsi="仿宋" w:eastAsia="仿宋"/>
          <w:bCs/>
          <w:color w:val="000000"/>
          <w:sz w:val="32"/>
          <w:szCs w:val="32"/>
        </w:rPr>
        <w:t>.</w:t>
      </w:r>
      <w:r>
        <w:rPr>
          <w:rStyle w:val="20"/>
          <w:rFonts w:hint="eastAsia" w:ascii="仿宋" w:hAnsi="仿宋" w:eastAsia="仿宋"/>
          <w:bCs w:val="0"/>
          <w:color w:val="000000"/>
          <w:sz w:val="32"/>
          <w:szCs w:val="32"/>
        </w:rPr>
        <w:t xml:space="preserve"> </w:t>
      </w:r>
      <w:r>
        <w:rPr>
          <w:rStyle w:val="18"/>
          <w:rFonts w:hint="eastAsia" w:ascii="仿宋" w:hAnsi="仿宋" w:eastAsia="仿宋"/>
          <w:bCs/>
          <w:color w:val="000000"/>
          <w:sz w:val="32"/>
          <w:szCs w:val="32"/>
        </w:rPr>
        <w:t>社会保障和就业支出（类）就业补助（款）其他就业补助支出（项）</w:t>
      </w:r>
      <w:r>
        <w:rPr>
          <w:rStyle w:val="18"/>
          <w:rFonts w:hint="eastAsia" w:ascii="仿宋" w:hAnsi="仿宋" w:eastAsia="仿宋"/>
          <w:bCs/>
          <w:color w:val="000000"/>
          <w:sz w:val="32"/>
          <w:szCs w:val="32"/>
          <w:lang w:eastAsia="zh-CN"/>
        </w:rPr>
        <w:t>：</w:t>
      </w:r>
      <w:r>
        <w:rPr>
          <w:rStyle w:val="18"/>
          <w:rFonts w:ascii="仿宋" w:hAnsi="仿宋" w:eastAsia="仿宋"/>
          <w:b w:val="0"/>
          <w:bCs/>
          <w:color w:val="000000"/>
          <w:sz w:val="32"/>
          <w:szCs w:val="32"/>
        </w:rPr>
        <w:t xml:space="preserve"> 支出</w:t>
      </w:r>
      <w:r>
        <w:rPr>
          <w:rStyle w:val="18"/>
          <w:rFonts w:hint="eastAsia" w:ascii="仿宋" w:hAnsi="仿宋" w:eastAsia="仿宋"/>
          <w:b w:val="0"/>
          <w:bCs/>
          <w:color w:val="000000"/>
          <w:sz w:val="32"/>
          <w:szCs w:val="32"/>
        </w:rPr>
        <w:t>决算为</w:t>
      </w:r>
      <w:r>
        <w:rPr>
          <w:rStyle w:val="18"/>
          <w:rFonts w:hint="eastAsia" w:ascii="仿宋" w:hAnsi="仿宋" w:eastAsia="仿宋"/>
          <w:b w:val="0"/>
          <w:bCs/>
          <w:color w:val="000000"/>
          <w:sz w:val="32"/>
          <w:szCs w:val="32"/>
          <w:lang w:val="en-US" w:eastAsia="zh-CN"/>
        </w:rPr>
        <w:t>210.36</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w:t>
      </w:r>
      <w:r>
        <w:rPr>
          <w:rStyle w:val="18"/>
          <w:rFonts w:hint="eastAsia" w:ascii="仿宋" w:hAnsi="仿宋" w:eastAsia="仿宋"/>
          <w:b w:val="0"/>
          <w:bCs/>
          <w:color w:val="000000"/>
          <w:sz w:val="32"/>
          <w:szCs w:val="32"/>
          <w:lang w:val="en-US" w:eastAsia="zh-CN"/>
        </w:rPr>
        <w:t>等于</w:t>
      </w:r>
      <w:r>
        <w:rPr>
          <w:rStyle w:val="18"/>
          <w:rFonts w:hint="eastAsia" w:ascii="仿宋" w:hAnsi="仿宋" w:eastAsia="仿宋"/>
          <w:b w:val="0"/>
          <w:bCs/>
          <w:color w:val="000000"/>
          <w:sz w:val="32"/>
          <w:szCs w:val="32"/>
        </w:rPr>
        <w:t>预算数。</w:t>
      </w:r>
    </w:p>
    <w:p>
      <w:pPr>
        <w:pStyle w:val="12"/>
        <w:spacing w:line="576" w:lineRule="exact"/>
        <w:ind w:firstLine="643" w:firstLineChars="200"/>
      </w:pPr>
      <w:r>
        <w:rPr>
          <w:rStyle w:val="18"/>
          <w:rFonts w:hint="eastAsia" w:ascii="仿宋" w:hAnsi="仿宋" w:eastAsia="仿宋"/>
          <w:bCs/>
          <w:color w:val="000000"/>
          <w:sz w:val="32"/>
          <w:szCs w:val="32"/>
        </w:rPr>
        <w:t>1</w:t>
      </w:r>
      <w:r>
        <w:rPr>
          <w:rStyle w:val="18"/>
          <w:rFonts w:hint="eastAsia" w:ascii="仿宋" w:hAnsi="仿宋" w:eastAsia="仿宋"/>
          <w:bCs/>
          <w:color w:val="000000"/>
          <w:sz w:val="32"/>
          <w:szCs w:val="32"/>
          <w:lang w:val="en-US" w:eastAsia="zh-CN"/>
        </w:rPr>
        <w:t>7</w:t>
      </w:r>
      <w:r>
        <w:rPr>
          <w:rStyle w:val="18"/>
          <w:rFonts w:ascii="仿宋" w:hAnsi="仿宋" w:eastAsia="仿宋"/>
          <w:bCs/>
          <w:color w:val="000000"/>
          <w:sz w:val="32"/>
          <w:szCs w:val="32"/>
        </w:rPr>
        <w:t>.</w:t>
      </w:r>
      <w:r>
        <w:rPr>
          <w:rStyle w:val="20"/>
          <w:rFonts w:hint="eastAsia" w:ascii="仿宋" w:hAnsi="仿宋" w:eastAsia="仿宋"/>
          <w:bCs w:val="0"/>
          <w:color w:val="000000"/>
          <w:sz w:val="32"/>
          <w:szCs w:val="32"/>
        </w:rPr>
        <w:t xml:space="preserve"> </w:t>
      </w:r>
      <w:r>
        <w:rPr>
          <w:rStyle w:val="18"/>
          <w:rFonts w:hint="eastAsia" w:ascii="仿宋" w:hAnsi="仿宋" w:eastAsia="仿宋"/>
          <w:bCs/>
          <w:color w:val="000000"/>
          <w:sz w:val="32"/>
          <w:szCs w:val="32"/>
        </w:rPr>
        <w:t>社会保障和就业支出（类）抚恤（款）死亡抚恤（项）</w:t>
      </w:r>
      <w:r>
        <w:rPr>
          <w:rStyle w:val="18"/>
          <w:rFonts w:hint="eastAsia" w:ascii="仿宋" w:hAnsi="仿宋" w:eastAsia="仿宋"/>
          <w:bCs/>
          <w:color w:val="000000"/>
          <w:sz w:val="32"/>
          <w:szCs w:val="32"/>
          <w:lang w:eastAsia="zh-CN"/>
        </w:rPr>
        <w:t>：</w:t>
      </w:r>
      <w:r>
        <w:rPr>
          <w:rStyle w:val="18"/>
          <w:rFonts w:ascii="仿宋" w:hAnsi="仿宋" w:eastAsia="仿宋"/>
          <w:b w:val="0"/>
          <w:bCs/>
          <w:color w:val="000000"/>
          <w:sz w:val="32"/>
          <w:szCs w:val="32"/>
        </w:rPr>
        <w:t xml:space="preserve"> 支出</w:t>
      </w:r>
      <w:r>
        <w:rPr>
          <w:rStyle w:val="18"/>
          <w:rFonts w:hint="eastAsia" w:ascii="仿宋" w:hAnsi="仿宋" w:eastAsia="仿宋"/>
          <w:b w:val="0"/>
          <w:bCs/>
          <w:color w:val="000000"/>
          <w:sz w:val="32"/>
          <w:szCs w:val="32"/>
        </w:rPr>
        <w:t>决算为</w:t>
      </w:r>
      <w:r>
        <w:rPr>
          <w:rStyle w:val="18"/>
          <w:rFonts w:hint="eastAsia" w:ascii="仿宋" w:hAnsi="仿宋" w:eastAsia="仿宋"/>
          <w:b w:val="0"/>
          <w:bCs/>
          <w:color w:val="000000"/>
          <w:sz w:val="32"/>
          <w:szCs w:val="32"/>
          <w:lang w:val="en-US" w:eastAsia="zh-CN"/>
        </w:rPr>
        <w:t>130.68</w:t>
      </w:r>
      <w:r>
        <w:rPr>
          <w:rStyle w:val="18"/>
          <w:rFonts w:hint="eastAsia" w:ascii="仿宋" w:hAnsi="仿宋" w:eastAsia="仿宋"/>
          <w:b w:val="0"/>
          <w:bCs/>
          <w:color w:val="000000"/>
          <w:sz w:val="32"/>
          <w:szCs w:val="32"/>
        </w:rPr>
        <w:t>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pStyle w:val="12"/>
        <w:spacing w:line="576" w:lineRule="exact"/>
        <w:ind w:firstLine="643" w:firstLineChars="200"/>
      </w:pPr>
      <w:r>
        <w:rPr>
          <w:rStyle w:val="18"/>
          <w:rFonts w:hint="eastAsia" w:ascii="仿宋" w:hAnsi="仿宋" w:eastAsia="仿宋"/>
          <w:bCs/>
          <w:color w:val="000000"/>
          <w:sz w:val="32"/>
          <w:szCs w:val="32"/>
          <w:lang w:val="en-US" w:eastAsia="zh-CN"/>
        </w:rPr>
        <w:t>18</w:t>
      </w:r>
      <w:r>
        <w:rPr>
          <w:rStyle w:val="18"/>
          <w:rFonts w:ascii="仿宋" w:hAnsi="仿宋" w:eastAsia="仿宋"/>
          <w:bCs/>
          <w:color w:val="000000"/>
          <w:sz w:val="32"/>
          <w:szCs w:val="32"/>
        </w:rPr>
        <w:t>.</w:t>
      </w:r>
      <w:r>
        <w:rPr>
          <w:rFonts w:hint="eastAsia" w:ascii="仿宋" w:hAnsi="仿宋" w:eastAsia="仿宋"/>
          <w:b/>
          <w:bCs/>
          <w:color w:val="000000"/>
          <w:sz w:val="32"/>
          <w:szCs w:val="32"/>
        </w:rPr>
        <w:t>卫生健康</w:t>
      </w:r>
      <w:r>
        <w:rPr>
          <w:rFonts w:hint="eastAsia" w:ascii="仿宋" w:hAnsi="仿宋" w:eastAsia="仿宋"/>
          <w:b/>
          <w:bCs/>
          <w:color w:val="000000"/>
          <w:sz w:val="32"/>
          <w:szCs w:val="32"/>
          <w:lang w:val="en-US" w:eastAsia="zh-CN"/>
        </w:rPr>
        <w:t>支出</w:t>
      </w:r>
      <w:r>
        <w:rPr>
          <w:rStyle w:val="18"/>
          <w:rFonts w:hint="eastAsia" w:ascii="仿宋" w:hAnsi="仿宋" w:eastAsia="仿宋"/>
          <w:bCs/>
          <w:color w:val="000000"/>
          <w:sz w:val="32"/>
          <w:szCs w:val="32"/>
        </w:rPr>
        <w:t>（类）行政事业单位</w:t>
      </w:r>
      <w:r>
        <w:rPr>
          <w:rStyle w:val="18"/>
          <w:rFonts w:ascii="仿宋" w:hAnsi="仿宋" w:eastAsia="仿宋"/>
          <w:bCs/>
          <w:color w:val="000000"/>
          <w:sz w:val="32"/>
          <w:szCs w:val="32"/>
        </w:rPr>
        <w:t>医疗</w:t>
      </w:r>
      <w:r>
        <w:rPr>
          <w:rStyle w:val="18"/>
          <w:rFonts w:hint="eastAsia" w:ascii="仿宋" w:hAnsi="仿宋" w:eastAsia="仿宋"/>
          <w:bCs/>
          <w:color w:val="000000"/>
          <w:sz w:val="32"/>
          <w:szCs w:val="32"/>
        </w:rPr>
        <w:t>（款）行政单位</w:t>
      </w:r>
      <w:r>
        <w:rPr>
          <w:rStyle w:val="18"/>
          <w:rFonts w:ascii="仿宋" w:hAnsi="仿宋" w:eastAsia="仿宋"/>
          <w:bCs/>
          <w:color w:val="000000"/>
          <w:sz w:val="32"/>
          <w:szCs w:val="32"/>
        </w:rPr>
        <w:t>医疗</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eastAsia="zh-CN"/>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91.30</w:t>
      </w:r>
      <w:r>
        <w:rPr>
          <w:rStyle w:val="18"/>
          <w:rFonts w:hint="eastAsia" w:ascii="仿宋" w:hAnsi="仿宋" w:eastAsia="仿宋"/>
          <w:b w:val="0"/>
          <w:bCs/>
          <w:color w:val="000000"/>
          <w:sz w:val="32"/>
          <w:szCs w:val="32"/>
        </w:rPr>
        <w:t>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pStyle w:val="12"/>
        <w:spacing w:line="576" w:lineRule="exact"/>
        <w:ind w:firstLine="643" w:firstLineChars="200"/>
        <w:rPr>
          <w:rStyle w:val="18"/>
          <w:rFonts w:ascii="仿宋" w:hAnsi="仿宋" w:eastAsia="仿宋"/>
          <w:b w:val="0"/>
          <w:bCs/>
          <w:color w:val="000000"/>
          <w:sz w:val="32"/>
          <w:szCs w:val="32"/>
        </w:rPr>
      </w:pPr>
      <w:r>
        <w:rPr>
          <w:rStyle w:val="18"/>
          <w:rFonts w:hint="eastAsia" w:ascii="仿宋" w:hAnsi="仿宋" w:eastAsia="仿宋"/>
          <w:bCs/>
          <w:color w:val="000000"/>
          <w:sz w:val="32"/>
          <w:szCs w:val="32"/>
          <w:lang w:val="en-US" w:eastAsia="zh-CN"/>
        </w:rPr>
        <w:t>19</w:t>
      </w:r>
      <w:r>
        <w:rPr>
          <w:rStyle w:val="18"/>
          <w:rFonts w:ascii="仿宋" w:hAnsi="仿宋" w:eastAsia="仿宋"/>
          <w:bCs/>
          <w:color w:val="000000"/>
          <w:sz w:val="32"/>
          <w:szCs w:val="32"/>
        </w:rPr>
        <w:t>.</w:t>
      </w:r>
      <w:r>
        <w:rPr>
          <w:rFonts w:hint="eastAsia" w:ascii="仿宋" w:hAnsi="仿宋" w:eastAsia="仿宋"/>
          <w:b/>
          <w:bCs/>
          <w:color w:val="000000"/>
          <w:sz w:val="32"/>
          <w:szCs w:val="32"/>
        </w:rPr>
        <w:t>卫生健康</w:t>
      </w:r>
      <w:r>
        <w:rPr>
          <w:rFonts w:hint="eastAsia" w:ascii="仿宋" w:hAnsi="仿宋" w:eastAsia="仿宋"/>
          <w:b/>
          <w:bCs/>
          <w:color w:val="000000"/>
          <w:sz w:val="32"/>
          <w:szCs w:val="32"/>
          <w:lang w:val="en-US" w:eastAsia="zh-CN"/>
        </w:rPr>
        <w:t>支出</w:t>
      </w:r>
      <w:r>
        <w:rPr>
          <w:rStyle w:val="18"/>
          <w:rFonts w:hint="eastAsia" w:ascii="仿宋" w:hAnsi="仿宋" w:eastAsia="仿宋"/>
          <w:bCs/>
          <w:color w:val="000000"/>
          <w:sz w:val="32"/>
          <w:szCs w:val="32"/>
        </w:rPr>
        <w:t>（类）行政事业单位</w:t>
      </w:r>
      <w:r>
        <w:rPr>
          <w:rStyle w:val="18"/>
          <w:rFonts w:ascii="仿宋" w:hAnsi="仿宋" w:eastAsia="仿宋"/>
          <w:bCs/>
          <w:color w:val="000000"/>
          <w:sz w:val="32"/>
          <w:szCs w:val="32"/>
        </w:rPr>
        <w:t>医疗</w:t>
      </w:r>
      <w:r>
        <w:rPr>
          <w:rStyle w:val="18"/>
          <w:rFonts w:hint="eastAsia" w:ascii="仿宋" w:hAnsi="仿宋" w:eastAsia="仿宋"/>
          <w:bCs/>
          <w:color w:val="000000"/>
          <w:sz w:val="32"/>
          <w:szCs w:val="32"/>
        </w:rPr>
        <w:t>（款）事业单位</w:t>
      </w:r>
      <w:r>
        <w:rPr>
          <w:rStyle w:val="18"/>
          <w:rFonts w:ascii="仿宋" w:hAnsi="仿宋" w:eastAsia="仿宋"/>
          <w:bCs/>
          <w:color w:val="000000"/>
          <w:sz w:val="32"/>
          <w:szCs w:val="32"/>
        </w:rPr>
        <w:t>医疗</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eastAsia="zh-CN"/>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48.89</w:t>
      </w:r>
      <w:r>
        <w:rPr>
          <w:rStyle w:val="18"/>
          <w:rFonts w:hint="eastAsia" w:ascii="仿宋" w:hAnsi="仿宋" w:eastAsia="仿宋"/>
          <w:b w:val="0"/>
          <w:bCs/>
          <w:color w:val="000000"/>
          <w:sz w:val="32"/>
          <w:szCs w:val="32"/>
        </w:rPr>
        <w:t>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pStyle w:val="12"/>
        <w:spacing w:line="576" w:lineRule="exact"/>
        <w:ind w:firstLine="643" w:firstLineChars="200"/>
        <w:rPr>
          <w:rStyle w:val="18"/>
          <w:rFonts w:ascii="仿宋" w:hAnsi="仿宋" w:eastAsia="仿宋"/>
          <w:b w:val="0"/>
          <w:bCs/>
          <w:color w:val="000000"/>
          <w:sz w:val="32"/>
          <w:szCs w:val="32"/>
        </w:rPr>
      </w:pPr>
      <w:r>
        <w:rPr>
          <w:rStyle w:val="18"/>
          <w:rFonts w:hint="eastAsia" w:ascii="仿宋" w:hAnsi="仿宋" w:eastAsia="仿宋"/>
          <w:bCs/>
          <w:color w:val="000000"/>
          <w:sz w:val="32"/>
          <w:szCs w:val="32"/>
        </w:rPr>
        <w:t>2</w:t>
      </w:r>
      <w:r>
        <w:rPr>
          <w:rStyle w:val="18"/>
          <w:rFonts w:hint="eastAsia" w:ascii="仿宋" w:hAnsi="仿宋" w:eastAsia="仿宋"/>
          <w:bCs/>
          <w:color w:val="000000"/>
          <w:sz w:val="32"/>
          <w:szCs w:val="32"/>
          <w:lang w:val="en-US" w:eastAsia="zh-CN"/>
        </w:rPr>
        <w:t>0</w:t>
      </w:r>
      <w:r>
        <w:rPr>
          <w:rStyle w:val="18"/>
          <w:rFonts w:ascii="仿宋" w:hAnsi="仿宋" w:eastAsia="仿宋"/>
          <w:bCs/>
          <w:color w:val="000000"/>
          <w:sz w:val="32"/>
          <w:szCs w:val="32"/>
        </w:rPr>
        <w:t>.</w:t>
      </w:r>
      <w:r>
        <w:rPr>
          <w:rFonts w:hint="eastAsia" w:ascii="仿宋" w:hAnsi="仿宋" w:eastAsia="仿宋"/>
          <w:b/>
          <w:bCs/>
          <w:color w:val="000000"/>
          <w:sz w:val="32"/>
          <w:szCs w:val="32"/>
        </w:rPr>
        <w:t>农林水支出</w:t>
      </w:r>
      <w:r>
        <w:rPr>
          <w:rStyle w:val="18"/>
          <w:rFonts w:hint="eastAsia" w:ascii="仿宋" w:hAnsi="仿宋" w:eastAsia="仿宋"/>
          <w:bCs/>
          <w:color w:val="000000"/>
          <w:sz w:val="32"/>
          <w:szCs w:val="32"/>
        </w:rPr>
        <w:t>（类）普惠金融发展支出（款）创业担保贷款贴息</w:t>
      </w:r>
      <w:r>
        <w:rPr>
          <w:rStyle w:val="18"/>
          <w:rFonts w:hint="eastAsia" w:ascii="仿宋" w:hAnsi="仿宋" w:eastAsia="仿宋"/>
          <w:bCs/>
          <w:color w:val="000000"/>
          <w:sz w:val="32"/>
          <w:szCs w:val="32"/>
          <w:lang w:val="en-US" w:eastAsia="zh-CN"/>
        </w:rPr>
        <w:t>及奖补</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eastAsia="zh-CN"/>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15.46</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w:t>
      </w:r>
      <w:r>
        <w:rPr>
          <w:rStyle w:val="18"/>
          <w:rFonts w:hint="eastAsia" w:ascii="仿宋" w:hAnsi="仿宋" w:eastAsia="仿宋"/>
          <w:b w:val="0"/>
          <w:bCs/>
          <w:color w:val="000000"/>
          <w:sz w:val="32"/>
          <w:szCs w:val="32"/>
          <w:lang w:val="en-US" w:eastAsia="zh-CN"/>
        </w:rPr>
        <w:t>等于</w:t>
      </w:r>
      <w:r>
        <w:rPr>
          <w:rStyle w:val="18"/>
          <w:rFonts w:hint="eastAsia" w:ascii="仿宋" w:hAnsi="仿宋" w:eastAsia="仿宋"/>
          <w:b w:val="0"/>
          <w:bCs/>
          <w:color w:val="000000"/>
          <w:sz w:val="32"/>
          <w:szCs w:val="32"/>
        </w:rPr>
        <w:t>预算数。</w:t>
      </w:r>
    </w:p>
    <w:p>
      <w:pPr>
        <w:pStyle w:val="12"/>
        <w:spacing w:line="576" w:lineRule="exact"/>
        <w:ind w:firstLine="643" w:firstLineChars="200"/>
      </w:pPr>
      <w:r>
        <w:rPr>
          <w:rStyle w:val="18"/>
          <w:rFonts w:hint="eastAsia" w:ascii="仿宋" w:hAnsi="仿宋" w:eastAsia="仿宋"/>
          <w:bCs/>
          <w:color w:val="000000"/>
          <w:sz w:val="32"/>
          <w:szCs w:val="32"/>
        </w:rPr>
        <w:t>2</w:t>
      </w:r>
      <w:r>
        <w:rPr>
          <w:rStyle w:val="18"/>
          <w:rFonts w:hint="eastAsia" w:ascii="仿宋" w:hAnsi="仿宋" w:eastAsia="仿宋"/>
          <w:bCs/>
          <w:color w:val="000000"/>
          <w:sz w:val="32"/>
          <w:szCs w:val="32"/>
          <w:lang w:val="en-US" w:eastAsia="zh-CN"/>
        </w:rPr>
        <w:t>1</w:t>
      </w:r>
      <w:r>
        <w:rPr>
          <w:rStyle w:val="18"/>
          <w:rFonts w:ascii="仿宋" w:hAnsi="仿宋" w:eastAsia="仿宋"/>
          <w:bCs/>
          <w:color w:val="000000"/>
          <w:sz w:val="32"/>
          <w:szCs w:val="32"/>
        </w:rPr>
        <w:t>.</w:t>
      </w:r>
      <w:r>
        <w:rPr>
          <w:rFonts w:hint="eastAsia" w:ascii="仿宋" w:hAnsi="仿宋" w:eastAsia="仿宋"/>
          <w:b/>
          <w:bCs/>
          <w:color w:val="000000"/>
          <w:sz w:val="32"/>
          <w:szCs w:val="32"/>
        </w:rPr>
        <w:t>住房保障支出</w:t>
      </w:r>
      <w:r>
        <w:rPr>
          <w:rStyle w:val="18"/>
          <w:rFonts w:hint="eastAsia" w:ascii="仿宋" w:hAnsi="仿宋" w:eastAsia="仿宋"/>
          <w:bCs/>
          <w:color w:val="000000"/>
          <w:sz w:val="32"/>
          <w:szCs w:val="32"/>
        </w:rPr>
        <w:t>（类）住房改革支出（款）住房公积金（项）</w:t>
      </w:r>
      <w:r>
        <w:rPr>
          <w:rStyle w:val="18"/>
          <w:rFonts w:hint="eastAsia" w:ascii="仿宋" w:hAnsi="仿宋" w:eastAsia="仿宋"/>
          <w:bCs/>
          <w:color w:val="000000"/>
          <w:sz w:val="32"/>
          <w:szCs w:val="32"/>
          <w:lang w:eastAsia="zh-CN"/>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362.83</w:t>
      </w:r>
      <w:r>
        <w:rPr>
          <w:rStyle w:val="18"/>
          <w:rFonts w:hint="eastAsia" w:ascii="仿宋" w:hAnsi="仿宋" w:eastAsia="仿宋"/>
          <w:b w:val="0"/>
          <w:bCs/>
          <w:color w:val="000000"/>
          <w:sz w:val="32"/>
          <w:szCs w:val="32"/>
        </w:rPr>
        <w:t>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lang w:eastAsia="zh-CN"/>
        </w:rPr>
        <w:t>，</w:t>
      </w:r>
      <w:r>
        <w:rPr>
          <w:rStyle w:val="18"/>
          <w:rFonts w:hint="eastAsia" w:ascii="仿宋" w:hAnsi="仿宋" w:eastAsia="仿宋"/>
          <w:b w:val="0"/>
          <w:bCs/>
          <w:color w:val="000000"/>
          <w:sz w:val="32"/>
          <w:szCs w:val="32"/>
        </w:rPr>
        <w:t>决算数</w:t>
      </w:r>
      <w:r>
        <w:rPr>
          <w:rStyle w:val="18"/>
          <w:rFonts w:hint="eastAsia" w:ascii="仿宋" w:hAnsi="仿宋" w:eastAsia="仿宋"/>
          <w:b w:val="0"/>
          <w:bCs/>
          <w:color w:val="000000"/>
          <w:sz w:val="32"/>
          <w:szCs w:val="32"/>
          <w:lang w:val="en-US" w:eastAsia="zh-CN"/>
        </w:rPr>
        <w:t>等于</w:t>
      </w:r>
      <w:r>
        <w:rPr>
          <w:rStyle w:val="18"/>
          <w:rFonts w:hint="eastAsia" w:ascii="仿宋" w:hAnsi="仿宋" w:eastAsia="仿宋"/>
          <w:b w:val="0"/>
          <w:bCs/>
          <w:color w:val="000000"/>
          <w:sz w:val="32"/>
          <w:szCs w:val="32"/>
        </w:rPr>
        <w:t>预算数。</w:t>
      </w:r>
    </w:p>
    <w:p>
      <w:pPr>
        <w:tabs>
          <w:tab w:val="right" w:pos="8306"/>
        </w:tabs>
        <w:spacing w:line="600" w:lineRule="exact"/>
        <w:ind w:firstLine="640"/>
        <w:outlineLvl w:val="1"/>
        <w:rPr>
          <w:rStyle w:val="21"/>
          <w:color w:val="auto"/>
          <w:highlight w:val="none"/>
        </w:rPr>
      </w:pPr>
      <w:bookmarkStart w:id="65" w:name="_Toc29143"/>
      <w:bookmarkStart w:id="66" w:name="_Toc15377214"/>
      <w:bookmarkStart w:id="67" w:name="_Toc15396608"/>
      <w:bookmarkStart w:id="68" w:name="_Toc26955"/>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1"/>
          <w:rFonts w:hint="eastAsia" w:ascii="黑体" w:hAnsi="黑体" w:eastAsia="黑体"/>
          <w:b w:val="0"/>
          <w:color w:val="auto"/>
          <w:highlight w:val="none"/>
        </w:rPr>
        <w:t>般公共预算财政拨款基本支出决算情况说明</w:t>
      </w:r>
      <w:bookmarkEnd w:id="65"/>
      <w:bookmarkEnd w:id="66"/>
      <w:bookmarkEnd w:id="67"/>
      <w:bookmarkEnd w:id="68"/>
      <w:r>
        <w:rPr>
          <w:rStyle w:val="21"/>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5642.59</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5069.27</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万元，主要包括：基本工资、津贴补贴、奖金、伙食补助费、绩效工资、机关事业单位基本养老保险缴费、职业年金缴费、职工基本医疗保险缴费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其他社会保障缴费、住房公积金、</w:t>
      </w:r>
      <w:r>
        <w:rPr>
          <w:rFonts w:hint="eastAsia" w:ascii="仿宋" w:hAnsi="仿宋" w:eastAsia="仿宋"/>
          <w:color w:val="auto"/>
          <w:sz w:val="32"/>
          <w:szCs w:val="32"/>
          <w:highlight w:val="none"/>
          <w:lang w:val="en-US" w:eastAsia="zh-CN"/>
        </w:rPr>
        <w:t>医疗费、</w:t>
      </w:r>
      <w:r>
        <w:rPr>
          <w:rFonts w:hint="eastAsia" w:ascii="仿宋" w:hAnsi="仿宋" w:eastAsia="仿宋"/>
          <w:color w:val="auto"/>
          <w:sz w:val="32"/>
          <w:szCs w:val="32"/>
          <w:highlight w:val="none"/>
        </w:rPr>
        <w:t>其他工资福利支出、抚恤金、生活补助、奖励金、其他对个人和家庭的补助支出。</w:t>
      </w:r>
    </w:p>
    <w:p>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573.32</w:t>
      </w:r>
      <w:r>
        <w:rPr>
          <w:rFonts w:hint="eastAsia" w:ascii="仿宋" w:hAnsi="仿宋" w:eastAsia="仿宋"/>
          <w:color w:val="auto"/>
          <w:sz w:val="32"/>
          <w:szCs w:val="32"/>
          <w:highlight w:val="none"/>
        </w:rPr>
        <w:t>万元，主要包括：办公费、印刷费、咨询费、水费、电费、邮电费、物业管理费、差旅费、维修（护）费、租赁费、会议费、培训费、公务接待费、劳务费、委托业务费、工会经费、福利费、公务用车运行维护费、其他交通费</w:t>
      </w:r>
      <w:r>
        <w:rPr>
          <w:rFonts w:hint="eastAsia" w:ascii="仿宋" w:hAnsi="仿宋" w:eastAsia="仿宋"/>
          <w:color w:val="auto"/>
          <w:sz w:val="32"/>
          <w:szCs w:val="32"/>
          <w:highlight w:val="none"/>
          <w:lang w:val="en-US" w:eastAsia="zh-CN"/>
        </w:rPr>
        <w:t>用</w:t>
      </w:r>
      <w:r>
        <w:rPr>
          <w:rFonts w:hint="eastAsia" w:ascii="仿宋" w:hAnsi="仿宋" w:eastAsia="仿宋"/>
          <w:color w:val="auto"/>
          <w:sz w:val="32"/>
          <w:szCs w:val="32"/>
          <w:highlight w:val="none"/>
        </w:rPr>
        <w:t>、其他商品和服务支出、办公设备购置。</w:t>
      </w:r>
    </w:p>
    <w:p>
      <w:pPr>
        <w:spacing w:line="600" w:lineRule="exact"/>
        <w:ind w:firstLine="640"/>
        <w:outlineLvl w:val="1"/>
        <w:rPr>
          <w:rStyle w:val="21"/>
          <w:rFonts w:ascii="黑体" w:hAnsi="黑体" w:eastAsia="黑体"/>
          <w:b w:val="0"/>
          <w:color w:val="auto"/>
          <w:highlight w:val="none"/>
        </w:rPr>
      </w:pPr>
      <w:bookmarkStart w:id="69" w:name="_Toc30887"/>
      <w:bookmarkStart w:id="70" w:name="_Toc15377215"/>
      <w:bookmarkStart w:id="71" w:name="_Toc15396609"/>
      <w:bookmarkStart w:id="72" w:name="_Toc20995"/>
      <w:r>
        <w:rPr>
          <w:rFonts w:hint="eastAsia" w:ascii="黑体" w:eastAsia="黑体"/>
          <w:color w:val="auto"/>
          <w:sz w:val="32"/>
          <w:szCs w:val="32"/>
          <w:highlight w:val="none"/>
        </w:rPr>
        <w:t>七、</w:t>
      </w:r>
      <w:r>
        <w:rPr>
          <w:rStyle w:val="21"/>
          <w:rFonts w:hint="eastAsia" w:ascii="黑体" w:hAnsi="黑体" w:eastAsia="黑体"/>
          <w:b w:val="0"/>
          <w:color w:val="auto"/>
          <w:highlight w:val="none"/>
        </w:rPr>
        <w:t>财政拨款</w:t>
      </w:r>
      <w:r>
        <w:rPr>
          <w:rStyle w:val="21"/>
          <w:rFonts w:hint="eastAsia" w:ascii="黑体" w:hAnsi="黑体" w:eastAsia="黑体"/>
          <w:color w:val="auto"/>
          <w:highlight w:val="none"/>
        </w:rPr>
        <w:t>“</w:t>
      </w:r>
      <w:r>
        <w:rPr>
          <w:rStyle w:val="21"/>
          <w:rFonts w:hint="eastAsia" w:ascii="黑体" w:hAnsi="黑体" w:eastAsia="黑体"/>
          <w:b w:val="0"/>
          <w:color w:val="auto"/>
          <w:highlight w:val="none"/>
        </w:rPr>
        <w:t>三公”经费支出决算情况说明</w:t>
      </w:r>
      <w:bookmarkEnd w:id="69"/>
      <w:bookmarkEnd w:id="70"/>
      <w:bookmarkEnd w:id="71"/>
      <w:bookmarkEnd w:id="72"/>
    </w:p>
    <w:p>
      <w:pPr>
        <w:spacing w:line="600" w:lineRule="exact"/>
        <w:ind w:firstLine="640"/>
        <w:outlineLvl w:val="2"/>
        <w:rPr>
          <w:rFonts w:ascii="仿宋" w:hAnsi="仿宋" w:eastAsia="仿宋"/>
          <w:b/>
          <w:color w:val="auto"/>
          <w:sz w:val="32"/>
          <w:szCs w:val="32"/>
          <w:highlight w:val="none"/>
        </w:rPr>
      </w:pPr>
      <w:bookmarkStart w:id="73" w:name="_Toc15377216"/>
      <w:r>
        <w:rPr>
          <w:rFonts w:hint="eastAsia" w:ascii="仿宋" w:hAnsi="仿宋" w:eastAsia="仿宋"/>
          <w:b/>
          <w:color w:val="auto"/>
          <w:sz w:val="32"/>
          <w:szCs w:val="32"/>
          <w:highlight w:val="none"/>
        </w:rPr>
        <w:t>（一）“三公”经费财政拨款支出决算总体情况说明</w:t>
      </w:r>
      <w:bookmarkEnd w:id="73"/>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6.55</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98.2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减少6.87万元，下降51.19%。</w:t>
      </w:r>
      <w:r>
        <w:rPr>
          <w:rFonts w:hint="eastAsia" w:ascii="仿宋" w:hAnsi="仿宋" w:eastAsia="仿宋"/>
          <w:color w:val="auto"/>
          <w:sz w:val="32"/>
          <w:szCs w:val="32"/>
          <w:highlight w:val="none"/>
        </w:rPr>
        <w:t>决算数小于预算数的主要原因</w:t>
      </w:r>
      <w:r>
        <w:rPr>
          <w:rFonts w:hint="eastAsia" w:ascii="仿宋" w:hAnsi="仿宋" w:eastAsia="仿宋"/>
          <w:color w:val="auto"/>
          <w:sz w:val="32"/>
          <w:szCs w:val="32"/>
          <w:highlight w:val="none"/>
          <w:lang w:val="en-US" w:eastAsia="zh-CN"/>
        </w:rPr>
        <w:t>是2022年受疫情影响，公务接待和公务出差次数较上年大幅减少，公务车使用频率也大幅降低</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74" w:name="_Toc15377217"/>
      <w:r>
        <w:rPr>
          <w:rFonts w:hint="eastAsia" w:ascii="仿宋" w:hAnsi="仿宋" w:eastAsia="仿宋"/>
          <w:b/>
          <w:color w:val="auto"/>
          <w:sz w:val="32"/>
          <w:szCs w:val="32"/>
          <w:highlight w:val="none"/>
        </w:rPr>
        <w:t>（二）“三公”经费财政拨款支出决算具体情况说明</w:t>
      </w:r>
      <w:bookmarkEnd w:id="74"/>
    </w:p>
    <w:p>
      <w:pPr>
        <w:spacing w:line="600" w:lineRule="exact"/>
        <w:ind w:firstLine="640"/>
        <w:rPr>
          <w:rFonts w:hint="eastAsia" w:ascii="仿宋" w:hAnsi="仿宋" w:eastAsia="仿宋"/>
          <w:sz w:val="32"/>
          <w:szCs w:val="32"/>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sz w:val="32"/>
          <w:szCs w:val="32"/>
        </w:rPr>
        <w:t>年初未安排公务出国（境）预算；公务用车购置及运行维护费支出决算</w:t>
      </w:r>
      <w:r>
        <w:rPr>
          <w:rFonts w:hint="eastAsia" w:ascii="仿宋" w:hAnsi="仿宋" w:eastAsia="仿宋"/>
          <w:sz w:val="32"/>
          <w:szCs w:val="32"/>
          <w:lang w:val="en-US" w:eastAsia="zh-CN"/>
        </w:rPr>
        <w:t>4.96</w:t>
      </w:r>
      <w:r>
        <w:rPr>
          <w:rFonts w:hint="eastAsia" w:ascii="仿宋" w:hAnsi="仿宋" w:eastAsia="仿宋"/>
          <w:sz w:val="32"/>
          <w:szCs w:val="32"/>
        </w:rPr>
        <w:t>万元，占</w:t>
      </w:r>
      <w:r>
        <w:rPr>
          <w:rFonts w:hint="eastAsia" w:ascii="仿宋" w:hAnsi="仿宋" w:eastAsia="仿宋"/>
          <w:sz w:val="32"/>
          <w:szCs w:val="32"/>
          <w:lang w:val="en-US" w:eastAsia="zh-CN"/>
        </w:rPr>
        <w:t>75.73</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1.59</w:t>
      </w:r>
      <w:r>
        <w:rPr>
          <w:rFonts w:hint="eastAsia" w:ascii="仿宋" w:hAnsi="仿宋" w:eastAsia="仿宋"/>
          <w:sz w:val="32"/>
          <w:szCs w:val="32"/>
        </w:rPr>
        <w:t>万元，占</w:t>
      </w:r>
      <w:r>
        <w:rPr>
          <w:rFonts w:hint="eastAsia" w:ascii="仿宋" w:hAnsi="仿宋" w:eastAsia="仿宋"/>
          <w:sz w:val="32"/>
          <w:szCs w:val="32"/>
          <w:lang w:val="en-US" w:eastAsia="zh-CN"/>
        </w:rPr>
        <w:t>24.27</w:t>
      </w:r>
      <w:r>
        <w:rPr>
          <w:rFonts w:ascii="仿宋" w:hAnsi="仿宋" w:eastAsia="仿宋"/>
          <w:sz w:val="32"/>
          <w:szCs w:val="32"/>
        </w:rPr>
        <w:t>%</w:t>
      </w:r>
      <w:r>
        <w:rPr>
          <w:rFonts w:hint="eastAsia" w:ascii="仿宋" w:hAnsi="仿宋" w:eastAsia="仿宋"/>
          <w:sz w:val="32"/>
          <w:szCs w:val="32"/>
        </w:rPr>
        <w:t>。具体情况如下：</w:t>
      </w:r>
    </w:p>
    <w:p>
      <w:pPr>
        <w:pStyle w:val="2"/>
        <w:jc w:val="center"/>
      </w:pPr>
      <w:r>
        <w:rPr>
          <w:sz w:val="30"/>
        </w:rPr>
        <mc:AlternateContent>
          <mc:Choice Requires="wps">
            <w:drawing>
              <wp:anchor distT="0" distB="0" distL="114300" distR="114300" simplePos="0" relativeHeight="251678720" behindDoc="0" locked="0" layoutInCell="1" allowOverlap="1">
                <wp:simplePos x="0" y="0"/>
                <wp:positionH relativeFrom="column">
                  <wp:posOffset>3380105</wp:posOffset>
                </wp:positionH>
                <wp:positionV relativeFrom="paragraph">
                  <wp:posOffset>1186180</wp:posOffset>
                </wp:positionV>
                <wp:extent cx="895350" cy="494665"/>
                <wp:effectExtent l="0" t="0" r="0" b="0"/>
                <wp:wrapNone/>
                <wp:docPr id="3" name="文本框 3"/>
                <wp:cNvGraphicFramePr/>
                <a:graphic xmlns:a="http://schemas.openxmlformats.org/drawingml/2006/main">
                  <a:graphicData uri="http://schemas.microsoft.com/office/word/2010/wordprocessingShape">
                    <wps:wsp>
                      <wps:cNvSpPr txBox="1"/>
                      <wps:spPr>
                        <a:xfrm>
                          <a:off x="2703830" y="4453255"/>
                          <a:ext cx="895350" cy="4946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sz w:val="24"/>
                                <w:szCs w:val="24"/>
                              </w:rPr>
                            </w:pPr>
                            <w:r>
                              <w:rPr>
                                <w:rFonts w:hint="eastAsia" w:ascii="仿宋" w:hAnsi="仿宋" w:eastAsia="仿宋"/>
                                <w:sz w:val="24"/>
                                <w:szCs w:val="24"/>
                                <w:lang w:val="en-US" w:eastAsia="zh-CN"/>
                              </w:rPr>
                              <w:t>4.96</w:t>
                            </w:r>
                            <w:r>
                              <w:rPr>
                                <w:rFonts w:hint="eastAsia" w:ascii="仿宋" w:hAnsi="仿宋" w:eastAsia="仿宋"/>
                                <w:sz w:val="24"/>
                                <w:szCs w:val="24"/>
                              </w:rPr>
                              <w:t>万元，占</w:t>
                            </w:r>
                            <w:r>
                              <w:rPr>
                                <w:rFonts w:hint="eastAsia" w:ascii="仿宋" w:hAnsi="仿宋" w:eastAsia="仿宋"/>
                                <w:sz w:val="24"/>
                                <w:szCs w:val="24"/>
                                <w:lang w:val="en-US" w:eastAsia="zh-CN"/>
                              </w:rPr>
                              <w:t>75.73</w:t>
                            </w:r>
                            <w:r>
                              <w:rPr>
                                <w:rFonts w:ascii="仿宋" w:hAnsi="仿宋" w:eastAsia="仿宋"/>
                                <w:sz w:val="24"/>
                                <w:szCs w:val="24"/>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6.15pt;margin-top:93.4pt;height:38.95pt;width:70.5pt;z-index:251678720;mso-width-relative:page;mso-height-relative:page;" filled="f" stroked="f" coordsize="21600,21600" o:gfxdata="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uEWR72wAAAAsBAAAPAAAAAAAAAAEA&#10;IAAAACIAAABkcnMvZG93bnJldi54bWxQSwECFAAUAAAACACHTuJAaSaABUUCAABxBAAADgAAAAAA&#10;AAABACAAAAAqAQAAZHJzL2Uyb0RvYy54bWxQSwUGAAAAAAYABgBZAQAA4QUAAAAA&#10;">
                <v:fill on="f" focussize="0,0"/>
                <v:stroke on="f" weight="0.5pt"/>
                <v:imagedata o:title=""/>
                <o:lock v:ext="edit" aspectratio="f"/>
                <v:textbox>
                  <w:txbxContent>
                    <w:p>
                      <w:pPr>
                        <w:rPr>
                          <w:sz w:val="24"/>
                          <w:szCs w:val="24"/>
                        </w:rPr>
                      </w:pPr>
                      <w:r>
                        <w:rPr>
                          <w:rFonts w:hint="eastAsia" w:ascii="仿宋" w:hAnsi="仿宋" w:eastAsia="仿宋"/>
                          <w:sz w:val="24"/>
                          <w:szCs w:val="24"/>
                          <w:lang w:val="en-US" w:eastAsia="zh-CN"/>
                        </w:rPr>
                        <w:t>4.96</w:t>
                      </w:r>
                      <w:r>
                        <w:rPr>
                          <w:rFonts w:hint="eastAsia" w:ascii="仿宋" w:hAnsi="仿宋" w:eastAsia="仿宋"/>
                          <w:sz w:val="24"/>
                          <w:szCs w:val="24"/>
                        </w:rPr>
                        <w:t>万元，占</w:t>
                      </w:r>
                      <w:r>
                        <w:rPr>
                          <w:rFonts w:hint="eastAsia" w:ascii="仿宋" w:hAnsi="仿宋" w:eastAsia="仿宋"/>
                          <w:sz w:val="24"/>
                          <w:szCs w:val="24"/>
                          <w:lang w:val="en-US" w:eastAsia="zh-CN"/>
                        </w:rPr>
                        <w:t>75.73</w:t>
                      </w:r>
                      <w:r>
                        <w:rPr>
                          <w:rFonts w:ascii="仿宋" w:hAnsi="仿宋" w:eastAsia="仿宋"/>
                          <w:sz w:val="24"/>
                          <w:szCs w:val="24"/>
                        </w:rPr>
                        <w:t>%</w:t>
                      </w:r>
                    </w:p>
                  </w:txbxContent>
                </v:textbox>
              </v:shape>
            </w:pict>
          </mc:Fallback>
        </mc:AlternateContent>
      </w:r>
      <w:r>
        <w:rPr>
          <w:sz w:val="30"/>
        </w:rPr>
        <mc:AlternateContent>
          <mc:Choice Requires="wps">
            <w:drawing>
              <wp:anchor distT="0" distB="0" distL="114300" distR="114300" simplePos="0" relativeHeight="251679744" behindDoc="0" locked="0" layoutInCell="1" allowOverlap="1">
                <wp:simplePos x="0" y="0"/>
                <wp:positionH relativeFrom="column">
                  <wp:posOffset>3113405</wp:posOffset>
                </wp:positionH>
                <wp:positionV relativeFrom="paragraph">
                  <wp:posOffset>1243330</wp:posOffset>
                </wp:positionV>
                <wp:extent cx="363855" cy="126365"/>
                <wp:effectExtent l="0" t="19050" r="17145" b="6985"/>
                <wp:wrapNone/>
                <wp:docPr id="11" name="直接箭头连接符 11"/>
                <wp:cNvGraphicFramePr/>
                <a:graphic xmlns:a="http://schemas.openxmlformats.org/drawingml/2006/main">
                  <a:graphicData uri="http://schemas.microsoft.com/office/word/2010/wordprocessingShape">
                    <wps:wsp>
                      <wps:cNvCnPr/>
                      <wps:spPr>
                        <a:xfrm flipH="1" flipV="1">
                          <a:off x="4065905" y="5091430"/>
                          <a:ext cx="363855" cy="126365"/>
                        </a:xfrm>
                        <a:prstGeom prst="straightConnector1">
                          <a:avLst/>
                        </a:prstGeom>
                        <a:ln w="12700" cmpd="sng">
                          <a:solidFill>
                            <a:schemeClr val="tx1"/>
                          </a:solidFill>
                          <a:prstDash val="solid"/>
                          <a:tailEnd type="arrow" w="med" len="med"/>
                        </a:ln>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245.15pt;margin-top:97.9pt;height:9.95pt;width:28.65pt;z-index:251679744;mso-width-relative:page;mso-height-relative:page;" filled="f" stroked="t" coordsize="21600,21600" o:gfxdata="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d6zG&#10;HtoAAAALAQAADwAAAAAAAAABACAAAAAiAAAAZHJzL2Rvd25yZXYueG1sUEsBAhQAFAAAAAgAh07i&#10;QMyDNOggAgAAAAQAAA4AAAAAAAAAAQAgAAAAKQEAAGRycy9lMm9Eb2MueG1sUEsFBgAAAAAGAAYA&#10;WQEAALsFAAAAAA==&#10;">
                <v:fill on="f" focussize="0,0"/>
                <v:stroke weight="1pt" color="#000000 [3213]" joinstyle="round" endarrow="open"/>
                <v:imagedata o:title=""/>
                <o:lock v:ext="edit" aspectratio="f"/>
              </v:shape>
            </w:pict>
          </mc:Fallback>
        </mc:AlternateContent>
      </w:r>
      <w:r>
        <w:rPr>
          <w:sz w:val="30"/>
        </w:rPr>
        <mc:AlternateContent>
          <mc:Choice Requires="wps">
            <w:drawing>
              <wp:anchor distT="0" distB="0" distL="114300" distR="114300" simplePos="0" relativeHeight="251681792" behindDoc="0" locked="0" layoutInCell="1" allowOverlap="1">
                <wp:simplePos x="0" y="0"/>
                <wp:positionH relativeFrom="column">
                  <wp:posOffset>1951355</wp:posOffset>
                </wp:positionH>
                <wp:positionV relativeFrom="paragraph">
                  <wp:posOffset>738505</wp:posOffset>
                </wp:positionV>
                <wp:extent cx="428625" cy="161925"/>
                <wp:effectExtent l="2540" t="5715" r="6985" b="22860"/>
                <wp:wrapNone/>
                <wp:docPr id="29" name="直接箭头连接符 29"/>
                <wp:cNvGraphicFramePr/>
                <a:graphic xmlns:a="http://schemas.openxmlformats.org/drawingml/2006/main">
                  <a:graphicData uri="http://schemas.microsoft.com/office/word/2010/wordprocessingShape">
                    <wps:wsp>
                      <wps:cNvCnPr/>
                      <wps:spPr>
                        <a:xfrm>
                          <a:off x="3094355" y="4700905"/>
                          <a:ext cx="428625" cy="161925"/>
                        </a:xfrm>
                        <a:prstGeom prst="straightConnector1">
                          <a:avLst/>
                        </a:prstGeom>
                        <a:ln w="127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53.65pt;margin-top:58.15pt;height:12.75pt;width:33.75pt;z-index:251681792;mso-width-relative:page;mso-height-relative:page;" filled="f" stroked="t" coordsize="21600,21600" o:gfxdata="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VMPEb2gAAAAsBAAAPAAAAAAAAAAEAIAAA&#10;ACIAAABkcnMvZG93bnJldi54bWxQSwECFAAUAAAACACHTuJAM0tLNgoCAADaAwAADgAAAAAAAAAB&#10;ACAAAAApAQAAZHJzL2Uyb0RvYy54bWxQSwUGAAAAAAYABgBZAQAApQUAAAAA&#10;">
                <v:fill on="f" focussize="0,0"/>
                <v:stroke weight="1pt" color="#000000 [3213]" joinstyle="round" endarrow="open"/>
                <v:imagedata o:title=""/>
                <o:lock v:ext="edit" aspectratio="f"/>
              </v:shape>
            </w:pict>
          </mc:Fallback>
        </mc:AlternateContent>
      </w:r>
      <w:r>
        <w:rPr>
          <w:sz w:val="30"/>
        </w:rPr>
        <mc:AlternateContent>
          <mc:Choice Requires="wps">
            <w:drawing>
              <wp:anchor distT="0" distB="0" distL="114300" distR="114300" simplePos="0" relativeHeight="251680768" behindDoc="0" locked="0" layoutInCell="1" allowOverlap="1">
                <wp:simplePos x="0" y="0"/>
                <wp:positionH relativeFrom="column">
                  <wp:posOffset>1217930</wp:posOffset>
                </wp:positionH>
                <wp:positionV relativeFrom="paragraph">
                  <wp:posOffset>471805</wp:posOffset>
                </wp:positionV>
                <wp:extent cx="847725" cy="485775"/>
                <wp:effectExtent l="0" t="0" r="9525" b="9525"/>
                <wp:wrapNone/>
                <wp:docPr id="28" name="文本框 28"/>
                <wp:cNvGraphicFramePr/>
                <a:graphic xmlns:a="http://schemas.openxmlformats.org/drawingml/2006/main">
                  <a:graphicData uri="http://schemas.microsoft.com/office/word/2010/wordprocessingShape">
                    <wps:wsp>
                      <wps:cNvSpPr txBox="1"/>
                      <wps:spPr>
                        <a:xfrm>
                          <a:off x="2360930" y="4434205"/>
                          <a:ext cx="847725" cy="4857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1.59万元，占24.27%</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5.9pt;margin-top:37.15pt;height:38.25pt;width:66.75pt;z-index:251680768;mso-width-relative:page;mso-height-relative:page;" fillcolor="#FFFFFF [3201]" filled="t" stroked="f" coordsize="21600,21600" o:gfxdata="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NKYN&#10;adUAAAAKAQAADwAAAAAAAAABACAAAAAiAAAAZHJzL2Rvd25yZXYueG1sUEsBAhQAFAAAAAgAh07i&#10;QO0fw09eAgAAnAQAAA4AAAAAAAAAAQAgAAAAJAEAAGRycy9lMm9Eb2MueG1sUEsFBgAAAAAGAAYA&#10;WQEAAPQFAAAAAA==&#10;">
                <v:fill on="t" focussize="0,0"/>
                <v:stroke on="f" weight="0.5pt"/>
                <v:imagedata o:title=""/>
                <o:lock v:ext="edit" aspectratio="f"/>
                <v:textbox>
                  <w:txbxContent>
                    <w:p>
                      <w:pPr>
                        <w:rPr>
                          <w:rFonts w:hint="default" w:eastAsia="宋体"/>
                          <w:lang w:val="en-US" w:eastAsia="zh-CN"/>
                        </w:rPr>
                      </w:pPr>
                      <w:r>
                        <w:rPr>
                          <w:rFonts w:hint="eastAsia"/>
                          <w:lang w:val="en-US" w:eastAsia="zh-CN"/>
                        </w:rPr>
                        <w:t>1.59万元，占24.27%</w:t>
                      </w:r>
                    </w:p>
                  </w:txbxContent>
                </v:textbox>
              </v:shape>
            </w:pict>
          </mc:Fallback>
        </mc:AlternateContent>
      </w:r>
      <w:r>
        <w:drawing>
          <wp:inline distT="0" distB="0" distL="114300" distR="114300">
            <wp:extent cx="3464560" cy="1715770"/>
            <wp:effectExtent l="5080" t="4445" r="16510" b="1333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w:t>
      </w:r>
    </w:p>
    <w:p>
      <w:pPr>
        <w:spacing w:line="600" w:lineRule="exact"/>
        <w:ind w:firstLine="640"/>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8"/>
          <w:rFonts w:hint="eastAsia" w:ascii="仿宋" w:hAnsi="仿宋" w:eastAsia="仿宋"/>
          <w:b w:val="0"/>
          <w:bCs/>
          <w:sz w:val="32"/>
          <w:szCs w:val="32"/>
        </w:rPr>
        <w:t>年初未</w:t>
      </w:r>
      <w:r>
        <w:rPr>
          <w:rFonts w:hint="eastAsia" w:ascii="仿宋_GB2312" w:eastAsia="仿宋_GB2312"/>
          <w:sz w:val="32"/>
          <w:szCs w:val="32"/>
        </w:rPr>
        <w:t>安排因公出国（境）预算，因公出国（境）支出决算较202</w:t>
      </w:r>
      <w:r>
        <w:rPr>
          <w:rFonts w:hint="eastAsia" w:ascii="仿宋_GB2312" w:eastAsia="仿宋_GB2312"/>
          <w:sz w:val="32"/>
          <w:szCs w:val="32"/>
          <w:lang w:val="en-US" w:eastAsia="zh-CN"/>
        </w:rPr>
        <w:t>1</w:t>
      </w:r>
      <w:r>
        <w:rPr>
          <w:rFonts w:hint="eastAsia" w:ascii="仿宋_GB2312" w:eastAsia="仿宋_GB2312"/>
          <w:sz w:val="32"/>
          <w:szCs w:val="32"/>
        </w:rPr>
        <w:t>年无变化。</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4.96</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2.66</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34.91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2022年受疫情影响，与上年比较公务出差次数大幅减少，公务车使用频率也大幅降低</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sz w:val="32"/>
          <w:szCs w:val="32"/>
          <w:highlight w:val="none"/>
        </w:rPr>
        <w:t>全年未更新购置公务用车。截至2022年12月底，本部门共有公务用车</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辆，其中：特种专业技术用车1辆、其他用车2辆。</w:t>
      </w:r>
    </w:p>
    <w:p>
      <w:pPr>
        <w:spacing w:line="600" w:lineRule="exact"/>
        <w:ind w:firstLine="640"/>
        <w:rPr>
          <w:rFonts w:ascii="仿宋_GB2312" w:eastAsia="仿宋_GB2312"/>
          <w:sz w:val="32"/>
          <w:szCs w:val="32"/>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4.96</w:t>
      </w:r>
      <w:r>
        <w:rPr>
          <w:rFonts w:hint="eastAsia" w:ascii="仿宋_GB2312" w:eastAsia="仿宋_GB2312"/>
          <w:color w:val="auto"/>
          <w:sz w:val="32"/>
          <w:szCs w:val="32"/>
          <w:highlight w:val="none"/>
        </w:rPr>
        <w:t>万元。</w:t>
      </w:r>
      <w:r>
        <w:rPr>
          <w:rFonts w:hint="eastAsia" w:ascii="仿宋" w:hAnsi="仿宋" w:eastAsia="仿宋"/>
          <w:color w:val="000000"/>
          <w:sz w:val="32"/>
          <w:szCs w:val="32"/>
        </w:rPr>
        <w:t>主要用于</w:t>
      </w:r>
      <w:r>
        <w:rPr>
          <w:rFonts w:hint="eastAsia" w:ascii="仿宋_GB2312" w:eastAsia="仿宋_GB2312"/>
          <w:sz w:val="32"/>
          <w:szCs w:val="32"/>
        </w:rPr>
        <w:t>促进就业创业、人才队伍建设、人事制度改革、高层次人才引进、劳动关系维权、工伤调查认定、公共服务体系建设</w:t>
      </w:r>
      <w:r>
        <w:rPr>
          <w:rFonts w:hint="eastAsia" w:ascii="仿宋" w:hAnsi="仿宋" w:eastAsia="仿宋"/>
          <w:color w:val="000000"/>
          <w:sz w:val="32"/>
          <w:szCs w:val="32"/>
        </w:rPr>
        <w:t>等所需的</w:t>
      </w:r>
    </w:p>
    <w:p>
      <w:pPr>
        <w:spacing w:line="60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公务用车燃料费、维修费、过路过桥费、保险费等支出。</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1.59</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92.98</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4.21</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72.59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2022年受疫情影响，公务接待批次和人数都大幅降低</w:t>
      </w:r>
      <w:r>
        <w:rPr>
          <w:rFonts w:hint="eastAsia" w:ascii="仿宋_GB2312" w:eastAsia="仿宋_GB2312"/>
          <w:color w:val="auto"/>
          <w:sz w:val="32"/>
          <w:szCs w:val="32"/>
          <w:highlight w:val="none"/>
        </w:rPr>
        <w:t>。其中：</w:t>
      </w:r>
    </w:p>
    <w:p>
      <w:pPr>
        <w:spacing w:line="600" w:lineRule="exact"/>
        <w:ind w:firstLine="640"/>
        <w:rPr>
          <w:rFonts w:hint="default" w:ascii="仿宋_GB2312" w:eastAsia="仿宋_GB2312"/>
          <w:color w:val="auto"/>
          <w:sz w:val="32"/>
          <w:szCs w:val="32"/>
          <w:highlight w:val="none"/>
          <w:lang w:val="en-US" w:eastAsia="zh-CN"/>
        </w:rPr>
      </w:pPr>
      <w:r>
        <w:rPr>
          <w:rFonts w:hint="eastAsia" w:ascii="仿宋" w:hAnsi="仿宋" w:eastAsia="仿宋"/>
          <w:b/>
          <w:color w:val="auto"/>
          <w:sz w:val="32"/>
          <w:szCs w:val="32"/>
          <w:highlight w:val="none"/>
        </w:rPr>
        <w:t>国内公务接待支出</w:t>
      </w:r>
      <w:r>
        <w:rPr>
          <w:rFonts w:hint="eastAsia" w:ascii="仿宋" w:hAnsi="仿宋" w:eastAsia="仿宋"/>
          <w:b/>
          <w:color w:val="auto"/>
          <w:sz w:val="32"/>
          <w:szCs w:val="32"/>
          <w:highlight w:val="none"/>
          <w:lang w:val="en-US" w:eastAsia="zh-CN"/>
        </w:rPr>
        <w:t>1.59</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主要用于</w:t>
      </w:r>
      <w:r>
        <w:rPr>
          <w:rFonts w:hint="eastAsia" w:ascii="仿宋_GB2312" w:eastAsia="仿宋_GB2312"/>
          <w:sz w:val="32"/>
          <w:szCs w:val="32"/>
        </w:rPr>
        <w:t>开展就业创业、完善社会保障体系、人才队伍建设、人事制度改革、构建和谐劳动关系、公共服务体系建设等重点工作以及有关单位来广调研、指导、督查督办、学习交流所发生的接待支出</w:t>
      </w:r>
      <w:r>
        <w:rPr>
          <w:rFonts w:hint="eastAsia" w:ascii="仿宋_GB2312" w:eastAsia="仿宋_GB2312"/>
          <w:sz w:val="32"/>
          <w:szCs w:val="32"/>
          <w:lang w:eastAsia="zh-CN"/>
        </w:rPr>
        <w:t>（</w:t>
      </w:r>
      <w:r>
        <w:rPr>
          <w:rFonts w:hint="eastAsia" w:ascii="仿宋_GB2312" w:eastAsia="仿宋_GB2312"/>
          <w:color w:val="auto"/>
          <w:sz w:val="32"/>
          <w:szCs w:val="32"/>
          <w:highlight w:val="none"/>
        </w:rPr>
        <w:t>执行公务、开展业务活动开支的交通费、住宿费、用餐费等</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。国内公务接待</w:t>
      </w:r>
      <w:r>
        <w:rPr>
          <w:rFonts w:hint="eastAsia" w:ascii="仿宋_GB2312" w:eastAsia="仿宋_GB2312"/>
          <w:color w:val="auto"/>
          <w:sz w:val="32"/>
          <w:szCs w:val="32"/>
          <w:highlight w:val="none"/>
          <w:lang w:val="en-US" w:eastAsia="zh-CN"/>
        </w:rPr>
        <w:t>14</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115</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1.59</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val="en-US" w:eastAsia="zh-CN"/>
        </w:rPr>
        <w:t>调研接待6次5670元，学习交流接待2次2550元，</w:t>
      </w:r>
      <w:r>
        <w:rPr>
          <w:rFonts w:hint="eastAsia" w:ascii="仿宋_GB2312" w:eastAsia="仿宋_GB2312"/>
          <w:sz w:val="32"/>
          <w:szCs w:val="32"/>
        </w:rPr>
        <w:t>督查督办</w:t>
      </w:r>
      <w:r>
        <w:rPr>
          <w:rFonts w:hint="eastAsia" w:ascii="仿宋_GB2312" w:eastAsia="仿宋_GB2312"/>
          <w:sz w:val="32"/>
          <w:szCs w:val="32"/>
          <w:lang w:val="en-US" w:eastAsia="zh-CN"/>
        </w:rPr>
        <w:t>7次7680元。</w:t>
      </w:r>
    </w:p>
    <w:p>
      <w:pPr>
        <w:spacing w:line="600" w:lineRule="exact"/>
        <w:ind w:firstLine="643" w:firstLineChars="200"/>
        <w:rPr>
          <w:rFonts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75" w:name="_Toc15377218"/>
      <w:bookmarkStart w:id="76" w:name="_Toc15396610"/>
    </w:p>
    <w:p>
      <w:pPr>
        <w:spacing w:line="600" w:lineRule="exact"/>
        <w:ind w:firstLine="640"/>
        <w:outlineLvl w:val="1"/>
        <w:rPr>
          <w:rStyle w:val="21"/>
          <w:rFonts w:ascii="黑体" w:hAnsi="黑体" w:eastAsia="黑体"/>
          <w:color w:val="auto"/>
          <w:highlight w:val="none"/>
        </w:rPr>
      </w:pPr>
      <w:bookmarkStart w:id="77" w:name="_Toc22124"/>
      <w:bookmarkStart w:id="78" w:name="_Toc23014"/>
      <w:r>
        <w:rPr>
          <w:rFonts w:hint="eastAsia" w:ascii="黑体" w:eastAsia="黑体"/>
          <w:color w:val="auto"/>
          <w:sz w:val="32"/>
          <w:szCs w:val="32"/>
          <w:highlight w:val="none"/>
        </w:rPr>
        <w:t>八、</w:t>
      </w:r>
      <w:r>
        <w:rPr>
          <w:rStyle w:val="21"/>
          <w:rFonts w:hint="eastAsia" w:ascii="黑体" w:hAnsi="黑体" w:eastAsia="黑体"/>
          <w:b w:val="0"/>
          <w:color w:val="auto"/>
          <w:highlight w:val="none"/>
        </w:rPr>
        <w:t>政府性基金预算支出决算情况说明</w:t>
      </w:r>
      <w:bookmarkEnd w:id="75"/>
      <w:bookmarkEnd w:id="76"/>
      <w:bookmarkEnd w:id="77"/>
      <w:bookmarkEnd w:id="78"/>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4"/>
        </w:numPr>
        <w:spacing w:line="600" w:lineRule="exact"/>
        <w:ind w:firstLine="640"/>
        <w:outlineLvl w:val="1"/>
        <w:rPr>
          <w:rStyle w:val="21"/>
          <w:rFonts w:ascii="黑体" w:hAnsi="黑体" w:eastAsia="黑体"/>
          <w:b w:val="0"/>
          <w:color w:val="auto"/>
          <w:highlight w:val="none"/>
        </w:rPr>
      </w:pPr>
      <w:bookmarkStart w:id="79" w:name="_Toc5436"/>
      <w:bookmarkStart w:id="80" w:name="_Toc18435"/>
      <w:bookmarkStart w:id="81" w:name="_Toc15377219"/>
      <w:bookmarkStart w:id="82" w:name="_Toc15396611"/>
      <w:r>
        <w:rPr>
          <w:rStyle w:val="21"/>
          <w:rFonts w:hint="eastAsia" w:ascii="黑体" w:hAnsi="黑体" w:eastAsia="黑体"/>
          <w:b w:val="0"/>
          <w:color w:val="auto"/>
          <w:highlight w:val="none"/>
        </w:rPr>
        <w:t>国有资本经营预算支出决算情况说明</w:t>
      </w:r>
      <w:bookmarkEnd w:id="79"/>
      <w:bookmarkEnd w:id="80"/>
      <w:bookmarkEnd w:id="81"/>
      <w:bookmarkEnd w:id="82"/>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4"/>
        </w:numPr>
        <w:spacing w:line="600" w:lineRule="exact"/>
        <w:ind w:firstLine="640"/>
        <w:outlineLvl w:val="1"/>
        <w:rPr>
          <w:rStyle w:val="21"/>
          <w:rFonts w:hint="eastAsia" w:ascii="黑体" w:hAnsi="黑体" w:eastAsia="黑体"/>
          <w:b w:val="0"/>
          <w:color w:val="auto"/>
          <w:highlight w:val="none"/>
        </w:rPr>
      </w:pPr>
      <w:bookmarkStart w:id="83" w:name="_Toc15396612"/>
      <w:bookmarkStart w:id="84" w:name="_Toc17832"/>
      <w:bookmarkStart w:id="85" w:name="_Toc15377221"/>
      <w:bookmarkStart w:id="86" w:name="_Toc1853"/>
      <w:r>
        <w:rPr>
          <w:rStyle w:val="21"/>
          <w:rFonts w:hint="eastAsia" w:ascii="黑体" w:hAnsi="黑体" w:eastAsia="黑体"/>
          <w:b w:val="0"/>
          <w:color w:val="auto"/>
          <w:highlight w:val="none"/>
        </w:rPr>
        <w:t>其他重要事项的情况说明</w:t>
      </w:r>
      <w:bookmarkEnd w:id="83"/>
      <w:bookmarkEnd w:id="84"/>
      <w:bookmarkEnd w:id="85"/>
      <w:bookmarkEnd w:id="86"/>
    </w:p>
    <w:p>
      <w:pPr>
        <w:spacing w:line="600" w:lineRule="exact"/>
        <w:ind w:firstLine="643" w:firstLineChars="200"/>
        <w:outlineLvl w:val="2"/>
        <w:rPr>
          <w:rFonts w:ascii="仿宋" w:hAnsi="仿宋" w:eastAsia="仿宋"/>
          <w:color w:val="auto"/>
          <w:sz w:val="32"/>
          <w:szCs w:val="32"/>
          <w:highlight w:val="none"/>
        </w:rPr>
      </w:pPr>
      <w:bookmarkStart w:id="87" w:name="_Toc15377222"/>
      <w:r>
        <w:rPr>
          <w:rFonts w:hint="eastAsia" w:ascii="仿宋" w:hAnsi="仿宋" w:eastAsia="仿宋"/>
          <w:b/>
          <w:color w:val="auto"/>
          <w:sz w:val="32"/>
          <w:szCs w:val="32"/>
          <w:highlight w:val="none"/>
        </w:rPr>
        <w:t>（一）机关运行经费支出情况</w:t>
      </w:r>
      <w:bookmarkEnd w:id="87"/>
    </w:p>
    <w:p>
      <w:pPr>
        <w:spacing w:line="600" w:lineRule="exact"/>
        <w:ind w:firstLine="640" w:firstLineChars="200"/>
        <w:rPr>
          <w:rFonts w:hint="eastAsia" w:ascii="仿宋" w:hAnsi="仿宋" w:eastAsia="仿宋" w:cs="仿宋"/>
          <w:b/>
          <w:bCs w:val="0"/>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广元市人力资源和社会保障局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532.84</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7.91</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1.46</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“三公”经费较上年比较大幅降低</w:t>
      </w:r>
      <w:r>
        <w:rPr>
          <w:rFonts w:hint="eastAsia" w:ascii="仿宋_GB2312" w:eastAsia="仿宋_GB2312"/>
          <w:color w:val="auto"/>
          <w:sz w:val="32"/>
          <w:szCs w:val="32"/>
          <w:highlight w:val="none"/>
          <w:lang w:eastAsia="zh-CN"/>
        </w:rPr>
        <w:t>。</w:t>
      </w:r>
      <w:bookmarkStart w:id="88" w:name="_Toc15377223"/>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（二）政府采购支出情况</w:t>
      </w:r>
      <w:bookmarkEnd w:id="88"/>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广元市人力资源和社会保障局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224.69</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26.69</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198</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“一卡通”阳光审批系统建设、办公设施设备、家具采购等支出</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26.69</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11.89</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26.69</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11.89</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89" w:name="_Toc15377224"/>
      <w:r>
        <w:rPr>
          <w:rFonts w:hint="eastAsia" w:ascii="仿宋" w:hAnsi="仿宋" w:eastAsia="仿宋"/>
          <w:b/>
          <w:color w:val="auto"/>
          <w:sz w:val="32"/>
          <w:szCs w:val="32"/>
          <w:highlight w:val="none"/>
        </w:rPr>
        <w:t>（三）国有资产占有使用情况</w:t>
      </w:r>
      <w:bookmarkEnd w:id="89"/>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广元市人力资源和社会保障局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辆，其中：</w:t>
      </w:r>
      <w:r>
        <w:rPr>
          <w:rFonts w:hint="eastAsia" w:ascii="仿宋_GB2312" w:eastAsia="仿宋_GB2312"/>
          <w:color w:val="auto"/>
          <w:sz w:val="32"/>
          <w:szCs w:val="32"/>
          <w:highlight w:val="none"/>
          <w:lang w:val="en-US" w:eastAsia="zh-CN"/>
        </w:rPr>
        <w:t>特种专业技术</w:t>
      </w:r>
      <w:r>
        <w:rPr>
          <w:rFonts w:hint="eastAsia" w:ascii="仿宋_GB2312" w:eastAsia="仿宋_GB2312"/>
          <w:color w:val="auto"/>
          <w:sz w:val="32"/>
          <w:szCs w:val="32"/>
          <w:highlight w:val="none"/>
        </w:rPr>
        <w:t>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其他用车主要是用于</w:t>
      </w:r>
      <w:r>
        <w:rPr>
          <w:rFonts w:hint="eastAsia" w:ascii="仿宋_GB2312" w:eastAsia="仿宋_GB2312"/>
          <w:color w:val="auto"/>
          <w:sz w:val="32"/>
          <w:szCs w:val="32"/>
          <w:highlight w:val="none"/>
          <w:lang w:val="en-US" w:eastAsia="zh-CN"/>
        </w:rPr>
        <w:t>日常工作开展</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color w:val="auto"/>
          <w:sz w:val="32"/>
          <w:szCs w:val="32"/>
          <w:highlight w:val="none"/>
          <w:lang w:val="en-US" w:eastAsia="zh-CN"/>
        </w:rPr>
        <w:t>新增大于50万元的</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val="en-US" w:eastAsia="zh-CN"/>
        </w:rPr>
        <w:t>广元市第九届职业技能竞赛</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70</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70</w:t>
      </w:r>
      <w:r>
        <w:rPr>
          <w:rFonts w:hint="eastAsia" w:ascii="仿宋_GB2312" w:hAnsi="仿宋_GB2312" w:eastAsia="仿宋_GB2312" w:cs="仿宋_GB2312"/>
          <w:color w:val="auto"/>
          <w:sz w:val="32"/>
          <w:szCs w:val="32"/>
          <w:highlight w:val="none"/>
        </w:rPr>
        <w:t>个项目开展绩效监控。</w:t>
      </w:r>
    </w:p>
    <w:p>
      <w:pPr>
        <w:widowControl/>
        <w:ind w:firstLine="640" w:firstLineChars="200"/>
        <w:jc w:val="left"/>
        <w:rPr>
          <w:rFonts w:ascii="仿宋_GB2312" w:eastAsia="仿宋_GB2312"/>
          <w:b/>
          <w:color w:val="auto"/>
          <w:sz w:val="32"/>
          <w:szCs w:val="32"/>
          <w:highlight w:val="yellow"/>
        </w:rPr>
      </w:pPr>
      <w:r>
        <w:rPr>
          <w:rFonts w:hint="eastAsia" w:ascii="仿宋_GB2312" w:hAnsi="仿宋_GB2312" w:eastAsia="仿宋_GB2312" w:cs="仿宋_GB2312"/>
          <w:color w:val="auto"/>
          <w:sz w:val="32"/>
          <w:szCs w:val="32"/>
          <w:highlight w:val="none"/>
        </w:rPr>
        <w:t>组织对2022年度一般公共预算、政府性基金预算、国有资本经营预算、社会保险基金预算以及资本资产、债券资金等全面开展绩效自评，形成</w:t>
      </w:r>
      <w:r>
        <w:rPr>
          <w:rFonts w:hint="eastAsia" w:ascii="仿宋_GB2312" w:hAnsi="仿宋_GB2312" w:eastAsia="仿宋_GB2312" w:cs="仿宋_GB2312"/>
          <w:color w:val="auto"/>
          <w:sz w:val="32"/>
          <w:szCs w:val="32"/>
          <w:highlight w:val="none"/>
          <w:lang w:val="en-US" w:eastAsia="zh-CN"/>
        </w:rPr>
        <w:t>广元市人力资源和社会保障局</w:t>
      </w:r>
      <w:r>
        <w:rPr>
          <w:rFonts w:hint="eastAsia" w:ascii="仿宋_GB2312" w:hAnsi="仿宋_GB2312" w:eastAsia="仿宋_GB2312" w:cs="仿宋_GB2312"/>
          <w:color w:val="auto"/>
          <w:sz w:val="32"/>
          <w:szCs w:val="32"/>
          <w:highlight w:val="none"/>
        </w:rPr>
        <w:t>部门整体（含部门预算项目）绩效自评报告、</w:t>
      </w:r>
      <w:r>
        <w:rPr>
          <w:rFonts w:hint="eastAsia" w:ascii="仿宋_GB2312" w:hAnsi="仿宋_GB2312" w:eastAsia="仿宋_GB2312" w:cs="仿宋_GB2312"/>
          <w:color w:val="auto"/>
          <w:sz w:val="32"/>
          <w:szCs w:val="32"/>
          <w:highlight w:val="none"/>
          <w:lang w:val="en-US" w:eastAsia="zh-CN"/>
        </w:rPr>
        <w:t>三支一扶培训经费、事业单位培训工作经费</w:t>
      </w:r>
      <w:r>
        <w:rPr>
          <w:rFonts w:hint="eastAsia" w:ascii="仿宋_GB2312" w:hAnsi="仿宋_GB2312" w:eastAsia="仿宋_GB2312" w:cs="仿宋_GB2312"/>
          <w:color w:val="auto"/>
          <w:sz w:val="32"/>
          <w:szCs w:val="32"/>
          <w:highlight w:val="none"/>
        </w:rPr>
        <w:t>等专项预算项目绩效自评报告，其中，</w:t>
      </w:r>
      <w:r>
        <w:rPr>
          <w:rFonts w:hint="eastAsia" w:ascii="仿宋_GB2312" w:hAnsi="仿宋_GB2312" w:eastAsia="仿宋_GB2312" w:cs="仿宋_GB2312"/>
          <w:color w:val="auto"/>
          <w:sz w:val="32"/>
          <w:szCs w:val="32"/>
          <w:highlight w:val="none"/>
          <w:lang w:val="en-US" w:eastAsia="zh-CN"/>
        </w:rPr>
        <w:t>广元市人力资源和社会保障局</w:t>
      </w:r>
      <w:r>
        <w:rPr>
          <w:rFonts w:hint="eastAsia" w:ascii="仿宋_GB2312" w:hAnsi="仿宋_GB2312" w:eastAsia="仿宋_GB2312" w:cs="仿宋_GB2312"/>
          <w:color w:val="auto"/>
          <w:sz w:val="32"/>
          <w:szCs w:val="32"/>
          <w:highlight w:val="none"/>
        </w:rPr>
        <w:t>部门整体（含部门预算项目）绩效自评得分为</w:t>
      </w:r>
      <w:r>
        <w:rPr>
          <w:rFonts w:hint="eastAsia" w:ascii="仿宋_GB2312" w:hAnsi="仿宋_GB2312" w:eastAsia="仿宋_GB2312" w:cs="仿宋_GB2312"/>
          <w:color w:val="auto"/>
          <w:sz w:val="32"/>
          <w:szCs w:val="32"/>
          <w:highlight w:val="none"/>
          <w:lang w:val="en-US" w:eastAsia="zh-CN"/>
        </w:rPr>
        <w:t>98</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val="en-US" w:eastAsia="zh-CN"/>
        </w:rPr>
        <w:t>自评结果真实、客观地反映了我部门财政资金绩效情况</w:t>
      </w:r>
      <w:r>
        <w:rPr>
          <w:rFonts w:hint="eastAsia" w:ascii="仿宋_GB2312" w:hAnsi="仿宋_GB2312" w:eastAsia="仿宋_GB2312" w:cs="仿宋_GB2312"/>
          <w:color w:val="auto"/>
          <w:sz w:val="32"/>
          <w:szCs w:val="32"/>
          <w:highlight w:val="none"/>
        </w:rPr>
        <w:t>；专项预算项目</w:t>
      </w:r>
      <w:r>
        <w:rPr>
          <w:rFonts w:hint="eastAsia" w:ascii="仿宋_GB2312" w:hAnsi="仿宋_GB2312" w:eastAsia="仿宋_GB2312" w:cs="仿宋_GB2312"/>
          <w:color w:val="auto"/>
          <w:sz w:val="32"/>
          <w:szCs w:val="32"/>
          <w:highlight w:val="none"/>
          <w:lang w:val="en-US" w:eastAsia="zh-CN"/>
        </w:rPr>
        <w:t>根据各项目具体绩效目标完成情况进行</w:t>
      </w:r>
      <w:r>
        <w:rPr>
          <w:rFonts w:hint="eastAsia" w:ascii="仿宋_GB2312" w:hAnsi="仿宋_GB2312" w:eastAsia="仿宋_GB2312" w:cs="仿宋_GB2312"/>
          <w:color w:val="auto"/>
          <w:sz w:val="32"/>
          <w:szCs w:val="32"/>
          <w:highlight w:val="none"/>
        </w:rPr>
        <w:t>绩效自评得分，</w:t>
      </w:r>
      <w:r>
        <w:rPr>
          <w:rFonts w:hint="eastAsia" w:ascii="仿宋_GB2312" w:hAnsi="仿宋_GB2312" w:eastAsia="仿宋_GB2312" w:cs="仿宋_GB2312"/>
          <w:color w:val="auto"/>
          <w:sz w:val="32"/>
          <w:szCs w:val="32"/>
          <w:highlight w:val="none"/>
          <w:lang w:val="en-US" w:eastAsia="zh-CN"/>
        </w:rPr>
        <w:t>自评结果真实、客观地反映了各项目的绩效目标完成情况。</w:t>
      </w:r>
      <w:r>
        <w:rPr>
          <w:rFonts w:hint="eastAsia" w:ascii="仿宋_GB2312" w:hAnsi="仿宋_GB2312" w:eastAsia="仿宋_GB2312" w:cs="仿宋_GB2312"/>
          <w:color w:val="auto"/>
          <w:sz w:val="32"/>
          <w:szCs w:val="32"/>
          <w:highlight w:val="none"/>
        </w:rPr>
        <w:t>绩效自评报告详见附件。</w:t>
      </w:r>
      <w:r>
        <w:rPr>
          <w:rFonts w:ascii="仿宋_GB2312" w:eastAsia="仿宋_GB2312"/>
          <w:b/>
          <w:color w:val="auto"/>
          <w:sz w:val="32"/>
          <w:szCs w:val="32"/>
          <w:highlight w:val="yellow"/>
        </w:rPr>
        <w:br w:type="page"/>
      </w:r>
    </w:p>
    <w:p>
      <w:pPr>
        <w:numPr>
          <w:ilvl w:val="0"/>
          <w:numId w:val="5"/>
        </w:numPr>
        <w:spacing w:line="600" w:lineRule="exact"/>
        <w:ind w:firstLine="660" w:firstLineChars="150"/>
        <w:jc w:val="center"/>
        <w:outlineLvl w:val="0"/>
        <w:rPr>
          <w:rStyle w:val="20"/>
          <w:rFonts w:ascii="黑体" w:hAnsi="黑体" w:eastAsia="黑体"/>
          <w:b w:val="0"/>
          <w:color w:val="auto"/>
          <w:highlight w:val="none"/>
        </w:rPr>
      </w:pPr>
      <w:bookmarkStart w:id="90" w:name="_Toc12159"/>
      <w:bookmarkStart w:id="91" w:name="_Toc15046"/>
      <w:bookmarkStart w:id="92" w:name="_Toc15396613"/>
      <w:bookmarkStart w:id="93" w:name="_Toc15377225"/>
      <w:r>
        <w:rPr>
          <w:rFonts w:hint="eastAsia" w:ascii="黑体" w:hAnsi="黑体" w:eastAsia="黑体"/>
          <w:color w:val="auto"/>
          <w:sz w:val="44"/>
          <w:szCs w:val="44"/>
          <w:highlight w:val="none"/>
        </w:rPr>
        <w:t>名</w:t>
      </w:r>
      <w:r>
        <w:rPr>
          <w:rStyle w:val="20"/>
          <w:rFonts w:hint="eastAsia" w:ascii="黑体" w:hAnsi="黑体" w:eastAsia="黑体"/>
          <w:b w:val="0"/>
          <w:color w:val="auto"/>
          <w:highlight w:val="none"/>
        </w:rPr>
        <w:t>词解释</w:t>
      </w:r>
      <w:bookmarkEnd w:id="90"/>
      <w:bookmarkEnd w:id="91"/>
      <w:bookmarkEnd w:id="92"/>
      <w:bookmarkEnd w:id="93"/>
    </w:p>
    <w:p>
      <w:pPr>
        <w:spacing w:line="600" w:lineRule="exact"/>
        <w:jc w:val="left"/>
        <w:rPr>
          <w:rFonts w:ascii="宋体"/>
          <w:b/>
          <w:color w:val="auto"/>
          <w:sz w:val="44"/>
          <w:szCs w:val="44"/>
          <w:highlight w:val="none"/>
        </w:rPr>
      </w:pPr>
    </w:p>
    <w:p>
      <w:pPr>
        <w:pStyle w:val="30"/>
        <w:spacing w:line="560" w:lineRule="exact"/>
        <w:ind w:firstLine="640" w:firstLineChars="200"/>
        <w:outlineLvl w:val="1"/>
        <w:rPr>
          <w:rFonts w:ascii="仿宋_GB2312" w:eastAsia="仿宋_GB2312"/>
          <w:sz w:val="32"/>
          <w:szCs w:val="32"/>
        </w:rPr>
      </w:pPr>
      <w:bookmarkStart w:id="94" w:name="_Toc32570"/>
      <w:bookmarkStart w:id="95" w:name="_Toc11604"/>
      <w:bookmarkStart w:id="96" w:name="_Toc13822"/>
      <w:bookmarkStart w:id="97" w:name="_Toc18768"/>
      <w:bookmarkStart w:id="98" w:name="_Toc24343"/>
      <w:r>
        <w:rPr>
          <w:rFonts w:ascii="仿宋_GB2312" w:eastAsia="仿宋_GB2312"/>
          <w:sz w:val="32"/>
          <w:szCs w:val="32"/>
        </w:rPr>
        <w:t>1.</w:t>
      </w:r>
      <w:r>
        <w:rPr>
          <w:rFonts w:hint="eastAsia" w:ascii="仿宋_GB2312" w:eastAsia="仿宋_GB2312"/>
          <w:sz w:val="32"/>
          <w:szCs w:val="32"/>
        </w:rPr>
        <w:t>财政拨款收入：反映单位从同级财政部门取得的财政预算资金。</w:t>
      </w:r>
      <w:bookmarkEnd w:id="94"/>
      <w:bookmarkEnd w:id="95"/>
      <w:bookmarkEnd w:id="96"/>
      <w:bookmarkEnd w:id="97"/>
      <w:bookmarkEnd w:id="98"/>
    </w:p>
    <w:p>
      <w:pPr>
        <w:pStyle w:val="30"/>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其他收入：反映单位取得的除上述收入以外的各项收入。主要是利息收入。</w:t>
      </w:r>
      <w:r>
        <w:rPr>
          <w:rFonts w:ascii="仿宋_GB2312" w:eastAsia="仿宋_GB2312"/>
          <w:sz w:val="32"/>
          <w:szCs w:val="32"/>
        </w:rPr>
        <w:t xml:space="preserve"> </w:t>
      </w:r>
    </w:p>
    <w:p>
      <w:pPr>
        <w:pStyle w:val="30"/>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年初结转和结余：反映以前年度尚未完成、结转到本年按有关规定继续使用的资金。</w:t>
      </w:r>
      <w:r>
        <w:rPr>
          <w:rFonts w:ascii="仿宋_GB2312" w:eastAsia="仿宋_GB2312"/>
          <w:sz w:val="32"/>
          <w:szCs w:val="32"/>
        </w:rPr>
        <w:t xml:space="preserve"> </w:t>
      </w:r>
    </w:p>
    <w:p>
      <w:pPr>
        <w:pStyle w:val="30"/>
        <w:spacing w:line="560" w:lineRule="exact"/>
        <w:ind w:firstLine="640" w:firstLineChars="200"/>
        <w:rPr>
          <w:rFonts w:ascii="仿宋_GB2312" w:eastAsia="仿宋_GB2312"/>
          <w:sz w:val="32"/>
          <w:szCs w:val="32"/>
        </w:rPr>
      </w:pPr>
      <w:r>
        <w:rPr>
          <w:rFonts w:hint="eastAsia" w:ascii="仿宋_GB2312" w:eastAsia="仿宋_GB2312"/>
          <w:sz w:val="32"/>
          <w:szCs w:val="32"/>
        </w:rPr>
        <w:t>4.年末结转和结余：反映单位按有关规定结转到下年或以后年度继续使用的资金。</w:t>
      </w:r>
    </w:p>
    <w:p>
      <w:pPr>
        <w:pStyle w:val="30"/>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 xml:space="preserve"> 社会保障和就业支出（类）人力资源和社会保障管理事务（款）行政运行（项）：反映行政单位（包括实行公务员管理的事业单位）的基本支出。</w:t>
      </w:r>
    </w:p>
    <w:p>
      <w:pPr>
        <w:pStyle w:val="3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eastAsia="仿宋_GB2312"/>
          <w:sz w:val="32"/>
          <w:szCs w:val="32"/>
        </w:rPr>
        <w:t xml:space="preserve"> 社会保障和就业支出（类）人力资源和社会保障管理事务（款）一般行政管理事务（项）：反映行政单位（包括实行公务员管理的事业单位）未单独设置顶级科目其他项目支出。</w:t>
      </w:r>
    </w:p>
    <w:p>
      <w:pPr>
        <w:pStyle w:val="30"/>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7.</w:t>
      </w:r>
      <w:r>
        <w:rPr>
          <w:rFonts w:hint="eastAsia" w:ascii="仿宋_GB2312" w:eastAsia="仿宋_GB2312"/>
          <w:sz w:val="32"/>
          <w:szCs w:val="32"/>
        </w:rPr>
        <w:t>社会保障和就业支出（类）人力资源和社会保障管理事务（款）</w:t>
      </w:r>
      <w:r>
        <w:rPr>
          <w:rFonts w:hint="eastAsia" w:ascii="仿宋_GB2312" w:eastAsia="仿宋_GB2312"/>
          <w:sz w:val="32"/>
          <w:szCs w:val="32"/>
          <w:lang w:val="en-US" w:eastAsia="zh-CN"/>
        </w:rPr>
        <w:t>综合业务管理</w:t>
      </w:r>
      <w:r>
        <w:rPr>
          <w:rFonts w:hint="eastAsia" w:ascii="仿宋_GB2312" w:eastAsia="仿宋_GB2312"/>
          <w:sz w:val="32"/>
          <w:szCs w:val="32"/>
        </w:rPr>
        <w:t>（项）：</w:t>
      </w:r>
      <w:r>
        <w:rPr>
          <w:rFonts w:hint="eastAsia" w:ascii="仿宋_GB2312" w:eastAsia="仿宋_GB2312"/>
          <w:sz w:val="32"/>
          <w:szCs w:val="32"/>
          <w:lang w:val="en-US" w:eastAsia="zh-CN"/>
        </w:rPr>
        <w:t>反映</w:t>
      </w:r>
      <w:r>
        <w:rPr>
          <w:rFonts w:hint="eastAsia" w:ascii="仿宋_GB2312" w:eastAsia="仿宋_GB2312"/>
          <w:sz w:val="32"/>
          <w:szCs w:val="32"/>
        </w:rPr>
        <w:t>人力资源和社会保障管理</w:t>
      </w:r>
      <w:r>
        <w:rPr>
          <w:rFonts w:hint="eastAsia" w:ascii="仿宋_GB2312" w:eastAsia="仿宋_GB2312"/>
          <w:sz w:val="32"/>
          <w:szCs w:val="32"/>
          <w:lang w:val="en-US" w:eastAsia="zh-CN"/>
        </w:rPr>
        <w:t>方面综合性管理事务支出。</w:t>
      </w:r>
    </w:p>
    <w:p>
      <w:pPr>
        <w:pStyle w:val="30"/>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 社会保障和就业支出（类）人力资源和社会保障管理事务（款）就业管理事务（项）：反映就业</w:t>
      </w:r>
      <w:r>
        <w:rPr>
          <w:rFonts w:ascii="仿宋_GB2312" w:eastAsia="仿宋_GB2312"/>
          <w:sz w:val="32"/>
          <w:szCs w:val="32"/>
        </w:rPr>
        <w:t>和职业技能鉴定管理方面的支出</w:t>
      </w:r>
      <w:r>
        <w:rPr>
          <w:rFonts w:hint="eastAsia" w:ascii="仿宋_GB2312" w:eastAsia="仿宋_GB2312"/>
          <w:sz w:val="32"/>
          <w:szCs w:val="32"/>
        </w:rPr>
        <w:t>。</w:t>
      </w:r>
    </w:p>
    <w:p>
      <w:pPr>
        <w:pStyle w:val="30"/>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 社会保障和就业支出（类）人力资源和社会保障管理事务（款）社会保险业务管理事务（项）：反映社会保险业务管理和基金监督方面的支出。</w:t>
      </w:r>
    </w:p>
    <w:p>
      <w:pPr>
        <w:pStyle w:val="30"/>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0</w:t>
      </w:r>
      <w:r>
        <w:rPr>
          <w:rFonts w:hint="eastAsia" w:ascii="仿宋_GB2312" w:eastAsia="仿宋_GB2312"/>
          <w:sz w:val="32"/>
          <w:szCs w:val="32"/>
        </w:rPr>
        <w:t>. 社会保障和就业支出（类）人力资源和社会保障管理事务（款）信息化建设（项）：反映人力资源和社会保障部门用于信息化建设、运行维护和数据分析等方面的支出，如：金保工程、社会保障卡建设和运行维护、人力资源市场信息化等支出。</w:t>
      </w:r>
    </w:p>
    <w:p>
      <w:pPr>
        <w:pStyle w:val="30"/>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1</w:t>
      </w:r>
      <w:r>
        <w:rPr>
          <w:rFonts w:hint="eastAsia" w:ascii="仿宋_GB2312" w:eastAsia="仿宋_GB2312"/>
          <w:sz w:val="32"/>
          <w:szCs w:val="32"/>
        </w:rPr>
        <w:t>. 社会保障和就业支出（类）人力资源和社会保障管理事务（款）社会保险经办机构（项）：反映社会保险经办机构开展业务工作的支出。</w:t>
      </w:r>
    </w:p>
    <w:p>
      <w:pPr>
        <w:pStyle w:val="30"/>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2</w:t>
      </w:r>
      <w:r>
        <w:rPr>
          <w:rFonts w:hint="eastAsia" w:ascii="仿宋_GB2312" w:eastAsia="仿宋_GB2312"/>
          <w:sz w:val="32"/>
          <w:szCs w:val="32"/>
        </w:rPr>
        <w:t>. 社会保障和就业支出（类）人力资源和社会保障管理事务（款）劳动关系和</w:t>
      </w:r>
      <w:r>
        <w:rPr>
          <w:rFonts w:hint="eastAsia" w:ascii="仿宋_GB2312" w:eastAsia="仿宋_GB2312"/>
          <w:sz w:val="32"/>
          <w:szCs w:val="32"/>
          <w:lang w:val="en-US" w:eastAsia="zh-CN"/>
        </w:rPr>
        <w:t>维权</w:t>
      </w:r>
      <w:r>
        <w:rPr>
          <w:rFonts w:hint="eastAsia" w:ascii="仿宋_GB2312" w:eastAsia="仿宋_GB2312"/>
          <w:sz w:val="32"/>
          <w:szCs w:val="32"/>
        </w:rPr>
        <w:t>（项）：反映劳动关系和维权事务支出。</w:t>
      </w:r>
    </w:p>
    <w:p>
      <w:pPr>
        <w:pStyle w:val="30"/>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3</w:t>
      </w:r>
      <w:r>
        <w:rPr>
          <w:rFonts w:hint="eastAsia" w:ascii="仿宋_GB2312" w:eastAsia="仿宋_GB2312"/>
          <w:sz w:val="32"/>
          <w:szCs w:val="32"/>
        </w:rPr>
        <w:t>. 社会保障和就业支出（类）人力资源和社会保障管理事务（款）劳动人事争议调解仲裁（项）：反映仲裁机构实体化建设、办案经费、调解仲裁能力建设等支出。</w:t>
      </w:r>
    </w:p>
    <w:p>
      <w:pPr>
        <w:pStyle w:val="30"/>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1</w:t>
      </w:r>
      <w:r>
        <w:rPr>
          <w:rFonts w:hint="eastAsia" w:ascii="仿宋_GB2312" w:eastAsia="仿宋_GB2312"/>
          <w:sz w:val="32"/>
          <w:szCs w:val="32"/>
          <w:lang w:val="en-US" w:eastAsia="zh-CN"/>
        </w:rPr>
        <w:t>4</w:t>
      </w:r>
      <w:r>
        <w:rPr>
          <w:rFonts w:hint="eastAsia" w:ascii="仿宋_GB2312" w:eastAsia="仿宋_GB2312"/>
          <w:sz w:val="32"/>
          <w:szCs w:val="32"/>
        </w:rPr>
        <w:t>.社会保障和就业支出（类）人力资源和社会保障管理事务（款）</w:t>
      </w:r>
      <w:r>
        <w:rPr>
          <w:rFonts w:hint="eastAsia" w:ascii="仿宋_GB2312" w:eastAsia="仿宋_GB2312"/>
          <w:sz w:val="32"/>
          <w:szCs w:val="32"/>
          <w:lang w:val="en-US" w:eastAsia="zh-CN"/>
        </w:rPr>
        <w:t>政府特殊津贴</w:t>
      </w:r>
      <w:r>
        <w:rPr>
          <w:rFonts w:hint="eastAsia" w:ascii="仿宋_GB2312" w:eastAsia="仿宋_GB2312"/>
          <w:sz w:val="32"/>
          <w:szCs w:val="32"/>
        </w:rPr>
        <w:t>（项）：反映</w:t>
      </w:r>
      <w:r>
        <w:rPr>
          <w:rFonts w:hint="eastAsia" w:ascii="仿宋_GB2312" w:eastAsia="仿宋_GB2312"/>
          <w:sz w:val="32"/>
          <w:szCs w:val="32"/>
          <w:lang w:val="en-US" w:eastAsia="zh-CN"/>
        </w:rPr>
        <w:t>与政府津贴相关的支出。</w:t>
      </w:r>
    </w:p>
    <w:p>
      <w:pPr>
        <w:pStyle w:val="30"/>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5</w:t>
      </w:r>
      <w:r>
        <w:rPr>
          <w:rFonts w:hint="eastAsia" w:ascii="仿宋_GB2312" w:eastAsia="仿宋_GB2312"/>
          <w:sz w:val="32"/>
          <w:szCs w:val="32"/>
        </w:rPr>
        <w:t>.社会保障和就业支出（类）人力资源和社会保障管理事务（款）事业运行（项）：反映事业单位的基本支出，不包括行政单位（包括实行公务员管理的事业单位）后勤服务中心、医务室等附属事业单位。</w:t>
      </w:r>
    </w:p>
    <w:p>
      <w:pPr>
        <w:pStyle w:val="30"/>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6</w:t>
      </w:r>
      <w:r>
        <w:rPr>
          <w:rFonts w:hint="eastAsia" w:ascii="仿宋_GB2312" w:eastAsia="仿宋_GB2312"/>
          <w:sz w:val="32"/>
          <w:szCs w:val="32"/>
        </w:rPr>
        <w:t>. 社会保障和就业支出（类）人力资源和社会保障管理事务（款）其他人力资源和社会保障管理事务支出（项）：反映除上述项目以外其他人力资源和社会保障管理事务方面的支出。</w:t>
      </w:r>
    </w:p>
    <w:p>
      <w:pPr>
        <w:pStyle w:val="30"/>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7</w:t>
      </w:r>
      <w:r>
        <w:rPr>
          <w:rFonts w:hint="eastAsia" w:ascii="仿宋_GB2312" w:eastAsia="仿宋_GB2312"/>
          <w:sz w:val="32"/>
          <w:szCs w:val="32"/>
        </w:rPr>
        <w:t>. 社会保障和就业支出（类）行政事业单位</w:t>
      </w:r>
      <w:r>
        <w:rPr>
          <w:rFonts w:hint="eastAsia" w:ascii="仿宋_GB2312" w:eastAsia="仿宋_GB2312"/>
          <w:sz w:val="32"/>
          <w:szCs w:val="32"/>
          <w:lang w:val="en-US" w:eastAsia="zh-CN"/>
        </w:rPr>
        <w:t>养老支出</w:t>
      </w:r>
      <w:r>
        <w:rPr>
          <w:rFonts w:hint="eastAsia" w:ascii="仿宋_GB2312" w:eastAsia="仿宋_GB2312"/>
          <w:sz w:val="32"/>
          <w:szCs w:val="32"/>
        </w:rPr>
        <w:t>（款）行政单位离退休（项）：反映行政单位的行政单位（包括实行公务员管理的事业单位）开支的离退休支出。</w:t>
      </w:r>
    </w:p>
    <w:p>
      <w:pPr>
        <w:pStyle w:val="30"/>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8</w:t>
      </w:r>
      <w:r>
        <w:rPr>
          <w:rFonts w:hint="eastAsia" w:ascii="仿宋_GB2312" w:eastAsia="仿宋_GB2312"/>
          <w:sz w:val="32"/>
          <w:szCs w:val="32"/>
        </w:rPr>
        <w:t>. 社会保障和就业支出（类）行政事业单位</w:t>
      </w:r>
      <w:r>
        <w:rPr>
          <w:rFonts w:hint="eastAsia" w:ascii="仿宋_GB2312" w:eastAsia="仿宋_GB2312"/>
          <w:sz w:val="32"/>
          <w:szCs w:val="32"/>
          <w:lang w:val="en-US" w:eastAsia="zh-CN"/>
        </w:rPr>
        <w:t>养老支出</w:t>
      </w:r>
      <w:r>
        <w:rPr>
          <w:rFonts w:hint="eastAsia" w:ascii="仿宋_GB2312" w:eastAsia="仿宋_GB2312"/>
          <w:sz w:val="32"/>
          <w:szCs w:val="32"/>
        </w:rPr>
        <w:t>（款）机关事业单位基本养老保险缴费支出（项）：反映机关事业单位实施养老保险制度有单位缴纳的基本养老保险费支出。</w:t>
      </w:r>
    </w:p>
    <w:p>
      <w:pPr>
        <w:pStyle w:val="30"/>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19</w:t>
      </w:r>
      <w:r>
        <w:rPr>
          <w:rFonts w:hint="eastAsia" w:ascii="仿宋_GB2312" w:eastAsia="仿宋_GB2312"/>
          <w:sz w:val="32"/>
          <w:szCs w:val="32"/>
        </w:rPr>
        <w:t>. 社会保障和就业支出（类）行政事业单位</w:t>
      </w:r>
      <w:r>
        <w:rPr>
          <w:rFonts w:hint="eastAsia" w:ascii="仿宋_GB2312" w:eastAsia="仿宋_GB2312"/>
          <w:sz w:val="32"/>
          <w:szCs w:val="32"/>
          <w:lang w:val="en-US" w:eastAsia="zh-CN"/>
        </w:rPr>
        <w:t>养老支出</w:t>
      </w:r>
      <w:r>
        <w:rPr>
          <w:rFonts w:hint="eastAsia" w:ascii="仿宋_GB2312" w:eastAsia="仿宋_GB2312"/>
          <w:sz w:val="32"/>
          <w:szCs w:val="32"/>
        </w:rPr>
        <w:t>（款）机关事业单位职业年金缴费支出（项）：反映机关事业单位实施养老保险制度由单位实际缴纳的职业年金支出。</w:t>
      </w:r>
    </w:p>
    <w:p>
      <w:pPr>
        <w:pStyle w:val="30"/>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0</w:t>
      </w:r>
      <w:r>
        <w:rPr>
          <w:rFonts w:hint="eastAsia" w:ascii="仿宋_GB2312" w:eastAsia="仿宋_GB2312"/>
          <w:sz w:val="32"/>
          <w:szCs w:val="32"/>
        </w:rPr>
        <w:t>. 社会保障和就业支出（类）就业补助（款）其他就业补助支出（项）：反映除上述项目以外按规定确定的其他用于促进就业的补助支出。</w:t>
      </w:r>
    </w:p>
    <w:p>
      <w:pPr>
        <w:pStyle w:val="30"/>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 社会保障和就业支出（类）抚恤（款）死亡抚恤（项）：反映按规定用于烈士和牺牲、病故人员家属的一次性和定期抚恤金以及丧葬补助费</w:t>
      </w:r>
      <w:r>
        <w:rPr>
          <w:rFonts w:hint="eastAsia" w:ascii="仿宋_GB2312" w:eastAsia="仿宋_GB2312"/>
          <w:sz w:val="32"/>
          <w:szCs w:val="32"/>
          <w:lang w:val="en-US" w:eastAsia="zh-CN"/>
        </w:rPr>
        <w:t>以及烈士褒扬金</w:t>
      </w:r>
      <w:r>
        <w:rPr>
          <w:rFonts w:hint="eastAsia" w:ascii="仿宋_GB2312" w:eastAsia="仿宋_GB2312"/>
          <w:sz w:val="32"/>
          <w:szCs w:val="32"/>
        </w:rPr>
        <w:t>。</w:t>
      </w:r>
    </w:p>
    <w:p>
      <w:pPr>
        <w:pStyle w:val="3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 xml:space="preserve">. </w:t>
      </w:r>
      <w:r>
        <w:rPr>
          <w:rFonts w:hint="eastAsia" w:ascii="仿宋_GB2312" w:eastAsia="仿宋_GB2312"/>
          <w:sz w:val="32"/>
          <w:szCs w:val="32"/>
          <w:lang w:val="en-US" w:eastAsia="zh-CN"/>
        </w:rPr>
        <w:t>卫生健康支出</w:t>
      </w:r>
      <w:r>
        <w:rPr>
          <w:rFonts w:hint="eastAsia" w:ascii="仿宋_GB2312" w:eastAsia="仿宋_GB2312"/>
          <w:sz w:val="32"/>
          <w:szCs w:val="32"/>
        </w:rPr>
        <w:t>（类）行政事业单位医疗（款）行政单位医疗（项）：反映财政部门安排的行政单位</w:t>
      </w:r>
      <w:r>
        <w:rPr>
          <w:rFonts w:hint="eastAsia" w:ascii="仿宋_GB2312" w:eastAsia="仿宋_GB2312"/>
          <w:sz w:val="32"/>
          <w:szCs w:val="32"/>
          <w:lang w:eastAsia="zh-CN"/>
        </w:rPr>
        <w:t>（</w:t>
      </w:r>
      <w:r>
        <w:rPr>
          <w:rFonts w:hint="eastAsia" w:ascii="仿宋_GB2312" w:eastAsia="仿宋_GB2312"/>
          <w:sz w:val="32"/>
          <w:szCs w:val="32"/>
          <w:lang w:val="en-US" w:eastAsia="zh-CN"/>
        </w:rPr>
        <w:t>包括实行公务员管理的事业单位，下同</w:t>
      </w:r>
      <w:r>
        <w:rPr>
          <w:rFonts w:hint="eastAsia" w:ascii="仿宋_GB2312" w:eastAsia="仿宋_GB2312"/>
          <w:sz w:val="32"/>
          <w:szCs w:val="32"/>
          <w:lang w:eastAsia="zh-CN"/>
        </w:rPr>
        <w:t>）</w:t>
      </w:r>
      <w:r>
        <w:rPr>
          <w:rFonts w:hint="eastAsia" w:ascii="仿宋_GB2312" w:eastAsia="仿宋_GB2312"/>
          <w:sz w:val="32"/>
          <w:szCs w:val="32"/>
        </w:rPr>
        <w:t>基本医疗保险缴费经费、未参加医疗保险的行政单位公费医疗经费，按国家规定享受离退休人员、红军老战士待遇人员的医疗经费。</w:t>
      </w:r>
    </w:p>
    <w:p>
      <w:pPr>
        <w:pStyle w:val="12"/>
        <w:spacing w:line="576" w:lineRule="exact"/>
        <w:ind w:firstLine="640" w:firstLineChars="200"/>
        <w:rPr>
          <w:rStyle w:val="18"/>
          <w:rFonts w:hint="default" w:ascii="仿宋" w:hAnsi="仿宋" w:eastAsia="仿宋"/>
          <w:b w:val="0"/>
          <w:bCs/>
          <w:color w:val="000000"/>
          <w:sz w:val="32"/>
          <w:szCs w:val="32"/>
          <w:lang w:val="en-US"/>
        </w:rPr>
      </w:pPr>
      <w:r>
        <w:rPr>
          <w:rFonts w:hint="eastAsia" w:ascii="仿宋_GB2312" w:hAnsi="Calibri" w:eastAsia="仿宋_GB2312" w:cs="仿宋"/>
          <w:color w:val="000000"/>
          <w:sz w:val="32"/>
          <w:szCs w:val="32"/>
          <w:lang w:val="en-US" w:eastAsia="zh-CN" w:bidi="ar-SA"/>
        </w:rPr>
        <w:t>23.</w:t>
      </w:r>
      <w:r>
        <w:rPr>
          <w:rFonts w:hint="eastAsia" w:ascii="仿宋_GB2312" w:eastAsia="仿宋_GB2312"/>
          <w:sz w:val="32"/>
          <w:szCs w:val="32"/>
          <w:lang w:val="en-US" w:eastAsia="zh-CN"/>
        </w:rPr>
        <w:t>卫生健康支出</w:t>
      </w:r>
      <w:r>
        <w:rPr>
          <w:rFonts w:hint="eastAsia" w:ascii="仿宋_GB2312" w:hAnsi="Calibri" w:eastAsia="仿宋_GB2312" w:cs="仿宋"/>
          <w:color w:val="000000"/>
          <w:sz w:val="32"/>
          <w:szCs w:val="32"/>
          <w:lang w:val="en-US" w:eastAsia="zh-CN" w:bidi="ar-SA"/>
        </w:rPr>
        <w:t>（类）行政事业单位医疗（款）事业单位医疗（项）：反映财政部门安排的事业单位基本医疗保险缴费经费，未参加医疗保险的事业单位的公费医疗经费，按国家规定享受离休人员待遇的医疗经费。</w:t>
      </w:r>
    </w:p>
    <w:p>
      <w:pPr>
        <w:pStyle w:val="30"/>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.农林水支出（类）普惠金融发展支出（款）创业担保贷款贴息</w:t>
      </w:r>
      <w:r>
        <w:rPr>
          <w:rFonts w:hint="eastAsia" w:ascii="仿宋_GB2312" w:eastAsia="仿宋_GB2312"/>
          <w:sz w:val="32"/>
          <w:szCs w:val="32"/>
          <w:lang w:val="en-US" w:eastAsia="zh-CN"/>
        </w:rPr>
        <w:t>及奖补</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lang w:val="en-US" w:eastAsia="zh-CN"/>
        </w:rPr>
        <w:t>反映财政用于符合条件的人员和小微企业创业担保贷款的贴息及奖补支出。</w:t>
      </w:r>
    </w:p>
    <w:p>
      <w:pPr>
        <w:pStyle w:val="30"/>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5</w:t>
      </w:r>
      <w:r>
        <w:rPr>
          <w:rFonts w:hint="eastAsia" w:ascii="仿宋_GB2312" w:eastAsia="仿宋_GB2312"/>
          <w:sz w:val="32"/>
          <w:szCs w:val="32"/>
        </w:rPr>
        <w:t>. 住房保障支出（类）住房改革支出（款）住房公积金（项）：反映行政事业单位按人力资源和社会保障部、财政部规定的基本工资和津贴补贴以及规定比例为职工缴纳的住房公积金。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lang w:val="en-US" w:eastAsia="zh-CN"/>
        </w:rPr>
        <w:t>6</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lang w:val="en-US" w:eastAsia="zh-CN"/>
        </w:rPr>
        <w:t>7</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Style w:val="30"/>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28</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0"/>
        <w:spacing w:line="560" w:lineRule="exact"/>
        <w:ind w:firstLine="640" w:firstLineChars="200"/>
        <w:rPr>
          <w:rFonts w:ascii="仿宋_GB2312" w:eastAsia="仿宋_GB2312" w:cs="黑体"/>
          <w:color w:val="auto"/>
          <w:sz w:val="32"/>
          <w:szCs w:val="32"/>
          <w:highlight w:val="none"/>
        </w:rPr>
      </w:pPr>
      <w:r>
        <w:rPr>
          <w:rFonts w:hint="eastAsia" w:ascii="仿宋_GB2312" w:eastAsia="仿宋_GB2312"/>
          <w:sz w:val="32"/>
          <w:szCs w:val="32"/>
          <w:lang w:val="en-US" w:eastAsia="zh-CN"/>
        </w:rPr>
        <w:t>29</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0"/>
          <w:rFonts w:hint="eastAsia" w:ascii="黑体" w:hAnsi="黑体" w:eastAsia="黑体"/>
          <w:b w:val="0"/>
          <w:color w:val="auto"/>
          <w:highlight w:val="none"/>
          <w:lang w:eastAsia="zh-CN"/>
        </w:rPr>
      </w:pPr>
      <w:bookmarkStart w:id="99" w:name="_Toc15377226"/>
      <w:r>
        <w:rPr>
          <w:rFonts w:ascii="宋体"/>
          <w:b/>
          <w:color w:val="auto"/>
          <w:sz w:val="44"/>
          <w:szCs w:val="44"/>
          <w:highlight w:val="none"/>
        </w:rPr>
        <w:br w:type="page"/>
      </w:r>
      <w:bookmarkStart w:id="100" w:name="_Toc2214"/>
      <w:bookmarkStart w:id="101" w:name="_Toc15396614"/>
      <w:bookmarkStart w:id="102" w:name="_Toc24998"/>
      <w:r>
        <w:rPr>
          <w:rFonts w:hint="eastAsia" w:ascii="黑体" w:hAnsi="黑体" w:eastAsia="黑体"/>
          <w:color w:val="auto"/>
          <w:sz w:val="44"/>
          <w:szCs w:val="44"/>
          <w:highlight w:val="none"/>
        </w:rPr>
        <w:t>第</w:t>
      </w:r>
      <w:r>
        <w:rPr>
          <w:rStyle w:val="20"/>
          <w:rFonts w:hint="eastAsia" w:ascii="黑体" w:hAnsi="黑体" w:eastAsia="黑体"/>
          <w:b w:val="0"/>
          <w:color w:val="auto"/>
          <w:highlight w:val="none"/>
        </w:rPr>
        <w:t>四部分 附件</w:t>
      </w:r>
      <w:bookmarkEnd w:id="100"/>
      <w:bookmarkEnd w:id="101"/>
      <w:bookmarkEnd w:id="102"/>
    </w:p>
    <w:p>
      <w:pPr>
        <w:keepNext w:val="0"/>
        <w:keepLines w:val="0"/>
        <w:pageBreakBefore w:val="0"/>
        <w:kinsoku/>
        <w:wordWrap/>
        <w:overflowPunct/>
        <w:topLinePunct w:val="0"/>
        <w:autoSpaceDE/>
        <w:autoSpaceDN/>
        <w:bidi w:val="0"/>
        <w:spacing w:line="572" w:lineRule="exact"/>
        <w:jc w:val="left"/>
        <w:textAlignment w:val="auto"/>
        <w:outlineLvl w:val="1"/>
        <w:rPr>
          <w:rFonts w:ascii="方正小标宋简体" w:hAnsi="方正小标宋简体" w:eastAsia="方正小标宋简体" w:cs="方正小标宋简体"/>
          <w:color w:val="auto"/>
          <w:sz w:val="44"/>
          <w:szCs w:val="44"/>
          <w:highlight w:val="none"/>
        </w:rPr>
      </w:pPr>
      <w:bookmarkStart w:id="103" w:name="_Toc24012"/>
      <w:bookmarkStart w:id="104" w:name="_Toc3747"/>
      <w:bookmarkStart w:id="105" w:name="_Toc6519"/>
      <w:r>
        <w:rPr>
          <w:rFonts w:hint="eastAsia" w:ascii="黑体" w:hAnsi="黑体" w:eastAsia="黑体" w:cs="黑体"/>
          <w:color w:val="auto"/>
          <w:sz w:val="32"/>
          <w:szCs w:val="32"/>
          <w:highlight w:val="none"/>
        </w:rPr>
        <w:t>附件</w:t>
      </w:r>
      <w:bookmarkEnd w:id="103"/>
      <w:bookmarkEnd w:id="104"/>
      <w:bookmarkEnd w:id="105"/>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宋体" w:hAnsi="宋体" w:eastAsia="宋体"/>
          <w:b/>
          <w:color w:val="auto"/>
          <w:sz w:val="32"/>
          <w:szCs w:val="32"/>
          <w:highlight w:val="none"/>
          <w:shd w:val="clear" w:color="auto" w:fill="FFFFFF"/>
        </w:rPr>
      </w:pPr>
      <w:r>
        <w:rPr>
          <w:rFonts w:hint="eastAsia" w:ascii="宋体" w:hAnsi="宋体" w:eastAsia="宋体"/>
          <w:b/>
          <w:color w:val="auto"/>
          <w:sz w:val="32"/>
          <w:szCs w:val="32"/>
          <w:highlight w:val="none"/>
          <w:shd w:val="clear" w:color="auto" w:fill="FFFFFF"/>
        </w:rPr>
        <w:t>20</w:t>
      </w:r>
      <w:r>
        <w:rPr>
          <w:rFonts w:hint="eastAsia" w:ascii="宋体" w:hAnsi="宋体" w:eastAsia="宋体"/>
          <w:b/>
          <w:color w:val="auto"/>
          <w:sz w:val="32"/>
          <w:szCs w:val="32"/>
          <w:highlight w:val="none"/>
          <w:shd w:val="clear" w:color="auto" w:fill="FFFFFF"/>
          <w:lang w:val="en-US" w:eastAsia="zh-CN"/>
        </w:rPr>
        <w:t>23</w:t>
      </w:r>
      <w:r>
        <w:rPr>
          <w:rFonts w:hint="eastAsia" w:ascii="宋体" w:hAnsi="宋体" w:eastAsia="宋体"/>
          <w:b/>
          <w:color w:val="auto"/>
          <w:sz w:val="32"/>
          <w:szCs w:val="32"/>
          <w:highlight w:val="none"/>
          <w:shd w:val="clear" w:color="auto" w:fill="FFFFFF"/>
        </w:rPr>
        <w:t>年</w:t>
      </w:r>
      <w:r>
        <w:rPr>
          <w:rFonts w:hint="eastAsia" w:ascii="宋体" w:hAnsi="宋体"/>
          <w:b/>
          <w:color w:val="auto"/>
          <w:sz w:val="32"/>
          <w:szCs w:val="32"/>
          <w:highlight w:val="none"/>
          <w:shd w:val="clear" w:color="auto" w:fill="FFFFFF"/>
          <w:lang w:eastAsia="zh-CN"/>
        </w:rPr>
        <w:t>市</w:t>
      </w:r>
      <w:r>
        <w:rPr>
          <w:rFonts w:hint="eastAsia" w:ascii="宋体" w:hAnsi="宋体" w:eastAsia="宋体"/>
          <w:b/>
          <w:color w:val="auto"/>
          <w:sz w:val="32"/>
          <w:szCs w:val="32"/>
          <w:highlight w:val="none"/>
          <w:shd w:val="clear" w:color="auto" w:fill="FFFFFF"/>
        </w:rPr>
        <w:t>级部门整体绩效评价报告</w:t>
      </w: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val="en-US" w:eastAsia="zh-CN"/>
        </w:rPr>
        <w:t>广元市人力资源和社会保障局</w:t>
      </w:r>
      <w:r>
        <w:rPr>
          <w:rFonts w:hint="eastAsia" w:ascii="仿宋_GB2312" w:hAnsi="仿宋_GB2312" w:eastAsia="仿宋_GB2312" w:cs="仿宋_GB2312"/>
          <w:color w:val="auto"/>
          <w:sz w:val="32"/>
          <w:szCs w:val="32"/>
          <w:highlight w:val="none"/>
          <w:shd w:val="clear" w:color="auto" w:fill="FFFFFF"/>
        </w:rPr>
        <w:t>机关和下属单位）</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p>
    <w:p>
      <w:pPr>
        <w:keepNext w:val="0"/>
        <w:keepLines w:val="0"/>
        <w:pageBreakBefore w:val="0"/>
        <w:widowControl w:val="0"/>
        <w:numPr>
          <w:ilvl w:val="0"/>
          <w:numId w:val="6"/>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1"/>
        <w:rPr>
          <w:rFonts w:hint="eastAsia" w:ascii="黑体" w:hAnsi="宋体" w:eastAsia="黑体" w:cs="宋体"/>
          <w:b w:val="0"/>
          <w:bCs w:val="0"/>
          <w:color w:val="000000"/>
          <w:kern w:val="0"/>
          <w:sz w:val="32"/>
          <w:szCs w:val="32"/>
          <w:highlight w:val="none"/>
          <w:shd w:val="clear" w:color="auto" w:fill="FFFFFF"/>
          <w:lang w:val="zh-CN"/>
        </w:rPr>
      </w:pPr>
      <w:bookmarkStart w:id="106" w:name="_Toc12702"/>
      <w:bookmarkStart w:id="107" w:name="_Toc18803"/>
      <w:bookmarkStart w:id="108" w:name="_Toc22846"/>
      <w:bookmarkStart w:id="109" w:name="_Toc7261"/>
      <w:r>
        <w:rPr>
          <w:rFonts w:hint="eastAsia" w:ascii="黑体" w:hAnsi="宋体" w:eastAsia="黑体" w:cs="宋体"/>
          <w:b w:val="0"/>
          <w:bCs w:val="0"/>
          <w:color w:val="000000"/>
          <w:kern w:val="0"/>
          <w:sz w:val="32"/>
          <w:szCs w:val="32"/>
          <w:highlight w:val="none"/>
          <w:shd w:val="clear" w:color="auto" w:fill="FFFFFF"/>
          <w:lang w:val="zh-CN"/>
        </w:rPr>
        <w:t>部门（单位）基本情况</w:t>
      </w:r>
      <w:bookmarkEnd w:id="106"/>
      <w:bookmarkEnd w:id="107"/>
      <w:bookmarkEnd w:id="108"/>
      <w:bookmarkEnd w:id="109"/>
    </w:p>
    <w:p>
      <w:pPr>
        <w:keepNext w:val="0"/>
        <w:keepLines w:val="0"/>
        <w:pageBreakBefore w:val="0"/>
        <w:widowControl w:val="0"/>
        <w:numPr>
          <w:ilvl w:val="0"/>
          <w:numId w:val="7"/>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2"/>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机构组成。</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Times New Roman" w:hAnsi="Times New Roman" w:eastAsia="仿宋_GB2312" w:cs="Times New Roman"/>
          <w:sz w:val="32"/>
          <w:lang w:val="zh-CN"/>
        </w:rPr>
      </w:pPr>
      <w:r>
        <w:rPr>
          <w:rFonts w:hint="eastAsia" w:ascii="仿宋_GB2312" w:hAnsi="Times New Roman" w:eastAsia="仿宋_GB2312" w:cs="Times New Roman"/>
          <w:sz w:val="32"/>
          <w:szCs w:val="32"/>
        </w:rPr>
        <w:t>广元市人力资源和社会保障局直属二级单位1</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个，其中行政单位1个，参照公务员法管理的事业单位4个，其他事业单位6个。独立预算单位</w:t>
      </w:r>
      <w:r>
        <w:rPr>
          <w:rFonts w:hint="eastAsia" w:ascii="仿宋_GB2312" w:hAnsi="Times New Roman" w:eastAsia="仿宋_GB2312" w:cs="Times New Roman"/>
          <w:sz w:val="32"/>
          <w:szCs w:val="32"/>
          <w:lang w:val="en-US" w:eastAsia="zh-CN"/>
        </w:rPr>
        <w:t>7</w:t>
      </w:r>
      <w:r>
        <w:rPr>
          <w:rFonts w:hint="eastAsia" w:ascii="仿宋_GB2312" w:hAnsi="Times New Roman" w:eastAsia="仿宋_GB2312" w:cs="Times New Roman"/>
          <w:sz w:val="32"/>
          <w:szCs w:val="32"/>
        </w:rPr>
        <w:t>个：广元市人力资源和社会保障局机关、广元市就业创业促进中心、广元市农民工服务中心、广元市社会保险事务中心、广元市劳动人事争议仲裁院、广元市人才交流中心、广元市人事考试中心。</w:t>
      </w:r>
    </w:p>
    <w:p>
      <w:pPr>
        <w:keepNext w:val="0"/>
        <w:keepLines w:val="0"/>
        <w:pageBreakBefore w:val="0"/>
        <w:widowControl w:val="0"/>
        <w:numPr>
          <w:ilvl w:val="0"/>
          <w:numId w:val="7"/>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outlineLvl w:val="2"/>
        <w:rPr>
          <w:rFonts w:hint="eastAsia" w:ascii="Times New Roman" w:hAnsi="Times New Roman" w:eastAsia="仿宋_GB2312" w:cs="Times New Roman"/>
          <w:sz w:val="32"/>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机构职能和人员概况。</w:t>
      </w:r>
    </w:p>
    <w:p>
      <w:pPr>
        <w:keepNext w:val="0"/>
        <w:keepLines w:val="0"/>
        <w:pageBreakBefore w:val="0"/>
        <w:widowControl w:val="0"/>
        <w:kinsoku/>
        <w:wordWrap/>
        <w:overflowPunct/>
        <w:topLinePunct w:val="0"/>
        <w:autoSpaceDE/>
        <w:autoSpaceDN/>
        <w:bidi w:val="0"/>
        <w:spacing w:after="120" w:line="576" w:lineRule="exact"/>
        <w:ind w:left="0" w:leftChars="0" w:firstLine="640" w:firstLineChars="200"/>
        <w:jc w:val="both"/>
        <w:textAlignment w:val="auto"/>
        <w:outlineLvl w:val="3"/>
        <w:rPr>
          <w:rFonts w:hint="default" w:ascii="仿宋_GB2312" w:hAnsi="Times New Roman" w:eastAsia="楷体_GB2312" w:cs="Times New Roman"/>
          <w:kern w:val="2"/>
          <w:sz w:val="32"/>
          <w:szCs w:val="32"/>
          <w:lang w:val="en-US" w:eastAsia="zh-CN" w:bidi="ar-SA"/>
        </w:rPr>
      </w:pPr>
      <w:r>
        <w:rPr>
          <w:rFonts w:hint="eastAsia" w:ascii="楷体_GB2312" w:hAnsi="楷体_GB2312" w:eastAsia="楷体_GB2312" w:cs="楷体_GB2312"/>
          <w:b w:val="0"/>
          <w:bCs w:val="0"/>
          <w:color w:val="000000"/>
          <w:kern w:val="0"/>
          <w:sz w:val="32"/>
          <w:szCs w:val="32"/>
          <w:highlight w:val="none"/>
          <w:shd w:val="clear" w:color="auto" w:fill="FFFFFF"/>
          <w:lang w:val="en-US" w:eastAsia="zh-CN" w:bidi="ar-SA"/>
        </w:rPr>
        <w:t>1.</w:t>
      </w:r>
      <w:r>
        <w:rPr>
          <w:rFonts w:hint="eastAsia" w:ascii="楷体_GB2312" w:hAnsi="楷体_GB2312" w:eastAsia="楷体_GB2312" w:cs="楷体_GB2312"/>
          <w:b w:val="0"/>
          <w:bCs w:val="0"/>
          <w:color w:val="000000"/>
          <w:kern w:val="0"/>
          <w:sz w:val="32"/>
          <w:szCs w:val="32"/>
          <w:highlight w:val="none"/>
          <w:shd w:val="clear" w:color="auto" w:fill="FFFFFF"/>
          <w:lang w:val="zh-CN" w:eastAsia="zh-CN" w:bidi="ar-SA"/>
        </w:rPr>
        <w:t>机构职能</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拟订全市人力资源和社会保障事业发展规划、政策并组织实施和监督检查。起草地方性法规、规章草案。</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拟订全市人力资源市场发展规划和人力资源流动政策并组织实施，建立全市统一规范的人力资源市场，促进人力资源合理流动、有效配置。</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负责促进就业工作，拟订统筹城乡的就业发展规划和政策，完善公共就业创业服务体系，拟订并组织落实创业、就业援助制度，完善职业资格制度，统筹建立面向城乡劳动者的职业培训制度，牵头拟订并实施高校毕业生就业政策。</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统筹建立覆盖城乡的多层次社会保障体系。拟订社会保险政策和标准。贯彻落实养老保险全国统筹办法和全国统一的养老、失业、工伤保险关系转续办法。组织拟订基本养老、企业年金、职业年金、失业、工伤保险基金管理和监督制度，编制全市社会保险基金决算草案，参与制定全市社会保障基金投资政策。会同有关部门实施全民参保计划。拟订人力资源和社会保障信息化建设总体规划、年度计划，制订相关制度、标准和规范并组织实施。指导、督促企业参加工伤保险。</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负责就业、失业和相关社会保险基金预测预警和信息引导，拟订应对预案，实施预防、调节和控制，保持就业形势稳定和社会保险基金总体收支平衡。</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6</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统筹拟订劳动人事争议调解仲裁制度，完善劳动关系协调机制，拟订职工工作时间、休息休假和假期制度，拟订消除非法使用童工政策和女工、未成年工的特殊劳动保护措施。依法督促用人单位在劳动用工、合同签订与履约时，载明劳动保护、劳动条件和职业危害防护等条款。组织实施劳动监察，协调劳动者维权工作，依法查处重大案件。</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7</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牵头推进深化职称制度改革，拟订专业技术人员管理、继续教育和博士后管理等政策，负责高层次专业技术人才选拔和培养工作，拟订吸引国（境）外专家、留学人员来广（回广）工作或定居政策。组织拟订技能人才培养、评价、使用和激励制度。贯彻落实职业资格制度，健全职业技能多元化评价政策。指导、监督各级各类技工学校、民办职业培训机构按国家和省有关规定履行安全管理责任。</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8</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会同有关部门指导事业单位人事制度改革，按照管理权限负责规范事业单位岗位设置、公开招聘、聘用合同等人事综合管理工作，拟订事业单位人员和机关工勤人员管理政策，将安全生产责任履行情况作为事业单位工作人员奖惩、考核的重要内容。</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9</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贯彻执行事业单位人员工资收入分配政策和企业职工工资收入分配调控政策，贯彻落实企事业单位人员工资正常增长和支付保障政策，贯彻执行企事业单位人员福利和离退休政策。</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10</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组织实施国家表彰奖励制度，综合管理政府奖励表彰工作，承担评比达标表彰等工作，根据授权承办以市委、市政府名义开展的奖励表彰活动。承办提请市人大常委会和市政府决定的人事任免事项。</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11</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贯彻执行农民工工作相关政策和规划，协调解决重点难点问题，维护农民工合法权益。负责将安全生产纳入农民工技能培训内容。</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Times New Roman" w:eastAsia="仿宋_GB2312" w:cs="Times New Roman"/>
          <w:spacing w:val="-6"/>
          <w:sz w:val="32"/>
          <w:szCs w:val="32"/>
        </w:rPr>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12</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负</w:t>
      </w:r>
      <w:r>
        <w:rPr>
          <w:rFonts w:hint="eastAsia" w:ascii="仿宋_GB2312" w:hAnsi="Times New Roman" w:eastAsia="仿宋_GB2312" w:cs="Times New Roman"/>
          <w:spacing w:val="-6"/>
          <w:sz w:val="32"/>
          <w:szCs w:val="32"/>
        </w:rPr>
        <w:t>责人力资源和社会保障领域内的对外交流与合作工作。</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13</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承担职责范围内的安全生产和职业健康、生态环境保护、审批服务便民化等工作。</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14</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完成市委、市政府交办的其他事项。</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Times New Roman" w:eastAsia="仿宋_GB2312" w:cs="Times New Roman"/>
          <w:spacing w:val="-6"/>
          <w:sz w:val="32"/>
          <w:szCs w:val="32"/>
        </w:rPr>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15</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职能</w:t>
      </w:r>
      <w:r>
        <w:rPr>
          <w:rFonts w:hint="eastAsia" w:ascii="仿宋_GB2312" w:hAnsi="Times New Roman" w:eastAsia="仿宋_GB2312" w:cs="Times New Roman"/>
          <w:spacing w:val="-6"/>
          <w:sz w:val="32"/>
          <w:szCs w:val="32"/>
        </w:rPr>
        <w:t>转变。深入推进简政放权、放管结合、优化服务改革，进一步减少行政审批事项，规范和优化对外办理事项，贯彻落实国家职业资格目录清单管理制度，加强事中事后监管，创新就业和社会保障等公共服务方式，加强信息共享，提高公共服务水平。</w:t>
      </w:r>
    </w:p>
    <w:p>
      <w:pPr>
        <w:keepNext w:val="0"/>
        <w:keepLines w:val="0"/>
        <w:pageBreakBefore w:val="0"/>
        <w:shd w:val="clear"/>
        <w:kinsoku/>
        <w:wordWrap/>
        <w:overflowPunct/>
        <w:topLinePunct w:val="0"/>
        <w:autoSpaceDE/>
        <w:autoSpaceDN/>
        <w:bidi w:val="0"/>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16</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有关职责分工。高校毕业生就业政策由市人力资源社会保障局牵头，会同教育等部门拟订。高校毕业生离校前的就业指导和服务工作，由教育部门负责；高校毕业生离校后的就业指导和服务工作，由市人力资源社会保障局负责。</w:t>
      </w:r>
    </w:p>
    <w:p>
      <w:pPr>
        <w:keepNext w:val="0"/>
        <w:keepLines w:val="0"/>
        <w:pageBreakBefore w:val="0"/>
        <w:widowControl w:val="0"/>
        <w:kinsoku/>
        <w:wordWrap/>
        <w:overflowPunct/>
        <w:topLinePunct w:val="0"/>
        <w:autoSpaceDE/>
        <w:autoSpaceDN/>
        <w:bidi w:val="0"/>
        <w:spacing w:after="120" w:line="576" w:lineRule="exact"/>
        <w:ind w:left="0" w:leftChars="0" w:firstLine="640" w:firstLineChars="200"/>
        <w:jc w:val="both"/>
        <w:textAlignment w:val="auto"/>
        <w:outlineLvl w:val="3"/>
        <w:rPr>
          <w:rFonts w:hint="eastAsia" w:ascii="楷体_GB2312" w:hAnsi="Times New Roman" w:eastAsia="楷体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w:t>
      </w:r>
      <w:r>
        <w:rPr>
          <w:rFonts w:hint="eastAsia" w:ascii="楷体_GB2312" w:hAnsi="Times New Roman" w:eastAsia="楷体_GB2312" w:cs="Times New Roman"/>
          <w:kern w:val="2"/>
          <w:sz w:val="32"/>
          <w:szCs w:val="32"/>
          <w:lang w:val="en-US" w:eastAsia="zh-CN" w:bidi="ar-SA"/>
        </w:rPr>
        <w:t>人员概况</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楷体_GB2312" w:hAnsi="Times New Roman" w:eastAsia="楷体_GB2312" w:cs="Times New Roman"/>
          <w:sz w:val="32"/>
          <w:szCs w:val="32"/>
          <w:lang w:val="en-US" w:eastAsia="zh-CN"/>
        </w:rPr>
      </w:pPr>
      <w:r>
        <w:rPr>
          <w:rFonts w:hint="eastAsia" w:ascii="仿宋_GB2312" w:hAnsi="Times New Roman" w:eastAsia="仿宋_GB2312" w:cs="Times New Roman"/>
          <w:sz w:val="32"/>
          <w:szCs w:val="32"/>
        </w:rPr>
        <w:t>截至202</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年末，核定编制总</w:t>
      </w:r>
      <w:r>
        <w:rPr>
          <w:rFonts w:hint="eastAsia" w:ascii="仿宋_GB2312" w:hAnsi="Times New Roman" w:eastAsia="仿宋_GB2312" w:cs="Times New Roman"/>
          <w:sz w:val="32"/>
          <w:szCs w:val="32"/>
          <w:shd w:val="clear"/>
        </w:rPr>
        <w:t>数</w:t>
      </w:r>
      <w:r>
        <w:rPr>
          <w:rFonts w:hint="eastAsia" w:ascii="仿宋_GB2312" w:hAnsi="Times New Roman" w:eastAsia="仿宋_GB2312" w:cs="Times New Roman"/>
          <w:sz w:val="32"/>
          <w:szCs w:val="32"/>
          <w:shd w:val="clear"/>
          <w:lang w:val="en-US" w:eastAsia="zh-CN"/>
        </w:rPr>
        <w:t>237</w:t>
      </w:r>
      <w:r>
        <w:rPr>
          <w:rFonts w:hint="eastAsia" w:ascii="仿宋_GB2312" w:hAnsi="Times New Roman" w:eastAsia="仿宋_GB2312" w:cs="Times New Roman"/>
          <w:sz w:val="32"/>
          <w:szCs w:val="32"/>
          <w:shd w:val="clear"/>
        </w:rPr>
        <w:t>名</w:t>
      </w:r>
      <w:r>
        <w:rPr>
          <w:rFonts w:hint="eastAsia" w:ascii="仿宋_GB2312" w:hAnsi="Times New Roman" w:eastAsia="仿宋_GB2312" w:cs="Times New Roman"/>
          <w:sz w:val="32"/>
          <w:szCs w:val="32"/>
        </w:rPr>
        <w:t>，在职人员</w:t>
      </w:r>
      <w:r>
        <w:rPr>
          <w:rFonts w:hint="eastAsia" w:ascii="仿宋_GB2312" w:hAnsi="Times New Roman" w:eastAsia="仿宋_GB2312" w:cs="Times New Roman"/>
          <w:sz w:val="32"/>
          <w:szCs w:val="32"/>
          <w:lang w:val="en-US" w:eastAsia="zh-CN"/>
        </w:rPr>
        <w:t>229</w:t>
      </w:r>
      <w:r>
        <w:rPr>
          <w:rFonts w:hint="eastAsia" w:ascii="仿宋_GB2312" w:hAnsi="Times New Roman" w:eastAsia="仿宋_GB2312" w:cs="Times New Roman"/>
          <w:sz w:val="32"/>
          <w:szCs w:val="32"/>
        </w:rPr>
        <w:t>人，离退休人员13</w:t>
      </w:r>
      <w:r>
        <w:rPr>
          <w:rFonts w:hint="eastAsia" w:ascii="仿宋_GB2312" w:hAnsi="Times New Roman" w:eastAsia="仿宋_GB2312" w:cs="Times New Roman"/>
          <w:sz w:val="32"/>
          <w:szCs w:val="32"/>
          <w:lang w:val="en-US" w:eastAsia="zh-CN"/>
        </w:rPr>
        <w:t>6</w:t>
      </w:r>
      <w:r>
        <w:rPr>
          <w:rFonts w:hint="eastAsia" w:ascii="仿宋_GB2312" w:hAnsi="Times New Roman" w:eastAsia="仿宋_GB2312" w:cs="Times New Roman"/>
          <w:sz w:val="32"/>
          <w:szCs w:val="32"/>
        </w:rPr>
        <w:t>人，其他人员（遗属）4人。</w:t>
      </w:r>
    </w:p>
    <w:p>
      <w:pPr>
        <w:keepNext w:val="0"/>
        <w:keepLines w:val="0"/>
        <w:pageBreakBefore w:val="0"/>
        <w:widowControl w:val="0"/>
        <w:numPr>
          <w:ilvl w:val="0"/>
          <w:numId w:val="7"/>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outlineLvl w:val="2"/>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年度主要工作任务。</w:t>
      </w:r>
    </w:p>
    <w:p>
      <w:pPr>
        <w:keepNext w:val="0"/>
        <w:keepLines w:val="0"/>
        <w:pageBreakBefore w:val="0"/>
        <w:widowControl w:val="0"/>
        <w:numPr>
          <w:ilvl w:val="0"/>
          <w:numId w:val="0"/>
        </w:numPr>
        <w:kinsoku/>
        <w:wordWrap/>
        <w:overflowPunct/>
        <w:topLinePunct w:val="0"/>
        <w:autoSpaceDE/>
        <w:autoSpaceDN/>
        <w:bidi w:val="0"/>
        <w:adjustRightInd/>
        <w:snapToGrid/>
        <w:spacing w:after="120" w:line="576" w:lineRule="exact"/>
        <w:ind w:firstLine="640" w:firstLineChars="200"/>
        <w:jc w:val="both"/>
        <w:textAlignment w:val="auto"/>
        <w:rPr>
          <w:rFonts w:hint="eastAsia" w:ascii="仿宋_GB2312" w:hAnsi="Times New Roman" w:eastAsia="仿宋_GB2312" w:cs="Times New Roman"/>
          <w:kern w:val="2"/>
          <w:sz w:val="32"/>
          <w:szCs w:val="32"/>
          <w:lang w:val="zh-CN" w:eastAsia="zh-CN" w:bidi="ar-SA"/>
        </w:rPr>
      </w:pPr>
      <w:r>
        <w:rPr>
          <w:rFonts w:hint="eastAsia" w:ascii="仿宋_GB2312" w:hAnsi="Times New Roman" w:eastAsia="仿宋_GB2312" w:cs="Times New Roman"/>
          <w:kern w:val="2"/>
          <w:sz w:val="32"/>
          <w:szCs w:val="32"/>
          <w:lang w:val="en-US" w:eastAsia="zh-CN" w:bidi="ar-SA"/>
        </w:rPr>
        <w:t>全力以赴促就业稳就业保就业，坚持就业优先政策，抓好高校毕业生、脱贫人口等重点群体就业，推进基层公共就业创业服务能力提升试点，建设一批公共就业创业服务示范乡镇</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街道）；加强驻外农民工工作站、村社区农民工服务机构建设，打造一批示范站点；全面实施县以下事业单位建立管理岗位职员等级晋升制度；扎实做好高层次人才引进工作；加强职业技能培训，重点抓好“广元妹”家政服务品牌、曾家山旅游渡假区、昭化家居产业城等从业人员的技能培训工作；聚焦聚力保障企业用工；建成省级人力资源服务产业园，争创国家级川陕甘区域中心人力资源市场；研究制定广元人社法治宣传教育第八个五年规划和法治建设实施方案（2021-2025年）建设和政策宣传；制定全市人社行政权力事项责任清单和权责指导清单，深入实施全民参保计划，推动重点群体参加工伤保险政策落实落地（基层快递网点优先参加工伤保险，公务员和参公人员参加工伤保险），推动新就业形态就业人员职业伤害保障试点；扎实做好敏感时期信访维稳工作；深入推进干部纪律作风整顿，持续抓好干部纪律作风整顿工作，提高干部队伍管理水平和服务质效；根据上级部署落实学习贯彻宣传党的二十大和省第十二次党代会精神；打造一个劳动关系工作示范点（整合基层调解组织、劳动关系协调员工作室、流动仲裁庭、劳动保障监察执法监测点、电子合同签订等示范工作）；根据全省进度适时发布全市最低工资标准。</w:t>
      </w:r>
    </w:p>
    <w:p>
      <w:pPr>
        <w:keepNext w:val="0"/>
        <w:keepLines w:val="0"/>
        <w:pageBreakBefore w:val="0"/>
        <w:widowControl w:val="0"/>
        <w:numPr>
          <w:ilvl w:val="0"/>
          <w:numId w:val="7"/>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outlineLvl w:val="2"/>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部门整体支出绩效目标。</w:t>
      </w:r>
    </w:p>
    <w:p>
      <w:pPr>
        <w:keepNext w:val="0"/>
        <w:keepLines w:val="0"/>
        <w:pageBreakBefore w:val="0"/>
        <w:widowControl w:val="0"/>
        <w:numPr>
          <w:ilvl w:val="0"/>
          <w:numId w:val="0"/>
        </w:numPr>
        <w:kinsoku/>
        <w:wordWrap/>
        <w:overflowPunct/>
        <w:topLinePunct w:val="0"/>
        <w:autoSpaceDE/>
        <w:autoSpaceDN/>
        <w:bidi w:val="0"/>
        <w:adjustRightInd/>
        <w:snapToGrid/>
        <w:spacing w:after="12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1.积极落实《广元市促进就业十条措施》等减负稳岗扩就业政策，城镇新增就业人数3.35万人以上。</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w:t>
      </w:r>
      <w:r>
        <w:rPr>
          <w:rFonts w:hint="eastAsia" w:ascii="仿宋_GB2312" w:hAnsi="仿宋_GB2312" w:eastAsia="仿宋_GB2312" w:cs="仿宋_GB2312"/>
          <w:sz w:val="32"/>
          <w:szCs w:val="32"/>
        </w:rPr>
        <w:t>城镇</w:t>
      </w:r>
      <w:r>
        <w:rPr>
          <w:rFonts w:hint="eastAsia" w:ascii="仿宋_GB2312" w:hAnsi="仿宋_GB2312" w:eastAsia="仿宋_GB2312" w:cs="仿宋_GB2312"/>
          <w:spacing w:val="-6"/>
          <w:sz w:val="32"/>
          <w:szCs w:val="32"/>
        </w:rPr>
        <w:t>登记失业率</w:t>
      </w:r>
      <w:r>
        <w:rPr>
          <w:rFonts w:hint="eastAsia" w:ascii="仿宋_GB2312" w:hAnsi="仿宋_GB2312" w:eastAsia="仿宋_GB2312" w:cs="仿宋_GB2312"/>
          <w:spacing w:val="-6"/>
          <w:sz w:val="32"/>
          <w:szCs w:val="32"/>
          <w:lang w:val="en-US" w:eastAsia="zh-CN"/>
        </w:rPr>
        <w:t>控制在</w:t>
      </w:r>
      <w:r>
        <w:rPr>
          <w:rFonts w:hint="eastAsia" w:ascii="仿宋_GB2312" w:hAnsi="仿宋_GB2312" w:eastAsia="仿宋_GB2312" w:cs="仿宋_GB2312"/>
          <w:spacing w:val="-6"/>
          <w:sz w:val="32"/>
          <w:szCs w:val="32"/>
        </w:rPr>
        <w:t>4.0%以内</w:t>
      </w:r>
      <w:r>
        <w:rPr>
          <w:rFonts w:hint="eastAsia" w:ascii="仿宋_GB2312" w:hAnsi="仿宋_GB2312" w:eastAsia="仿宋_GB2312" w:cs="仿宋_GB2312"/>
          <w:spacing w:val="-6"/>
          <w:sz w:val="32"/>
          <w:szCs w:val="32"/>
          <w:lang w:eastAsia="zh-CN"/>
        </w:rPr>
        <w:t>。</w:t>
      </w:r>
    </w:p>
    <w:p>
      <w:pPr>
        <w:keepNext w:val="0"/>
        <w:keepLines w:val="0"/>
        <w:pageBreakBefore w:val="0"/>
        <w:widowControl w:val="0"/>
        <w:kinsoku/>
        <w:wordWrap/>
        <w:overflowPunct/>
        <w:topLinePunct w:val="0"/>
        <w:autoSpaceDE/>
        <w:autoSpaceDN/>
        <w:bidi w:val="0"/>
        <w:spacing w:after="120" w:line="576" w:lineRule="exact"/>
        <w:ind w:firstLine="616"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t>城镇居民人均可支配收入增长7.5%。</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4.</w:t>
      </w:r>
      <w:r>
        <w:rPr>
          <w:rFonts w:hint="eastAsia" w:ascii="仿宋_GB2312" w:hAnsi="仿宋_GB2312" w:eastAsia="仿宋_GB2312" w:cs="仿宋_GB2312"/>
          <w:sz w:val="32"/>
          <w:szCs w:val="32"/>
        </w:rPr>
        <w:t>完成水利、环境和公共设施管理业工资总额增长速度，公共管理、社会保障和社会组织工资总额增长速度年度目标任务</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after="120" w:line="576" w:lineRule="exact"/>
        <w:ind w:firstLine="640" w:firstLineChars="200"/>
        <w:jc w:val="both"/>
        <w:textAlignment w:val="auto"/>
        <w:outlineLvl w:val="3"/>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5.完成农民工服务保障（含工资支付）省下目标任务。</w:t>
      </w:r>
    </w:p>
    <w:p>
      <w:pPr>
        <w:keepNext w:val="0"/>
        <w:keepLines w:val="0"/>
        <w:pageBreakBefore w:val="0"/>
        <w:widowControl w:val="0"/>
        <w:kinsoku/>
        <w:wordWrap/>
        <w:overflowPunct/>
        <w:topLinePunct w:val="0"/>
        <w:autoSpaceDE/>
        <w:autoSpaceDN/>
        <w:bidi w:val="0"/>
        <w:spacing w:after="120" w:line="576"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6.推动农村劳动力转移就业 95 万人，实现劳务收入 290 亿元。</w:t>
      </w:r>
    </w:p>
    <w:p>
      <w:pPr>
        <w:keepNext w:val="0"/>
        <w:keepLines w:val="0"/>
        <w:pageBreakBefore w:val="0"/>
        <w:widowControl w:val="0"/>
        <w:kinsoku/>
        <w:wordWrap/>
        <w:overflowPunct/>
        <w:topLinePunct w:val="0"/>
        <w:autoSpaceDE/>
        <w:autoSpaceDN/>
        <w:bidi w:val="0"/>
        <w:spacing w:after="120" w:line="576"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7.持续实施“返乡创业、回家发展”计划，全年回引返乡创业 3000 人以上。</w:t>
      </w:r>
    </w:p>
    <w:p>
      <w:pPr>
        <w:keepNext w:val="0"/>
        <w:keepLines w:val="0"/>
        <w:pageBreakBefore w:val="0"/>
        <w:widowControl w:val="0"/>
        <w:kinsoku/>
        <w:wordWrap/>
        <w:overflowPunct/>
        <w:topLinePunct w:val="0"/>
        <w:autoSpaceDE/>
        <w:autoSpaceDN/>
        <w:bidi w:val="0"/>
        <w:spacing w:after="120" w:line="576" w:lineRule="exact"/>
        <w:ind w:firstLine="640" w:firstLineChars="200"/>
        <w:jc w:val="both"/>
        <w:textAlignment w:val="auto"/>
        <w:outlineLvl w:val="3"/>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8.按季度召开返乡创业企业困难问题会商会。</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9.持续提升技能培训针对性和实效性，开展补贴性职业技能培训 3.2 万人次。</w:t>
      </w:r>
    </w:p>
    <w:p>
      <w:pPr>
        <w:keepNext w:val="0"/>
        <w:keepLines w:val="0"/>
        <w:pageBreakBefore w:val="0"/>
        <w:widowControl w:val="0"/>
        <w:numPr>
          <w:ilvl w:val="0"/>
          <w:numId w:val="8"/>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抓好市、县两级国有人力资源公司和乡村两级劳务专业合作社运行管理</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after="12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11.创建省级人力资源服务产业园。</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12.</w:t>
      </w:r>
      <w:r>
        <w:rPr>
          <w:rFonts w:hint="eastAsia" w:ascii="仿宋_GB2312" w:hAnsi="仿宋_GB2312" w:eastAsia="仿宋_GB2312" w:cs="仿宋_GB2312"/>
          <w:sz w:val="32"/>
          <w:szCs w:val="32"/>
        </w:rPr>
        <w:t>加强企业招聘用工服务</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13.</w:t>
      </w:r>
      <w:r>
        <w:rPr>
          <w:rFonts w:hint="eastAsia" w:ascii="仿宋_GB2312" w:hAnsi="仿宋_GB2312" w:eastAsia="仿宋_GB2312" w:cs="仿宋_GB2312"/>
          <w:sz w:val="32"/>
          <w:szCs w:val="32"/>
        </w:rPr>
        <w:t>培</w:t>
      </w:r>
      <w:r>
        <w:rPr>
          <w:rFonts w:hint="eastAsia" w:ascii="仿宋_GB2312" w:hAnsi="仿宋_GB2312" w:eastAsia="仿宋_GB2312" w:cs="仿宋_GB2312"/>
          <w:spacing w:val="-8"/>
          <w:sz w:val="32"/>
          <w:szCs w:val="32"/>
        </w:rPr>
        <w:t>育规上服务业企业2户</w:t>
      </w:r>
      <w:r>
        <w:rPr>
          <w:rFonts w:hint="eastAsia" w:ascii="仿宋_GB2312" w:hAnsi="仿宋_GB2312" w:eastAsia="仿宋_GB2312" w:cs="仿宋_GB2312"/>
          <w:spacing w:val="-8"/>
          <w:sz w:val="32"/>
          <w:szCs w:val="32"/>
          <w:lang w:eastAsia="zh-CN"/>
        </w:rPr>
        <w:t>。</w:t>
      </w:r>
    </w:p>
    <w:p>
      <w:pPr>
        <w:keepNext w:val="0"/>
        <w:keepLines w:val="0"/>
        <w:pageBreakBefore w:val="0"/>
        <w:widowControl w:val="0"/>
        <w:kinsoku/>
        <w:wordWrap/>
        <w:overflowPunct/>
        <w:topLinePunct w:val="0"/>
        <w:autoSpaceDE/>
        <w:autoSpaceDN/>
        <w:bidi w:val="0"/>
        <w:spacing w:after="120" w:line="576" w:lineRule="exact"/>
        <w:ind w:left="0" w:leftChars="0" w:firstLine="608"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pacing w:val="-8"/>
          <w:kern w:val="2"/>
          <w:sz w:val="32"/>
          <w:szCs w:val="32"/>
          <w:lang w:val="en-US" w:eastAsia="zh-CN" w:bidi="ar-SA"/>
        </w:rPr>
        <w:t>14.</w:t>
      </w:r>
      <w:r>
        <w:rPr>
          <w:rFonts w:hint="eastAsia" w:ascii="仿宋_GB2312" w:hAnsi="仿宋_GB2312" w:eastAsia="仿宋_GB2312" w:cs="仿宋_GB2312"/>
          <w:kern w:val="2"/>
          <w:sz w:val="32"/>
          <w:szCs w:val="32"/>
          <w:lang w:val="en-US" w:eastAsia="zh-CN" w:bidi="ar-SA"/>
        </w:rPr>
        <w:t>深入实施全民参保计划，完成企业职工基本养老保险、失业保险、工伤保险等省下目标任务</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outlineLvl w:val="3"/>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15.</w:t>
      </w:r>
      <w:r>
        <w:rPr>
          <w:rFonts w:hint="eastAsia" w:ascii="仿宋_GB2312" w:hAnsi="仿宋_GB2312" w:eastAsia="仿宋_GB2312" w:cs="仿宋_GB2312"/>
          <w:kern w:val="2"/>
          <w:sz w:val="32"/>
          <w:szCs w:val="32"/>
          <w:lang w:val="en-US" w:eastAsia="zh-CN" w:bidi="ar-SA"/>
        </w:rPr>
        <w:t>认真做好高层次人才引进工作。</w:t>
      </w:r>
    </w:p>
    <w:p>
      <w:pPr>
        <w:keepNext w:val="0"/>
        <w:keepLines w:val="0"/>
        <w:pageBreakBefore w:val="0"/>
        <w:widowControl w:val="0"/>
        <w:kinsoku/>
        <w:wordWrap/>
        <w:overflowPunct/>
        <w:topLinePunct w:val="0"/>
        <w:autoSpaceDE/>
        <w:autoSpaceDN/>
        <w:bidi w:val="0"/>
        <w:adjustRightInd w:val="0"/>
        <w:snapToGrid w:val="0"/>
        <w:spacing w:line="576" w:lineRule="exact"/>
        <w:ind w:firstLine="616" w:firstLineChars="200"/>
        <w:contextualSpacing/>
        <w:jc w:val="left"/>
        <w:textAlignment w:val="auto"/>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b w:val="0"/>
          <w:bCs w:val="0"/>
          <w:color w:val="000000"/>
          <w:spacing w:val="-6"/>
          <w:kern w:val="0"/>
          <w:sz w:val="32"/>
          <w:szCs w:val="32"/>
          <w:highlight w:val="none"/>
          <w:shd w:val="clear" w:color="auto" w:fill="FFFFFF"/>
          <w:lang w:val="en-US" w:eastAsia="zh-CN"/>
        </w:rPr>
        <w:t>16.</w:t>
      </w:r>
      <w:r>
        <w:rPr>
          <w:rFonts w:hint="eastAsia" w:ascii="仿宋_GB2312" w:hAnsi="仿宋_GB2312" w:eastAsia="仿宋_GB2312" w:cs="仿宋_GB2312"/>
          <w:spacing w:val="-6"/>
          <w:kern w:val="2"/>
          <w:sz w:val="32"/>
          <w:szCs w:val="32"/>
          <w:lang w:val="en-US" w:eastAsia="zh-CN" w:bidi="ar-SA"/>
        </w:rPr>
        <w:t>争取到位资金 8351 万元，并完成向上对接年度目标任务。</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outlineLvl w:val="1"/>
        <w:rPr>
          <w:rFonts w:ascii="黑体" w:hAnsi="宋体" w:eastAsia="黑体" w:cs="宋体"/>
          <w:b w:val="0"/>
          <w:bCs w:val="0"/>
          <w:color w:val="000000"/>
          <w:kern w:val="0"/>
          <w:sz w:val="32"/>
          <w:szCs w:val="32"/>
          <w:highlight w:val="none"/>
          <w:shd w:val="clear" w:color="auto" w:fill="FFFFFF"/>
        </w:rPr>
      </w:pPr>
      <w:bookmarkStart w:id="110" w:name="_Toc13067"/>
      <w:bookmarkStart w:id="111" w:name="_Toc5408"/>
      <w:bookmarkStart w:id="112" w:name="_Toc6441"/>
      <w:bookmarkStart w:id="113" w:name="_Toc2165"/>
      <w:r>
        <w:rPr>
          <w:rFonts w:hint="eastAsia" w:ascii="黑体" w:hAnsi="宋体" w:eastAsia="黑体" w:cs="宋体"/>
          <w:b w:val="0"/>
          <w:bCs w:val="0"/>
          <w:color w:val="000000"/>
          <w:kern w:val="0"/>
          <w:sz w:val="32"/>
          <w:szCs w:val="32"/>
          <w:highlight w:val="none"/>
          <w:shd w:val="clear" w:color="auto" w:fill="FFFFFF"/>
        </w:rPr>
        <w:t>二、</w:t>
      </w:r>
      <w:r>
        <w:rPr>
          <w:rFonts w:hint="eastAsia" w:ascii="黑体" w:hAnsi="宋体" w:eastAsia="黑体" w:cs="宋体"/>
          <w:b w:val="0"/>
          <w:bCs w:val="0"/>
          <w:color w:val="000000"/>
          <w:kern w:val="0"/>
          <w:sz w:val="32"/>
          <w:szCs w:val="32"/>
          <w:highlight w:val="none"/>
          <w:shd w:val="clear" w:color="auto" w:fill="FFFFFF"/>
          <w:lang w:eastAsia="zh-CN"/>
        </w:rPr>
        <w:t>部门</w:t>
      </w:r>
      <w:r>
        <w:rPr>
          <w:rFonts w:hint="eastAsia" w:ascii="黑体" w:hAnsi="宋体" w:eastAsia="黑体" w:cs="宋体"/>
          <w:b w:val="0"/>
          <w:bCs w:val="0"/>
          <w:color w:val="000000"/>
          <w:kern w:val="0"/>
          <w:sz w:val="32"/>
          <w:szCs w:val="32"/>
          <w:highlight w:val="none"/>
          <w:shd w:val="clear" w:color="auto" w:fill="FFFFFF"/>
        </w:rPr>
        <w:t>资金收支情况</w:t>
      </w:r>
      <w:bookmarkEnd w:id="110"/>
      <w:bookmarkEnd w:id="111"/>
      <w:bookmarkEnd w:id="112"/>
      <w:bookmarkEnd w:id="113"/>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outlineLvl w:val="2"/>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（一）部门总体收支情况。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outlineLvl w:val="3"/>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1.部门总体收入情况</w:t>
      </w:r>
    </w:p>
    <w:p>
      <w:pPr>
        <w:keepNext w:val="0"/>
        <w:keepLines w:val="0"/>
        <w:pageBreakBefore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sz w:val="32"/>
          <w:lang w:val="en-US" w:eastAsia="zh-CN"/>
        </w:rPr>
      </w:pPr>
      <w:r>
        <w:rPr>
          <w:rFonts w:hint="eastAsia" w:ascii="仿宋_GB2312" w:hAnsi="Times New Roman" w:eastAsia="仿宋_GB2312" w:cs="Times New Roman"/>
          <w:sz w:val="32"/>
          <w:szCs w:val="32"/>
        </w:rPr>
        <w:t>202</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val="en-US" w:eastAsia="zh-CN"/>
        </w:rPr>
        <w:t>决算</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收入总计</w:t>
      </w:r>
      <w:r>
        <w:rPr>
          <w:rFonts w:hint="eastAsia" w:ascii="仿宋_GB2312" w:hAnsi="Times New Roman" w:eastAsia="仿宋_GB2312" w:cs="Times New Roman"/>
          <w:sz w:val="32"/>
          <w:szCs w:val="32"/>
          <w:lang w:val="en-US" w:eastAsia="zh-CN"/>
        </w:rPr>
        <w:t>7368.67</w:t>
      </w:r>
      <w:r>
        <w:rPr>
          <w:rFonts w:hint="eastAsia" w:ascii="仿宋_GB2312" w:hAnsi="Times New Roman" w:eastAsia="仿宋_GB2312" w:cs="Times New Roman"/>
          <w:sz w:val="32"/>
          <w:szCs w:val="32"/>
        </w:rPr>
        <w:t>万元</w:t>
      </w:r>
      <w:r>
        <w:rPr>
          <w:rFonts w:hint="eastAsia" w:ascii="仿宋_GB2312"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outlineLvl w:val="3"/>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2.部门总体支出情况</w:t>
      </w:r>
    </w:p>
    <w:p>
      <w:pPr>
        <w:keepNext w:val="0"/>
        <w:keepLines w:val="0"/>
        <w:pageBreakBefore w:val="0"/>
        <w:kinsoku/>
        <w:wordWrap/>
        <w:overflowPunct/>
        <w:topLinePunct w:val="0"/>
        <w:autoSpaceDE/>
        <w:autoSpaceDN/>
        <w:bidi w:val="0"/>
        <w:spacing w:line="576" w:lineRule="exact"/>
        <w:ind w:firstLine="640" w:firstLineChars="200"/>
        <w:jc w:val="both"/>
        <w:textAlignment w:val="auto"/>
        <w:rPr>
          <w:rFonts w:hint="eastAsia" w:ascii="Times New Roman" w:hAnsi="Times New Roman" w:eastAsia="仿宋_GB2312" w:cs="Times New Roman"/>
          <w:sz w:val="32"/>
          <w:lang w:val="en-US" w:eastAsia="zh-CN"/>
        </w:rPr>
      </w:pPr>
      <w:r>
        <w:rPr>
          <w:rFonts w:hint="eastAsia" w:ascii="仿宋_GB2312" w:hAnsi="Times New Roman" w:eastAsia="仿宋_GB2312" w:cs="Times New Roman"/>
          <w:sz w:val="32"/>
          <w:szCs w:val="32"/>
        </w:rPr>
        <w:t>202</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val="en-US" w:eastAsia="zh-CN"/>
        </w:rPr>
        <w:t>决算</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支出总计</w:t>
      </w:r>
      <w:r>
        <w:rPr>
          <w:rFonts w:hint="eastAsia" w:ascii="仿宋_GB2312" w:hAnsi="Times New Roman" w:eastAsia="仿宋_GB2312" w:cs="Times New Roman"/>
          <w:sz w:val="32"/>
          <w:szCs w:val="32"/>
          <w:lang w:val="en-US" w:eastAsia="zh-CN"/>
        </w:rPr>
        <w:t>7259.94</w:t>
      </w:r>
      <w:r>
        <w:rPr>
          <w:rFonts w:hint="eastAsia" w:ascii="仿宋_GB2312" w:hAnsi="Times New Roman" w:eastAsia="仿宋_GB2312" w:cs="Times New Roman"/>
          <w:sz w:val="32"/>
          <w:szCs w:val="32"/>
        </w:rPr>
        <w:t>万元</w:t>
      </w:r>
      <w:r>
        <w:rPr>
          <w:rFonts w:hint="eastAsia" w:ascii="仿宋_GB2312"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outlineLvl w:val="3"/>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3.部门总体结转结余情况</w:t>
      </w:r>
    </w:p>
    <w:p>
      <w:pPr>
        <w:keepNext w:val="0"/>
        <w:keepLines w:val="0"/>
        <w:pageBreakBefore w:val="0"/>
        <w:widowControl w:val="0"/>
        <w:numPr>
          <w:ilvl w:val="0"/>
          <w:numId w:val="0"/>
        </w:numPr>
        <w:kinsoku/>
        <w:wordWrap/>
        <w:overflowPunct/>
        <w:topLinePunct w:val="0"/>
        <w:autoSpaceDE/>
        <w:autoSpaceDN/>
        <w:bidi w:val="0"/>
        <w:spacing w:after="120" w:line="576" w:lineRule="exact"/>
        <w:ind w:leftChars="200" w:firstLine="320" w:firstLineChars="100"/>
        <w:jc w:val="both"/>
        <w:textAlignment w:val="auto"/>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2022年结转结余108.73万元。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outlineLvl w:val="2"/>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（二）部门财政拨款收支情况。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outlineLvl w:val="3"/>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1.部门财政拨款收入情况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仿宋_GB2312" w:hAnsi="Times New Roman" w:eastAsia="仿宋_GB2312" w:cs="Times New Roman"/>
          <w:kern w:val="2"/>
          <w:sz w:val="32"/>
          <w:szCs w:val="32"/>
          <w:lang w:val="en-US" w:eastAsia="zh-CN" w:bidi="ar-SA"/>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bidi="ar-SA"/>
        </w:rPr>
        <w:t>2022年财政拨款收入7368.56万元。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3"/>
        <w:rPr>
          <w:rFonts w:hint="default" w:ascii="仿宋_GB2312" w:hAnsi="Times New Roman" w:eastAsia="仿宋_GB2312" w:cs="Times New Roman"/>
          <w:kern w:val="2"/>
          <w:sz w:val="32"/>
          <w:szCs w:val="32"/>
          <w:lang w:val="en-US" w:eastAsia="zh-CN" w:bidi="ar-SA"/>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2.部门财政拨款支出情况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2022年财政拨款支出7259.83万元。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3"/>
        <w:rPr>
          <w:rFonts w:hint="eastAsia" w:ascii="Times New Roman"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Times New Roman" w:eastAsia="仿宋_GB2312" w:cs="Times New Roman"/>
          <w:kern w:val="2"/>
          <w:sz w:val="32"/>
          <w:szCs w:val="32"/>
          <w:lang w:val="en-US" w:eastAsia="zh-CN" w:bidi="ar-SA"/>
        </w:rPr>
        <w:t>3.</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部门</w:t>
      </w:r>
      <w:r>
        <w:rPr>
          <w:rFonts w:hint="eastAsia" w:ascii="Times New Roman" w:hAnsi="仿宋_GB2312" w:eastAsia="仿宋_GB2312" w:cs="仿宋_GB2312"/>
          <w:b w:val="0"/>
          <w:bCs w:val="0"/>
          <w:color w:val="000000"/>
          <w:kern w:val="0"/>
          <w:sz w:val="32"/>
          <w:szCs w:val="32"/>
          <w:highlight w:val="none"/>
          <w:shd w:val="clear" w:color="auto" w:fill="FFFFFF"/>
          <w:lang w:val="en-US" w:eastAsia="zh-CN"/>
        </w:rPr>
        <w:t>财政拨款结转结余情况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bidi="ar-SA"/>
        </w:rPr>
      </w:pPr>
      <w:r>
        <w:rPr>
          <w:rFonts w:hint="eastAsia" w:ascii="仿宋_GB2312" w:hAnsi="Times New Roman" w:eastAsia="仿宋_GB2312" w:cs="Times New Roman"/>
          <w:kern w:val="2"/>
          <w:sz w:val="32"/>
          <w:szCs w:val="32"/>
          <w:lang w:val="en-US" w:eastAsia="zh-CN" w:bidi="ar-SA"/>
        </w:rPr>
        <w:t>2022年</w:t>
      </w:r>
      <w:r>
        <w:rPr>
          <w:rFonts w:hint="eastAsia" w:ascii="仿宋_GB2312" w:hAnsi="仿宋_GB2312" w:eastAsia="仿宋_GB2312" w:cs="仿宋_GB2312"/>
          <w:b w:val="0"/>
          <w:bCs w:val="0"/>
          <w:color w:val="000000"/>
          <w:kern w:val="0"/>
          <w:sz w:val="32"/>
          <w:szCs w:val="32"/>
          <w:highlight w:val="none"/>
          <w:shd w:val="clear" w:color="auto" w:fill="FFFFFF"/>
          <w:lang w:val="en-US" w:eastAsia="zh-CN" w:bidi="ar-SA"/>
        </w:rPr>
        <w:t>财政拨款结转结余108.73万元。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1"/>
        <w:rPr>
          <w:rFonts w:hint="eastAsia" w:ascii="黑体" w:hAnsi="宋体" w:eastAsia="黑体" w:cs="宋体"/>
          <w:b w:val="0"/>
          <w:bCs w:val="0"/>
          <w:color w:val="000000"/>
          <w:kern w:val="0"/>
          <w:sz w:val="32"/>
          <w:szCs w:val="32"/>
          <w:highlight w:val="none"/>
          <w:u w:val="none"/>
          <w:shd w:val="clear" w:color="auto" w:fill="FFFFFF"/>
          <w:lang w:eastAsia="zh-CN"/>
        </w:rPr>
      </w:pPr>
      <w:bookmarkStart w:id="114" w:name="_Toc12692"/>
      <w:bookmarkStart w:id="115" w:name="_Toc14695"/>
      <w:bookmarkStart w:id="116" w:name="_Toc5143"/>
      <w:bookmarkStart w:id="117" w:name="_Toc13776"/>
      <w:r>
        <w:rPr>
          <w:rFonts w:hint="eastAsia" w:ascii="黑体" w:hAnsi="宋体" w:eastAsia="黑体" w:cs="宋体"/>
          <w:b w:val="0"/>
          <w:bCs w:val="0"/>
          <w:color w:val="000000"/>
          <w:kern w:val="0"/>
          <w:sz w:val="32"/>
          <w:szCs w:val="32"/>
          <w:highlight w:val="none"/>
          <w:u w:val="none"/>
          <w:shd w:val="clear" w:color="auto" w:fill="FFFFFF"/>
          <w:lang w:val="en-US" w:eastAsia="zh-CN"/>
        </w:rPr>
        <w:t>三、</w:t>
      </w:r>
      <w:r>
        <w:rPr>
          <w:rFonts w:hint="eastAsia" w:ascii="黑体" w:hAnsi="宋体" w:eastAsia="黑体" w:cs="宋体"/>
          <w:b w:val="0"/>
          <w:bCs w:val="0"/>
          <w:color w:val="000000"/>
          <w:kern w:val="0"/>
          <w:sz w:val="32"/>
          <w:szCs w:val="32"/>
          <w:highlight w:val="none"/>
          <w:u w:val="none"/>
          <w:shd w:val="clear" w:color="auto" w:fill="FFFFFF"/>
        </w:rPr>
        <w:t>部门整体绩效</w:t>
      </w:r>
      <w:r>
        <w:rPr>
          <w:rFonts w:hint="eastAsia" w:ascii="黑体" w:hAnsi="宋体" w:eastAsia="黑体" w:cs="宋体"/>
          <w:b w:val="0"/>
          <w:bCs w:val="0"/>
          <w:color w:val="000000"/>
          <w:kern w:val="0"/>
          <w:sz w:val="32"/>
          <w:szCs w:val="32"/>
          <w:highlight w:val="none"/>
          <w:u w:val="none"/>
          <w:shd w:val="clear" w:color="auto" w:fill="FFFFFF"/>
          <w:lang w:eastAsia="zh-CN"/>
        </w:rPr>
        <w:t>分析</w:t>
      </w:r>
      <w:bookmarkEnd w:id="114"/>
      <w:bookmarkEnd w:id="115"/>
      <w:bookmarkEnd w:id="116"/>
      <w:bookmarkEnd w:id="117"/>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200"/>
        <w:contextualSpacing/>
        <w:jc w:val="left"/>
        <w:textAlignment w:val="auto"/>
        <w:outlineLvl w:val="2"/>
        <w:rPr>
          <w:rFonts w:hint="eastAsia" w:ascii="仿宋_GB2312" w:hAnsi="宋体" w:eastAsia="仿宋_GB2312" w:cs="宋体"/>
          <w:b w:val="0"/>
          <w:bCs w:val="0"/>
          <w:color w:val="FF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（一）部门预算项目绩效分析。</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outlineLvl w:val="3"/>
        <w:rPr>
          <w:rFonts w:hint="eastAsia" w:ascii="仿宋_GB2312" w:hAnsi="宋体" w:eastAsia="仿宋_GB2312" w:cs="宋体"/>
          <w:b w:val="0"/>
          <w:bCs w:val="0"/>
          <w:color w:val="000000"/>
          <w:kern w:val="0"/>
          <w:sz w:val="32"/>
          <w:szCs w:val="32"/>
          <w:highlight w:val="none"/>
          <w:shd w:val="clear" w:color="auto" w:fill="FFFFFF"/>
          <w:lang w:val="en-US" w:eastAsia="zh-CN"/>
        </w:rPr>
      </w:pPr>
      <w:r>
        <w:rPr>
          <w:rFonts w:hint="eastAsia" w:ascii="仿宋_GB2312" w:hAnsi="宋体" w:eastAsia="仿宋_GB2312" w:cs="宋体"/>
          <w:b w:val="0"/>
          <w:bCs w:val="0"/>
          <w:color w:val="000000"/>
          <w:kern w:val="0"/>
          <w:sz w:val="32"/>
          <w:szCs w:val="32"/>
          <w:highlight w:val="none"/>
          <w:shd w:val="clear" w:color="auto" w:fill="FFFFFF"/>
          <w:lang w:val="en-US" w:eastAsia="zh-CN"/>
        </w:rPr>
        <w:t>1.人员类项目绩效分析</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firstLine="641"/>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bidi="ar-SA"/>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bidi="ar-SA"/>
        </w:rPr>
        <w:t>人员类项目主要用于人员工资、保险、住房公积金等人员支出。我局严格按人员经费标准足额保障相关支出，实现保工资目标，各项经费严格按市财政要求按月及时支付，执行</w:t>
      </w:r>
      <w:r>
        <w:rPr>
          <w:rFonts w:hint="eastAsia" w:ascii="仿宋_GB2312" w:hAnsi="仿宋_GB2312" w:cs="仿宋_GB2312"/>
          <w:b w:val="0"/>
          <w:bCs w:val="0"/>
          <w:color w:val="000000"/>
          <w:kern w:val="0"/>
          <w:sz w:val="32"/>
          <w:szCs w:val="32"/>
          <w:highlight w:val="none"/>
          <w:shd w:val="clear" w:color="auto" w:fill="FFFFFF"/>
          <w:lang w:val="en-US" w:eastAsia="zh-CN" w:bidi="ar-SA"/>
        </w:rPr>
        <w:t>率98.45</w:t>
      </w:r>
      <w:r>
        <w:rPr>
          <w:rFonts w:hint="eastAsia" w:ascii="仿宋_GB2312" w:hAnsi="仿宋_GB2312" w:eastAsia="仿宋_GB2312" w:cs="仿宋_GB2312"/>
          <w:b w:val="0"/>
          <w:bCs w:val="0"/>
          <w:color w:val="000000"/>
          <w:kern w:val="0"/>
          <w:sz w:val="32"/>
          <w:szCs w:val="32"/>
          <w:highlight w:val="none"/>
          <w:shd w:val="clear" w:color="auto" w:fill="FFFFFF"/>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outlineLvl w:val="3"/>
        <w:rPr>
          <w:rFonts w:hint="eastAsia" w:ascii="仿宋_GB2312" w:hAnsi="宋体" w:eastAsia="仿宋_GB2312" w:cs="宋体"/>
          <w:b w:val="0"/>
          <w:bCs w:val="0"/>
          <w:color w:val="000000"/>
          <w:kern w:val="0"/>
          <w:sz w:val="32"/>
          <w:szCs w:val="32"/>
          <w:highlight w:val="none"/>
          <w:shd w:val="clear" w:color="auto" w:fill="FFFFFF"/>
          <w:lang w:val="en-US" w:eastAsia="zh-CN"/>
        </w:rPr>
      </w:pPr>
      <w:r>
        <w:rPr>
          <w:rFonts w:hint="eastAsia" w:ascii="仿宋_GB2312" w:hAnsi="宋体" w:eastAsia="仿宋_GB2312" w:cs="宋体"/>
          <w:b w:val="0"/>
          <w:bCs w:val="0"/>
          <w:color w:val="000000"/>
          <w:kern w:val="0"/>
          <w:sz w:val="32"/>
          <w:szCs w:val="32"/>
          <w:highlight w:val="none"/>
          <w:shd w:val="clear" w:color="auto" w:fill="FFFFFF"/>
          <w:lang w:val="en-US" w:eastAsia="zh-CN"/>
        </w:rPr>
        <w:t>2.运转类项目绩效分析</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bidi="ar-SA"/>
        </w:rPr>
      </w:pPr>
      <w:r>
        <w:rPr>
          <w:rFonts w:hint="eastAsia" w:ascii="仿宋_GB2312" w:hAnsi="宋体" w:eastAsia="仿宋_GB2312" w:cs="宋体"/>
          <w:b w:val="0"/>
          <w:bCs w:val="0"/>
          <w:color w:val="000000"/>
          <w:kern w:val="0"/>
          <w:sz w:val="32"/>
          <w:szCs w:val="32"/>
          <w:highlight w:val="none"/>
          <w:shd w:val="clear" w:color="auto" w:fill="FFFFFF"/>
          <w:lang w:val="en-US" w:eastAsia="zh-CN"/>
        </w:rPr>
        <w:t>运转类项目主要用于保障机关正常运转所发生的公用经费支出，我局2022年运转类项目执行率95.04%</w:t>
      </w:r>
      <w:r>
        <w:rPr>
          <w:rFonts w:hint="eastAsia" w:ascii="仿宋_GB2312" w:hAnsi="仿宋_GB2312" w:eastAsia="仿宋_GB2312" w:cs="仿宋_GB2312"/>
          <w:b w:val="0"/>
          <w:bCs w:val="0"/>
          <w:color w:val="000000"/>
          <w:kern w:val="0"/>
          <w:sz w:val="32"/>
          <w:szCs w:val="32"/>
          <w:highlight w:val="none"/>
          <w:shd w:val="clear" w:color="auto" w:fill="FFFFFF"/>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outlineLvl w:val="3"/>
        <w:rPr>
          <w:rFonts w:hint="default" w:ascii="仿宋_GB2312" w:hAnsi="宋体" w:eastAsia="仿宋_GB2312" w:cs="宋体"/>
          <w:b w:val="0"/>
          <w:bCs w:val="0"/>
          <w:color w:val="000000"/>
          <w:kern w:val="0"/>
          <w:sz w:val="32"/>
          <w:szCs w:val="32"/>
          <w:highlight w:val="none"/>
          <w:shd w:val="clear" w:color="auto" w:fill="FFFFFF"/>
          <w:lang w:val="en-US" w:eastAsia="zh-CN"/>
        </w:rPr>
      </w:pPr>
      <w:r>
        <w:rPr>
          <w:rFonts w:hint="eastAsia" w:ascii="仿宋_GB2312" w:hAnsi="宋体" w:eastAsia="仿宋_GB2312" w:cs="宋体"/>
          <w:b w:val="0"/>
          <w:bCs w:val="0"/>
          <w:color w:val="000000"/>
          <w:kern w:val="0"/>
          <w:sz w:val="32"/>
          <w:szCs w:val="32"/>
          <w:highlight w:val="none"/>
          <w:shd w:val="clear" w:color="auto" w:fill="FFFFFF"/>
          <w:lang w:val="en-US" w:eastAsia="zh-CN"/>
        </w:rPr>
        <w:t>3.特定目标类项目绩效分析</w:t>
      </w:r>
    </w:p>
    <w:p>
      <w:pPr>
        <w:keepNext w:val="0"/>
        <w:keepLines w:val="0"/>
        <w:pageBreakBefore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ascii="仿宋_GB2312" w:hAnsi="宋体" w:eastAsia="仿宋_GB2312" w:cs="宋体"/>
          <w:color w:val="000000"/>
          <w:kern w:val="0"/>
          <w:sz w:val="32"/>
          <w:szCs w:val="32"/>
          <w:shd w:val="clear" w:color="auto" w:fill="FFFFFF"/>
        </w:rPr>
      </w:pPr>
      <w:r>
        <w:rPr>
          <w:rFonts w:hint="eastAsia" w:ascii="仿宋_GB2312" w:hAnsi="仿宋_GB2312" w:eastAsia="仿宋_GB2312" w:cs="仿宋_GB2312"/>
          <w:bCs/>
          <w:color w:val="000000"/>
          <w:sz w:val="32"/>
          <w:szCs w:val="32"/>
        </w:rPr>
        <w:t>按照预算绩效管理要求，</w:t>
      </w:r>
      <w:r>
        <w:rPr>
          <w:rFonts w:hint="eastAsia" w:ascii="仿宋_GB2312" w:hAnsi="仿宋_GB2312" w:eastAsia="仿宋_GB2312" w:cs="仿宋_GB2312"/>
          <w:bCs/>
          <w:color w:val="000000"/>
          <w:sz w:val="32"/>
          <w:szCs w:val="32"/>
          <w:lang w:val="en-US" w:eastAsia="zh-CN"/>
        </w:rPr>
        <w:t>本部门</w:t>
      </w:r>
      <w:r>
        <w:rPr>
          <w:rFonts w:hint="eastAsia" w:ascii="仿宋_GB2312" w:hAnsi="宋体" w:eastAsia="仿宋_GB2312" w:cs="宋体"/>
          <w:b w:val="0"/>
          <w:bCs w:val="0"/>
          <w:color w:val="000000"/>
          <w:kern w:val="0"/>
          <w:sz w:val="32"/>
          <w:szCs w:val="32"/>
          <w:highlight w:val="none"/>
          <w:shd w:val="clear" w:color="auto" w:fill="FFFFFF"/>
          <w:lang w:val="en-US" w:eastAsia="zh-CN"/>
        </w:rPr>
        <w:t>（含二级预算单位）</w:t>
      </w:r>
      <w:r>
        <w:rPr>
          <w:rFonts w:hint="eastAsia" w:ascii="仿宋_GB2312" w:hAnsi="仿宋_GB2312" w:eastAsia="仿宋_GB2312" w:cs="仿宋_GB2312"/>
          <w:bCs/>
          <w:color w:val="000000"/>
          <w:sz w:val="32"/>
          <w:szCs w:val="32"/>
        </w:rPr>
        <w:t>对</w:t>
      </w:r>
      <w:r>
        <w:rPr>
          <w:rFonts w:ascii="仿宋_GB2312" w:hAnsi="仿宋_GB2312" w:eastAsia="仿宋_GB2312" w:cs="仿宋_GB2312"/>
          <w:bCs/>
          <w:color w:val="000000"/>
          <w:sz w:val="32"/>
          <w:szCs w:val="32"/>
        </w:rPr>
        <w:t>202</w:t>
      </w:r>
      <w:r>
        <w:rPr>
          <w:rFonts w:hint="eastAsia" w:ascii="仿宋_GB2312" w:hAnsi="仿宋_GB2312" w:eastAsia="仿宋_GB2312" w:cs="仿宋_GB2312"/>
          <w:bCs/>
          <w:color w:val="000000"/>
          <w:sz w:val="32"/>
          <w:szCs w:val="32"/>
        </w:rPr>
        <w:t>2年</w:t>
      </w:r>
      <w:r>
        <w:rPr>
          <w:rFonts w:hint="eastAsia" w:ascii="仿宋_GB2312" w:hAnsi="仿宋_GB2312" w:eastAsia="仿宋_GB2312" w:cs="仿宋_GB2312"/>
          <w:bCs/>
          <w:color w:val="000000"/>
          <w:sz w:val="32"/>
          <w:szCs w:val="32"/>
          <w:lang w:val="en-US" w:eastAsia="zh-CN"/>
        </w:rPr>
        <w:t>所有</w:t>
      </w:r>
      <w:r>
        <w:rPr>
          <w:rFonts w:hint="eastAsia" w:ascii="仿宋_GB2312" w:hAnsi="宋体" w:eastAsia="仿宋_GB2312" w:cs="宋体"/>
          <w:b w:val="0"/>
          <w:bCs w:val="0"/>
          <w:color w:val="000000"/>
          <w:kern w:val="0"/>
          <w:sz w:val="32"/>
          <w:szCs w:val="32"/>
          <w:highlight w:val="none"/>
          <w:shd w:val="clear" w:color="auto" w:fill="FFFFFF"/>
          <w:lang w:val="en-US" w:eastAsia="zh-CN"/>
        </w:rPr>
        <w:t>特定目标类项目</w:t>
      </w:r>
      <w:r>
        <w:rPr>
          <w:rFonts w:hint="eastAsia" w:ascii="仿宋_GB2312" w:hAnsi="仿宋_GB2312" w:eastAsia="仿宋_GB2312" w:cs="仿宋_GB2312"/>
          <w:bCs/>
          <w:color w:val="000000"/>
          <w:sz w:val="32"/>
          <w:szCs w:val="32"/>
        </w:rPr>
        <w:t>开展了绩效目标管理，年中对追加项目进行绩效目标设定</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并对所有项目的绩效目标完成情况进行了监控分析。</w:t>
      </w:r>
      <w:r>
        <w:rPr>
          <w:rFonts w:hint="eastAsia" w:ascii="仿宋_GB2312" w:hAnsi="仿宋_GB2312" w:eastAsia="仿宋_GB2312" w:cs="仿宋_GB2312"/>
          <w:bCs/>
          <w:color w:val="000000"/>
          <w:sz w:val="32"/>
          <w:szCs w:val="32"/>
        </w:rPr>
        <w:t>特定</w:t>
      </w:r>
      <w:r>
        <w:rPr>
          <w:rFonts w:hint="eastAsia" w:ascii="仿宋_GB2312" w:hAnsi="仿宋_GB2312" w:eastAsia="仿宋_GB2312" w:cs="仿宋_GB2312"/>
          <w:bCs/>
          <w:color w:val="000000"/>
          <w:sz w:val="32"/>
          <w:szCs w:val="32"/>
          <w:lang w:val="en-US" w:eastAsia="zh-CN"/>
        </w:rPr>
        <w:t>目标类</w:t>
      </w:r>
      <w:r>
        <w:rPr>
          <w:rFonts w:hint="eastAsia" w:ascii="仿宋_GB2312" w:hAnsi="仿宋_GB2312" w:eastAsia="仿宋_GB2312" w:cs="仿宋_GB2312"/>
          <w:bCs/>
          <w:color w:val="000000"/>
          <w:sz w:val="32"/>
          <w:szCs w:val="32"/>
        </w:rPr>
        <w:t>项目主要</w:t>
      </w:r>
      <w:r>
        <w:rPr>
          <w:rFonts w:hint="eastAsia" w:ascii="仿宋_GB2312" w:hAnsi="仿宋_GB2312" w:eastAsia="仿宋_GB2312" w:cs="仿宋_GB2312"/>
          <w:bCs/>
          <w:color w:val="000000"/>
          <w:sz w:val="32"/>
          <w:szCs w:val="32"/>
          <w:lang w:val="en-US" w:eastAsia="zh-CN"/>
        </w:rPr>
        <w:t>用于保障完成特定目标而开展的业务活动开支</w:t>
      </w:r>
      <w:r>
        <w:rPr>
          <w:rFonts w:hint="eastAsia" w:ascii="仿宋_GB2312" w:hAnsi="仿宋_GB2312" w:eastAsia="仿宋_GB2312" w:cs="仿宋_GB2312"/>
          <w:bCs/>
          <w:color w:val="000000"/>
          <w:sz w:val="32"/>
          <w:szCs w:val="32"/>
        </w:rPr>
        <w:t>，这些项目有效保障了</w:t>
      </w:r>
      <w:r>
        <w:rPr>
          <w:rFonts w:hint="eastAsia" w:ascii="仿宋_GB2312" w:hAnsi="仿宋_GB2312" w:eastAsia="仿宋_GB2312" w:cs="仿宋_GB2312"/>
          <w:bCs/>
          <w:color w:val="000000"/>
          <w:sz w:val="32"/>
          <w:szCs w:val="32"/>
          <w:lang w:val="en-US" w:eastAsia="zh-CN"/>
        </w:rPr>
        <w:t>本部门各项业务工作的正常开展</w:t>
      </w:r>
      <w:r>
        <w:rPr>
          <w:rFonts w:hint="eastAsia" w:ascii="仿宋_GB2312" w:hAnsi="仿宋_GB2312" w:eastAsia="仿宋_GB2312" w:cs="仿宋_GB2312"/>
          <w:bCs/>
          <w:color w:val="000000"/>
          <w:sz w:val="32"/>
          <w:szCs w:val="32"/>
        </w:rPr>
        <w:t>，为部门基本职能的正常履行，提供了坚实的经费保障。</w:t>
      </w:r>
    </w:p>
    <w:p>
      <w:pPr>
        <w:keepNext w:val="0"/>
        <w:keepLines w:val="0"/>
        <w:pageBreakBefore w:val="0"/>
        <w:widowControl w:val="0"/>
        <w:numPr>
          <w:ilvl w:val="0"/>
          <w:numId w:val="9"/>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2"/>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部门整体履职绩效分析。</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2022年，我局深入贯彻党的二十大和习近平总书记来川视察重要指示精神，认真落实</w:t>
      </w:r>
      <w:r>
        <w:rPr>
          <w:rFonts w:hint="eastAsia" w:ascii="仿宋_GB2312" w:hAnsi="Times New Roman" w:eastAsia="仿宋_GB2312" w:cs="Times New Roman"/>
          <w:sz w:val="32"/>
          <w:szCs w:val="32"/>
          <w:lang w:eastAsia="zh-CN"/>
        </w:rPr>
        <w:t>中央和省市</w:t>
      </w:r>
      <w:r>
        <w:rPr>
          <w:rFonts w:hint="eastAsia" w:ascii="仿宋_GB2312" w:hAnsi="Times New Roman" w:eastAsia="仿宋_GB2312" w:cs="Times New Roman"/>
          <w:sz w:val="32"/>
          <w:szCs w:val="32"/>
        </w:rPr>
        <w:t>部署</w:t>
      </w:r>
      <w:r>
        <w:rPr>
          <w:rFonts w:hint="eastAsia" w:ascii="仿宋_GB2312" w:hAnsi="Times New Roman" w:eastAsia="仿宋_GB2312" w:cs="Times New Roman"/>
          <w:sz w:val="32"/>
          <w:szCs w:val="32"/>
          <w:lang w:eastAsia="zh-CN"/>
        </w:rPr>
        <w:t>要求</w:t>
      </w:r>
      <w:r>
        <w:rPr>
          <w:rFonts w:hint="eastAsia" w:ascii="仿宋_GB2312" w:hAnsi="Times New Roman" w:eastAsia="仿宋_GB2312" w:cs="Times New Roman"/>
          <w:sz w:val="32"/>
          <w:szCs w:val="32"/>
        </w:rPr>
        <w:t>，坚持拼字当头、产业为先、</w:t>
      </w:r>
      <w:r>
        <w:rPr>
          <w:rFonts w:hint="eastAsia" w:ascii="仿宋_GB2312" w:hAnsi="Times New Roman" w:eastAsia="仿宋_GB2312" w:cs="Times New Roman"/>
          <w:sz w:val="32"/>
          <w:szCs w:val="32"/>
          <w:lang w:val="en-US" w:eastAsia="zh-CN"/>
        </w:rPr>
        <w:t>环境</w:t>
      </w:r>
      <w:r>
        <w:rPr>
          <w:rFonts w:hint="eastAsia" w:ascii="仿宋_GB2312" w:hAnsi="Times New Roman" w:eastAsia="仿宋_GB2312" w:cs="Times New Roman"/>
          <w:sz w:val="32"/>
          <w:szCs w:val="32"/>
        </w:rPr>
        <w:t>为要，深入</w:t>
      </w:r>
      <w:r>
        <w:rPr>
          <w:rFonts w:hint="eastAsia" w:ascii="仿宋_GB2312" w:hAnsi="Times New Roman" w:eastAsia="仿宋_GB2312" w:cs="Times New Roman"/>
          <w:sz w:val="32"/>
          <w:szCs w:val="32"/>
          <w:lang w:val="en-US" w:eastAsia="zh-CN"/>
        </w:rPr>
        <w:t>实施</w:t>
      </w:r>
      <w:r>
        <w:rPr>
          <w:rFonts w:hint="eastAsia" w:ascii="仿宋_GB2312" w:hAnsi="Times New Roman" w:eastAsia="仿宋_GB2312" w:cs="Times New Roman"/>
          <w:sz w:val="32"/>
          <w:szCs w:val="32"/>
          <w:lang w:eastAsia="zh-CN"/>
        </w:rPr>
        <w:t>全市</w:t>
      </w:r>
      <w:r>
        <w:rPr>
          <w:rFonts w:hint="eastAsia" w:ascii="仿宋_GB2312" w:hAnsi="Times New Roman" w:eastAsia="仿宋_GB2312" w:cs="Times New Roman"/>
          <w:sz w:val="32"/>
          <w:szCs w:val="32"/>
        </w:rPr>
        <w:t>人</w:t>
      </w:r>
      <w:r>
        <w:rPr>
          <w:rFonts w:hint="eastAsia" w:ascii="仿宋_GB2312" w:hAnsi="Times New Roman" w:eastAsia="仿宋_GB2312" w:cs="Times New Roman"/>
          <w:sz w:val="32"/>
          <w:szCs w:val="32"/>
          <w:lang w:val="en-US" w:eastAsia="zh-CN"/>
        </w:rPr>
        <w:t>社</w:t>
      </w:r>
      <w:r>
        <w:rPr>
          <w:rFonts w:hint="eastAsia" w:ascii="仿宋_GB2312" w:hAnsi="Times New Roman" w:eastAsia="仿宋_GB2312" w:cs="Times New Roman"/>
          <w:sz w:val="32"/>
          <w:szCs w:val="32"/>
          <w:lang w:eastAsia="zh-CN"/>
        </w:rPr>
        <w:t>系统</w:t>
      </w:r>
      <w:r>
        <w:rPr>
          <w:rFonts w:hint="eastAsia" w:ascii="仿宋_GB2312" w:hAnsi="Times New Roman" w:eastAsia="仿宋_GB2312" w:cs="Times New Roman"/>
          <w:sz w:val="32"/>
          <w:szCs w:val="32"/>
        </w:rPr>
        <w:t>“六心行动”，高效统筹疫情防控和人社事业发展，各项重点工作扎实推进</w:t>
      </w:r>
      <w:r>
        <w:rPr>
          <w:rFonts w:hint="eastAsia" w:ascii="仿宋_GB2312" w:hAnsi="Times New Roman" w:eastAsia="仿宋_GB2312" w:cs="Times New Roman"/>
          <w:sz w:val="32"/>
          <w:szCs w:val="32"/>
          <w:lang w:eastAsia="zh-CN"/>
        </w:rPr>
        <w:t>，成效明显，根治欠薪、</w:t>
      </w:r>
      <w:r>
        <w:rPr>
          <w:rFonts w:hint="eastAsia" w:ascii="仿宋_GB2312" w:hAnsi="Times New Roman" w:eastAsia="仿宋_GB2312" w:cs="Times New Roman"/>
          <w:sz w:val="32"/>
          <w:szCs w:val="32"/>
        </w:rPr>
        <w:t>就业创业、乡村振兴人社帮扶等工作在全省交流</w:t>
      </w:r>
      <w:r>
        <w:rPr>
          <w:rFonts w:hint="eastAsia" w:ascii="仿宋_GB2312" w:hAnsi="Times New Roman" w:eastAsia="仿宋_GB2312" w:cs="Times New Roman"/>
          <w:sz w:val="32"/>
          <w:szCs w:val="32"/>
          <w:lang w:val="en-US" w:eastAsia="zh-CN"/>
        </w:rPr>
        <w:t>6</w:t>
      </w:r>
      <w:r>
        <w:rPr>
          <w:rFonts w:hint="eastAsia" w:ascii="仿宋_GB2312" w:hAnsi="Times New Roman" w:eastAsia="仿宋_GB2312" w:cs="Times New Roman"/>
          <w:sz w:val="32"/>
          <w:szCs w:val="32"/>
        </w:rPr>
        <w:t>次。三级劳务平台建设、“帮帮摊”促就业等工作经验被</w:t>
      </w:r>
      <w:r>
        <w:rPr>
          <w:rFonts w:hint="eastAsia" w:ascii="仿宋_GB2312" w:hAnsi="Times New Roman" w:eastAsia="仿宋_GB2312" w:cs="Times New Roman"/>
          <w:sz w:val="32"/>
          <w:szCs w:val="32"/>
          <w:lang w:eastAsia="zh-CN"/>
        </w:rPr>
        <w:t>人力资源社会保障部就业工作快报、</w:t>
      </w:r>
      <w:r>
        <w:rPr>
          <w:rFonts w:hint="eastAsia" w:ascii="仿宋_GB2312" w:hAnsi="Times New Roman" w:eastAsia="仿宋_GB2312" w:cs="Times New Roman"/>
          <w:sz w:val="32"/>
          <w:szCs w:val="32"/>
        </w:rPr>
        <w:t>央视等权威媒体报道</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农民工工作连续第4年受到省委、省政府通报表扬</w:t>
      </w:r>
      <w:r>
        <w:rPr>
          <w:rFonts w:hint="eastAsia" w:ascii="仿宋_GB2312" w:hAnsi="Times New Roman" w:eastAsia="仿宋_GB2312" w:cs="Times New Roman"/>
          <w:sz w:val="32"/>
          <w:szCs w:val="32"/>
          <w:lang w:eastAsia="zh-CN"/>
        </w:rPr>
        <w:t>，2021年度保障农民工工资支付工作考核排名全省第一名。</w:t>
      </w:r>
      <w:r>
        <w:rPr>
          <w:rFonts w:hint="eastAsia" w:ascii="仿宋_GB2312" w:hAnsi="Times New Roman" w:eastAsia="仿宋_GB2312" w:cs="Times New Roman"/>
          <w:sz w:val="32"/>
          <w:szCs w:val="32"/>
          <w:lang w:val="en-US" w:eastAsia="zh-CN"/>
        </w:rPr>
        <w:t>2022年各项职能绩效目标高质量完成：</w:t>
      </w:r>
    </w:p>
    <w:p>
      <w:pPr>
        <w:keepNext w:val="0"/>
        <w:keepLines w:val="0"/>
        <w:pageBreakBefore w:val="0"/>
        <w:kinsoku/>
        <w:wordWrap/>
        <w:overflowPunct/>
        <w:topLinePunct w:val="0"/>
        <w:autoSpaceDE/>
        <w:autoSpaceDN/>
        <w:bidi w:val="0"/>
        <w:spacing w:line="576" w:lineRule="exact"/>
        <w:ind w:firstLine="643"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b/>
          <w:bCs/>
          <w:sz w:val="32"/>
          <w:szCs w:val="32"/>
          <w:lang w:val="en-US" w:eastAsia="zh-CN"/>
        </w:rPr>
        <w:t>1.</w:t>
      </w:r>
      <w:r>
        <w:rPr>
          <w:rFonts w:hint="eastAsia" w:ascii="仿宋_GB2312" w:hAnsi="Times New Roman" w:eastAsia="仿宋_GB2312" w:cs="Times New Roman"/>
          <w:sz w:val="32"/>
          <w:szCs w:val="32"/>
        </w:rPr>
        <w:t>深入实施就业优先战略，全面落实“两稳一保”决策部署，积极落实《广元市促进就业十条措施》，出台失业保险稳岗位提技能防失业9条等减负稳岗扩就业系列政策措施，印发《广元市2022年促进高校毕业生就业创业工作方案》，探索推广“分工厂”“共享员工”“帮帮摊”等就地就近就业新模式。全市城镇新增就业3.85万人，完成目标任务115%。</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2022年我市城镇登记失业率为3.35%，低于控制目标0.65个百分点。</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我市2022年度城镇居民人均可支配收入增速4.3%，与省平均水平持平，完成省下目标任务</w:t>
      </w:r>
      <w:r>
        <w:rPr>
          <w:rFonts w:hint="eastAsia" w:ascii="仿宋_GB2312" w:hAnsi="Times New Roman" w:eastAsia="仿宋_GB2312" w:cs="Times New Roman"/>
          <w:sz w:val="32"/>
          <w:szCs w:val="32"/>
          <w:lang w:eastAsia="zh-CN"/>
        </w:rPr>
        <w:t>。</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rPr>
        <w:t>2022年水利、环境和公共设施管理业工资总额增速11.7%；公共管理、社会保障和社会组织工资总额增速18.9%，超目标任务0.4个百分点</w:t>
      </w:r>
      <w:r>
        <w:rPr>
          <w:rFonts w:hint="eastAsia"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after="120" w:line="576" w:lineRule="exact"/>
        <w:ind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5.全面完成农民工服务保障（含工资支付）省下目标任务，农民工服务保障“十件事实”扎实推进，农民工转移就业形势保持稳定，就近就业渠道更加畅通，劳务收入持续增长。根治欠薪源头治理、综合治理扎实有力，颁发全国首张劳资专管员职业资格证书等创新做法获得广泛好评。全省农民工服务保障工作专报3次刊发我市农民工和就业工作经验做法，《四川改革动态》2022年第73期刊载我市农民工工作经验做法。</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6.</w:t>
      </w:r>
      <w:r>
        <w:rPr>
          <w:rFonts w:hint="eastAsia" w:ascii="仿宋_GB2312" w:hAnsi="Times New Roman" w:eastAsia="仿宋_GB2312" w:cs="Times New Roman"/>
          <w:spacing w:val="-6"/>
          <w:sz w:val="32"/>
          <w:szCs w:val="32"/>
        </w:rPr>
        <w:t>全市农村劳动力转移就业96.53万人，完成目标</w:t>
      </w:r>
      <w:r>
        <w:rPr>
          <w:rFonts w:hint="eastAsia" w:ascii="仿宋_GB2312" w:hAnsi="Times New Roman" w:eastAsia="仿宋_GB2312" w:cs="Times New Roman"/>
          <w:spacing w:val="-6"/>
          <w:sz w:val="32"/>
          <w:szCs w:val="32"/>
          <w:lang w:val="en-US" w:eastAsia="zh-CN"/>
        </w:rPr>
        <w:t>的</w:t>
      </w:r>
      <w:r>
        <w:rPr>
          <w:rFonts w:hint="eastAsia" w:ascii="仿宋_GB2312" w:hAnsi="Times New Roman" w:eastAsia="仿宋_GB2312" w:cs="Times New Roman"/>
          <w:sz w:val="32"/>
          <w:szCs w:val="32"/>
        </w:rPr>
        <w:t>101.61%，实现劳务收入308.4亿元，完成目标的106.34%，农村劳动力转移就业形势总体稳定，劳务收入持续增长。</w:t>
      </w:r>
    </w:p>
    <w:p>
      <w:pPr>
        <w:keepNext w:val="0"/>
        <w:keepLines w:val="0"/>
        <w:pageBreakBefore w:val="0"/>
        <w:widowControl w:val="0"/>
        <w:kinsoku/>
        <w:wordWrap/>
        <w:overflowPunct/>
        <w:topLinePunct w:val="0"/>
        <w:autoSpaceDE/>
        <w:autoSpaceDN/>
        <w:bidi w:val="0"/>
        <w:spacing w:after="120" w:line="576" w:lineRule="exact"/>
        <w:ind w:left="0" w:leftChars="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7.持续实施“返乡创业、回家发展”计划，全面落实返乡下乡创业22条措施，发放创业担保贷款4.38亿元，放贷量居全省第3位。全年回引返乡创业3765人，完成目标的125.5%。</w:t>
      </w:r>
    </w:p>
    <w:p>
      <w:pPr>
        <w:keepNext w:val="0"/>
        <w:keepLines w:val="0"/>
        <w:pageBreakBefore w:val="0"/>
        <w:widowControl w:val="0"/>
        <w:kinsoku/>
        <w:wordWrap/>
        <w:overflowPunct/>
        <w:topLinePunct w:val="0"/>
        <w:autoSpaceDE/>
        <w:autoSpaceDN/>
        <w:bidi w:val="0"/>
        <w:spacing w:after="120" w:line="576" w:lineRule="exact"/>
        <w:ind w:left="0" w:leftChars="0" w:firstLine="640" w:firstLineChars="200"/>
        <w:jc w:val="both"/>
        <w:textAlignment w:val="auto"/>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8.按季度召开4次返乡创业企业困难问题会商会，共研究解决36家企业44个困难问题。</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Times New Roman" w:eastAsia="仿宋_GB2312" w:cs="Times New Roman"/>
          <w:sz w:val="32"/>
          <w:szCs w:val="32"/>
        </w:rPr>
      </w:pPr>
      <w:r>
        <w:rPr>
          <w:rFonts w:hint="eastAsia" w:ascii="楷体_GB2312" w:hAnsi="楷体_GB2312" w:eastAsia="楷体_GB2312" w:cs="楷体_GB2312"/>
          <w:b w:val="0"/>
          <w:bCs w:val="0"/>
          <w:color w:val="000000"/>
          <w:kern w:val="0"/>
          <w:sz w:val="32"/>
          <w:szCs w:val="32"/>
          <w:highlight w:val="none"/>
          <w:shd w:val="clear" w:color="auto" w:fill="FFFFFF"/>
          <w:lang w:val="en-US" w:eastAsia="zh-CN"/>
        </w:rPr>
        <w:t>9.</w:t>
      </w:r>
      <w:r>
        <w:rPr>
          <w:rFonts w:hint="eastAsia" w:ascii="仿宋_GB2312" w:hAnsi="Times New Roman" w:eastAsia="仿宋_GB2312" w:cs="Times New Roman"/>
          <w:sz w:val="32"/>
          <w:szCs w:val="32"/>
        </w:rPr>
        <w:t>全市累计开展各类补贴性职业技能培训35749人次，完成目标任务的111.72%，拨付补贴资金3529.63万元。</w:t>
      </w:r>
    </w:p>
    <w:p>
      <w:pPr>
        <w:keepNext w:val="0"/>
        <w:keepLines w:val="0"/>
        <w:pageBreakBefore w:val="0"/>
        <w:widowControl w:val="0"/>
        <w:kinsoku/>
        <w:wordWrap/>
        <w:overflowPunct/>
        <w:topLinePunct w:val="0"/>
        <w:autoSpaceDE/>
        <w:autoSpaceDN/>
        <w:bidi w:val="0"/>
        <w:spacing w:after="120" w:line="576" w:lineRule="exact"/>
        <w:ind w:left="0" w:leftChars="0" w:firstLine="640" w:firstLineChars="200"/>
        <w:jc w:val="both"/>
        <w:textAlignment w:val="auto"/>
        <w:rPr>
          <w:rFonts w:hint="eastAsia" w:ascii="楷体_GB2312" w:hAnsi="楷体_GB2312" w:eastAsia="仿宋_GB2312" w:cs="楷体_GB2312"/>
          <w:b w:val="0"/>
          <w:bCs w:val="0"/>
          <w:color w:val="000000"/>
          <w:kern w:val="0"/>
          <w:sz w:val="32"/>
          <w:szCs w:val="32"/>
          <w:highlight w:val="none"/>
          <w:shd w:val="clear" w:color="auto" w:fill="FFFFFF"/>
          <w:lang w:val="en-US" w:eastAsia="zh-CN" w:bidi="ar-SA"/>
        </w:rPr>
      </w:pPr>
      <w:r>
        <w:rPr>
          <w:rFonts w:hint="eastAsia" w:ascii="楷体_GB2312" w:hAnsi="楷体_GB2312" w:eastAsia="楷体_GB2312" w:cs="楷体_GB2312"/>
          <w:b w:val="0"/>
          <w:bCs w:val="0"/>
          <w:color w:val="000000"/>
          <w:kern w:val="0"/>
          <w:sz w:val="32"/>
          <w:szCs w:val="32"/>
          <w:highlight w:val="none"/>
          <w:shd w:val="clear" w:color="auto" w:fill="FFFFFF"/>
          <w:lang w:val="en-US" w:eastAsia="zh-CN" w:bidi="ar-SA"/>
        </w:rPr>
        <w:t>10.</w:t>
      </w:r>
      <w:r>
        <w:rPr>
          <w:rFonts w:hint="eastAsia" w:ascii="仿宋_GB2312" w:hAnsi="Times New Roman" w:eastAsia="仿宋_GB2312" w:cs="Times New Roman"/>
          <w:kern w:val="2"/>
          <w:sz w:val="32"/>
          <w:szCs w:val="32"/>
          <w:lang w:val="en-US" w:eastAsia="zh-CN" w:bidi="ar-SA"/>
        </w:rPr>
        <w:t>创新构建“国有人力资源公司+乡镇劳务专业合作社+村（社区）劳务专业合作分社”三级劳务服务平台，出台《广元市劳务专业合作社运行管理实施意见》，制定完善国有人力资源公司系列管理制度，不断规范运行管理。全市建立国有人力资源公司9个，乡镇劳务专合社142个，村级1715个，联合社35个。劳务专合社累计吸纳入社27.2万人，实现劳务收入1.68亿元。三级劳务服务平台经验做法被《央视2台正点财经》专题报道，《广元市全域创建劳务专业合作社、“点亮”群众就业增收路》做法，被人力资源和社会保障部《就业工作快报》2022第（8）期刊载推广。</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Times New Roman" w:eastAsia="仿宋_GB2312" w:cs="Times New Roman"/>
          <w:sz w:val="32"/>
          <w:szCs w:val="32"/>
        </w:rPr>
      </w:pPr>
      <w:r>
        <w:rPr>
          <w:rFonts w:hint="eastAsia" w:ascii="楷体_GB2312" w:hAnsi="楷体_GB2312" w:eastAsia="楷体_GB2312" w:cs="楷体_GB2312"/>
          <w:b w:val="0"/>
          <w:bCs w:val="0"/>
          <w:color w:val="000000"/>
          <w:kern w:val="0"/>
          <w:sz w:val="32"/>
          <w:szCs w:val="32"/>
          <w:highlight w:val="none"/>
          <w:shd w:val="clear" w:color="auto" w:fill="FFFFFF"/>
          <w:lang w:val="en-US" w:eastAsia="zh-CN"/>
        </w:rPr>
        <w:t>11.</w:t>
      </w:r>
      <w:r>
        <w:rPr>
          <w:rFonts w:hint="eastAsia" w:ascii="仿宋_GB2312" w:hAnsi="Times New Roman" w:eastAsia="仿宋_GB2312" w:cs="Times New Roman"/>
          <w:sz w:val="32"/>
          <w:szCs w:val="32"/>
        </w:rPr>
        <w:t>完成省级人力资源服务产业园各项创建工作。截至2022年末，产业园入驻企业全年营业收入达4.9亿元，提供就业岗位3万余个，带动就业2.2万人，产业园集聚人力资源、促进就业创业作用日益凸显。</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Times New Roman" w:eastAsia="仿宋_GB2312" w:cs="Times New Roman"/>
          <w:sz w:val="32"/>
          <w:szCs w:val="32"/>
        </w:rPr>
      </w:pPr>
      <w:r>
        <w:rPr>
          <w:rFonts w:hint="eastAsia" w:ascii="Times New Roman" w:hAnsi="Times New Roman" w:eastAsia="仿宋_GB2312" w:cs="Times New Roman"/>
          <w:sz w:val="32"/>
          <w:szCs w:val="32"/>
          <w:lang w:val="en-US" w:eastAsia="zh-CN"/>
        </w:rPr>
        <w:t>12.</w:t>
      </w:r>
      <w:r>
        <w:rPr>
          <w:rFonts w:hint="eastAsia" w:ascii="仿宋_GB2312" w:hAnsi="Times New Roman" w:eastAsia="仿宋_GB2312" w:cs="Times New Roman"/>
          <w:sz w:val="32"/>
          <w:szCs w:val="32"/>
        </w:rPr>
        <w:t>不断完善“1+N”企业用工精准监测机制，建成零工市场10个，“一企一策”输送对接用工5237人。举办各类专题直播带岗9期，累计收看21.6万人次，中国劳动保障报先后3次进行宣传报道。实施岗位对接加密行动，开展“春风行动”“民营企业招聘月”等线上线下招聘活动268场，为3200余家市内外用人单位发布岗位信息22.38万条，全市人力资源市场供求总体稳定。</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Times New Roman" w:eastAsia="仿宋_GB2312" w:cs="Times New Roman"/>
          <w:sz w:val="32"/>
          <w:szCs w:val="32"/>
        </w:rPr>
      </w:pPr>
      <w:r>
        <w:rPr>
          <w:rFonts w:hint="eastAsia" w:ascii="Times New Roman" w:hAnsi="Times New Roman" w:eastAsia="仿宋_GB2312" w:cs="Times New Roman"/>
          <w:sz w:val="32"/>
          <w:szCs w:val="32"/>
          <w:lang w:val="en-US" w:eastAsia="zh-CN"/>
        </w:rPr>
        <w:t>13.</w:t>
      </w:r>
      <w:r>
        <w:rPr>
          <w:rFonts w:hint="eastAsia" w:ascii="仿宋_GB2312" w:hAnsi="Times New Roman" w:eastAsia="仿宋_GB2312" w:cs="Times New Roman"/>
          <w:sz w:val="32"/>
          <w:szCs w:val="32"/>
        </w:rPr>
        <w:t>联系各县（区）支持动员辖区内人力资源服务业企业升规入统3户。</w:t>
      </w:r>
    </w:p>
    <w:p>
      <w:pPr>
        <w:keepNext w:val="0"/>
        <w:keepLines w:val="0"/>
        <w:pageBreakBefore w:val="0"/>
        <w:widowControl w:val="0"/>
        <w:kinsoku/>
        <w:wordWrap/>
        <w:overflowPunct/>
        <w:topLinePunct w:val="0"/>
        <w:autoSpaceDE/>
        <w:autoSpaceDN/>
        <w:bidi w:val="0"/>
        <w:spacing w:after="120" w:line="576" w:lineRule="exact"/>
        <w:ind w:left="0" w:leftChars="0" w:firstLine="640" w:firstLineChars="200"/>
        <w:jc w:val="both"/>
        <w:textAlignment w:val="auto"/>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14.积极实施全民参保计划，将“快递小哥”等群体纳入工伤保险，17家快递企业577名快递员全部参加工伤保险，参保率达100%。全市养老、工伤、失业保险参保分别达188.73万、23.57万、17.67万人，各项社保待遇按时足额发放。积极推进企业职工基本养老保险全国统筹任务完成，企业职工基本养老保险在职参保33.5万人，完成目标任务的105.22%；全市企业职工基本养老保险费实现预算收入300526万元，完成预算收入目标269290万元的111.60%。</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Times New Roman" w:eastAsia="仿宋_GB2312" w:cs="Times New Roman"/>
          <w:sz w:val="32"/>
          <w:szCs w:val="32"/>
        </w:rPr>
      </w:pPr>
      <w:r>
        <w:rPr>
          <w:rFonts w:hint="eastAsia" w:ascii="Times New Roman" w:hAnsi="Times New Roman" w:eastAsia="仿宋_GB2312" w:cs="Times New Roman"/>
          <w:sz w:val="32"/>
          <w:lang w:val="en-US" w:eastAsia="zh-CN"/>
        </w:rPr>
        <w:t>15.</w:t>
      </w:r>
      <w:r>
        <w:rPr>
          <w:rFonts w:hint="eastAsia" w:ascii="仿宋_GB2312" w:hAnsi="Times New Roman" w:eastAsia="仿宋_GB2312" w:cs="Times New Roman"/>
          <w:sz w:val="32"/>
          <w:szCs w:val="32"/>
        </w:rPr>
        <w:t>扎实做好第十四批人才招引相关工作，赴成都高校开展“广纳英才•元来有你”推介宣讲活动，引进第十四批高层次人才11</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名，同比增加15%。启动广元市第十五批高层次人才引进相关工作。顺利举办留学回国人员国情省情研修智力服务活动，柔性引进“周末工程师”32名。支持零八一电子集团有限公司博士后创新实践基地进站博士后1名，这是近年来我市博士后科研工作站引进的首名博士后。</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楷体_GB2312" w:hAnsi="楷体_GB2312" w:eastAsia="楷体_GB2312" w:cs="楷体_GB2312"/>
          <w:b w:val="0"/>
          <w:bCs w:val="0"/>
          <w:color w:val="000000"/>
          <w:kern w:val="0"/>
          <w:sz w:val="32"/>
          <w:szCs w:val="32"/>
          <w:highlight w:val="none"/>
          <w:shd w:val="clear" w:color="auto" w:fill="FFFFFF"/>
          <w:lang w:val="en-US" w:eastAsia="zh-CN"/>
        </w:rPr>
      </w:pPr>
      <w:r>
        <w:rPr>
          <w:rFonts w:hint="eastAsia" w:ascii="Times New Roman" w:hAnsi="Times New Roman" w:eastAsia="仿宋_GB2312" w:cs="Times New Roman"/>
          <w:sz w:val="32"/>
          <w:lang w:val="en-US" w:eastAsia="zh-CN"/>
        </w:rPr>
        <w:t>16.向上</w:t>
      </w:r>
      <w:r>
        <w:rPr>
          <w:rFonts w:hint="eastAsia" w:ascii="仿宋_GB2312" w:hAnsi="Times New Roman" w:eastAsia="仿宋_GB2312" w:cs="Times New Roman"/>
          <w:sz w:val="32"/>
          <w:szCs w:val="32"/>
        </w:rPr>
        <w:t>争取到位资金8426.6万，完成目标任务的100.9%。积极开展向上对接工作，局主要领导到京对接工作2次，完成目标任务100%，到省对接工作15次，完成目标任务125%。</w:t>
      </w:r>
    </w:p>
    <w:p>
      <w:pPr>
        <w:keepNext w:val="0"/>
        <w:keepLines w:val="0"/>
        <w:pageBreakBefore w:val="0"/>
        <w:widowControl w:val="0"/>
        <w:kinsoku/>
        <w:wordWrap/>
        <w:overflowPunct/>
        <w:topLinePunct w:val="0"/>
        <w:autoSpaceDE/>
        <w:autoSpaceDN/>
        <w:bidi w:val="0"/>
        <w:spacing w:after="120" w:line="576" w:lineRule="exact"/>
        <w:ind w:left="0" w:leftChars="0" w:firstLine="640" w:firstLineChars="200"/>
        <w:jc w:val="both"/>
        <w:textAlignment w:val="auto"/>
        <w:outlineLvl w:val="2"/>
        <w:rPr>
          <w:rFonts w:hint="eastAsia" w:ascii="仿宋_GB2312" w:hAnsi="宋体" w:eastAsia="仿宋_GB2312" w:cs="宋体"/>
          <w:b w:val="0"/>
          <w:bCs w:val="0"/>
          <w:color w:val="FF0000"/>
          <w:kern w:val="0"/>
          <w:sz w:val="32"/>
          <w:szCs w:val="32"/>
          <w:highlight w:val="none"/>
          <w:shd w:val="clear" w:color="auto" w:fill="FFFFFF"/>
          <w:lang w:val="zh-CN" w:eastAsia="zh-CN" w:bidi="ar-SA"/>
        </w:rPr>
      </w:pPr>
      <w:r>
        <w:rPr>
          <w:rFonts w:hint="eastAsia" w:ascii="楷体_GB2312" w:hAnsi="楷体_GB2312" w:eastAsia="楷体_GB2312" w:cs="楷体_GB2312"/>
          <w:b w:val="0"/>
          <w:bCs w:val="0"/>
          <w:color w:val="000000"/>
          <w:kern w:val="0"/>
          <w:sz w:val="32"/>
          <w:szCs w:val="32"/>
          <w:highlight w:val="none"/>
          <w:shd w:val="clear" w:color="auto" w:fill="FFFFFF"/>
          <w:lang w:val="zh-CN" w:eastAsia="zh-CN" w:bidi="ar-SA"/>
        </w:rPr>
        <w:t>（三）结果应用情况。</w:t>
      </w:r>
    </w:p>
    <w:p>
      <w:pPr>
        <w:autoSpaceDE w:val="0"/>
        <w:autoSpaceDN w:val="0"/>
        <w:spacing w:line="576" w:lineRule="exact"/>
        <w:ind w:firstLine="640" w:firstLineChars="200"/>
        <w:rPr>
          <w:rFonts w:hint="eastAsia" w:ascii="Times New Roman" w:hAnsi="Times New Roman" w:eastAsia="仿宋_GB2312" w:cs="Times New Roman"/>
          <w:sz w:val="32"/>
          <w:lang w:val="zh-CN"/>
        </w:rPr>
      </w:pPr>
      <w:r>
        <w:rPr>
          <w:rFonts w:hint="eastAsia" w:ascii="仿宋_GB2312" w:hAnsi="Times New Roman" w:eastAsia="仿宋_GB2312" w:cs="Times New Roman"/>
          <w:sz w:val="32"/>
          <w:szCs w:val="32"/>
          <w:lang w:val="en-US" w:eastAsia="zh-CN"/>
        </w:rPr>
        <w:t>我局</w:t>
      </w:r>
      <w:r>
        <w:rPr>
          <w:rFonts w:hint="eastAsia" w:ascii="仿宋_GB2312" w:hAnsi="Times New Roman" w:eastAsia="仿宋_GB2312" w:cs="Times New Roman"/>
          <w:sz w:val="32"/>
          <w:szCs w:val="32"/>
          <w:lang w:val="zh-CN"/>
        </w:rPr>
        <w:t>将绩效自评</w:t>
      </w:r>
      <w:r>
        <w:rPr>
          <w:rFonts w:hint="eastAsia" w:ascii="仿宋_GB2312" w:hAnsi="Times New Roman" w:eastAsia="仿宋_GB2312" w:cs="Times New Roman"/>
          <w:sz w:val="32"/>
          <w:szCs w:val="32"/>
        </w:rPr>
        <w:t>结果作为次年政策优化、改进管理、预算</w:t>
      </w:r>
      <w:r>
        <w:rPr>
          <w:rFonts w:hint="eastAsia" w:ascii="仿宋_GB2312" w:hAnsi="Times New Roman" w:eastAsia="仿宋_GB2312" w:cs="Times New Roman"/>
          <w:sz w:val="32"/>
          <w:szCs w:val="32"/>
          <w:lang w:val="en-US" w:eastAsia="zh-CN"/>
        </w:rPr>
        <w:t>调剂</w:t>
      </w:r>
      <w:r>
        <w:rPr>
          <w:rFonts w:hint="eastAsia" w:ascii="仿宋_GB2312" w:hAnsi="Times New Roman" w:eastAsia="仿宋_GB2312" w:cs="Times New Roman"/>
          <w:sz w:val="32"/>
          <w:szCs w:val="32"/>
        </w:rPr>
        <w:t>、项目调整等的重要依据，对于低绩效或无绩效的项目，下一年度不再安排预算</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pacing w:val="-6"/>
          <w:sz w:val="32"/>
          <w:szCs w:val="32"/>
        </w:rPr>
        <w:t>按照预算绩效管理要求</w:t>
      </w:r>
      <w:r>
        <w:rPr>
          <w:rFonts w:hint="eastAsia" w:ascii="仿宋_GB2312" w:hAnsi="Times New Roman" w:eastAsia="仿宋_GB2312" w:cs="Times New Roman"/>
          <w:spacing w:val="-6"/>
          <w:sz w:val="32"/>
          <w:szCs w:val="32"/>
          <w:lang w:val="en-US" w:eastAsia="zh-CN"/>
        </w:rPr>
        <w:t>对所有项目全覆盖</w:t>
      </w:r>
      <w:r>
        <w:rPr>
          <w:rFonts w:hint="eastAsia" w:ascii="仿宋_GB2312" w:hAnsi="Times New Roman" w:eastAsia="仿宋_GB2312" w:cs="Times New Roman"/>
          <w:spacing w:val="-6"/>
          <w:sz w:val="32"/>
          <w:szCs w:val="32"/>
        </w:rPr>
        <w:t>开展绩效自评，</w:t>
      </w:r>
      <w:r>
        <w:rPr>
          <w:rFonts w:hint="eastAsia" w:ascii="仿宋_GB2312" w:hAnsi="Times New Roman" w:eastAsia="仿宋_GB2312" w:cs="Times New Roman"/>
          <w:spacing w:val="-6"/>
          <w:sz w:val="32"/>
          <w:szCs w:val="32"/>
          <w:lang w:val="en-US" w:eastAsia="zh-CN"/>
        </w:rPr>
        <w:t>并将</w:t>
      </w:r>
      <w:r>
        <w:rPr>
          <w:rFonts w:hint="eastAsia" w:ascii="仿宋_GB2312" w:hAnsi="Times New Roman" w:eastAsia="仿宋_GB2312" w:cs="Times New Roman"/>
          <w:sz w:val="32"/>
          <w:szCs w:val="32"/>
        </w:rPr>
        <w:t>绩效目标随部门年初预算同步公开，将绩效目标完成情况、部门整体支出绩效评价自评报告等绩效信息随部门年终决算</w:t>
      </w:r>
      <w:r>
        <w:rPr>
          <w:rFonts w:hint="eastAsia" w:ascii="仿宋_GB2312" w:hAnsi="Times New Roman" w:eastAsia="仿宋_GB2312" w:cs="Times New Roman"/>
          <w:sz w:val="32"/>
          <w:szCs w:val="32"/>
          <w:lang w:val="en-US" w:eastAsia="zh-CN"/>
        </w:rPr>
        <w:t>同步</w:t>
      </w:r>
      <w:r>
        <w:rPr>
          <w:rFonts w:hint="eastAsia" w:ascii="仿宋_GB2312" w:hAnsi="Times New Roman" w:eastAsia="仿宋_GB2312" w:cs="Times New Roman"/>
          <w:sz w:val="32"/>
          <w:szCs w:val="32"/>
        </w:rPr>
        <w:t>公开</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在预算执行过程中，建立项目资金管理台账，实时监控项目资金使用情况，并</w:t>
      </w:r>
      <w:r>
        <w:rPr>
          <w:rFonts w:ascii="Times New Roman" w:hAnsi="Times New Roman" w:eastAsia="仿宋_GB2312" w:cs="Times New Roman"/>
          <w:kern w:val="0"/>
          <w:sz w:val="32"/>
          <w:szCs w:val="32"/>
          <w:shd w:val="clear" w:color="auto" w:fill="FFFFFF"/>
          <w:lang w:val="zh-CN"/>
        </w:rPr>
        <w:t>根据项目工作实际和绩效监控结果，及时向财政部门提出相应项目的预算调整</w:t>
      </w:r>
      <w:r>
        <w:rPr>
          <w:rFonts w:hint="eastAsia" w:ascii="Times New Roman" w:hAnsi="Times New Roman" w:eastAsia="仿宋_GB2312" w:cs="Times New Roman"/>
          <w:kern w:val="0"/>
          <w:sz w:val="32"/>
          <w:szCs w:val="32"/>
          <w:shd w:val="clear" w:color="auto" w:fill="FFFFFF"/>
          <w:lang w:val="zh-CN"/>
        </w:rPr>
        <w:t>、</w:t>
      </w:r>
      <w:r>
        <w:rPr>
          <w:rFonts w:hint="eastAsia" w:ascii="Times New Roman" w:hAnsi="Times New Roman" w:eastAsia="仿宋_GB2312" w:cs="Times New Roman"/>
          <w:kern w:val="0"/>
          <w:sz w:val="32"/>
          <w:szCs w:val="32"/>
          <w:shd w:val="clear" w:color="auto" w:fill="FFFFFF"/>
          <w:lang w:val="en-US" w:eastAsia="zh-CN"/>
        </w:rPr>
        <w:t>调剂</w:t>
      </w:r>
      <w:r>
        <w:rPr>
          <w:rFonts w:ascii="Times New Roman" w:hAnsi="Times New Roman" w:eastAsia="仿宋_GB2312" w:cs="Times New Roman"/>
          <w:kern w:val="0"/>
          <w:sz w:val="32"/>
          <w:szCs w:val="32"/>
          <w:shd w:val="clear" w:color="auto" w:fill="FFFFFF"/>
          <w:lang w:val="zh-CN"/>
        </w:rPr>
        <w:t>申请，</w:t>
      </w:r>
      <w:r>
        <w:rPr>
          <w:rFonts w:hint="eastAsia" w:ascii="Times New Roman" w:hAnsi="Times New Roman" w:eastAsia="仿宋_GB2312" w:cs="Times New Roman"/>
          <w:kern w:val="0"/>
          <w:sz w:val="32"/>
          <w:szCs w:val="32"/>
          <w:shd w:val="clear" w:color="auto" w:fill="FFFFFF"/>
          <w:lang w:val="en-US" w:eastAsia="zh-CN"/>
        </w:rPr>
        <w:t>按时</w:t>
      </w:r>
      <w:r>
        <w:rPr>
          <w:rFonts w:ascii="Times New Roman" w:hAnsi="Times New Roman" w:eastAsia="仿宋_GB2312" w:cs="Times New Roman"/>
          <w:kern w:val="0"/>
          <w:sz w:val="32"/>
          <w:szCs w:val="32"/>
          <w:shd w:val="clear" w:color="auto" w:fill="FFFFFF"/>
          <w:lang w:val="zh-CN"/>
        </w:rPr>
        <w:t>向财政部门报送绩效监控、绩效自评、结果应用等绩效结果报告</w:t>
      </w:r>
      <w:r>
        <w:rPr>
          <w:rFonts w:hint="eastAsia" w:ascii="Times New Roman" w:hAnsi="Times New Roman" w:eastAsia="仿宋_GB2312" w:cs="Times New Roman"/>
          <w:kern w:val="0"/>
          <w:sz w:val="32"/>
          <w:szCs w:val="32"/>
          <w:shd w:val="clear" w:color="auto" w:fill="FFFFFF"/>
          <w:lang w:val="zh-CN"/>
        </w:rPr>
        <w:t>。</w:t>
      </w:r>
    </w:p>
    <w:p>
      <w:pPr>
        <w:keepNext w:val="0"/>
        <w:keepLines w:val="0"/>
        <w:pageBreakBefore w:val="0"/>
        <w:widowControl w:val="0"/>
        <w:numPr>
          <w:ilvl w:val="0"/>
          <w:numId w:val="1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2"/>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自评质量。</w:t>
      </w:r>
    </w:p>
    <w:p>
      <w:pPr>
        <w:keepNext w:val="0"/>
        <w:keepLines w:val="0"/>
        <w:pageBreakBefore w:val="0"/>
        <w:widowControl w:val="0"/>
        <w:kinsoku/>
        <w:wordWrap/>
        <w:overflowPunct/>
        <w:topLinePunct w:val="0"/>
        <w:autoSpaceDE/>
        <w:autoSpaceDN/>
        <w:bidi w:val="0"/>
        <w:adjustRightInd/>
        <w:snapToGrid/>
        <w:spacing w:beforeLines="30" w:line="576" w:lineRule="exact"/>
        <w:ind w:firstLine="640" w:firstLineChars="200"/>
        <w:jc w:val="both"/>
        <w:textAlignment w:val="auto"/>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我局高度重视绩效自评工作，严格按照广元市财政局《关于开展2022年度部门绩效自评工作的通知》（广财绩〔2023〕5号）要求，对2022年度部门绩效认真开展了部门预算项目绩效自评、专项预算项目绩效自评、整体支出绩效自评，自评结果真实、客观地反映了我部门财政资金绩效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outlineLvl w:val="1"/>
        <w:rPr>
          <w:rFonts w:ascii="黑体" w:hAnsi="宋体" w:eastAsia="黑体" w:cs="宋体"/>
          <w:b w:val="0"/>
          <w:bCs w:val="0"/>
          <w:color w:val="000000"/>
          <w:kern w:val="0"/>
          <w:sz w:val="32"/>
          <w:szCs w:val="32"/>
          <w:highlight w:val="none"/>
          <w:shd w:val="clear" w:color="auto" w:fill="FFFFFF"/>
        </w:rPr>
      </w:pPr>
      <w:bookmarkStart w:id="118" w:name="_Toc1526"/>
      <w:bookmarkStart w:id="119" w:name="_Toc5028"/>
      <w:bookmarkStart w:id="120" w:name="_Toc10265"/>
      <w:bookmarkStart w:id="121" w:name="_Toc12568"/>
      <w:r>
        <w:rPr>
          <w:rFonts w:hint="eastAsia" w:ascii="黑体" w:hAnsi="宋体" w:eastAsia="黑体" w:cs="宋体"/>
          <w:b w:val="0"/>
          <w:bCs w:val="0"/>
          <w:color w:val="000000"/>
          <w:kern w:val="0"/>
          <w:sz w:val="32"/>
          <w:szCs w:val="32"/>
          <w:highlight w:val="none"/>
          <w:shd w:val="clear" w:color="auto" w:fill="FFFFFF"/>
        </w:rPr>
        <w:t>四、评价结论及建议</w:t>
      </w:r>
      <w:bookmarkEnd w:id="118"/>
      <w:bookmarkEnd w:id="119"/>
      <w:bookmarkEnd w:id="120"/>
      <w:bookmarkEnd w:id="121"/>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outlineLvl w:val="2"/>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（一）评价结论。</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Times New Roman" w:hAnsi="Times New Roman" w:eastAsia="仿宋_GB2312" w:cs="Times New Roman"/>
          <w:sz w:val="32"/>
          <w:lang w:val="en-US" w:eastAsia="zh-CN"/>
        </w:rPr>
      </w:pPr>
      <w:r>
        <w:rPr>
          <w:rFonts w:hint="eastAsia" w:ascii="仿宋_GB2312" w:hAnsi="仿宋" w:eastAsia="仿宋_GB2312" w:cs="仿宋_GB2312"/>
          <w:color w:val="000000"/>
          <w:sz w:val="32"/>
          <w:szCs w:val="32"/>
          <w:lang w:val="zh-CN"/>
        </w:rPr>
        <w:t>总体来看。202</w:t>
      </w:r>
      <w:r>
        <w:rPr>
          <w:rFonts w:hint="eastAsia" w:ascii="仿宋_GB2312" w:hAnsi="仿宋" w:eastAsia="仿宋_GB2312" w:cs="仿宋_GB2312"/>
          <w:color w:val="000000"/>
          <w:sz w:val="32"/>
          <w:szCs w:val="32"/>
          <w:lang w:val="en-US" w:eastAsia="zh-CN"/>
        </w:rPr>
        <w:t>2</w:t>
      </w:r>
      <w:r>
        <w:rPr>
          <w:rFonts w:hint="eastAsia" w:ascii="仿宋_GB2312" w:hAnsi="仿宋" w:eastAsia="仿宋_GB2312" w:cs="仿宋_GB2312"/>
          <w:color w:val="000000"/>
          <w:sz w:val="32"/>
          <w:szCs w:val="32"/>
          <w:lang w:val="zh-CN"/>
        </w:rPr>
        <w:t>年度我</w:t>
      </w:r>
      <w:r>
        <w:rPr>
          <w:rFonts w:hint="eastAsia" w:ascii="仿宋_GB2312" w:hAnsi="仿宋" w:eastAsia="仿宋_GB2312" w:cs="仿宋_GB2312"/>
          <w:color w:val="000000"/>
          <w:sz w:val="32"/>
          <w:szCs w:val="32"/>
          <w:lang w:val="en-US" w:eastAsia="zh-CN"/>
        </w:rPr>
        <w:t>局</w:t>
      </w:r>
      <w:r>
        <w:rPr>
          <w:rFonts w:hint="eastAsia" w:ascii="仿宋_GB2312" w:hAnsi="仿宋" w:eastAsia="仿宋_GB2312" w:cs="仿宋_GB2312"/>
          <w:color w:val="000000"/>
          <w:sz w:val="32"/>
          <w:szCs w:val="32"/>
          <w:lang w:val="zh-CN"/>
        </w:rPr>
        <w:t>较好地完成了年度总体绩效目标，部门综合管理有序、项目规划合理、项目实施效果明显。具体情况分析：</w:t>
      </w:r>
      <w:r>
        <w:rPr>
          <w:rFonts w:hint="eastAsia" w:ascii="仿宋_GB2312" w:hAnsi="仿宋" w:eastAsia="仿宋_GB2312" w:cs="仿宋_GB2312"/>
          <w:color w:val="000000"/>
          <w:sz w:val="32"/>
          <w:szCs w:val="32"/>
          <w:lang w:val="en-US" w:eastAsia="zh-CN"/>
        </w:rPr>
        <w:t>整体支出</w:t>
      </w:r>
      <w:r>
        <w:rPr>
          <w:rFonts w:hint="eastAsia" w:ascii="仿宋_GB2312" w:hAnsi="仿宋" w:eastAsia="仿宋_GB2312" w:cs="仿宋_GB2312"/>
          <w:color w:val="000000"/>
          <w:sz w:val="32"/>
          <w:szCs w:val="32"/>
          <w:lang w:val="zh-CN"/>
        </w:rPr>
        <w:t>绩效目标主要围绕当年人社工作要点，根据项目性质设置各项绩效指标，包括项目完成指标、效益指标和满意度指标。各项目绩效目标设置均满足要素完整、细化量化的要求，虽因</w:t>
      </w:r>
      <w:r>
        <w:rPr>
          <w:rFonts w:hint="eastAsia" w:ascii="仿宋_GB2312" w:hAnsi="仿宋" w:eastAsia="仿宋_GB2312" w:cs="仿宋_GB2312"/>
          <w:color w:val="000000"/>
          <w:sz w:val="32"/>
          <w:szCs w:val="32"/>
          <w:lang w:val="en-US" w:eastAsia="zh-CN"/>
        </w:rPr>
        <w:t>疫情影响</w:t>
      </w:r>
      <w:r>
        <w:rPr>
          <w:rFonts w:hint="eastAsia" w:ascii="仿宋_GB2312" w:hAnsi="仿宋" w:eastAsia="仿宋_GB2312" w:cs="仿宋_GB2312"/>
          <w:color w:val="000000"/>
          <w:sz w:val="32"/>
          <w:szCs w:val="32"/>
          <w:lang w:val="zh-CN"/>
        </w:rPr>
        <w:t>，</w:t>
      </w:r>
      <w:r>
        <w:rPr>
          <w:rFonts w:hint="eastAsia" w:ascii="仿宋_GB2312" w:hAnsi="仿宋" w:eastAsia="仿宋_GB2312" w:cs="仿宋_GB2312"/>
          <w:color w:val="000000"/>
          <w:sz w:val="32"/>
          <w:szCs w:val="32"/>
          <w:lang w:val="en-US" w:eastAsia="zh-CN"/>
        </w:rPr>
        <w:t>个别项目没有实施，</w:t>
      </w:r>
      <w:r>
        <w:rPr>
          <w:rFonts w:hint="eastAsia" w:ascii="仿宋_GB2312" w:hAnsi="仿宋" w:eastAsia="仿宋_GB2312" w:cs="仿宋_GB2312"/>
          <w:color w:val="000000"/>
          <w:sz w:val="32"/>
          <w:szCs w:val="32"/>
          <w:lang w:val="zh-CN"/>
        </w:rPr>
        <w:t>但截至目前整体</w:t>
      </w:r>
      <w:r>
        <w:rPr>
          <w:rFonts w:hint="eastAsia" w:ascii="仿宋_GB2312" w:hAnsi="仿宋" w:eastAsia="仿宋_GB2312" w:cs="仿宋_GB2312"/>
          <w:color w:val="000000"/>
          <w:sz w:val="32"/>
          <w:szCs w:val="32"/>
          <w:lang w:val="en-US" w:eastAsia="zh-CN"/>
        </w:rPr>
        <w:t>支出</w:t>
      </w:r>
      <w:r>
        <w:rPr>
          <w:rFonts w:hint="eastAsia" w:ascii="仿宋_GB2312" w:hAnsi="仿宋" w:eastAsia="仿宋_GB2312" w:cs="仿宋_GB2312"/>
          <w:color w:val="000000"/>
          <w:sz w:val="32"/>
          <w:szCs w:val="32"/>
          <w:lang w:val="zh-CN"/>
        </w:rPr>
        <w:t>预期目标</w:t>
      </w:r>
      <w:r>
        <w:rPr>
          <w:rFonts w:hint="eastAsia" w:ascii="仿宋_GB2312" w:hAnsi="仿宋" w:eastAsia="仿宋_GB2312" w:cs="仿宋_GB2312"/>
          <w:color w:val="000000"/>
          <w:sz w:val="32"/>
          <w:szCs w:val="32"/>
          <w:lang w:val="en-US" w:eastAsia="zh-CN"/>
        </w:rPr>
        <w:t>均已</w:t>
      </w:r>
      <w:r>
        <w:rPr>
          <w:rFonts w:hint="eastAsia" w:ascii="仿宋_GB2312" w:hAnsi="仿宋" w:eastAsia="仿宋_GB2312" w:cs="仿宋_GB2312"/>
          <w:color w:val="000000"/>
          <w:sz w:val="32"/>
          <w:szCs w:val="32"/>
          <w:lang w:val="zh-CN"/>
        </w:rPr>
        <w:t>完成；预算编制准确，支出控制较好，预算完成率较高；绩效目标、自评报告</w:t>
      </w:r>
      <w:r>
        <w:rPr>
          <w:rFonts w:hint="eastAsia" w:ascii="仿宋_GB2312" w:hAnsi="仿宋" w:eastAsia="仿宋_GB2312" w:cs="仿宋_GB2312"/>
          <w:color w:val="000000"/>
          <w:sz w:val="32"/>
          <w:szCs w:val="32"/>
          <w:lang w:val="en-US" w:eastAsia="zh-CN"/>
        </w:rPr>
        <w:t>等绩效信息</w:t>
      </w:r>
      <w:r>
        <w:rPr>
          <w:rFonts w:hint="eastAsia" w:ascii="仿宋_GB2312" w:hAnsi="仿宋" w:eastAsia="仿宋_GB2312" w:cs="仿宋_GB2312"/>
          <w:color w:val="000000"/>
          <w:sz w:val="32"/>
          <w:szCs w:val="32"/>
          <w:lang w:val="zh-CN"/>
        </w:rPr>
        <w:t>同部门预决算一并公开，绩效评价结果运用到了年初预算编制和</w:t>
      </w:r>
      <w:r>
        <w:rPr>
          <w:rFonts w:hint="eastAsia" w:ascii="仿宋_GB2312" w:hAnsi="仿宋" w:eastAsia="仿宋_GB2312" w:cs="仿宋_GB2312"/>
          <w:color w:val="000000"/>
          <w:sz w:val="32"/>
          <w:szCs w:val="32"/>
          <w:lang w:val="en-US" w:eastAsia="zh-CN"/>
        </w:rPr>
        <w:t>项目</w:t>
      </w:r>
      <w:r>
        <w:rPr>
          <w:rFonts w:hint="eastAsia" w:ascii="仿宋_GB2312" w:hAnsi="仿宋" w:eastAsia="仿宋_GB2312" w:cs="仿宋_GB2312"/>
          <w:color w:val="000000"/>
          <w:sz w:val="32"/>
          <w:szCs w:val="32"/>
          <w:lang w:val="zh-CN"/>
        </w:rPr>
        <w:t>资金分配上，使预算编制更加精准，</w:t>
      </w:r>
      <w:r>
        <w:rPr>
          <w:rFonts w:hint="eastAsia" w:ascii="仿宋_GB2312" w:hAnsi="仿宋" w:eastAsia="仿宋_GB2312" w:cs="仿宋_GB2312"/>
          <w:color w:val="000000"/>
          <w:sz w:val="32"/>
          <w:szCs w:val="32"/>
          <w:lang w:val="en-US" w:eastAsia="zh-CN"/>
        </w:rPr>
        <w:t>项目</w:t>
      </w:r>
      <w:r>
        <w:rPr>
          <w:rFonts w:hint="eastAsia" w:ascii="仿宋_GB2312" w:hAnsi="仿宋" w:eastAsia="仿宋_GB2312" w:cs="仿宋_GB2312"/>
          <w:color w:val="000000"/>
          <w:sz w:val="32"/>
          <w:szCs w:val="32"/>
          <w:lang w:val="zh-CN"/>
        </w:rPr>
        <w:t>资金分配更为合理。从部门预算管理、专项预算管理、绩效结果应用、自评质量四个方面对市人力资源社会保障局整体支出进行绩效评价，</w:t>
      </w:r>
      <w:r>
        <w:rPr>
          <w:rFonts w:hint="eastAsia" w:ascii="仿宋_GB2312" w:hAnsi="Times New Roman" w:eastAsia="仿宋_GB2312" w:cs="Times New Roman"/>
          <w:sz w:val="32"/>
          <w:szCs w:val="32"/>
          <w:lang w:val="en-US" w:eastAsia="zh-CN"/>
        </w:rPr>
        <w:t>最终自评得98分。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200"/>
        <w:contextualSpacing/>
        <w:jc w:val="left"/>
        <w:textAlignment w:val="auto"/>
        <w:outlineLvl w:val="2"/>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w:t>
      </w:r>
      <w:r>
        <w:rPr>
          <w:rFonts w:hint="eastAsia" w:ascii="楷体_GB2312" w:hAnsi="楷体_GB2312" w:eastAsia="楷体_GB2312" w:cs="楷体_GB2312"/>
          <w:b w:val="0"/>
          <w:bCs w:val="0"/>
          <w:color w:val="000000"/>
          <w:kern w:val="0"/>
          <w:sz w:val="32"/>
          <w:szCs w:val="32"/>
          <w:highlight w:val="none"/>
          <w:shd w:val="clear" w:color="auto" w:fill="FFFFFF"/>
          <w:lang w:val="en-US" w:eastAsia="zh-CN"/>
        </w:rPr>
        <w:t>二</w:t>
      </w:r>
      <w:r>
        <w:rPr>
          <w:rFonts w:hint="eastAsia" w:ascii="楷体_GB2312" w:hAnsi="楷体_GB2312" w:eastAsia="楷体_GB2312" w:cs="楷体_GB2312"/>
          <w:b w:val="0"/>
          <w:bCs w:val="0"/>
          <w:color w:val="000000"/>
          <w:kern w:val="0"/>
          <w:sz w:val="32"/>
          <w:szCs w:val="32"/>
          <w:highlight w:val="none"/>
          <w:shd w:val="clear" w:color="auto" w:fill="FFFFFF"/>
          <w:lang w:val="zh-CN"/>
        </w:rPr>
        <w:t>）存在问题。</w:t>
      </w:r>
    </w:p>
    <w:p>
      <w:pPr>
        <w:keepNext w:val="0"/>
        <w:keepLines w:val="0"/>
        <w:pageBreakBefore w:val="0"/>
        <w:widowControl w:val="0"/>
        <w:numPr>
          <w:ilvl w:val="0"/>
          <w:numId w:val="0"/>
        </w:numPr>
        <w:kinsoku/>
        <w:wordWrap/>
        <w:overflowPunct/>
        <w:topLinePunct w:val="0"/>
        <w:autoSpaceDE/>
        <w:autoSpaceDN/>
        <w:bidi w:val="0"/>
        <w:spacing w:beforeLines="30" w:line="576" w:lineRule="exact"/>
        <w:ind w:firstLine="640" w:firstLineChars="200"/>
        <w:jc w:val="both"/>
        <w:textAlignment w:val="auto"/>
        <w:rPr>
          <w:rFonts w:hint="default" w:ascii="仿宋_GB2312" w:hAnsi="Times New Roman" w:eastAsia="仿宋_GB2312" w:cs="Times New Roman"/>
          <w:kern w:val="0"/>
          <w:sz w:val="24"/>
          <w:szCs w:val="20"/>
          <w:lang w:val="en-US" w:eastAsia="zh-CN" w:bidi="ar-SA"/>
        </w:rPr>
      </w:pPr>
      <w:r>
        <w:rPr>
          <w:rFonts w:ascii="仿宋_GB2312" w:hAnsi="Times New Roman" w:eastAsia="仿宋_GB2312" w:cs="Times New Roman"/>
          <w:kern w:val="0"/>
          <w:sz w:val="32"/>
          <w:szCs w:val="32"/>
          <w:shd w:val="clear" w:color="auto" w:fill="FFFFFF"/>
          <w:lang w:val="zh-CN" w:eastAsia="zh-CN" w:bidi="ar-SA"/>
        </w:rPr>
        <w:t>通过项目绩效自评发现，</w:t>
      </w:r>
      <w:r>
        <w:rPr>
          <w:rFonts w:hint="eastAsia" w:ascii="仿宋_GB2312" w:hAnsi="Times New Roman" w:eastAsia="仿宋_GB2312" w:cs="Times New Roman"/>
          <w:kern w:val="0"/>
          <w:sz w:val="32"/>
          <w:szCs w:val="32"/>
          <w:shd w:val="clear" w:color="auto" w:fill="FFFFFF"/>
          <w:lang w:val="en-US" w:eastAsia="zh-CN" w:bidi="ar-SA"/>
        </w:rPr>
        <w:t>本部门</w:t>
      </w:r>
      <w:r>
        <w:rPr>
          <w:rFonts w:ascii="仿宋_GB2312" w:hAnsi="Times New Roman" w:eastAsia="仿宋_GB2312" w:cs="Times New Roman"/>
          <w:kern w:val="0"/>
          <w:sz w:val="32"/>
          <w:szCs w:val="32"/>
          <w:shd w:val="clear" w:color="auto" w:fill="FFFFFF"/>
          <w:lang w:val="zh-CN" w:eastAsia="zh-CN" w:bidi="ar-SA"/>
        </w:rPr>
        <w:t>绩效管理水平在绩效</w:t>
      </w:r>
      <w:r>
        <w:rPr>
          <w:rFonts w:hint="eastAsia" w:ascii="仿宋_GB2312" w:hAnsi="Times New Roman" w:eastAsia="仿宋_GB2312" w:cs="Times New Roman"/>
          <w:kern w:val="0"/>
          <w:sz w:val="32"/>
          <w:szCs w:val="32"/>
          <w:shd w:val="clear" w:color="auto" w:fill="FFFFFF"/>
          <w:lang w:val="en-US" w:eastAsia="zh-CN" w:bidi="ar-SA"/>
        </w:rPr>
        <w:t>目标</w:t>
      </w:r>
      <w:r>
        <w:rPr>
          <w:rFonts w:ascii="仿宋_GB2312" w:hAnsi="Times New Roman" w:eastAsia="仿宋_GB2312" w:cs="Times New Roman"/>
          <w:kern w:val="0"/>
          <w:sz w:val="32"/>
          <w:szCs w:val="32"/>
          <w:shd w:val="clear" w:color="auto" w:fill="FFFFFF"/>
          <w:lang w:val="zh-CN" w:eastAsia="zh-CN" w:bidi="ar-SA"/>
        </w:rPr>
        <w:t>制定、绩效自评等重要环节还有</w:t>
      </w:r>
      <w:r>
        <w:rPr>
          <w:rFonts w:hint="eastAsia" w:ascii="仿宋_GB2312" w:hAnsi="Times New Roman" w:eastAsia="仿宋_GB2312" w:cs="Times New Roman"/>
          <w:kern w:val="0"/>
          <w:sz w:val="32"/>
          <w:szCs w:val="32"/>
          <w:shd w:val="clear" w:color="auto" w:fill="FFFFFF"/>
          <w:lang w:val="en-US" w:eastAsia="zh-CN" w:bidi="ar-SA"/>
        </w:rPr>
        <w:t>待进一步提升</w:t>
      </w:r>
      <w:r>
        <w:rPr>
          <w:rFonts w:ascii="仿宋_GB2312" w:hAnsi="Times New Roman" w:eastAsia="仿宋_GB2312" w:cs="Times New Roman"/>
          <w:kern w:val="0"/>
          <w:sz w:val="32"/>
          <w:szCs w:val="32"/>
          <w:shd w:val="clear" w:color="auto" w:fill="FFFFFF"/>
          <w:lang w:val="zh-CN" w:eastAsia="zh-CN" w:bidi="ar-SA"/>
        </w:rPr>
        <w:t>。</w:t>
      </w:r>
      <w:r>
        <w:rPr>
          <w:rFonts w:ascii="仿宋_GB2312" w:hAnsi="Times New Roman" w:eastAsia="仿宋_GB2312" w:cs="Times New Roman"/>
          <w:b/>
          <w:bCs/>
          <w:i w:val="0"/>
          <w:iCs w:val="0"/>
          <w:kern w:val="0"/>
          <w:sz w:val="32"/>
          <w:szCs w:val="32"/>
          <w:shd w:val="clear" w:color="auto" w:fill="FFFFFF"/>
          <w:lang w:val="zh-CN" w:eastAsia="zh-CN" w:bidi="ar-SA"/>
        </w:rPr>
        <w:t>一是</w:t>
      </w:r>
      <w:r>
        <w:rPr>
          <w:rFonts w:ascii="仿宋_GB2312" w:hAnsi="Times New Roman" w:eastAsia="仿宋_GB2312" w:cs="Times New Roman"/>
          <w:kern w:val="0"/>
          <w:sz w:val="32"/>
          <w:szCs w:val="32"/>
          <w:shd w:val="clear" w:color="auto" w:fill="FFFFFF"/>
          <w:lang w:val="zh-CN" w:eastAsia="zh-CN" w:bidi="ar-SA"/>
        </w:rPr>
        <w:t>绩效</w:t>
      </w:r>
      <w:r>
        <w:rPr>
          <w:rFonts w:hint="eastAsia" w:ascii="仿宋_GB2312" w:hAnsi="Times New Roman" w:eastAsia="仿宋_GB2312" w:cs="Times New Roman"/>
          <w:kern w:val="0"/>
          <w:sz w:val="32"/>
          <w:szCs w:val="32"/>
          <w:shd w:val="clear" w:color="auto" w:fill="FFFFFF"/>
          <w:lang w:val="en-US" w:eastAsia="zh-CN" w:bidi="ar-SA"/>
        </w:rPr>
        <w:t>目标制定的</w:t>
      </w:r>
      <w:r>
        <w:rPr>
          <w:rFonts w:ascii="仿宋_GB2312" w:hAnsi="Times New Roman" w:eastAsia="仿宋_GB2312" w:cs="Times New Roman"/>
          <w:kern w:val="0"/>
          <w:sz w:val="32"/>
          <w:szCs w:val="32"/>
          <w:shd w:val="clear" w:color="auto" w:fill="FFFFFF"/>
          <w:lang w:val="zh-CN" w:eastAsia="zh-CN" w:bidi="ar-SA"/>
        </w:rPr>
        <w:t>合理</w:t>
      </w:r>
      <w:r>
        <w:rPr>
          <w:rFonts w:hint="eastAsia" w:ascii="仿宋_GB2312" w:hAnsi="Times New Roman" w:eastAsia="仿宋_GB2312" w:cs="Times New Roman"/>
          <w:kern w:val="0"/>
          <w:sz w:val="32"/>
          <w:szCs w:val="32"/>
          <w:shd w:val="clear" w:color="auto" w:fill="FFFFFF"/>
          <w:lang w:val="en-US" w:eastAsia="zh-CN" w:bidi="ar-SA"/>
        </w:rPr>
        <w:t>性</w:t>
      </w:r>
      <w:r>
        <w:rPr>
          <w:rFonts w:ascii="仿宋_GB2312" w:hAnsi="Times New Roman" w:eastAsia="仿宋_GB2312" w:cs="Times New Roman"/>
          <w:kern w:val="0"/>
          <w:sz w:val="32"/>
          <w:szCs w:val="32"/>
          <w:shd w:val="clear" w:color="auto" w:fill="FFFFFF"/>
          <w:lang w:val="zh-CN" w:eastAsia="zh-CN" w:bidi="ar-SA"/>
        </w:rPr>
        <w:t>和精准</w:t>
      </w:r>
      <w:r>
        <w:rPr>
          <w:rFonts w:hint="eastAsia" w:ascii="仿宋_GB2312" w:hAnsi="Times New Roman" w:eastAsia="仿宋_GB2312" w:cs="Times New Roman"/>
          <w:kern w:val="0"/>
          <w:sz w:val="32"/>
          <w:szCs w:val="32"/>
          <w:shd w:val="clear" w:color="auto" w:fill="FFFFFF"/>
          <w:lang w:val="en-US" w:eastAsia="zh-CN" w:bidi="ar-SA"/>
        </w:rPr>
        <w:t>度有待提高</w:t>
      </w:r>
      <w:r>
        <w:rPr>
          <w:rFonts w:ascii="仿宋_GB2312" w:hAnsi="Times New Roman" w:eastAsia="仿宋_GB2312" w:cs="Times New Roman"/>
          <w:kern w:val="0"/>
          <w:sz w:val="32"/>
          <w:szCs w:val="32"/>
          <w:shd w:val="clear" w:color="auto" w:fill="FFFFFF"/>
          <w:lang w:val="zh-CN" w:eastAsia="zh-CN" w:bidi="ar-SA"/>
        </w:rPr>
        <w:t>。由于我</w:t>
      </w:r>
      <w:r>
        <w:rPr>
          <w:rFonts w:hint="eastAsia" w:ascii="仿宋_GB2312" w:hAnsi="Times New Roman" w:eastAsia="仿宋_GB2312" w:cs="Times New Roman"/>
          <w:kern w:val="0"/>
          <w:sz w:val="32"/>
          <w:szCs w:val="32"/>
          <w:shd w:val="clear" w:color="auto" w:fill="FFFFFF"/>
          <w:lang w:val="en-US" w:eastAsia="zh-CN" w:bidi="ar-SA"/>
        </w:rPr>
        <w:t>局</w:t>
      </w:r>
      <w:r>
        <w:rPr>
          <w:rFonts w:ascii="仿宋_GB2312" w:hAnsi="Times New Roman" w:eastAsia="仿宋_GB2312" w:cs="Times New Roman"/>
          <w:kern w:val="0"/>
          <w:sz w:val="32"/>
          <w:szCs w:val="32"/>
          <w:shd w:val="clear" w:color="auto" w:fill="FFFFFF"/>
          <w:lang w:val="zh-CN" w:eastAsia="zh-CN" w:bidi="ar-SA"/>
        </w:rPr>
        <w:t>项目较多，各</w:t>
      </w:r>
      <w:r>
        <w:rPr>
          <w:rFonts w:hint="eastAsia" w:ascii="仿宋_GB2312" w:hAnsi="Times New Roman" w:eastAsia="仿宋_GB2312" w:cs="Times New Roman"/>
          <w:kern w:val="0"/>
          <w:sz w:val="32"/>
          <w:szCs w:val="32"/>
          <w:shd w:val="clear" w:color="auto" w:fill="FFFFFF"/>
          <w:lang w:val="en-US" w:eastAsia="zh-CN" w:bidi="ar-SA"/>
        </w:rPr>
        <w:t>科</w:t>
      </w:r>
      <w:r>
        <w:rPr>
          <w:rFonts w:ascii="仿宋_GB2312" w:hAnsi="Times New Roman" w:eastAsia="仿宋_GB2312" w:cs="Times New Roman"/>
          <w:kern w:val="0"/>
          <w:sz w:val="32"/>
          <w:szCs w:val="32"/>
          <w:shd w:val="clear" w:color="auto" w:fill="FFFFFF"/>
          <w:lang w:val="zh-CN" w:eastAsia="zh-CN" w:bidi="ar-SA"/>
        </w:rPr>
        <w:t>室</w:t>
      </w:r>
      <w:r>
        <w:rPr>
          <w:rFonts w:hint="eastAsia" w:ascii="仿宋_GB2312" w:hAnsi="Times New Roman" w:eastAsia="仿宋_GB2312" w:cs="Times New Roman"/>
          <w:kern w:val="0"/>
          <w:sz w:val="32"/>
          <w:szCs w:val="32"/>
          <w:shd w:val="clear" w:color="auto" w:fill="FFFFFF"/>
          <w:lang w:val="zh-CN" w:eastAsia="zh-CN" w:bidi="ar-SA"/>
        </w:rPr>
        <w:t>、</w:t>
      </w:r>
      <w:r>
        <w:rPr>
          <w:rFonts w:ascii="仿宋_GB2312" w:hAnsi="Times New Roman" w:eastAsia="仿宋_GB2312" w:cs="Times New Roman"/>
          <w:kern w:val="0"/>
          <w:sz w:val="32"/>
          <w:szCs w:val="32"/>
          <w:shd w:val="clear" w:color="auto" w:fill="FFFFFF"/>
          <w:lang w:val="zh-CN" w:eastAsia="zh-CN" w:bidi="ar-SA"/>
        </w:rPr>
        <w:t>单位在制定绩效目标时存在将数量指标</w:t>
      </w:r>
      <w:r>
        <w:rPr>
          <w:rFonts w:hint="eastAsia" w:ascii="仿宋_GB2312" w:hAnsi="Times New Roman" w:eastAsia="仿宋_GB2312" w:cs="Times New Roman"/>
          <w:kern w:val="0"/>
          <w:sz w:val="32"/>
          <w:szCs w:val="32"/>
          <w:shd w:val="clear" w:color="auto" w:fill="FFFFFF"/>
          <w:lang w:val="zh-CN" w:eastAsia="zh-CN" w:bidi="ar-SA"/>
        </w:rPr>
        <w:t>、</w:t>
      </w:r>
      <w:r>
        <w:rPr>
          <w:rFonts w:ascii="仿宋_GB2312" w:hAnsi="Times New Roman" w:eastAsia="仿宋_GB2312" w:cs="Times New Roman"/>
          <w:kern w:val="0"/>
          <w:sz w:val="32"/>
          <w:szCs w:val="32"/>
          <w:shd w:val="clear" w:color="auto" w:fill="FFFFFF"/>
          <w:lang w:val="zh-CN" w:eastAsia="zh-CN" w:bidi="ar-SA"/>
        </w:rPr>
        <w:t>质量指标</w:t>
      </w:r>
      <w:r>
        <w:rPr>
          <w:rFonts w:hint="eastAsia" w:ascii="仿宋_GB2312" w:hAnsi="Times New Roman" w:eastAsia="仿宋_GB2312" w:cs="Times New Roman"/>
          <w:kern w:val="0"/>
          <w:sz w:val="32"/>
          <w:szCs w:val="32"/>
          <w:shd w:val="clear" w:color="auto" w:fill="FFFFFF"/>
          <w:lang w:val="zh-CN" w:eastAsia="zh-CN" w:bidi="ar-SA"/>
        </w:rPr>
        <w:t>、</w:t>
      </w:r>
      <w:r>
        <w:rPr>
          <w:rFonts w:hint="eastAsia" w:ascii="仿宋_GB2312" w:hAnsi="Times New Roman" w:eastAsia="仿宋_GB2312" w:cs="Times New Roman"/>
          <w:kern w:val="0"/>
          <w:sz w:val="32"/>
          <w:szCs w:val="32"/>
          <w:shd w:val="clear" w:color="auto" w:fill="FFFFFF"/>
          <w:lang w:val="en-US" w:eastAsia="zh-CN" w:bidi="ar-SA"/>
        </w:rPr>
        <w:t>效益指标混用的</w:t>
      </w:r>
      <w:r>
        <w:rPr>
          <w:rFonts w:ascii="仿宋_GB2312" w:hAnsi="Times New Roman" w:eastAsia="仿宋_GB2312" w:cs="Times New Roman"/>
          <w:kern w:val="0"/>
          <w:sz w:val="32"/>
          <w:szCs w:val="32"/>
          <w:shd w:val="clear" w:color="auto" w:fill="FFFFFF"/>
          <w:lang w:val="zh-CN" w:eastAsia="zh-CN" w:bidi="ar-SA"/>
        </w:rPr>
        <w:t>情况</w:t>
      </w:r>
      <w:r>
        <w:rPr>
          <w:rFonts w:hint="eastAsia" w:ascii="仿宋_GB2312" w:hAnsi="Times New Roman" w:eastAsia="仿宋_GB2312" w:cs="Times New Roman"/>
          <w:kern w:val="0"/>
          <w:sz w:val="32"/>
          <w:szCs w:val="32"/>
          <w:shd w:val="clear" w:color="auto" w:fill="FFFFFF"/>
          <w:lang w:val="zh-CN" w:eastAsia="zh-CN" w:bidi="ar-SA"/>
        </w:rPr>
        <w:t>。</w:t>
      </w:r>
      <w:r>
        <w:rPr>
          <w:rFonts w:hint="eastAsia" w:ascii="仿宋_GB2312" w:hAnsi="Times New Roman" w:eastAsia="仿宋_GB2312" w:cs="Times New Roman"/>
          <w:b/>
          <w:bCs/>
          <w:kern w:val="0"/>
          <w:sz w:val="32"/>
          <w:szCs w:val="32"/>
          <w:shd w:val="clear" w:color="auto" w:fill="FFFFFF"/>
          <w:lang w:val="en-US" w:eastAsia="zh-CN" w:bidi="ar-SA"/>
        </w:rPr>
        <w:t>二是</w:t>
      </w:r>
      <w:r>
        <w:rPr>
          <w:rFonts w:hint="eastAsia" w:ascii="仿宋_GB2312" w:hAnsi="Times New Roman" w:eastAsia="仿宋_GB2312" w:cs="Times New Roman"/>
          <w:kern w:val="0"/>
          <w:sz w:val="32"/>
          <w:szCs w:val="32"/>
          <w:shd w:val="clear" w:color="auto" w:fill="FFFFFF"/>
          <w:lang w:val="en-US" w:eastAsia="zh-CN" w:bidi="ar-SA"/>
        </w:rPr>
        <w:t>绩效评价水平有待加强。</w:t>
      </w:r>
      <w:r>
        <w:rPr>
          <w:rFonts w:hint="eastAsia" w:ascii="仿宋_GB2312" w:hAnsi="Times New Roman" w:eastAsia="仿宋_GB2312" w:cs="Times New Roman"/>
          <w:kern w:val="0"/>
          <w:sz w:val="32"/>
          <w:szCs w:val="32"/>
          <w:lang w:val="en-US" w:eastAsia="zh-CN" w:bidi="ar-SA"/>
        </w:rPr>
        <w:t>因财政下发的绩效评价体系、自评表、自评报告模板等每年都有所变化，且口径不统一，部门、单位在开展自评过程中容易出现理解性误差，导致绩效评价工作效率较低且评价效果不理想。</w:t>
      </w:r>
    </w:p>
    <w:p>
      <w:pPr>
        <w:keepNext w:val="0"/>
        <w:keepLines w:val="0"/>
        <w:pageBreakBefore w:val="0"/>
        <w:widowControl w:val="0"/>
        <w:numPr>
          <w:ilvl w:val="0"/>
          <w:numId w:val="9"/>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outlineLvl w:val="2"/>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改进建议。</w:t>
      </w:r>
    </w:p>
    <w:p>
      <w:pPr>
        <w:keepNext w:val="0"/>
        <w:keepLines w:val="0"/>
        <w:pageBreakBefore w:val="0"/>
        <w:widowControl w:val="0"/>
        <w:numPr>
          <w:ilvl w:val="0"/>
          <w:numId w:val="0"/>
        </w:numPr>
        <w:kinsoku/>
        <w:wordWrap/>
        <w:overflowPunct/>
        <w:topLinePunct w:val="0"/>
        <w:autoSpaceDE/>
        <w:autoSpaceDN/>
        <w:bidi w:val="0"/>
        <w:spacing w:beforeLines="30" w:line="576" w:lineRule="exact"/>
        <w:ind w:firstLine="640" w:firstLineChars="200"/>
        <w:jc w:val="both"/>
        <w:textAlignment w:val="auto"/>
        <w:rPr>
          <w:rFonts w:hint="eastAsia" w:ascii="仿宋_GB2312" w:hAnsi="Times New Roman" w:eastAsia="仿宋_GB2312" w:cs="Times New Roman"/>
          <w:kern w:val="0"/>
          <w:sz w:val="32"/>
          <w:szCs w:val="32"/>
          <w:shd w:val="clear" w:color="auto" w:fill="FFFFFF"/>
          <w:lang w:val="en-US" w:eastAsia="zh-CN" w:bidi="ar-SA"/>
        </w:rPr>
      </w:pPr>
      <w:r>
        <w:rPr>
          <w:rFonts w:hint="eastAsia" w:ascii="仿宋_GB2312" w:hAnsi="Times New Roman" w:eastAsia="仿宋_GB2312" w:cs="Times New Roman"/>
          <w:kern w:val="0"/>
          <w:sz w:val="32"/>
          <w:szCs w:val="32"/>
          <w:shd w:val="clear" w:color="auto" w:fill="FFFFFF"/>
          <w:lang w:val="en-US" w:eastAsia="zh-CN" w:bidi="ar-SA"/>
        </w:rPr>
        <w:t>一是在预算绩效编制环节，要加强预算绩效管理培训，提高各业务科室、单位对绩效目标的重视程度，增强其对各项绩效指标的理解和认识，统一填报口径，提高绩效目标的合理性和精准度。二是在绩效评价环节，财政部门应加强指导，不能单方面依靠文件安排工作，必要时应对各部门、单位具体负责绩效评价的人员开展专题培训，统一评价口径，确保提高绩效评价工作效率的同时达到预期效果。</w:t>
      </w:r>
    </w:p>
    <w:p>
      <w:pPr>
        <w:keepNext w:val="0"/>
        <w:keepLines w:val="0"/>
        <w:pageBreakBefore w:val="0"/>
        <w:widowControl w:val="0"/>
        <w:numPr>
          <w:ilvl w:val="0"/>
          <w:numId w:val="0"/>
        </w:numPr>
        <w:kinsoku/>
        <w:wordWrap/>
        <w:overflowPunct/>
        <w:topLinePunct w:val="0"/>
        <w:autoSpaceDE/>
        <w:autoSpaceDN/>
        <w:bidi w:val="0"/>
        <w:spacing w:beforeLines="30" w:line="576" w:lineRule="exact"/>
        <w:ind w:firstLine="640" w:firstLineChars="200"/>
        <w:jc w:val="both"/>
        <w:textAlignment w:val="auto"/>
        <w:rPr>
          <w:rFonts w:hint="eastAsia" w:ascii="仿宋_GB2312" w:hAnsi="Times New Roman" w:eastAsia="仿宋_GB2312" w:cs="Times New Roman"/>
          <w:kern w:val="0"/>
          <w:sz w:val="32"/>
          <w:szCs w:val="32"/>
          <w:shd w:val="clear" w:color="auto" w:fill="FFFFFF"/>
          <w:lang w:val="en-US" w:eastAsia="zh-CN" w:bidi="ar-SA"/>
        </w:rPr>
      </w:pPr>
    </w:p>
    <w:p>
      <w:pPr>
        <w:pStyle w:val="15"/>
        <w:keepNext w:val="0"/>
        <w:keepLines w:val="0"/>
        <w:pageBreakBefore w:val="0"/>
        <w:numPr>
          <w:ilvl w:val="0"/>
          <w:numId w:val="0"/>
        </w:numPr>
        <w:kinsoku/>
        <w:wordWrap/>
        <w:overflowPunct/>
        <w:topLinePunct w:val="0"/>
        <w:autoSpaceDE/>
        <w:autoSpaceDN/>
        <w:bidi w:val="0"/>
        <w:spacing w:line="560" w:lineRule="exact"/>
        <w:textAlignment w:val="auto"/>
        <w:rPr>
          <w:rFonts w:hint="eastAsia"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eastAsia="zh-CN"/>
        </w:rPr>
        <w:t>附表：</w:t>
      </w:r>
      <w:r>
        <w:rPr>
          <w:rFonts w:hint="eastAsia" w:hAnsi="仿宋_GB2312" w:eastAsia="仿宋_GB2312" w:cs="仿宋_GB2312"/>
          <w:color w:val="auto"/>
          <w:sz w:val="32"/>
          <w:szCs w:val="32"/>
          <w:highlight w:val="none"/>
          <w:lang w:val="en-US" w:eastAsia="zh-CN"/>
        </w:rPr>
        <w:t>1.部门整体支出绩效目标自评表（2022年度）</w:t>
      </w:r>
    </w:p>
    <w:p>
      <w:pPr>
        <w:pStyle w:val="15"/>
        <w:keepNext w:val="0"/>
        <w:keepLines w:val="0"/>
        <w:pageBreakBefore w:val="0"/>
        <w:numPr>
          <w:ilvl w:val="0"/>
          <w:numId w:val="0"/>
        </w:numPr>
        <w:kinsoku/>
        <w:wordWrap/>
        <w:overflowPunct/>
        <w:topLinePunct w:val="0"/>
        <w:autoSpaceDE/>
        <w:autoSpaceDN/>
        <w:bidi w:val="0"/>
        <w:spacing w:line="560" w:lineRule="exact"/>
        <w:ind w:firstLine="960" w:firstLineChars="300"/>
        <w:textAlignment w:val="auto"/>
        <w:rPr>
          <w:rFonts w:hint="eastAsia" w:ascii="仿宋_GB2312" w:hAnsi="仿宋_GB2312" w:eastAsia="仿宋_GB2312" w:cs="仿宋_GB2312"/>
          <w:color w:val="auto"/>
          <w:sz w:val="32"/>
          <w:szCs w:val="32"/>
          <w:highlight w:val="none"/>
          <w:lang w:val="zh-CN" w:eastAsia="zh-CN"/>
        </w:rPr>
      </w:pPr>
      <w:r>
        <w:rPr>
          <w:rFonts w:hint="eastAsia"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部门</w:t>
      </w:r>
      <w:r>
        <w:rPr>
          <w:rFonts w:hint="eastAsia" w:hAnsi="仿宋_GB2312" w:eastAsia="仿宋_GB2312" w:cs="仿宋_GB2312"/>
          <w:color w:val="auto"/>
          <w:sz w:val="32"/>
          <w:szCs w:val="32"/>
          <w:highlight w:val="none"/>
          <w:lang w:val="en-US" w:eastAsia="zh-CN"/>
        </w:rPr>
        <w:t>专项</w:t>
      </w:r>
      <w:r>
        <w:rPr>
          <w:rFonts w:hint="eastAsia" w:ascii="仿宋_GB2312" w:hAnsi="仿宋_GB2312" w:eastAsia="仿宋_GB2312" w:cs="仿宋_GB2312"/>
          <w:color w:val="auto"/>
          <w:sz w:val="32"/>
          <w:szCs w:val="32"/>
          <w:highlight w:val="none"/>
          <w:lang w:val="en-US" w:eastAsia="zh-CN"/>
        </w:rPr>
        <w:t>预算项目支出绩效自评表（2022年度）</w:t>
      </w:r>
    </w:p>
    <w:p>
      <w:pPr>
        <w:pStyle w:val="15"/>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p>
    <w:p>
      <w:pPr>
        <w:rPr>
          <w:rFonts w:hint="eastAsia" w:hAnsi="Times New Roman" w:cs="Times New Roman"/>
          <w:color w:val="auto"/>
          <w:sz w:val="32"/>
          <w:szCs w:val="32"/>
          <w:highlight w:val="none"/>
          <w:lang w:val="zh-CN" w:eastAsia="zh-CN"/>
        </w:rPr>
      </w:pPr>
      <w:r>
        <w:rPr>
          <w:rFonts w:hint="eastAsia" w:hAnsi="Times New Roman" w:cs="Times New Roman"/>
          <w:color w:val="auto"/>
          <w:sz w:val="32"/>
          <w:szCs w:val="32"/>
          <w:highlight w:val="none"/>
          <w:lang w:val="zh-CN" w:eastAsia="zh-CN"/>
        </w:rPr>
        <w:br w:type="page"/>
      </w:r>
    </w:p>
    <w:p>
      <w:pPr>
        <w:rPr>
          <w:rFonts w:hint="eastAsia"/>
          <w:lang w:val="zh-CN" w:eastAsia="zh-CN"/>
        </w:r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0"/>
        <w:gridCol w:w="691"/>
        <w:gridCol w:w="1200"/>
        <w:gridCol w:w="870"/>
        <w:gridCol w:w="588"/>
        <w:gridCol w:w="915"/>
        <w:gridCol w:w="1417"/>
        <w:gridCol w:w="1111"/>
        <w:gridCol w:w="776"/>
        <w:gridCol w:w="141"/>
        <w:gridCol w:w="4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部门整体支出绩效目标自评表（2022年度）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94" w:type="pct"/>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部门名称</w:t>
            </w:r>
          </w:p>
        </w:tc>
        <w:tc>
          <w:tcPr>
            <w:tcW w:w="410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广元市人力资源和社会保障局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任务</w:t>
            </w:r>
          </w:p>
        </w:tc>
        <w:tc>
          <w:tcPr>
            <w:tcW w:w="381" w:type="pct"/>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任务名称</w:t>
            </w:r>
          </w:p>
        </w:tc>
        <w:tc>
          <w:tcPr>
            <w:tcW w:w="114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主要内容</w:t>
            </w:r>
          </w:p>
        </w:tc>
        <w:tc>
          <w:tcPr>
            <w:tcW w:w="16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预算金额（万元）</w:t>
            </w:r>
          </w:p>
        </w:tc>
        <w:tc>
          <w:tcPr>
            <w:tcW w:w="13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实际执行（万元）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1"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总额</w:t>
            </w:r>
          </w:p>
        </w:tc>
        <w:tc>
          <w:tcPr>
            <w:tcW w:w="5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1142" w:type="pct"/>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基本工资、津贴补贴、奖金、绩效工资、机关事业单位养老保险缴费、职业年金缴费、基本医疗保险缴费、公务员医疗补助缴费、其他社会保险缴费、住房公积金、其他工资福利支出、离休费、生活补助、奖励金、其他对个人和家庭的补助支出等。</w:t>
            </w:r>
          </w:p>
        </w:tc>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5148.13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5069.27</w:t>
            </w:r>
          </w:p>
        </w:tc>
        <w:tc>
          <w:tcPr>
            <w:tcW w:w="5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5069.27</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c>
          <w:tcPr>
            <w:tcW w:w="1142" w:type="pct"/>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包括：办公费、印刷费、 咨询费、手续费、水费、电费、邮电费、差旅费、维修（护）费、租赁费、会议费、培训费、公务接待费、劳务费、工会经费、福利费、公务用车运行维护费、其他交通费用、其他商品和服务支出、办公设备购置更新、其他资本性支出等。 </w:t>
            </w:r>
          </w:p>
        </w:tc>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603.3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573.42</w:t>
            </w:r>
          </w:p>
        </w:tc>
        <w:tc>
          <w:tcPr>
            <w:tcW w:w="5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573.42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0" w:hRule="atLeast"/>
        </w:trPr>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项目经费</w:t>
            </w:r>
          </w:p>
        </w:tc>
        <w:tc>
          <w:tcPr>
            <w:tcW w:w="1142" w:type="pct"/>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包括：通用办公设备和办公家具采购经费、乡村振兴工作经费、其他组织事务支出、一般行政管理事务、劳动保障监察、社会保险业务管理事务、 信息化建设、劳动关系和维权、其他人力资源和社会保障管理事务支出、其他就业补助支出、社会保险经办机构、 综合业务管理、劳动人事争议调解仲裁、人事考试、就业管理事务、创业担保贷款贴息及奖补等方面的项目工作经费</w:t>
            </w:r>
          </w:p>
        </w:tc>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1617.25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1617.25</w:t>
            </w:r>
          </w:p>
        </w:tc>
        <w:tc>
          <w:tcPr>
            <w:tcW w:w="5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1617.25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23" w:type="pct"/>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金额合计</w:t>
            </w:r>
          </w:p>
        </w:tc>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7368.68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7259.94</w:t>
            </w:r>
          </w:p>
        </w:tc>
        <w:tc>
          <w:tcPr>
            <w:tcW w:w="5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7259.94</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3"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总体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w:t>
            </w:r>
          </w:p>
        </w:tc>
        <w:tc>
          <w:tcPr>
            <w:tcW w:w="1523" w:type="pct"/>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296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0" w:hRule="atLeast"/>
        </w:trPr>
        <w:tc>
          <w:tcPr>
            <w:tcW w:w="513"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2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目标一：全面实施县以下事业单位建立管理岗位职员等级晋升制度；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目标二：做好2022年营商环境“劳动力市场监管”指标评价工作；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目标三：推进基层服务平台标准化建设，落实先培训后上岗，持续提升基层经办能力；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目标四：开展第十四、十五批高层次人才引进工作，加快推进川陕甘结合部区域人才服务综合体项目建设；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目标五：加强职业技能培训，重点抓好“广元妹”家政服务品牌、曾家山旅游渡假区、昭化家居产业城等从业人员技能培训；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目标六：建成省级人力资源服务产业园，筹备建立川东北•川陕甘人力资源研究院；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目标七：开展社保基金管理提升年活动；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目标八：推进基层公共就业创业服务能力提升试点，加强农民工服务机构建设；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目标九：每季度召开返乡下乡创业企业困难问题会商会；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目标十：承办市人大代表视察全市返乡创业工作活动；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目标十一：失业保险基金专项整治；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目标十二：提升服务水平，承办市政协助力农民工就业增收专题协商会；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目标十三：承办廊桥返乡创业图片展；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目标十四：研究制定广元人社法治宣传教育第八个五年规划和法治建设实施方案、政策宣传方案，制定全市人社行政权力事项责任清单和权责指导清单；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目标十五：承办全省公务员参加工伤保险等政策研讨座谈会；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目标十六：学习宣传贯彻党的二十大和省第十二次党代会精神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目标十七：召开局领导班子民主生活会和2022年局领导班子“四责同述”工作会；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目标十八：召开局产业工会换届选举大会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目标十九：深入开展“温暖人社”建设，推进“川渝通办”“跨省通办”，积极推动融入成渝地区双城经济圈任务落地落实；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目标二十：做好根治拖欠农民工工资工作“国考”“省考”迎检及“市考”工作。</w:t>
            </w:r>
          </w:p>
        </w:tc>
        <w:tc>
          <w:tcPr>
            <w:tcW w:w="2963"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2022年，我局深入贯彻党的二十大和习近平总书记来川视察重要指示精神，认真落实中央和省市部署要求，坚持拼字当头、产业为先、发展为要，深入全市人系统“六心行动”，高效统筹疫情防控和人社事业发展，各项重点工作扎实推进，成效明显根治欠薪、就业创业、乡村振兴人社帮扶等工作经验在全省交流6次。三级劳务平台建设、“帮帮摊”促就业等工作经验被人力资源社会保障部就业工作快报、央视等权威媒体报道。农民工工作连续第4年受到省委、省政府通报表扬，2021年度保障农民工工资支付工作考核再次排名全省A类市（州）第一名。2022年各项职能绩效目标高质量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8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指标值（包含数字及文字描述）</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实际完成指标值（包含数字及文字描述）</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部门自评得分</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财政部门科室复评得分</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未完成原因及改进措施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66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804" w:type="pct"/>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积极落实《广元市促进就业十条措施》等减负稳岗扩就业政策，城镇新增就业人数。</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3.35万人以上</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3.85万人</w:t>
            </w:r>
          </w:p>
        </w:tc>
        <w:tc>
          <w:tcPr>
            <w:tcW w:w="6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4" w:type="pct"/>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城镇登记失业率</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控制在4.0%以内</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w:t>
            </w: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4" w:type="pct"/>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城镇居民人均可支配收入</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增长7.5%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增长4.5%，与省平均水平持平，完成省下目标任务</w:t>
            </w: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4" w:type="pct"/>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推动农村劳动力转移就业人数</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推动农村劳动力转移就业 95 万人</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96.53万人</w:t>
            </w: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4" w:type="pct"/>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持续实施“返乡创业、回家发展”计划，全年回引返乡创业人数。</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3000 人以上</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3765人</w:t>
            </w: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4" w:type="pct"/>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按季度召开返乡创业企业困难问题会商会。</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4次</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4次</w:t>
            </w: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4" w:type="pct"/>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持续提升技能培训针对性和实效性，开展补贴性职业技能培训人次。</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3.2 万人次</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3.6万人</w:t>
            </w: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4" w:type="pct"/>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创建省级人力资源服务产业园。</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1个</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1个</w:t>
            </w: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4" w:type="pct"/>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培育规上服务业企业户数。</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2户</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3户</w:t>
            </w: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4" w:type="pct"/>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争取到位资金 ，并完成向上对接年度目标任务。</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8351 万元</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8426.6万元</w:t>
            </w: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2"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804" w:type="pct"/>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目标任务完成情况</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完成各项目标任务，确保年终总体目标顺利完成，绩效目标得以实现</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高质量完成</w:t>
            </w: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2"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4" w:type="pct"/>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企业招聘用工服务。</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加强</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2"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4" w:type="pct"/>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市、县两级国有人力资源公司和乡村两级劳务专业合作社运行管理。</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完成率100%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2"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4" w:type="pct"/>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水利、环境和公共设施管理业工资总额增长速度，公共管理、社会保障和社会组织工资总额增长速度年度目标任务。</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完成率100%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2"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4" w:type="pct"/>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农民工服务保障（含工资支付）省下目标任务。</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完成率100%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2"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4" w:type="pct"/>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高层次人才引进工作。</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认真做好</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引进第十四批高层次人才116名，柔性引进“周末工程师”32名。支持零八一电子集团有限公司博士后创新实践基地进站博士后1名，</w:t>
            </w: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2"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4" w:type="pct"/>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深入实施全民参保计划，完成企业职工基本养老保险、失业保险、工伤保险等省下目标任务</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完成率100%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市养老、工伤、失业保险参保分别达188.73万、23.57万、17.67万人，企业职工基本养老保险在职参保33.5万人，完成目标任务的105.22%；全市企业职工基本养老保险费实现预算收入300526万元，完成预算收入目标269290万元的111.60%。</w:t>
            </w: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804" w:type="pct"/>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年度各项工作任务按照时间节点完成</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12月31日前完成</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按时完成</w:t>
            </w: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662"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804" w:type="pct"/>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5148.13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5069.27</w:t>
            </w: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2"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4" w:type="pct"/>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603.3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573.43</w:t>
            </w: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2"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4" w:type="pct"/>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一般行政管理事务项类目经费</w:t>
            </w:r>
          </w:p>
        </w:tc>
        <w:tc>
          <w:tcPr>
            <w:tcW w:w="5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341.65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341.65</w:t>
            </w: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2"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4" w:type="pct"/>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就业管理事务类项目经费</w:t>
            </w:r>
          </w:p>
        </w:tc>
        <w:tc>
          <w:tcPr>
            <w:tcW w:w="5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2"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4" w:type="pct"/>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社会保险业务管理事务类项目经费</w:t>
            </w:r>
          </w:p>
        </w:tc>
        <w:tc>
          <w:tcPr>
            <w:tcW w:w="5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115.33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115.33</w:t>
            </w: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2"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4" w:type="pct"/>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信息化建设类项目经费</w:t>
            </w:r>
          </w:p>
        </w:tc>
        <w:tc>
          <w:tcPr>
            <w:tcW w:w="5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466.22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466.22</w:t>
            </w: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2"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4" w:type="pct"/>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社会保险经办机构类项目经费</w:t>
            </w:r>
          </w:p>
        </w:tc>
        <w:tc>
          <w:tcPr>
            <w:tcW w:w="5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142.15</w:t>
            </w: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2"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4" w:type="pct"/>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劳动关系和维权类项目经费</w:t>
            </w:r>
          </w:p>
        </w:tc>
        <w:tc>
          <w:tcPr>
            <w:tcW w:w="5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72.25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72.25</w:t>
            </w: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2"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4" w:type="pct"/>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劳动人事争议调解仲裁项目经费</w:t>
            </w:r>
          </w:p>
        </w:tc>
        <w:tc>
          <w:tcPr>
            <w:tcW w:w="5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44.15</w:t>
            </w: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2"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4" w:type="pct"/>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政府特殊津贴项目经费</w:t>
            </w:r>
          </w:p>
        </w:tc>
        <w:tc>
          <w:tcPr>
            <w:tcW w:w="5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50.76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50.76</w:t>
            </w: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2"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4" w:type="pct"/>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其他人力资源和社会保障管理事务支出项目经费</w:t>
            </w:r>
          </w:p>
        </w:tc>
        <w:tc>
          <w:tcPr>
            <w:tcW w:w="5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156.91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156.91</w:t>
            </w: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2"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4" w:type="pct"/>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其他就业补助支出项目经费</w:t>
            </w:r>
          </w:p>
        </w:tc>
        <w:tc>
          <w:tcPr>
            <w:tcW w:w="5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210.36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210.36</w:t>
            </w: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2"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4" w:type="pct"/>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创业担保贷款贴息及奖补项目经费</w:t>
            </w:r>
          </w:p>
        </w:tc>
        <w:tc>
          <w:tcPr>
            <w:tcW w:w="5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15.46</w:t>
            </w: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662"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p>
        </w:tc>
        <w:tc>
          <w:tcPr>
            <w:tcW w:w="804" w:type="pct"/>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推动人社事业高质量发展</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提升人民群众的安全感、幸福感</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提升人民群众的安全感、幸福感</w:t>
            </w: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2"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p>
        </w:tc>
        <w:tc>
          <w:tcPr>
            <w:tcW w:w="804" w:type="pct"/>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实现劳务收入</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38"/>
                <w:lang w:val="en-US" w:eastAsia="zh-CN" w:bidi="ar"/>
              </w:rPr>
              <w:t>≧</w:t>
            </w:r>
            <w:r>
              <w:rPr>
                <w:rStyle w:val="39"/>
                <w:lang w:val="en-US" w:eastAsia="zh-CN" w:bidi="ar"/>
              </w:rPr>
              <w:t>290 亿元。</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≧308.4亿元。</w:t>
            </w: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662"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804" w:type="pct"/>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2"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4" w:type="pct"/>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考核单位满意度指标</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先进单位</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2022年度考核为先进单位</w:t>
            </w: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部门（单位）自评结论</w:t>
            </w:r>
          </w:p>
        </w:tc>
        <w:tc>
          <w:tcPr>
            <w:tcW w:w="44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我局深入贯彻党的二十大和习近平总书记来川视察重要指示精神，认真落实中央和省市部署要求，坚持拼字当头、产业为先、发展为要，深入全市人系统“六心行动”，高效统筹疫情防控和人社事业发展，各项重点工作扎实推进，成效明显根治欠薪、就业创业、乡村振兴人社帮扶等工作经验在全省交流6次。三级劳务平台建设、“帮帮摊”促就业等工作经验被人力资源社会保障部就业工作快报、央视等权威媒体报道。农民工工作连续第4年受到省委、省政府通报表扬，2021年度保障农民工工资支付工作考核再次排名全省A类市（州）第一名。2022年各项职能绩效目标高质量完成。自评得分98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部门（单位）自评存在问题</w:t>
            </w:r>
          </w:p>
        </w:tc>
        <w:tc>
          <w:tcPr>
            <w:tcW w:w="44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一是2022年因疫情影响，我部门个别项目没有实施，导致当年预算执行情况不是很理想；二是在预算绩效目标编制时，因经办人员对各项指标的理解出现偏差，导致少部分项目绩效指标混用，自评增加难度。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部门（单位）自评改进措施</w:t>
            </w:r>
          </w:p>
        </w:tc>
        <w:tc>
          <w:tcPr>
            <w:tcW w:w="44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是总结经验教训，倒排工期，加快项目实施，增强资金使用绩效。二是加强对预算绩效管理政策、制度的宣讲和对各业务科室、单位经办人员的培训，增强预算绩效管理理论知识储备和实操技能，提升整体绩效管理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财政部门对口科室复评结论及整改要求</w:t>
            </w:r>
          </w:p>
        </w:tc>
        <w:tc>
          <w:tcPr>
            <w:tcW w:w="44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36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单位项目负责人：匡顺华</w:t>
            </w:r>
          </w:p>
        </w:tc>
        <w:tc>
          <w:tcPr>
            <w:tcW w:w="263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单位财务负责人：杨永红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36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部门项目负责人：匡顺华</w:t>
            </w:r>
          </w:p>
        </w:tc>
        <w:tc>
          <w:tcPr>
            <w:tcW w:w="263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部门财务负责人：严建国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财政部门科室负责人：邓毅</w:t>
            </w:r>
          </w:p>
        </w:tc>
      </w:tr>
    </w:tbl>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br w:type="page"/>
      </w:r>
    </w:p>
    <w:tbl>
      <w:tblPr>
        <w:tblStyle w:val="16"/>
        <w:tblW w:w="96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5"/>
        <w:gridCol w:w="960"/>
        <w:gridCol w:w="810"/>
        <w:gridCol w:w="780"/>
        <w:gridCol w:w="945"/>
        <w:gridCol w:w="765"/>
        <w:gridCol w:w="900"/>
        <w:gridCol w:w="900"/>
        <w:gridCol w:w="600"/>
        <w:gridCol w:w="690"/>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96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51080021T000000051903-三支一扶管理工作经费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2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广元市人力资源和社会保障局部门</w:t>
            </w:r>
          </w:p>
        </w:tc>
        <w:tc>
          <w:tcPr>
            <w:tcW w:w="90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8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2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完成“三支一扶”在岗、续期人员培训任务。</w:t>
            </w:r>
          </w:p>
        </w:tc>
        <w:tc>
          <w:tcPr>
            <w:tcW w:w="37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已完成“三支一扶”岗前培训、在岗培训300余人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省财政厅、人力资源社会保障厅《四川省高校毕业生“三支一扶”计划中央和省级财政补助资金管理办法》（川财社〔2022〕123号）其他“三支一扶”计划岗前和在岗人员培训，由省级财政按每人每年1500元的标准予以补助。组织培训的工作人员控制在参训人员数量的5%以内，资金由市财政预算下达，主要用于“三支一扶”新招募人员岗前培训、在岗人员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45.30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45.30</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45.30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45.30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45.30</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45.30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1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610"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0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8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通过对“三支一扶”各项政策的宣传和对在岗志愿者的培训、慰问等工作，让更多的人了解“三支一扶”相关政策，吸引更多的高校毕业生加入“三支一扶”队伍；提升志愿者工作能力，调动志愿者工作热情，从而让志愿者更好的为基层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8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8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项目负责人：李佳</w:t>
            </w:r>
          </w:p>
        </w:tc>
        <w:tc>
          <w:tcPr>
            <w:tcW w:w="53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财务负责人：杨永红</w:t>
            </w:r>
          </w:p>
        </w:tc>
      </w:tr>
    </w:tbl>
    <w:p>
      <w:pPr>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br w:type="page"/>
      </w:r>
    </w:p>
    <w:tbl>
      <w:tblPr>
        <w:tblStyle w:val="16"/>
        <w:tblW w:w="96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5"/>
        <w:gridCol w:w="960"/>
        <w:gridCol w:w="810"/>
        <w:gridCol w:w="780"/>
        <w:gridCol w:w="945"/>
        <w:gridCol w:w="765"/>
        <w:gridCol w:w="900"/>
        <w:gridCol w:w="900"/>
        <w:gridCol w:w="600"/>
        <w:gridCol w:w="690"/>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6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51080023T000008651216-事业单位人员培训经费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2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广元市人力资源和社会保障局部门</w:t>
            </w:r>
          </w:p>
        </w:tc>
        <w:tc>
          <w:tcPr>
            <w:tcW w:w="90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8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2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完成事业单位新进人员培训工作。</w:t>
            </w:r>
          </w:p>
        </w:tc>
        <w:tc>
          <w:tcPr>
            <w:tcW w:w="37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已完成年度目标。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2"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人力资源社会保障局负责统筹协调，市人才交流中心和广元开放大学负责具体组织实施和项目跟进等工作。从内容设计、班级管理、现场实践、食宿保障等方面进行严密细致准备，专门印发了《学员手册》《培训资料》等研修资料，建立了研修学员微信群，指定了班干部及小组长管理团队辅助配合班主任做好班级管理工作，深入培训地点进行服务质量、常规安全及疫情防控等专项检查，组织授课专家进行授课准备与交流等。各方协调配合和精细专业的准备工作，为培训取得实效提供了有力支撑和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1"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3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此项目的实施，为进一步做好事业单位人员培训工作奠定了基础，弥补了事业单位新进人员知识储备不足，有助于学员找准自己的角色定位，在今后的工作中将发扬理论联系实际的学风，把学到的知识和本领，用到今后的具体工作中去，迎接新的挑战。</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8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8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项目负责人：周炯</w:t>
            </w:r>
          </w:p>
        </w:tc>
        <w:tc>
          <w:tcPr>
            <w:tcW w:w="53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财务负责人：杨永红</w:t>
            </w:r>
          </w:p>
        </w:tc>
      </w:tr>
    </w:tbl>
    <w:p>
      <w:pPr>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br w:type="page"/>
      </w:r>
    </w:p>
    <w:p>
      <w:pPr>
        <w:rPr>
          <w:rFonts w:hint="eastAsia" w:hAnsi="宋体" w:cs="宋体"/>
          <w:color w:val="auto"/>
          <w:kern w:val="0"/>
          <w:sz w:val="32"/>
          <w:szCs w:val="32"/>
          <w:highlight w:val="none"/>
          <w:shd w:val="clear" w:color="auto" w:fill="FFFFFF"/>
          <w:lang w:val="zh-CN"/>
        </w:rPr>
      </w:pPr>
    </w:p>
    <w:tbl>
      <w:tblPr>
        <w:tblStyle w:val="16"/>
        <w:tblW w:w="96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5"/>
        <w:gridCol w:w="960"/>
        <w:gridCol w:w="810"/>
        <w:gridCol w:w="780"/>
        <w:gridCol w:w="945"/>
        <w:gridCol w:w="765"/>
        <w:gridCol w:w="900"/>
        <w:gridCol w:w="900"/>
        <w:gridCol w:w="600"/>
        <w:gridCol w:w="690"/>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6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51080022T000005703208-广元市首批“蜀道英才工程”入选者岗位激励资金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2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广元市人力资源和社会保障局部门</w:t>
            </w:r>
          </w:p>
        </w:tc>
        <w:tc>
          <w:tcPr>
            <w:tcW w:w="90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8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2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深入贯彻落实习近平新时代人才工作重要论述及中央和省委、市委人才工作会议重要精神，根据市委组织部、市财政局等11部门《关于印发〈广元市“蜀道英才工程”实施办法〉的通知》（广组通〔2018〕87号）规定，对“蜀道英才工程”入选者在管理期内，给予每人每月500元岗位激励资金。</w:t>
            </w:r>
          </w:p>
        </w:tc>
        <w:tc>
          <w:tcPr>
            <w:tcW w:w="37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已完成“蜀道英才工程”入选者岗位激励资金每人每月500元的发放。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市委组织部《关于拨付广元市首批“蜀道英才工程”入选者2022年度岗位激励资金的函》（广组函〔2022〕52号）要求，我局负责代发29名广元工匠岗位激励资金，共计18万元（含补发1人次，合计6000元）；16名广元创业领军人才2022年度岗位激励资金，共计9.6万元。共46人次，27.6万元。截至年底，全部发放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27.60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27.60</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27.60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27.60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27.60</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27.60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8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此项目的实施切实增强优秀人才的获得感、归属感和幸福感</w:t>
            </w:r>
            <w:r>
              <w:rPr>
                <w:rFonts w:hint="eastAsia" w:ascii="宋体" w:hAnsi="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8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8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项目负责人：赵文莉</w:t>
            </w:r>
          </w:p>
        </w:tc>
        <w:tc>
          <w:tcPr>
            <w:tcW w:w="53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财务负责人：杨永红</w:t>
            </w:r>
          </w:p>
        </w:tc>
      </w:tr>
    </w:tbl>
    <w:p>
      <w:pPr>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br w:type="page"/>
      </w:r>
    </w:p>
    <w:tbl>
      <w:tblPr>
        <w:tblStyle w:val="16"/>
        <w:tblW w:w="96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5"/>
        <w:gridCol w:w="960"/>
        <w:gridCol w:w="810"/>
        <w:gridCol w:w="780"/>
        <w:gridCol w:w="945"/>
        <w:gridCol w:w="765"/>
        <w:gridCol w:w="900"/>
        <w:gridCol w:w="900"/>
        <w:gridCol w:w="600"/>
        <w:gridCol w:w="690"/>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6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51080022T000006844651-赴成都开展人才引进宣讲活动经费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2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广元市人力资源和社会保障局部门</w:t>
            </w:r>
          </w:p>
        </w:tc>
        <w:tc>
          <w:tcPr>
            <w:tcW w:w="90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8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2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完成年度人才引进计划</w:t>
            </w:r>
          </w:p>
        </w:tc>
        <w:tc>
          <w:tcPr>
            <w:tcW w:w="37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完成人才引进113人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6"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深入贯彻落实中央人才工作会议精神、市第八次党代会精神和关于加大人才引进力度的指示要求。2021年12月，我市在成都理工大学组织开展了2021年度高层次人才引进宣讲活动，与成都理工大学、西南交通大学分别召开战略合作座谈会，签订了战略合作协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24.44</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24.44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24.44</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24.44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4"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8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此项目的实施，各类平台大力宣传广元市情及引才政策，我市尊重知识、重视人才的对外形象不断巩固，对高层次人才的吸引力不断增强，构成一个良性循环。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8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8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项目负责人：李云超</w:t>
            </w:r>
          </w:p>
        </w:tc>
        <w:tc>
          <w:tcPr>
            <w:tcW w:w="53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财务负责人：杨永红</w:t>
            </w:r>
          </w:p>
        </w:tc>
      </w:tr>
    </w:tbl>
    <w:p>
      <w:pPr>
        <w:rPr>
          <w:rFonts w:hint="eastAsia" w:hAnsi="宋体" w:cs="宋体"/>
          <w:color w:val="auto"/>
          <w:kern w:val="0"/>
          <w:sz w:val="32"/>
          <w:szCs w:val="32"/>
          <w:highlight w:val="none"/>
          <w:shd w:val="clear" w:color="auto" w:fill="FFFFFF"/>
          <w:lang w:val="zh-CN"/>
        </w:rPr>
      </w:pPr>
      <w:r>
        <w:rPr>
          <w:rFonts w:hint="eastAsia"/>
          <w:lang w:val="zh-CN"/>
        </w:rPr>
        <w:br w:type="page"/>
      </w:r>
    </w:p>
    <w:tbl>
      <w:tblPr>
        <w:tblStyle w:val="16"/>
        <w:tblW w:w="96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6"/>
        <w:gridCol w:w="1139"/>
        <w:gridCol w:w="810"/>
        <w:gridCol w:w="780"/>
        <w:gridCol w:w="945"/>
        <w:gridCol w:w="765"/>
        <w:gridCol w:w="900"/>
        <w:gridCol w:w="900"/>
        <w:gridCol w:w="600"/>
        <w:gridCol w:w="690"/>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51080023T000008651104-市政府专家津贴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2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广元市人力资源和社会保障局部门</w:t>
            </w:r>
          </w:p>
        </w:tc>
        <w:tc>
          <w:tcPr>
            <w:tcW w:w="90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8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2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加快培养造就一批国内、省内一流水平的学术和技术领军人才，引领和带动我市高层次专业技术人才队伍建设。</w:t>
            </w:r>
          </w:p>
        </w:tc>
        <w:tc>
          <w:tcPr>
            <w:tcW w:w="37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已完成年度目标。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2022年，为省特殊贡献优秀专家、管理期内的省学术技术带头人、第七批市学术技术带头人共计71人按时、足额发放津贴50.76万元。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50.76</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50.76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50.76</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50.76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5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此项目的实施，确保将专家津贴按时足额发放到各位专家提供的账户，专家表示满意，体现了我市对人才的重视，助推引领和带动我市高层次专业技术人才队伍建设，有利于广元高质量发展。</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5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5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项目负责人：李云超</w:t>
            </w:r>
          </w:p>
        </w:tc>
        <w:tc>
          <w:tcPr>
            <w:tcW w:w="53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财务负责人：杨永红</w:t>
            </w:r>
          </w:p>
        </w:tc>
      </w:tr>
    </w:tbl>
    <w:p>
      <w:pPr>
        <w:pStyle w:val="2"/>
        <w:rPr>
          <w:rFonts w:hint="eastAsia" w:hAnsi="宋体" w:cs="宋体"/>
          <w:color w:val="auto"/>
          <w:kern w:val="0"/>
          <w:sz w:val="32"/>
          <w:szCs w:val="32"/>
          <w:highlight w:val="none"/>
          <w:shd w:val="clear" w:color="auto" w:fill="FFFFFF"/>
          <w:lang w:val="zh-CN"/>
        </w:rPr>
      </w:pPr>
    </w:p>
    <w:tbl>
      <w:tblPr>
        <w:tblStyle w:val="16"/>
        <w:tblW w:w="96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5"/>
        <w:gridCol w:w="960"/>
        <w:gridCol w:w="810"/>
        <w:gridCol w:w="780"/>
        <w:gridCol w:w="945"/>
        <w:gridCol w:w="765"/>
        <w:gridCol w:w="900"/>
        <w:gridCol w:w="900"/>
        <w:gridCol w:w="600"/>
        <w:gridCol w:w="690"/>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6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51080022T000007305702-第九届职业技能竞赛奖金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2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广元市人力资源和社会保障局部门</w:t>
            </w:r>
          </w:p>
        </w:tc>
        <w:tc>
          <w:tcPr>
            <w:tcW w:w="90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8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2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9"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保障第九届职业技能竞赛暨第二届茶产业竞赛奖励资金全额发放到位</w:t>
            </w:r>
          </w:p>
        </w:tc>
        <w:tc>
          <w:tcPr>
            <w:tcW w:w="37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已完成年度目标。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1"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第九届职业技能竞赛暨第二届茶产业竞赛因疫情原因，延迟到2023年开展，已完成所有赛事，奖励金已全部发放到位。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41.85</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38.85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92.83%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41.85</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38.85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92.83%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8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此项目的实施，将会激励更所得青年人走技能成才之路，为社会和国家储备更多的技能人才。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8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8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项目负责人：赵文莉</w:t>
            </w:r>
          </w:p>
        </w:tc>
        <w:tc>
          <w:tcPr>
            <w:tcW w:w="53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财务负责人：杨永红</w:t>
            </w:r>
          </w:p>
        </w:tc>
      </w:tr>
    </w:tbl>
    <w:p>
      <w:pPr>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br w:type="page"/>
      </w:r>
    </w:p>
    <w:tbl>
      <w:tblPr>
        <w:tblStyle w:val="16"/>
        <w:tblW w:w="96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5"/>
        <w:gridCol w:w="960"/>
        <w:gridCol w:w="810"/>
        <w:gridCol w:w="780"/>
        <w:gridCol w:w="945"/>
        <w:gridCol w:w="765"/>
        <w:gridCol w:w="900"/>
        <w:gridCol w:w="900"/>
        <w:gridCol w:w="600"/>
        <w:gridCol w:w="690"/>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6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51080022T000006844581-技能大师工作室补助资金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2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广元市人力资源和社会保障局部门</w:t>
            </w:r>
          </w:p>
        </w:tc>
        <w:tc>
          <w:tcPr>
            <w:tcW w:w="90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8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2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8"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建设市级技能大师工作室，整合高技能人才资源，在技术攻关创新和高技能人才培养方面，形成团队优势，实施重点攻关、重点突破；示范引领广元市高技能人才队伍建设。</w:t>
            </w:r>
          </w:p>
        </w:tc>
        <w:tc>
          <w:tcPr>
            <w:tcW w:w="37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已完成年度目标。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2020年，我市启动了第四批市级技能大师工作室遴选工作。通过申报、推荐、实地考察、综合评议和公示等程序，确定广元市伏华林数控加工技能大师工作室、广元市都亮焊工技能大师工作室、广元市王霏茶艺技能大师工作室3家为第四批广元市技能大师工作室。2022年5月，市财政局向我局下达第四批技能大师工作室补助资金预算指标9万元。经局务会同意，拨付3家市级技能大师工作室建设补助资金共计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8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按时拨付技能大师工作室的建设补助资金，引领广元市高技能人才队伍建设。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8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8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2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项目负责人：赵文莉</w:t>
            </w:r>
          </w:p>
        </w:tc>
        <w:tc>
          <w:tcPr>
            <w:tcW w:w="53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财务负责人：杨永红</w:t>
            </w:r>
          </w:p>
        </w:tc>
      </w:tr>
    </w:tbl>
    <w:p>
      <w:pPr>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br w:type="page"/>
      </w:r>
    </w:p>
    <w:p>
      <w:pPr>
        <w:pStyle w:val="2"/>
        <w:outlineLvl w:val="1"/>
        <w:rPr>
          <w:rFonts w:hint="eastAsia" w:eastAsia="仿宋_GB2312"/>
          <w:color w:val="auto"/>
          <w:sz w:val="32"/>
          <w:szCs w:val="32"/>
          <w:highlight w:val="none"/>
          <w:lang w:val="en-US" w:eastAsia="zh-CN"/>
        </w:rPr>
      </w:pPr>
      <w:bookmarkStart w:id="122" w:name="_Toc29914"/>
      <w:bookmarkStart w:id="123" w:name="_Toc13597"/>
      <w:bookmarkStart w:id="124" w:name="_Toc4543"/>
      <w:bookmarkStart w:id="125" w:name="_Toc22589"/>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w:t>
      </w:r>
      <w:bookmarkEnd w:id="122"/>
      <w:bookmarkEnd w:id="123"/>
      <w:bookmarkEnd w:id="124"/>
      <w:bookmarkEnd w:id="125"/>
    </w:p>
    <w:p>
      <w:pPr>
        <w:pStyle w:val="35"/>
        <w:keepNext w:val="0"/>
        <w:keepLines w:val="0"/>
        <w:pageBreakBefore w:val="0"/>
        <w:widowControl w:val="0"/>
        <w:kinsoku/>
        <w:wordWrap/>
        <w:overflowPunct/>
        <w:topLinePunct w:val="0"/>
        <w:autoSpaceDE/>
        <w:autoSpaceDN/>
        <w:bidi w:val="0"/>
        <w:spacing w:line="578" w:lineRule="exact"/>
        <w:jc w:val="center"/>
        <w:textAlignment w:val="auto"/>
        <w:rPr>
          <w:rFonts w:hint="default"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2023年专项资金预算项目绩效自评报告一</w:t>
      </w:r>
    </w:p>
    <w:p>
      <w:pPr>
        <w:pStyle w:val="35"/>
        <w:keepNext w:val="0"/>
        <w:keepLines w:val="0"/>
        <w:pageBreakBefore w:val="0"/>
        <w:widowControl w:val="0"/>
        <w:kinsoku/>
        <w:wordWrap/>
        <w:overflowPunct/>
        <w:topLinePunct w:val="0"/>
        <w:autoSpaceDE/>
        <w:autoSpaceDN/>
        <w:bidi w:val="0"/>
        <w:spacing w:line="578" w:lineRule="exact"/>
        <w:jc w:val="center"/>
        <w:textAlignment w:val="auto"/>
        <w:rPr>
          <w:rFonts w:hint="eastAsia" w:ascii="仿宋_GB2312" w:hAnsi="仿宋_GB2312" w:eastAsia="仿宋_GB2312" w:cs="仿宋_GB2312"/>
          <w:b w:val="0"/>
          <w:bCs w:val="0"/>
          <w:color w:val="auto"/>
          <w:kern w:val="2"/>
          <w:sz w:val="32"/>
          <w:szCs w:val="32"/>
          <w:highlight w:val="none"/>
          <w:lang w:eastAsia="zh-CN"/>
        </w:rPr>
      </w:pPr>
      <w:r>
        <w:rPr>
          <w:rFonts w:hint="eastAsia" w:ascii="方正小标宋简体" w:hAnsi="方正小标宋简体" w:eastAsia="方正小标宋简体" w:cs="方正小标宋简体"/>
          <w:color w:val="auto"/>
          <w:kern w:val="2"/>
          <w:sz w:val="32"/>
          <w:szCs w:val="32"/>
          <w:highlight w:val="none"/>
          <w:lang w:val="en-US" w:eastAsia="zh-CN"/>
        </w:rPr>
        <w:t>（</w:t>
      </w:r>
      <w:r>
        <w:rPr>
          <w:rFonts w:hint="eastAsia" w:ascii="仿宋_GB2312" w:hAnsi="仿宋_GB2312" w:eastAsia="仿宋_GB2312" w:cs="仿宋_GB2312"/>
          <w:b w:val="0"/>
          <w:bCs w:val="0"/>
          <w:color w:val="auto"/>
          <w:kern w:val="2"/>
          <w:sz w:val="32"/>
          <w:szCs w:val="32"/>
          <w:highlight w:val="none"/>
          <w:lang w:val="en-US" w:eastAsia="zh-CN"/>
        </w:rPr>
        <w:t>高校毕业生</w:t>
      </w: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rPr>
        <w:t>三支一扶</w:t>
      </w: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rPr>
        <w:t>人员培训</w:t>
      </w:r>
      <w:r>
        <w:rPr>
          <w:rFonts w:hint="eastAsia" w:ascii="仿宋_GB2312" w:hAnsi="仿宋_GB2312" w:eastAsia="仿宋_GB2312" w:cs="仿宋_GB2312"/>
          <w:b w:val="0"/>
          <w:bCs w:val="0"/>
          <w:color w:val="auto"/>
          <w:kern w:val="2"/>
          <w:sz w:val="32"/>
          <w:szCs w:val="32"/>
          <w:highlight w:val="none"/>
          <w:lang w:eastAsia="zh-CN"/>
        </w:rPr>
        <w:t>经费）</w:t>
      </w:r>
    </w:p>
    <w:p>
      <w:pPr>
        <w:pStyle w:val="35"/>
        <w:keepNext w:val="0"/>
        <w:keepLines w:val="0"/>
        <w:pageBreakBefore w:val="0"/>
        <w:widowControl w:val="0"/>
        <w:kinsoku/>
        <w:wordWrap/>
        <w:overflowPunct/>
        <w:topLinePunct w:val="0"/>
        <w:autoSpaceDE/>
        <w:autoSpaceDN/>
        <w:bidi w:val="0"/>
        <w:spacing w:line="560" w:lineRule="exact"/>
        <w:jc w:val="center"/>
        <w:textAlignment w:val="auto"/>
        <w:rPr>
          <w:rFonts w:hint="default" w:ascii="仿宋_GB2312" w:hAnsi="仿宋_GB2312" w:eastAsia="仿宋_GB2312" w:cs="仿宋_GB2312"/>
          <w:b w:val="0"/>
          <w:bCs w:val="0"/>
          <w:color w:val="auto"/>
          <w:kern w:val="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1"/>
        <w:rPr>
          <w:rFonts w:ascii="黑体" w:hAnsi="宋体" w:eastAsia="黑体"/>
          <w:b w:val="0"/>
          <w:bCs w:val="0"/>
          <w:sz w:val="32"/>
          <w:szCs w:val="32"/>
          <w:highlight w:val="none"/>
          <w:lang w:val="zh-CN"/>
        </w:rPr>
      </w:pPr>
      <w:bookmarkStart w:id="126" w:name="_Toc32690"/>
      <w:bookmarkStart w:id="127" w:name="_Toc6612"/>
      <w:bookmarkStart w:id="128" w:name="_Toc11013"/>
      <w:bookmarkStart w:id="129" w:name="_Toc12741"/>
      <w:r>
        <w:rPr>
          <w:rFonts w:hint="eastAsia" w:ascii="黑体" w:hAnsi="宋体" w:eastAsia="黑体"/>
          <w:b w:val="0"/>
          <w:bCs w:val="0"/>
          <w:sz w:val="32"/>
          <w:szCs w:val="32"/>
          <w:highlight w:val="none"/>
        </w:rPr>
        <w:t>一、</w:t>
      </w:r>
      <w:r>
        <w:rPr>
          <w:rFonts w:hint="eastAsia" w:ascii="黑体" w:hAnsi="宋体" w:eastAsia="黑体"/>
          <w:b w:val="0"/>
          <w:bCs w:val="0"/>
          <w:sz w:val="32"/>
          <w:szCs w:val="32"/>
          <w:highlight w:val="none"/>
          <w:lang w:val="zh-CN"/>
        </w:rPr>
        <w:t>项目概况</w:t>
      </w:r>
      <w:bookmarkEnd w:id="126"/>
      <w:bookmarkEnd w:id="127"/>
      <w:bookmarkEnd w:id="128"/>
      <w:bookmarkEnd w:id="129"/>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2"/>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（一）项目基本情况。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rPr>
      </w:pPr>
      <w:r>
        <w:rPr>
          <w:rFonts w:hint="eastAsia" w:ascii="仿宋_GB2312" w:hAnsi="仿宋_GB2312" w:eastAsia="仿宋_GB2312" w:cs="仿宋_GB2312"/>
          <w:color w:val="auto"/>
          <w:sz w:val="32"/>
          <w:szCs w:val="32"/>
        </w:rPr>
        <w:t>我局</w:t>
      </w:r>
      <w:r>
        <w:rPr>
          <w:rFonts w:hint="eastAsia" w:ascii="仿宋_GB2312" w:hAnsi="仿宋_GB2312" w:eastAsia="仿宋_GB2312" w:cs="仿宋_GB2312"/>
          <w:color w:val="auto"/>
          <w:sz w:val="32"/>
          <w:szCs w:val="32"/>
          <w:lang w:val="en-US" w:eastAsia="zh-CN"/>
        </w:rPr>
        <w:t>牵头</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组织实施高校毕业生面向基层服务项目和计划工作，</w:t>
      </w:r>
      <w:r>
        <w:rPr>
          <w:rFonts w:hint="eastAsia" w:ascii="仿宋_GB2312" w:hAnsi="仿宋_GB2312" w:eastAsia="仿宋_GB2312" w:cs="仿宋_GB2312"/>
          <w:color w:val="auto"/>
          <w:sz w:val="32"/>
          <w:szCs w:val="32"/>
        </w:rPr>
        <w:t>承担全市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三支一扶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计划招募和管理协调工作。负责组织实施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三支一扶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新招募上岗人员岗前培训和在岗人员培训。</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根据</w:t>
      </w:r>
      <w:r>
        <w:rPr>
          <w:rFonts w:hint="eastAsia" w:ascii="仿宋_GB2312" w:hAnsi="仿宋_GB2312" w:eastAsia="仿宋_GB2312" w:cs="仿宋_GB2312"/>
          <w:sz w:val="32"/>
          <w:szCs w:val="32"/>
        </w:rPr>
        <w:t>省委组织部、省人力资源社会保障厅等10部门《关于实施第四轮高校毕业生“三支一扶”计划的通知》（川人社发〔2021〕19号）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省财政厅、人力资源社会保障厅《四川省高校毕业生“三支一扶”计划中央和省级财政补助资金管理办法》（川财社</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123</w:t>
      </w:r>
      <w:r>
        <w:rPr>
          <w:rFonts w:hint="eastAsia" w:ascii="仿宋_GB2312" w:hAnsi="仿宋_GB2312" w:eastAsia="仿宋_GB2312" w:cs="仿宋_GB2312"/>
          <w:sz w:val="32"/>
          <w:szCs w:val="32"/>
        </w:rPr>
        <w:t>号</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文件精神，其他“三支一扶”计划岗前和在岗人员培训，由省级财政按每人每年1500元的标准予以补助。组织培训的工作人员控制在参训人员数量的5%以内，资金由市财政预算下达，主要用于“三支一扶”新招募人员岗前培训、在岗人员培训。</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我市根据当年高校毕业生“三支一扶”招募计划及当年在岗人数测算，2022年计划新招募培训117人，在岗培训181人（其中在岗培训拟于2023年上半年开展），按照每人每年1500元的标准安排资金使用。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2"/>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（二）项目绩效目标。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开展高校毕业生“三支一扶”人员岗前培训、在岗培训298人次，</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培训合格率</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为100%。根据工作实际在2年内分批次</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完成</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培训任务。培训目的为</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提高“</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三支一扶</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”人员稳定率，增强“三支一扶”人员综合素质</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和</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用人单位满意度、群众满意度。</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此</w:t>
      </w:r>
      <w:r>
        <w:rPr>
          <w:rFonts w:hint="eastAsia" w:ascii="仿宋_GB2312" w:hAnsi="仿宋_GB2312" w:eastAsia="仿宋_GB2312" w:cs="仿宋_GB2312"/>
          <w:color w:val="auto"/>
          <w:sz w:val="32"/>
          <w:szCs w:val="32"/>
        </w:rPr>
        <w:t>项目资金</w:t>
      </w:r>
      <w:r>
        <w:rPr>
          <w:rFonts w:hint="eastAsia" w:ascii="仿宋_GB2312" w:hAnsi="仿宋_GB2312" w:eastAsia="仿宋_GB2312" w:cs="仿宋_GB2312"/>
          <w:color w:val="auto"/>
          <w:sz w:val="32"/>
          <w:szCs w:val="32"/>
          <w:lang w:val="en-US" w:eastAsia="zh-CN"/>
        </w:rPr>
        <w:t>下达使用范围</w:t>
      </w:r>
      <w:r>
        <w:rPr>
          <w:rFonts w:hint="eastAsia" w:ascii="仿宋_GB2312" w:hAnsi="仿宋_GB2312" w:eastAsia="仿宋_GB2312" w:cs="仿宋_GB2312"/>
          <w:color w:val="auto"/>
          <w:sz w:val="32"/>
          <w:szCs w:val="32"/>
        </w:rPr>
        <w:t>与我单位开展</w:t>
      </w:r>
      <w:r>
        <w:rPr>
          <w:rFonts w:hint="eastAsia" w:ascii="仿宋_GB2312" w:hAnsi="仿宋_GB2312" w:eastAsia="仿宋_GB2312" w:cs="仿宋_GB2312"/>
          <w:color w:val="auto"/>
          <w:sz w:val="32"/>
          <w:szCs w:val="32"/>
          <w:lang w:val="en-US" w:eastAsia="zh-CN"/>
        </w:rPr>
        <w:t>的高校毕业“三支一扶”人员岗前培训、在岗人员培训</w:t>
      </w:r>
      <w:r>
        <w:rPr>
          <w:rFonts w:hint="eastAsia" w:ascii="仿宋_GB2312" w:hAnsi="仿宋_GB2312" w:eastAsia="仿宋_GB2312" w:cs="仿宋_GB2312"/>
          <w:color w:val="auto"/>
          <w:sz w:val="32"/>
          <w:szCs w:val="32"/>
        </w:rPr>
        <w:t>内容完全相符、申报目标经测算合理可行</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2"/>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（三）项目自评步骤及方法。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一是加强统筹，</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成立</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以</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人力资源流动科科室负责人</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为组长，科室其余人员为成员的自评工作组。二是组织实施，通过查阅资料、审核票据，看有无虚列支出、票据不规范的情况。三是考评结果，通过自评，得出考评分值，并查找问题，分析原因，提出</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下一步工作</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整改意见。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130" w:name="_Toc5186"/>
      <w:bookmarkStart w:id="131" w:name="_Toc22662"/>
      <w:bookmarkStart w:id="132" w:name="_Toc25339"/>
      <w:bookmarkStart w:id="133" w:name="_Toc10872"/>
      <w:r>
        <w:rPr>
          <w:rFonts w:hint="eastAsia" w:ascii="黑体" w:hAnsi="宋体" w:eastAsia="黑体"/>
          <w:b w:val="0"/>
          <w:bCs w:val="0"/>
          <w:color w:val="auto"/>
          <w:sz w:val="32"/>
          <w:szCs w:val="32"/>
          <w:highlight w:val="none"/>
          <w:u w:val="none"/>
        </w:rPr>
        <w:t>二、项目资金申报及使用情况</w:t>
      </w:r>
      <w:bookmarkEnd w:id="130"/>
      <w:bookmarkEnd w:id="131"/>
      <w:bookmarkEnd w:id="132"/>
      <w:bookmarkEnd w:id="133"/>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2"/>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（一）项目资金申报及批复情况。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申报项目资金</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45.3万元，批复45.3万元，未调整预算。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2"/>
        <w:rPr>
          <w:rFonts w:ascii="仿宋_GB2312" w:hAnsi="宋体"/>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（二）资金计划、到位及使用情况。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1．资金计划。</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该项目资金为高校毕业生“三支一扶”计划补助资金，属于省级财政资金。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2．资金到位。</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截至目前资金下达45.30万元，下达率为100%。</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3．资金使用。</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截至评价日已使用45.30万元。资金使用严格准守有关规定，安全、规范，在</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支付范围、支付标准、支付进度、支付依据等</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完全</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合规合法、与预算相符。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2"/>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（三）项目财务管理情况。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建</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有</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健全的内部控制制度，内部控制管理运行有效。</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项目资金按照统一的</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财务管理制度</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进行管理</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，设</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有</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项目管理机构，会计核算及账务处理</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准确、规范</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、专款专用。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134" w:name="_Toc24086"/>
      <w:bookmarkStart w:id="135" w:name="_Toc15684"/>
      <w:bookmarkStart w:id="136" w:name="_Toc17073"/>
      <w:bookmarkStart w:id="137" w:name="_Toc6637"/>
      <w:r>
        <w:rPr>
          <w:rFonts w:hint="eastAsia" w:ascii="黑体" w:hAnsi="宋体" w:eastAsia="黑体"/>
          <w:b w:val="0"/>
          <w:bCs w:val="0"/>
          <w:color w:val="auto"/>
          <w:sz w:val="32"/>
          <w:szCs w:val="32"/>
          <w:highlight w:val="none"/>
          <w:u w:val="none"/>
        </w:rPr>
        <w:t>三、项目实施及管理情况</w:t>
      </w:r>
      <w:bookmarkEnd w:id="134"/>
      <w:bookmarkEnd w:id="135"/>
      <w:bookmarkEnd w:id="136"/>
      <w:bookmarkEnd w:id="137"/>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楷体_GB2312" w:hAnsi="宋体" w:eastAsia="楷体_GB2312"/>
          <w:b w:val="0"/>
          <w:bCs w:val="0"/>
          <w:color w:val="auto"/>
          <w:sz w:val="32"/>
          <w:szCs w:val="32"/>
          <w:highlight w:val="none"/>
          <w:u w:val="none"/>
          <w:lang w:val="zh-CN"/>
        </w:rPr>
        <w:t>（一）项目组织架构及实施流程。</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该项目由局人力资源流动管理科牵头负责，由局人力资源培训中心负责具体实施。局人力资源培训中心起草培训方案，由局党组通过培训实施方案后，通知参训人员参加培训。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楷体_GB2312" w:hAnsi="宋体" w:eastAsia="楷体_GB2312"/>
          <w:b w:val="0"/>
          <w:bCs w:val="0"/>
          <w:color w:val="auto"/>
          <w:sz w:val="32"/>
          <w:szCs w:val="32"/>
          <w:highlight w:val="none"/>
          <w:u w:val="none"/>
          <w:lang w:val="zh-CN"/>
        </w:rPr>
        <w:t>（二）项目管理情况。</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根据</w:t>
      </w:r>
      <w:r>
        <w:rPr>
          <w:rFonts w:hint="eastAsia" w:ascii="仿宋_GB2312" w:hAnsi="仿宋_GB2312" w:eastAsia="仿宋_GB2312" w:cs="仿宋_GB2312"/>
          <w:sz w:val="32"/>
          <w:szCs w:val="32"/>
        </w:rPr>
        <w:t>《关于实施第四轮高校毕业生“三支一扶”计划的通知》（川人社发〔2021〕19号）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《四川省高校毕业生“三支一扶”计划中央和省级财政补助资金管理办法》（川财社</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123</w:t>
      </w:r>
      <w:r>
        <w:rPr>
          <w:rFonts w:hint="eastAsia" w:ascii="仿宋_GB2312" w:hAnsi="仿宋_GB2312" w:eastAsia="仿宋_GB2312" w:cs="仿宋_GB2312"/>
          <w:sz w:val="32"/>
          <w:szCs w:val="32"/>
        </w:rPr>
        <w:t>号</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）等相关文件要求，严格规范落实项目过程管理。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楷体_GB2312" w:hAnsi="宋体" w:eastAsia="楷体_GB2312"/>
          <w:b w:val="0"/>
          <w:bCs w:val="0"/>
          <w:color w:val="auto"/>
          <w:sz w:val="32"/>
          <w:szCs w:val="32"/>
          <w:highlight w:val="none"/>
          <w:u w:val="none"/>
          <w:lang w:val="zh-CN"/>
        </w:rPr>
        <w:t>（三）项目监管情况。</w:t>
      </w:r>
      <w:r>
        <w:rPr>
          <w:rFonts w:hint="eastAsia" w:ascii="仿宋_GB2312" w:hAnsi="仿宋_GB2312" w:eastAsia="仿宋_GB2312" w:cs="仿宋_GB2312"/>
          <w:b w:val="0"/>
          <w:bCs w:val="0"/>
          <w:color w:val="auto"/>
          <w:sz w:val="32"/>
          <w:szCs w:val="32"/>
          <w:highlight w:val="none"/>
          <w:u w:val="none"/>
          <w:lang w:val="en-US" w:eastAsia="zh-CN"/>
        </w:rPr>
        <w:t>项目实施全过程由专人进行监督，资金拨付</w:t>
      </w:r>
      <w:r>
        <w:rPr>
          <w:rFonts w:hint="eastAsia" w:ascii="仿宋_GB2312" w:hAnsi="仿宋_GB2312" w:eastAsia="仿宋_GB2312" w:cs="仿宋_GB2312"/>
          <w:color w:val="auto"/>
          <w:sz w:val="32"/>
          <w:szCs w:val="32"/>
          <w:lang w:val="zh-CN"/>
        </w:rPr>
        <w:t>严格财务报销制度，科室内部定期对发生的票据进行内部审计，确保资金使用安全、规范、有效。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1"/>
        <w:rPr>
          <w:rFonts w:ascii="仿宋_GB2312" w:hAnsi="宋体"/>
          <w:b w:val="0"/>
          <w:bCs w:val="0"/>
          <w:color w:val="auto"/>
          <w:sz w:val="32"/>
          <w:szCs w:val="32"/>
          <w:highlight w:val="none"/>
          <w:u w:val="none"/>
          <w:lang w:val="zh-CN"/>
        </w:rPr>
      </w:pPr>
      <w:bookmarkStart w:id="138" w:name="_Toc31932"/>
      <w:bookmarkStart w:id="139" w:name="_Toc28540"/>
      <w:bookmarkStart w:id="140" w:name="_Toc5112"/>
      <w:bookmarkStart w:id="141" w:name="_Toc17047"/>
      <w:r>
        <w:rPr>
          <w:rFonts w:hint="eastAsia" w:ascii="黑体" w:hAnsi="宋体" w:eastAsia="黑体"/>
          <w:b w:val="0"/>
          <w:bCs w:val="0"/>
          <w:color w:val="auto"/>
          <w:sz w:val="32"/>
          <w:szCs w:val="32"/>
          <w:highlight w:val="none"/>
          <w:u w:val="none"/>
        </w:rPr>
        <w:t>四、项目绩效情况</w:t>
      </w:r>
      <w:bookmarkEnd w:id="138"/>
      <w:bookmarkEnd w:id="139"/>
      <w:bookmarkEnd w:id="140"/>
      <w:bookmarkEnd w:id="141"/>
      <w:r>
        <w:rPr>
          <w:rFonts w:hint="eastAsia" w:ascii="仿宋_GB2312" w:hAnsi="宋体"/>
          <w:b w:val="0"/>
          <w:bCs w:val="0"/>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2"/>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全年完成全市2022年“三支一扶”新招募志愿者岗前培训和在岗培训300余人，培训合格率100%。</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2"/>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培训实行全封闭式管理，教学内容主要包括以开展学习贯彻习近平新时代中国特色社会主义思想、习近平总书记来川视察重要指示和省第十二次党代会精神的党性教育，结合“三支一扶”工作岗位的法纪教育，结合基层工作基本技能需求的公文写作与处理、突发事件预防与应急处置的专题讲座，结合全市经济社会发展情况对乡村振兴战略及乡村振兴促进法进行系统学习，以便新招募志愿者及时转变角色、尽快适应新的工作岗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142" w:name="_Toc13398"/>
      <w:bookmarkStart w:id="143" w:name="_Toc11943"/>
      <w:bookmarkStart w:id="144" w:name="_Toc31069"/>
      <w:bookmarkStart w:id="145" w:name="_Toc6255"/>
      <w:r>
        <w:rPr>
          <w:rFonts w:hint="eastAsia" w:ascii="黑体" w:hAnsi="宋体" w:eastAsia="黑体"/>
          <w:b w:val="0"/>
          <w:bCs w:val="0"/>
          <w:color w:val="auto"/>
          <w:sz w:val="32"/>
          <w:szCs w:val="32"/>
          <w:highlight w:val="none"/>
          <w:u w:val="none"/>
        </w:rPr>
        <w:t>五、评价结论及建议</w:t>
      </w:r>
      <w:bookmarkEnd w:id="142"/>
      <w:bookmarkEnd w:id="143"/>
      <w:bookmarkEnd w:id="144"/>
      <w:bookmarkEnd w:id="145"/>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2"/>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（一）评价结论。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本项目旨在为高校毕业生“三支一扶”计划实施提供培训保障，引导鼓励高校毕业生到基层建功立业，提高基层人才队伍素质，提高服务基层人才队伍稳定性。在实施过程中，我单位较好的完成了各项指标。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2"/>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60" w:lineRule="exact"/>
        <w:ind w:firstLine="596" w:firstLineChars="200"/>
        <w:jc w:val="both"/>
        <w:textAlignment w:val="auto"/>
        <w:rPr>
          <w:rFonts w:hint="default" w:ascii="仿宋_GB2312" w:hAnsi="仿宋_GB2312" w:eastAsia="仿宋_GB2312" w:cs="仿宋_GB2312"/>
          <w:b w:val="0"/>
          <w:bCs w:val="0"/>
          <w:color w:val="auto"/>
          <w:spacing w:val="-11"/>
          <w:sz w:val="32"/>
          <w:szCs w:val="32"/>
          <w:highlight w:val="none"/>
          <w:u w:val="none"/>
          <w:lang w:val="en-US" w:eastAsia="zh-CN"/>
        </w:rPr>
      </w:pPr>
      <w:r>
        <w:rPr>
          <w:rFonts w:hint="eastAsia" w:ascii="仿宋_GB2312" w:hAnsi="仿宋_GB2312" w:eastAsia="仿宋_GB2312" w:cs="仿宋_GB2312"/>
          <w:b w:val="0"/>
          <w:bCs w:val="0"/>
          <w:color w:val="auto"/>
          <w:spacing w:val="-11"/>
          <w:sz w:val="32"/>
          <w:szCs w:val="32"/>
          <w:highlight w:val="none"/>
          <w:u w:val="none"/>
          <w:lang w:val="en-US" w:eastAsia="zh-CN"/>
        </w:rPr>
        <w:t>按照年度工作计划，本项目资金存在时间差，每年培训资金下达资金按照下达时人数拨付资金，岗前培训在资金拨付前开展，但在岗人员培训一般在次年开展，在这个过程会出现人员自然流失现象。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2"/>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（三）相关建议。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建议从本年度起，“三支一扶”项目培训资金拨付方式统一调整为事后拨付，即培训组织是时候，按照实际培训人数和规定标准及时向承办单位据实拨付。</w:t>
      </w:r>
    </w:p>
    <w:p>
      <w:pPr>
        <w:pStyle w:val="35"/>
        <w:keepNext w:val="0"/>
        <w:keepLines w:val="0"/>
        <w:pageBreakBefore w:val="0"/>
        <w:widowControl w:val="0"/>
        <w:kinsoku/>
        <w:wordWrap/>
        <w:overflowPunct/>
        <w:topLinePunct w:val="0"/>
        <w:autoSpaceDE/>
        <w:autoSpaceDN/>
        <w:bidi w:val="0"/>
        <w:spacing w:line="578" w:lineRule="exact"/>
        <w:jc w:val="center"/>
        <w:textAlignment w:val="auto"/>
        <w:rPr>
          <w:rFonts w:hint="default"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2023年专项资金预算项目绩效自评报告二</w:t>
      </w:r>
    </w:p>
    <w:p>
      <w:pPr>
        <w:pStyle w:val="35"/>
        <w:keepNext w:val="0"/>
        <w:keepLines w:val="0"/>
        <w:pageBreakBefore w:val="0"/>
        <w:widowControl w:val="0"/>
        <w:kinsoku/>
        <w:wordWrap/>
        <w:overflowPunct/>
        <w:topLinePunct w:val="0"/>
        <w:autoSpaceDE/>
        <w:autoSpaceDN/>
        <w:bidi w:val="0"/>
        <w:spacing w:line="578" w:lineRule="exact"/>
        <w:ind w:firstLine="640"/>
        <w:jc w:val="center"/>
        <w:textAlignment w:val="auto"/>
        <w:rPr>
          <w:rFonts w:ascii="宋体" w:hAnsi="宋体"/>
          <w:color w:val="auto"/>
          <w:kern w:val="2"/>
          <w:sz w:val="32"/>
          <w:szCs w:val="32"/>
          <w:highlight w:val="none"/>
        </w:rPr>
      </w:pPr>
      <w:r>
        <w:rPr>
          <w:rFonts w:hint="eastAsia" w:ascii="方正小标宋简体" w:hAnsi="方正小标宋简体" w:eastAsia="方正小标宋简体" w:cs="方正小标宋简体"/>
          <w:color w:val="auto"/>
          <w:kern w:val="2"/>
          <w:sz w:val="32"/>
          <w:szCs w:val="32"/>
          <w:highlight w:val="none"/>
          <w:lang w:val="en-US" w:eastAsia="zh-CN"/>
        </w:rPr>
        <w:t>（</w:t>
      </w:r>
      <w:r>
        <w:rPr>
          <w:rFonts w:hint="eastAsia" w:ascii="仿宋_GB2312" w:hAnsi="宋体" w:eastAsia="仿宋_GB2312"/>
          <w:sz w:val="32"/>
          <w:szCs w:val="32"/>
        </w:rPr>
        <w:t>事业单位</w:t>
      </w:r>
      <w:r>
        <w:rPr>
          <w:rFonts w:hint="eastAsia" w:ascii="仿宋_GB2312" w:hAnsi="宋体" w:eastAsia="仿宋_GB2312"/>
          <w:sz w:val="32"/>
          <w:szCs w:val="32"/>
          <w:lang w:val="en-US" w:eastAsia="zh-CN"/>
        </w:rPr>
        <w:t>人员培训工作经费</w:t>
      </w:r>
      <w:r>
        <w:rPr>
          <w:rFonts w:hint="eastAsia" w:ascii="仿宋_GB2312" w:hAnsi="仿宋_GB2312" w:eastAsia="仿宋_GB2312" w:cs="仿宋_GB2312"/>
          <w:b w:val="0"/>
          <w:bCs w:val="0"/>
          <w:color w:val="auto"/>
          <w:kern w:val="2"/>
          <w:sz w:val="32"/>
          <w:szCs w:val="32"/>
          <w:highlight w:val="none"/>
          <w:lang w:eastAsia="zh-CN"/>
        </w:rPr>
        <w:t>）</w:t>
      </w:r>
    </w:p>
    <w:bookmarkEnd w:id="99"/>
    <w:p>
      <w:pPr>
        <w:spacing w:line="576" w:lineRule="exact"/>
        <w:ind w:firstLine="643" w:firstLineChars="200"/>
        <w:outlineLvl w:val="1"/>
        <w:rPr>
          <w:rFonts w:ascii="黑体" w:eastAsia="黑体"/>
          <w:b/>
          <w:sz w:val="32"/>
          <w:szCs w:val="32"/>
        </w:rPr>
      </w:pPr>
      <w:bookmarkStart w:id="146" w:name="_Toc18578"/>
      <w:bookmarkStart w:id="147" w:name="_Toc18971"/>
      <w:bookmarkStart w:id="148" w:name="_Toc32307"/>
      <w:bookmarkStart w:id="149" w:name="_Toc31507"/>
      <w:bookmarkStart w:id="150" w:name="_Toc15396620"/>
      <w:r>
        <w:rPr>
          <w:rFonts w:hint="eastAsia" w:ascii="黑体" w:eastAsia="黑体"/>
          <w:b/>
          <w:sz w:val="32"/>
          <w:szCs w:val="32"/>
        </w:rPr>
        <w:t>一、项目概况</w:t>
      </w:r>
      <w:bookmarkEnd w:id="146"/>
      <w:bookmarkEnd w:id="147"/>
      <w:bookmarkEnd w:id="148"/>
      <w:bookmarkEnd w:id="149"/>
    </w:p>
    <w:p>
      <w:pPr>
        <w:spacing w:line="576" w:lineRule="exact"/>
        <w:ind w:firstLine="643" w:firstLineChars="200"/>
        <w:outlineLvl w:val="2"/>
        <w:rPr>
          <w:rFonts w:hint="eastAsia" w:ascii="楷体_GB2312" w:eastAsia="楷体_GB2312"/>
          <w:b/>
          <w:sz w:val="32"/>
          <w:szCs w:val="32"/>
        </w:rPr>
      </w:pPr>
      <w:r>
        <w:rPr>
          <w:rFonts w:hint="eastAsia" w:ascii="楷体_GB2312" w:eastAsia="楷体_GB2312"/>
          <w:b/>
          <w:sz w:val="32"/>
          <w:szCs w:val="32"/>
        </w:rPr>
        <w:t>（一）项目基本情况。</w:t>
      </w:r>
    </w:p>
    <w:p>
      <w:pPr>
        <w:spacing w:line="576" w:lineRule="exact"/>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rPr>
        <w:t>为加强我市事业单位队伍建设，提高事业单位新进工作人员素质，</w:t>
      </w:r>
      <w:r>
        <w:rPr>
          <w:rFonts w:hint="eastAsia" w:ascii="仿宋_GB2312" w:hAnsi="宋体" w:eastAsia="仿宋_GB2312"/>
          <w:sz w:val="32"/>
          <w:szCs w:val="32"/>
          <w:lang w:eastAsia="zh-CN"/>
        </w:rPr>
        <w:t>对</w:t>
      </w:r>
      <w:r>
        <w:rPr>
          <w:rFonts w:hint="eastAsia" w:ascii="仿宋_GB2312" w:hAnsi="宋体" w:eastAsia="仿宋_GB2312"/>
          <w:sz w:val="32"/>
          <w:szCs w:val="32"/>
        </w:rPr>
        <w:t>2019年以来</w:t>
      </w:r>
      <w:r>
        <w:rPr>
          <w:rFonts w:hint="eastAsia" w:ascii="仿宋_GB2312" w:hAnsi="宋体" w:eastAsia="仿宋_GB2312"/>
          <w:sz w:val="32"/>
          <w:szCs w:val="32"/>
          <w:lang w:eastAsia="zh-CN"/>
        </w:rPr>
        <w:t>的</w:t>
      </w:r>
      <w:r>
        <w:rPr>
          <w:rFonts w:hint="eastAsia" w:ascii="仿宋_GB2312" w:hAnsi="宋体" w:eastAsia="仿宋_GB2312"/>
          <w:sz w:val="32"/>
          <w:szCs w:val="32"/>
        </w:rPr>
        <w:t>市直属事业单位新招聘的工作人员</w:t>
      </w:r>
      <w:r>
        <w:rPr>
          <w:rFonts w:hint="eastAsia" w:ascii="仿宋_GB2312" w:hAnsi="宋体" w:eastAsia="仿宋_GB2312"/>
          <w:sz w:val="32"/>
          <w:szCs w:val="32"/>
          <w:lang w:eastAsia="zh-CN"/>
        </w:rPr>
        <w:t>进行专项培训</w:t>
      </w:r>
      <w:r>
        <w:rPr>
          <w:rFonts w:hint="eastAsia" w:ascii="仿宋_GB2312" w:hAnsi="宋体" w:eastAsia="仿宋_GB2312"/>
          <w:sz w:val="32"/>
          <w:szCs w:val="32"/>
        </w:rPr>
        <w:t>，</w:t>
      </w:r>
      <w:r>
        <w:rPr>
          <w:rFonts w:hint="eastAsia" w:ascii="仿宋_GB2312" w:hAnsi="宋体" w:eastAsia="仿宋_GB2312"/>
          <w:sz w:val="32"/>
          <w:szCs w:val="32"/>
          <w:lang w:val="en-US" w:eastAsia="zh-CN"/>
        </w:rPr>
        <w:t>培训内容为党的理论教育、党性党史教育以及国情、省情、市情教育，学习人力资源社会保障政策和公文写作与处理、事业单位工作人员政务礼仪等知识</w:t>
      </w:r>
      <w:r>
        <w:rPr>
          <w:rFonts w:hint="eastAsia" w:ascii="仿宋_GB2312" w:hAnsi="宋体" w:eastAsia="仿宋_GB2312"/>
          <w:sz w:val="32"/>
          <w:szCs w:val="32"/>
        </w:rPr>
        <w:t>。</w:t>
      </w:r>
    </w:p>
    <w:p>
      <w:pPr>
        <w:spacing w:line="576" w:lineRule="exact"/>
        <w:ind w:firstLine="643" w:firstLineChars="200"/>
        <w:outlineLvl w:val="2"/>
        <w:rPr>
          <w:rFonts w:hint="eastAsia" w:ascii="楷体_GB2312" w:eastAsia="楷体_GB2312"/>
          <w:b/>
          <w:sz w:val="32"/>
          <w:szCs w:val="32"/>
        </w:rPr>
      </w:pPr>
      <w:r>
        <w:rPr>
          <w:rFonts w:hint="eastAsia" w:ascii="楷体_GB2312" w:eastAsia="楷体_GB2312"/>
          <w:b/>
          <w:sz w:val="32"/>
          <w:szCs w:val="32"/>
        </w:rPr>
        <w:t>（二）项目绩效目标。</w:t>
      </w:r>
    </w:p>
    <w:p>
      <w:pPr>
        <w:spacing w:line="576" w:lineRule="exact"/>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lang w:eastAsia="zh-CN"/>
        </w:rPr>
        <w:t>进一步</w:t>
      </w:r>
      <w:r>
        <w:rPr>
          <w:rFonts w:hint="eastAsia" w:ascii="仿宋_GB2312" w:hAnsi="宋体" w:eastAsia="仿宋_GB2312"/>
          <w:sz w:val="32"/>
          <w:szCs w:val="32"/>
        </w:rPr>
        <w:t>提高事业单位新进工作人员工作能力，熟悉和掌握履新岗位职责所需的知识与技能，持续强化事业单位工作人员队伍建设，全面提升事业单位工作人员能力素养</w:t>
      </w:r>
      <w:r>
        <w:rPr>
          <w:rFonts w:hint="eastAsia" w:ascii="仿宋_GB2312" w:hAnsi="宋体" w:eastAsia="仿宋_GB2312"/>
          <w:sz w:val="32"/>
          <w:szCs w:val="32"/>
          <w:lang w:val="en-US" w:eastAsia="zh-CN"/>
        </w:rPr>
        <w:t>。</w:t>
      </w:r>
    </w:p>
    <w:p>
      <w:pPr>
        <w:spacing w:line="576" w:lineRule="exact"/>
        <w:ind w:firstLine="643" w:firstLineChars="200"/>
        <w:outlineLvl w:val="2"/>
        <w:rPr>
          <w:rFonts w:ascii="楷体_GB2312" w:eastAsia="楷体_GB2312"/>
          <w:b/>
          <w:sz w:val="32"/>
          <w:szCs w:val="32"/>
        </w:rPr>
      </w:pPr>
      <w:r>
        <w:rPr>
          <w:rFonts w:hint="eastAsia" w:ascii="楷体_GB2312" w:eastAsia="楷体_GB2312"/>
          <w:b/>
          <w:sz w:val="32"/>
          <w:szCs w:val="32"/>
        </w:rPr>
        <w:t>（三）资金申报相符性。</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项目资金的内容与我单位开展</w:t>
      </w:r>
      <w:r>
        <w:rPr>
          <w:rFonts w:hint="eastAsia" w:ascii="仿宋_GB2312" w:hAnsi="Calibri" w:eastAsia="仿宋_GB2312"/>
          <w:sz w:val="32"/>
          <w:szCs w:val="32"/>
        </w:rPr>
        <w:t>市直事业单位</w:t>
      </w:r>
      <w:r>
        <w:rPr>
          <w:rFonts w:hint="eastAsia" w:ascii="仿宋_GB2312" w:hAnsi="Calibri" w:eastAsia="仿宋_GB2312"/>
          <w:sz w:val="32"/>
          <w:szCs w:val="32"/>
          <w:lang w:eastAsia="zh-CN"/>
        </w:rPr>
        <w:t>新进</w:t>
      </w:r>
      <w:r>
        <w:rPr>
          <w:rFonts w:hint="eastAsia" w:ascii="仿宋_GB2312" w:hAnsi="Calibri" w:eastAsia="仿宋_GB2312"/>
          <w:sz w:val="32"/>
          <w:szCs w:val="32"/>
        </w:rPr>
        <w:t>人员</w:t>
      </w:r>
      <w:r>
        <w:rPr>
          <w:rFonts w:hint="eastAsia" w:ascii="仿宋_GB2312" w:hAnsi="Calibri" w:eastAsia="仿宋_GB2312"/>
          <w:sz w:val="32"/>
          <w:szCs w:val="32"/>
          <w:lang w:eastAsia="zh-CN"/>
        </w:rPr>
        <w:t>培训</w:t>
      </w:r>
      <w:r>
        <w:rPr>
          <w:rFonts w:hint="eastAsia" w:ascii="仿宋_GB2312" w:eastAsia="仿宋_GB2312"/>
          <w:sz w:val="32"/>
          <w:szCs w:val="32"/>
        </w:rPr>
        <w:t>内容完全相符、申报目标经测算是合理可行的。</w:t>
      </w:r>
    </w:p>
    <w:p>
      <w:pPr>
        <w:spacing w:line="576" w:lineRule="exact"/>
        <w:ind w:firstLine="643" w:firstLineChars="200"/>
        <w:outlineLvl w:val="1"/>
        <w:rPr>
          <w:rFonts w:hint="eastAsia" w:ascii="黑体" w:eastAsia="黑体"/>
          <w:b/>
          <w:sz w:val="32"/>
          <w:szCs w:val="32"/>
        </w:rPr>
      </w:pPr>
      <w:bookmarkStart w:id="151" w:name="_Toc20110"/>
      <w:bookmarkStart w:id="152" w:name="_Toc32660"/>
      <w:bookmarkStart w:id="153" w:name="_Toc9645"/>
      <w:bookmarkStart w:id="154" w:name="_Toc7571"/>
      <w:r>
        <w:rPr>
          <w:rFonts w:hint="eastAsia" w:ascii="黑体" w:eastAsia="黑体"/>
          <w:b/>
          <w:sz w:val="32"/>
          <w:szCs w:val="32"/>
        </w:rPr>
        <w:t>二、项目资金申报及使用情况</w:t>
      </w:r>
      <w:bookmarkEnd w:id="151"/>
      <w:bookmarkEnd w:id="152"/>
      <w:bookmarkEnd w:id="153"/>
      <w:bookmarkEnd w:id="154"/>
    </w:p>
    <w:p>
      <w:pPr>
        <w:adjustRightInd w:val="0"/>
        <w:snapToGrid w:val="0"/>
        <w:spacing w:line="600" w:lineRule="exact"/>
        <w:ind w:firstLine="720"/>
        <w:rPr>
          <w:rFonts w:ascii="仿宋_GB2312" w:hAnsi="宋体" w:eastAsia="仿宋_GB2312"/>
          <w:sz w:val="32"/>
          <w:szCs w:val="32"/>
        </w:rPr>
      </w:pPr>
      <w:r>
        <w:rPr>
          <w:rFonts w:hint="eastAsia" w:ascii="楷体_GB2312" w:eastAsia="楷体_GB2312"/>
          <w:b/>
          <w:sz w:val="32"/>
          <w:szCs w:val="32"/>
        </w:rPr>
        <w:t>（一）资金申报及批复情况</w:t>
      </w:r>
      <w:r>
        <w:rPr>
          <w:rFonts w:hint="eastAsia" w:ascii="仿宋_GB2312" w:eastAsia="仿宋_GB2312"/>
          <w:spacing w:val="-8"/>
          <w:sz w:val="32"/>
          <w:szCs w:val="32"/>
        </w:rPr>
        <w:t>。</w:t>
      </w:r>
      <w:r>
        <w:rPr>
          <w:rFonts w:hint="eastAsia" w:ascii="仿宋_GB2312" w:hAnsi="宋体" w:eastAsia="仿宋_GB2312"/>
          <w:sz w:val="32"/>
          <w:szCs w:val="32"/>
          <w:lang w:val="zh-CN"/>
        </w:rPr>
        <w:t>经市财政局批复，</w:t>
      </w:r>
      <w:r>
        <w:rPr>
          <w:rFonts w:hint="eastAsia" w:ascii="仿宋_GB2312" w:hAnsi="Calibri" w:eastAsia="仿宋_GB2312"/>
          <w:sz w:val="32"/>
          <w:szCs w:val="32"/>
        </w:rPr>
        <w:t>市直机关事业单位</w:t>
      </w:r>
      <w:r>
        <w:rPr>
          <w:rFonts w:hint="eastAsia" w:ascii="仿宋_GB2312" w:hAnsi="Calibri" w:eastAsia="仿宋_GB2312"/>
          <w:sz w:val="32"/>
          <w:szCs w:val="32"/>
          <w:lang w:eastAsia="zh-CN"/>
        </w:rPr>
        <w:t>新进</w:t>
      </w:r>
      <w:r>
        <w:rPr>
          <w:rFonts w:hint="eastAsia" w:ascii="仿宋_GB2312" w:hAnsi="Calibri" w:eastAsia="仿宋_GB2312"/>
          <w:sz w:val="32"/>
          <w:szCs w:val="32"/>
        </w:rPr>
        <w:t>人员</w:t>
      </w:r>
      <w:r>
        <w:rPr>
          <w:rFonts w:hint="eastAsia" w:ascii="仿宋_GB2312" w:hAnsi="Calibri" w:eastAsia="仿宋_GB2312"/>
          <w:sz w:val="32"/>
          <w:szCs w:val="32"/>
          <w:lang w:eastAsia="zh-CN"/>
        </w:rPr>
        <w:t>培训</w:t>
      </w:r>
      <w:r>
        <w:rPr>
          <w:rFonts w:hint="eastAsia" w:ascii="仿宋_GB2312" w:hAnsi="Calibri" w:eastAsia="仿宋_GB2312"/>
          <w:sz w:val="32"/>
          <w:szCs w:val="32"/>
        </w:rPr>
        <w:t>经费</w:t>
      </w:r>
      <w:r>
        <w:rPr>
          <w:rFonts w:hint="eastAsia" w:ascii="仿宋_GB2312" w:hAnsi="宋体" w:eastAsia="仿宋_GB2312"/>
          <w:sz w:val="32"/>
          <w:szCs w:val="32"/>
          <w:lang w:val="zh-CN"/>
        </w:rPr>
        <w:t>项目经费</w:t>
      </w:r>
      <w:r>
        <w:rPr>
          <w:rFonts w:hint="eastAsia" w:ascii="仿宋_GB2312" w:hAnsi="宋体" w:eastAsia="仿宋_GB2312"/>
          <w:sz w:val="32"/>
          <w:szCs w:val="32"/>
          <w:lang w:val="en-US" w:eastAsia="zh-CN"/>
        </w:rPr>
        <w:t>50</w:t>
      </w:r>
      <w:r>
        <w:rPr>
          <w:rFonts w:hint="eastAsia" w:ascii="仿宋_GB2312" w:hAnsi="宋体" w:eastAsia="仿宋_GB2312"/>
          <w:sz w:val="32"/>
          <w:szCs w:val="32"/>
          <w:lang w:val="zh-CN"/>
        </w:rPr>
        <w:t>万元。</w:t>
      </w:r>
    </w:p>
    <w:p>
      <w:pPr>
        <w:spacing w:line="576" w:lineRule="exact"/>
        <w:ind w:firstLine="643" w:firstLineChars="200"/>
        <w:rPr>
          <w:rFonts w:hint="eastAsia" w:ascii="仿宋_GB2312" w:hAnsi="宋体" w:eastAsia="仿宋_GB2312"/>
          <w:sz w:val="32"/>
          <w:szCs w:val="32"/>
        </w:rPr>
      </w:pPr>
      <w:r>
        <w:rPr>
          <w:rFonts w:hint="eastAsia" w:ascii="楷体_GB2312" w:eastAsia="楷体_GB2312"/>
          <w:b/>
          <w:sz w:val="32"/>
          <w:szCs w:val="32"/>
        </w:rPr>
        <w:t>（二）资金计划、到位、使用情况</w:t>
      </w:r>
      <w:r>
        <w:rPr>
          <w:rFonts w:hint="eastAsia" w:ascii="仿宋_GB2312" w:eastAsia="仿宋_GB2312"/>
          <w:sz w:val="32"/>
          <w:szCs w:val="32"/>
        </w:rPr>
        <w:t>。</w:t>
      </w:r>
      <w:r>
        <w:rPr>
          <w:rFonts w:hint="eastAsia" w:ascii="仿宋_GB2312" w:hAnsi="宋体" w:eastAsia="仿宋_GB2312"/>
          <w:sz w:val="32"/>
          <w:szCs w:val="32"/>
          <w:lang w:val="zh-CN"/>
        </w:rPr>
        <w:t>该项目资金计划</w:t>
      </w:r>
      <w:r>
        <w:rPr>
          <w:rFonts w:hint="eastAsia" w:ascii="仿宋_GB2312" w:hAnsi="宋体" w:eastAsia="仿宋_GB2312"/>
          <w:sz w:val="32"/>
          <w:szCs w:val="32"/>
          <w:lang w:val="en-US" w:eastAsia="zh-CN"/>
        </w:rPr>
        <w:t>50万</w:t>
      </w:r>
      <w:r>
        <w:rPr>
          <w:rFonts w:hint="eastAsia" w:ascii="仿宋_GB2312" w:hAnsi="宋体" w:eastAsia="仿宋_GB2312"/>
          <w:sz w:val="32"/>
          <w:szCs w:val="32"/>
          <w:lang w:val="zh-CN"/>
        </w:rPr>
        <w:t>元，到位</w:t>
      </w:r>
      <w:r>
        <w:rPr>
          <w:rFonts w:hint="eastAsia" w:ascii="仿宋_GB2312" w:hAnsi="宋体" w:eastAsia="仿宋_GB2312"/>
          <w:sz w:val="32"/>
          <w:szCs w:val="32"/>
          <w:lang w:val="en-US" w:eastAsia="zh-CN"/>
        </w:rPr>
        <w:t>50</w:t>
      </w:r>
      <w:r>
        <w:rPr>
          <w:rFonts w:hint="eastAsia" w:ascii="仿宋_GB2312" w:hAnsi="宋体" w:eastAsia="仿宋_GB2312"/>
          <w:sz w:val="32"/>
          <w:szCs w:val="32"/>
        </w:rPr>
        <w:t>万元，资金到位率100%，为本级财政拨款资金。</w:t>
      </w:r>
      <w:r>
        <w:rPr>
          <w:rFonts w:hint="eastAsia" w:ascii="仿宋_GB2312" w:hAnsi="宋体" w:eastAsia="仿宋_GB2312"/>
          <w:sz w:val="32"/>
          <w:szCs w:val="32"/>
          <w:lang w:val="zh-CN"/>
        </w:rPr>
        <w:t>截止到评价日，该项目资金已使用</w:t>
      </w:r>
      <w:r>
        <w:rPr>
          <w:rFonts w:hint="eastAsia" w:ascii="仿宋_GB2312" w:hAnsi="宋体" w:eastAsia="仿宋_GB2312"/>
          <w:sz w:val="32"/>
          <w:szCs w:val="32"/>
          <w:lang w:val="en-US" w:eastAsia="zh-CN"/>
        </w:rPr>
        <w:t>50万</w:t>
      </w:r>
      <w:r>
        <w:rPr>
          <w:rFonts w:hint="eastAsia" w:ascii="仿宋_GB2312" w:hAnsi="宋体" w:eastAsia="仿宋_GB2312"/>
          <w:sz w:val="32"/>
          <w:szCs w:val="32"/>
          <w:lang w:val="zh-CN"/>
        </w:rPr>
        <w:t>元，完成支付</w:t>
      </w:r>
      <w:r>
        <w:rPr>
          <w:rFonts w:hint="eastAsia" w:ascii="仿宋_GB2312" w:hAnsi="宋体" w:eastAsia="仿宋_GB2312"/>
          <w:sz w:val="32"/>
          <w:szCs w:val="32"/>
          <w:lang w:val="en-US" w:eastAsia="zh-CN"/>
        </w:rPr>
        <w:t>100%</w:t>
      </w:r>
      <w:r>
        <w:rPr>
          <w:rFonts w:hint="eastAsia" w:ascii="仿宋_GB2312" w:hAnsi="宋体" w:eastAsia="仿宋_GB2312"/>
          <w:sz w:val="32"/>
          <w:szCs w:val="32"/>
          <w:lang w:val="zh-CN"/>
        </w:rPr>
        <w:t>，</w:t>
      </w:r>
      <w:r>
        <w:rPr>
          <w:rFonts w:hint="eastAsia" w:ascii="仿宋_GB2312" w:hAnsi="宋体" w:eastAsia="仿宋_GB2312"/>
          <w:sz w:val="32"/>
          <w:szCs w:val="32"/>
        </w:rPr>
        <w:t>预算支出未发现无预算、超预算支出，</w:t>
      </w:r>
      <w:r>
        <w:rPr>
          <w:rFonts w:hint="eastAsia" w:ascii="仿宋_GB2312" w:hAnsi="宋体" w:eastAsia="仿宋_GB2312"/>
          <w:sz w:val="32"/>
          <w:szCs w:val="32"/>
          <w:lang w:val="zh-CN"/>
        </w:rPr>
        <w:t>资金使用安全、规范及有效，资金支付范围、支付标准、支付进度、支付依据等合规合法、与预算相符，</w:t>
      </w:r>
      <w:r>
        <w:rPr>
          <w:rFonts w:hint="eastAsia" w:ascii="仿宋_GB2312" w:hAnsi="宋体" w:eastAsia="仿宋_GB2312"/>
          <w:sz w:val="32"/>
          <w:szCs w:val="32"/>
        </w:rPr>
        <w:t>未发现虚列支出、挤占、挪用、转移财政资金行为。</w:t>
      </w:r>
    </w:p>
    <w:p>
      <w:pPr>
        <w:spacing w:line="576" w:lineRule="exact"/>
        <w:ind w:firstLine="643" w:firstLineChars="200"/>
        <w:outlineLvl w:val="1"/>
        <w:rPr>
          <w:rFonts w:hint="eastAsia" w:ascii="黑体" w:eastAsia="黑体"/>
          <w:b/>
          <w:sz w:val="32"/>
          <w:szCs w:val="32"/>
        </w:rPr>
      </w:pPr>
      <w:bookmarkStart w:id="155" w:name="_Toc12030"/>
      <w:bookmarkStart w:id="156" w:name="_Toc4898"/>
      <w:bookmarkStart w:id="157" w:name="_Toc1817"/>
      <w:bookmarkStart w:id="158" w:name="_Toc24482"/>
      <w:r>
        <w:rPr>
          <w:rFonts w:hint="eastAsia" w:ascii="黑体" w:eastAsia="黑体"/>
          <w:b/>
          <w:sz w:val="32"/>
          <w:szCs w:val="32"/>
        </w:rPr>
        <w:t>三、项目实施及管理情况</w:t>
      </w:r>
      <w:bookmarkEnd w:id="155"/>
      <w:bookmarkEnd w:id="156"/>
      <w:bookmarkEnd w:id="157"/>
      <w:bookmarkEnd w:id="158"/>
    </w:p>
    <w:p>
      <w:pPr>
        <w:spacing w:line="576" w:lineRule="exact"/>
        <w:ind w:firstLine="643" w:firstLineChars="200"/>
        <w:outlineLvl w:val="2"/>
        <w:rPr>
          <w:rFonts w:hint="eastAsia" w:ascii="楷体_GB2312" w:eastAsia="楷体_GB2312"/>
          <w:b/>
          <w:sz w:val="32"/>
          <w:szCs w:val="32"/>
        </w:rPr>
      </w:pPr>
      <w:r>
        <w:rPr>
          <w:rFonts w:hint="eastAsia" w:ascii="楷体_GB2312" w:eastAsia="楷体_GB2312"/>
          <w:b/>
          <w:sz w:val="32"/>
          <w:szCs w:val="32"/>
        </w:rPr>
        <w:t>（一）项目组织架构及实施情况</w:t>
      </w:r>
    </w:p>
    <w:p>
      <w:pPr>
        <w:spacing w:line="576"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按照《事业单位人事管理条例》《事业单位工作人员培训规定》要求，开展市直事业单位新进工作人员</w:t>
      </w:r>
      <w:r>
        <w:rPr>
          <w:rFonts w:hint="eastAsia" w:ascii="仿宋_GB2312" w:hAnsi="宋体" w:eastAsia="仿宋_GB2312"/>
          <w:sz w:val="32"/>
          <w:szCs w:val="32"/>
          <w:lang w:eastAsia="zh-CN"/>
        </w:rPr>
        <w:t>岗前</w:t>
      </w:r>
      <w:r>
        <w:rPr>
          <w:rFonts w:hint="eastAsia" w:ascii="仿宋_GB2312" w:hAnsi="宋体" w:eastAsia="仿宋_GB2312"/>
          <w:sz w:val="32"/>
          <w:szCs w:val="32"/>
        </w:rPr>
        <w:t>培训</w:t>
      </w:r>
      <w:r>
        <w:rPr>
          <w:rFonts w:hint="eastAsia" w:ascii="仿宋_GB2312" w:hAnsi="宋体" w:eastAsia="仿宋_GB2312"/>
          <w:sz w:val="32"/>
          <w:szCs w:val="32"/>
          <w:lang w:eastAsia="zh-CN"/>
        </w:rPr>
        <w:t>。培训对象为</w:t>
      </w:r>
      <w:r>
        <w:rPr>
          <w:rFonts w:hint="eastAsia" w:ascii="仿宋_GB2312" w:hAnsi="宋体" w:eastAsia="仿宋_GB2312"/>
          <w:sz w:val="32"/>
          <w:szCs w:val="32"/>
        </w:rPr>
        <w:t>2019年以来，市直属事业单位新招聘的工作人员，培训分两期举办，共156人，第一期81人，第二期75人</w:t>
      </w:r>
      <w:r>
        <w:rPr>
          <w:rFonts w:hint="eastAsia" w:ascii="仿宋_GB2312" w:hAnsi="宋体" w:eastAsia="仿宋_GB2312"/>
          <w:sz w:val="32"/>
          <w:szCs w:val="32"/>
          <w:lang w:eastAsia="zh-CN"/>
        </w:rPr>
        <w:t>。此次培训工作，由市人力资源社会保障局主办，市人才交流中心协办，广元开放大学承办，分两批开展。</w:t>
      </w:r>
    </w:p>
    <w:p>
      <w:pPr>
        <w:numPr>
          <w:ilvl w:val="0"/>
          <w:numId w:val="11"/>
        </w:numPr>
        <w:spacing w:line="576" w:lineRule="exact"/>
        <w:ind w:firstLine="643" w:firstLineChars="200"/>
        <w:outlineLvl w:val="2"/>
        <w:rPr>
          <w:rFonts w:hint="eastAsia" w:ascii="楷体_GB2312" w:eastAsia="楷体_GB2312"/>
          <w:b/>
          <w:sz w:val="32"/>
          <w:szCs w:val="32"/>
        </w:rPr>
      </w:pPr>
      <w:r>
        <w:rPr>
          <w:rFonts w:hint="eastAsia" w:ascii="楷体_GB2312" w:eastAsia="楷体_GB2312"/>
          <w:b/>
          <w:sz w:val="32"/>
          <w:szCs w:val="32"/>
        </w:rPr>
        <w:t>项目管理情况</w:t>
      </w:r>
    </w:p>
    <w:p>
      <w:pPr>
        <w:spacing w:line="576" w:lineRule="exact"/>
        <w:ind w:firstLine="640" w:firstLineChars="200"/>
        <w:rPr>
          <w:rFonts w:hint="default" w:ascii="楷体_GB2312" w:eastAsia="仿宋_GB2312"/>
          <w:b/>
          <w:sz w:val="32"/>
          <w:szCs w:val="32"/>
          <w:lang w:val="en-US" w:eastAsia="zh-CN"/>
        </w:rPr>
      </w:pPr>
      <w:r>
        <w:rPr>
          <w:rFonts w:hint="eastAsia" w:ascii="仿宋_GB2312" w:hAnsi="宋体" w:eastAsia="仿宋_GB2312"/>
          <w:sz w:val="32"/>
          <w:szCs w:val="32"/>
          <w:lang w:val="en-US" w:eastAsia="zh-CN"/>
        </w:rPr>
        <w:t>根据</w:t>
      </w:r>
      <w:r>
        <w:rPr>
          <w:rFonts w:hint="eastAsia" w:ascii="仿宋_GB2312" w:hAnsi="宋体" w:eastAsia="仿宋_GB2312"/>
          <w:sz w:val="32"/>
          <w:szCs w:val="32"/>
        </w:rPr>
        <w:t>《事业单位人事管理条例》《事业单位工作人员培训规定》</w:t>
      </w:r>
      <w:r>
        <w:rPr>
          <w:rFonts w:hint="eastAsia" w:ascii="仿宋_GB2312" w:hAnsi="宋体" w:eastAsia="仿宋_GB2312"/>
          <w:sz w:val="32"/>
          <w:szCs w:val="32"/>
          <w:lang w:val="en-US" w:eastAsia="zh-CN"/>
        </w:rPr>
        <w:t>相关</w:t>
      </w:r>
      <w:r>
        <w:rPr>
          <w:rFonts w:hint="eastAsia" w:ascii="仿宋_GB2312" w:hAnsi="宋体" w:eastAsia="仿宋_GB2312"/>
          <w:sz w:val="32"/>
          <w:szCs w:val="32"/>
        </w:rPr>
        <w:t>要求</w:t>
      </w:r>
      <w:r>
        <w:rPr>
          <w:rFonts w:hint="eastAsia" w:ascii="仿宋_GB2312" w:hAnsi="宋体" w:eastAsia="仿宋_GB2312"/>
          <w:sz w:val="32"/>
          <w:szCs w:val="32"/>
          <w:lang w:val="en-US" w:eastAsia="zh-CN"/>
        </w:rPr>
        <w:t>进行项目管理，安排专人负责，项目方案报局领导审批同意后实施，项目经费</w:t>
      </w:r>
      <w:r>
        <w:rPr>
          <w:rFonts w:hint="eastAsia" w:ascii="仿宋_GB2312" w:hAnsi="宋体" w:eastAsia="仿宋_GB2312" w:cs="仿宋_GB2312"/>
          <w:sz w:val="32"/>
          <w:szCs w:val="32"/>
          <w:lang w:val="en-US" w:eastAsia="zh-CN"/>
        </w:rPr>
        <w:t>的支付严格按照</w:t>
      </w:r>
      <w:r>
        <w:rPr>
          <w:rFonts w:hint="eastAsia" w:ascii="仿宋_GB2312" w:hAnsi="宋体" w:eastAsia="仿宋_GB2312" w:cs="仿宋_GB2312"/>
          <w:sz w:val="32"/>
          <w:szCs w:val="32"/>
          <w:lang w:val="zh-CN"/>
        </w:rPr>
        <w:t>《财务管理制度》“</w:t>
      </w:r>
      <w:r>
        <w:rPr>
          <w:rFonts w:hint="eastAsia" w:ascii="仿宋_GB2312" w:hAnsi="宋体" w:eastAsia="仿宋_GB2312" w:cs="仿宋_GB2312"/>
          <w:sz w:val="32"/>
          <w:szCs w:val="32"/>
          <w:lang w:val="en-US" w:eastAsia="zh-CN"/>
        </w:rPr>
        <w:t>三重一大</w:t>
      </w:r>
      <w:r>
        <w:rPr>
          <w:rFonts w:hint="eastAsia" w:ascii="仿宋_GB2312" w:hAnsi="宋体" w:eastAsia="仿宋_GB2312" w:cs="仿宋_GB2312"/>
          <w:sz w:val="32"/>
          <w:szCs w:val="32"/>
          <w:lang w:val="zh-CN"/>
        </w:rPr>
        <w:t>”</w:t>
      </w:r>
      <w:r>
        <w:rPr>
          <w:rFonts w:hint="eastAsia" w:ascii="仿宋_GB2312" w:hAnsi="宋体" w:eastAsia="仿宋_GB2312" w:cs="仿宋_GB2312"/>
          <w:sz w:val="32"/>
          <w:szCs w:val="32"/>
          <w:lang w:val="en-US" w:eastAsia="zh-CN"/>
        </w:rPr>
        <w:t>制度有关规定执行</w:t>
      </w:r>
      <w:r>
        <w:rPr>
          <w:rFonts w:hint="eastAsia" w:ascii="仿宋_GB2312" w:hAnsi="宋体" w:eastAsia="仿宋_GB2312" w:cs="仿宋_GB2312"/>
          <w:sz w:val="32"/>
          <w:szCs w:val="32"/>
          <w:lang w:val="zh-CN"/>
        </w:rPr>
        <w:t>。</w:t>
      </w:r>
    </w:p>
    <w:p>
      <w:pPr>
        <w:numPr>
          <w:ilvl w:val="0"/>
          <w:numId w:val="11"/>
        </w:numPr>
        <w:spacing w:line="576" w:lineRule="exact"/>
        <w:ind w:left="0" w:leftChars="0" w:firstLine="643" w:firstLineChars="200"/>
        <w:outlineLvl w:val="2"/>
        <w:rPr>
          <w:rFonts w:hint="eastAsia" w:ascii="楷体_GB2312" w:eastAsia="楷体_GB2312"/>
          <w:b/>
          <w:sz w:val="32"/>
          <w:szCs w:val="32"/>
        </w:rPr>
      </w:pPr>
      <w:r>
        <w:rPr>
          <w:rFonts w:hint="eastAsia" w:ascii="楷体_GB2312" w:eastAsia="楷体_GB2312"/>
          <w:b/>
          <w:sz w:val="32"/>
          <w:szCs w:val="32"/>
        </w:rPr>
        <w:t>项目监管情况</w:t>
      </w:r>
    </w:p>
    <w:p>
      <w:pPr>
        <w:spacing w:line="576" w:lineRule="exact"/>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项目实施过程中，安排专人全程跟踪，对项目实施的合理性、合规性进行监控，确保项目顺利实施，并取得预期效果。</w:t>
      </w:r>
    </w:p>
    <w:p>
      <w:pPr>
        <w:spacing w:line="576" w:lineRule="exact"/>
        <w:ind w:firstLine="643" w:firstLineChars="200"/>
        <w:outlineLvl w:val="1"/>
        <w:rPr>
          <w:rFonts w:hint="eastAsia" w:ascii="黑体" w:eastAsia="黑体"/>
          <w:b/>
          <w:sz w:val="32"/>
          <w:szCs w:val="32"/>
        </w:rPr>
      </w:pPr>
      <w:bookmarkStart w:id="159" w:name="_Toc19986"/>
      <w:bookmarkStart w:id="160" w:name="_Toc1510"/>
      <w:bookmarkStart w:id="161" w:name="_Toc25440"/>
      <w:bookmarkStart w:id="162" w:name="_Toc6718"/>
      <w:r>
        <w:rPr>
          <w:rFonts w:hint="eastAsia" w:ascii="黑体" w:eastAsia="黑体"/>
          <w:b/>
          <w:sz w:val="32"/>
          <w:szCs w:val="32"/>
        </w:rPr>
        <w:t>四、项目绩效情况</w:t>
      </w:r>
      <w:bookmarkEnd w:id="159"/>
      <w:bookmarkEnd w:id="160"/>
      <w:bookmarkEnd w:id="161"/>
      <w:bookmarkEnd w:id="162"/>
    </w:p>
    <w:p>
      <w:pPr>
        <w:spacing w:line="576" w:lineRule="exact"/>
        <w:ind w:firstLine="643" w:firstLineChars="200"/>
        <w:outlineLvl w:val="2"/>
        <w:rPr>
          <w:rFonts w:hint="eastAsia" w:ascii="楷体_GB2312" w:eastAsia="楷体_GB2312"/>
          <w:b/>
          <w:sz w:val="32"/>
          <w:szCs w:val="32"/>
        </w:rPr>
      </w:pPr>
      <w:r>
        <w:rPr>
          <w:rFonts w:hint="eastAsia" w:ascii="楷体_GB2312" w:eastAsia="楷体_GB2312"/>
          <w:b/>
          <w:sz w:val="32"/>
          <w:szCs w:val="32"/>
        </w:rPr>
        <w:t>（一）项目完成情况</w:t>
      </w:r>
    </w:p>
    <w:p>
      <w:pPr>
        <w:adjustRightInd w:val="0"/>
        <w:snapToGrid w:val="0"/>
        <w:spacing w:line="600" w:lineRule="exact"/>
        <w:ind w:firstLine="72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为确保培训质量，此次培训拟制了详细的工作方案和疫情防控措施，明确责任分工，准备充分。市人力资源社会保障局负责统筹协调，市人才交流中心和广元开放大学负责具体组织实施和项目跟进等工作。从内容设计、班级管理、现场实践、食宿保障等方面进行严密细致准备，专门印发了《学员手册》《培训资料》等研修资料，建立了研修学员微信群，指定了班干部及小组长管理团队辅助配合班主任做好班级管理工作，深入培训地点进行服务质量、常规安全及疫情防控等专项检查，组织授课专家进行授课准备与交流等。各方协调配合和精细专业的准备工作，为培训取得实效提供了有力支撑和保障。</w:t>
      </w:r>
    </w:p>
    <w:p>
      <w:pPr>
        <w:spacing w:line="576" w:lineRule="exact"/>
        <w:ind w:firstLine="643" w:firstLineChars="200"/>
        <w:outlineLvl w:val="2"/>
        <w:rPr>
          <w:rFonts w:hint="eastAsia" w:ascii="楷体_GB2312" w:eastAsia="楷体_GB2312"/>
          <w:b/>
          <w:sz w:val="32"/>
          <w:szCs w:val="32"/>
        </w:rPr>
      </w:pPr>
      <w:r>
        <w:rPr>
          <w:rFonts w:hint="eastAsia" w:ascii="楷体_GB2312" w:eastAsia="楷体_GB2312"/>
          <w:b/>
          <w:sz w:val="32"/>
          <w:szCs w:val="32"/>
        </w:rPr>
        <w:t>（二）项目效益情况</w:t>
      </w:r>
    </w:p>
    <w:p>
      <w:pPr>
        <w:spacing w:line="576" w:lineRule="exact"/>
        <w:ind w:firstLine="640" w:firstLineChars="200"/>
        <w:rPr>
          <w:rFonts w:hint="eastAsia" w:ascii="仿宋_GB2312" w:hAnsi="Calibri" w:eastAsia="仿宋_GB2312"/>
          <w:sz w:val="32"/>
          <w:szCs w:val="32"/>
          <w:lang w:eastAsia="zh-CN"/>
        </w:rPr>
      </w:pPr>
      <w:r>
        <w:rPr>
          <w:rFonts w:hint="eastAsia" w:ascii="仿宋_GB2312" w:hAnsi="Calibri" w:eastAsia="仿宋_GB2312"/>
          <w:sz w:val="32"/>
          <w:szCs w:val="32"/>
          <w:lang w:eastAsia="zh-CN"/>
        </w:rPr>
        <w:t>既是对新招聘人员素质和才能的一次检阅，也是落实上级部门关于加强岗前培训精神，引导新进人员不断提高业务水平作出的一次部署，更是为推进我市经济社会全面、可持续和跨越式发展而采取的一项重要举措，有助力我市事业单位骨干队伍培养，扎实推动全市事业单位工作实现新发展、取得新突破。</w:t>
      </w:r>
    </w:p>
    <w:p>
      <w:pPr>
        <w:spacing w:line="576" w:lineRule="exact"/>
        <w:ind w:firstLine="643" w:firstLineChars="200"/>
        <w:outlineLvl w:val="1"/>
        <w:rPr>
          <w:rFonts w:ascii="黑体" w:eastAsia="黑体"/>
          <w:b/>
          <w:sz w:val="32"/>
          <w:szCs w:val="32"/>
        </w:rPr>
      </w:pPr>
      <w:bookmarkStart w:id="163" w:name="_Toc13151"/>
      <w:bookmarkStart w:id="164" w:name="_Toc1409"/>
      <w:bookmarkStart w:id="165" w:name="_Toc7945"/>
      <w:bookmarkStart w:id="166" w:name="_Toc32388"/>
      <w:r>
        <w:rPr>
          <w:rFonts w:hint="eastAsia" w:ascii="黑体" w:eastAsia="黑体"/>
          <w:b/>
          <w:sz w:val="32"/>
          <w:szCs w:val="32"/>
        </w:rPr>
        <w:t>五、自评结论及建议</w:t>
      </w:r>
      <w:bookmarkEnd w:id="163"/>
      <w:bookmarkEnd w:id="164"/>
      <w:bookmarkEnd w:id="165"/>
      <w:bookmarkEnd w:id="166"/>
    </w:p>
    <w:p>
      <w:pPr>
        <w:spacing w:line="576" w:lineRule="exact"/>
        <w:ind w:firstLine="643" w:firstLineChars="200"/>
        <w:outlineLvl w:val="2"/>
        <w:rPr>
          <w:rFonts w:hint="eastAsia" w:ascii="楷体_GB2312" w:eastAsia="楷体_GB2312"/>
          <w:b/>
          <w:sz w:val="32"/>
          <w:szCs w:val="32"/>
        </w:rPr>
      </w:pPr>
      <w:r>
        <w:rPr>
          <w:rFonts w:hint="eastAsia" w:ascii="楷体_GB2312" w:eastAsia="楷体_GB2312"/>
          <w:b/>
          <w:sz w:val="32"/>
          <w:szCs w:val="32"/>
        </w:rPr>
        <w:t>（一）评价结论。</w:t>
      </w:r>
    </w:p>
    <w:p>
      <w:pPr>
        <w:spacing w:line="576" w:lineRule="exact"/>
        <w:ind w:firstLine="640" w:firstLineChars="200"/>
        <w:rPr>
          <w:rFonts w:hint="eastAsia" w:ascii="仿宋_GB2312" w:hAnsi="Calibri" w:eastAsia="仿宋_GB2312"/>
          <w:sz w:val="32"/>
          <w:szCs w:val="32"/>
          <w:lang w:eastAsia="zh-CN"/>
        </w:rPr>
      </w:pPr>
      <w:r>
        <w:rPr>
          <w:rFonts w:hint="eastAsia" w:ascii="仿宋_GB2312" w:hAnsi="Calibri" w:eastAsia="仿宋_GB2312"/>
          <w:sz w:val="32"/>
          <w:szCs w:val="32"/>
          <w:lang w:eastAsia="zh-CN"/>
        </w:rPr>
        <w:t>该项资金的合理使用，为进一步做好事业单位人员培训工作奠定了基础，弥补了事业单位新进人员知识储备不足，有助于学员找准自己的角色定位，在今后的工作中将发扬理论联系实际的学风，把学到的知识和本领，用到今后的具体工作中去，迎接新的挑战。</w:t>
      </w:r>
    </w:p>
    <w:p>
      <w:pPr>
        <w:spacing w:line="576" w:lineRule="exact"/>
        <w:ind w:firstLine="643" w:firstLineChars="200"/>
        <w:outlineLvl w:val="2"/>
        <w:rPr>
          <w:rFonts w:hint="eastAsia" w:ascii="楷体_GB2312" w:eastAsia="楷体_GB2312"/>
          <w:b/>
          <w:sz w:val="32"/>
          <w:szCs w:val="32"/>
        </w:rPr>
      </w:pPr>
      <w:r>
        <w:rPr>
          <w:rFonts w:hint="eastAsia" w:ascii="楷体_GB2312" w:eastAsia="楷体_GB2312"/>
          <w:b/>
          <w:sz w:val="32"/>
          <w:szCs w:val="32"/>
        </w:rPr>
        <w:t>（二）存在的问题。</w:t>
      </w:r>
    </w:p>
    <w:p>
      <w:pPr>
        <w:spacing w:line="576" w:lineRule="exact"/>
        <w:ind w:firstLine="640" w:firstLineChars="200"/>
        <w:rPr>
          <w:rFonts w:hint="eastAsia" w:ascii="仿宋_GB2312" w:hAnsi="Calibri" w:eastAsia="仿宋_GB2312"/>
          <w:sz w:val="32"/>
          <w:szCs w:val="32"/>
          <w:lang w:eastAsia="zh-CN"/>
        </w:rPr>
      </w:pPr>
      <w:r>
        <w:rPr>
          <w:rFonts w:hint="eastAsia" w:ascii="仿宋_GB2312" w:eastAsia="仿宋_GB2312"/>
          <w:sz w:val="32"/>
          <w:szCs w:val="32"/>
          <w:lang w:eastAsia="zh-CN"/>
        </w:rPr>
        <w:t>此次</w:t>
      </w:r>
      <w:r>
        <w:rPr>
          <w:rFonts w:hint="eastAsia" w:ascii="仿宋_GB2312" w:eastAsia="仿宋_GB2312"/>
          <w:sz w:val="32"/>
          <w:szCs w:val="32"/>
        </w:rPr>
        <w:t>培训</w:t>
      </w:r>
      <w:r>
        <w:rPr>
          <w:rFonts w:hint="eastAsia" w:ascii="仿宋_GB2312" w:eastAsia="仿宋_GB2312"/>
          <w:sz w:val="32"/>
          <w:szCs w:val="32"/>
          <w:lang w:eastAsia="zh-CN"/>
        </w:rPr>
        <w:t>虽然达到了</w:t>
      </w:r>
      <w:r>
        <w:rPr>
          <w:rFonts w:hint="eastAsia" w:ascii="仿宋_GB2312" w:eastAsia="仿宋_GB2312"/>
          <w:sz w:val="32"/>
          <w:szCs w:val="32"/>
        </w:rPr>
        <w:t>预期效果</w:t>
      </w:r>
      <w:r>
        <w:rPr>
          <w:rFonts w:hint="eastAsia" w:ascii="仿宋_GB2312" w:eastAsia="仿宋_GB2312"/>
          <w:sz w:val="32"/>
          <w:szCs w:val="32"/>
          <w:lang w:eastAsia="zh-CN"/>
        </w:rPr>
        <w:t>，但因受</w:t>
      </w:r>
      <w:r>
        <w:rPr>
          <w:rFonts w:hint="eastAsia" w:ascii="仿宋_GB2312" w:eastAsia="仿宋_GB2312"/>
          <w:sz w:val="32"/>
          <w:szCs w:val="32"/>
        </w:rPr>
        <w:t>疫情</w:t>
      </w:r>
      <w:r>
        <w:rPr>
          <w:rFonts w:hint="eastAsia" w:ascii="仿宋_GB2312" w:eastAsia="仿宋_GB2312"/>
          <w:sz w:val="32"/>
          <w:szCs w:val="32"/>
          <w:lang w:eastAsia="zh-CN"/>
        </w:rPr>
        <w:t>等其他因素的影响</w:t>
      </w:r>
      <w:r>
        <w:rPr>
          <w:rFonts w:hint="eastAsia" w:ascii="仿宋_GB2312" w:eastAsia="仿宋_GB2312"/>
          <w:sz w:val="32"/>
          <w:szCs w:val="32"/>
        </w:rPr>
        <w:t>，培训天数和培训方式的安排均受到限制</w:t>
      </w:r>
      <w:r>
        <w:rPr>
          <w:rFonts w:hint="eastAsia" w:ascii="仿宋_GB2312" w:hAnsi="Calibri" w:eastAsia="仿宋_GB2312"/>
          <w:sz w:val="32"/>
          <w:szCs w:val="32"/>
          <w:lang w:eastAsia="zh-CN"/>
        </w:rPr>
        <w:t>。</w:t>
      </w:r>
    </w:p>
    <w:p>
      <w:pPr>
        <w:spacing w:line="576" w:lineRule="exact"/>
        <w:ind w:firstLine="643" w:firstLineChars="200"/>
        <w:outlineLvl w:val="2"/>
        <w:rPr>
          <w:rFonts w:ascii="楷体_GB2312" w:eastAsia="楷体_GB2312"/>
          <w:b/>
          <w:sz w:val="32"/>
          <w:szCs w:val="32"/>
        </w:rPr>
      </w:pPr>
      <w:r>
        <w:rPr>
          <w:rFonts w:hint="eastAsia" w:ascii="楷体_GB2312" w:eastAsia="楷体_GB2312"/>
          <w:b/>
          <w:sz w:val="32"/>
          <w:szCs w:val="32"/>
        </w:rPr>
        <w:t>（三）相关建议</w:t>
      </w:r>
    </w:p>
    <w:p>
      <w:pPr>
        <w:spacing w:line="576"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本着“实际、实用、实效”的原则，根据事业单位工作人员岗位、年龄和文化程度等特点，突出重点，有针对性地确定培训内容，提高培训的实效性，达到学以致用</w:t>
      </w:r>
      <w:r>
        <w:rPr>
          <w:rFonts w:hint="eastAsia" w:ascii="仿宋_GB2312" w:eastAsia="仿宋_GB2312"/>
          <w:sz w:val="32"/>
          <w:szCs w:val="32"/>
          <w:lang w:eastAsia="zh-CN"/>
        </w:rPr>
        <w:t>。</w:t>
      </w:r>
    </w:p>
    <w:p>
      <w:pPr>
        <w:rPr>
          <w:rFonts w:hint="eastAsia"/>
          <w:lang w:eastAsia="zh-CN"/>
        </w:rPr>
      </w:pPr>
      <w:r>
        <w:rPr>
          <w:rFonts w:hint="eastAsia"/>
          <w:lang w:eastAsia="zh-CN"/>
        </w:rPr>
        <w:br w:type="page"/>
      </w:r>
    </w:p>
    <w:p>
      <w:pPr>
        <w:pStyle w:val="35"/>
        <w:keepNext w:val="0"/>
        <w:keepLines w:val="0"/>
        <w:pageBreakBefore w:val="0"/>
        <w:widowControl w:val="0"/>
        <w:kinsoku/>
        <w:wordWrap/>
        <w:overflowPunct/>
        <w:topLinePunct w:val="0"/>
        <w:autoSpaceDE/>
        <w:autoSpaceDN/>
        <w:bidi w:val="0"/>
        <w:spacing w:line="578" w:lineRule="exact"/>
        <w:jc w:val="center"/>
        <w:textAlignment w:val="auto"/>
        <w:rPr>
          <w:rFonts w:hint="default"/>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2023年专项资金预算项目绩效自评报告三</w:t>
      </w:r>
    </w:p>
    <w:p>
      <w:pPr>
        <w:pStyle w:val="35"/>
        <w:keepNext w:val="0"/>
        <w:keepLines w:val="0"/>
        <w:pageBreakBefore w:val="0"/>
        <w:widowControl w:val="0"/>
        <w:kinsoku/>
        <w:wordWrap/>
        <w:overflowPunct/>
        <w:topLinePunct w:val="0"/>
        <w:autoSpaceDE/>
        <w:autoSpaceDN/>
        <w:bidi w:val="0"/>
        <w:spacing w:line="578" w:lineRule="exact"/>
        <w:jc w:val="center"/>
        <w:textAlignment w:val="auto"/>
        <w:rPr>
          <w:rFonts w:hint="eastAsia" w:ascii="仿宋_GB2312" w:hAnsi="仿宋_GB2312" w:eastAsia="仿宋_GB2312" w:cs="仿宋_GB2312"/>
          <w:b w:val="0"/>
          <w:bCs w:val="0"/>
          <w:color w:val="auto"/>
          <w:w w:val="100"/>
          <w:kern w:val="2"/>
          <w:sz w:val="32"/>
          <w:szCs w:val="32"/>
          <w:lang w:val="en-US" w:eastAsia="zh-CN" w:bidi="ar-SA"/>
        </w:rPr>
      </w:pPr>
      <w:r>
        <w:rPr>
          <w:rFonts w:hint="eastAsia" w:ascii="仿宋_GB2312" w:hAnsi="仿宋_GB2312" w:eastAsia="仿宋_GB2312" w:cs="仿宋_GB2312"/>
          <w:b w:val="0"/>
          <w:bCs w:val="0"/>
          <w:color w:val="auto"/>
          <w:w w:val="100"/>
          <w:kern w:val="2"/>
          <w:sz w:val="32"/>
          <w:szCs w:val="32"/>
          <w:lang w:val="en-US" w:eastAsia="zh-CN" w:bidi="ar-SA"/>
        </w:rPr>
        <w:t>（广元市首批“蜀道英才工程”入选者岗位激励资金）</w:t>
      </w:r>
    </w:p>
    <w:p>
      <w:pPr>
        <w:pStyle w:val="35"/>
        <w:keepNext w:val="0"/>
        <w:keepLines w:val="0"/>
        <w:pageBreakBefore w:val="0"/>
        <w:widowControl w:val="0"/>
        <w:kinsoku/>
        <w:wordWrap/>
        <w:overflowPunct/>
        <w:topLinePunct w:val="0"/>
        <w:autoSpaceDE/>
        <w:autoSpaceDN/>
        <w:bidi w:val="0"/>
        <w:spacing w:line="578" w:lineRule="exact"/>
        <w:ind w:firstLine="640"/>
        <w:jc w:val="center"/>
        <w:textAlignment w:val="auto"/>
        <w:rPr>
          <w:rFonts w:ascii="宋体" w:hAnsi="宋体"/>
          <w:b w:val="0"/>
          <w:bCs w:val="0"/>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1"/>
        <w:rPr>
          <w:rFonts w:ascii="黑体" w:hAnsi="宋体" w:eastAsia="黑体"/>
          <w:b w:val="0"/>
          <w:bCs w:val="0"/>
          <w:sz w:val="32"/>
          <w:szCs w:val="32"/>
          <w:highlight w:val="none"/>
          <w:lang w:val="zh-CN"/>
        </w:rPr>
      </w:pPr>
      <w:bookmarkStart w:id="167" w:name="_Toc17326"/>
      <w:bookmarkStart w:id="168" w:name="_Toc4975"/>
      <w:bookmarkStart w:id="169" w:name="_Toc23076"/>
      <w:bookmarkStart w:id="170" w:name="_Toc13336"/>
      <w:r>
        <w:rPr>
          <w:rFonts w:hint="eastAsia" w:ascii="黑体" w:hAnsi="宋体" w:eastAsia="黑体"/>
          <w:b w:val="0"/>
          <w:bCs w:val="0"/>
          <w:sz w:val="32"/>
          <w:szCs w:val="32"/>
          <w:highlight w:val="none"/>
        </w:rPr>
        <w:t>一、</w:t>
      </w:r>
      <w:r>
        <w:rPr>
          <w:rFonts w:hint="eastAsia" w:ascii="黑体" w:hAnsi="宋体" w:eastAsia="黑体"/>
          <w:b w:val="0"/>
          <w:bCs w:val="0"/>
          <w:sz w:val="32"/>
          <w:szCs w:val="32"/>
          <w:highlight w:val="none"/>
          <w:lang w:val="zh-CN"/>
        </w:rPr>
        <w:t>项目概况</w:t>
      </w:r>
      <w:bookmarkEnd w:id="167"/>
      <w:bookmarkEnd w:id="168"/>
      <w:bookmarkEnd w:id="169"/>
      <w:bookmarkEnd w:id="170"/>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2"/>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（一）项目基本情况。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1．</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主管部门职能。</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根据根据《中共广元市委、广元市人民政府关于印发〈广元市机构改革方案〉和〈广元市机构改革方案的实施意见〉的通知》（广委发〔2019〕2号）规定，我局牵头负责全市技能人才及就业创业人才培养工作，具体包括广元工匠、广元领军人才的挖掘培养等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2．</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立项</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依据。</w:t>
      </w:r>
      <w:r>
        <w:rPr>
          <w:rFonts w:hint="eastAsia" w:ascii="仿宋_GB2312" w:hAnsi="仿宋_GB2312" w:eastAsia="仿宋_GB2312" w:cs="仿宋_GB2312"/>
          <w:color w:val="000000"/>
          <w:kern w:val="0"/>
          <w:sz w:val="32"/>
          <w:szCs w:val="32"/>
          <w:lang w:val="en-US" w:eastAsia="zh-CN" w:bidi="ar"/>
        </w:rPr>
        <w:t>《关于实施新时代“蜀道英才计划”的三十八条措施》</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《广元市“蜀道英才工程”实施办法》</w:t>
      </w:r>
      <w:r>
        <w:rPr>
          <w:rFonts w:hint="eastAsia" w:ascii="仿宋_GB2312" w:hAnsi="仿宋_GB2312" w:eastAsia="仿宋_GB2312" w:cs="仿宋_GB2312"/>
          <w:sz w:val="32"/>
          <w:szCs w:val="32"/>
        </w:rPr>
        <w:t>《“蜀道英才工程”广元创新创业领军人才项目实施方案》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2020年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和《“蜀道英才工程”广元工匠项目实施方案》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2019年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等相关政策文件</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3．资金</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或项目</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管理办法制定情况。</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根据市委组织部、市财政局等11部门《关于印发〈广元市“蜀道英才工程”实施办法〉的通知》（广组通〔2018〕87号）规定，对“蜀道英才工程”入选者在管理期内，给予每人每月500元岗位激励资金。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yellow"/>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4．资金分配的原则及考虑因素。预算资金合计</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27.6万元，29名广元工匠（</w:t>
      </w:r>
      <w:r>
        <w:rPr>
          <w:rFonts w:hint="eastAsia" w:ascii="仿宋_GB2312" w:hAnsi="仿宋_GB2312" w:eastAsia="仿宋_GB2312" w:cs="仿宋_GB2312"/>
          <w:sz w:val="32"/>
          <w:szCs w:val="32"/>
        </w:rPr>
        <w:t>王二超因处于广元市学术和技术带头人管理期内，不再重复享受岗位激励资金</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），17名广元创业领军人才（</w:t>
      </w:r>
      <w:r>
        <w:rPr>
          <w:rFonts w:hint="eastAsia" w:ascii="仿宋_GB2312" w:hAnsi="仿宋_GB2312" w:eastAsia="仿宋_GB2312" w:cs="仿宋_GB2312"/>
          <w:sz w:val="32"/>
          <w:szCs w:val="32"/>
        </w:rPr>
        <w:t>左和平不在本次核实上报名单中，经与市委组织部沟通，涉及左和平的6000元激励资金需退还财政平台</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），每人每月500元，共计27.6万元。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2"/>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（二）项目绩效目标。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为46名“蜀道英才工程”入选者按时拨付岗位激励资金，增强人才获得感、归宿感、幸福感，调动各类优秀人才干事创业积极性力度，提高各类优秀人才满意度。本项目</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评价申报内容与实际相符，申报目标合理可行。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2"/>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（三）项目自评步骤及方法。</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一是加强统筹，成立自评工作组。二是组织实施，通过</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查阅相关文件、补助金拨付单等材料，确保项目支出无差错，达到预算绩效目标</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。三是考评结果，通过自评，得出考评分值，并查找问题，分析原因，提出整改意见。</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171" w:name="_Toc12833"/>
      <w:bookmarkStart w:id="172" w:name="_Toc1841"/>
      <w:bookmarkStart w:id="173" w:name="_Toc8674"/>
      <w:bookmarkStart w:id="174" w:name="_Toc13708"/>
      <w:r>
        <w:rPr>
          <w:rFonts w:hint="eastAsia" w:ascii="黑体" w:hAnsi="宋体" w:eastAsia="黑体"/>
          <w:b w:val="0"/>
          <w:bCs w:val="0"/>
          <w:color w:val="auto"/>
          <w:sz w:val="32"/>
          <w:szCs w:val="32"/>
          <w:highlight w:val="none"/>
          <w:u w:val="none"/>
        </w:rPr>
        <w:t>二、项目资金申报及使用情况</w:t>
      </w:r>
      <w:bookmarkEnd w:id="171"/>
      <w:bookmarkEnd w:id="172"/>
      <w:bookmarkEnd w:id="173"/>
      <w:bookmarkEnd w:id="174"/>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2"/>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（一）项目资金申报及批复情况。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申报项目资金</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27.6万元，批复27.6万元，未调整预算。</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2"/>
        <w:rPr>
          <w:rFonts w:ascii="仿宋_GB2312" w:hAnsi="宋体"/>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（二）资金计划、到位及使用情况。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1．资金计划。</w:t>
      </w:r>
      <w:r>
        <w:rPr>
          <w:rFonts w:hint="eastAsia" w:ascii="仿宋_GB2312" w:hAnsi="宋体" w:eastAsia="仿宋_GB2312" w:cs="仿宋_GB2312"/>
          <w:color w:val="auto"/>
          <w:sz w:val="32"/>
          <w:szCs w:val="32"/>
          <w:lang w:val="zh-CN"/>
        </w:rPr>
        <w:t>经市人大审查批准及市财政局批复，</w:t>
      </w:r>
      <w:r>
        <w:rPr>
          <w:rFonts w:hint="eastAsia" w:ascii="仿宋_GB2312" w:hAnsi="宋体" w:cs="仿宋_GB2312"/>
          <w:color w:val="auto"/>
          <w:sz w:val="32"/>
          <w:szCs w:val="32"/>
          <w:lang w:val="en-US" w:eastAsia="zh-CN"/>
        </w:rPr>
        <w:t>追加</w:t>
      </w:r>
      <w:r>
        <w:rPr>
          <w:rFonts w:hint="eastAsia" w:ascii="仿宋_GB2312" w:hAnsi="仿宋_GB2312" w:eastAsia="仿宋_GB2312" w:cs="仿宋_GB2312"/>
          <w:b w:val="0"/>
          <w:bCs w:val="0"/>
          <w:color w:val="auto"/>
          <w:w w:val="100"/>
          <w:kern w:val="2"/>
          <w:sz w:val="32"/>
          <w:szCs w:val="32"/>
          <w:lang w:val="en-US" w:eastAsia="zh-CN" w:bidi="ar-SA"/>
        </w:rPr>
        <w:t>“蜀道英才工程”入选者岗位激励资金</w:t>
      </w:r>
      <w:r>
        <w:rPr>
          <w:rFonts w:hint="eastAsia" w:ascii="仿宋_GB2312" w:hAnsi="仿宋_GB2312" w:cs="仿宋_GB2312"/>
          <w:b w:val="0"/>
          <w:bCs w:val="0"/>
          <w:color w:val="auto"/>
          <w:w w:val="100"/>
          <w:kern w:val="2"/>
          <w:sz w:val="32"/>
          <w:szCs w:val="32"/>
          <w:lang w:val="en-US" w:eastAsia="zh-CN" w:bidi="ar-SA"/>
        </w:rPr>
        <w:t>27.6万元。</w:t>
      </w:r>
    </w:p>
    <w:p>
      <w:pPr>
        <w:keepNext w:val="0"/>
        <w:keepLines w:val="0"/>
        <w:pageBreakBefore w:val="0"/>
        <w:widowControl w:val="0"/>
        <w:numPr>
          <w:ilvl w:val="0"/>
          <w:numId w:val="12"/>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sectPr>
          <w:footerReference r:id="rId4" w:type="default"/>
          <w:pgSz w:w="11906" w:h="16838"/>
          <w:pgMar w:top="2098" w:right="1474" w:bottom="1984" w:left="1587" w:header="851" w:footer="1559" w:gutter="0"/>
          <w:pgNumType w:fmt="decimal" w:start="1"/>
          <w:cols w:space="425" w:num="1"/>
          <w:docGrid w:type="lines" w:linePitch="312" w:charSpace="0"/>
        </w:sectPr>
      </w:pPr>
    </w:p>
    <w:p>
      <w:pPr>
        <w:keepNext w:val="0"/>
        <w:keepLines w:val="0"/>
        <w:pageBreakBefore w:val="0"/>
        <w:widowControl w:val="0"/>
        <w:numPr>
          <w:ilvl w:val="0"/>
          <w:numId w:val="12"/>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资金到位。</w:t>
      </w:r>
      <w:r>
        <w:rPr>
          <w:rFonts w:hint="eastAsia" w:ascii="仿宋_GB2312" w:hAnsi="仿宋_GB2312" w:eastAsia="仿宋_GB2312" w:cs="仿宋_GB2312"/>
          <w:b w:val="0"/>
          <w:bCs w:val="0"/>
          <w:sz w:val="32"/>
          <w:szCs w:val="32"/>
          <w:lang w:val="zh-CN"/>
        </w:rPr>
        <w:t>该项目资金到位</w:t>
      </w:r>
      <w:r>
        <w:rPr>
          <w:rFonts w:hint="eastAsia" w:ascii="仿宋_GB2312" w:hAnsi="仿宋_GB2312" w:eastAsia="仿宋_GB2312" w:cs="仿宋_GB2312"/>
          <w:b w:val="0"/>
          <w:bCs w:val="0"/>
          <w:color w:val="auto"/>
          <w:w w:val="100"/>
          <w:kern w:val="2"/>
          <w:sz w:val="32"/>
          <w:szCs w:val="32"/>
          <w:lang w:val="en-US" w:eastAsia="zh-CN" w:bidi="ar-SA"/>
        </w:rPr>
        <w:t>27.6</w:t>
      </w:r>
      <w:r>
        <w:rPr>
          <w:rFonts w:hint="eastAsia" w:ascii="仿宋_GB2312" w:hAnsi="仿宋_GB2312" w:eastAsia="仿宋_GB2312" w:cs="仿宋_GB2312"/>
          <w:color w:val="auto"/>
          <w:sz w:val="32"/>
          <w:szCs w:val="32"/>
          <w:lang w:val="en-US" w:eastAsia="zh-CN"/>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资金到位率</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100%</w:t>
      </w:r>
      <w:r>
        <w:rPr>
          <w:rFonts w:hint="eastAsia" w:ascii="仿宋_GB2312" w:hAnsi="仿宋_GB2312" w:eastAsia="仿宋_GB2312" w:cs="仿宋_GB2312"/>
          <w:b w:val="0"/>
          <w:bCs w:val="0"/>
          <w:sz w:val="32"/>
          <w:szCs w:val="32"/>
          <w:lang w:val="zh-CN"/>
        </w:rPr>
        <w:t>，为本级财政拨款资金</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12"/>
        </w:numPr>
        <w:kinsoku/>
        <w:wordWrap/>
        <w:overflowPunct/>
        <w:topLinePunct w:val="0"/>
        <w:autoSpaceDE/>
        <w:autoSpaceDN/>
        <w:bidi w:val="0"/>
        <w:adjustRightInd w:val="0"/>
        <w:snapToGrid w:val="0"/>
        <w:spacing w:line="576" w:lineRule="exact"/>
        <w:ind w:left="0" w:leftChars="0"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资金使用。使用资金</w:t>
      </w:r>
      <w:r>
        <w:rPr>
          <w:rFonts w:hint="eastAsia" w:ascii="仿宋_GB2312" w:hAnsi="仿宋_GB2312" w:eastAsia="仿宋_GB2312" w:cs="仿宋_GB2312"/>
          <w:b w:val="0"/>
          <w:bCs w:val="0"/>
          <w:color w:val="auto"/>
          <w:w w:val="100"/>
          <w:kern w:val="2"/>
          <w:sz w:val="32"/>
          <w:szCs w:val="32"/>
          <w:lang w:val="en-US" w:eastAsia="zh-CN" w:bidi="ar-SA"/>
        </w:rPr>
        <w:t>27.6</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万</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元，</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资金拨付率100%。</w:t>
      </w:r>
      <w:r>
        <w:rPr>
          <w:rFonts w:hint="eastAsia" w:ascii="仿宋_GB2312" w:hAnsi="仿宋_GB2312" w:eastAsia="仿宋_GB2312" w:cs="仿宋_GB2312"/>
          <w:sz w:val="32"/>
          <w:szCs w:val="32"/>
        </w:rPr>
        <w:t>根据广组函〔2022〕52号文件要求，2022年度广元工匠、广元创业领军人才岗位激励资金由我局代为发放，发放标准为6000元</w:t>
      </w:r>
      <w:r>
        <w:rPr>
          <w:rFonts w:hint="eastAsia" w:ascii="仿宋_GB2312" w:hAnsi="仿宋_GB2312" w:eastAsia="仿宋_GB2312" w:cs="仿宋_GB2312"/>
          <w:sz w:val="32"/>
          <w:szCs w:val="32"/>
          <w:lang w:val="en"/>
        </w:rPr>
        <w:t>/人（</w:t>
      </w:r>
      <w:r>
        <w:rPr>
          <w:rFonts w:hint="eastAsia" w:ascii="仿宋_GB2312" w:hAnsi="仿宋_GB2312" w:eastAsia="仿宋_GB2312" w:cs="仿宋_GB2312"/>
          <w:sz w:val="32"/>
          <w:szCs w:val="32"/>
        </w:rPr>
        <w:t>500元</w:t>
      </w:r>
      <w:r>
        <w:rPr>
          <w:rFonts w:hint="eastAsia" w:ascii="仿宋_GB2312" w:hAnsi="仿宋_GB2312" w:eastAsia="仿宋_GB2312" w:cs="仿宋_GB2312"/>
          <w:sz w:val="32"/>
          <w:szCs w:val="32"/>
          <w:lang w:val="en"/>
        </w:rPr>
        <w:t>/人·月）</w:t>
      </w:r>
      <w:r>
        <w:rPr>
          <w:rFonts w:hint="eastAsia" w:ascii="仿宋_GB2312" w:hAnsi="仿宋_GB2312" w:eastAsia="仿宋_GB2312" w:cs="仿宋_GB2312"/>
          <w:sz w:val="32"/>
          <w:szCs w:val="32"/>
        </w:rPr>
        <w:t>。经核实，我局负责代发29名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王二超因处于广元市学术和技术带头人管理期内，不再重复享受岗位激励资金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广元工匠岗位激励资金，共计18万元（含补发</w:t>
      </w:r>
      <w:r>
        <w:rPr>
          <w:rFonts w:hint="eastAsia" w:ascii="仿宋_GB2312" w:hAnsi="仿宋_GB2312" w:eastAsia="仿宋_GB2312" w:cs="仿宋_GB2312"/>
          <w:sz w:val="32"/>
          <w:szCs w:val="32"/>
          <w:lang w:val="en-US" w:eastAsia="zh-CN"/>
        </w:rPr>
        <w:t>王用祥2020年度岗位激励资金</w:t>
      </w:r>
      <w:r>
        <w:rPr>
          <w:rFonts w:hint="eastAsia" w:ascii="仿宋_GB2312" w:hAnsi="仿宋_GB2312" w:eastAsia="仿宋_GB2312" w:cs="仿宋_GB2312"/>
          <w:sz w:val="32"/>
          <w:szCs w:val="32"/>
        </w:rPr>
        <w:t>6000元）；16名广元创业领军人才2022年度岗位激励资金，共计9.6万元。以上资金共计27.6万元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2"/>
        <w:rPr>
          <w:rFonts w:hint="eastAsia" w:ascii="楷体_GB2312" w:hAnsi="宋体" w:eastAsia="楷体_GB2312"/>
          <w:b w:val="0"/>
          <w:bCs w:val="0"/>
          <w:color w:val="auto"/>
          <w:sz w:val="32"/>
          <w:szCs w:val="32"/>
          <w:highlight w:val="none"/>
          <w:u w:val="none"/>
          <w:lang w:val="en-US" w:eastAsia="zh-CN"/>
        </w:rPr>
      </w:pPr>
      <w:r>
        <w:rPr>
          <w:rFonts w:hint="eastAsia" w:ascii="楷体_GB2312" w:hAnsi="宋体" w:eastAsia="楷体_GB2312"/>
          <w:b w:val="0"/>
          <w:bCs w:val="0"/>
          <w:color w:val="auto"/>
          <w:sz w:val="32"/>
          <w:szCs w:val="32"/>
          <w:highlight w:val="none"/>
          <w:u w:val="none"/>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建</w:t>
      </w:r>
      <w:r>
        <w:rPr>
          <w:rFonts w:hint="eastAsia" w:ascii="仿宋_GB2312" w:hAnsi="仿宋_GB2312" w:eastAsia="仿宋_GB2312" w:cs="仿宋_GB2312"/>
          <w:color w:val="auto"/>
          <w:sz w:val="32"/>
          <w:szCs w:val="32"/>
          <w:lang w:val="en-US" w:eastAsia="zh-CN"/>
        </w:rPr>
        <w:t>有</w:t>
      </w:r>
      <w:r>
        <w:rPr>
          <w:rFonts w:hint="eastAsia" w:ascii="仿宋_GB2312" w:hAnsi="仿宋_GB2312" w:eastAsia="仿宋_GB2312" w:cs="仿宋_GB2312"/>
          <w:color w:val="auto"/>
          <w:sz w:val="32"/>
          <w:szCs w:val="32"/>
          <w:lang w:val="zh-CN"/>
        </w:rPr>
        <w:t>健全的内部控制制度，内部控制管理运行有效。</w:t>
      </w:r>
      <w:r>
        <w:rPr>
          <w:rFonts w:hint="eastAsia" w:ascii="仿宋_GB2312" w:hAnsi="仿宋_GB2312" w:eastAsia="仿宋_GB2312" w:cs="仿宋_GB2312"/>
          <w:color w:val="auto"/>
          <w:sz w:val="32"/>
          <w:szCs w:val="32"/>
          <w:lang w:val="en-US" w:eastAsia="zh-CN"/>
        </w:rPr>
        <w:t>项目资金按照统一的</w:t>
      </w:r>
      <w:r>
        <w:rPr>
          <w:rFonts w:hint="eastAsia" w:ascii="仿宋_GB2312" w:hAnsi="仿宋_GB2312" w:eastAsia="仿宋_GB2312" w:cs="仿宋_GB2312"/>
          <w:color w:val="auto"/>
          <w:sz w:val="32"/>
          <w:szCs w:val="32"/>
          <w:lang w:val="zh-CN"/>
        </w:rPr>
        <w:t>财务管理制度</w:t>
      </w:r>
      <w:r>
        <w:rPr>
          <w:rFonts w:hint="eastAsia" w:ascii="仿宋_GB2312" w:hAnsi="仿宋_GB2312" w:eastAsia="仿宋_GB2312" w:cs="仿宋_GB2312"/>
          <w:color w:val="auto"/>
          <w:sz w:val="32"/>
          <w:szCs w:val="32"/>
          <w:lang w:val="en-US" w:eastAsia="zh-CN"/>
        </w:rPr>
        <w:t>进行管理</w:t>
      </w:r>
      <w:r>
        <w:rPr>
          <w:rFonts w:hint="eastAsia" w:ascii="仿宋_GB2312" w:hAnsi="仿宋_GB2312" w:eastAsia="仿宋_GB2312" w:cs="仿宋_GB2312"/>
          <w:color w:val="auto"/>
          <w:sz w:val="32"/>
          <w:szCs w:val="32"/>
          <w:lang w:val="zh-CN"/>
        </w:rPr>
        <w:t>，设</w:t>
      </w:r>
      <w:r>
        <w:rPr>
          <w:rFonts w:hint="eastAsia" w:ascii="仿宋_GB2312" w:hAnsi="仿宋_GB2312" w:eastAsia="仿宋_GB2312" w:cs="仿宋_GB2312"/>
          <w:color w:val="auto"/>
          <w:sz w:val="32"/>
          <w:szCs w:val="32"/>
          <w:lang w:val="en-US" w:eastAsia="zh-CN"/>
        </w:rPr>
        <w:t>有</w:t>
      </w:r>
      <w:r>
        <w:rPr>
          <w:rFonts w:hint="eastAsia" w:ascii="仿宋_GB2312" w:hAnsi="仿宋_GB2312" w:eastAsia="仿宋_GB2312" w:cs="仿宋_GB2312"/>
          <w:color w:val="auto"/>
          <w:sz w:val="32"/>
          <w:szCs w:val="32"/>
          <w:lang w:val="zh-CN"/>
        </w:rPr>
        <w:t>项目管理机构，会计核算及账务处理</w:t>
      </w:r>
      <w:r>
        <w:rPr>
          <w:rFonts w:hint="eastAsia" w:ascii="仿宋_GB2312" w:hAnsi="仿宋_GB2312" w:eastAsia="仿宋_GB2312" w:cs="仿宋_GB2312"/>
          <w:color w:val="auto"/>
          <w:sz w:val="32"/>
          <w:szCs w:val="32"/>
          <w:lang w:val="en-US" w:eastAsia="zh-CN"/>
        </w:rPr>
        <w:t>准确、规范</w:t>
      </w:r>
      <w:r>
        <w:rPr>
          <w:rFonts w:hint="eastAsia" w:ascii="仿宋_GB2312" w:hAnsi="仿宋_GB2312" w:eastAsia="仿宋_GB2312" w:cs="仿宋_GB2312"/>
          <w:color w:val="auto"/>
          <w:sz w:val="32"/>
          <w:szCs w:val="32"/>
          <w:lang w:val="zh-CN"/>
        </w:rPr>
        <w:t>、专款专用。</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175" w:name="_Toc7907"/>
      <w:bookmarkStart w:id="176" w:name="_Toc31758"/>
      <w:bookmarkStart w:id="177" w:name="_Toc29116"/>
      <w:bookmarkStart w:id="178" w:name="_Toc26595"/>
      <w:r>
        <w:rPr>
          <w:rFonts w:hint="eastAsia" w:ascii="黑体" w:hAnsi="宋体" w:eastAsia="黑体"/>
          <w:b w:val="0"/>
          <w:bCs w:val="0"/>
          <w:color w:val="auto"/>
          <w:sz w:val="32"/>
          <w:szCs w:val="32"/>
          <w:highlight w:val="none"/>
          <w:u w:val="none"/>
        </w:rPr>
        <w:t>三、项目实施及管理情况</w:t>
      </w:r>
      <w:bookmarkEnd w:id="175"/>
      <w:bookmarkEnd w:id="176"/>
      <w:bookmarkEnd w:id="177"/>
      <w:bookmarkEnd w:id="178"/>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（一）项目组织架构及实施流程。</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职业能力建设科设</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科长</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1名，工作人员2名。科长负责审核管理项目，工作人员</w:t>
      </w:r>
      <w:r>
        <w:rPr>
          <w:rFonts w:hint="eastAsia" w:ascii="仿宋_GB2312" w:hAnsi="仿宋_GB2312" w:cs="仿宋_GB2312"/>
          <w:b w:val="0"/>
          <w:bCs w:val="0"/>
          <w:color w:val="auto"/>
          <w:kern w:val="0"/>
          <w:sz w:val="32"/>
          <w:szCs w:val="32"/>
          <w:highlight w:val="none"/>
          <w:u w:val="none"/>
          <w:shd w:val="clear" w:color="auto" w:fill="FFFFFF"/>
          <w:lang w:val="en-US" w:eastAsia="zh-CN"/>
        </w:rPr>
        <w:t>负责项目的具体</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实施。</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仿宋_GB2312" w:eastAsia="仿宋_GB2312"/>
          <w:sz w:val="32"/>
          <w:szCs w:val="32"/>
          <w:lang w:val="en-US" w:eastAsia="zh-CN"/>
        </w:rPr>
      </w:pPr>
      <w:r>
        <w:rPr>
          <w:rFonts w:hint="eastAsia" w:ascii="楷体_GB2312" w:hAnsi="宋体" w:eastAsia="楷体_GB2312"/>
          <w:b w:val="0"/>
          <w:bCs w:val="0"/>
          <w:color w:val="auto"/>
          <w:sz w:val="32"/>
          <w:szCs w:val="32"/>
          <w:highlight w:val="none"/>
          <w:u w:val="none"/>
          <w:lang w:val="zh-CN"/>
        </w:rPr>
        <w:t>（二）项目管理情况。</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严格按照相关管理规定，</w:t>
      </w:r>
      <w:r>
        <w:rPr>
          <w:rFonts w:hint="eastAsia" w:ascii="仿宋_GB2312" w:hAnsi="仿宋_GB2312" w:eastAsia="仿宋_GB2312" w:cs="仿宋_GB2312"/>
          <w:sz w:val="32"/>
          <w:szCs w:val="32"/>
        </w:rPr>
        <w:t>组织县区人社部门对文清平等30名广元工匠、向锋等16名广元创业领军人才工作（创业）情况、违法违纪等相关情况</w:t>
      </w:r>
      <w:r>
        <w:rPr>
          <w:rFonts w:hint="eastAsia" w:ascii="仿宋_GB2312" w:hAnsi="仿宋_GB2312" w:eastAsia="仿宋_GB2312" w:cs="仿宋_GB2312"/>
          <w:spacing w:val="-23"/>
          <w:sz w:val="32"/>
          <w:szCs w:val="32"/>
        </w:rPr>
        <w:t>进行了全面</w:t>
      </w:r>
      <w:r>
        <w:rPr>
          <w:rFonts w:hint="eastAsia" w:ascii="仿宋_GB2312" w:hAnsi="仿宋_GB2312" w:eastAsia="仿宋_GB2312" w:cs="仿宋_GB2312"/>
          <w:sz w:val="32"/>
          <w:szCs w:val="32"/>
        </w:rPr>
        <w:t>核实</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w:t>
      </w:r>
      <w:r>
        <w:rPr>
          <w:rFonts w:hint="eastAsia" w:ascii="仿宋_GB2312" w:hAnsi="仿宋_GB2312" w:eastAsia="仿宋_GB2312" w:cs="仿宋_GB2312"/>
          <w:sz w:val="32"/>
          <w:szCs w:val="32"/>
        </w:rPr>
        <w:t>将核实情况报送市委组织部。</w:t>
      </w:r>
      <w:r>
        <w:rPr>
          <w:rFonts w:hint="eastAsia" w:ascii="仿宋_GB2312" w:hAnsi="仿宋_GB2312" w:eastAsia="仿宋_GB2312" w:cs="仿宋_GB2312"/>
          <w:sz w:val="32"/>
          <w:szCs w:val="32"/>
          <w:lang w:val="en-US" w:eastAsia="zh-CN"/>
        </w:rPr>
        <w:t>由市委组织部统一向市财政局申请拨付资金到我局，最终由我局代发。</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仿宋_GB2312" w:eastAsia="仿宋_GB2312"/>
          <w:sz w:val="32"/>
          <w:szCs w:val="32"/>
          <w:lang w:val="en-US" w:eastAsia="zh-CN"/>
        </w:rPr>
      </w:pPr>
      <w:r>
        <w:rPr>
          <w:rFonts w:hint="eastAsia" w:ascii="楷体_GB2312" w:hAnsi="宋体" w:eastAsia="楷体_GB2312"/>
          <w:b w:val="0"/>
          <w:bCs w:val="0"/>
          <w:color w:val="auto"/>
          <w:sz w:val="32"/>
          <w:szCs w:val="32"/>
          <w:highlight w:val="none"/>
          <w:u w:val="none"/>
          <w:lang w:val="zh-CN"/>
        </w:rPr>
        <w:t>（三）项目监管情况。</w:t>
      </w:r>
      <w:r>
        <w:rPr>
          <w:rFonts w:hint="eastAsia" w:ascii="仿宋_GB2312" w:eastAsia="仿宋_GB2312"/>
          <w:sz w:val="32"/>
          <w:szCs w:val="32"/>
          <w:lang w:val="en-US" w:eastAsia="zh-CN"/>
        </w:rPr>
        <w:t>由局务会</w:t>
      </w:r>
      <w:r>
        <w:rPr>
          <w:rFonts w:hint="eastAsia" w:ascii="仿宋_GB2312"/>
          <w:sz w:val="32"/>
          <w:szCs w:val="32"/>
          <w:lang w:val="en-US" w:eastAsia="zh-CN"/>
        </w:rPr>
        <w:t>集中</w:t>
      </w:r>
      <w:r>
        <w:rPr>
          <w:rFonts w:hint="eastAsia" w:ascii="仿宋_GB2312" w:eastAsia="仿宋_GB2312"/>
          <w:sz w:val="32"/>
          <w:szCs w:val="32"/>
          <w:lang w:val="en-US" w:eastAsia="zh-CN"/>
        </w:rPr>
        <w:t>审议</w:t>
      </w:r>
      <w:r>
        <w:rPr>
          <w:rFonts w:hint="eastAsia" w:ascii="仿宋_GB2312" w:eastAsia="仿宋_GB2312"/>
          <w:sz w:val="32"/>
          <w:szCs w:val="32"/>
          <w:lang w:val="zh-CN"/>
        </w:rPr>
        <w:t>《</w:t>
      </w:r>
      <w:r>
        <w:rPr>
          <w:rFonts w:hint="eastAsia" w:ascii="仿宋_GB2312" w:eastAsia="仿宋_GB2312"/>
          <w:sz w:val="32"/>
          <w:szCs w:val="32"/>
        </w:rPr>
        <w:t>关于审议拨付“蜀道英才工程”2022年度岗位激励资金的请示</w:t>
      </w:r>
      <w:r>
        <w:rPr>
          <w:rFonts w:hint="eastAsia" w:ascii="仿宋_GB2312" w:eastAsia="仿宋_GB2312"/>
          <w:sz w:val="32"/>
          <w:szCs w:val="32"/>
          <w:lang w:val="zh-CN"/>
        </w:rPr>
        <w:t>》</w:t>
      </w:r>
      <w:r>
        <w:rPr>
          <w:rFonts w:hint="eastAsia" w:ascii="仿宋_GB2312"/>
          <w:sz w:val="32"/>
          <w:szCs w:val="32"/>
          <w:lang w:val="zh-CN"/>
        </w:rPr>
        <w:t>，</w:t>
      </w:r>
      <w:r>
        <w:rPr>
          <w:rFonts w:hint="eastAsia" w:ascii="仿宋_GB2312" w:eastAsia="仿宋_GB2312"/>
          <w:sz w:val="32"/>
          <w:szCs w:val="32"/>
          <w:lang w:val="en-US" w:eastAsia="zh-CN"/>
        </w:rPr>
        <w:t>加强过程监督。</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1"/>
        <w:rPr>
          <w:rFonts w:ascii="仿宋_GB2312" w:hAnsi="宋体"/>
          <w:b w:val="0"/>
          <w:bCs w:val="0"/>
          <w:color w:val="auto"/>
          <w:sz w:val="32"/>
          <w:szCs w:val="32"/>
          <w:highlight w:val="none"/>
          <w:u w:val="none"/>
          <w:lang w:val="zh-CN"/>
        </w:rPr>
      </w:pPr>
      <w:bookmarkStart w:id="179" w:name="_Toc21118"/>
      <w:bookmarkStart w:id="180" w:name="_Toc18735"/>
      <w:bookmarkStart w:id="181" w:name="_Toc31653"/>
      <w:bookmarkStart w:id="182" w:name="_Toc13380"/>
      <w:r>
        <w:rPr>
          <w:rFonts w:hint="eastAsia" w:ascii="黑体" w:hAnsi="宋体" w:eastAsia="黑体"/>
          <w:b w:val="0"/>
          <w:bCs w:val="0"/>
          <w:color w:val="auto"/>
          <w:sz w:val="32"/>
          <w:szCs w:val="32"/>
          <w:highlight w:val="none"/>
          <w:u w:val="none"/>
        </w:rPr>
        <w:t>四、项目绩效情况</w:t>
      </w:r>
      <w:bookmarkEnd w:id="179"/>
      <w:bookmarkEnd w:id="180"/>
      <w:bookmarkEnd w:id="181"/>
      <w:bookmarkEnd w:id="182"/>
      <w:r>
        <w:rPr>
          <w:rFonts w:hint="eastAsia" w:ascii="仿宋_GB2312" w:hAnsi="宋体"/>
          <w:b w:val="0"/>
          <w:bCs w:val="0"/>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2"/>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（一）项目完成情况。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为46名“蜀道英才工程”入选者按时拨付岗位激励资金，</w:t>
      </w:r>
      <w:r>
        <w:rPr>
          <w:rFonts w:hint="eastAsia" w:ascii="仿宋_GB2312" w:hAnsi="仿宋_GB2312" w:eastAsia="仿宋_GB2312" w:cs="仿宋_GB2312"/>
          <w:sz w:val="32"/>
          <w:szCs w:val="32"/>
        </w:rPr>
        <w:t>29名广元工匠岗位激励资金，共计18万元（含补发</w:t>
      </w:r>
      <w:r>
        <w:rPr>
          <w:rFonts w:hint="eastAsia" w:ascii="仿宋_GB2312" w:hAnsi="仿宋_GB2312" w:eastAsia="仿宋_GB2312" w:cs="仿宋_GB2312"/>
          <w:sz w:val="32"/>
          <w:szCs w:val="32"/>
          <w:lang w:val="en-US" w:eastAsia="zh-CN"/>
        </w:rPr>
        <w:t>王用祥2020年度岗位激励资金</w:t>
      </w:r>
      <w:r>
        <w:rPr>
          <w:rFonts w:hint="eastAsia" w:ascii="仿宋_GB2312" w:hAnsi="仿宋_GB2312" w:eastAsia="仿宋_GB2312" w:cs="仿宋_GB2312"/>
          <w:sz w:val="32"/>
          <w:szCs w:val="32"/>
        </w:rPr>
        <w:t>6000元）；16名广元创业领军人才岗位激励资金，共计9.6万元。以上资金共计27.6万元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2"/>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（二）项目效益情况。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通过保障岗位激励资金，增强了各类人才的获得感、归宿感、幸福感，调动各类优秀人才干事创业积极性力度，提高各类优秀人才满意度。</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183" w:name="_Toc11091"/>
      <w:bookmarkStart w:id="184" w:name="_Toc14529"/>
      <w:bookmarkStart w:id="185" w:name="_Toc377"/>
      <w:bookmarkStart w:id="186" w:name="_Toc15377"/>
      <w:r>
        <w:rPr>
          <w:rFonts w:hint="eastAsia" w:ascii="黑体" w:hAnsi="宋体" w:eastAsia="黑体"/>
          <w:b w:val="0"/>
          <w:bCs w:val="0"/>
          <w:color w:val="auto"/>
          <w:sz w:val="32"/>
          <w:szCs w:val="32"/>
          <w:highlight w:val="none"/>
          <w:u w:val="none"/>
        </w:rPr>
        <w:t>五、评价结论及建议</w:t>
      </w:r>
      <w:bookmarkEnd w:id="183"/>
      <w:bookmarkEnd w:id="184"/>
      <w:bookmarkEnd w:id="185"/>
      <w:bookmarkEnd w:id="186"/>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2"/>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（一）评价结论。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按时拨付“蜀道英才工程”入选者的岗位激励资金，增强了各类人才的获得感、归宿感、幸福感，调动各类优秀人才干事创业积极性力度，提高各类优秀人才满意度，总体评价得100分。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2"/>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cs="仿宋_GB2312"/>
          <w:b w:val="0"/>
          <w:bCs w:val="0"/>
          <w:color w:val="auto"/>
          <w:kern w:val="0"/>
          <w:sz w:val="32"/>
          <w:szCs w:val="32"/>
          <w:highlight w:val="none"/>
          <w:u w:val="none"/>
          <w:shd w:val="clear" w:color="auto" w:fill="FFFFFF"/>
          <w:lang w:val="en-US" w:eastAsia="zh-CN"/>
        </w:rPr>
        <w:t>无。</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2"/>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（三）相关建议。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cs="仿宋_GB2312"/>
          <w:b w:val="0"/>
          <w:bCs w:val="0"/>
          <w:color w:val="auto"/>
          <w:kern w:val="0"/>
          <w:sz w:val="32"/>
          <w:szCs w:val="32"/>
          <w:highlight w:val="none"/>
          <w:u w:val="none"/>
          <w:shd w:val="clear" w:color="auto" w:fill="FFFFFF"/>
          <w:lang w:val="en-US" w:eastAsia="zh-CN"/>
        </w:rPr>
        <w:t>无。</w:t>
      </w:r>
    </w:p>
    <w:p>
      <w:pPr>
        <w:pStyle w:val="35"/>
        <w:keepNext w:val="0"/>
        <w:keepLines w:val="0"/>
        <w:pageBreakBefore w:val="0"/>
        <w:widowControl w:val="0"/>
        <w:kinsoku/>
        <w:wordWrap/>
        <w:overflowPunct/>
        <w:topLinePunct w:val="0"/>
        <w:autoSpaceDE/>
        <w:autoSpaceDN/>
        <w:bidi w:val="0"/>
        <w:spacing w:line="578" w:lineRule="exact"/>
        <w:jc w:val="center"/>
        <w:textAlignment w:val="auto"/>
        <w:rPr>
          <w:rFonts w:hint="default"/>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2023年专项资金预算项目绩效自评报告四</w:t>
      </w:r>
    </w:p>
    <w:p>
      <w:pPr>
        <w:spacing w:line="550" w:lineRule="exact"/>
        <w:jc w:val="center"/>
        <w:rPr>
          <w:rFonts w:hint="eastAsia" w:ascii="方正小标宋简体" w:eastAsia="方正小标宋简体"/>
          <w:b w:val="0"/>
          <w:bCs w:val="0"/>
          <w:sz w:val="44"/>
          <w:szCs w:val="44"/>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赴成都开展人才引进宣讲活动经费</w:t>
      </w:r>
      <w:r>
        <w:rPr>
          <w:rFonts w:hint="eastAsia" w:ascii="仿宋_GB2312" w:hAnsi="仿宋_GB2312" w:eastAsia="仿宋_GB2312" w:cs="仿宋_GB2312"/>
          <w:b w:val="0"/>
          <w:bCs w:val="0"/>
          <w:sz w:val="32"/>
          <w:szCs w:val="32"/>
          <w:lang w:eastAsia="zh-CN"/>
        </w:rPr>
        <w:t>）</w:t>
      </w:r>
    </w:p>
    <w:p>
      <w:pPr>
        <w:pStyle w:val="15"/>
        <w:rPr>
          <w:rFonts w:hint="default"/>
          <w:lang w:val="en-US" w:eastAsia="zh-CN"/>
        </w:rPr>
      </w:pPr>
    </w:p>
    <w:p>
      <w:pPr>
        <w:spacing w:line="550" w:lineRule="exact"/>
        <w:ind w:firstLine="643" w:firstLineChars="200"/>
        <w:outlineLvl w:val="1"/>
        <w:rPr>
          <w:rFonts w:hint="eastAsia" w:ascii="黑体" w:hAnsi="黑体" w:eastAsia="黑体" w:cs="黑体"/>
          <w:b/>
          <w:bCs/>
          <w:sz w:val="32"/>
          <w:szCs w:val="32"/>
          <w:lang w:val="zh-CN"/>
        </w:rPr>
      </w:pPr>
      <w:bookmarkStart w:id="187" w:name="_Toc31818"/>
      <w:bookmarkStart w:id="188" w:name="_Toc24160"/>
      <w:bookmarkStart w:id="189" w:name="_Toc12504"/>
      <w:bookmarkStart w:id="190" w:name="_Toc23344"/>
      <w:r>
        <w:rPr>
          <w:rFonts w:hint="eastAsia" w:ascii="黑体" w:hAnsi="黑体" w:eastAsia="黑体" w:cs="黑体"/>
          <w:b/>
          <w:bCs/>
          <w:sz w:val="32"/>
          <w:szCs w:val="32"/>
        </w:rPr>
        <w:t>一、</w:t>
      </w:r>
      <w:r>
        <w:rPr>
          <w:rFonts w:hint="eastAsia" w:ascii="黑体" w:hAnsi="黑体" w:eastAsia="黑体" w:cs="黑体"/>
          <w:b/>
          <w:bCs/>
          <w:sz w:val="32"/>
          <w:szCs w:val="32"/>
          <w:lang w:val="zh-CN"/>
        </w:rPr>
        <w:t>项目概况</w:t>
      </w:r>
      <w:bookmarkEnd w:id="187"/>
      <w:bookmarkEnd w:id="188"/>
      <w:bookmarkEnd w:id="189"/>
      <w:bookmarkEnd w:id="190"/>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2"/>
        <w:rPr>
          <w:rFonts w:hint="eastAsia"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（一）项目基本情况。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lang w:val="en-US" w:eastAsia="zh-CN"/>
        </w:rPr>
      </w:pPr>
      <w:r>
        <w:rPr>
          <w:rFonts w:hint="eastAsia" w:ascii="仿宋_GB2312" w:hAnsi="Times New Roman" w:eastAsia="仿宋_GB2312" w:cs="Times New Roman"/>
          <w:sz w:val="32"/>
          <w:szCs w:val="32"/>
        </w:rPr>
        <w:t>为深入贯彻落实中央人才工作会议精神、市第八次党代会精神</w:t>
      </w:r>
      <w:r>
        <w:rPr>
          <w:rFonts w:hint="eastAsia" w:ascii="仿宋_GB2312" w:hAnsi="Times New Roman" w:eastAsia="仿宋_GB2312" w:cs="Times New Roman"/>
          <w:sz w:val="32"/>
          <w:szCs w:val="32"/>
          <w:lang w:eastAsia="zh-CN"/>
        </w:rPr>
        <w:t>中</w:t>
      </w:r>
      <w:r>
        <w:rPr>
          <w:rFonts w:hint="eastAsia" w:ascii="仿宋_GB2312" w:hAnsi="Times New Roman" w:eastAsia="仿宋_GB2312" w:cs="Times New Roman"/>
          <w:sz w:val="32"/>
          <w:szCs w:val="32"/>
        </w:rPr>
        <w:t>加大人才引进力度</w:t>
      </w:r>
      <w:r>
        <w:rPr>
          <w:rFonts w:hint="eastAsia" w:ascii="仿宋_GB2312" w:hAnsi="Times New Roman" w:eastAsia="仿宋_GB2312" w:cs="Times New Roman"/>
          <w:sz w:val="32"/>
          <w:szCs w:val="32"/>
          <w:lang w:eastAsia="zh-CN"/>
        </w:rPr>
        <w:t>的</w:t>
      </w:r>
      <w:r>
        <w:rPr>
          <w:rFonts w:hint="eastAsia" w:ascii="仿宋_GB2312" w:hAnsi="Times New Roman" w:eastAsia="仿宋_GB2312" w:cs="Times New Roman"/>
          <w:sz w:val="32"/>
          <w:szCs w:val="32"/>
        </w:rPr>
        <w:t>要求</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2021年12月16日-17日，我市在成都理工大学组织开展了2021年度高层次人才引进宣讲活动，与成都理工大学、西南交通大学分别召开战略合作座谈会，签订了战略合作协议，整体活动取得圆满成功。</w:t>
      </w:r>
      <w:r>
        <w:rPr>
          <w:rFonts w:hint="eastAsia" w:ascii="仿宋_GB2312" w:hAnsi="Times New Roman" w:eastAsia="仿宋_GB2312" w:cs="Times New Roman"/>
          <w:sz w:val="32"/>
          <w:szCs w:val="32"/>
          <w:lang w:val="zh-CN" w:eastAsia="zh-CN"/>
        </w:rPr>
        <w:t>我市作为贫困地区经济文化基础相对滞后，</w:t>
      </w:r>
      <w:r>
        <w:rPr>
          <w:rFonts w:hint="eastAsia" w:ascii="仿宋_GB2312" w:hAnsi="Times New Roman" w:eastAsia="仿宋_GB2312" w:cs="Times New Roman"/>
          <w:sz w:val="32"/>
          <w:szCs w:val="32"/>
          <w:lang w:val="zh-CN"/>
        </w:rPr>
        <w:t>精准招引一批急需紧缺高素质专业人才，造就规模宏大的高层次创新创业人才队伍，打造人才高地助力经济建设至关重要。但我市</w:t>
      </w:r>
      <w:r>
        <w:rPr>
          <w:rFonts w:hint="eastAsia" w:ascii="仿宋_GB2312" w:hAnsi="Times New Roman" w:eastAsia="仿宋_GB2312" w:cs="Times New Roman"/>
          <w:sz w:val="32"/>
          <w:szCs w:val="32"/>
          <w:lang w:val="zh-CN" w:eastAsia="zh-CN"/>
        </w:rPr>
        <w:t>对人才的吸引力先天性不优，唯有制定更加优惠的政策，同时大力进行宣讲，方能吸引更多高层次人才来广创业发展。</w:t>
      </w:r>
      <w:r>
        <w:rPr>
          <w:rFonts w:hint="eastAsia" w:ascii="仿宋_GB2312" w:hAnsi="Times New Roman" w:eastAsia="仿宋_GB2312" w:cs="Times New Roman"/>
          <w:sz w:val="32"/>
          <w:szCs w:val="32"/>
          <w:highlight w:val="none"/>
          <w:lang w:val="en-US" w:eastAsia="zh-CN"/>
        </w:rPr>
        <w:t>本次宣讲活动统一开支24.4366万元。根据市领导对《关于开展2021年“广纳英才·元来有你”引才月系列活动的请示》的批示精神，所需经费在市人才专项资金中解决。</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2"/>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楷体_GB2312" w:hAnsi="宋体" w:eastAsia="楷体_GB2312"/>
          <w:b w:val="0"/>
          <w:bCs w:val="0"/>
          <w:color w:val="auto"/>
          <w:sz w:val="32"/>
          <w:szCs w:val="32"/>
          <w:highlight w:val="none"/>
          <w:u w:val="none"/>
          <w:lang w:val="zh-CN"/>
        </w:rPr>
        <w:t>（二）项目绩效目标。</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赴成都开展宣讲活动1次，预计引进高层次人才130人。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2"/>
        <w:rPr>
          <w:rFonts w:hint="eastAsia" w:ascii="楷体_GB2312" w:hAnsi="宋体" w:eastAsia="楷体_GB2312" w:cs="Times New Roman"/>
          <w:b w:val="0"/>
          <w:bCs w:val="0"/>
          <w:color w:val="auto"/>
          <w:sz w:val="32"/>
          <w:szCs w:val="32"/>
          <w:highlight w:val="none"/>
          <w:u w:val="none"/>
          <w:lang w:val="zh-CN"/>
        </w:rPr>
      </w:pPr>
      <w:r>
        <w:rPr>
          <w:rFonts w:hint="eastAsia" w:ascii="楷体_GB2312" w:hAnsi="宋体" w:eastAsia="楷体_GB2312" w:cs="Times New Roman"/>
          <w:b w:val="0"/>
          <w:bCs w:val="0"/>
          <w:color w:val="auto"/>
          <w:sz w:val="32"/>
          <w:szCs w:val="32"/>
          <w:highlight w:val="none"/>
          <w:u w:val="none"/>
          <w:lang w:val="zh-CN"/>
        </w:rPr>
        <w:t>（三）项目自评步骤及方法。</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一是加强统筹，成立以专业技术人员管理科科长为组长，科室其余人员为成员的自评工作组。二是组织实施，通过查阅资料、审核票据，看有无虚列支出、票据不规范的情况。三是考评结果，通过自评，得出考评分值，并查找问题，分析原因，提出整改意见。</w:t>
      </w:r>
    </w:p>
    <w:p>
      <w:pPr>
        <w:keepNext w:val="0"/>
        <w:keepLines w:val="0"/>
        <w:pageBreakBefore w:val="0"/>
        <w:widowControl w:val="0"/>
        <w:numPr>
          <w:ilvl w:val="0"/>
          <w:numId w:val="13"/>
        </w:numPr>
        <w:kinsoku/>
        <w:wordWrap/>
        <w:overflowPunct/>
        <w:topLinePunct w:val="0"/>
        <w:autoSpaceDE/>
        <w:autoSpaceDN/>
        <w:bidi w:val="0"/>
        <w:adjustRightInd w:val="0"/>
        <w:snapToGrid w:val="0"/>
        <w:spacing w:line="576" w:lineRule="exact"/>
        <w:ind w:firstLine="640" w:firstLineChars="200"/>
        <w:jc w:val="both"/>
        <w:textAlignment w:val="auto"/>
        <w:outlineLvl w:val="1"/>
        <w:rPr>
          <w:rFonts w:hint="eastAsia" w:ascii="黑体" w:hAnsi="宋体" w:eastAsia="黑体"/>
          <w:b w:val="0"/>
          <w:bCs w:val="0"/>
          <w:color w:val="auto"/>
          <w:sz w:val="32"/>
          <w:szCs w:val="32"/>
          <w:highlight w:val="none"/>
          <w:u w:val="none"/>
        </w:rPr>
      </w:pPr>
      <w:bookmarkStart w:id="191" w:name="_Toc16380"/>
      <w:bookmarkStart w:id="192" w:name="_Toc14837"/>
      <w:bookmarkStart w:id="193" w:name="_Toc10954"/>
      <w:bookmarkStart w:id="194" w:name="_Toc5047"/>
      <w:r>
        <w:rPr>
          <w:rFonts w:hint="eastAsia" w:ascii="黑体" w:hAnsi="宋体" w:eastAsia="黑体"/>
          <w:b w:val="0"/>
          <w:bCs w:val="0"/>
          <w:color w:val="auto"/>
          <w:sz w:val="32"/>
          <w:szCs w:val="32"/>
          <w:highlight w:val="none"/>
          <w:u w:val="none"/>
        </w:rPr>
        <w:t>项目资金申报及使用情况</w:t>
      </w:r>
      <w:bookmarkEnd w:id="191"/>
      <w:bookmarkEnd w:id="192"/>
      <w:bookmarkEnd w:id="193"/>
      <w:bookmarkEnd w:id="194"/>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outlineLvl w:val="2"/>
        <w:rPr>
          <w:rFonts w:hint="eastAsia" w:ascii="楷体_GB2312" w:hAnsi="宋体" w:eastAsia="楷体_GB2312"/>
          <w:b w:val="0"/>
          <w:bCs w:val="0"/>
          <w:color w:val="0070C0"/>
          <w:sz w:val="32"/>
          <w:szCs w:val="32"/>
          <w:highlight w:val="none"/>
          <w:u w:val="none"/>
          <w:lang w:val="zh-CN"/>
        </w:rPr>
      </w:pPr>
      <w:r>
        <w:rPr>
          <w:rFonts w:hint="eastAsia" w:ascii="楷体_GB2312" w:hAnsi="宋体" w:eastAsia="楷体_GB2312" w:cs="Times New Roman"/>
          <w:b w:val="0"/>
          <w:bCs w:val="0"/>
          <w:color w:val="auto"/>
          <w:sz w:val="32"/>
          <w:szCs w:val="32"/>
          <w:highlight w:val="none"/>
          <w:u w:val="none"/>
          <w:lang w:val="zh-CN"/>
        </w:rPr>
        <w:t>（一）项目资金申报及批复情况。</w:t>
      </w:r>
    </w:p>
    <w:p>
      <w:pPr>
        <w:pStyle w:val="15"/>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申报项目资金</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24</w:t>
      </w:r>
      <w:r>
        <w:rPr>
          <w:rFonts w:hint="eastAsia" w:hAnsi="仿宋_GB2312" w:eastAsia="仿宋_GB2312" w:cs="仿宋_GB2312"/>
          <w:b w:val="0"/>
          <w:bCs w:val="0"/>
          <w:color w:val="auto"/>
          <w:kern w:val="0"/>
          <w:sz w:val="32"/>
          <w:szCs w:val="32"/>
          <w:highlight w:val="none"/>
          <w:u w:val="none"/>
          <w:shd w:val="clear" w:color="auto" w:fill="FFFFFF"/>
          <w:lang w:val="en-US" w:eastAsia="zh-CN" w:bidi="ar-SA"/>
        </w:rPr>
        <w:t>.</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4366</w:t>
      </w:r>
      <w:r>
        <w:rPr>
          <w:rFonts w:hint="eastAsia" w:hAnsi="仿宋_GB2312" w:eastAsia="仿宋_GB2312" w:cs="仿宋_GB2312"/>
          <w:b w:val="0"/>
          <w:bCs w:val="0"/>
          <w:color w:val="auto"/>
          <w:kern w:val="0"/>
          <w:sz w:val="32"/>
          <w:szCs w:val="32"/>
          <w:highlight w:val="none"/>
          <w:u w:val="none"/>
          <w:shd w:val="clear" w:color="auto" w:fill="FFFFFF"/>
          <w:lang w:val="en-US" w:eastAsia="zh-CN" w:bidi="ar-SA"/>
        </w:rPr>
        <w:t>万</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元，批复24</w:t>
      </w:r>
      <w:r>
        <w:rPr>
          <w:rFonts w:hint="eastAsia" w:hAnsi="仿宋_GB2312" w:eastAsia="仿宋_GB2312" w:cs="仿宋_GB2312"/>
          <w:b w:val="0"/>
          <w:bCs w:val="0"/>
          <w:color w:val="auto"/>
          <w:kern w:val="0"/>
          <w:sz w:val="32"/>
          <w:szCs w:val="32"/>
          <w:highlight w:val="none"/>
          <w:u w:val="none"/>
          <w:shd w:val="clear" w:color="auto" w:fill="FFFFFF"/>
          <w:lang w:val="en-US" w:eastAsia="zh-CN" w:bidi="ar-SA"/>
        </w:rPr>
        <w:t>.</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4366</w:t>
      </w:r>
      <w:r>
        <w:rPr>
          <w:rFonts w:hint="eastAsia" w:hAnsi="仿宋_GB2312" w:eastAsia="仿宋_GB2312" w:cs="仿宋_GB2312"/>
          <w:b w:val="0"/>
          <w:bCs w:val="0"/>
          <w:color w:val="auto"/>
          <w:kern w:val="0"/>
          <w:sz w:val="32"/>
          <w:szCs w:val="32"/>
          <w:highlight w:val="none"/>
          <w:u w:val="none"/>
          <w:shd w:val="clear" w:color="auto" w:fill="FFFFFF"/>
          <w:lang w:val="en-US" w:eastAsia="zh-CN" w:bidi="ar-SA"/>
        </w:rPr>
        <w:t>万</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元，未调整预算。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outlineLvl w:val="2"/>
        <w:rPr>
          <w:rFonts w:hint="default" w:eastAsia="宋体"/>
          <w:lang w:val="en-US" w:eastAsia="zh-CN"/>
        </w:rPr>
      </w:pPr>
      <w:r>
        <w:rPr>
          <w:rFonts w:hint="eastAsia" w:ascii="楷体_GB2312" w:hAnsi="宋体" w:eastAsia="楷体_GB2312"/>
          <w:b w:val="0"/>
          <w:bCs w:val="0"/>
          <w:color w:val="auto"/>
          <w:sz w:val="32"/>
          <w:szCs w:val="32"/>
          <w:highlight w:val="none"/>
          <w:u w:val="none"/>
          <w:lang w:val="zh-CN"/>
        </w:rPr>
        <w:t>（</w:t>
      </w:r>
      <w:r>
        <w:rPr>
          <w:rFonts w:hint="eastAsia" w:ascii="楷体_GB2312" w:hAnsi="宋体" w:eastAsia="楷体_GB2312"/>
          <w:b w:val="0"/>
          <w:bCs w:val="0"/>
          <w:color w:val="auto"/>
          <w:sz w:val="32"/>
          <w:szCs w:val="32"/>
          <w:highlight w:val="none"/>
          <w:u w:val="none"/>
          <w:lang w:val="en-US" w:eastAsia="zh-CN"/>
        </w:rPr>
        <w:t>二</w:t>
      </w:r>
      <w:r>
        <w:rPr>
          <w:rFonts w:hint="eastAsia" w:ascii="楷体_GB2312" w:hAnsi="宋体" w:eastAsia="楷体_GB2312"/>
          <w:b w:val="0"/>
          <w:bCs w:val="0"/>
          <w:color w:val="auto"/>
          <w:sz w:val="32"/>
          <w:szCs w:val="32"/>
          <w:highlight w:val="none"/>
          <w:u w:val="none"/>
          <w:lang w:val="zh-CN"/>
        </w:rPr>
        <w:t>）资金计划、到位及使用情况。</w:t>
      </w:r>
    </w:p>
    <w:p>
      <w:pPr>
        <w:pStyle w:val="15"/>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市财政通过追加预算下达资金计划24.4366万元</w:t>
      </w:r>
      <w:r>
        <w:rPr>
          <w:rFonts w:hint="eastAsia" w:hAnsi="仿宋_GB2312" w:eastAsia="仿宋_GB2312" w:cs="仿宋_GB2312"/>
          <w:b w:val="0"/>
          <w:bCs w:val="0"/>
          <w:color w:val="auto"/>
          <w:kern w:val="0"/>
          <w:sz w:val="32"/>
          <w:szCs w:val="32"/>
          <w:highlight w:val="none"/>
          <w:u w:val="none"/>
          <w:shd w:val="clear" w:color="auto" w:fill="FFFFFF"/>
          <w:lang w:val="en-US" w:eastAsia="zh-CN" w:bidi="ar-SA"/>
        </w:rPr>
        <w:t>，到位24.4366万元，到位率100%，截至评价日已使用24.4366万元，预算执行率100%。</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195" w:name="_Toc27423"/>
      <w:bookmarkStart w:id="196" w:name="_Toc2747"/>
      <w:bookmarkStart w:id="197" w:name="_Toc26193"/>
      <w:bookmarkStart w:id="198" w:name="_Toc8339"/>
      <w:r>
        <w:rPr>
          <w:rFonts w:hint="eastAsia" w:ascii="黑体" w:hAnsi="宋体" w:eastAsia="黑体"/>
          <w:b w:val="0"/>
          <w:bCs w:val="0"/>
          <w:color w:val="auto"/>
          <w:sz w:val="32"/>
          <w:szCs w:val="32"/>
          <w:highlight w:val="none"/>
          <w:u w:val="none"/>
        </w:rPr>
        <w:t>三、项目实施及管理情况</w:t>
      </w:r>
      <w:bookmarkEnd w:id="195"/>
      <w:bookmarkEnd w:id="196"/>
      <w:bookmarkEnd w:id="197"/>
      <w:bookmarkEnd w:id="198"/>
    </w:p>
    <w:p>
      <w:pPr>
        <w:pStyle w:val="15"/>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hAnsi="仿宋_GB2312" w:eastAsia="仿宋_GB2312" w:cs="仿宋_GB2312"/>
          <w:sz w:val="32"/>
          <w:szCs w:val="32"/>
          <w:lang w:val="en-US" w:eastAsia="zh-CN"/>
        </w:rPr>
        <w:t>在项目实施过程中，由专人全程跟踪监督，项目实施严格按照计划进行，资金结算</w:t>
      </w:r>
      <w:r>
        <w:rPr>
          <w:rFonts w:hint="eastAsia" w:ascii="仿宋_GB2312" w:hAnsi="仿宋_GB2312" w:eastAsia="仿宋_GB2312" w:cs="仿宋_GB2312"/>
          <w:sz w:val="32"/>
          <w:szCs w:val="32"/>
        </w:rPr>
        <w:t>根据《中华人民共和国预算法》等制度要求对项目实行了国库集中支付，资金支出严格依据相关财务制度和预算标准执行，资金使用合法合规，财务信息真实完整，坚持了厉行节约，不存在资金截留、挤占和挪用现象。</w:t>
      </w:r>
    </w:p>
    <w:p>
      <w:pPr>
        <w:pStyle w:val="15"/>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outlineLvl w:val="1"/>
        <w:rPr>
          <w:rFonts w:hint="eastAsia" w:ascii="黑体" w:hAnsi="宋体" w:eastAsia="黑体"/>
          <w:b w:val="0"/>
          <w:bCs w:val="0"/>
          <w:color w:val="auto"/>
          <w:sz w:val="32"/>
          <w:szCs w:val="32"/>
          <w:highlight w:val="none"/>
          <w:u w:val="none"/>
        </w:rPr>
      </w:pPr>
      <w:r>
        <w:rPr>
          <w:rFonts w:hint="eastAsia" w:ascii="仿宋_GB2312" w:hAnsi="仿宋_GB2312" w:eastAsia="仿宋_GB2312" w:cs="仿宋_GB2312"/>
          <w:sz w:val="32"/>
          <w:szCs w:val="32"/>
          <w:lang w:val="en-US" w:eastAsia="zh-CN"/>
        </w:rPr>
        <w:t xml:space="preserve">    </w:t>
      </w:r>
      <w:bookmarkStart w:id="199" w:name="_Toc25693"/>
      <w:bookmarkStart w:id="200" w:name="_Toc21071"/>
      <w:bookmarkStart w:id="201" w:name="_Toc19837"/>
      <w:bookmarkStart w:id="202" w:name="_Toc10644"/>
      <w:r>
        <w:rPr>
          <w:rFonts w:hint="eastAsia" w:ascii="黑体" w:hAnsi="宋体" w:eastAsia="黑体"/>
          <w:b w:val="0"/>
          <w:bCs w:val="0"/>
          <w:color w:val="auto"/>
          <w:sz w:val="32"/>
          <w:szCs w:val="32"/>
          <w:highlight w:val="none"/>
          <w:u w:val="none"/>
        </w:rPr>
        <w:t>四、项目绩效情况</w:t>
      </w:r>
      <w:bookmarkEnd w:id="199"/>
      <w:bookmarkEnd w:id="200"/>
      <w:bookmarkEnd w:id="201"/>
      <w:bookmarkEnd w:id="202"/>
    </w:p>
    <w:p>
      <w:pPr>
        <w:keepNext w:val="0"/>
        <w:keepLines w:val="0"/>
        <w:pageBreakBefore w:val="0"/>
        <w:widowControl w:val="0"/>
        <w:numPr>
          <w:ilvl w:val="0"/>
          <w:numId w:val="14"/>
        </w:numPr>
        <w:kinsoku/>
        <w:wordWrap/>
        <w:overflowPunct/>
        <w:topLinePunct w:val="0"/>
        <w:autoSpaceDE/>
        <w:autoSpaceDN/>
        <w:bidi w:val="0"/>
        <w:adjustRightInd/>
        <w:snapToGrid/>
        <w:spacing w:line="576" w:lineRule="exact"/>
        <w:ind w:firstLine="640" w:firstLineChars="200"/>
        <w:textAlignment w:val="auto"/>
        <w:outlineLvl w:val="2"/>
        <w:rPr>
          <w:rFonts w:hint="eastAsia"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项目完成情况。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顺利赴成都开展宣讲活动1次，</w:t>
      </w:r>
      <w:r>
        <w:rPr>
          <w:rFonts w:hint="eastAsia" w:ascii="仿宋_GB2312" w:eastAsia="仿宋_GB2312" w:cs="Times New Roman"/>
          <w:sz w:val="32"/>
          <w:szCs w:val="32"/>
          <w:lang w:val="en-US" w:eastAsia="zh-CN"/>
        </w:rPr>
        <w:t>宣讲</w:t>
      </w:r>
      <w:r>
        <w:rPr>
          <w:rFonts w:hint="eastAsia" w:ascii="仿宋_GB2312" w:hAnsi="Times New Roman" w:eastAsia="仿宋_GB2312" w:cs="Times New Roman"/>
          <w:sz w:val="32"/>
          <w:szCs w:val="32"/>
          <w:lang w:val="en-US" w:eastAsia="zh-CN"/>
        </w:rPr>
        <w:t>活动当天，共提供岗位1780个，岗位专业设置紧紧围绕“四大经济”“四大工程”发展需要，涵盖事业单位、国有企业、非公企业等各个领域。活动现场接收简历847份、接受咨询700余人次、求职登记387人、初步达成意向265人。宣讲会同步进行网络直播，在线观看5000余人次。</w:t>
      </w:r>
      <w:r>
        <w:rPr>
          <w:rFonts w:hint="eastAsia" w:ascii="仿宋_GB2312" w:eastAsia="仿宋_GB2312" w:cs="Times New Roman"/>
          <w:sz w:val="32"/>
          <w:szCs w:val="32"/>
          <w:lang w:val="en-US" w:eastAsia="zh-CN"/>
        </w:rPr>
        <w:t>最终</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引进高层次人才113人。</w:t>
      </w:r>
    </w:p>
    <w:p>
      <w:pPr>
        <w:pStyle w:val="15"/>
        <w:keepNext w:val="0"/>
        <w:keepLines w:val="0"/>
        <w:pageBreakBefore w:val="0"/>
        <w:widowControl w:val="0"/>
        <w:numPr>
          <w:ilvl w:val="0"/>
          <w:numId w:val="14"/>
        </w:numPr>
        <w:kinsoku/>
        <w:wordWrap/>
        <w:overflowPunct/>
        <w:topLinePunct w:val="0"/>
        <w:autoSpaceDE/>
        <w:autoSpaceDN/>
        <w:bidi w:val="0"/>
        <w:spacing w:line="576" w:lineRule="exact"/>
        <w:ind w:left="0" w:leftChars="0" w:firstLine="640" w:firstLineChars="200"/>
        <w:textAlignment w:val="auto"/>
        <w:outlineLvl w:val="2"/>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楷体_GB2312" w:hAnsi="宋体" w:eastAsia="楷体_GB2312"/>
          <w:b w:val="0"/>
          <w:bCs w:val="0"/>
          <w:color w:val="auto"/>
          <w:sz w:val="32"/>
          <w:szCs w:val="32"/>
          <w:highlight w:val="none"/>
          <w:u w:val="none"/>
          <w:lang w:val="zh-CN"/>
        </w:rPr>
        <w:t>项目效益情况。</w:t>
      </w:r>
    </w:p>
    <w:p>
      <w:pPr>
        <w:pStyle w:val="15"/>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rPr>
          <w:rFonts w:hint="eastAsia" w:ascii="仿宋_GB2312" w:eastAsia="仿宋_GB2312" w:cs="仿宋_GB2312"/>
          <w:spacing w:val="4"/>
          <w:sz w:val="32"/>
          <w:szCs w:val="32"/>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大力宣传广元市情及引才政策，使越来越多的人才更加向往广元，为全市引进紧缺急需的高层次人才。</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引进人才在市委、市政府及各用人单位培养培训下，发挥着越来越重要作用，有的担任党政领导职务，有的成为教学和科研领域的骨干力量，有效增强了全市可持续发展的后劲和动力。同时，通过各类平台大力宣传广元市情及引才政策，我市尊重知识、重视人才的对外形象不断巩固，对高层次人才的吸引力不断增强，构成一个良性循环。</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203" w:name="_Toc31234"/>
      <w:bookmarkStart w:id="204" w:name="_Toc32225"/>
      <w:bookmarkStart w:id="205" w:name="_Toc1800"/>
      <w:bookmarkStart w:id="206" w:name="_Toc8866"/>
      <w:r>
        <w:rPr>
          <w:rFonts w:hint="eastAsia" w:ascii="黑体" w:hAnsi="宋体" w:eastAsia="黑体"/>
          <w:b w:val="0"/>
          <w:bCs w:val="0"/>
          <w:color w:val="auto"/>
          <w:sz w:val="32"/>
          <w:szCs w:val="32"/>
          <w:highlight w:val="none"/>
          <w:u w:val="none"/>
        </w:rPr>
        <w:t>五、评价结论及建议</w:t>
      </w:r>
      <w:bookmarkEnd w:id="203"/>
      <w:bookmarkEnd w:id="204"/>
      <w:bookmarkEnd w:id="205"/>
      <w:bookmarkEnd w:id="206"/>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高层次人才引进力度需要进一步提高，人才引进经费涉及赴外宣讲、考核招聘等工作，任务重，经费较为紧张。</w:t>
      </w:r>
      <w:r>
        <w:rPr>
          <w:rFonts w:hint="eastAsia" w:ascii="仿宋_GB2312" w:eastAsia="仿宋_GB2312" w:cs="仿宋_GB2312"/>
          <w:sz w:val="32"/>
          <w:szCs w:val="32"/>
        </w:rPr>
        <w:t>提高我市</w:t>
      </w:r>
      <w:r>
        <w:rPr>
          <w:rFonts w:hint="eastAsia" w:ascii="仿宋_GB2312" w:hAnsi="Calibri" w:eastAsia="仿宋_GB2312" w:cs="仿宋_GB2312"/>
          <w:sz w:val="32"/>
          <w:szCs w:val="32"/>
        </w:rPr>
        <w:t>高层次人才引进调研等相关工作经费，为人才引进提供资金保障。确保各项工作顺利开展。</w:t>
      </w:r>
    </w:p>
    <w:p>
      <w:pPr>
        <w:keepNext w:val="0"/>
        <w:keepLines w:val="0"/>
        <w:pageBreakBefore w:val="0"/>
        <w:widowControl w:val="0"/>
        <w:kinsoku/>
        <w:wordWrap/>
        <w:overflowPunct/>
        <w:topLinePunct w:val="0"/>
        <w:autoSpaceDE/>
        <w:autoSpaceDN/>
        <w:bidi w:val="0"/>
        <w:spacing w:line="576" w:lineRule="exact"/>
        <w:textAlignment w:val="auto"/>
      </w:pPr>
      <w:r>
        <w:br w:type="page"/>
      </w:r>
    </w:p>
    <w:p>
      <w:pPr>
        <w:pStyle w:val="35"/>
        <w:keepNext w:val="0"/>
        <w:keepLines w:val="0"/>
        <w:pageBreakBefore w:val="0"/>
        <w:widowControl w:val="0"/>
        <w:kinsoku/>
        <w:wordWrap/>
        <w:overflowPunct/>
        <w:topLinePunct w:val="0"/>
        <w:autoSpaceDE/>
        <w:autoSpaceDN/>
        <w:bidi w:val="0"/>
        <w:spacing w:line="578" w:lineRule="exact"/>
        <w:jc w:val="center"/>
        <w:textAlignment w:val="auto"/>
        <w:rPr>
          <w:rFonts w:hint="default"/>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2023年专项资金预算项目绩效自评报告五</w:t>
      </w:r>
    </w:p>
    <w:p>
      <w:pPr>
        <w:spacing w:line="550" w:lineRule="exact"/>
        <w:jc w:val="center"/>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市政府专家津贴及补贴</w:t>
      </w:r>
      <w:r>
        <w:rPr>
          <w:rFonts w:hint="eastAsia" w:ascii="仿宋_GB2312" w:hAnsi="仿宋_GB2312" w:eastAsia="仿宋_GB2312" w:cs="仿宋_GB2312"/>
          <w:b w:val="0"/>
          <w:bCs w:val="0"/>
          <w:sz w:val="32"/>
          <w:szCs w:val="32"/>
          <w:lang w:eastAsia="zh-CN"/>
        </w:rPr>
        <w:t>）</w:t>
      </w:r>
    </w:p>
    <w:p>
      <w:pPr>
        <w:pStyle w:val="15"/>
        <w:keepNext w:val="0"/>
        <w:keepLines w:val="0"/>
        <w:pageBreakBefore w:val="0"/>
        <w:widowControl w:val="0"/>
        <w:kinsoku/>
        <w:wordWrap/>
        <w:overflowPunct/>
        <w:topLinePunct w:val="0"/>
        <w:autoSpaceDE/>
        <w:autoSpaceDN/>
        <w:bidi w:val="0"/>
        <w:spacing w:line="576" w:lineRule="exact"/>
        <w:textAlignment w:val="auto"/>
        <w:rPr>
          <w:rFonts w:hint="eastAsia"/>
          <w:lang w:eastAsia="zh-CN"/>
        </w:rPr>
      </w:pPr>
    </w:p>
    <w:p>
      <w:pPr>
        <w:keepNext w:val="0"/>
        <w:keepLines w:val="0"/>
        <w:pageBreakBefore w:val="0"/>
        <w:widowControl w:val="0"/>
        <w:kinsoku/>
        <w:wordWrap/>
        <w:overflowPunct/>
        <w:topLinePunct w:val="0"/>
        <w:autoSpaceDE/>
        <w:autoSpaceDN/>
        <w:bidi w:val="0"/>
        <w:spacing w:line="576" w:lineRule="exact"/>
        <w:ind w:firstLine="643" w:firstLineChars="200"/>
        <w:textAlignment w:val="auto"/>
        <w:outlineLvl w:val="1"/>
        <w:rPr>
          <w:rFonts w:hint="eastAsia" w:ascii="黑体" w:hAnsi="黑体" w:eastAsia="黑体" w:cs="黑体"/>
          <w:b/>
          <w:bCs/>
          <w:sz w:val="32"/>
          <w:szCs w:val="32"/>
          <w:lang w:val="zh-CN"/>
        </w:rPr>
      </w:pPr>
      <w:bookmarkStart w:id="207" w:name="_Toc14367"/>
      <w:bookmarkStart w:id="208" w:name="_Toc7613"/>
      <w:bookmarkStart w:id="209" w:name="_Toc25763"/>
      <w:bookmarkStart w:id="210" w:name="_Toc30133"/>
      <w:r>
        <w:rPr>
          <w:rFonts w:hint="eastAsia" w:ascii="黑体" w:hAnsi="黑体" w:eastAsia="黑体" w:cs="黑体"/>
          <w:b/>
          <w:bCs/>
          <w:sz w:val="32"/>
          <w:szCs w:val="32"/>
        </w:rPr>
        <w:t>一、</w:t>
      </w:r>
      <w:r>
        <w:rPr>
          <w:rFonts w:hint="eastAsia" w:ascii="黑体" w:hAnsi="黑体" w:eastAsia="黑体" w:cs="黑体"/>
          <w:b/>
          <w:bCs/>
          <w:sz w:val="32"/>
          <w:szCs w:val="32"/>
          <w:lang w:val="zh-CN"/>
        </w:rPr>
        <w:t>项目概况</w:t>
      </w:r>
      <w:bookmarkEnd w:id="207"/>
      <w:bookmarkEnd w:id="208"/>
      <w:bookmarkEnd w:id="209"/>
      <w:bookmarkEnd w:id="210"/>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2"/>
        <w:rPr>
          <w:rFonts w:hint="eastAsia"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（一）项目基本情况。</w:t>
      </w:r>
    </w:p>
    <w:p>
      <w:pPr>
        <w:pStyle w:val="15"/>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按照《关于印发广元市学术和技术带头人及其后备人选评定管理办法的通知》（广府发〔2017〕45号）规定，“市学术技术带头人在管理期内享受以下待遇：由市委、市政府发给岗位激励资金，标准为每人每月500元，市人力资源社会保障局具体负责发放工作，所需经费由市级财政负担”。经市政府常务会议（七届第122次5号）审定同意，“将省学带所在地政府发放津贴标准由每人每月200元提高至每人每月500元</w:t>
      </w:r>
      <w:r>
        <w:rPr>
          <w:rFonts w:hint="eastAsia" w:hAnsi="仿宋_GB2312" w:eastAsia="仿宋_GB2312" w:cs="仿宋_GB2312"/>
          <w:b w:val="0"/>
          <w:bCs w:val="0"/>
          <w:color w:val="auto"/>
          <w:kern w:val="0"/>
          <w:sz w:val="32"/>
          <w:szCs w:val="32"/>
          <w:highlight w:val="none"/>
          <w:u w:val="none"/>
          <w:shd w:val="clear" w:color="auto" w:fill="FFFFFF"/>
          <w:lang w:val="en-US" w:eastAsia="zh-CN" w:bidi="ar-SA"/>
        </w:rPr>
        <w:t>，</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将管理期内的市学带岗位激励资金由每人每月500元提高至每人每月600元”。</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津贴发放范围和标准为：</w:t>
      </w:r>
      <w:r>
        <w:rPr>
          <w:rFonts w:hint="eastAsia" w:ascii="仿宋_GB2312" w:eastAsia="仿宋_GB2312"/>
          <w:sz w:val="32"/>
          <w:szCs w:val="32"/>
          <w:lang w:val="en-US" w:eastAsia="zh-CN"/>
        </w:rPr>
        <w:t>1.</w:t>
      </w:r>
      <w:r>
        <w:rPr>
          <w:rFonts w:hint="eastAsia" w:ascii="仿宋_GB2312" w:eastAsia="仿宋_GB2312"/>
          <w:sz w:val="32"/>
          <w:szCs w:val="32"/>
        </w:rPr>
        <w:t>对享受国务院政府特殊津贴的专家、国家有突出贡献的中青年专家、省有突出贡献的优秀专家、省以上学术技术带头人等四类专家，在任期间，除国家、省发给的津贴外，由所在地政府发给每人每月</w:t>
      </w:r>
      <w:r>
        <w:rPr>
          <w:rFonts w:hint="eastAsia" w:ascii="仿宋_GB2312" w:eastAsia="仿宋_GB2312"/>
          <w:sz w:val="32"/>
          <w:szCs w:val="32"/>
          <w:lang w:val="en-US" w:eastAsia="zh-CN"/>
        </w:rPr>
        <w:t>500</w:t>
      </w:r>
      <w:r>
        <w:rPr>
          <w:rFonts w:hint="eastAsia" w:ascii="仿宋_GB2312" w:eastAsia="仿宋_GB2312"/>
          <w:sz w:val="32"/>
          <w:szCs w:val="32"/>
        </w:rPr>
        <w:t>元的津贴</w:t>
      </w: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rPr>
        <w:t>市学术技术带头人在管理期内，给予每人每月</w:t>
      </w:r>
      <w:r>
        <w:rPr>
          <w:rFonts w:hint="eastAsia" w:ascii="仿宋_GB2312" w:eastAsia="仿宋_GB2312"/>
          <w:sz w:val="32"/>
          <w:szCs w:val="32"/>
          <w:lang w:val="en-US" w:eastAsia="zh-CN"/>
        </w:rPr>
        <w:t>6</w:t>
      </w:r>
      <w:r>
        <w:rPr>
          <w:rFonts w:hint="eastAsia" w:ascii="仿宋_GB2312" w:eastAsia="仿宋_GB2312"/>
          <w:sz w:val="32"/>
          <w:szCs w:val="32"/>
        </w:rPr>
        <w:t>00元的市政府专家津贴</w:t>
      </w:r>
      <w:r>
        <w:rPr>
          <w:rFonts w:hint="eastAsia" w:ascii="仿宋_GB2312" w:eastAsia="仿宋_GB2312"/>
          <w:sz w:val="32"/>
          <w:szCs w:val="32"/>
          <w:lang w:val="en-US" w:eastAsia="zh-CN"/>
        </w:rPr>
        <w:t>。3.</w:t>
      </w:r>
      <w:r>
        <w:rPr>
          <w:rFonts w:hint="eastAsia" w:ascii="仿宋_GB2312" w:eastAsia="仿宋_GB2312"/>
          <w:sz w:val="32"/>
          <w:szCs w:val="32"/>
        </w:rPr>
        <w:t>专家获得多项称号的，按就高原则发放市政府专家津贴，不重复享受。</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2"/>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楷体_GB2312" w:hAnsi="宋体" w:eastAsia="楷体_GB2312"/>
          <w:b w:val="0"/>
          <w:bCs w:val="0"/>
          <w:color w:val="auto"/>
          <w:sz w:val="32"/>
          <w:szCs w:val="32"/>
          <w:highlight w:val="none"/>
          <w:u w:val="none"/>
          <w:lang w:val="zh-CN"/>
        </w:rPr>
        <w:t>（二）项目绩效目标。</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eastAsia="仿宋_GB2312"/>
          <w:color w:val="auto"/>
          <w:sz w:val="32"/>
          <w:szCs w:val="32"/>
          <w:lang w:eastAsia="zh-CN"/>
        </w:rPr>
        <w:t>为</w:t>
      </w:r>
      <w:r>
        <w:rPr>
          <w:rFonts w:hint="eastAsia" w:ascii="仿宋_GB2312" w:eastAsia="仿宋_GB2312"/>
          <w:color w:val="auto"/>
          <w:sz w:val="32"/>
          <w:szCs w:val="32"/>
        </w:rPr>
        <w:t>省特殊贡献优秀专家</w:t>
      </w:r>
      <w:r>
        <w:rPr>
          <w:rFonts w:hint="eastAsia" w:ascii="仿宋_GB2312" w:eastAsia="仿宋_GB2312"/>
          <w:color w:val="auto"/>
          <w:sz w:val="32"/>
          <w:szCs w:val="32"/>
          <w:lang w:eastAsia="zh-CN"/>
        </w:rPr>
        <w:t>、</w:t>
      </w:r>
      <w:r>
        <w:rPr>
          <w:rFonts w:hint="eastAsia" w:ascii="仿宋_GB2312" w:eastAsia="仿宋_GB2312"/>
          <w:color w:val="auto"/>
          <w:sz w:val="32"/>
          <w:szCs w:val="32"/>
        </w:rPr>
        <w:t>管理期内的省学术技术带头人</w:t>
      </w:r>
      <w:r>
        <w:rPr>
          <w:rFonts w:hint="eastAsia" w:ascii="仿宋_GB2312" w:eastAsia="仿宋_GB2312"/>
          <w:color w:val="auto"/>
          <w:sz w:val="32"/>
          <w:szCs w:val="32"/>
          <w:lang w:eastAsia="zh-CN"/>
        </w:rPr>
        <w:t>、</w:t>
      </w:r>
      <w:r>
        <w:rPr>
          <w:rFonts w:hint="eastAsia" w:ascii="仿宋_GB2312" w:eastAsia="仿宋_GB2312"/>
          <w:color w:val="auto"/>
          <w:sz w:val="32"/>
          <w:szCs w:val="32"/>
        </w:rPr>
        <w:t>第七批市学术技术带头人</w:t>
      </w:r>
      <w:r>
        <w:rPr>
          <w:rFonts w:hint="eastAsia" w:ascii="仿宋_GB2312" w:eastAsia="仿宋_GB2312"/>
          <w:color w:val="auto"/>
          <w:sz w:val="32"/>
          <w:szCs w:val="32"/>
          <w:lang w:eastAsia="zh-CN"/>
        </w:rPr>
        <w:t>按时足额</w:t>
      </w:r>
      <w:r>
        <w:rPr>
          <w:rFonts w:hint="eastAsia" w:ascii="仿宋_GB2312" w:eastAsia="仿宋_GB2312"/>
          <w:color w:val="auto"/>
          <w:sz w:val="32"/>
          <w:szCs w:val="32"/>
        </w:rPr>
        <w:t>发放津贴</w:t>
      </w:r>
      <w:r>
        <w:rPr>
          <w:rFonts w:hint="eastAsia" w:ascii="仿宋_GB2312" w:eastAsia="仿宋_GB2312"/>
          <w:color w:val="auto"/>
          <w:sz w:val="32"/>
          <w:szCs w:val="32"/>
          <w:lang w:eastAsia="zh-CN"/>
        </w:rPr>
        <w:t>。</w:t>
      </w:r>
    </w:p>
    <w:p>
      <w:pPr>
        <w:keepNext w:val="0"/>
        <w:keepLines w:val="0"/>
        <w:pageBreakBefore w:val="0"/>
        <w:widowControl w:val="0"/>
        <w:numPr>
          <w:ilvl w:val="0"/>
          <w:numId w:val="15"/>
        </w:numPr>
        <w:kinsoku/>
        <w:wordWrap/>
        <w:overflowPunct/>
        <w:topLinePunct w:val="0"/>
        <w:autoSpaceDE/>
        <w:autoSpaceDN/>
        <w:bidi w:val="0"/>
        <w:spacing w:line="576" w:lineRule="exact"/>
        <w:ind w:left="800" w:leftChars="0" w:firstLine="0" w:firstLineChars="0"/>
        <w:textAlignment w:val="auto"/>
        <w:outlineLvl w:val="2"/>
        <w:rPr>
          <w:rFonts w:hint="eastAsia"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项目自评步骤及方法。</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一是加强统筹，成立以专业技术人员管理科科长为组长，科室其余人员为成员的自评工作组。二是组织实施，通过核对申报资料，看有无漏发、多发的情况。三是考评结果，通过自评，得出考评分值，并查找问题，分析原因，提出整改意见。</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211" w:name="_Toc10371"/>
      <w:bookmarkStart w:id="212" w:name="_Toc28037"/>
      <w:bookmarkStart w:id="213" w:name="_Toc26563"/>
      <w:bookmarkStart w:id="214" w:name="_Toc19634"/>
      <w:r>
        <w:rPr>
          <w:rFonts w:hint="eastAsia" w:ascii="黑体" w:hAnsi="宋体" w:eastAsia="黑体"/>
          <w:b w:val="0"/>
          <w:bCs w:val="0"/>
          <w:color w:val="auto"/>
          <w:sz w:val="32"/>
          <w:szCs w:val="32"/>
          <w:highlight w:val="none"/>
          <w:u w:val="none"/>
        </w:rPr>
        <w:t>二、项目资金申报及使用情况</w:t>
      </w:r>
      <w:bookmarkEnd w:id="211"/>
      <w:bookmarkEnd w:id="212"/>
      <w:bookmarkEnd w:id="213"/>
      <w:bookmarkEnd w:id="214"/>
    </w:p>
    <w:p>
      <w:pPr>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2"/>
        <w:rPr>
          <w:rFonts w:hint="eastAsia"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（一）项目资金申报及批复情况。</w:t>
      </w:r>
    </w:p>
    <w:p>
      <w:pPr>
        <w:pStyle w:val="15"/>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eastAsia"/>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申报项目资金</w:t>
      </w:r>
      <w:r>
        <w:rPr>
          <w:rFonts w:hint="eastAsia" w:ascii="仿宋_GB2312" w:eastAsia="仿宋_GB2312"/>
          <w:sz w:val="32"/>
          <w:szCs w:val="32"/>
        </w:rPr>
        <w:t>50.76万元</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，批复</w:t>
      </w:r>
      <w:r>
        <w:rPr>
          <w:rFonts w:hint="eastAsia" w:ascii="仿宋_GB2312" w:eastAsia="仿宋_GB2312"/>
          <w:sz w:val="32"/>
          <w:szCs w:val="32"/>
        </w:rPr>
        <w:t>50.76万元</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，未调整预算。</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2"/>
        <w:rPr>
          <w:rFonts w:hint="eastAsia"/>
          <w:lang w:val="zh-CN"/>
        </w:rPr>
      </w:pPr>
      <w:r>
        <w:rPr>
          <w:rFonts w:hint="eastAsia" w:ascii="楷体_GB2312" w:hAnsi="宋体" w:eastAsia="楷体_GB2312"/>
          <w:b w:val="0"/>
          <w:bCs w:val="0"/>
          <w:color w:val="auto"/>
          <w:sz w:val="32"/>
          <w:szCs w:val="32"/>
          <w:highlight w:val="none"/>
          <w:u w:val="none"/>
          <w:lang w:val="zh-CN"/>
        </w:rPr>
        <w:t>（二）资金计划、到位及使用情况（可用表格形式反映）。</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黑体" w:hAnsi="宋体" w:eastAsia="仿宋_GB2312"/>
          <w:b w:val="0"/>
          <w:bCs w:val="0"/>
          <w:color w:val="auto"/>
          <w:sz w:val="32"/>
          <w:szCs w:val="32"/>
          <w:highlight w:val="none"/>
          <w:u w:val="none"/>
          <w:lang w:eastAsia="zh-CN"/>
        </w:rPr>
      </w:pPr>
      <w:r>
        <w:rPr>
          <w:rFonts w:hint="eastAsia" w:ascii="仿宋_GB2312" w:eastAsia="仿宋_GB2312"/>
          <w:sz w:val="32"/>
          <w:szCs w:val="32"/>
        </w:rPr>
        <w:t>2022年，我市共有省特殊贡献优秀专家1名，在管理期内的省学术技术带头人2名，全年需发放津贴1.8万元；第七批市学术技术带头人68名，全年需发放津贴48.96万元。以上2项总计金额为50.76万元</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215" w:name="_Toc32330"/>
      <w:bookmarkStart w:id="216" w:name="_Toc15215"/>
      <w:bookmarkStart w:id="217" w:name="_Toc5843"/>
      <w:bookmarkStart w:id="218" w:name="_Toc19175"/>
      <w:r>
        <w:rPr>
          <w:rFonts w:hint="eastAsia" w:ascii="黑体" w:hAnsi="宋体" w:eastAsia="黑体"/>
          <w:b w:val="0"/>
          <w:bCs w:val="0"/>
          <w:color w:val="auto"/>
          <w:sz w:val="32"/>
          <w:szCs w:val="32"/>
          <w:highlight w:val="none"/>
          <w:u w:val="none"/>
        </w:rPr>
        <w:t>三、项目实施及管理情况</w:t>
      </w:r>
      <w:bookmarkEnd w:id="215"/>
      <w:bookmarkEnd w:id="216"/>
      <w:bookmarkEnd w:id="217"/>
      <w:bookmarkEnd w:id="218"/>
    </w:p>
    <w:p>
      <w:pPr>
        <w:pStyle w:val="15"/>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根据《中华人民共和国预算法》等制度要求，</w:t>
      </w:r>
      <w:r>
        <w:rPr>
          <w:rFonts w:hint="eastAsia" w:ascii="仿宋_GB2312" w:hAnsi="仿宋_GB2312" w:eastAsia="仿宋_GB2312" w:cs="仿宋_GB2312"/>
          <w:sz w:val="32"/>
          <w:szCs w:val="32"/>
          <w:lang w:eastAsia="zh-CN"/>
        </w:rPr>
        <w:t>广元市人力资源和社会保障局</w:t>
      </w:r>
      <w:r>
        <w:rPr>
          <w:rFonts w:hint="eastAsia" w:ascii="仿宋_GB2312" w:hAnsi="仿宋_GB2312" w:eastAsia="仿宋_GB2312" w:cs="仿宋_GB2312"/>
          <w:sz w:val="32"/>
          <w:szCs w:val="32"/>
        </w:rPr>
        <w:t>对项目实行了国库集中支付，资金支出严格依据相关财务制度和预算标准执行，资金使用合法合规，财务信息真实完整，坚持了厉行节约，不存在资金截留、挤占和挪用现象。</w:t>
      </w:r>
    </w:p>
    <w:p>
      <w:pPr>
        <w:pStyle w:val="15"/>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outlineLvl w:val="1"/>
        <w:rPr>
          <w:rFonts w:hint="eastAsia" w:ascii="黑体" w:hAnsi="宋体" w:eastAsia="黑体"/>
          <w:b w:val="0"/>
          <w:bCs w:val="0"/>
          <w:color w:val="auto"/>
          <w:sz w:val="32"/>
          <w:szCs w:val="32"/>
          <w:highlight w:val="none"/>
          <w:u w:val="none"/>
        </w:rPr>
      </w:pPr>
      <w:r>
        <w:rPr>
          <w:rFonts w:hint="eastAsia" w:ascii="仿宋_GB2312" w:hAnsi="仿宋_GB2312" w:eastAsia="仿宋_GB2312" w:cs="仿宋_GB2312"/>
          <w:sz w:val="32"/>
          <w:szCs w:val="32"/>
          <w:lang w:val="en-US" w:eastAsia="zh-CN"/>
        </w:rPr>
        <w:t xml:space="preserve">    </w:t>
      </w:r>
      <w:bookmarkStart w:id="219" w:name="_Toc16943"/>
      <w:bookmarkStart w:id="220" w:name="_Toc1132"/>
      <w:bookmarkStart w:id="221" w:name="_Toc22610"/>
      <w:bookmarkStart w:id="222" w:name="_Toc21170"/>
      <w:r>
        <w:rPr>
          <w:rFonts w:hint="eastAsia" w:ascii="黑体" w:hAnsi="宋体" w:eastAsia="黑体"/>
          <w:b w:val="0"/>
          <w:bCs w:val="0"/>
          <w:color w:val="auto"/>
          <w:sz w:val="32"/>
          <w:szCs w:val="32"/>
          <w:highlight w:val="none"/>
          <w:u w:val="none"/>
        </w:rPr>
        <w:t>四、项目绩效情况</w:t>
      </w:r>
      <w:bookmarkEnd w:id="219"/>
      <w:bookmarkEnd w:id="220"/>
      <w:bookmarkEnd w:id="221"/>
      <w:bookmarkEnd w:id="222"/>
    </w:p>
    <w:p>
      <w:pPr>
        <w:keepNext w:val="0"/>
        <w:keepLines w:val="0"/>
        <w:pageBreakBefore w:val="0"/>
        <w:widowControl w:val="0"/>
        <w:numPr>
          <w:ilvl w:val="0"/>
          <w:numId w:val="14"/>
        </w:numPr>
        <w:kinsoku/>
        <w:wordWrap/>
        <w:overflowPunct/>
        <w:topLinePunct w:val="0"/>
        <w:autoSpaceDE/>
        <w:autoSpaceDN/>
        <w:bidi w:val="0"/>
        <w:adjustRightInd/>
        <w:snapToGrid/>
        <w:spacing w:line="576" w:lineRule="exact"/>
        <w:ind w:firstLine="640" w:firstLineChars="200"/>
        <w:textAlignment w:val="auto"/>
        <w:outlineLvl w:val="2"/>
        <w:rPr>
          <w:rFonts w:hint="eastAsia"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项目完成情况。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Times New Roman" w:eastAsia="仿宋_GB2312" w:cs="Times New Roman"/>
          <w:color w:val="auto"/>
          <w:sz w:val="32"/>
          <w:szCs w:val="32"/>
          <w:lang w:val="en-US" w:eastAsia="zh-CN"/>
        </w:rPr>
      </w:pPr>
      <w:r>
        <w:rPr>
          <w:rFonts w:hint="eastAsia" w:ascii="仿宋_GB2312" w:eastAsia="仿宋_GB2312"/>
          <w:color w:val="auto"/>
          <w:sz w:val="32"/>
          <w:szCs w:val="32"/>
          <w:lang w:eastAsia="zh-CN"/>
        </w:rPr>
        <w:t>为</w:t>
      </w:r>
      <w:r>
        <w:rPr>
          <w:rFonts w:hint="eastAsia" w:ascii="仿宋_GB2312" w:eastAsia="仿宋_GB2312"/>
          <w:color w:val="auto"/>
          <w:sz w:val="32"/>
          <w:szCs w:val="32"/>
        </w:rPr>
        <w:t>省特殊贡献优秀专家</w:t>
      </w:r>
      <w:r>
        <w:rPr>
          <w:rFonts w:hint="eastAsia" w:ascii="仿宋_GB2312" w:eastAsia="仿宋_GB2312"/>
          <w:color w:val="auto"/>
          <w:sz w:val="32"/>
          <w:szCs w:val="32"/>
          <w:lang w:eastAsia="zh-CN"/>
        </w:rPr>
        <w:t>、</w:t>
      </w:r>
      <w:r>
        <w:rPr>
          <w:rFonts w:hint="eastAsia" w:ascii="仿宋_GB2312" w:eastAsia="仿宋_GB2312"/>
          <w:color w:val="auto"/>
          <w:sz w:val="32"/>
          <w:szCs w:val="32"/>
        </w:rPr>
        <w:t>管理期内的省学术技术带头人</w:t>
      </w:r>
      <w:r>
        <w:rPr>
          <w:rFonts w:hint="eastAsia" w:ascii="仿宋_GB2312" w:eastAsia="仿宋_GB2312"/>
          <w:color w:val="auto"/>
          <w:sz w:val="32"/>
          <w:szCs w:val="32"/>
          <w:lang w:eastAsia="zh-CN"/>
        </w:rPr>
        <w:t>、</w:t>
      </w:r>
      <w:r>
        <w:rPr>
          <w:rFonts w:hint="eastAsia" w:ascii="仿宋_GB2312" w:eastAsia="仿宋_GB2312"/>
          <w:color w:val="auto"/>
          <w:sz w:val="32"/>
          <w:szCs w:val="32"/>
        </w:rPr>
        <w:t>第七批市学术技术带头人</w:t>
      </w:r>
      <w:r>
        <w:rPr>
          <w:rFonts w:hint="eastAsia" w:ascii="仿宋_GB2312" w:eastAsia="仿宋_GB2312"/>
          <w:color w:val="auto"/>
          <w:sz w:val="32"/>
          <w:szCs w:val="32"/>
          <w:lang w:eastAsia="zh-CN"/>
        </w:rPr>
        <w:t>共计</w:t>
      </w:r>
      <w:r>
        <w:rPr>
          <w:rFonts w:hint="eastAsia" w:ascii="仿宋_GB2312" w:eastAsia="仿宋_GB2312"/>
          <w:color w:val="auto"/>
          <w:sz w:val="32"/>
          <w:szCs w:val="32"/>
          <w:lang w:val="en-US" w:eastAsia="zh-CN"/>
        </w:rPr>
        <w:t>71人</w:t>
      </w:r>
      <w:r>
        <w:rPr>
          <w:rFonts w:hint="eastAsia" w:ascii="仿宋_GB2312" w:eastAsia="仿宋_GB2312"/>
          <w:color w:val="auto"/>
          <w:sz w:val="32"/>
          <w:szCs w:val="32"/>
        </w:rPr>
        <w:t>发放津贴50.76万元</w:t>
      </w:r>
      <w:r>
        <w:rPr>
          <w:rFonts w:hint="eastAsia" w:ascii="仿宋_GB2312" w:eastAsia="仿宋_GB2312"/>
          <w:color w:val="auto"/>
          <w:sz w:val="32"/>
          <w:szCs w:val="32"/>
          <w:lang w:eastAsia="zh-CN"/>
        </w:rPr>
        <w:t>。</w:t>
      </w:r>
    </w:p>
    <w:p>
      <w:pPr>
        <w:pStyle w:val="15"/>
        <w:keepNext w:val="0"/>
        <w:keepLines w:val="0"/>
        <w:pageBreakBefore w:val="0"/>
        <w:widowControl w:val="0"/>
        <w:numPr>
          <w:ilvl w:val="0"/>
          <w:numId w:val="14"/>
        </w:numPr>
        <w:kinsoku/>
        <w:wordWrap/>
        <w:overflowPunct/>
        <w:topLinePunct w:val="0"/>
        <w:autoSpaceDE/>
        <w:autoSpaceDN/>
        <w:bidi w:val="0"/>
        <w:spacing w:line="576" w:lineRule="exact"/>
        <w:ind w:left="0" w:leftChars="0" w:firstLine="640" w:firstLineChars="200"/>
        <w:textAlignment w:val="auto"/>
        <w:outlineLvl w:val="2"/>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楷体_GB2312" w:hAnsi="宋体" w:eastAsia="楷体_GB2312"/>
          <w:b w:val="0"/>
          <w:bCs w:val="0"/>
          <w:color w:val="auto"/>
          <w:sz w:val="32"/>
          <w:szCs w:val="32"/>
          <w:highlight w:val="none"/>
          <w:u w:val="none"/>
          <w:lang w:val="zh-CN"/>
        </w:rPr>
        <w:t>项目效益情况。</w:t>
      </w:r>
    </w:p>
    <w:p>
      <w:pPr>
        <w:pStyle w:val="15"/>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rPr>
          <w:rFonts w:hint="eastAsia" w:ascii="仿宋_GB2312" w:eastAsia="仿宋_GB2312" w:cs="仿宋_GB2312"/>
          <w:spacing w:val="4"/>
          <w:sz w:val="32"/>
          <w:szCs w:val="32"/>
        </w:rPr>
      </w:pPr>
      <w:r>
        <w:rPr>
          <w:rFonts w:hint="eastAsia" w:ascii="仿宋_GB2312" w:eastAsia="仿宋_GB2312"/>
          <w:color w:val="auto"/>
          <w:sz w:val="32"/>
          <w:szCs w:val="32"/>
          <w:lang w:eastAsia="zh-CN"/>
        </w:rPr>
        <w:t>对专家起鼓励性作用，</w:t>
      </w:r>
      <w:r>
        <w:rPr>
          <w:rFonts w:hint="eastAsia" w:ascii="仿宋_GB2312" w:eastAsia="仿宋_GB2312"/>
          <w:sz w:val="32"/>
          <w:szCs w:val="32"/>
          <w:lang w:eastAsia="zh-CN"/>
        </w:rPr>
        <w:t>为</w:t>
      </w:r>
      <w:r>
        <w:rPr>
          <w:rFonts w:hint="eastAsia" w:ascii="仿宋_GB2312" w:eastAsia="仿宋_GB2312"/>
          <w:sz w:val="32"/>
          <w:szCs w:val="32"/>
        </w:rPr>
        <w:t>激励我</w:t>
      </w:r>
      <w:r>
        <w:rPr>
          <w:rFonts w:hint="eastAsia" w:ascii="仿宋_GB2312" w:eastAsia="仿宋_GB2312"/>
          <w:sz w:val="32"/>
          <w:szCs w:val="32"/>
          <w:lang w:eastAsia="zh-CN"/>
        </w:rPr>
        <w:t>市</w:t>
      </w:r>
      <w:r>
        <w:rPr>
          <w:rFonts w:hint="eastAsia" w:ascii="仿宋_GB2312" w:eastAsia="仿宋_GB2312"/>
          <w:sz w:val="32"/>
          <w:szCs w:val="32"/>
        </w:rPr>
        <w:t>高层次、高技能人才积极投身社会主义现代化建设</w:t>
      </w:r>
      <w:r>
        <w:rPr>
          <w:rFonts w:hint="eastAsia" w:ascii="仿宋_GB2312" w:eastAsia="仿宋_GB2312"/>
          <w:sz w:val="32"/>
          <w:szCs w:val="32"/>
          <w:lang w:eastAsia="zh-CN"/>
        </w:rPr>
        <w:t>，对</w:t>
      </w:r>
      <w:r>
        <w:rPr>
          <w:rFonts w:hint="eastAsia" w:ascii="仿宋_GB2312" w:eastAsia="仿宋_GB2312"/>
          <w:sz w:val="32"/>
          <w:szCs w:val="32"/>
        </w:rPr>
        <w:t>营造有利于人才成长发展的良好环境等方面发挥了积极作用，取得了突出成效。</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223" w:name="_Toc14770"/>
      <w:bookmarkStart w:id="224" w:name="_Toc9401"/>
      <w:bookmarkStart w:id="225" w:name="_Toc26224"/>
      <w:bookmarkStart w:id="226" w:name="_Toc21906"/>
      <w:r>
        <w:rPr>
          <w:rFonts w:hint="eastAsia" w:ascii="黑体" w:hAnsi="宋体" w:eastAsia="黑体"/>
          <w:b w:val="0"/>
          <w:bCs w:val="0"/>
          <w:color w:val="auto"/>
          <w:sz w:val="32"/>
          <w:szCs w:val="32"/>
          <w:highlight w:val="none"/>
          <w:u w:val="none"/>
        </w:rPr>
        <w:t>五、评价结论及建议</w:t>
      </w:r>
      <w:bookmarkEnd w:id="223"/>
      <w:bookmarkEnd w:id="224"/>
      <w:bookmarkEnd w:id="225"/>
      <w:bookmarkEnd w:id="226"/>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lang w:eastAsia="zh-CN"/>
        </w:rPr>
        <w:t>市政府专家津贴发放工作意义重大，体现了一个地方对高级知识分子、特级专家人才的重视程度。而一个地方的高质量发展离不开各行各业专家人才的专业建议和智慧。市政府专家津贴发放工作需要更加细致、精准、高效</w:t>
      </w:r>
      <w:r>
        <w:rPr>
          <w:rFonts w:hint="eastAsia" w:ascii="仿宋_GB2312" w:hAnsi="Calibri" w:eastAsia="仿宋_GB2312" w:cs="仿宋_GB2312"/>
          <w:sz w:val="32"/>
          <w:szCs w:val="32"/>
        </w:rPr>
        <w:t>。</w:t>
      </w:r>
    </w:p>
    <w:p>
      <w:pPr>
        <w:rPr>
          <w:rFonts w:hint="eastAsia"/>
        </w:rPr>
      </w:pPr>
      <w:r>
        <w:rPr>
          <w:rFonts w:hint="eastAsia"/>
        </w:rPr>
        <w:br w:type="page"/>
      </w:r>
    </w:p>
    <w:p>
      <w:pPr>
        <w:pStyle w:val="35"/>
        <w:keepNext w:val="0"/>
        <w:keepLines w:val="0"/>
        <w:pageBreakBefore w:val="0"/>
        <w:widowControl w:val="0"/>
        <w:kinsoku/>
        <w:wordWrap/>
        <w:overflowPunct/>
        <w:topLinePunct w:val="0"/>
        <w:autoSpaceDE/>
        <w:autoSpaceDN/>
        <w:bidi w:val="0"/>
        <w:spacing w:line="576" w:lineRule="exact"/>
        <w:jc w:val="center"/>
        <w:textAlignment w:val="auto"/>
        <w:rPr>
          <w:rFonts w:hint="default"/>
          <w:lang w:val="en-US"/>
        </w:rPr>
      </w:pPr>
      <w:r>
        <w:rPr>
          <w:rFonts w:hint="eastAsia" w:ascii="方正小标宋简体" w:hAnsi="方正小标宋简体" w:eastAsia="方正小标宋简体" w:cs="方正小标宋简体"/>
          <w:color w:val="auto"/>
          <w:kern w:val="2"/>
          <w:sz w:val="32"/>
          <w:szCs w:val="32"/>
          <w:highlight w:val="none"/>
          <w:lang w:val="en-US" w:eastAsia="zh-CN"/>
        </w:rPr>
        <w:t>2023年专项资金预算项目绩效自评报告六</w:t>
      </w:r>
    </w:p>
    <w:p>
      <w:pPr>
        <w:pStyle w:val="35"/>
        <w:keepNext w:val="0"/>
        <w:keepLines w:val="0"/>
        <w:pageBreakBefore w:val="0"/>
        <w:widowControl w:val="0"/>
        <w:kinsoku/>
        <w:wordWrap/>
        <w:overflowPunct/>
        <w:topLinePunct w:val="0"/>
        <w:autoSpaceDE/>
        <w:autoSpaceDN/>
        <w:bidi w:val="0"/>
        <w:spacing w:line="576" w:lineRule="exact"/>
        <w:jc w:val="center"/>
        <w:textAlignment w:val="auto"/>
        <w:rPr>
          <w:rFonts w:hint="eastAsia" w:ascii="仿宋_GB2312" w:hAnsi="仿宋_GB2312" w:eastAsia="仿宋_GB2312" w:cs="仿宋_GB2312"/>
          <w:b w:val="0"/>
          <w:bCs w:val="0"/>
          <w:color w:val="auto"/>
          <w:w w:val="100"/>
          <w:kern w:val="2"/>
          <w:sz w:val="32"/>
          <w:szCs w:val="32"/>
          <w:lang w:val="en-US" w:eastAsia="zh-CN" w:bidi="ar-SA"/>
        </w:rPr>
      </w:pPr>
      <w:r>
        <w:rPr>
          <w:rFonts w:hint="eastAsia" w:ascii="仿宋_GB2312" w:hAnsi="仿宋_GB2312" w:eastAsia="仿宋_GB2312" w:cs="仿宋_GB2312"/>
          <w:b w:val="0"/>
          <w:bCs w:val="0"/>
          <w:color w:val="auto"/>
          <w:w w:val="100"/>
          <w:kern w:val="2"/>
          <w:sz w:val="32"/>
          <w:szCs w:val="32"/>
          <w:lang w:val="en-US" w:eastAsia="zh-CN" w:bidi="ar-SA"/>
        </w:rPr>
        <w:t>（第九届职业技能竞赛奖金）</w:t>
      </w:r>
    </w:p>
    <w:p>
      <w:pPr>
        <w:keepNext w:val="0"/>
        <w:keepLines w:val="0"/>
        <w:pageBreakBefore w:val="0"/>
        <w:widowControl w:val="0"/>
        <w:kinsoku/>
        <w:wordWrap/>
        <w:overflowPunct/>
        <w:topLinePunct w:val="0"/>
        <w:autoSpaceDE/>
        <w:autoSpaceDN/>
        <w:bidi w:val="0"/>
        <w:adjustRightInd w:val="0"/>
        <w:snapToGrid w:val="0"/>
        <w:spacing w:line="576" w:lineRule="exact"/>
        <w:ind w:firstLine="420" w:firstLineChars="200"/>
        <w:jc w:val="both"/>
        <w:textAlignment w:val="auto"/>
        <w:outlineLvl w:val="1"/>
        <w:rPr>
          <w:rFonts w:ascii="黑体" w:hAnsi="宋体" w:eastAsia="黑体"/>
          <w:b w:val="0"/>
          <w:bCs w:val="0"/>
          <w:highlight w:val="none"/>
          <w:lang w:val="zh-CN"/>
        </w:rPr>
      </w:pPr>
      <w:bookmarkStart w:id="227" w:name="_Toc458"/>
      <w:bookmarkStart w:id="228" w:name="_Toc18853"/>
      <w:bookmarkStart w:id="229" w:name="_Toc15413"/>
      <w:bookmarkStart w:id="230" w:name="_Toc744"/>
      <w:r>
        <w:rPr>
          <w:rFonts w:hint="eastAsia" w:ascii="黑体" w:hAnsi="宋体" w:eastAsia="黑体"/>
          <w:b w:val="0"/>
          <w:bCs w:val="0"/>
          <w:highlight w:val="none"/>
        </w:rPr>
        <w:t>一、</w:t>
      </w:r>
      <w:r>
        <w:rPr>
          <w:rFonts w:hint="eastAsia" w:ascii="黑体" w:hAnsi="宋体" w:eastAsia="黑体"/>
          <w:b w:val="0"/>
          <w:bCs w:val="0"/>
          <w:highlight w:val="none"/>
          <w:lang w:val="zh-CN"/>
        </w:rPr>
        <w:t>项目概况</w:t>
      </w:r>
      <w:bookmarkEnd w:id="227"/>
      <w:bookmarkEnd w:id="228"/>
      <w:bookmarkEnd w:id="229"/>
      <w:bookmarkEnd w:id="230"/>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2"/>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（一）项目基本情况。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1．</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主管部门职能。</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根据根据《中共广元市委、广元市人民政府关于印发〈广元市机构改革方案〉和〈广元市机构改革方案的实施意见〉的通知》（广委发〔2019〕2号）规定，我局牵头负责全市技能人才培养工作，包括组织实施市级职业技能竞赛工作。</w:t>
      </w:r>
      <w:r>
        <w:rPr>
          <w:rFonts w:hint="eastAsia" w:ascii="仿宋_GB2312" w:hAnsi="仿宋_GB2312" w:eastAsia="仿宋_GB2312" w:cs="仿宋_GB2312"/>
          <w:sz w:val="32"/>
          <w:szCs w:val="32"/>
        </w:rPr>
        <w:t>竞赛由市委、市政府主办，市人力资源社会保障局牵头承办。</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2．</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立项</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依据。根据《广元市职业技能竞赛管理办法》，拟于2022年4月至9月举办广元市第九届职业技能竞赛暨第二届茶产业职业技能竞赛，</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本届竞赛</w:t>
      </w:r>
      <w:r>
        <w:rPr>
          <w:rFonts w:hint="eastAsia" w:ascii="仿宋_GB2312" w:hAnsi="仿宋_GB2312" w:eastAsia="仿宋_GB2312" w:cs="仿宋_GB2312"/>
          <w:sz w:val="32"/>
          <w:szCs w:val="32"/>
        </w:rPr>
        <w:t>拟设置竞赛项目27个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一等奖27名、二等奖54名、三等奖81名</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3．资金</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或项目</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管理办法制定情况。</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根据</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《《广元市职业技能竞赛管理办法》，</w:t>
      </w:r>
      <w:r>
        <w:rPr>
          <w:rFonts w:hint="eastAsia" w:ascii="仿宋_GB2312" w:hAnsi="仿宋_GB2312" w:eastAsia="仿宋_GB2312" w:cs="仿宋_GB2312"/>
          <w:spacing w:val="-6"/>
          <w:sz w:val="32"/>
          <w:szCs w:val="32"/>
        </w:rPr>
        <w:t>竞赛各项目原则上设一等奖1名、二等奖2名、三等奖3名，按照《</w:t>
      </w:r>
      <w:r>
        <w:rPr>
          <w:rFonts w:hint="eastAsia" w:ascii="仿宋_GB2312" w:hAnsi="仿宋_GB2312" w:eastAsia="仿宋_GB2312" w:cs="仿宋_GB2312"/>
          <w:sz w:val="32"/>
          <w:szCs w:val="32"/>
        </w:rPr>
        <w:t>广元市支持重点产业企业人才队伍建设十条措施（试行）</w:t>
      </w:r>
      <w:r>
        <w:rPr>
          <w:rFonts w:hint="eastAsia" w:ascii="仿宋_GB2312" w:hAnsi="仿宋_GB2312" w:eastAsia="仿宋_GB2312" w:cs="仿宋_GB2312"/>
          <w:spacing w:val="-6"/>
          <w:sz w:val="32"/>
          <w:szCs w:val="32"/>
        </w:rPr>
        <w:t>》规定分别给予现金奖励。</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4．资金分配的原则及考虑因素。经测算，</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本届竞赛</w:t>
      </w:r>
      <w:r>
        <w:rPr>
          <w:rFonts w:hint="eastAsia" w:ascii="仿宋_GB2312" w:hAnsi="仿宋_GB2312" w:eastAsia="仿宋_GB2312" w:cs="仿宋_GB2312"/>
          <w:sz w:val="32"/>
          <w:szCs w:val="32"/>
        </w:rPr>
        <w:t>拟设置竞赛项目27个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一等奖27名、二等奖54名、三等奖81名</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，奖金标准：一等奖5000元/人、二等奖3000元/人、三等奖1500元/人，</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预算资金合计</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41.85万元</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2"/>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（二）项目绩效目标。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sz w:val="32"/>
          <w:szCs w:val="32"/>
          <w:lang w:val="en-US" w:eastAsia="zh-CN"/>
        </w:rPr>
        <w:t>本届</w:t>
      </w:r>
      <w:r>
        <w:rPr>
          <w:rFonts w:hint="eastAsia" w:ascii="仿宋_GB2312" w:hAnsi="仿宋_GB2312" w:eastAsia="仿宋_GB2312" w:cs="仿宋_GB2312"/>
          <w:sz w:val="32"/>
          <w:szCs w:val="32"/>
        </w:rPr>
        <w:t>竞赛项目27个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拟设一等奖27名、二等奖54名、三等奖81名</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，奖金标准：一等奖5000元/人、二等奖3000元/人、三等奖1500元/人，预计发放奖金</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合计</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41.85万元。本项目</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评价申报内容与实际相符，申报目标合理可行。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2"/>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（三）项目自评步骤及方法。</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一是加强统筹，成立以科长为组长，科室其余人员为成员的自评工作组。二是组织实施，通过</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审核竞赛成绩通知文件、奖金拨付单等材料，确保项目支出无差错，达到预算绩效目标</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。三是考评结果，通过自评，得出考评分值，并查找问题，分析原因，提出整改意见。</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231" w:name="_Toc2776"/>
      <w:bookmarkStart w:id="232" w:name="_Toc10496"/>
      <w:bookmarkStart w:id="233" w:name="_Toc12676"/>
      <w:bookmarkStart w:id="234" w:name="_Toc20397"/>
      <w:r>
        <w:rPr>
          <w:rFonts w:hint="eastAsia" w:ascii="黑体" w:hAnsi="宋体" w:eastAsia="黑体"/>
          <w:b w:val="0"/>
          <w:bCs w:val="0"/>
          <w:color w:val="auto"/>
          <w:sz w:val="32"/>
          <w:szCs w:val="32"/>
          <w:highlight w:val="none"/>
          <w:u w:val="none"/>
        </w:rPr>
        <w:t>二、项目资金申报及使用情况</w:t>
      </w:r>
      <w:bookmarkEnd w:id="231"/>
      <w:bookmarkEnd w:id="232"/>
      <w:bookmarkEnd w:id="233"/>
      <w:bookmarkEnd w:id="234"/>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2"/>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（一）项目资金申报及批复情况。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cs="仿宋_GB2312"/>
          <w:b w:val="0"/>
          <w:bCs w:val="0"/>
          <w:color w:val="auto"/>
          <w:kern w:val="0"/>
          <w:sz w:val="32"/>
          <w:szCs w:val="32"/>
          <w:highlight w:val="none"/>
          <w:u w:val="none"/>
          <w:shd w:val="clear" w:color="auto" w:fill="FFFFFF"/>
          <w:lang w:val="zh-CN"/>
        </w:rPr>
        <w:t>申报项目资金</w:t>
      </w:r>
      <w:r>
        <w:rPr>
          <w:rFonts w:hint="eastAsia" w:ascii="仿宋_GB2312" w:hAnsi="仿宋_GB2312" w:cs="仿宋_GB2312"/>
          <w:b w:val="0"/>
          <w:bCs w:val="0"/>
          <w:color w:val="auto"/>
          <w:kern w:val="0"/>
          <w:sz w:val="32"/>
          <w:szCs w:val="32"/>
          <w:highlight w:val="none"/>
          <w:u w:val="none"/>
          <w:shd w:val="clear" w:color="auto" w:fill="FFFFFF"/>
          <w:lang w:val="en-US" w:eastAsia="zh-CN"/>
        </w:rPr>
        <w:t>41.85万元，批复41.85万元。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2"/>
        <w:rPr>
          <w:rFonts w:ascii="仿宋_GB2312" w:hAnsi="宋体"/>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（二）资金计划、到位及使用情况。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1．资金计划。</w:t>
      </w:r>
      <w:r>
        <w:rPr>
          <w:rFonts w:hint="eastAsia" w:ascii="仿宋_GB2312" w:hAnsi="仿宋_GB2312" w:eastAsia="仿宋_GB2312" w:cs="仿宋_GB2312"/>
          <w:color w:val="auto"/>
          <w:sz w:val="32"/>
          <w:szCs w:val="32"/>
          <w:lang w:val="zh-CN"/>
        </w:rPr>
        <w:t>经市人大审查批准及市财政局批复，</w:t>
      </w:r>
      <w:r>
        <w:rPr>
          <w:rFonts w:hint="eastAsia" w:ascii="仿宋_GB2312" w:hAnsi="仿宋_GB2312" w:eastAsia="仿宋_GB2312" w:cs="仿宋_GB2312"/>
          <w:color w:val="auto"/>
          <w:sz w:val="32"/>
          <w:szCs w:val="32"/>
          <w:lang w:val="en-US" w:eastAsia="zh-CN"/>
        </w:rPr>
        <w:t>追加</w:t>
      </w:r>
      <w:r>
        <w:rPr>
          <w:rFonts w:hint="eastAsia" w:ascii="仿宋_GB2312" w:hAnsi="仿宋_GB2312" w:eastAsia="仿宋_GB2312" w:cs="仿宋_GB2312"/>
          <w:b w:val="0"/>
          <w:bCs w:val="0"/>
          <w:color w:val="auto"/>
          <w:w w:val="100"/>
          <w:kern w:val="2"/>
          <w:sz w:val="32"/>
          <w:szCs w:val="32"/>
          <w:lang w:val="en-US" w:eastAsia="zh-CN" w:bidi="ar-SA"/>
        </w:rPr>
        <w:t>技能大师工作室补助资金</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41.85</w:t>
      </w:r>
      <w:r>
        <w:rPr>
          <w:rFonts w:hint="eastAsia" w:ascii="仿宋_GB2312" w:hAnsi="仿宋_GB2312" w:eastAsia="仿宋_GB2312" w:cs="仿宋_GB2312"/>
          <w:b w:val="0"/>
          <w:bCs w:val="0"/>
          <w:color w:val="auto"/>
          <w:w w:val="100"/>
          <w:kern w:val="2"/>
          <w:sz w:val="32"/>
          <w:szCs w:val="32"/>
          <w:lang w:val="en-US" w:eastAsia="zh-CN" w:bidi="ar-SA"/>
        </w:rPr>
        <w:t>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资金到位。</w:t>
      </w:r>
      <w:r>
        <w:rPr>
          <w:rFonts w:hint="eastAsia" w:ascii="仿宋_GB2312" w:hAnsi="仿宋_GB2312" w:eastAsia="仿宋_GB2312" w:cs="仿宋_GB2312"/>
          <w:b w:val="0"/>
          <w:bCs w:val="0"/>
          <w:sz w:val="32"/>
          <w:szCs w:val="32"/>
          <w:lang w:val="zh-CN"/>
        </w:rPr>
        <w:t>该项目资金到位</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41.85</w:t>
      </w:r>
      <w:r>
        <w:rPr>
          <w:rFonts w:hint="eastAsia" w:ascii="仿宋_GB2312" w:hAnsi="仿宋_GB2312" w:eastAsia="仿宋_GB2312" w:cs="仿宋_GB2312"/>
          <w:color w:val="auto"/>
          <w:sz w:val="32"/>
          <w:szCs w:val="32"/>
          <w:lang w:val="en-US" w:eastAsia="zh-CN"/>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资金到位率</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100%</w:t>
      </w:r>
      <w:r>
        <w:rPr>
          <w:rFonts w:hint="eastAsia" w:ascii="仿宋_GB2312" w:hAnsi="仿宋_GB2312" w:eastAsia="仿宋_GB2312" w:cs="仿宋_GB2312"/>
          <w:b w:val="0"/>
          <w:bCs w:val="0"/>
          <w:sz w:val="32"/>
          <w:szCs w:val="32"/>
          <w:lang w:val="zh-CN"/>
        </w:rPr>
        <w:t>，为本级财政拨款资金</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3.</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资金使用。</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因实际获奖人数减少，评价日</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使用资金</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38.85万</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元，</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预算执行率92.83。</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2"/>
        <w:rPr>
          <w:rFonts w:hint="eastAsia" w:ascii="楷体_GB2312" w:hAnsi="宋体" w:eastAsia="楷体_GB2312"/>
          <w:b w:val="0"/>
          <w:bCs w:val="0"/>
          <w:color w:val="auto"/>
          <w:sz w:val="32"/>
          <w:szCs w:val="32"/>
          <w:highlight w:val="none"/>
          <w:u w:val="none"/>
          <w:lang w:val="en-US" w:eastAsia="zh-CN"/>
        </w:rPr>
      </w:pPr>
      <w:r>
        <w:rPr>
          <w:rFonts w:hint="eastAsia" w:ascii="楷体_GB2312" w:hAnsi="宋体" w:eastAsia="楷体_GB2312"/>
          <w:b w:val="0"/>
          <w:bCs w:val="0"/>
          <w:color w:val="auto"/>
          <w:sz w:val="32"/>
          <w:szCs w:val="32"/>
          <w:highlight w:val="none"/>
          <w:u w:val="none"/>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宋体" w:eastAsia="仿宋_GB2312" w:cs="仿宋_GB2312"/>
          <w:color w:val="auto"/>
          <w:sz w:val="32"/>
          <w:szCs w:val="32"/>
          <w:lang w:val="zh-CN"/>
        </w:rPr>
      </w:pPr>
      <w:r>
        <w:rPr>
          <w:rFonts w:hint="eastAsia" w:ascii="仿宋_GB2312" w:hAnsi="宋体" w:eastAsia="仿宋_GB2312" w:cs="仿宋_GB2312"/>
          <w:color w:val="auto"/>
          <w:sz w:val="32"/>
          <w:szCs w:val="32"/>
          <w:lang w:val="zh-CN"/>
        </w:rPr>
        <w:t>建</w:t>
      </w:r>
      <w:r>
        <w:rPr>
          <w:rFonts w:hint="eastAsia" w:ascii="仿宋_GB2312" w:hAnsi="宋体" w:cs="仿宋_GB2312"/>
          <w:color w:val="auto"/>
          <w:sz w:val="32"/>
          <w:szCs w:val="32"/>
          <w:lang w:val="en-US" w:eastAsia="zh-CN"/>
        </w:rPr>
        <w:t>有</w:t>
      </w:r>
      <w:r>
        <w:rPr>
          <w:rFonts w:hint="eastAsia" w:ascii="仿宋_GB2312" w:hAnsi="宋体" w:eastAsia="仿宋_GB2312" w:cs="仿宋_GB2312"/>
          <w:color w:val="auto"/>
          <w:sz w:val="32"/>
          <w:szCs w:val="32"/>
          <w:lang w:val="zh-CN"/>
        </w:rPr>
        <w:t>健全的内部控制制度，内部控制管理运行有效。</w:t>
      </w:r>
      <w:r>
        <w:rPr>
          <w:rFonts w:hint="eastAsia" w:ascii="仿宋_GB2312" w:hAnsi="宋体" w:cs="仿宋_GB2312"/>
          <w:color w:val="auto"/>
          <w:sz w:val="32"/>
          <w:szCs w:val="32"/>
          <w:lang w:val="en-US" w:eastAsia="zh-CN"/>
        </w:rPr>
        <w:t>项目资金按照统一的</w:t>
      </w:r>
      <w:r>
        <w:rPr>
          <w:rFonts w:hint="eastAsia" w:ascii="仿宋_GB2312" w:hAnsi="宋体" w:eastAsia="仿宋_GB2312" w:cs="仿宋_GB2312"/>
          <w:color w:val="auto"/>
          <w:sz w:val="32"/>
          <w:szCs w:val="32"/>
          <w:lang w:val="zh-CN"/>
        </w:rPr>
        <w:t>财务管理制度</w:t>
      </w:r>
      <w:r>
        <w:rPr>
          <w:rFonts w:hint="eastAsia" w:ascii="仿宋_GB2312" w:hAnsi="宋体" w:cs="仿宋_GB2312"/>
          <w:color w:val="auto"/>
          <w:sz w:val="32"/>
          <w:szCs w:val="32"/>
          <w:lang w:val="en-US" w:eastAsia="zh-CN"/>
        </w:rPr>
        <w:t>进行管理</w:t>
      </w:r>
      <w:r>
        <w:rPr>
          <w:rFonts w:hint="eastAsia" w:ascii="仿宋_GB2312" w:hAnsi="宋体" w:eastAsia="仿宋_GB2312" w:cs="仿宋_GB2312"/>
          <w:color w:val="auto"/>
          <w:sz w:val="32"/>
          <w:szCs w:val="32"/>
          <w:lang w:val="zh-CN"/>
        </w:rPr>
        <w:t>，设</w:t>
      </w:r>
      <w:r>
        <w:rPr>
          <w:rFonts w:hint="eastAsia" w:ascii="仿宋_GB2312" w:hAnsi="宋体" w:cs="仿宋_GB2312"/>
          <w:color w:val="auto"/>
          <w:sz w:val="32"/>
          <w:szCs w:val="32"/>
          <w:lang w:val="en-US" w:eastAsia="zh-CN"/>
        </w:rPr>
        <w:t>有</w:t>
      </w:r>
      <w:r>
        <w:rPr>
          <w:rFonts w:hint="eastAsia" w:ascii="仿宋_GB2312" w:hAnsi="宋体" w:eastAsia="仿宋_GB2312" w:cs="仿宋_GB2312"/>
          <w:color w:val="auto"/>
          <w:sz w:val="32"/>
          <w:szCs w:val="32"/>
          <w:lang w:val="zh-CN"/>
        </w:rPr>
        <w:t>项目管理机构，会计核算及账务处理</w:t>
      </w:r>
      <w:r>
        <w:rPr>
          <w:rFonts w:hint="eastAsia" w:ascii="仿宋_GB2312" w:hAnsi="宋体" w:cs="仿宋_GB2312"/>
          <w:color w:val="auto"/>
          <w:sz w:val="32"/>
          <w:szCs w:val="32"/>
          <w:lang w:val="en-US" w:eastAsia="zh-CN"/>
        </w:rPr>
        <w:t>准确、规范</w:t>
      </w:r>
      <w:r>
        <w:rPr>
          <w:rFonts w:hint="eastAsia" w:ascii="仿宋_GB2312" w:hAnsi="宋体" w:cs="仿宋_GB2312"/>
          <w:color w:val="auto"/>
          <w:sz w:val="32"/>
          <w:szCs w:val="32"/>
          <w:lang w:val="zh-CN"/>
        </w:rPr>
        <w:t>、</w:t>
      </w:r>
      <w:r>
        <w:rPr>
          <w:rFonts w:hint="eastAsia" w:ascii="仿宋_GB2312" w:hAnsi="宋体" w:eastAsia="仿宋_GB2312" w:cs="仿宋_GB2312"/>
          <w:color w:val="auto"/>
          <w:sz w:val="32"/>
          <w:szCs w:val="32"/>
          <w:lang w:val="zh-CN"/>
        </w:rPr>
        <w:t>专款专用。</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235" w:name="_Toc12255"/>
      <w:bookmarkStart w:id="236" w:name="_Toc23331"/>
      <w:bookmarkStart w:id="237" w:name="_Toc6917"/>
      <w:bookmarkStart w:id="238" w:name="_Toc28545"/>
      <w:r>
        <w:rPr>
          <w:rFonts w:hint="eastAsia" w:ascii="黑体" w:hAnsi="宋体" w:eastAsia="黑体"/>
          <w:b w:val="0"/>
          <w:bCs w:val="0"/>
          <w:color w:val="auto"/>
          <w:sz w:val="32"/>
          <w:szCs w:val="32"/>
          <w:highlight w:val="none"/>
          <w:u w:val="none"/>
        </w:rPr>
        <w:t>三、项目实施及管理情况</w:t>
      </w:r>
      <w:bookmarkEnd w:id="235"/>
      <w:bookmarkEnd w:id="236"/>
      <w:bookmarkEnd w:id="237"/>
      <w:bookmarkEnd w:id="238"/>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（一）项目组织架构及实施流程。</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职业能力建设科设</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科长</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1名，工作人员2名。科长负责审核管理项目，工作人员</w:t>
      </w:r>
      <w:r>
        <w:rPr>
          <w:rFonts w:hint="eastAsia" w:ascii="仿宋_GB2312" w:hAnsi="仿宋_GB2312" w:cs="仿宋_GB2312"/>
          <w:b w:val="0"/>
          <w:bCs w:val="0"/>
          <w:color w:val="auto"/>
          <w:kern w:val="0"/>
          <w:sz w:val="32"/>
          <w:szCs w:val="32"/>
          <w:highlight w:val="none"/>
          <w:u w:val="none"/>
          <w:shd w:val="clear" w:color="auto" w:fill="FFFFFF"/>
          <w:lang w:val="en-US" w:eastAsia="zh-CN"/>
        </w:rPr>
        <w:t>负责项目的具体</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实施。</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楷体_GB2312" w:hAnsi="宋体" w:eastAsia="楷体_GB2312"/>
          <w:b w:val="0"/>
          <w:bCs w:val="0"/>
          <w:color w:val="auto"/>
          <w:sz w:val="32"/>
          <w:szCs w:val="32"/>
          <w:highlight w:val="none"/>
          <w:u w:val="none"/>
          <w:lang w:val="zh-CN"/>
        </w:rPr>
        <w:t>（二）项目管理情况。</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根据《《广元市职业技能竞赛管理办法》，竞赛各项目原则上设一等奖1名、二等奖2名、三等奖3名，按照《广元市支持重点产业企业人才队伍建设十条措施（试行）》规定分别给予现金奖励。项目实施标准严格按照计划标准执行，一律不得突破。</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楷体_GB2312" w:hAnsi="宋体" w:eastAsia="楷体_GB2312"/>
          <w:b w:val="0"/>
          <w:bCs w:val="0"/>
          <w:color w:val="auto"/>
          <w:sz w:val="32"/>
          <w:szCs w:val="32"/>
          <w:highlight w:val="none"/>
          <w:u w:val="none"/>
          <w:lang w:val="zh-CN"/>
        </w:rPr>
        <w:t>（三）项目监管情况。</w:t>
      </w:r>
      <w:r>
        <w:rPr>
          <w:rFonts w:hint="eastAsia" w:ascii="仿宋_GB2312" w:hAnsi="仿宋_GB2312" w:eastAsia="仿宋_GB2312" w:cs="仿宋_GB2312"/>
          <w:b w:val="0"/>
          <w:bCs w:val="0"/>
          <w:color w:val="auto"/>
          <w:sz w:val="32"/>
          <w:szCs w:val="32"/>
          <w:highlight w:val="none"/>
          <w:u w:val="none"/>
          <w:lang w:val="en-US" w:eastAsia="zh-CN"/>
        </w:rPr>
        <w:t>奖</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金拨付名单、金额等严格按《</w:t>
      </w:r>
      <w:r>
        <w:rPr>
          <w:rFonts w:hint="eastAsia" w:ascii="仿宋_GB2312" w:hAnsi="仿宋_GB2312" w:eastAsia="仿宋_GB2312" w:cs="仿宋_GB2312"/>
          <w:sz w:val="32"/>
          <w:szCs w:val="32"/>
        </w:rPr>
        <w:t>广元市第九届职业技能竞赛暨第二届茶产业职业技能竞赛实施方案</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w:t>
      </w:r>
      <w:r>
        <w:rPr>
          <w:rFonts w:hint="eastAsia" w:ascii="仿宋_GB2312" w:hAnsi="仿宋_GB2312" w:eastAsia="仿宋_GB2312" w:cs="仿宋_GB2312"/>
          <w:sz w:val="32"/>
          <w:szCs w:val="32"/>
        </w:rPr>
        <w:t>广元市第九届职业技能竞赛暨第二届茶产业职业技能竞赛经费预算</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》标准及程序执行。</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1"/>
        <w:rPr>
          <w:rFonts w:ascii="仿宋_GB2312" w:hAnsi="宋体"/>
          <w:b w:val="0"/>
          <w:bCs w:val="0"/>
          <w:color w:val="auto"/>
          <w:sz w:val="32"/>
          <w:szCs w:val="32"/>
          <w:highlight w:val="none"/>
          <w:u w:val="none"/>
          <w:lang w:val="zh-CN"/>
        </w:rPr>
      </w:pPr>
      <w:bookmarkStart w:id="239" w:name="_Toc10303"/>
      <w:bookmarkStart w:id="240" w:name="_Toc6804"/>
      <w:bookmarkStart w:id="241" w:name="_Toc7079"/>
      <w:bookmarkStart w:id="242" w:name="_Toc1079"/>
      <w:r>
        <w:rPr>
          <w:rFonts w:hint="eastAsia" w:ascii="黑体" w:hAnsi="宋体" w:eastAsia="黑体"/>
          <w:b w:val="0"/>
          <w:bCs w:val="0"/>
          <w:color w:val="auto"/>
          <w:sz w:val="32"/>
          <w:szCs w:val="32"/>
          <w:highlight w:val="none"/>
          <w:u w:val="none"/>
        </w:rPr>
        <w:t>四、项目绩效情况</w:t>
      </w:r>
      <w:bookmarkEnd w:id="239"/>
      <w:bookmarkEnd w:id="240"/>
      <w:bookmarkEnd w:id="241"/>
      <w:bookmarkEnd w:id="242"/>
      <w:r>
        <w:rPr>
          <w:rFonts w:hint="eastAsia" w:ascii="仿宋_GB2312" w:hAnsi="宋体"/>
          <w:b w:val="0"/>
          <w:bCs w:val="0"/>
          <w:color w:val="auto"/>
          <w:sz w:val="32"/>
          <w:szCs w:val="32"/>
          <w:highlight w:val="none"/>
          <w:u w:val="none"/>
          <w:lang w:val="zh-CN"/>
        </w:rPr>
        <w:tab/>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sz w:val="32"/>
          <w:szCs w:val="32"/>
          <w:lang w:val="zh-CN" w:eastAsia="zh-CN"/>
        </w:rPr>
        <w:t>因受疫情影响，第九届职业职业技能竞赛暨第二届茶产业职业技能竞赛开展了部分分赛场的赛项，开幕式及余下主赛场项目延期至2023年</w:t>
      </w:r>
      <w:r>
        <w:rPr>
          <w:rFonts w:hint="eastAsia" w:ascii="仿宋_GB2312" w:hAnsi="仿宋_GB2312" w:eastAsia="仿宋_GB2312" w:cs="仿宋_GB2312"/>
          <w:sz w:val="32"/>
          <w:szCs w:val="32"/>
          <w:lang w:val="en-US" w:eastAsia="zh-CN"/>
        </w:rPr>
        <w:t>实施</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最终获得</w:t>
      </w:r>
      <w:r>
        <w:rPr>
          <w:rFonts w:hint="eastAsia" w:ascii="仿宋_GB2312" w:hAnsi="仿宋_GB2312" w:eastAsia="仿宋_GB2312" w:cs="仿宋_GB2312"/>
          <w:sz w:val="32"/>
          <w:szCs w:val="32"/>
          <w:lang w:val="zh-CN" w:eastAsia="zh-CN"/>
        </w:rPr>
        <w:t>竞赛项目的一等奖</w:t>
      </w:r>
      <w:r>
        <w:rPr>
          <w:rFonts w:hint="eastAsia" w:ascii="仿宋_GB2312" w:hAnsi="仿宋_GB2312" w:eastAsia="仿宋_GB2312" w:cs="仿宋_GB2312"/>
          <w:sz w:val="32"/>
          <w:szCs w:val="32"/>
          <w:lang w:val="en-US" w:eastAsia="zh-CN"/>
        </w:rPr>
        <w:t>7人</w:t>
      </w:r>
      <w:r>
        <w:rPr>
          <w:rFonts w:hint="eastAsia" w:ascii="仿宋_GB2312" w:hAnsi="仿宋_GB2312" w:eastAsia="仿宋_GB2312" w:cs="仿宋_GB2312"/>
          <w:sz w:val="32"/>
          <w:szCs w:val="32"/>
          <w:lang w:val="zh-CN" w:eastAsia="zh-CN"/>
        </w:rPr>
        <w:t>、二</w:t>
      </w:r>
      <w:r>
        <w:rPr>
          <w:rFonts w:hint="eastAsia" w:ascii="仿宋_GB2312" w:hAnsi="仿宋_GB2312" w:eastAsia="仿宋_GB2312" w:cs="仿宋_GB2312"/>
          <w:sz w:val="32"/>
          <w:szCs w:val="32"/>
          <w:lang w:val="en-US" w:eastAsia="zh-CN"/>
        </w:rPr>
        <w:t>等奖49人</w:t>
      </w:r>
      <w:r>
        <w:rPr>
          <w:rFonts w:hint="eastAsia" w:ascii="仿宋_GB2312" w:hAnsi="仿宋_GB2312" w:eastAsia="仿宋_GB2312" w:cs="仿宋_GB2312"/>
          <w:sz w:val="32"/>
          <w:szCs w:val="32"/>
          <w:lang w:val="zh-CN" w:eastAsia="zh-CN"/>
        </w:rPr>
        <w:t>、三</w:t>
      </w:r>
      <w:r>
        <w:rPr>
          <w:rFonts w:hint="eastAsia" w:ascii="仿宋_GB2312" w:hAnsi="仿宋_GB2312" w:eastAsia="仿宋_GB2312" w:cs="仿宋_GB2312"/>
          <w:sz w:val="32"/>
          <w:szCs w:val="32"/>
          <w:lang w:val="en-US" w:eastAsia="zh-CN"/>
        </w:rPr>
        <w:t>等奖71人，共发放奖金38.85万元</w:t>
      </w:r>
      <w:r>
        <w:rPr>
          <w:rFonts w:hint="eastAsia"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243" w:name="_Toc13107"/>
      <w:bookmarkStart w:id="244" w:name="_Toc16606"/>
      <w:bookmarkStart w:id="245" w:name="_Toc144"/>
      <w:bookmarkStart w:id="246" w:name="_Toc3859"/>
      <w:r>
        <w:rPr>
          <w:rFonts w:hint="eastAsia" w:ascii="黑体" w:hAnsi="宋体" w:eastAsia="黑体"/>
          <w:b w:val="0"/>
          <w:bCs w:val="0"/>
          <w:color w:val="auto"/>
          <w:sz w:val="32"/>
          <w:szCs w:val="32"/>
          <w:highlight w:val="none"/>
          <w:u w:val="none"/>
        </w:rPr>
        <w:t>五、评价结论及建议</w:t>
      </w:r>
      <w:bookmarkEnd w:id="243"/>
      <w:bookmarkEnd w:id="244"/>
      <w:bookmarkEnd w:id="245"/>
      <w:bookmarkEnd w:id="246"/>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Calibri" w:eastAsia="仿宋_GB2312" w:cs="仿宋_GB2312"/>
          <w:sz w:val="32"/>
          <w:szCs w:val="32"/>
          <w:lang w:val="en-US"/>
        </w:rPr>
      </w:pPr>
      <w:r>
        <w:rPr>
          <w:rFonts w:hint="eastAsia" w:ascii="仿宋_GB2312" w:hAnsi="仿宋_GB2312" w:eastAsia="仿宋_GB2312" w:cs="仿宋_GB2312"/>
          <w:sz w:val="32"/>
          <w:szCs w:val="32"/>
          <w:lang w:val="en-US" w:eastAsia="zh-CN"/>
        </w:rPr>
        <w:t>此项目的实施，为第九届职业技能大赛提供了资金保障，增强了参赛选手满意度、幸福感、存在感、和价值感，有效激励更多青年人走技能成才之路，为社会和国家储备更多的技能人才。</w:t>
      </w:r>
    </w:p>
    <w:p>
      <w:pPr>
        <w:keepNext w:val="0"/>
        <w:keepLines w:val="0"/>
        <w:pageBreakBefore w:val="0"/>
        <w:widowControl w:val="0"/>
        <w:kinsoku/>
        <w:wordWrap/>
        <w:overflowPunct/>
        <w:topLinePunct w:val="0"/>
        <w:autoSpaceDE/>
        <w:autoSpaceDN/>
        <w:bidi w:val="0"/>
        <w:spacing w:line="576"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76" w:lineRule="exact"/>
        <w:textAlignment w:val="auto"/>
        <w:rPr>
          <w:rFonts w:hint="eastAsia" w:ascii="仿宋" w:hAnsi="仿宋" w:eastAsia="仿宋"/>
          <w:b w:val="0"/>
          <w:color w:val="auto"/>
          <w:highlight w:val="none"/>
        </w:rPr>
      </w:pPr>
      <w:r>
        <w:rPr>
          <w:rFonts w:hint="eastAsia" w:ascii="仿宋" w:hAnsi="仿宋" w:eastAsia="仿宋"/>
          <w:b w:val="0"/>
          <w:color w:val="auto"/>
          <w:highlight w:val="none"/>
        </w:rPr>
        <w:br w:type="page"/>
      </w:r>
    </w:p>
    <w:p>
      <w:pPr>
        <w:pStyle w:val="35"/>
        <w:keepNext w:val="0"/>
        <w:keepLines w:val="0"/>
        <w:pageBreakBefore w:val="0"/>
        <w:widowControl w:val="0"/>
        <w:kinsoku/>
        <w:wordWrap/>
        <w:overflowPunct/>
        <w:topLinePunct w:val="0"/>
        <w:autoSpaceDE/>
        <w:autoSpaceDN/>
        <w:bidi w:val="0"/>
        <w:spacing w:line="576" w:lineRule="exact"/>
        <w:jc w:val="center"/>
        <w:textAlignment w:val="auto"/>
        <w:rPr>
          <w:rFonts w:hint="default"/>
          <w:lang w:val="en-US"/>
        </w:rPr>
      </w:pPr>
      <w:r>
        <w:rPr>
          <w:rFonts w:hint="eastAsia" w:ascii="方正小标宋简体" w:hAnsi="方正小标宋简体" w:eastAsia="方正小标宋简体" w:cs="方正小标宋简体"/>
          <w:color w:val="auto"/>
          <w:kern w:val="2"/>
          <w:sz w:val="32"/>
          <w:szCs w:val="32"/>
          <w:highlight w:val="none"/>
          <w:lang w:val="en-US" w:eastAsia="zh-CN"/>
        </w:rPr>
        <w:t>2023年专项资金预算项目绩效自评报告七</w:t>
      </w:r>
    </w:p>
    <w:p>
      <w:pPr>
        <w:pStyle w:val="35"/>
        <w:keepNext w:val="0"/>
        <w:keepLines w:val="0"/>
        <w:pageBreakBefore w:val="0"/>
        <w:widowControl w:val="0"/>
        <w:kinsoku/>
        <w:wordWrap/>
        <w:overflowPunct/>
        <w:topLinePunct w:val="0"/>
        <w:autoSpaceDE/>
        <w:autoSpaceDN/>
        <w:bidi w:val="0"/>
        <w:spacing w:line="578" w:lineRule="exact"/>
        <w:jc w:val="center"/>
        <w:textAlignment w:val="auto"/>
        <w:rPr>
          <w:rFonts w:hint="eastAsia" w:ascii="仿宋_GB2312" w:hAnsi="仿宋_GB2312" w:eastAsia="仿宋_GB2312" w:cs="仿宋_GB2312"/>
          <w:b w:val="0"/>
          <w:bCs w:val="0"/>
          <w:color w:val="auto"/>
          <w:w w:val="100"/>
          <w:kern w:val="2"/>
          <w:sz w:val="32"/>
          <w:szCs w:val="32"/>
          <w:lang w:val="en-US" w:eastAsia="zh-CN" w:bidi="ar-SA"/>
        </w:rPr>
      </w:pPr>
      <w:r>
        <w:rPr>
          <w:rFonts w:hint="eastAsia" w:ascii="仿宋_GB2312" w:hAnsi="仿宋_GB2312" w:eastAsia="仿宋_GB2312" w:cs="仿宋_GB2312"/>
          <w:b w:val="0"/>
          <w:bCs w:val="0"/>
          <w:color w:val="auto"/>
          <w:w w:val="100"/>
          <w:kern w:val="2"/>
          <w:sz w:val="32"/>
          <w:szCs w:val="32"/>
          <w:lang w:val="en-US" w:eastAsia="zh-CN" w:bidi="ar-SA"/>
        </w:rPr>
        <w:t>（技能大师工作室补助资金）</w:t>
      </w:r>
    </w:p>
    <w:p>
      <w:pPr>
        <w:pStyle w:val="35"/>
        <w:keepNext w:val="0"/>
        <w:keepLines w:val="0"/>
        <w:pageBreakBefore w:val="0"/>
        <w:widowControl w:val="0"/>
        <w:kinsoku/>
        <w:wordWrap/>
        <w:overflowPunct/>
        <w:topLinePunct w:val="0"/>
        <w:autoSpaceDE/>
        <w:autoSpaceDN/>
        <w:bidi w:val="0"/>
        <w:spacing w:line="578" w:lineRule="exact"/>
        <w:jc w:val="center"/>
        <w:textAlignment w:val="auto"/>
        <w:rPr>
          <w:rFonts w:hint="eastAsia" w:ascii="仿宋_GB2312" w:hAnsi="仿宋_GB2312" w:eastAsia="仿宋_GB2312" w:cs="仿宋_GB2312"/>
          <w:b w:val="0"/>
          <w:bCs w:val="0"/>
          <w:color w:val="auto"/>
          <w:w w:val="1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outlineLvl w:val="1"/>
        <w:rPr>
          <w:rFonts w:ascii="黑体" w:hAnsi="宋体" w:eastAsia="黑体"/>
          <w:b w:val="0"/>
          <w:bCs w:val="0"/>
          <w:sz w:val="32"/>
          <w:szCs w:val="32"/>
          <w:highlight w:val="none"/>
          <w:lang w:val="zh-CN"/>
        </w:rPr>
      </w:pPr>
      <w:bookmarkStart w:id="247" w:name="_Toc12078"/>
      <w:bookmarkStart w:id="248" w:name="_Toc8262"/>
      <w:bookmarkStart w:id="249" w:name="_Toc6739"/>
      <w:bookmarkStart w:id="250" w:name="_Toc8173"/>
      <w:r>
        <w:rPr>
          <w:rFonts w:hint="eastAsia" w:ascii="黑体" w:hAnsi="宋体" w:eastAsia="黑体"/>
          <w:b w:val="0"/>
          <w:bCs w:val="0"/>
          <w:sz w:val="32"/>
          <w:szCs w:val="32"/>
          <w:highlight w:val="none"/>
        </w:rPr>
        <w:t>一、</w:t>
      </w:r>
      <w:r>
        <w:rPr>
          <w:rFonts w:hint="eastAsia" w:ascii="黑体" w:hAnsi="宋体" w:eastAsia="黑体"/>
          <w:b w:val="0"/>
          <w:bCs w:val="0"/>
          <w:sz w:val="32"/>
          <w:szCs w:val="32"/>
          <w:highlight w:val="none"/>
          <w:lang w:val="zh-CN"/>
        </w:rPr>
        <w:t>项目概况</w:t>
      </w:r>
      <w:bookmarkEnd w:id="247"/>
      <w:bookmarkEnd w:id="248"/>
      <w:bookmarkEnd w:id="249"/>
      <w:bookmarkEnd w:id="250"/>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outlineLvl w:val="2"/>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（一）项目基本情况。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1．</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主管部门职能。</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根据根据《中共广元市委、广元市人民政府关于印发〈广元市机构改革方案〉和〈广元市机构改革方案的实施意见〉的通知》（广委发〔2019〕2号）规定，我局牵头负责全市技能人才培养工作，包括全市技能大师工作室建设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2．</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立项</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依据。</w:t>
      </w:r>
      <w:r>
        <w:rPr>
          <w:rFonts w:hint="eastAsia" w:ascii="仿宋_GB2312" w:hAnsi="仿宋_GB2312" w:eastAsia="仿宋_GB2312" w:cs="仿宋_GB2312"/>
          <w:sz w:val="32"/>
          <w:szCs w:val="32"/>
        </w:rPr>
        <w:t>市委组织部、市人力资源社会保障局、市经济信息化局、市科技局、市财政局《关于开展广元市技能大师工作室建设工作的通知》（广人社发〔2014〕6号）</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3．资金</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或项目</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管理办法制定情况。</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根据</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《关于开展广元市技能大师工作室建设工作的通知》，经评审认定的广元市技能大师工作室，市财政对每个技能大师工作室一次性给予3万元资金补助。</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4．资金分配的原则及考虑因素。经测算，</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第四批评选认定3个市级技能大师工作室，预计一次性补助资金为3</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万元</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/个，</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预算资金合计</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9万元</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outlineLvl w:val="2"/>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（二）项目绩效目标。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针对已认定的3个第四批市级技能大师工作室拨付一次性建设补助资金，补助标准：3</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万元</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/个，以提高技能大师工作室建设水平，提升劳动者职业技能水平。本项目</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评价申报内容与实际相符，申报目标合理可行。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outlineLvl w:val="2"/>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（三）项目自评步骤及方法。</w:t>
      </w:r>
    </w:p>
    <w:p>
      <w:pPr>
        <w:spacing w:line="576" w:lineRule="exact"/>
        <w:ind w:firstLine="640" w:firstLineChars="200"/>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一是加强统筹，成立自评工作组。二是组织实施，通过</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查看认定文件、申报资料、补助金拨付单等材料，确保项目支出无差错，达到预算绩效目标</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。三是考评结果，通过自评，得出考评分值，并查找问题，分析原因，提出整改意见。</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251" w:name="_Toc31002"/>
      <w:bookmarkStart w:id="252" w:name="_Toc14167"/>
      <w:bookmarkStart w:id="253" w:name="_Toc18855"/>
      <w:bookmarkStart w:id="254" w:name="_Toc15118"/>
      <w:r>
        <w:rPr>
          <w:rFonts w:hint="eastAsia" w:ascii="黑体" w:hAnsi="宋体" w:eastAsia="黑体"/>
          <w:b w:val="0"/>
          <w:bCs w:val="0"/>
          <w:color w:val="auto"/>
          <w:sz w:val="32"/>
          <w:szCs w:val="32"/>
          <w:highlight w:val="none"/>
          <w:u w:val="none"/>
        </w:rPr>
        <w:t>二、项目资金申报及使用情况</w:t>
      </w:r>
      <w:bookmarkEnd w:id="251"/>
      <w:bookmarkEnd w:id="252"/>
      <w:bookmarkEnd w:id="253"/>
      <w:bookmarkEnd w:id="254"/>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outlineLvl w:val="2"/>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（一）项目资金申报及批复情况。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申报项目资金</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9万元，批复9万元。</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outlineLvl w:val="2"/>
        <w:rPr>
          <w:rFonts w:ascii="仿宋_GB2312" w:hAnsi="宋体"/>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（二）资金计划、到位及使用情况。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1．资金计划。</w:t>
      </w:r>
      <w:r>
        <w:rPr>
          <w:rFonts w:hint="eastAsia" w:ascii="仿宋_GB2312" w:hAnsi="仿宋_GB2312" w:eastAsia="仿宋_GB2312" w:cs="仿宋_GB2312"/>
          <w:color w:val="auto"/>
          <w:sz w:val="32"/>
          <w:szCs w:val="32"/>
          <w:lang w:val="zh-CN"/>
        </w:rPr>
        <w:t>经市人大审查批准及市财政局批复，</w:t>
      </w:r>
      <w:r>
        <w:rPr>
          <w:rFonts w:hint="eastAsia" w:ascii="仿宋_GB2312" w:hAnsi="仿宋_GB2312" w:eastAsia="仿宋_GB2312" w:cs="仿宋_GB2312"/>
          <w:color w:val="auto"/>
          <w:sz w:val="32"/>
          <w:szCs w:val="32"/>
          <w:lang w:val="en-US" w:eastAsia="zh-CN"/>
        </w:rPr>
        <w:t>追加</w:t>
      </w:r>
      <w:r>
        <w:rPr>
          <w:rFonts w:hint="eastAsia" w:ascii="仿宋_GB2312" w:hAnsi="仿宋_GB2312" w:eastAsia="仿宋_GB2312" w:cs="仿宋_GB2312"/>
          <w:b w:val="0"/>
          <w:bCs w:val="0"/>
          <w:color w:val="auto"/>
          <w:w w:val="100"/>
          <w:kern w:val="2"/>
          <w:sz w:val="32"/>
          <w:szCs w:val="32"/>
          <w:lang w:val="en-US" w:eastAsia="zh-CN" w:bidi="ar-SA"/>
        </w:rPr>
        <w:t>技能大师工作室补助资金9万元。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资金到位。</w:t>
      </w:r>
      <w:r>
        <w:rPr>
          <w:rFonts w:hint="eastAsia" w:ascii="仿宋_GB2312" w:hAnsi="仿宋_GB2312" w:eastAsia="仿宋_GB2312" w:cs="仿宋_GB2312"/>
          <w:b w:val="0"/>
          <w:bCs w:val="0"/>
          <w:sz w:val="32"/>
          <w:szCs w:val="32"/>
          <w:lang w:val="zh-CN"/>
        </w:rPr>
        <w:t>该项目资金到位</w:t>
      </w:r>
      <w:r>
        <w:rPr>
          <w:rFonts w:hint="eastAsia" w:ascii="仿宋_GB2312" w:hAnsi="仿宋_GB2312" w:eastAsia="仿宋_GB2312" w:cs="仿宋_GB2312"/>
          <w:color w:val="auto"/>
          <w:sz w:val="32"/>
          <w:szCs w:val="32"/>
          <w:lang w:val="en-US" w:eastAsia="zh-CN"/>
        </w:rPr>
        <w:t>9万元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资金到位率</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100%</w:t>
      </w:r>
      <w:r>
        <w:rPr>
          <w:rFonts w:hint="eastAsia" w:ascii="仿宋_GB2312" w:hAnsi="仿宋_GB2312" w:eastAsia="仿宋_GB2312" w:cs="仿宋_GB2312"/>
          <w:b w:val="0"/>
          <w:bCs w:val="0"/>
          <w:sz w:val="32"/>
          <w:szCs w:val="32"/>
          <w:lang w:val="zh-CN"/>
        </w:rPr>
        <w:t>，为本级财政拨款资金</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3.</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资金使用。使用资金</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9万</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元</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w:t>
      </w:r>
      <w:r>
        <w:rPr>
          <w:rFonts w:hint="eastAsia" w:ascii="仿宋_GB2312" w:hAnsi="仿宋_GB2312" w:eastAsia="仿宋_GB2312" w:cs="仿宋_GB2312"/>
          <w:sz w:val="32"/>
          <w:szCs w:val="32"/>
        </w:rPr>
        <w:t>2020年开展第四批广元市技能大师工作室推荐评选，共评选</w:t>
      </w:r>
      <w:r>
        <w:rPr>
          <w:rFonts w:hint="eastAsia" w:ascii="仿宋_GB2312" w:hAnsi="仿宋_GB2312" w:eastAsia="仿宋_GB2312" w:cs="仿宋_GB2312"/>
          <w:sz w:val="32"/>
          <w:szCs w:val="32"/>
          <w:lang w:val="en-US" w:eastAsia="zh-CN"/>
        </w:rPr>
        <w:t>出</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个市级技能大师工作室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一次性建设补助资金3万元/个，共支出9万元</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outlineLvl w:val="2"/>
        <w:rPr>
          <w:rFonts w:hint="eastAsia" w:ascii="楷体_GB2312" w:hAnsi="宋体" w:eastAsia="楷体_GB2312"/>
          <w:b w:val="0"/>
          <w:bCs w:val="0"/>
          <w:color w:val="auto"/>
          <w:sz w:val="32"/>
          <w:szCs w:val="32"/>
          <w:highlight w:val="none"/>
          <w:u w:val="none"/>
          <w:lang w:val="en-US" w:eastAsia="zh-CN"/>
        </w:rPr>
      </w:pPr>
      <w:r>
        <w:rPr>
          <w:rFonts w:hint="eastAsia" w:ascii="楷体_GB2312" w:hAnsi="宋体" w:eastAsia="楷体_GB2312"/>
          <w:b w:val="0"/>
          <w:bCs w:val="0"/>
          <w:color w:val="auto"/>
          <w:sz w:val="32"/>
          <w:szCs w:val="32"/>
          <w:highlight w:val="none"/>
          <w:u w:val="none"/>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宋体" w:eastAsia="仿宋_GB2312" w:cs="仿宋_GB2312"/>
          <w:color w:val="auto"/>
          <w:sz w:val="32"/>
          <w:szCs w:val="32"/>
          <w:lang w:val="zh-CN"/>
        </w:rPr>
      </w:pPr>
      <w:r>
        <w:rPr>
          <w:rFonts w:hint="eastAsia" w:ascii="仿宋_GB2312" w:hAnsi="仿宋_GB2312" w:eastAsia="仿宋_GB2312" w:cs="仿宋_GB2312"/>
          <w:sz w:val="32"/>
          <w:szCs w:val="32"/>
          <w:lang w:val="zh-CN"/>
        </w:rPr>
        <w:t>建</w:t>
      </w:r>
      <w:r>
        <w:rPr>
          <w:rFonts w:hint="eastAsia" w:ascii="仿宋_GB2312" w:hAnsi="仿宋_GB2312" w:eastAsia="仿宋_GB2312" w:cs="仿宋_GB2312"/>
          <w:sz w:val="32"/>
          <w:szCs w:val="32"/>
          <w:lang w:val="en-US" w:eastAsia="zh-CN"/>
        </w:rPr>
        <w:t>有</w:t>
      </w:r>
      <w:r>
        <w:rPr>
          <w:rFonts w:hint="eastAsia" w:ascii="仿宋_GB2312" w:hAnsi="仿宋_GB2312" w:eastAsia="仿宋_GB2312" w:cs="仿宋_GB2312"/>
          <w:sz w:val="32"/>
          <w:szCs w:val="32"/>
          <w:lang w:val="zh-CN"/>
        </w:rPr>
        <w:t>健全的内部控制制度，内部控制管理运行有效。</w:t>
      </w:r>
      <w:r>
        <w:rPr>
          <w:rFonts w:hint="eastAsia" w:ascii="仿宋_GB2312" w:hAnsi="仿宋_GB2312" w:eastAsia="仿宋_GB2312" w:cs="仿宋_GB2312"/>
          <w:sz w:val="32"/>
          <w:szCs w:val="32"/>
          <w:lang w:val="en-US" w:eastAsia="zh-CN"/>
        </w:rPr>
        <w:t>项目资金按照统一的</w:t>
      </w:r>
      <w:r>
        <w:rPr>
          <w:rFonts w:hint="eastAsia" w:ascii="仿宋_GB2312" w:hAnsi="仿宋_GB2312" w:eastAsia="仿宋_GB2312" w:cs="仿宋_GB2312"/>
          <w:sz w:val="32"/>
          <w:szCs w:val="32"/>
          <w:lang w:val="zh-CN"/>
        </w:rPr>
        <w:t>财务管理制度</w:t>
      </w:r>
      <w:r>
        <w:rPr>
          <w:rFonts w:hint="eastAsia" w:ascii="仿宋_GB2312" w:hAnsi="仿宋_GB2312" w:eastAsia="仿宋_GB2312" w:cs="仿宋_GB2312"/>
          <w:sz w:val="32"/>
          <w:szCs w:val="32"/>
          <w:lang w:val="en-US" w:eastAsia="zh-CN"/>
        </w:rPr>
        <w:t>进行管理</w:t>
      </w:r>
      <w:r>
        <w:rPr>
          <w:rFonts w:hint="eastAsia" w:ascii="仿宋_GB2312" w:hAnsi="仿宋_GB2312" w:eastAsia="仿宋_GB2312" w:cs="仿宋_GB2312"/>
          <w:sz w:val="32"/>
          <w:szCs w:val="32"/>
          <w:lang w:val="zh-CN"/>
        </w:rPr>
        <w:t>，设</w:t>
      </w:r>
      <w:r>
        <w:rPr>
          <w:rFonts w:hint="eastAsia" w:ascii="仿宋_GB2312" w:hAnsi="仿宋_GB2312" w:eastAsia="仿宋_GB2312" w:cs="仿宋_GB2312"/>
          <w:sz w:val="32"/>
          <w:szCs w:val="32"/>
          <w:lang w:val="en-US" w:eastAsia="zh-CN"/>
        </w:rPr>
        <w:t>有</w:t>
      </w:r>
      <w:r>
        <w:rPr>
          <w:rFonts w:hint="eastAsia" w:ascii="仿宋_GB2312" w:hAnsi="仿宋_GB2312" w:eastAsia="仿宋_GB2312" w:cs="仿宋_GB2312"/>
          <w:sz w:val="32"/>
          <w:szCs w:val="32"/>
          <w:lang w:val="zh-CN"/>
        </w:rPr>
        <w:t>项目管理机构，会计核算及账务处理</w:t>
      </w:r>
      <w:r>
        <w:rPr>
          <w:rFonts w:hint="eastAsia" w:ascii="仿宋_GB2312" w:hAnsi="仿宋_GB2312" w:eastAsia="仿宋_GB2312" w:cs="仿宋_GB2312"/>
          <w:sz w:val="32"/>
          <w:szCs w:val="32"/>
          <w:lang w:val="en-US" w:eastAsia="zh-CN"/>
        </w:rPr>
        <w:t>准确、规范</w:t>
      </w:r>
      <w:r>
        <w:rPr>
          <w:rFonts w:hint="eastAsia" w:ascii="仿宋_GB2312" w:hAnsi="仿宋_GB2312" w:eastAsia="仿宋_GB2312" w:cs="仿宋_GB2312"/>
          <w:sz w:val="32"/>
          <w:szCs w:val="32"/>
          <w:lang w:val="zh-CN"/>
        </w:rPr>
        <w:t>、专款专用</w:t>
      </w:r>
      <w:r>
        <w:rPr>
          <w:rFonts w:hint="eastAsia" w:ascii="仿宋_GB2312" w:hAnsi="宋体" w:eastAsia="仿宋_GB2312" w:cs="仿宋_GB2312"/>
          <w:color w:val="auto"/>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255" w:name="_Toc5252"/>
      <w:bookmarkStart w:id="256" w:name="_Toc28461"/>
      <w:bookmarkStart w:id="257" w:name="_Toc30516"/>
      <w:bookmarkStart w:id="258" w:name="_Toc5648"/>
      <w:r>
        <w:rPr>
          <w:rFonts w:hint="eastAsia" w:ascii="黑体" w:hAnsi="宋体" w:eastAsia="黑体"/>
          <w:b w:val="0"/>
          <w:bCs w:val="0"/>
          <w:color w:val="auto"/>
          <w:sz w:val="32"/>
          <w:szCs w:val="32"/>
          <w:highlight w:val="none"/>
          <w:u w:val="none"/>
        </w:rPr>
        <w:t>三、项目实施及管理情况</w:t>
      </w:r>
      <w:bookmarkEnd w:id="255"/>
      <w:bookmarkEnd w:id="256"/>
      <w:bookmarkEnd w:id="257"/>
      <w:bookmarkEnd w:id="258"/>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（一）项目组织架构及实施流程。</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职业能力建设科设</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科长</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1名，工作人员2名。科长负责审核管理项目，工作人员负责项目的具体实施。</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楷体_GB2312" w:hAnsi="宋体" w:eastAsia="楷体_GB2312"/>
          <w:b w:val="0"/>
          <w:bCs w:val="0"/>
          <w:color w:val="auto"/>
          <w:sz w:val="32"/>
          <w:szCs w:val="32"/>
          <w:highlight w:val="none"/>
          <w:u w:val="none"/>
          <w:lang w:val="zh-CN"/>
        </w:rPr>
        <w:t>（二）项目管理情况。</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严格按照《关于开展广元市技能大师工作室建设工作的通知》（广人社发〔2014〕6号）等相关管理规定，开展第四批技能大师工作室补助金拨付等工作。</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楷体_GB2312" w:hAnsi="宋体" w:eastAsia="楷体_GB2312"/>
          <w:b w:val="0"/>
          <w:bCs w:val="0"/>
          <w:color w:val="auto"/>
          <w:sz w:val="32"/>
          <w:szCs w:val="32"/>
          <w:highlight w:val="none"/>
          <w:u w:val="none"/>
          <w:lang w:val="zh-CN"/>
        </w:rPr>
        <w:t>（三）项目监管情况。</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联合市委组织部、市经济信息化局、市科技局、市财政局组织专家对推荐申报的广元市技能大师工作室进行实地考察和综合评议</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资金拨付名单、金额等由局务会审议通过后严格按标准执行。</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outlineLvl w:val="1"/>
        <w:rPr>
          <w:rFonts w:ascii="仿宋_GB2312" w:hAnsi="宋体"/>
          <w:b w:val="0"/>
          <w:bCs w:val="0"/>
          <w:color w:val="auto"/>
          <w:sz w:val="32"/>
          <w:szCs w:val="32"/>
          <w:highlight w:val="none"/>
          <w:u w:val="none"/>
          <w:lang w:val="zh-CN"/>
        </w:rPr>
      </w:pPr>
      <w:bookmarkStart w:id="259" w:name="_Toc3046"/>
      <w:bookmarkStart w:id="260" w:name="_Toc4531"/>
      <w:bookmarkStart w:id="261" w:name="_Toc713"/>
      <w:bookmarkStart w:id="262" w:name="_Toc32567"/>
      <w:r>
        <w:rPr>
          <w:rFonts w:hint="eastAsia" w:ascii="黑体" w:hAnsi="宋体" w:eastAsia="黑体"/>
          <w:b w:val="0"/>
          <w:bCs w:val="0"/>
          <w:color w:val="auto"/>
          <w:sz w:val="32"/>
          <w:szCs w:val="32"/>
          <w:highlight w:val="none"/>
          <w:u w:val="none"/>
        </w:rPr>
        <w:t>四、项目绩效情况</w:t>
      </w:r>
      <w:bookmarkEnd w:id="259"/>
      <w:bookmarkEnd w:id="260"/>
      <w:bookmarkEnd w:id="261"/>
      <w:bookmarkEnd w:id="262"/>
      <w:r>
        <w:rPr>
          <w:rFonts w:hint="eastAsia" w:ascii="仿宋_GB2312" w:hAnsi="宋体"/>
          <w:b w:val="0"/>
          <w:bCs w:val="0"/>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outlineLvl w:val="2"/>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（一）项目完成情况。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对照预算绩效目标，向3个技能大师工作室反方一次性补助，补助标准：3万元/个，共拨付资金9万元，有效提高技能大师工作的建设水平，提升劳动者职业技能能力。</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outlineLvl w:val="2"/>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（二）项目效益情况。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为技能领军人才创造良好环境、提供交流平台，有效提高技能大师工作的建设水平，更好发挥其带徒传技、技能攻关、技艺传承的作用，有效整合高技能人才培养资源，提升劳动者职业技能能力。</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263" w:name="_Toc11966"/>
      <w:bookmarkStart w:id="264" w:name="_Toc22242"/>
      <w:bookmarkStart w:id="265" w:name="_Toc25449"/>
      <w:bookmarkStart w:id="266" w:name="_Toc28404"/>
      <w:r>
        <w:rPr>
          <w:rFonts w:hint="eastAsia" w:ascii="黑体" w:hAnsi="宋体" w:eastAsia="黑体"/>
          <w:b w:val="0"/>
          <w:bCs w:val="0"/>
          <w:color w:val="auto"/>
          <w:sz w:val="32"/>
          <w:szCs w:val="32"/>
          <w:highlight w:val="none"/>
          <w:u w:val="none"/>
        </w:rPr>
        <w:t>五、评价结论及建议</w:t>
      </w:r>
      <w:bookmarkEnd w:id="263"/>
      <w:bookmarkEnd w:id="264"/>
      <w:bookmarkEnd w:id="265"/>
      <w:bookmarkEnd w:id="266"/>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outlineLvl w:val="2"/>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（一）评价结论。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按时拨付第四批市级技能大师工作室的建设补助资金，有效提高技能大师工作的建设水平，引领广元市高技能人才队伍不断壮大，总体评价得100分。</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outlineLvl w:val="2"/>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无。</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outlineLvl w:val="2"/>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（三）相关建议。</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无。</w:t>
      </w:r>
    </w:p>
    <w:p>
      <w:pPr>
        <w:rPr>
          <w:rFonts w:hint="eastAsia"/>
        </w:rPr>
      </w:pPr>
      <w:r>
        <w:rPr>
          <w:rFonts w:hint="eastAsia"/>
        </w:rPr>
        <w:br w:type="page"/>
      </w:r>
    </w:p>
    <w:p>
      <w:pPr>
        <w:spacing w:line="600" w:lineRule="exact"/>
        <w:jc w:val="center"/>
        <w:outlineLvl w:val="0"/>
        <w:rPr>
          <w:rFonts w:hint="eastAsia" w:ascii="仿宋" w:hAnsi="仿宋" w:eastAsia="仿宋"/>
          <w:b w:val="0"/>
          <w:color w:val="auto"/>
          <w:highlight w:val="none"/>
        </w:rPr>
      </w:pPr>
      <w:bookmarkStart w:id="267" w:name="_Toc6944"/>
      <w:bookmarkStart w:id="268" w:name="_Toc15396618"/>
      <w:r>
        <w:rPr>
          <w:rFonts w:hint="eastAsia" w:ascii="黑体" w:hAnsi="黑体" w:eastAsia="黑体"/>
          <w:color w:val="auto"/>
          <w:sz w:val="44"/>
          <w:szCs w:val="44"/>
          <w:highlight w:val="none"/>
        </w:rPr>
        <w:t>第</w:t>
      </w:r>
      <w:r>
        <w:rPr>
          <w:rStyle w:val="20"/>
          <w:rFonts w:hint="eastAsia" w:ascii="黑体" w:hAnsi="黑体" w:eastAsia="黑体"/>
          <w:b w:val="0"/>
          <w:color w:val="auto"/>
          <w:highlight w:val="none"/>
        </w:rPr>
        <w:t>五部分 附表</w:t>
      </w:r>
      <w:bookmarkEnd w:id="267"/>
      <w:bookmarkEnd w:id="268"/>
    </w:p>
    <w:p>
      <w:pPr>
        <w:rPr>
          <w:rFonts w:hint="eastAsia"/>
        </w:rPr>
      </w:pPr>
    </w:p>
    <w:p>
      <w:pPr>
        <w:pStyle w:val="4"/>
        <w:rPr>
          <w:rStyle w:val="21"/>
          <w:rFonts w:hint="eastAsia" w:ascii="黑体" w:hAnsi="黑体" w:eastAsia="黑体" w:cs="黑体"/>
          <w:b w:val="0"/>
          <w:bCs w:val="0"/>
          <w:color w:val="auto"/>
          <w:highlight w:val="none"/>
          <w:lang w:val="en-US" w:eastAsia="zh-CN"/>
        </w:rPr>
      </w:pPr>
      <w:bookmarkStart w:id="269" w:name="_Toc21412"/>
      <w:bookmarkStart w:id="270" w:name="_Toc27957"/>
      <w:r>
        <w:rPr>
          <w:rStyle w:val="21"/>
          <w:rFonts w:hint="eastAsia" w:ascii="黑体" w:hAnsi="黑体" w:eastAsia="黑体" w:cs="黑体"/>
          <w:b w:val="0"/>
          <w:bCs w:val="0"/>
          <w:color w:val="auto"/>
          <w:highlight w:val="none"/>
          <w:lang w:val="en-US" w:eastAsia="zh-CN"/>
        </w:rPr>
        <w:t>一、收入支出决算总表</w:t>
      </w:r>
      <w:bookmarkEnd w:id="269"/>
      <w:bookmarkEnd w:id="270"/>
    </w:p>
    <w:p>
      <w:pPr>
        <w:pStyle w:val="4"/>
        <w:rPr>
          <w:rStyle w:val="21"/>
          <w:rFonts w:hint="eastAsia" w:ascii="黑体" w:hAnsi="黑体" w:eastAsia="黑体" w:cs="黑体"/>
          <w:b w:val="0"/>
          <w:bCs w:val="0"/>
          <w:color w:val="auto"/>
          <w:highlight w:val="none"/>
        </w:rPr>
      </w:pPr>
      <w:bookmarkStart w:id="271" w:name="_Toc25688"/>
      <w:bookmarkStart w:id="272" w:name="_Toc9579"/>
      <w:r>
        <w:rPr>
          <w:rStyle w:val="21"/>
          <w:rFonts w:hint="eastAsia" w:ascii="黑体" w:hAnsi="黑体" w:eastAsia="黑体" w:cs="黑体"/>
          <w:b w:val="0"/>
          <w:bCs w:val="0"/>
          <w:color w:val="auto"/>
          <w:highlight w:val="none"/>
        </w:rPr>
        <w:t>二、收入决算表</w:t>
      </w:r>
      <w:bookmarkEnd w:id="150"/>
      <w:bookmarkEnd w:id="271"/>
      <w:bookmarkEnd w:id="272"/>
    </w:p>
    <w:p>
      <w:pPr>
        <w:pStyle w:val="4"/>
        <w:rPr>
          <w:rStyle w:val="21"/>
          <w:rFonts w:hint="eastAsia" w:ascii="黑体" w:hAnsi="黑体" w:eastAsia="黑体" w:cs="黑体"/>
          <w:b w:val="0"/>
          <w:bCs w:val="0"/>
          <w:color w:val="auto"/>
          <w:highlight w:val="none"/>
        </w:rPr>
      </w:pPr>
      <w:bookmarkStart w:id="273" w:name="_Toc12495"/>
      <w:bookmarkStart w:id="274" w:name="_Toc15396621"/>
      <w:bookmarkStart w:id="275" w:name="_Toc26320"/>
      <w:r>
        <w:rPr>
          <w:rStyle w:val="21"/>
          <w:rFonts w:hint="eastAsia" w:ascii="黑体" w:hAnsi="黑体" w:eastAsia="黑体" w:cs="黑体"/>
          <w:b w:val="0"/>
          <w:bCs w:val="0"/>
          <w:color w:val="auto"/>
          <w:highlight w:val="none"/>
        </w:rPr>
        <w:t>三、支出决算表</w:t>
      </w:r>
      <w:bookmarkEnd w:id="273"/>
      <w:bookmarkEnd w:id="274"/>
      <w:bookmarkEnd w:id="275"/>
    </w:p>
    <w:p>
      <w:pPr>
        <w:pStyle w:val="4"/>
        <w:rPr>
          <w:rFonts w:hint="eastAsia" w:ascii="黑体" w:hAnsi="黑体" w:eastAsia="黑体" w:cs="黑体"/>
          <w:b w:val="0"/>
          <w:color w:val="auto"/>
          <w:highlight w:val="none"/>
        </w:rPr>
      </w:pPr>
      <w:bookmarkStart w:id="276" w:name="_Toc17510"/>
      <w:bookmarkStart w:id="277" w:name="_Toc15396622"/>
      <w:bookmarkStart w:id="278" w:name="_Toc21815"/>
      <w:r>
        <w:rPr>
          <w:rStyle w:val="21"/>
          <w:rFonts w:hint="eastAsia" w:ascii="黑体" w:hAnsi="黑体" w:eastAsia="黑体" w:cs="黑体"/>
          <w:b w:val="0"/>
          <w:bCs w:val="0"/>
          <w:color w:val="auto"/>
          <w:highlight w:val="none"/>
        </w:rPr>
        <w:t>四、</w:t>
      </w:r>
      <w:r>
        <w:rPr>
          <w:rFonts w:hint="eastAsia" w:ascii="黑体" w:hAnsi="黑体" w:eastAsia="黑体" w:cs="黑体"/>
          <w:b w:val="0"/>
          <w:color w:val="auto"/>
          <w:highlight w:val="none"/>
        </w:rPr>
        <w:t>财</w:t>
      </w:r>
      <w:r>
        <w:rPr>
          <w:rStyle w:val="21"/>
          <w:rFonts w:hint="eastAsia" w:ascii="黑体" w:hAnsi="黑体" w:eastAsia="黑体" w:cs="黑体"/>
          <w:b w:val="0"/>
          <w:bCs w:val="0"/>
          <w:color w:val="auto"/>
          <w:highlight w:val="none"/>
        </w:rPr>
        <w:t>政拨款收入支出决算总表</w:t>
      </w:r>
      <w:bookmarkEnd w:id="276"/>
      <w:bookmarkEnd w:id="277"/>
      <w:bookmarkEnd w:id="278"/>
    </w:p>
    <w:p>
      <w:pPr>
        <w:pStyle w:val="4"/>
        <w:rPr>
          <w:rStyle w:val="21"/>
          <w:rFonts w:hint="eastAsia" w:ascii="黑体" w:hAnsi="黑体" w:eastAsia="黑体" w:cs="黑体"/>
          <w:b w:val="0"/>
          <w:bCs w:val="0"/>
          <w:color w:val="auto"/>
          <w:highlight w:val="none"/>
        </w:rPr>
      </w:pPr>
      <w:bookmarkStart w:id="279" w:name="_Toc15396623"/>
      <w:bookmarkStart w:id="280" w:name="_Toc11336"/>
      <w:bookmarkStart w:id="281" w:name="_Toc13443"/>
      <w:r>
        <w:rPr>
          <w:rStyle w:val="21"/>
          <w:rFonts w:hint="eastAsia" w:ascii="黑体" w:hAnsi="黑体" w:eastAsia="黑体" w:cs="黑体"/>
          <w:b w:val="0"/>
          <w:bCs w:val="0"/>
          <w:color w:val="auto"/>
          <w:highlight w:val="none"/>
        </w:rPr>
        <w:t>五、</w:t>
      </w:r>
      <w:r>
        <w:rPr>
          <w:rFonts w:hint="eastAsia" w:ascii="黑体" w:hAnsi="黑体" w:eastAsia="黑体" w:cs="黑体"/>
          <w:b w:val="0"/>
          <w:color w:val="auto"/>
          <w:highlight w:val="none"/>
        </w:rPr>
        <w:t>财</w:t>
      </w:r>
      <w:r>
        <w:rPr>
          <w:rStyle w:val="21"/>
          <w:rFonts w:hint="eastAsia" w:ascii="黑体" w:hAnsi="黑体" w:eastAsia="黑体" w:cs="黑体"/>
          <w:b w:val="0"/>
          <w:bCs w:val="0"/>
          <w:color w:val="auto"/>
          <w:highlight w:val="none"/>
        </w:rPr>
        <w:t>政拨款支出决算明细表</w:t>
      </w:r>
      <w:bookmarkEnd w:id="279"/>
      <w:bookmarkEnd w:id="280"/>
      <w:bookmarkEnd w:id="281"/>
      <w:bookmarkStart w:id="282" w:name="_Toc15396624"/>
    </w:p>
    <w:p>
      <w:pPr>
        <w:pStyle w:val="4"/>
        <w:rPr>
          <w:rFonts w:hint="eastAsia" w:ascii="黑体" w:hAnsi="黑体" w:eastAsia="黑体" w:cs="黑体"/>
          <w:color w:val="auto"/>
          <w:highlight w:val="none"/>
        </w:rPr>
      </w:pPr>
      <w:bookmarkStart w:id="283" w:name="_Toc29990"/>
      <w:bookmarkStart w:id="284" w:name="_Toc16129"/>
      <w:r>
        <w:rPr>
          <w:rStyle w:val="21"/>
          <w:rFonts w:hint="eastAsia" w:ascii="黑体" w:hAnsi="黑体" w:eastAsia="黑体" w:cs="黑体"/>
          <w:b w:val="0"/>
          <w:bCs w:val="0"/>
          <w:color w:val="auto"/>
          <w:highlight w:val="none"/>
        </w:rPr>
        <w:t>六、</w:t>
      </w:r>
      <w:r>
        <w:rPr>
          <w:rFonts w:hint="eastAsia" w:ascii="黑体" w:hAnsi="黑体" w:eastAsia="黑体" w:cs="黑体"/>
          <w:b w:val="0"/>
          <w:color w:val="auto"/>
          <w:highlight w:val="none"/>
        </w:rPr>
        <w:t>一</w:t>
      </w:r>
      <w:r>
        <w:rPr>
          <w:rStyle w:val="21"/>
          <w:rFonts w:hint="eastAsia" w:ascii="黑体" w:hAnsi="黑体" w:eastAsia="黑体" w:cs="黑体"/>
          <w:b w:val="0"/>
          <w:bCs w:val="0"/>
          <w:color w:val="auto"/>
          <w:highlight w:val="none"/>
        </w:rPr>
        <w:t>般公共预算财政拨款支出决算表</w:t>
      </w:r>
      <w:bookmarkEnd w:id="282"/>
      <w:bookmarkEnd w:id="283"/>
      <w:bookmarkEnd w:id="284"/>
    </w:p>
    <w:p>
      <w:pPr>
        <w:pStyle w:val="4"/>
        <w:rPr>
          <w:rFonts w:hint="eastAsia" w:ascii="黑体" w:hAnsi="黑体" w:eastAsia="黑体" w:cs="黑体"/>
          <w:color w:val="auto"/>
          <w:highlight w:val="none"/>
        </w:rPr>
      </w:pPr>
      <w:bookmarkStart w:id="285" w:name="_Toc8071"/>
      <w:bookmarkStart w:id="286" w:name="_Toc28344"/>
      <w:bookmarkStart w:id="287" w:name="_Toc15396625"/>
      <w:r>
        <w:rPr>
          <w:rStyle w:val="21"/>
          <w:rFonts w:hint="eastAsia" w:ascii="黑体" w:hAnsi="黑体" w:eastAsia="黑体" w:cs="黑体"/>
          <w:b w:val="0"/>
          <w:bCs w:val="0"/>
          <w:color w:val="auto"/>
          <w:highlight w:val="none"/>
        </w:rPr>
        <w:t>七、</w:t>
      </w:r>
      <w:r>
        <w:rPr>
          <w:rFonts w:hint="eastAsia" w:ascii="黑体" w:hAnsi="黑体" w:eastAsia="黑体" w:cs="黑体"/>
          <w:b w:val="0"/>
          <w:color w:val="auto"/>
          <w:highlight w:val="none"/>
        </w:rPr>
        <w:t>一</w:t>
      </w:r>
      <w:r>
        <w:rPr>
          <w:rStyle w:val="21"/>
          <w:rFonts w:hint="eastAsia" w:ascii="黑体" w:hAnsi="黑体" w:eastAsia="黑体" w:cs="黑体"/>
          <w:b w:val="0"/>
          <w:bCs w:val="0"/>
          <w:color w:val="auto"/>
          <w:highlight w:val="none"/>
        </w:rPr>
        <w:t>般公共预算财政拨款支出决算明细表</w:t>
      </w:r>
      <w:bookmarkEnd w:id="285"/>
      <w:bookmarkEnd w:id="286"/>
      <w:bookmarkEnd w:id="287"/>
    </w:p>
    <w:p>
      <w:pPr>
        <w:pStyle w:val="4"/>
        <w:rPr>
          <w:rFonts w:hint="eastAsia" w:ascii="黑体" w:hAnsi="黑体" w:eastAsia="黑体" w:cs="黑体"/>
          <w:color w:val="auto"/>
          <w:highlight w:val="none"/>
        </w:rPr>
      </w:pPr>
      <w:bookmarkStart w:id="288" w:name="_Toc1000"/>
      <w:bookmarkStart w:id="289" w:name="_Toc4841"/>
      <w:bookmarkStart w:id="290" w:name="_Toc15396626"/>
      <w:r>
        <w:rPr>
          <w:rStyle w:val="21"/>
          <w:rFonts w:hint="eastAsia" w:ascii="黑体" w:hAnsi="黑体" w:eastAsia="黑体" w:cs="黑体"/>
          <w:b w:val="0"/>
          <w:bCs w:val="0"/>
          <w:color w:val="auto"/>
          <w:highlight w:val="none"/>
        </w:rPr>
        <w:t>八、</w:t>
      </w:r>
      <w:r>
        <w:rPr>
          <w:rFonts w:hint="eastAsia" w:ascii="黑体" w:hAnsi="黑体" w:eastAsia="黑体" w:cs="黑体"/>
          <w:b w:val="0"/>
          <w:color w:val="auto"/>
          <w:highlight w:val="none"/>
        </w:rPr>
        <w:t>一</w:t>
      </w:r>
      <w:r>
        <w:rPr>
          <w:rStyle w:val="21"/>
          <w:rFonts w:hint="eastAsia" w:ascii="黑体" w:hAnsi="黑体" w:eastAsia="黑体" w:cs="黑体"/>
          <w:b w:val="0"/>
          <w:bCs w:val="0"/>
          <w:color w:val="auto"/>
          <w:highlight w:val="none"/>
        </w:rPr>
        <w:t>般公共预算财政拨款基本支出决算表</w:t>
      </w:r>
      <w:bookmarkEnd w:id="288"/>
      <w:bookmarkEnd w:id="289"/>
      <w:bookmarkEnd w:id="290"/>
    </w:p>
    <w:p>
      <w:pPr>
        <w:pStyle w:val="4"/>
        <w:rPr>
          <w:rFonts w:hint="eastAsia" w:ascii="黑体" w:hAnsi="黑体" w:eastAsia="黑体" w:cs="黑体"/>
          <w:color w:val="auto"/>
          <w:highlight w:val="none"/>
        </w:rPr>
      </w:pPr>
      <w:bookmarkStart w:id="291" w:name="_Toc5356"/>
      <w:bookmarkStart w:id="292" w:name="_Toc27014"/>
      <w:bookmarkStart w:id="293" w:name="_Toc15396627"/>
      <w:r>
        <w:rPr>
          <w:rStyle w:val="21"/>
          <w:rFonts w:hint="eastAsia" w:ascii="黑体" w:hAnsi="黑体" w:eastAsia="黑体" w:cs="黑体"/>
          <w:b w:val="0"/>
          <w:bCs w:val="0"/>
          <w:color w:val="auto"/>
          <w:highlight w:val="none"/>
        </w:rPr>
        <w:t>九、</w:t>
      </w:r>
      <w:r>
        <w:rPr>
          <w:rFonts w:hint="eastAsia" w:ascii="黑体" w:hAnsi="黑体" w:eastAsia="黑体" w:cs="黑体"/>
          <w:b w:val="0"/>
          <w:color w:val="auto"/>
          <w:highlight w:val="none"/>
        </w:rPr>
        <w:t>一</w:t>
      </w:r>
      <w:r>
        <w:rPr>
          <w:rStyle w:val="21"/>
          <w:rFonts w:hint="eastAsia" w:ascii="黑体" w:hAnsi="黑体" w:eastAsia="黑体" w:cs="黑体"/>
          <w:b w:val="0"/>
          <w:bCs w:val="0"/>
          <w:color w:val="auto"/>
          <w:highlight w:val="none"/>
        </w:rPr>
        <w:t>般公共预算财政拨款项目支出决算表</w:t>
      </w:r>
      <w:bookmarkEnd w:id="291"/>
      <w:bookmarkEnd w:id="292"/>
      <w:bookmarkEnd w:id="293"/>
    </w:p>
    <w:p>
      <w:pPr>
        <w:pStyle w:val="4"/>
        <w:rPr>
          <w:rFonts w:hint="eastAsia" w:ascii="黑体" w:hAnsi="黑体" w:eastAsia="黑体" w:cs="黑体"/>
          <w:color w:val="auto"/>
          <w:highlight w:val="none"/>
        </w:rPr>
      </w:pPr>
      <w:bookmarkStart w:id="294" w:name="_Toc15396628"/>
      <w:bookmarkStart w:id="295" w:name="_Toc11606"/>
      <w:bookmarkStart w:id="296" w:name="_Toc17554"/>
      <w:r>
        <w:rPr>
          <w:rStyle w:val="21"/>
          <w:rFonts w:hint="eastAsia" w:ascii="黑体" w:hAnsi="黑体" w:eastAsia="黑体" w:cs="黑体"/>
          <w:b w:val="0"/>
          <w:bCs w:val="0"/>
          <w:color w:val="auto"/>
          <w:highlight w:val="none"/>
        </w:rPr>
        <w:t>十、</w:t>
      </w:r>
      <w:bookmarkEnd w:id="294"/>
      <w:r>
        <w:rPr>
          <w:rFonts w:hint="eastAsia" w:ascii="黑体" w:hAnsi="黑体" w:eastAsia="黑体" w:cs="黑体"/>
          <w:b w:val="0"/>
          <w:color w:val="auto"/>
          <w:highlight w:val="none"/>
        </w:rPr>
        <w:t>政</w:t>
      </w:r>
      <w:r>
        <w:rPr>
          <w:rStyle w:val="21"/>
          <w:rFonts w:hint="eastAsia" w:ascii="黑体" w:hAnsi="黑体" w:eastAsia="黑体" w:cs="黑体"/>
          <w:b w:val="0"/>
          <w:bCs w:val="0"/>
          <w:color w:val="auto"/>
          <w:highlight w:val="none"/>
        </w:rPr>
        <w:t>府性基金预算财政拨款收入支出决算表</w:t>
      </w:r>
      <w:bookmarkEnd w:id="295"/>
      <w:bookmarkEnd w:id="296"/>
    </w:p>
    <w:p>
      <w:pPr>
        <w:pStyle w:val="4"/>
        <w:rPr>
          <w:rFonts w:hint="eastAsia" w:ascii="黑体" w:hAnsi="黑体" w:eastAsia="黑体" w:cs="黑体"/>
          <w:color w:val="auto"/>
          <w:highlight w:val="none"/>
        </w:rPr>
      </w:pPr>
      <w:bookmarkStart w:id="297" w:name="_Toc15396629"/>
      <w:bookmarkStart w:id="298" w:name="_Toc12263"/>
      <w:bookmarkStart w:id="299" w:name="_Toc23928"/>
      <w:r>
        <w:rPr>
          <w:rStyle w:val="21"/>
          <w:rFonts w:hint="eastAsia" w:ascii="黑体" w:hAnsi="黑体" w:eastAsia="黑体" w:cs="黑体"/>
          <w:b w:val="0"/>
          <w:bCs w:val="0"/>
          <w:color w:val="auto"/>
          <w:highlight w:val="none"/>
        </w:rPr>
        <w:t>十一、</w:t>
      </w:r>
      <w:bookmarkEnd w:id="297"/>
      <w:r>
        <w:rPr>
          <w:rFonts w:hint="eastAsia" w:ascii="黑体" w:hAnsi="黑体" w:eastAsia="黑体" w:cs="黑体"/>
          <w:b w:val="0"/>
          <w:color w:val="auto"/>
          <w:highlight w:val="none"/>
        </w:rPr>
        <w:t>国</w:t>
      </w:r>
      <w:r>
        <w:rPr>
          <w:rStyle w:val="21"/>
          <w:rFonts w:hint="eastAsia" w:ascii="黑体" w:hAnsi="黑体" w:eastAsia="黑体" w:cs="黑体"/>
          <w:b w:val="0"/>
          <w:bCs w:val="0"/>
          <w:color w:val="auto"/>
          <w:highlight w:val="none"/>
        </w:rPr>
        <w:t>有资本经营预算</w:t>
      </w:r>
      <w:r>
        <w:rPr>
          <w:rStyle w:val="21"/>
          <w:rFonts w:hint="eastAsia" w:ascii="黑体" w:hAnsi="黑体" w:eastAsia="黑体" w:cs="黑体"/>
          <w:b w:val="0"/>
          <w:bCs w:val="0"/>
          <w:color w:val="auto"/>
          <w:highlight w:val="none"/>
          <w:lang w:eastAsia="zh-CN"/>
        </w:rPr>
        <w:t>财政拨款收入</w:t>
      </w:r>
      <w:r>
        <w:rPr>
          <w:rStyle w:val="21"/>
          <w:rFonts w:hint="eastAsia" w:ascii="黑体" w:hAnsi="黑体" w:eastAsia="黑体" w:cs="黑体"/>
          <w:b w:val="0"/>
          <w:bCs w:val="0"/>
          <w:color w:val="auto"/>
          <w:highlight w:val="none"/>
        </w:rPr>
        <w:t>支出决算表</w:t>
      </w:r>
      <w:bookmarkEnd w:id="298"/>
      <w:bookmarkEnd w:id="299"/>
    </w:p>
    <w:p>
      <w:pPr>
        <w:pStyle w:val="4"/>
        <w:rPr>
          <w:rFonts w:hint="eastAsia" w:ascii="黑体" w:hAnsi="黑体" w:eastAsia="黑体" w:cs="黑体"/>
          <w:color w:val="auto"/>
          <w:highlight w:val="none"/>
        </w:rPr>
      </w:pPr>
      <w:bookmarkStart w:id="300" w:name="_Toc15396630"/>
      <w:bookmarkStart w:id="301" w:name="_Toc152"/>
      <w:bookmarkStart w:id="302" w:name="_Toc31289"/>
      <w:r>
        <w:rPr>
          <w:rStyle w:val="21"/>
          <w:rFonts w:hint="eastAsia" w:ascii="黑体" w:hAnsi="黑体" w:eastAsia="黑体" w:cs="黑体"/>
          <w:b w:val="0"/>
          <w:bCs w:val="0"/>
          <w:color w:val="auto"/>
          <w:highlight w:val="none"/>
        </w:rPr>
        <w:t>十二、</w:t>
      </w:r>
      <w:bookmarkEnd w:id="300"/>
      <w:r>
        <w:rPr>
          <w:rStyle w:val="21"/>
          <w:rFonts w:hint="eastAsia" w:ascii="黑体" w:hAnsi="黑体" w:eastAsia="黑体" w:cs="黑体"/>
          <w:b w:val="0"/>
          <w:bCs w:val="0"/>
          <w:color w:val="auto"/>
          <w:highlight w:val="none"/>
          <w:lang w:eastAsia="zh-CN"/>
        </w:rPr>
        <w:t>国有资本经营预算财政拨款支出决算表</w:t>
      </w:r>
      <w:bookmarkEnd w:id="301"/>
      <w:bookmarkEnd w:id="302"/>
    </w:p>
    <w:p>
      <w:pPr>
        <w:pStyle w:val="4"/>
        <w:rPr>
          <w:rFonts w:hint="eastAsia" w:ascii="黑体" w:hAnsi="黑体" w:eastAsia="黑体" w:cs="黑体"/>
          <w:color w:val="auto"/>
          <w:highlight w:val="none"/>
          <w:lang w:eastAsia="zh-CN"/>
        </w:rPr>
      </w:pPr>
      <w:bookmarkStart w:id="303" w:name="_Toc15396631"/>
      <w:bookmarkStart w:id="304" w:name="_Toc18932"/>
      <w:bookmarkStart w:id="305" w:name="_Toc17637"/>
      <w:r>
        <w:rPr>
          <w:rStyle w:val="21"/>
          <w:rFonts w:hint="eastAsia" w:ascii="黑体" w:hAnsi="黑体" w:eastAsia="黑体" w:cs="黑体"/>
          <w:b w:val="0"/>
          <w:bCs w:val="0"/>
          <w:color w:val="auto"/>
          <w:highlight w:val="none"/>
        </w:rPr>
        <w:t>十三、</w:t>
      </w:r>
      <w:bookmarkEnd w:id="303"/>
      <w:r>
        <w:rPr>
          <w:rStyle w:val="21"/>
          <w:rFonts w:hint="eastAsia" w:ascii="黑体" w:hAnsi="黑体" w:eastAsia="黑体" w:cs="黑体"/>
          <w:b w:val="0"/>
          <w:bCs w:val="0"/>
          <w:color w:val="auto"/>
          <w:highlight w:val="none"/>
          <w:lang w:eastAsia="zh-CN"/>
        </w:rPr>
        <w:t>财政拨款“三公”经费支出决算表</w:t>
      </w:r>
      <w:bookmarkEnd w:id="304"/>
      <w:bookmarkEnd w:id="305"/>
    </w:p>
    <w:sectPr>
      <w:headerReference r:id="rId5" w:type="default"/>
      <w:footerReference r:id="rId6"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4U2Rn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4U2RneAgAAJgYAAA4AAAAAAAAAAQAgAAAAHwEAAGRycy9lMm9Eb2MueG1sUEsF&#10;BgAAAAAGAAYAWQEAAG8G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BD1F3"/>
    <w:multiLevelType w:val="singleLevel"/>
    <w:tmpl w:val="972BD1F3"/>
    <w:lvl w:ilvl="0" w:tentative="0">
      <w:start w:val="1"/>
      <w:numFmt w:val="chineseCounting"/>
      <w:suff w:val="nothing"/>
      <w:lvlText w:val="（%1）"/>
      <w:lvlJc w:val="left"/>
      <w:rPr>
        <w:rFonts w:hint="eastAsia"/>
      </w:rPr>
    </w:lvl>
  </w:abstractNum>
  <w:abstractNum w:abstractNumId="1">
    <w:nsid w:val="B2D9454A"/>
    <w:multiLevelType w:val="singleLevel"/>
    <w:tmpl w:val="B2D9454A"/>
    <w:lvl w:ilvl="0" w:tentative="0">
      <w:start w:val="2"/>
      <w:numFmt w:val="chineseCounting"/>
      <w:suff w:val="nothing"/>
      <w:lvlText w:val="（%1）"/>
      <w:lvlJc w:val="left"/>
      <w:rPr>
        <w:rFonts w:hint="eastAsia"/>
      </w:rPr>
    </w:lvl>
  </w:abstractNum>
  <w:abstractNum w:abstractNumId="2">
    <w:nsid w:val="B71EE2C3"/>
    <w:multiLevelType w:val="singleLevel"/>
    <w:tmpl w:val="B71EE2C3"/>
    <w:lvl w:ilvl="0" w:tentative="0">
      <w:start w:val="2"/>
      <w:numFmt w:val="chineseCounting"/>
      <w:suff w:val="nothing"/>
      <w:lvlText w:val="%1、"/>
      <w:lvlJc w:val="left"/>
      <w:rPr>
        <w:rFonts w:hint="eastAsia"/>
      </w:rPr>
    </w:lvl>
  </w:abstractNum>
  <w:abstractNum w:abstractNumId="3">
    <w:nsid w:val="C69E1F43"/>
    <w:multiLevelType w:val="singleLevel"/>
    <w:tmpl w:val="C69E1F43"/>
    <w:lvl w:ilvl="0" w:tentative="0">
      <w:start w:val="2"/>
      <w:numFmt w:val="chineseCounting"/>
      <w:suff w:val="space"/>
      <w:lvlText w:val="第%1部分"/>
      <w:lvlJc w:val="left"/>
      <w:rPr>
        <w:rFonts w:hint="eastAsia"/>
      </w:rPr>
    </w:lvl>
  </w:abstractNum>
  <w:abstractNum w:abstractNumId="4">
    <w:nsid w:val="CF652CEC"/>
    <w:multiLevelType w:val="singleLevel"/>
    <w:tmpl w:val="CF652CEC"/>
    <w:lvl w:ilvl="0" w:tentative="0">
      <w:start w:val="9"/>
      <w:numFmt w:val="chineseCounting"/>
      <w:suff w:val="nothing"/>
      <w:lvlText w:val="%1、"/>
      <w:lvlJc w:val="left"/>
      <w:rPr>
        <w:rFonts w:hint="eastAsia"/>
      </w:rPr>
    </w:lvl>
  </w:abstractNum>
  <w:abstractNum w:abstractNumId="5">
    <w:nsid w:val="D980DE3E"/>
    <w:multiLevelType w:val="singleLevel"/>
    <w:tmpl w:val="D980DE3E"/>
    <w:lvl w:ilvl="0" w:tentative="0">
      <w:start w:val="2"/>
      <w:numFmt w:val="chineseCounting"/>
      <w:suff w:val="nothing"/>
      <w:lvlText w:val="（%1）"/>
      <w:lvlJc w:val="left"/>
      <w:rPr>
        <w:rFonts w:hint="eastAsia"/>
      </w:rPr>
    </w:lvl>
  </w:abstractNum>
  <w:abstractNum w:abstractNumId="6">
    <w:nsid w:val="DEBEF323"/>
    <w:multiLevelType w:val="singleLevel"/>
    <w:tmpl w:val="DEBEF323"/>
    <w:lvl w:ilvl="0" w:tentative="0">
      <w:start w:val="4"/>
      <w:numFmt w:val="chineseCounting"/>
      <w:suff w:val="nothing"/>
      <w:lvlText w:val="（%1）"/>
      <w:lvlJc w:val="left"/>
      <w:rPr>
        <w:rFonts w:hint="eastAsia"/>
      </w:rPr>
    </w:lvl>
  </w:abstractNum>
  <w:abstractNum w:abstractNumId="7">
    <w:nsid w:val="E1CF000C"/>
    <w:multiLevelType w:val="singleLevel"/>
    <w:tmpl w:val="E1CF000C"/>
    <w:lvl w:ilvl="0" w:tentative="0">
      <w:start w:val="1"/>
      <w:numFmt w:val="chineseCounting"/>
      <w:suff w:val="nothing"/>
      <w:lvlText w:val="（%1）"/>
      <w:lvlJc w:val="left"/>
      <w:rPr>
        <w:rFonts w:hint="eastAsia"/>
      </w:rPr>
    </w:lvl>
  </w:abstractNum>
  <w:abstractNum w:abstractNumId="8">
    <w:nsid w:val="E2FA047D"/>
    <w:multiLevelType w:val="singleLevel"/>
    <w:tmpl w:val="E2FA047D"/>
    <w:lvl w:ilvl="0" w:tentative="0">
      <w:start w:val="3"/>
      <w:numFmt w:val="chineseCounting"/>
      <w:suff w:val="space"/>
      <w:lvlText w:val="第%1部分"/>
      <w:lvlJc w:val="left"/>
      <w:rPr>
        <w:rFonts w:hint="eastAsia"/>
      </w:rPr>
    </w:lvl>
  </w:abstractNum>
  <w:abstractNum w:abstractNumId="9">
    <w:nsid w:val="FBFF4FAC"/>
    <w:multiLevelType w:val="singleLevel"/>
    <w:tmpl w:val="FBFF4FAC"/>
    <w:lvl w:ilvl="0" w:tentative="0">
      <w:start w:val="2"/>
      <w:numFmt w:val="decimal"/>
      <w:suff w:val="nothing"/>
      <w:lvlText w:val="%1．"/>
      <w:lvlJc w:val="left"/>
      <w:rPr>
        <w:rFonts w:hint="default"/>
        <w:color w:val="auto"/>
      </w:rPr>
    </w:lvl>
  </w:abstractNum>
  <w:abstractNum w:abstractNumId="10">
    <w:nsid w:val="FFF674BC"/>
    <w:multiLevelType w:val="singleLevel"/>
    <w:tmpl w:val="FFF674BC"/>
    <w:lvl w:ilvl="0" w:tentative="0">
      <w:start w:val="1"/>
      <w:numFmt w:val="chineseCounting"/>
      <w:suff w:val="nothing"/>
      <w:lvlText w:val="%1、"/>
      <w:lvlJc w:val="left"/>
      <w:rPr>
        <w:rFonts w:hint="eastAsia"/>
      </w:rPr>
    </w:lvl>
  </w:abstractNum>
  <w:abstractNum w:abstractNumId="11">
    <w:nsid w:val="04AA9F1A"/>
    <w:multiLevelType w:val="singleLevel"/>
    <w:tmpl w:val="04AA9F1A"/>
    <w:lvl w:ilvl="0" w:tentative="0">
      <w:start w:val="1"/>
      <w:numFmt w:val="chineseCounting"/>
      <w:suff w:val="nothing"/>
      <w:lvlText w:val="%1、"/>
      <w:lvlJc w:val="left"/>
      <w:rPr>
        <w:rFonts w:hint="eastAsia"/>
      </w:rPr>
    </w:lvl>
  </w:abstractNum>
  <w:abstractNum w:abstractNumId="1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3">
    <w:nsid w:val="2F6A8BC6"/>
    <w:multiLevelType w:val="singleLevel"/>
    <w:tmpl w:val="2F6A8BC6"/>
    <w:lvl w:ilvl="0" w:tentative="0">
      <w:start w:val="3"/>
      <w:numFmt w:val="chineseCounting"/>
      <w:suff w:val="nothing"/>
      <w:lvlText w:val="（%1）"/>
      <w:lvlJc w:val="left"/>
      <w:pPr>
        <w:ind w:left="800" w:leftChars="0" w:firstLine="0" w:firstLineChars="0"/>
      </w:pPr>
      <w:rPr>
        <w:rFonts w:hint="eastAsia"/>
      </w:rPr>
    </w:lvl>
  </w:abstractNum>
  <w:abstractNum w:abstractNumId="14">
    <w:nsid w:val="5EC4E8E6"/>
    <w:multiLevelType w:val="singleLevel"/>
    <w:tmpl w:val="5EC4E8E6"/>
    <w:lvl w:ilvl="0" w:tentative="0">
      <w:start w:val="10"/>
      <w:numFmt w:val="decimal"/>
      <w:lvlText w:val="%1."/>
      <w:lvlJc w:val="left"/>
      <w:pPr>
        <w:tabs>
          <w:tab w:val="left" w:pos="312"/>
        </w:tabs>
      </w:pPr>
    </w:lvl>
  </w:abstractNum>
  <w:num w:numId="1">
    <w:abstractNumId w:val="11"/>
  </w:num>
  <w:num w:numId="2">
    <w:abstractNumId w:val="3"/>
  </w:num>
  <w:num w:numId="3">
    <w:abstractNumId w:val="12"/>
  </w:num>
  <w:num w:numId="4">
    <w:abstractNumId w:val="4"/>
  </w:num>
  <w:num w:numId="5">
    <w:abstractNumId w:val="8"/>
  </w:num>
  <w:num w:numId="6">
    <w:abstractNumId w:val="10"/>
  </w:num>
  <w:num w:numId="7">
    <w:abstractNumId w:val="0"/>
  </w:num>
  <w:num w:numId="8">
    <w:abstractNumId w:val="14"/>
  </w:num>
  <w:num w:numId="9">
    <w:abstractNumId w:val="5"/>
  </w:num>
  <w:num w:numId="10">
    <w:abstractNumId w:val="6"/>
  </w:num>
  <w:num w:numId="11">
    <w:abstractNumId w:val="1"/>
  </w:num>
  <w:num w:numId="12">
    <w:abstractNumId w:val="9"/>
  </w:num>
  <w:num w:numId="13">
    <w:abstractNumId w:val="2"/>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ODE3Y2RjYmYxOTA5MjMwNGM5NjQ4OTIyZjY2Zm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9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5FA9"/>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D79DA"/>
    <w:rsid w:val="00CE44F6"/>
    <w:rsid w:val="00CE49DA"/>
    <w:rsid w:val="00CE7B61"/>
    <w:rsid w:val="00D00095"/>
    <w:rsid w:val="00D01278"/>
    <w:rsid w:val="00D114F0"/>
    <w:rsid w:val="00D20620"/>
    <w:rsid w:val="00D254F7"/>
    <w:rsid w:val="00D26091"/>
    <w:rsid w:val="00D2685C"/>
    <w:rsid w:val="00D34E7C"/>
    <w:rsid w:val="00D35489"/>
    <w:rsid w:val="00D36AFE"/>
    <w:rsid w:val="00D51276"/>
    <w:rsid w:val="00D7035F"/>
    <w:rsid w:val="00D9637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605AA"/>
    <w:rsid w:val="012228EE"/>
    <w:rsid w:val="012515C4"/>
    <w:rsid w:val="012670EA"/>
    <w:rsid w:val="015975B8"/>
    <w:rsid w:val="01804A4C"/>
    <w:rsid w:val="01934780"/>
    <w:rsid w:val="019A460B"/>
    <w:rsid w:val="01A544B3"/>
    <w:rsid w:val="01C012ED"/>
    <w:rsid w:val="01D408F4"/>
    <w:rsid w:val="02033711"/>
    <w:rsid w:val="02143E91"/>
    <w:rsid w:val="023A4BFB"/>
    <w:rsid w:val="027C16B8"/>
    <w:rsid w:val="02A46519"/>
    <w:rsid w:val="02EE59E6"/>
    <w:rsid w:val="03391357"/>
    <w:rsid w:val="034A5312"/>
    <w:rsid w:val="038B1487"/>
    <w:rsid w:val="042A0CA0"/>
    <w:rsid w:val="04460794"/>
    <w:rsid w:val="04531FA4"/>
    <w:rsid w:val="04AE18D1"/>
    <w:rsid w:val="04B844FD"/>
    <w:rsid w:val="04CE5F5E"/>
    <w:rsid w:val="04D255BF"/>
    <w:rsid w:val="04F3135D"/>
    <w:rsid w:val="05263B5D"/>
    <w:rsid w:val="05290F57"/>
    <w:rsid w:val="05946D18"/>
    <w:rsid w:val="05A401A4"/>
    <w:rsid w:val="05C60398"/>
    <w:rsid w:val="05D610DF"/>
    <w:rsid w:val="061834A6"/>
    <w:rsid w:val="066E0107"/>
    <w:rsid w:val="068B1EC9"/>
    <w:rsid w:val="069441EC"/>
    <w:rsid w:val="075909C0"/>
    <w:rsid w:val="07996F6E"/>
    <w:rsid w:val="07B94814"/>
    <w:rsid w:val="07C82CA9"/>
    <w:rsid w:val="07EA70C4"/>
    <w:rsid w:val="080D690E"/>
    <w:rsid w:val="081B102B"/>
    <w:rsid w:val="085B5738"/>
    <w:rsid w:val="08624EAC"/>
    <w:rsid w:val="0869448C"/>
    <w:rsid w:val="08A92ADB"/>
    <w:rsid w:val="08CB7618"/>
    <w:rsid w:val="08E104C7"/>
    <w:rsid w:val="08F24482"/>
    <w:rsid w:val="08FA1588"/>
    <w:rsid w:val="09000221"/>
    <w:rsid w:val="093856BA"/>
    <w:rsid w:val="09652EA6"/>
    <w:rsid w:val="0969226A"/>
    <w:rsid w:val="098E3229"/>
    <w:rsid w:val="099472E7"/>
    <w:rsid w:val="09A137B2"/>
    <w:rsid w:val="0A081A83"/>
    <w:rsid w:val="0A2032A3"/>
    <w:rsid w:val="0A5B6057"/>
    <w:rsid w:val="0A9652E1"/>
    <w:rsid w:val="0AC57974"/>
    <w:rsid w:val="0B5A630E"/>
    <w:rsid w:val="0B674587"/>
    <w:rsid w:val="0B867103"/>
    <w:rsid w:val="0B9417BC"/>
    <w:rsid w:val="0B981793"/>
    <w:rsid w:val="0BD94D0C"/>
    <w:rsid w:val="0C2B45A8"/>
    <w:rsid w:val="0C7E7DDA"/>
    <w:rsid w:val="0CB35CD6"/>
    <w:rsid w:val="0CEC2F96"/>
    <w:rsid w:val="0CF10A09"/>
    <w:rsid w:val="0D562B05"/>
    <w:rsid w:val="0D892EDB"/>
    <w:rsid w:val="0DB53CD0"/>
    <w:rsid w:val="0DFA7935"/>
    <w:rsid w:val="0E124C7E"/>
    <w:rsid w:val="0E1B7FD7"/>
    <w:rsid w:val="0EA305C9"/>
    <w:rsid w:val="0EAB3DCA"/>
    <w:rsid w:val="0EEE56EB"/>
    <w:rsid w:val="0EFE3455"/>
    <w:rsid w:val="0F4A0448"/>
    <w:rsid w:val="0F98263C"/>
    <w:rsid w:val="101860EC"/>
    <w:rsid w:val="10710382"/>
    <w:rsid w:val="108F5D13"/>
    <w:rsid w:val="10AB4F16"/>
    <w:rsid w:val="10B22749"/>
    <w:rsid w:val="10C055FF"/>
    <w:rsid w:val="113D2012"/>
    <w:rsid w:val="1159304B"/>
    <w:rsid w:val="117A5014"/>
    <w:rsid w:val="118107EC"/>
    <w:rsid w:val="11930590"/>
    <w:rsid w:val="11FA5B6F"/>
    <w:rsid w:val="124949E7"/>
    <w:rsid w:val="128817A8"/>
    <w:rsid w:val="12C47C8B"/>
    <w:rsid w:val="1336140F"/>
    <w:rsid w:val="135F0966"/>
    <w:rsid w:val="1367781A"/>
    <w:rsid w:val="13D50BC4"/>
    <w:rsid w:val="13D824C6"/>
    <w:rsid w:val="13F15336"/>
    <w:rsid w:val="14F275B8"/>
    <w:rsid w:val="153F3306"/>
    <w:rsid w:val="154D0C92"/>
    <w:rsid w:val="156C1118"/>
    <w:rsid w:val="156C55BC"/>
    <w:rsid w:val="157926D5"/>
    <w:rsid w:val="158A3C94"/>
    <w:rsid w:val="159A6FF2"/>
    <w:rsid w:val="15D373E9"/>
    <w:rsid w:val="16145EB2"/>
    <w:rsid w:val="169C3C7F"/>
    <w:rsid w:val="16B077F9"/>
    <w:rsid w:val="16BB723D"/>
    <w:rsid w:val="17017F86"/>
    <w:rsid w:val="171001C9"/>
    <w:rsid w:val="17A4103D"/>
    <w:rsid w:val="184C3483"/>
    <w:rsid w:val="185B3151"/>
    <w:rsid w:val="18736C61"/>
    <w:rsid w:val="193E2DCB"/>
    <w:rsid w:val="198A4263"/>
    <w:rsid w:val="19B80DD0"/>
    <w:rsid w:val="1A3D12D5"/>
    <w:rsid w:val="1A5D25F8"/>
    <w:rsid w:val="1A846F04"/>
    <w:rsid w:val="1ABD2416"/>
    <w:rsid w:val="1BB83309"/>
    <w:rsid w:val="1BD6378F"/>
    <w:rsid w:val="1BE8440E"/>
    <w:rsid w:val="1C204A0A"/>
    <w:rsid w:val="1C382C8E"/>
    <w:rsid w:val="1C5F3784"/>
    <w:rsid w:val="1C6E39C8"/>
    <w:rsid w:val="1CC47A8B"/>
    <w:rsid w:val="1CCC4B92"/>
    <w:rsid w:val="1CDB0CDC"/>
    <w:rsid w:val="1D155CEE"/>
    <w:rsid w:val="1D1C4669"/>
    <w:rsid w:val="1D8A4831"/>
    <w:rsid w:val="1D9B7AAB"/>
    <w:rsid w:val="1DBE272D"/>
    <w:rsid w:val="1DCC309C"/>
    <w:rsid w:val="1DD67A76"/>
    <w:rsid w:val="1E026ABD"/>
    <w:rsid w:val="1E0C16EA"/>
    <w:rsid w:val="1E0D2131"/>
    <w:rsid w:val="1E8E0351"/>
    <w:rsid w:val="1E9811D0"/>
    <w:rsid w:val="1EA47B74"/>
    <w:rsid w:val="1EB10E9D"/>
    <w:rsid w:val="1F325180"/>
    <w:rsid w:val="1F332CA6"/>
    <w:rsid w:val="1F770DE5"/>
    <w:rsid w:val="1FA140B4"/>
    <w:rsid w:val="1FDF698A"/>
    <w:rsid w:val="1FF35744"/>
    <w:rsid w:val="200F7270"/>
    <w:rsid w:val="2040567B"/>
    <w:rsid w:val="207672EF"/>
    <w:rsid w:val="20EA3839"/>
    <w:rsid w:val="21556F04"/>
    <w:rsid w:val="21D50045"/>
    <w:rsid w:val="21ED538F"/>
    <w:rsid w:val="22DD5403"/>
    <w:rsid w:val="2329689A"/>
    <w:rsid w:val="237815D0"/>
    <w:rsid w:val="23860B96"/>
    <w:rsid w:val="23865A9B"/>
    <w:rsid w:val="2389558B"/>
    <w:rsid w:val="239F090A"/>
    <w:rsid w:val="23B73EA6"/>
    <w:rsid w:val="23C12F77"/>
    <w:rsid w:val="23D031BA"/>
    <w:rsid w:val="240371BF"/>
    <w:rsid w:val="24155071"/>
    <w:rsid w:val="24170DE9"/>
    <w:rsid w:val="241855E7"/>
    <w:rsid w:val="243279D1"/>
    <w:rsid w:val="2443398C"/>
    <w:rsid w:val="24561911"/>
    <w:rsid w:val="248A15BB"/>
    <w:rsid w:val="24F46A34"/>
    <w:rsid w:val="25072C0B"/>
    <w:rsid w:val="252E1312"/>
    <w:rsid w:val="25341526"/>
    <w:rsid w:val="256E2C8A"/>
    <w:rsid w:val="25B83F05"/>
    <w:rsid w:val="25CE197B"/>
    <w:rsid w:val="26543C2E"/>
    <w:rsid w:val="26681488"/>
    <w:rsid w:val="268C786C"/>
    <w:rsid w:val="26C26CF7"/>
    <w:rsid w:val="26D20FF7"/>
    <w:rsid w:val="26D33207"/>
    <w:rsid w:val="271E5FEA"/>
    <w:rsid w:val="27455C6D"/>
    <w:rsid w:val="27604855"/>
    <w:rsid w:val="27765E26"/>
    <w:rsid w:val="27983FEE"/>
    <w:rsid w:val="27A6670B"/>
    <w:rsid w:val="27C9064C"/>
    <w:rsid w:val="27CC1EEA"/>
    <w:rsid w:val="27EE1E60"/>
    <w:rsid w:val="27F959C7"/>
    <w:rsid w:val="283F03EB"/>
    <w:rsid w:val="28445F24"/>
    <w:rsid w:val="288307FB"/>
    <w:rsid w:val="289447B6"/>
    <w:rsid w:val="28A32C4B"/>
    <w:rsid w:val="28E31299"/>
    <w:rsid w:val="28E44227"/>
    <w:rsid w:val="290C6A42"/>
    <w:rsid w:val="292024ED"/>
    <w:rsid w:val="292A511A"/>
    <w:rsid w:val="298130FF"/>
    <w:rsid w:val="29FD04D3"/>
    <w:rsid w:val="2A1C0F07"/>
    <w:rsid w:val="2A8650E5"/>
    <w:rsid w:val="2A9F38E6"/>
    <w:rsid w:val="2B0C2313"/>
    <w:rsid w:val="2BA26157"/>
    <w:rsid w:val="2C2B3683"/>
    <w:rsid w:val="2C581F9E"/>
    <w:rsid w:val="2C6941AB"/>
    <w:rsid w:val="2C8A61B5"/>
    <w:rsid w:val="2CD05FD9"/>
    <w:rsid w:val="2D1934DC"/>
    <w:rsid w:val="2D4D7629"/>
    <w:rsid w:val="2D8E211C"/>
    <w:rsid w:val="2D99461C"/>
    <w:rsid w:val="2D9D235F"/>
    <w:rsid w:val="2DB24B95"/>
    <w:rsid w:val="2DEF06E0"/>
    <w:rsid w:val="2DF04E50"/>
    <w:rsid w:val="2E732D46"/>
    <w:rsid w:val="2EED10C4"/>
    <w:rsid w:val="2F040D46"/>
    <w:rsid w:val="2F835584"/>
    <w:rsid w:val="2F8D01B1"/>
    <w:rsid w:val="2F8F217B"/>
    <w:rsid w:val="2F971030"/>
    <w:rsid w:val="2FB67708"/>
    <w:rsid w:val="2FEF6776"/>
    <w:rsid w:val="30000983"/>
    <w:rsid w:val="303F66E2"/>
    <w:rsid w:val="304E33EE"/>
    <w:rsid w:val="305F0957"/>
    <w:rsid w:val="306D4B10"/>
    <w:rsid w:val="307F5D4C"/>
    <w:rsid w:val="30D81900"/>
    <w:rsid w:val="31077AEF"/>
    <w:rsid w:val="31615451"/>
    <w:rsid w:val="31682C84"/>
    <w:rsid w:val="316F3CF2"/>
    <w:rsid w:val="318D31E8"/>
    <w:rsid w:val="319F7F4E"/>
    <w:rsid w:val="31F6203D"/>
    <w:rsid w:val="32132BEF"/>
    <w:rsid w:val="32313075"/>
    <w:rsid w:val="323C70FE"/>
    <w:rsid w:val="325B4596"/>
    <w:rsid w:val="32A9493D"/>
    <w:rsid w:val="32B31CDC"/>
    <w:rsid w:val="3304709D"/>
    <w:rsid w:val="336456CD"/>
    <w:rsid w:val="33E525E4"/>
    <w:rsid w:val="34030A42"/>
    <w:rsid w:val="344C23E9"/>
    <w:rsid w:val="34824267"/>
    <w:rsid w:val="348953EB"/>
    <w:rsid w:val="34F12F90"/>
    <w:rsid w:val="3507783C"/>
    <w:rsid w:val="35487054"/>
    <w:rsid w:val="35D73F34"/>
    <w:rsid w:val="35E13004"/>
    <w:rsid w:val="3619279E"/>
    <w:rsid w:val="361C403D"/>
    <w:rsid w:val="367B5207"/>
    <w:rsid w:val="36AA5135"/>
    <w:rsid w:val="376D39B2"/>
    <w:rsid w:val="37946560"/>
    <w:rsid w:val="37E16F03"/>
    <w:rsid w:val="381B0A50"/>
    <w:rsid w:val="381B27FE"/>
    <w:rsid w:val="38A722E3"/>
    <w:rsid w:val="38AA5930"/>
    <w:rsid w:val="38BE762D"/>
    <w:rsid w:val="38D469F0"/>
    <w:rsid w:val="38DA7095"/>
    <w:rsid w:val="39331DC9"/>
    <w:rsid w:val="39407FC8"/>
    <w:rsid w:val="39581830"/>
    <w:rsid w:val="398C14D9"/>
    <w:rsid w:val="39C15E32"/>
    <w:rsid w:val="39F24BDE"/>
    <w:rsid w:val="3A1F234D"/>
    <w:rsid w:val="3A325BDD"/>
    <w:rsid w:val="3A6F5083"/>
    <w:rsid w:val="3AC32A70"/>
    <w:rsid w:val="3AE07C06"/>
    <w:rsid w:val="3B3B7B44"/>
    <w:rsid w:val="3B9003B3"/>
    <w:rsid w:val="3BC92571"/>
    <w:rsid w:val="3BD31641"/>
    <w:rsid w:val="3C225D0A"/>
    <w:rsid w:val="3C53008C"/>
    <w:rsid w:val="3C664263"/>
    <w:rsid w:val="3D98207C"/>
    <w:rsid w:val="3DE23611"/>
    <w:rsid w:val="3E6141C5"/>
    <w:rsid w:val="3E782812"/>
    <w:rsid w:val="3E78745D"/>
    <w:rsid w:val="3EA90890"/>
    <w:rsid w:val="3ED731F7"/>
    <w:rsid w:val="3F1E2BD3"/>
    <w:rsid w:val="3F7647BE"/>
    <w:rsid w:val="3F9D7F9C"/>
    <w:rsid w:val="3FB452E6"/>
    <w:rsid w:val="3FC75019"/>
    <w:rsid w:val="40275AB8"/>
    <w:rsid w:val="405A7C3B"/>
    <w:rsid w:val="40DC4AF4"/>
    <w:rsid w:val="411C3143"/>
    <w:rsid w:val="413E57AF"/>
    <w:rsid w:val="414D2A7A"/>
    <w:rsid w:val="4180170D"/>
    <w:rsid w:val="41D36BA8"/>
    <w:rsid w:val="41E33C60"/>
    <w:rsid w:val="41F201D0"/>
    <w:rsid w:val="426F40A9"/>
    <w:rsid w:val="42DF08CC"/>
    <w:rsid w:val="441023D1"/>
    <w:rsid w:val="44130A96"/>
    <w:rsid w:val="44544D32"/>
    <w:rsid w:val="44C4421D"/>
    <w:rsid w:val="44E268DA"/>
    <w:rsid w:val="44E65F41"/>
    <w:rsid w:val="45D05C94"/>
    <w:rsid w:val="4614088C"/>
    <w:rsid w:val="468C64C8"/>
    <w:rsid w:val="46935C55"/>
    <w:rsid w:val="46FC7C9E"/>
    <w:rsid w:val="474A6C5C"/>
    <w:rsid w:val="47534A38"/>
    <w:rsid w:val="47634DFF"/>
    <w:rsid w:val="48511712"/>
    <w:rsid w:val="488066AD"/>
    <w:rsid w:val="48D04F3E"/>
    <w:rsid w:val="49E93389"/>
    <w:rsid w:val="4A256BFC"/>
    <w:rsid w:val="4A5E657A"/>
    <w:rsid w:val="4A627F82"/>
    <w:rsid w:val="4A7810B6"/>
    <w:rsid w:val="4A9106FD"/>
    <w:rsid w:val="4AD056CA"/>
    <w:rsid w:val="4B0E749A"/>
    <w:rsid w:val="4B2477C4"/>
    <w:rsid w:val="4B4F25DA"/>
    <w:rsid w:val="4B9C37FE"/>
    <w:rsid w:val="4BD5286C"/>
    <w:rsid w:val="4BD96800"/>
    <w:rsid w:val="4BE068DB"/>
    <w:rsid w:val="4BE331DB"/>
    <w:rsid w:val="4C9646F1"/>
    <w:rsid w:val="4CC748AA"/>
    <w:rsid w:val="4CDA2830"/>
    <w:rsid w:val="4D072EF9"/>
    <w:rsid w:val="4D2C0BB1"/>
    <w:rsid w:val="4D577224"/>
    <w:rsid w:val="4D87403A"/>
    <w:rsid w:val="4D8F1C3E"/>
    <w:rsid w:val="4D926C66"/>
    <w:rsid w:val="4E0538DC"/>
    <w:rsid w:val="4E1753BE"/>
    <w:rsid w:val="4E28581D"/>
    <w:rsid w:val="4EAB630A"/>
    <w:rsid w:val="4ECE2238"/>
    <w:rsid w:val="4EDC4B0D"/>
    <w:rsid w:val="4F2524ED"/>
    <w:rsid w:val="4F702FD7"/>
    <w:rsid w:val="4F9F1B0F"/>
    <w:rsid w:val="4FC50E90"/>
    <w:rsid w:val="4FCE41A2"/>
    <w:rsid w:val="500E27F0"/>
    <w:rsid w:val="502C45F4"/>
    <w:rsid w:val="50302767"/>
    <w:rsid w:val="508B5BEF"/>
    <w:rsid w:val="50A3118B"/>
    <w:rsid w:val="50E84DEF"/>
    <w:rsid w:val="50E93587"/>
    <w:rsid w:val="51C32CFE"/>
    <w:rsid w:val="52391DA6"/>
    <w:rsid w:val="5256157C"/>
    <w:rsid w:val="52AD4542"/>
    <w:rsid w:val="52B4142D"/>
    <w:rsid w:val="52B633F7"/>
    <w:rsid w:val="52FD1026"/>
    <w:rsid w:val="5362532D"/>
    <w:rsid w:val="537E6D0A"/>
    <w:rsid w:val="539B439B"/>
    <w:rsid w:val="53AA4948"/>
    <w:rsid w:val="54167C33"/>
    <w:rsid w:val="547A0454"/>
    <w:rsid w:val="549A28A4"/>
    <w:rsid w:val="54E16725"/>
    <w:rsid w:val="55083CB2"/>
    <w:rsid w:val="55287EB0"/>
    <w:rsid w:val="55326F81"/>
    <w:rsid w:val="554271C4"/>
    <w:rsid w:val="55572544"/>
    <w:rsid w:val="5583158B"/>
    <w:rsid w:val="56024BA5"/>
    <w:rsid w:val="56772E9D"/>
    <w:rsid w:val="56CD6F61"/>
    <w:rsid w:val="56DC0F52"/>
    <w:rsid w:val="57323268"/>
    <w:rsid w:val="575651A9"/>
    <w:rsid w:val="578735B4"/>
    <w:rsid w:val="581B1F4E"/>
    <w:rsid w:val="58254B7B"/>
    <w:rsid w:val="583059FA"/>
    <w:rsid w:val="584274DB"/>
    <w:rsid w:val="587F24DD"/>
    <w:rsid w:val="591470C9"/>
    <w:rsid w:val="591733C9"/>
    <w:rsid w:val="592F2653"/>
    <w:rsid w:val="59725B9E"/>
    <w:rsid w:val="59C7413C"/>
    <w:rsid w:val="59C77C98"/>
    <w:rsid w:val="59D423B5"/>
    <w:rsid w:val="5A0C4930"/>
    <w:rsid w:val="5A584D94"/>
    <w:rsid w:val="5A663955"/>
    <w:rsid w:val="5A8A315B"/>
    <w:rsid w:val="5A902780"/>
    <w:rsid w:val="5AF92295"/>
    <w:rsid w:val="5AFA5E4B"/>
    <w:rsid w:val="5B123195"/>
    <w:rsid w:val="5B481DCB"/>
    <w:rsid w:val="5B527A35"/>
    <w:rsid w:val="5BAD7361"/>
    <w:rsid w:val="5BC008DF"/>
    <w:rsid w:val="5BF037E6"/>
    <w:rsid w:val="5C2C0286"/>
    <w:rsid w:val="5CD71FC4"/>
    <w:rsid w:val="5D011713"/>
    <w:rsid w:val="5D9F2CDA"/>
    <w:rsid w:val="5DB6074F"/>
    <w:rsid w:val="5DE11544"/>
    <w:rsid w:val="5EAE1426"/>
    <w:rsid w:val="5FAD5B82"/>
    <w:rsid w:val="5FB567E4"/>
    <w:rsid w:val="5FBE1B3D"/>
    <w:rsid w:val="5FD70E51"/>
    <w:rsid w:val="5FEA46E0"/>
    <w:rsid w:val="60B42F40"/>
    <w:rsid w:val="61112140"/>
    <w:rsid w:val="61882403"/>
    <w:rsid w:val="61C3343B"/>
    <w:rsid w:val="62033E0C"/>
    <w:rsid w:val="621243C2"/>
    <w:rsid w:val="621912AD"/>
    <w:rsid w:val="62195750"/>
    <w:rsid w:val="624F4CCE"/>
    <w:rsid w:val="62797F9D"/>
    <w:rsid w:val="62946B85"/>
    <w:rsid w:val="6299063F"/>
    <w:rsid w:val="62DF24F6"/>
    <w:rsid w:val="62EC076F"/>
    <w:rsid w:val="63212B0F"/>
    <w:rsid w:val="63A66B70"/>
    <w:rsid w:val="63AF4CA3"/>
    <w:rsid w:val="63B514A9"/>
    <w:rsid w:val="63D8772F"/>
    <w:rsid w:val="64063AB3"/>
    <w:rsid w:val="64714514"/>
    <w:rsid w:val="64805613"/>
    <w:rsid w:val="64813139"/>
    <w:rsid w:val="64B4350F"/>
    <w:rsid w:val="64C03C61"/>
    <w:rsid w:val="64F61D79"/>
    <w:rsid w:val="64F63B27"/>
    <w:rsid w:val="64FE4734"/>
    <w:rsid w:val="65167D25"/>
    <w:rsid w:val="659F41BF"/>
    <w:rsid w:val="65A90B99"/>
    <w:rsid w:val="65F8567D"/>
    <w:rsid w:val="661E1587"/>
    <w:rsid w:val="664B1C51"/>
    <w:rsid w:val="665E1984"/>
    <w:rsid w:val="66B15F58"/>
    <w:rsid w:val="66DA7F47"/>
    <w:rsid w:val="66E0683D"/>
    <w:rsid w:val="671464E6"/>
    <w:rsid w:val="676813B7"/>
    <w:rsid w:val="67EE6D37"/>
    <w:rsid w:val="680D3662"/>
    <w:rsid w:val="685F6CB0"/>
    <w:rsid w:val="6884144A"/>
    <w:rsid w:val="694A1263"/>
    <w:rsid w:val="69513A22"/>
    <w:rsid w:val="69787200"/>
    <w:rsid w:val="6A3C022E"/>
    <w:rsid w:val="6A6652AB"/>
    <w:rsid w:val="6A941E18"/>
    <w:rsid w:val="6AE85CC0"/>
    <w:rsid w:val="6B767770"/>
    <w:rsid w:val="6B8C6F93"/>
    <w:rsid w:val="6C0E1756"/>
    <w:rsid w:val="6C4A05C8"/>
    <w:rsid w:val="6D0668D1"/>
    <w:rsid w:val="6D154D66"/>
    <w:rsid w:val="6D793547"/>
    <w:rsid w:val="6DC70F1E"/>
    <w:rsid w:val="6DD62748"/>
    <w:rsid w:val="6DEC3D19"/>
    <w:rsid w:val="6E274D51"/>
    <w:rsid w:val="6E6715F2"/>
    <w:rsid w:val="6E777A87"/>
    <w:rsid w:val="6E7C1985"/>
    <w:rsid w:val="6E7E3605"/>
    <w:rsid w:val="6ED00F45"/>
    <w:rsid w:val="6EDF387E"/>
    <w:rsid w:val="6F410095"/>
    <w:rsid w:val="6F8561D3"/>
    <w:rsid w:val="6FA0300D"/>
    <w:rsid w:val="6FCF38F2"/>
    <w:rsid w:val="6FEE1FCA"/>
    <w:rsid w:val="6FF5CC65"/>
    <w:rsid w:val="70384FF4"/>
    <w:rsid w:val="703D085C"/>
    <w:rsid w:val="70744F5D"/>
    <w:rsid w:val="70AC7790"/>
    <w:rsid w:val="70E62CA2"/>
    <w:rsid w:val="70F64AE0"/>
    <w:rsid w:val="712D267F"/>
    <w:rsid w:val="715C0E4B"/>
    <w:rsid w:val="721D6B97"/>
    <w:rsid w:val="72536115"/>
    <w:rsid w:val="72734D90"/>
    <w:rsid w:val="72A42E14"/>
    <w:rsid w:val="72C232B3"/>
    <w:rsid w:val="72D37256"/>
    <w:rsid w:val="734168B5"/>
    <w:rsid w:val="734F0FD2"/>
    <w:rsid w:val="738F5872"/>
    <w:rsid w:val="739A5FC5"/>
    <w:rsid w:val="73AD73D5"/>
    <w:rsid w:val="73B6EB34"/>
    <w:rsid w:val="73CF7285"/>
    <w:rsid w:val="740F0761"/>
    <w:rsid w:val="743401C8"/>
    <w:rsid w:val="744731E5"/>
    <w:rsid w:val="74493C73"/>
    <w:rsid w:val="74933140"/>
    <w:rsid w:val="749D2C40"/>
    <w:rsid w:val="74A0760B"/>
    <w:rsid w:val="74D177C5"/>
    <w:rsid w:val="750E27C7"/>
    <w:rsid w:val="752A5BEE"/>
    <w:rsid w:val="7548217D"/>
    <w:rsid w:val="756B7C19"/>
    <w:rsid w:val="757F36C5"/>
    <w:rsid w:val="75BE41ED"/>
    <w:rsid w:val="761C0F14"/>
    <w:rsid w:val="768947FB"/>
    <w:rsid w:val="76AC1248"/>
    <w:rsid w:val="76C27D0D"/>
    <w:rsid w:val="76E3355F"/>
    <w:rsid w:val="770E0614"/>
    <w:rsid w:val="77221B1B"/>
    <w:rsid w:val="7722255A"/>
    <w:rsid w:val="778769C8"/>
    <w:rsid w:val="77B358A8"/>
    <w:rsid w:val="77C16217"/>
    <w:rsid w:val="783C3AEF"/>
    <w:rsid w:val="79C21DD2"/>
    <w:rsid w:val="79EE5BA4"/>
    <w:rsid w:val="79FA5A10"/>
    <w:rsid w:val="7A717CA2"/>
    <w:rsid w:val="7A8377B3"/>
    <w:rsid w:val="7A894339"/>
    <w:rsid w:val="7A8C48BA"/>
    <w:rsid w:val="7A9814B1"/>
    <w:rsid w:val="7A9A6B88"/>
    <w:rsid w:val="7ACA7190"/>
    <w:rsid w:val="7AF62CB5"/>
    <w:rsid w:val="7AFE6E3A"/>
    <w:rsid w:val="7B276391"/>
    <w:rsid w:val="7B590514"/>
    <w:rsid w:val="7BE6624C"/>
    <w:rsid w:val="7C352D2F"/>
    <w:rsid w:val="7C4A0DEC"/>
    <w:rsid w:val="7C4D0079"/>
    <w:rsid w:val="7C7A4BE6"/>
    <w:rsid w:val="7CB43C54"/>
    <w:rsid w:val="7D2C4132"/>
    <w:rsid w:val="7D4F7C2B"/>
    <w:rsid w:val="7DE9403C"/>
    <w:rsid w:val="7E001A9A"/>
    <w:rsid w:val="7E162A33"/>
    <w:rsid w:val="7E421F02"/>
    <w:rsid w:val="7E6D4A02"/>
    <w:rsid w:val="7EEF11D3"/>
    <w:rsid w:val="7F121106"/>
    <w:rsid w:val="7F2F7F0A"/>
    <w:rsid w:val="7F625BE9"/>
    <w:rsid w:val="7F857B2A"/>
    <w:rsid w:val="7FA30C79"/>
    <w:rsid w:val="7FB7269E"/>
    <w:rsid w:val="7FC96657"/>
    <w:rsid w:val="7FE707E4"/>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9"/>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3"/>
    <w:semiHidden/>
    <w:unhideWhenUsed/>
    <w:qFormat/>
    <w:uiPriority w:val="99"/>
    <w:rPr>
      <w:sz w:val="18"/>
      <w:szCs w:val="18"/>
    </w:rPr>
  </w:style>
  <w:style w:type="paragraph" w:styleId="9">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footnote text"/>
    <w:basedOn w:val="1"/>
    <w:qFormat/>
    <w:uiPriority w:val="0"/>
    <w:pPr>
      <w:snapToGrid w:val="0"/>
      <w:jc w:val="left"/>
    </w:pPr>
    <w:rPr>
      <w:sz w:val="18"/>
      <w:szCs w:val="1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qFormat/>
    <w:uiPriority w:val="0"/>
    <w:pPr>
      <w:widowControl w:val="0"/>
      <w:spacing w:before="0" w:beforeAutospacing="1" w:after="0" w:afterAutospacing="1"/>
      <w:ind w:left="0" w:right="0"/>
      <w:jc w:val="left"/>
    </w:pPr>
    <w:rPr>
      <w:rFonts w:ascii="Times New Roman" w:hAnsi="Times New Roman" w:eastAsia="仿宋_GB2312" w:cs="Times New Roman"/>
      <w:kern w:val="0"/>
      <w:sz w:val="24"/>
      <w:szCs w:val="24"/>
      <w:lang w:val="en-US" w:eastAsia="zh-CN" w:bidi="ar"/>
    </w:rPr>
  </w:style>
  <w:style w:type="paragraph" w:styleId="15">
    <w:name w:val="Body Text First Indent 2"/>
    <w:basedOn w:val="6"/>
    <w:next w:val="1"/>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标题 1 Char"/>
    <w:basedOn w:val="17"/>
    <w:link w:val="3"/>
    <w:qFormat/>
    <w:uiPriority w:val="9"/>
    <w:rPr>
      <w:rFonts w:ascii="Times New Roman" w:hAnsi="Times New Roman"/>
      <w:b/>
      <w:bCs/>
      <w:kern w:val="44"/>
      <w:sz w:val="44"/>
      <w:szCs w:val="44"/>
    </w:rPr>
  </w:style>
  <w:style w:type="character" w:customStyle="1" w:styleId="21">
    <w:name w:val="标题 2 Char"/>
    <w:basedOn w:val="17"/>
    <w:link w:val="4"/>
    <w:qFormat/>
    <w:uiPriority w:val="9"/>
    <w:rPr>
      <w:rFonts w:asciiTheme="majorHAnsi" w:hAnsiTheme="majorHAnsi" w:eastAsiaTheme="majorEastAsia" w:cstheme="majorBidi"/>
      <w:b/>
      <w:bCs/>
      <w:kern w:val="2"/>
      <w:sz w:val="32"/>
      <w:szCs w:val="32"/>
    </w:rPr>
  </w:style>
  <w:style w:type="character" w:customStyle="1" w:styleId="22">
    <w:name w:val="标题 3 Char"/>
    <w:basedOn w:val="17"/>
    <w:link w:val="5"/>
    <w:qFormat/>
    <w:uiPriority w:val="9"/>
    <w:rPr>
      <w:rFonts w:ascii="Times New Roman" w:hAnsi="Times New Roman"/>
      <w:b/>
      <w:bCs/>
      <w:kern w:val="2"/>
      <w:sz w:val="32"/>
      <w:szCs w:val="32"/>
    </w:rPr>
  </w:style>
  <w:style w:type="paragraph" w:customStyle="1" w:styleId="23">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4">
    <w:name w:val="Header Char"/>
    <w:basedOn w:val="17"/>
    <w:semiHidden/>
    <w:qFormat/>
    <w:uiPriority w:val="99"/>
    <w:rPr>
      <w:rFonts w:ascii="Times New Roman" w:hAnsi="Times New Roman"/>
      <w:sz w:val="18"/>
      <w:szCs w:val="18"/>
    </w:rPr>
  </w:style>
  <w:style w:type="character" w:customStyle="1" w:styleId="25">
    <w:name w:val="页眉 Char"/>
    <w:link w:val="10"/>
    <w:semiHidden/>
    <w:qFormat/>
    <w:locked/>
    <w:uiPriority w:val="99"/>
    <w:rPr>
      <w:sz w:val="18"/>
    </w:rPr>
  </w:style>
  <w:style w:type="character" w:customStyle="1" w:styleId="26">
    <w:name w:val="Footer Char"/>
    <w:basedOn w:val="17"/>
    <w:semiHidden/>
    <w:qFormat/>
    <w:uiPriority w:val="99"/>
    <w:rPr>
      <w:rFonts w:ascii="Times New Roman" w:hAnsi="Times New Roman"/>
      <w:sz w:val="18"/>
      <w:szCs w:val="18"/>
    </w:rPr>
  </w:style>
  <w:style w:type="character" w:customStyle="1" w:styleId="27">
    <w:name w:val="页脚 Char"/>
    <w:link w:val="9"/>
    <w:qFormat/>
    <w:locked/>
    <w:uiPriority w:val="99"/>
    <w:rPr>
      <w:sz w:val="18"/>
    </w:rPr>
  </w:style>
  <w:style w:type="character" w:customStyle="1" w:styleId="28">
    <w:name w:val="Body Text Char"/>
    <w:basedOn w:val="17"/>
    <w:semiHidden/>
    <w:qFormat/>
    <w:uiPriority w:val="99"/>
    <w:rPr>
      <w:rFonts w:ascii="Times New Roman" w:hAnsi="Times New Roman"/>
      <w:szCs w:val="24"/>
    </w:rPr>
  </w:style>
  <w:style w:type="character" w:customStyle="1" w:styleId="29">
    <w:name w:val="正文文本 Char"/>
    <w:link w:val="2"/>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7"/>
    <w:link w:val="8"/>
    <w:semiHidden/>
    <w:qFormat/>
    <w:uiPriority w:val="99"/>
    <w:rPr>
      <w:rFonts w:ascii="Times New Roman" w:hAnsi="Times New Roman"/>
      <w:kern w:val="2"/>
      <w:sz w:val="18"/>
      <w:szCs w:val="18"/>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 w:type="character" w:customStyle="1" w:styleId="38">
    <w:name w:val="font61"/>
    <w:basedOn w:val="17"/>
    <w:uiPriority w:val="0"/>
    <w:rPr>
      <w:rFonts w:ascii="宋体" w:hAnsi="宋体" w:eastAsia="宋体" w:cs="宋体"/>
      <w:color w:val="000000"/>
      <w:sz w:val="20"/>
      <w:szCs w:val="20"/>
      <w:u w:val="none"/>
    </w:rPr>
  </w:style>
  <w:style w:type="character" w:customStyle="1" w:styleId="39">
    <w:name w:val="font21"/>
    <w:basedOn w:val="17"/>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6.xml"/><Relationship Id="rId13" Type="http://schemas.openxmlformats.org/officeDocument/2006/relationships/image" Target="media/image1.png"/><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elete val="1"/>
          </c:dLbls>
          <c:cat>
            <c:strRef>
              <c:f>[工作簿1]Sheet1!$F$7:$G$7</c:f>
              <c:strCache>
                <c:ptCount val="2"/>
                <c:pt idx="0">
                  <c:v>2021年</c:v>
                </c:pt>
                <c:pt idx="1">
                  <c:v>2022年</c:v>
                </c:pt>
              </c:strCache>
            </c:strRef>
          </c:cat>
          <c:val>
            <c:numRef>
              <c:f>[工作簿1]Sheet1!$F$8:$G$8</c:f>
              <c:numCache>
                <c:formatCode>#,##0.00</c:formatCode>
                <c:ptCount val="2"/>
                <c:pt idx="0">
                  <c:v>8371.84</c:v>
                </c:pt>
                <c:pt idx="1">
                  <c:v>7368.67</c:v>
                </c:pt>
              </c:numCache>
            </c:numRef>
          </c:val>
        </c:ser>
        <c:dLbls>
          <c:showLegendKey val="0"/>
          <c:showVal val="0"/>
          <c:showCatName val="0"/>
          <c:showSerName val="0"/>
          <c:showPercent val="0"/>
          <c:showBubbleSize val="0"/>
        </c:dLbls>
        <c:gapWidth val="246"/>
        <c:overlap val="-28"/>
        <c:axId val="449661799"/>
        <c:axId val="560841968"/>
      </c:barChart>
      <c:catAx>
        <c:axId val="44966179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0841968"/>
        <c:crosses val="autoZero"/>
        <c:auto val="1"/>
        <c:lblAlgn val="ctr"/>
        <c:lblOffset val="100"/>
        <c:noMultiLvlLbl val="0"/>
      </c:catAx>
      <c:valAx>
        <c:axId val="560841968"/>
        <c:scaling>
          <c:orientation val="minMax"/>
        </c:scaling>
        <c:delete val="0"/>
        <c:axPos val="l"/>
        <c:majorGridlines>
          <c:spPr>
            <a:ln w="9525" cap="flat" cmpd="sng" algn="ctr">
              <a:solidFill>
                <a:schemeClr val="bg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96617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elete val="1"/>
          </c:dLbls>
          <c:cat>
            <c:strRef>
              <c:f>[工作簿1]Sheet1!$J$14:$J$16</c:f>
              <c:strCache>
                <c:ptCount val="3"/>
                <c:pt idx="0">
                  <c:v>本年收入</c:v>
                </c:pt>
                <c:pt idx="1">
                  <c:v>一般公共预算财政拨款收入</c:v>
                </c:pt>
                <c:pt idx="2">
                  <c:v>其他收入</c:v>
                </c:pt>
              </c:strCache>
            </c:strRef>
          </c:cat>
          <c:val>
            <c:numRef>
              <c:f>[工作簿1]Sheet1!$K$14:$K$16</c:f>
              <c:numCache>
                <c:formatCode>#,##0.00</c:formatCode>
                <c:ptCount val="3"/>
                <c:pt idx="0">
                  <c:v>6685.35</c:v>
                </c:pt>
                <c:pt idx="1">
                  <c:v>6685.3</c:v>
                </c:pt>
                <c:pt idx="2" c:formatCode="General">
                  <c:v>0.5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f>[工作簿1]Sheet1!$H$6:$H$7</c:f>
              <c:strCache>
                <c:ptCount val="2"/>
                <c:pt idx="0">
                  <c:v>基本支出</c:v>
                </c:pt>
                <c:pt idx="1">
                  <c:v>项目支出</c:v>
                </c:pt>
              </c:strCache>
            </c:strRef>
          </c:cat>
          <c:val>
            <c:numRef>
              <c:f>[工作簿1]Sheet1!$I$6:$I$7</c:f>
              <c:numCache>
                <c:formatCode>General</c:formatCode>
                <c:ptCount val="2"/>
                <c:pt idx="0">
                  <c:v>5642.69</c:v>
                </c:pt>
                <c:pt idx="1">
                  <c:v>1617.25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manualLayout>
          <c:xMode val="edge"/>
          <c:yMode val="edge"/>
          <c:x val="0.0225"/>
          <c:y val="0.043465662126919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elete val="1"/>
          </c:dLbls>
          <c:cat>
            <c:strRef>
              <c:f>[工作簿1]Sheet1!$I$8:$I$9</c:f>
              <c:strCache>
                <c:ptCount val="2"/>
                <c:pt idx="0">
                  <c:v>2022年</c:v>
                </c:pt>
                <c:pt idx="1">
                  <c:v>2021年</c:v>
                </c:pt>
              </c:strCache>
            </c:strRef>
          </c:cat>
          <c:val>
            <c:numRef>
              <c:f>[工作簿1]Sheet1!$J$8:$J$9</c:f>
              <c:numCache>
                <c:formatCode>General</c:formatCode>
                <c:ptCount val="2"/>
                <c:pt idx="0">
                  <c:v>7368.56</c:v>
                </c:pt>
                <c:pt idx="1">
                  <c:v>8371.44</c:v>
                </c:pt>
              </c:numCache>
            </c:numRef>
          </c:val>
        </c:ser>
        <c:dLbls>
          <c:showLegendKey val="0"/>
          <c:showVal val="0"/>
          <c:showCatName val="0"/>
          <c:showSerName val="0"/>
          <c:showPercent val="0"/>
          <c:showBubbleSize val="0"/>
        </c:dLbls>
        <c:gapWidth val="246"/>
        <c:overlap val="-28"/>
        <c:axId val="179220460"/>
        <c:axId val="365616004"/>
      </c:barChart>
      <c:catAx>
        <c:axId val="17922046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5616004"/>
        <c:crosses val="autoZero"/>
        <c:auto val="1"/>
        <c:lblAlgn val="ctr"/>
        <c:lblOffset val="100"/>
        <c:noMultiLvlLbl val="0"/>
      </c:catAx>
      <c:valAx>
        <c:axId val="365616004"/>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92204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63724808895066"/>
          <c:y val="0.0736278447121821"/>
          <c:w val="0.852397498262682"/>
          <c:h val="0.764524765729585"/>
        </c:manualLayout>
      </c:layout>
      <c:barChart>
        <c:barDir val="col"/>
        <c:grouping val="clustered"/>
        <c:varyColors val="0"/>
        <c:ser>
          <c:idx val="0"/>
          <c:order val="0"/>
          <c:spPr>
            <a:solidFill>
              <a:schemeClr val="accent1"/>
            </a:solidFill>
            <a:ln>
              <a:noFill/>
            </a:ln>
            <a:effectLst/>
          </c:spPr>
          <c:invertIfNegative val="0"/>
          <c:dLbls>
            <c:delete val="1"/>
          </c:dLbls>
          <c:cat>
            <c:strRef>
              <c:f>[工作簿1]Sheet1!$I$8:$I$9</c:f>
              <c:strCache>
                <c:ptCount val="2"/>
                <c:pt idx="0">
                  <c:v>2022年</c:v>
                </c:pt>
                <c:pt idx="1">
                  <c:v>2021年</c:v>
                </c:pt>
              </c:strCache>
            </c:strRef>
          </c:cat>
          <c:val>
            <c:numRef>
              <c:f>[工作簿1]Sheet1!$J$8:$J$9</c:f>
              <c:numCache>
                <c:formatCode>General</c:formatCode>
                <c:ptCount val="2"/>
                <c:pt idx="0">
                  <c:v>7259.83</c:v>
                </c:pt>
                <c:pt idx="1">
                  <c:v>7453.18</c:v>
                </c:pt>
              </c:numCache>
            </c:numRef>
          </c:val>
        </c:ser>
        <c:dLbls>
          <c:showLegendKey val="0"/>
          <c:showVal val="0"/>
          <c:showCatName val="0"/>
          <c:showSerName val="0"/>
          <c:showPercent val="0"/>
          <c:showBubbleSize val="0"/>
        </c:dLbls>
        <c:gapWidth val="246"/>
        <c:overlap val="-28"/>
        <c:axId val="288659433"/>
        <c:axId val="556674917"/>
      </c:barChart>
      <c:catAx>
        <c:axId val="28865943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6674917"/>
        <c:crosses val="autoZero"/>
        <c:auto val="1"/>
        <c:lblAlgn val="ctr"/>
        <c:lblOffset val="100"/>
        <c:noMultiLvlLbl val="0"/>
      </c:catAx>
      <c:valAx>
        <c:axId val="556674917"/>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865943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f>[工作簿1]Sheet1!$K$9:$K$10</c:f>
              <c:strCache>
                <c:ptCount val="2"/>
                <c:pt idx="0">
                  <c:v>公务用车运行维护费</c:v>
                </c:pt>
                <c:pt idx="1">
                  <c:v>公务接待费</c:v>
                </c:pt>
              </c:strCache>
            </c:strRef>
          </c:cat>
          <c:val>
            <c:numRef>
              <c:f>[工作簿1]Sheet1!$L$9:$L$10</c:f>
              <c:numCache>
                <c:formatCode>General</c:formatCode>
                <c:ptCount val="2"/>
                <c:pt idx="0">
                  <c:v>4.96</c:v>
                </c:pt>
                <c:pt idx="1">
                  <c:v>1.59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41</Pages>
  <Words>16290</Words>
  <Characters>17398</Characters>
  <Lines>61</Lines>
  <Paragraphs>17</Paragraphs>
  <TotalTime>7</TotalTime>
  <ScaleCrop>false</ScaleCrop>
  <LinksUpToDate>false</LinksUpToDate>
  <CharactersWithSpaces>17541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YY</cp:lastModifiedBy>
  <cp:lastPrinted>2023-07-31T02:35:00Z</cp:lastPrinted>
  <dcterms:modified xsi:type="dcterms:W3CDTF">2023-10-07T01:42:43Z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1BF328E4FCBC46E183310AF8D9815CC9</vt:lpwstr>
  </property>
</Properties>
</file>