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outlineLvl w:val="9"/>
        <w:rPr>
          <w:rFonts w:hint="eastAsia" w:ascii="方正小标宋简体" w:hAnsi="宋体" w:eastAsia="方正小标宋简体"/>
          <w:color w:val="auto"/>
          <w:sz w:val="72"/>
          <w:szCs w:val="72"/>
          <w:highlight w:val="none"/>
          <w:lang w:val="en-US" w:eastAsia="zh-CN"/>
        </w:rPr>
      </w:pPr>
      <w:bookmarkStart w:id="0" w:name="_Toc15378441"/>
      <w:bookmarkStart w:id="1" w:name="_Toc15396597"/>
      <w:bookmarkStart w:id="2" w:name="_Toc15377193"/>
      <w:bookmarkStart w:id="3" w:name="_Toc15396475"/>
      <w:bookmarkStart w:id="4" w:name="_Toc15377425"/>
      <w:bookmarkStart w:id="5" w:name="_Toc15306267"/>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5613"/>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bookmarkEnd w:id="5"/>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20974"/>
      <w:bookmarkStart w:id="8" w:name="_Toc15396476"/>
      <w:bookmarkStart w:id="9" w:name="_Toc15377194"/>
      <w:bookmarkStart w:id="10" w:name="_Toc15377426"/>
      <w:bookmarkStart w:id="11" w:name="_Toc15396598"/>
      <w:bookmarkStart w:id="12" w:name="_Toc15378442"/>
      <w:r>
        <w:rPr>
          <w:rFonts w:hint="eastAsia" w:ascii="方正小标宋简体" w:hAnsi="方正小标宋简体" w:eastAsia="方正小标宋简体" w:cs="方正小标宋简体"/>
          <w:color w:val="auto"/>
          <w:sz w:val="72"/>
          <w:szCs w:val="72"/>
          <w:highlight w:val="none"/>
        </w:rPr>
        <w:t>广元市</w:t>
      </w:r>
      <w:bookmarkStart w:id="13" w:name="_Toc15306268"/>
      <w:r>
        <w:rPr>
          <w:rFonts w:hint="eastAsia" w:ascii="方正小标宋简体" w:hAnsi="方正小标宋简体" w:eastAsia="方正小标宋简体" w:cs="方正小标宋简体"/>
          <w:color w:val="auto"/>
          <w:sz w:val="72"/>
          <w:szCs w:val="72"/>
          <w:highlight w:val="none"/>
          <w:lang w:eastAsia="zh-CN"/>
        </w:rPr>
        <w:t>统计局部门</w:t>
      </w:r>
      <w:r>
        <w:rPr>
          <w:rFonts w:hint="eastAsia" w:ascii="方正小标宋简体" w:hAnsi="方正小标宋简体" w:eastAsia="方正小标宋简体" w:cs="方正小标宋简体"/>
          <w:color w:val="auto"/>
          <w:sz w:val="72"/>
          <w:szCs w:val="72"/>
          <w:highlight w:val="none"/>
        </w:rPr>
        <w:t>决</w:t>
      </w:r>
      <w:bookmarkStart w:id="122" w:name="_GoBack"/>
      <w:bookmarkEnd w:id="122"/>
      <w:r>
        <w:rPr>
          <w:rFonts w:hint="eastAsia" w:ascii="方正小标宋简体" w:hAnsi="方正小标宋简体" w:eastAsia="方正小标宋简体" w:cs="方正小标宋简体"/>
          <w:color w:val="auto"/>
          <w:sz w:val="72"/>
          <w:szCs w:val="72"/>
          <w:highlight w:val="none"/>
        </w:rPr>
        <w:t>算</w:t>
      </w:r>
      <w:bookmarkEnd w:id="7"/>
      <w:bookmarkEnd w:id="8"/>
      <w:bookmarkEnd w:id="9"/>
      <w:bookmarkEnd w:id="10"/>
      <w:bookmarkEnd w:id="11"/>
      <w:bookmarkEnd w:id="12"/>
      <w:bookmarkEnd w:id="13"/>
    </w:p>
    <w:p>
      <w:pPr>
        <w:widowControl/>
        <w:shd w:val="clear"/>
        <w:jc w:val="center"/>
        <w:rPr>
          <w:rFonts w:hint="eastAsia" w:ascii="方正小标宋简体" w:hAnsi="方正小标宋简体" w:eastAsia="方正小标宋简体" w:cs="方正小标宋简体"/>
          <w:color w:val="auto"/>
          <w:sz w:val="48"/>
          <w:szCs w:val="48"/>
          <w:highlight w:val="none"/>
        </w:rPr>
        <w:sectPr>
          <w:footerReference r:id="rId3" w:type="first"/>
          <w:pgSz w:w="11906" w:h="16838"/>
          <w:pgMar w:top="1701" w:right="1474" w:bottom="1417" w:left="1587" w:header="851" w:footer="992" w:gutter="0"/>
          <w:pgNumType w:fmt="decimal"/>
          <w:cols w:space="0" w:num="1"/>
          <w:rtlGutter w:val="0"/>
          <w:docGrid w:type="lines" w:linePitch="442" w:charSpace="0"/>
        </w:sectPr>
      </w:pPr>
    </w:p>
    <w:p>
      <w:pPr>
        <w:widowControl/>
        <w:shd w:val="clear"/>
        <w:ind w:left="840" w:leftChars="400" w:firstLine="0" w:firstLineChars="0"/>
        <w:jc w:val="center"/>
        <w:rPr>
          <w:rFonts w:ascii="黑体" w:hAnsi="黑体" w:eastAsia="黑体" w:cstheme="minorBidi"/>
          <w:color w:val="auto"/>
          <w:sz w:val="28"/>
          <w:szCs w:val="28"/>
          <w:highlight w:val="none"/>
        </w:rPr>
      </w:pPr>
      <w:r>
        <w:rPr>
          <w:rFonts w:hint="eastAsia" w:ascii="黑体" w:hAnsi="黑体" w:eastAsia="黑体"/>
          <w:color w:val="auto"/>
          <w:sz w:val="48"/>
          <w:szCs w:val="48"/>
          <w:highlight w:val="none"/>
        </w:rPr>
        <w:t>目录</w:t>
      </w:r>
    </w:p>
    <w:p>
      <w:pPr>
        <w:pStyle w:val="13"/>
        <w:shd w:val="clear"/>
        <w:ind w:left="0" w:leftChars="0" w:firstLine="0" w:firstLineChars="0"/>
        <w:jc w:val="center"/>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color w:val="auto"/>
          <w:kern w:val="2"/>
          <w:sz w:val="21"/>
          <w:szCs w:val="24"/>
          <w:highlight w:val="none"/>
          <w:lang w:val="en-US" w:eastAsia="zh-CN" w:bidi="ar-SA"/>
        </w:rPr>
        <w:id w:val="147472972"/>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p>
        <w:p>
          <w:pPr>
            <w:pStyle w:val="36"/>
            <w:shd w:val="clear"/>
            <w:tabs>
              <w:tab w:val="right" w:leader="dot" w:pos="10466"/>
            </w:tabs>
            <w:rPr>
              <w:b/>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36"/>
            <w:shd w:val="clear"/>
            <w:tabs>
              <w:tab w:val="right" w:leader="dot" w:pos="10466"/>
            </w:tabs>
            <w:rPr>
              <w:b/>
              <w:color w:val="auto"/>
              <w:highlight w:val="none"/>
            </w:rPr>
          </w:pPr>
          <w:r>
            <w:rPr>
              <w:b/>
              <w:color w:val="auto"/>
              <w:highlight w:val="none"/>
            </w:rPr>
            <w:fldChar w:fldCharType="begin"/>
          </w:r>
          <w:r>
            <w:rPr>
              <w:b/>
              <w:color w:val="auto"/>
              <w:highlight w:val="none"/>
            </w:rPr>
            <w:instrText xml:space="preserve"> HYPERLINK \l _Toc3110 </w:instrText>
          </w:r>
          <w:r>
            <w:rPr>
              <w:b/>
              <w:color w:val="auto"/>
              <w:highlight w:val="none"/>
            </w:rPr>
            <w:fldChar w:fldCharType="separate"/>
          </w:r>
          <w:r>
            <w:rPr>
              <w:rFonts w:hint="eastAsia" w:ascii="黑体" w:hAnsi="黑体" w:eastAsia="黑体"/>
              <w:b/>
              <w:color w:val="auto"/>
              <w:highlight w:val="none"/>
            </w:rPr>
            <w:t xml:space="preserve">第一部分 </w:t>
          </w:r>
          <w:r>
            <w:rPr>
              <w:rFonts w:hint="eastAsia" w:ascii="黑体" w:hAnsi="黑体" w:eastAsia="黑体"/>
              <w:b/>
              <w:bCs w:val="0"/>
              <w:color w:val="auto"/>
              <w:highlight w:val="none"/>
            </w:rPr>
            <w:t>部门概况</w:t>
          </w:r>
          <w:r>
            <w:rPr>
              <w:b/>
              <w:color w:val="auto"/>
              <w:highlight w:val="none"/>
            </w:rPr>
            <w:tab/>
          </w:r>
          <w:r>
            <w:rPr>
              <w:b/>
              <w:color w:val="auto"/>
              <w:highlight w:val="none"/>
            </w:rPr>
            <w:fldChar w:fldCharType="begin"/>
          </w:r>
          <w:r>
            <w:rPr>
              <w:b/>
              <w:color w:val="auto"/>
              <w:highlight w:val="none"/>
            </w:rPr>
            <w:instrText xml:space="preserve"> PAGEREF _Toc3110 \h </w:instrText>
          </w:r>
          <w:r>
            <w:rPr>
              <w:b/>
              <w:color w:val="auto"/>
              <w:highlight w:val="none"/>
            </w:rPr>
            <w:fldChar w:fldCharType="separate"/>
          </w:r>
          <w:r>
            <w:rPr>
              <w:b/>
              <w:color w:val="auto"/>
              <w:highlight w:val="none"/>
            </w:rPr>
            <w:t>1</w:t>
          </w:r>
          <w:r>
            <w:rPr>
              <w:b/>
              <w:color w:val="auto"/>
              <w:highlight w:val="none"/>
            </w:rPr>
            <w:fldChar w:fldCharType="end"/>
          </w:r>
          <w:r>
            <w:rPr>
              <w:b/>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_Toc31633 </w:instrText>
          </w:r>
          <w:r>
            <w:rPr>
              <w:color w:val="auto"/>
              <w:highlight w:val="none"/>
            </w:rPr>
            <w:fldChar w:fldCharType="separate"/>
          </w:r>
          <w:r>
            <w:rPr>
              <w:rFonts w:hint="eastAsia" w:ascii="黑体" w:hAnsi="黑体" w:eastAsia="黑体"/>
              <w:color w:val="auto"/>
              <w:highlight w:val="none"/>
              <w:lang w:eastAsia="zh-CN"/>
            </w:rPr>
            <w:t>一、 部门职责</w:t>
          </w:r>
          <w:r>
            <w:rPr>
              <w:color w:val="auto"/>
              <w:highlight w:val="none"/>
            </w:rPr>
            <w:tab/>
          </w:r>
          <w:r>
            <w:rPr>
              <w:color w:val="auto"/>
              <w:highlight w:val="none"/>
            </w:rPr>
            <w:fldChar w:fldCharType="begin"/>
          </w:r>
          <w:r>
            <w:rPr>
              <w:color w:val="auto"/>
              <w:highlight w:val="none"/>
            </w:rPr>
            <w:instrText xml:space="preserve"> PAGEREF _Toc31633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_Toc31519 </w:instrText>
          </w:r>
          <w:r>
            <w:rPr>
              <w:color w:val="auto"/>
              <w:highlight w:val="none"/>
            </w:rPr>
            <w:fldChar w:fldCharType="separate"/>
          </w:r>
          <w:r>
            <w:rPr>
              <w:rFonts w:hint="eastAsia" w:ascii="黑体" w:eastAsia="黑体"/>
              <w:color w:val="auto"/>
              <w:highlight w:val="none"/>
            </w:rPr>
            <w:t>二、</w:t>
          </w:r>
          <w:r>
            <w:rPr>
              <w:rFonts w:hint="eastAsia" w:ascii="黑体" w:hAnsi="黑体" w:eastAsia="黑体"/>
              <w:color w:val="auto"/>
              <w:highlight w:val="none"/>
            </w:rPr>
            <w:t>机</w:t>
          </w:r>
          <w:r>
            <w:rPr>
              <w:rFonts w:hint="eastAsia" w:ascii="黑体" w:hAnsi="黑体" w:eastAsia="黑体"/>
              <w:bCs w:val="0"/>
              <w:color w:val="auto"/>
              <w:highlight w:val="none"/>
            </w:rPr>
            <w:t>构设置</w:t>
          </w:r>
          <w:r>
            <w:rPr>
              <w:color w:val="auto"/>
              <w:highlight w:val="none"/>
            </w:rPr>
            <w:tab/>
          </w:r>
          <w:r>
            <w:rPr>
              <w:color w:val="auto"/>
              <w:highlight w:val="none"/>
            </w:rPr>
            <w:fldChar w:fldCharType="begin"/>
          </w:r>
          <w:r>
            <w:rPr>
              <w:color w:val="auto"/>
              <w:highlight w:val="none"/>
            </w:rPr>
            <w:instrText xml:space="preserve"> PAGEREF _Toc31519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6"/>
            <w:shd w:val="clear"/>
            <w:tabs>
              <w:tab w:val="right" w:leader="dot" w:pos="10466"/>
            </w:tabs>
            <w:rPr>
              <w:b/>
              <w:color w:val="auto"/>
              <w:highlight w:val="none"/>
            </w:rPr>
          </w:pPr>
          <w:r>
            <w:rPr>
              <w:b/>
              <w:color w:val="auto"/>
              <w:highlight w:val="none"/>
            </w:rPr>
            <w:fldChar w:fldCharType="begin"/>
          </w:r>
          <w:r>
            <w:rPr>
              <w:b/>
              <w:color w:val="auto"/>
              <w:highlight w:val="none"/>
            </w:rPr>
            <w:instrText xml:space="preserve"> HYPERLINK \l _Toc503 </w:instrText>
          </w:r>
          <w:r>
            <w:rPr>
              <w:b/>
              <w:color w:val="auto"/>
              <w:highlight w:val="none"/>
            </w:rPr>
            <w:fldChar w:fldCharType="separate"/>
          </w:r>
          <w:r>
            <w:rPr>
              <w:rFonts w:hint="eastAsia" w:ascii="黑体" w:hAnsi="黑体" w:eastAsia="黑体"/>
              <w:b/>
              <w:bCs/>
              <w:color w:val="auto"/>
              <w:highlight w:val="none"/>
            </w:rPr>
            <w:t xml:space="preserve">第二部分 </w:t>
          </w:r>
          <w:r>
            <w:rPr>
              <w:rFonts w:hint="eastAsia" w:ascii="黑体" w:hAnsi="黑体" w:eastAsia="黑体"/>
              <w:b/>
              <w:bCs/>
              <w:color w:val="auto"/>
              <w:highlight w:val="none"/>
              <w:lang w:val="en-US" w:eastAsia="zh-CN"/>
            </w:rPr>
            <w:t>2022年度</w:t>
          </w:r>
          <w:r>
            <w:rPr>
              <w:rFonts w:hint="eastAsia" w:ascii="黑体" w:hAnsi="黑体" w:eastAsia="黑体"/>
              <w:b/>
              <w:bCs/>
              <w:color w:val="auto"/>
              <w:highlight w:val="none"/>
            </w:rPr>
            <w:t>部门决算情况说明</w:t>
          </w:r>
          <w:r>
            <w:rPr>
              <w:b/>
              <w:color w:val="auto"/>
              <w:highlight w:val="none"/>
            </w:rPr>
            <w:tab/>
          </w:r>
          <w:r>
            <w:rPr>
              <w:b/>
              <w:color w:val="auto"/>
              <w:highlight w:val="none"/>
            </w:rPr>
            <w:fldChar w:fldCharType="begin"/>
          </w:r>
          <w:r>
            <w:rPr>
              <w:b/>
              <w:color w:val="auto"/>
              <w:highlight w:val="none"/>
            </w:rPr>
            <w:instrText xml:space="preserve"> PAGEREF _Toc503 \h </w:instrText>
          </w:r>
          <w:r>
            <w:rPr>
              <w:b/>
              <w:color w:val="auto"/>
              <w:highlight w:val="none"/>
            </w:rPr>
            <w:fldChar w:fldCharType="separate"/>
          </w:r>
          <w:r>
            <w:rPr>
              <w:b/>
              <w:color w:val="auto"/>
              <w:highlight w:val="none"/>
            </w:rPr>
            <w:t>1</w:t>
          </w:r>
          <w:r>
            <w:rPr>
              <w:b/>
              <w:color w:val="auto"/>
              <w:highlight w:val="none"/>
            </w:rPr>
            <w:fldChar w:fldCharType="end"/>
          </w:r>
          <w:r>
            <w:rPr>
              <w:b/>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_Toc20503 </w:instrText>
          </w:r>
          <w:r>
            <w:rPr>
              <w:color w:val="auto"/>
              <w:highlight w:val="none"/>
            </w:rPr>
            <w:fldChar w:fldCharType="separate"/>
          </w:r>
          <w:r>
            <w:rPr>
              <w:rFonts w:hint="default" w:ascii="黑体" w:hAnsi="黑体" w:eastAsia="黑体"/>
              <w:color w:val="auto"/>
              <w:highlight w:val="none"/>
            </w:rPr>
            <w:t xml:space="preserve">一、 </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highlight w:val="none"/>
            </w:rPr>
            <w:tab/>
          </w:r>
          <w:r>
            <w:rPr>
              <w:color w:val="auto"/>
              <w:highlight w:val="none"/>
            </w:rPr>
            <w:fldChar w:fldCharType="begin"/>
          </w:r>
          <w:r>
            <w:rPr>
              <w:color w:val="auto"/>
              <w:highlight w:val="none"/>
            </w:rPr>
            <w:instrText xml:space="preserve"> PAGEREF _Toc20503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_Toc9265 </w:instrText>
          </w:r>
          <w:r>
            <w:rPr>
              <w:color w:val="auto"/>
              <w:highlight w:val="none"/>
            </w:rPr>
            <w:fldChar w:fldCharType="separate"/>
          </w:r>
          <w:r>
            <w:rPr>
              <w:rFonts w:hint="default" w:ascii="黑体" w:hAnsi="黑体" w:eastAsia="黑体"/>
              <w:color w:val="auto"/>
              <w:highlight w:val="none"/>
            </w:rPr>
            <w:t xml:space="preserve">二、 </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_Toc9265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_Toc8324 </w:instrText>
          </w:r>
          <w:r>
            <w:rPr>
              <w:color w:val="auto"/>
              <w:highlight w:val="none"/>
            </w:rPr>
            <w:fldChar w:fldCharType="separate"/>
          </w:r>
          <w:r>
            <w:rPr>
              <w:rFonts w:hint="default" w:ascii="黑体" w:hAnsi="黑体" w:eastAsia="黑体"/>
              <w:color w:val="auto"/>
              <w:highlight w:val="none"/>
            </w:rPr>
            <w:t xml:space="preserve">三、 </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highlight w:val="none"/>
            </w:rPr>
            <w:tab/>
          </w:r>
          <w:r>
            <w:rPr>
              <w:color w:val="auto"/>
              <w:highlight w:val="none"/>
            </w:rPr>
            <w:fldChar w:fldCharType="begin"/>
          </w:r>
          <w:r>
            <w:rPr>
              <w:color w:val="auto"/>
              <w:highlight w:val="none"/>
            </w:rPr>
            <w:instrText xml:space="preserve"> PAGEREF _Toc8324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_Toc30853 </w:instrText>
          </w:r>
          <w:r>
            <w:rPr>
              <w:color w:val="auto"/>
              <w:highlight w:val="none"/>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highlight w:val="none"/>
            </w:rPr>
            <w:tab/>
          </w:r>
          <w:r>
            <w:rPr>
              <w:color w:val="auto"/>
              <w:highlight w:val="none"/>
            </w:rPr>
            <w:fldChar w:fldCharType="begin"/>
          </w:r>
          <w:r>
            <w:rPr>
              <w:color w:val="auto"/>
              <w:highlight w:val="none"/>
            </w:rPr>
            <w:instrText xml:space="preserve"> PAGEREF _Toc30853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_Toc20477 </w:instrText>
          </w:r>
          <w:r>
            <w:rPr>
              <w:color w:val="auto"/>
              <w:highlight w:val="none"/>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_Toc20477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_Toc26251 </w:instrText>
          </w:r>
          <w:r>
            <w:rPr>
              <w:color w:val="auto"/>
              <w:highlight w:val="none"/>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_Toc26251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_Toc3480 </w:instrText>
          </w:r>
          <w:r>
            <w:rPr>
              <w:color w:val="auto"/>
              <w:highlight w:val="none"/>
            </w:rPr>
            <w:fldChar w:fldCharType="separate"/>
          </w:r>
          <w:r>
            <w:rPr>
              <w:rFonts w:hint="eastAsia" w:ascii="黑体" w:eastAsia="黑体"/>
              <w:color w:val="auto"/>
              <w:szCs w:val="32"/>
              <w:highlight w:val="none"/>
            </w:rPr>
            <w:t>七、</w:t>
          </w:r>
          <w:r>
            <w:rPr>
              <w:rFonts w:hint="eastAsia" w:ascii="黑体" w:hAnsi="黑体" w:eastAsia="黑体"/>
              <w:color w:val="auto"/>
              <w:highlight w:val="none"/>
            </w:rPr>
            <w:t>财政拨款“三公”经费支出决算情况说明</w:t>
          </w:r>
          <w:r>
            <w:rPr>
              <w:color w:val="auto"/>
              <w:highlight w:val="none"/>
            </w:rPr>
            <w:tab/>
          </w:r>
          <w:r>
            <w:rPr>
              <w:color w:val="auto"/>
              <w:highlight w:val="none"/>
            </w:rPr>
            <w:fldChar w:fldCharType="begin"/>
          </w:r>
          <w:r>
            <w:rPr>
              <w:color w:val="auto"/>
              <w:highlight w:val="none"/>
            </w:rPr>
            <w:instrText xml:space="preserve"> PAGEREF _Toc3480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_Toc3362 </w:instrText>
          </w:r>
          <w:r>
            <w:rPr>
              <w:color w:val="auto"/>
              <w:highlight w:val="none"/>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_Toc3362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_Toc28775 </w:instrText>
          </w:r>
          <w:r>
            <w:rPr>
              <w:color w:val="auto"/>
              <w:highlight w:val="none"/>
            </w:rPr>
            <w:fldChar w:fldCharType="separate"/>
          </w:r>
          <w:r>
            <w:rPr>
              <w:rFonts w:hint="eastAsia" w:ascii="黑体" w:hAnsi="黑体" w:eastAsia="黑体"/>
              <w:color w:val="auto"/>
              <w:highlight w:val="none"/>
            </w:rPr>
            <w:t>九、 国有资本经营预算支出决算情况说明</w:t>
          </w:r>
          <w:r>
            <w:rPr>
              <w:color w:val="auto"/>
              <w:highlight w:val="none"/>
            </w:rPr>
            <w:tab/>
          </w:r>
          <w:r>
            <w:rPr>
              <w:color w:val="auto"/>
              <w:highlight w:val="none"/>
            </w:rPr>
            <w:fldChar w:fldCharType="begin"/>
          </w:r>
          <w:r>
            <w:rPr>
              <w:color w:val="auto"/>
              <w:highlight w:val="none"/>
            </w:rPr>
            <w:instrText xml:space="preserve"> PAGEREF _Toc28775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_Toc8480 </w:instrText>
          </w:r>
          <w:r>
            <w:rPr>
              <w:color w:val="auto"/>
              <w:highlight w:val="none"/>
            </w:rPr>
            <w:fldChar w:fldCharType="separate"/>
          </w:r>
          <w:r>
            <w:rPr>
              <w:rFonts w:hint="eastAsia" w:ascii="黑体" w:hAnsi="黑体" w:eastAsia="黑体"/>
              <w:color w:val="auto"/>
              <w:highlight w:val="none"/>
            </w:rPr>
            <w:t>十、 其他重要事项的情况说明</w:t>
          </w:r>
          <w:r>
            <w:rPr>
              <w:color w:val="auto"/>
              <w:highlight w:val="none"/>
            </w:rPr>
            <w:tab/>
          </w:r>
          <w:r>
            <w:rPr>
              <w:color w:val="auto"/>
              <w:highlight w:val="none"/>
            </w:rPr>
            <w:fldChar w:fldCharType="begin"/>
          </w:r>
          <w:r>
            <w:rPr>
              <w:color w:val="auto"/>
              <w:highlight w:val="none"/>
            </w:rPr>
            <w:instrText xml:space="preserve"> PAGEREF _Toc8480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6"/>
            <w:shd w:val="clear"/>
            <w:tabs>
              <w:tab w:val="right" w:leader="dot" w:pos="10466"/>
            </w:tabs>
            <w:rPr>
              <w:b/>
              <w:color w:val="auto"/>
              <w:highlight w:val="none"/>
            </w:rPr>
          </w:pPr>
          <w:r>
            <w:rPr>
              <w:b/>
              <w:color w:val="auto"/>
              <w:highlight w:val="none"/>
            </w:rPr>
            <w:fldChar w:fldCharType="begin"/>
          </w:r>
          <w:r>
            <w:rPr>
              <w:b/>
              <w:color w:val="auto"/>
              <w:highlight w:val="none"/>
            </w:rPr>
            <w:instrText xml:space="preserve"> HYPERLINK \l _Toc16074 </w:instrText>
          </w:r>
          <w:r>
            <w:rPr>
              <w:b/>
              <w:color w:val="auto"/>
              <w:highlight w:val="none"/>
            </w:rPr>
            <w:fldChar w:fldCharType="separate"/>
          </w:r>
          <w:r>
            <w:rPr>
              <w:rFonts w:hint="eastAsia" w:ascii="黑体" w:hAnsi="黑体" w:eastAsia="黑体"/>
              <w:b/>
              <w:color w:val="auto"/>
              <w:highlight w:val="none"/>
              <w:lang w:eastAsia="zh-CN"/>
            </w:rPr>
            <w:t>第三部分</w:t>
          </w:r>
          <w:r>
            <w:rPr>
              <w:rFonts w:hint="eastAsia" w:ascii="黑体" w:hAnsi="黑体" w:eastAsia="黑体"/>
              <w:b/>
              <w:color w:val="auto"/>
              <w:highlight w:val="none"/>
              <w:lang w:val="en-US" w:eastAsia="zh-CN"/>
            </w:rPr>
            <w:t xml:space="preserve"> </w:t>
          </w:r>
          <w:r>
            <w:rPr>
              <w:rFonts w:hint="eastAsia" w:ascii="黑体" w:hAnsi="黑体" w:eastAsia="黑体"/>
              <w:b/>
              <w:color w:val="auto"/>
              <w:szCs w:val="44"/>
              <w:highlight w:val="none"/>
              <w:lang w:val="en-US" w:eastAsia="zh-CN"/>
            </w:rPr>
            <w:t xml:space="preserve"> </w:t>
          </w:r>
          <w:r>
            <w:rPr>
              <w:rFonts w:hint="eastAsia" w:ascii="黑体" w:hAnsi="黑体" w:eastAsia="黑体"/>
              <w:b/>
              <w:color w:val="auto"/>
              <w:szCs w:val="44"/>
              <w:highlight w:val="none"/>
            </w:rPr>
            <w:t>名</w:t>
          </w:r>
          <w:r>
            <w:rPr>
              <w:rFonts w:hint="eastAsia" w:ascii="黑体" w:hAnsi="黑体" w:eastAsia="黑体"/>
              <w:b/>
              <w:color w:val="auto"/>
              <w:highlight w:val="none"/>
            </w:rPr>
            <w:t>词解释</w:t>
          </w:r>
          <w:r>
            <w:rPr>
              <w:b/>
              <w:color w:val="auto"/>
              <w:highlight w:val="none"/>
            </w:rPr>
            <w:tab/>
          </w:r>
          <w:r>
            <w:rPr>
              <w:b/>
              <w:color w:val="auto"/>
              <w:highlight w:val="none"/>
            </w:rPr>
            <w:fldChar w:fldCharType="begin"/>
          </w:r>
          <w:r>
            <w:rPr>
              <w:b/>
              <w:color w:val="auto"/>
              <w:highlight w:val="none"/>
            </w:rPr>
            <w:instrText xml:space="preserve"> PAGEREF _Toc16074 \h </w:instrText>
          </w:r>
          <w:r>
            <w:rPr>
              <w:b/>
              <w:color w:val="auto"/>
              <w:highlight w:val="none"/>
            </w:rPr>
            <w:fldChar w:fldCharType="separate"/>
          </w:r>
          <w:r>
            <w:rPr>
              <w:b/>
              <w:color w:val="auto"/>
              <w:highlight w:val="none"/>
            </w:rPr>
            <w:t>9</w:t>
          </w:r>
          <w:r>
            <w:rPr>
              <w:b/>
              <w:color w:val="auto"/>
              <w:highlight w:val="none"/>
            </w:rPr>
            <w:fldChar w:fldCharType="end"/>
          </w:r>
          <w:r>
            <w:rPr>
              <w:b/>
              <w:color w:val="auto"/>
              <w:highlight w:val="none"/>
            </w:rPr>
            <w:fldChar w:fldCharType="end"/>
          </w:r>
        </w:p>
        <w:p>
          <w:pPr>
            <w:pStyle w:val="36"/>
            <w:shd w:val="clear"/>
            <w:tabs>
              <w:tab w:val="right" w:leader="dot" w:pos="10466"/>
            </w:tabs>
            <w:rPr>
              <w:b/>
              <w:color w:val="auto"/>
              <w:highlight w:val="none"/>
            </w:rPr>
          </w:pPr>
          <w:r>
            <w:rPr>
              <w:b/>
              <w:color w:val="auto"/>
              <w:highlight w:val="none"/>
            </w:rPr>
            <w:fldChar w:fldCharType="begin"/>
          </w:r>
          <w:r>
            <w:rPr>
              <w:b/>
              <w:color w:val="auto"/>
              <w:highlight w:val="none"/>
            </w:rPr>
            <w:instrText xml:space="preserve"> HYPERLINK \l _Toc28864 </w:instrText>
          </w:r>
          <w:r>
            <w:rPr>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四部分 附件</w:t>
          </w:r>
          <w:r>
            <w:rPr>
              <w:b/>
              <w:color w:val="auto"/>
              <w:highlight w:val="none"/>
            </w:rPr>
            <w:tab/>
          </w:r>
          <w:r>
            <w:rPr>
              <w:b/>
              <w:color w:val="auto"/>
              <w:highlight w:val="none"/>
            </w:rPr>
            <w:fldChar w:fldCharType="begin"/>
          </w:r>
          <w:r>
            <w:rPr>
              <w:b/>
              <w:color w:val="auto"/>
              <w:highlight w:val="none"/>
            </w:rPr>
            <w:instrText xml:space="preserve"> PAGEREF _Toc28864 \h </w:instrText>
          </w:r>
          <w:r>
            <w:rPr>
              <w:b/>
              <w:color w:val="auto"/>
              <w:highlight w:val="none"/>
            </w:rPr>
            <w:fldChar w:fldCharType="separate"/>
          </w:r>
          <w:r>
            <w:rPr>
              <w:b/>
              <w:color w:val="auto"/>
              <w:highlight w:val="none"/>
            </w:rPr>
            <w:t>11</w:t>
          </w:r>
          <w:r>
            <w:rPr>
              <w:b/>
              <w:color w:val="auto"/>
              <w:highlight w:val="none"/>
            </w:rPr>
            <w:fldChar w:fldCharType="end"/>
          </w:r>
          <w:r>
            <w:rPr>
              <w:b/>
              <w:color w:val="auto"/>
              <w:highlight w:val="none"/>
            </w:rPr>
            <w:fldChar w:fldCharType="end"/>
          </w:r>
        </w:p>
        <w:p>
          <w:pPr>
            <w:pStyle w:val="36"/>
            <w:shd w:val="clear"/>
            <w:tabs>
              <w:tab w:val="right" w:leader="dot" w:pos="10466"/>
            </w:tabs>
            <w:rPr>
              <w:b/>
              <w:color w:val="auto"/>
              <w:highlight w:val="none"/>
            </w:rPr>
          </w:pPr>
          <w:r>
            <w:rPr>
              <w:b/>
              <w:color w:val="auto"/>
              <w:highlight w:val="none"/>
            </w:rPr>
            <w:fldChar w:fldCharType="begin"/>
          </w:r>
          <w:r>
            <w:rPr>
              <w:b/>
              <w:color w:val="auto"/>
              <w:highlight w:val="none"/>
            </w:rPr>
            <w:instrText xml:space="preserve"> HYPERLINK \l _Toc1805 </w:instrText>
          </w:r>
          <w:r>
            <w:rPr>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 附表</w:t>
          </w:r>
          <w:r>
            <w:rPr>
              <w:b/>
              <w:color w:val="auto"/>
              <w:highlight w:val="none"/>
            </w:rPr>
            <w:tab/>
          </w:r>
          <w:r>
            <w:rPr>
              <w:b/>
              <w:color w:val="auto"/>
              <w:highlight w:val="none"/>
            </w:rPr>
            <w:fldChar w:fldCharType="begin"/>
          </w:r>
          <w:r>
            <w:rPr>
              <w:b/>
              <w:color w:val="auto"/>
              <w:highlight w:val="none"/>
            </w:rPr>
            <w:instrText xml:space="preserve"> PAGEREF _Toc1805 \h </w:instrText>
          </w:r>
          <w:r>
            <w:rPr>
              <w:b/>
              <w:color w:val="auto"/>
              <w:highlight w:val="none"/>
            </w:rPr>
            <w:fldChar w:fldCharType="separate"/>
          </w:r>
          <w:r>
            <w:rPr>
              <w:b/>
              <w:color w:val="auto"/>
              <w:highlight w:val="none"/>
            </w:rPr>
            <w:t>57</w:t>
          </w:r>
          <w:r>
            <w:rPr>
              <w:b/>
              <w:color w:val="auto"/>
              <w:highlight w:val="none"/>
            </w:rPr>
            <w:fldChar w:fldCharType="end"/>
          </w:r>
          <w:r>
            <w:rPr>
              <w:b/>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_Toc29569 </w:instrText>
          </w:r>
          <w:r>
            <w:rPr>
              <w:color w:val="auto"/>
              <w:highlight w:val="none"/>
            </w:rPr>
            <w:fldChar w:fldCharType="separate"/>
          </w: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rPr>
              <w:color w:val="auto"/>
              <w:highlight w:val="none"/>
            </w:rPr>
            <w:tab/>
          </w:r>
          <w:r>
            <w:rPr>
              <w:color w:val="auto"/>
              <w:highlight w:val="none"/>
            </w:rPr>
            <w:fldChar w:fldCharType="begin"/>
          </w:r>
          <w:r>
            <w:rPr>
              <w:color w:val="auto"/>
              <w:highlight w:val="none"/>
            </w:rPr>
            <w:instrText xml:space="preserve"> PAGEREF _Toc29569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_Toc1583 </w:instrText>
          </w:r>
          <w:r>
            <w:rPr>
              <w:color w:val="auto"/>
              <w:highlight w:val="none"/>
            </w:rPr>
            <w:fldChar w:fldCharType="separate"/>
          </w:r>
          <w:r>
            <w:rPr>
              <w:rFonts w:hint="eastAsia" w:ascii="仿宋" w:hAnsi="仿宋" w:eastAsia="仿宋"/>
              <w:color w:val="auto"/>
              <w:highlight w:val="none"/>
            </w:rPr>
            <w:t>二、收</w:t>
          </w:r>
          <w:r>
            <w:rPr>
              <w:rFonts w:hint="eastAsia" w:ascii="仿宋" w:hAnsi="仿宋" w:eastAsia="仿宋"/>
              <w:bCs w:val="0"/>
              <w:color w:val="auto"/>
              <w:highlight w:val="none"/>
            </w:rPr>
            <w:t>入决算表</w:t>
          </w:r>
          <w:r>
            <w:rPr>
              <w:color w:val="auto"/>
              <w:highlight w:val="none"/>
            </w:rPr>
            <w:tab/>
          </w:r>
          <w:r>
            <w:rPr>
              <w:color w:val="auto"/>
              <w:highlight w:val="none"/>
            </w:rPr>
            <w:fldChar w:fldCharType="begin"/>
          </w:r>
          <w:r>
            <w:rPr>
              <w:color w:val="auto"/>
              <w:highlight w:val="none"/>
            </w:rPr>
            <w:instrText xml:space="preserve"> PAGEREF _Toc1583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_Toc16819 </w:instrText>
          </w:r>
          <w:r>
            <w:rPr>
              <w:color w:val="auto"/>
              <w:highlight w:val="none"/>
            </w:rPr>
            <w:fldChar w:fldCharType="separate"/>
          </w: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rPr>
              <w:color w:val="auto"/>
              <w:highlight w:val="none"/>
            </w:rPr>
            <w:tab/>
          </w:r>
          <w:r>
            <w:rPr>
              <w:color w:val="auto"/>
              <w:highlight w:val="none"/>
            </w:rPr>
            <w:fldChar w:fldCharType="begin"/>
          </w:r>
          <w:r>
            <w:rPr>
              <w:color w:val="auto"/>
              <w:highlight w:val="none"/>
            </w:rPr>
            <w:instrText xml:space="preserve"> PAGEREF _Toc16819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_Toc364 </w:instrText>
          </w:r>
          <w:r>
            <w:rPr>
              <w:color w:val="auto"/>
              <w:highlight w:val="none"/>
            </w:rPr>
            <w:fldChar w:fldCharType="separate"/>
          </w: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rPr>
              <w:color w:val="auto"/>
              <w:highlight w:val="none"/>
            </w:rPr>
            <w:tab/>
          </w:r>
          <w:r>
            <w:rPr>
              <w:color w:val="auto"/>
              <w:highlight w:val="none"/>
            </w:rPr>
            <w:fldChar w:fldCharType="begin"/>
          </w:r>
          <w:r>
            <w:rPr>
              <w:color w:val="auto"/>
              <w:highlight w:val="none"/>
            </w:rPr>
            <w:instrText xml:space="preserve"> PAGEREF _Toc364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_Toc17571 </w:instrText>
          </w:r>
          <w:r>
            <w:rPr>
              <w:color w:val="auto"/>
              <w:highlight w:val="none"/>
            </w:rPr>
            <w:fldChar w:fldCharType="separate"/>
          </w: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rPr>
              <w:color w:val="auto"/>
              <w:highlight w:val="none"/>
            </w:rPr>
            <w:tab/>
          </w:r>
          <w:r>
            <w:rPr>
              <w:color w:val="auto"/>
              <w:highlight w:val="none"/>
            </w:rPr>
            <w:fldChar w:fldCharType="begin"/>
          </w:r>
          <w:r>
            <w:rPr>
              <w:color w:val="auto"/>
              <w:highlight w:val="none"/>
            </w:rPr>
            <w:instrText xml:space="preserve"> PAGEREF _Toc17571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_Toc10311 </w:instrText>
          </w:r>
          <w:r>
            <w:rPr>
              <w:color w:val="auto"/>
              <w:highlight w:val="none"/>
            </w:rPr>
            <w:fldChar w:fldCharType="separate"/>
          </w: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rPr>
              <w:color w:val="auto"/>
              <w:highlight w:val="none"/>
            </w:rPr>
            <w:tab/>
          </w:r>
          <w:r>
            <w:rPr>
              <w:color w:val="auto"/>
              <w:highlight w:val="none"/>
            </w:rPr>
            <w:fldChar w:fldCharType="begin"/>
          </w:r>
          <w:r>
            <w:rPr>
              <w:color w:val="auto"/>
              <w:highlight w:val="none"/>
            </w:rPr>
            <w:instrText xml:space="preserve"> PAGEREF _Toc10311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_Toc6193 </w:instrText>
          </w:r>
          <w:r>
            <w:rPr>
              <w:color w:val="auto"/>
              <w:highlight w:val="none"/>
            </w:rPr>
            <w:fldChar w:fldCharType="separate"/>
          </w: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rPr>
              <w:color w:val="auto"/>
              <w:highlight w:val="none"/>
            </w:rPr>
            <w:tab/>
          </w:r>
          <w:r>
            <w:rPr>
              <w:color w:val="auto"/>
              <w:highlight w:val="none"/>
            </w:rPr>
            <w:fldChar w:fldCharType="begin"/>
          </w:r>
          <w:r>
            <w:rPr>
              <w:color w:val="auto"/>
              <w:highlight w:val="none"/>
            </w:rPr>
            <w:instrText xml:space="preserve"> PAGEREF _Toc6193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_Toc20452 </w:instrText>
          </w:r>
          <w:r>
            <w:rPr>
              <w:color w:val="auto"/>
              <w:highlight w:val="none"/>
            </w:rPr>
            <w:fldChar w:fldCharType="separate"/>
          </w: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rPr>
              <w:color w:val="auto"/>
              <w:highlight w:val="none"/>
            </w:rPr>
            <w:tab/>
          </w:r>
          <w:r>
            <w:rPr>
              <w:color w:val="auto"/>
              <w:highlight w:val="none"/>
            </w:rPr>
            <w:fldChar w:fldCharType="begin"/>
          </w:r>
          <w:r>
            <w:rPr>
              <w:color w:val="auto"/>
              <w:highlight w:val="none"/>
            </w:rPr>
            <w:instrText xml:space="preserve"> PAGEREF _Toc20452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_Toc19113 </w:instrText>
          </w:r>
          <w:r>
            <w:rPr>
              <w:color w:val="auto"/>
              <w:highlight w:val="none"/>
            </w:rPr>
            <w:fldChar w:fldCharType="separate"/>
          </w: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rPr>
              <w:color w:val="auto"/>
              <w:highlight w:val="none"/>
            </w:rPr>
            <w:tab/>
          </w:r>
          <w:r>
            <w:rPr>
              <w:color w:val="auto"/>
              <w:highlight w:val="none"/>
            </w:rPr>
            <w:fldChar w:fldCharType="begin"/>
          </w:r>
          <w:r>
            <w:rPr>
              <w:color w:val="auto"/>
              <w:highlight w:val="none"/>
            </w:rPr>
            <w:instrText xml:space="preserve"> PAGEREF _Toc19113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_Toc3116 </w:instrText>
          </w:r>
          <w:r>
            <w:rPr>
              <w:color w:val="auto"/>
              <w:highlight w:val="none"/>
            </w:rPr>
            <w:fldChar w:fldCharType="separate"/>
          </w:r>
          <w:r>
            <w:rPr>
              <w:rFonts w:hint="eastAsia" w:ascii="仿宋" w:hAnsi="仿宋" w:eastAsia="仿宋"/>
              <w:bCs w:val="0"/>
              <w:color w:val="auto"/>
              <w:highlight w:val="none"/>
            </w:rPr>
            <w:t>十、</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_Toc3116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_Toc11226 </w:instrText>
          </w:r>
          <w:r>
            <w:rPr>
              <w:color w:val="auto"/>
              <w:highlight w:val="none"/>
            </w:rPr>
            <w:fldChar w:fldCharType="separate"/>
          </w:r>
          <w:r>
            <w:rPr>
              <w:rFonts w:hint="eastAsia" w:ascii="仿宋" w:hAnsi="仿宋" w:eastAsia="仿宋"/>
              <w:bCs w:val="0"/>
              <w:color w:val="auto"/>
              <w:highlight w:val="none"/>
            </w:rPr>
            <w:t>十一、</w:t>
          </w:r>
          <w:r>
            <w:rPr>
              <w:rFonts w:hint="eastAsia" w:ascii="仿宋" w:hAnsi="仿宋" w:eastAsia="仿宋"/>
              <w:color w:val="auto"/>
              <w:highlight w:val="none"/>
            </w:rPr>
            <w:t>国</w:t>
          </w:r>
          <w:r>
            <w:rPr>
              <w:rFonts w:hint="eastAsia" w:ascii="仿宋" w:hAnsi="仿宋" w:eastAsia="仿宋"/>
              <w:bCs w:val="0"/>
              <w:color w:val="auto"/>
              <w:highlight w:val="none"/>
            </w:rPr>
            <w:t>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rPr>
              <w:color w:val="auto"/>
              <w:highlight w:val="none"/>
            </w:rPr>
            <w:tab/>
          </w:r>
          <w:r>
            <w:rPr>
              <w:color w:val="auto"/>
              <w:highlight w:val="none"/>
            </w:rPr>
            <w:fldChar w:fldCharType="begin"/>
          </w:r>
          <w:r>
            <w:rPr>
              <w:color w:val="auto"/>
              <w:highlight w:val="none"/>
            </w:rPr>
            <w:instrText xml:space="preserve"> PAGEREF _Toc11226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_Toc29465 </w:instrText>
          </w:r>
          <w:r>
            <w:rPr>
              <w:color w:val="auto"/>
              <w:highlight w:val="none"/>
            </w:rPr>
            <w:fldChar w:fldCharType="separate"/>
          </w:r>
          <w:r>
            <w:rPr>
              <w:rFonts w:hint="eastAsia" w:ascii="仿宋" w:hAnsi="仿宋" w:eastAsia="仿宋"/>
              <w:bCs w:val="0"/>
              <w:color w:val="auto"/>
              <w:highlight w:val="none"/>
            </w:rPr>
            <w:t>十二、</w:t>
          </w:r>
          <w:r>
            <w:rPr>
              <w:rFonts w:hint="eastAsia" w:ascii="仿宋" w:hAnsi="仿宋" w:eastAsia="仿宋"/>
              <w:bCs w:val="0"/>
              <w:color w:val="auto"/>
              <w:highlight w:val="none"/>
              <w:lang w:eastAsia="zh-CN"/>
            </w:rPr>
            <w:t>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_Toc29465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37"/>
            <w:shd w:val="clear"/>
            <w:tabs>
              <w:tab w:val="right" w:leader="dot" w:pos="10466"/>
            </w:tabs>
            <w:rPr>
              <w:color w:val="auto"/>
              <w:highlight w:val="none"/>
            </w:rPr>
          </w:pPr>
          <w:r>
            <w:rPr>
              <w:color w:val="auto"/>
              <w:highlight w:val="none"/>
            </w:rPr>
            <w:fldChar w:fldCharType="begin"/>
          </w:r>
          <w:r>
            <w:rPr>
              <w:color w:val="auto"/>
              <w:highlight w:val="none"/>
            </w:rPr>
            <w:instrText xml:space="preserve"> HYPERLINK \l _Toc29110 </w:instrText>
          </w:r>
          <w:r>
            <w:rPr>
              <w:color w:val="auto"/>
              <w:highlight w:val="none"/>
            </w:rPr>
            <w:fldChar w:fldCharType="separate"/>
          </w:r>
          <w:r>
            <w:rPr>
              <w:rFonts w:hint="eastAsia" w:ascii="仿宋" w:hAnsi="仿宋" w:eastAsia="仿宋"/>
              <w:bCs w:val="0"/>
              <w:color w:val="auto"/>
              <w:highlight w:val="none"/>
            </w:rPr>
            <w:t>十三、</w:t>
          </w:r>
          <w:r>
            <w:rPr>
              <w:rFonts w:hint="eastAsia" w:ascii="仿宋" w:hAnsi="仿宋" w:eastAsia="仿宋"/>
              <w:bCs w:val="0"/>
              <w:color w:val="auto"/>
              <w:highlight w:val="none"/>
              <w:lang w:eastAsia="zh-CN"/>
            </w:rPr>
            <w:t>财政拨款“三公”经费支出决算表</w:t>
          </w:r>
          <w:r>
            <w:rPr>
              <w:color w:val="auto"/>
              <w:highlight w:val="none"/>
            </w:rPr>
            <w:tab/>
          </w:r>
          <w:r>
            <w:rPr>
              <w:color w:val="auto"/>
              <w:highlight w:val="none"/>
            </w:rPr>
            <w:fldChar w:fldCharType="begin"/>
          </w:r>
          <w:r>
            <w:rPr>
              <w:color w:val="auto"/>
              <w:highlight w:val="none"/>
            </w:rPr>
            <w:instrText xml:space="preserve"> PAGEREF _Toc29110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shd w:val="clear"/>
            <w:jc w:val="both"/>
            <w:rPr>
              <w:color w:val="auto"/>
              <w:highlight w:val="none"/>
            </w:rPr>
          </w:pPr>
          <w:r>
            <w:rPr>
              <w:b/>
              <w:color w:val="auto"/>
              <w:highlight w:val="none"/>
            </w:rPr>
            <w:fldChar w:fldCharType="end"/>
          </w:r>
        </w:p>
      </w:sdtContent>
    </w:sdt>
    <w:p>
      <w:pPr>
        <w:pStyle w:val="4"/>
        <w:shd w:val="clear"/>
        <w:jc w:val="center"/>
        <w:rPr>
          <w:rFonts w:hint="eastAsia" w:ascii="黑体" w:hAnsi="黑体" w:eastAsia="黑体"/>
          <w:b w:val="0"/>
          <w:color w:val="auto"/>
          <w:highlight w:val="none"/>
        </w:rPr>
        <w:sectPr>
          <w:headerReference r:id="rId4" w:type="default"/>
          <w:footerReference r:id="rId5" w:type="default"/>
          <w:pgSz w:w="11906" w:h="16838"/>
          <w:pgMar w:top="720" w:right="720" w:bottom="720" w:left="720" w:header="851" w:footer="992" w:gutter="0"/>
          <w:pgNumType w:start="1"/>
          <w:cols w:space="425" w:num="1"/>
          <w:titlePg/>
          <w:docGrid w:type="lines" w:linePitch="312" w:charSpace="0"/>
        </w:sectPr>
      </w:pPr>
      <w:bookmarkStart w:id="14" w:name="_Toc3110"/>
      <w:bookmarkStart w:id="15" w:name="_Toc15377196"/>
      <w:bookmarkStart w:id="16" w:name="_Toc15396599"/>
    </w:p>
    <w:p>
      <w:pPr>
        <w:pStyle w:val="4"/>
        <w:shd w:val="clear"/>
        <w:jc w:val="center"/>
        <w:rPr>
          <w:rStyle w:val="2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0"/>
          <w:rFonts w:hint="eastAsia" w:ascii="黑体" w:hAnsi="黑体" w:eastAsia="黑体"/>
          <w:b w:val="0"/>
          <w:bCs w:val="0"/>
          <w:color w:val="auto"/>
          <w:highlight w:val="none"/>
        </w:rPr>
        <w:t>部门概况</w:t>
      </w:r>
      <w:bookmarkEnd w:id="14"/>
      <w:bookmarkEnd w:id="15"/>
      <w:bookmarkEnd w:id="16"/>
    </w:p>
    <w:p>
      <w:pPr>
        <w:pStyle w:val="5"/>
        <w:numPr>
          <w:ilvl w:val="0"/>
          <w:numId w:val="1"/>
        </w:numPr>
        <w:shd w:val="clear"/>
        <w:rPr>
          <w:rFonts w:hint="eastAsia" w:ascii="黑体" w:hAnsi="黑体" w:eastAsia="黑体"/>
          <w:b w:val="0"/>
          <w:color w:val="auto"/>
          <w:highlight w:val="none"/>
          <w:lang w:eastAsia="zh-CN"/>
        </w:rPr>
      </w:pPr>
      <w:bookmarkStart w:id="17" w:name="_Toc31633"/>
      <w:r>
        <w:rPr>
          <w:rFonts w:hint="eastAsia" w:ascii="黑体" w:hAnsi="黑体" w:eastAsia="黑体"/>
          <w:b w:val="0"/>
          <w:color w:val="auto"/>
          <w:highlight w:val="none"/>
          <w:lang w:eastAsia="zh-CN"/>
        </w:rPr>
        <w:t>部门职责</w:t>
      </w:r>
      <w:bookmarkEnd w:id="17"/>
    </w:p>
    <w:p>
      <w:pPr>
        <w:pStyle w:val="15"/>
        <w:pageBreakBefore w:val="0"/>
        <w:shd w:val="clear" w:color="auto"/>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color w:val="auto"/>
          <w:highlight w:val="none"/>
          <w:lang w:eastAsia="zh-CN"/>
        </w:rPr>
      </w:pPr>
      <w:r>
        <w:rPr>
          <w:rFonts w:hint="eastAsia" w:ascii="仿宋" w:hAnsi="仿宋" w:eastAsia="仿宋"/>
          <w:bCs/>
          <w:color w:val="auto"/>
          <w:sz w:val="32"/>
          <w:szCs w:val="32"/>
          <w:highlight w:val="none"/>
        </w:rPr>
        <w:t>我局的基本职能主要是负责全市国民经济核算，主管全市统计工作，分析和预测国民经济、社会发展、科技进步和资源环境等情况，</w:t>
      </w:r>
      <w:r>
        <w:rPr>
          <w:rFonts w:hint="eastAsia" w:ascii="仿宋_GB2312" w:hAnsi="仿宋" w:eastAsia="仿宋_GB2312"/>
          <w:color w:val="auto"/>
          <w:sz w:val="32"/>
          <w:szCs w:val="32"/>
          <w:highlight w:val="none"/>
        </w:rPr>
        <w:t>贯彻执行有关统计工作的方针、政策和法律、法规、规章；结合本市实际，研究起草有关统计工作的地方性法规、规章草案和政策，并组织实施有关法规、规章和政策。建立和完善统计指标体系，制定全市统一的基本统计制度；组织领导和监督检查各区县、各部门的统计和国民经济核算工作。会同有关部门组织重大的国情、国力调查和开展各项普查；</w:t>
      </w:r>
      <w:r>
        <w:rPr>
          <w:rFonts w:hint="eastAsia" w:ascii="仿宋" w:hAnsi="仿宋" w:eastAsia="仿宋"/>
          <w:bCs/>
          <w:color w:val="auto"/>
          <w:sz w:val="32"/>
          <w:szCs w:val="32"/>
          <w:highlight w:val="none"/>
        </w:rPr>
        <w:t>定期发布全市经济社会发展情况的统计信息，向市委、市政府及有关部门提供统计咨询建议，向社会公众提供统计信息服务等</w:t>
      </w:r>
      <w:r>
        <w:rPr>
          <w:rFonts w:hint="eastAsia" w:ascii="仿宋" w:hAnsi="仿宋" w:eastAsia="仿宋"/>
          <w:bCs/>
          <w:color w:val="auto"/>
          <w:sz w:val="32"/>
          <w:szCs w:val="32"/>
          <w:highlight w:val="none"/>
          <w:lang w:eastAsia="zh-CN"/>
        </w:rPr>
        <w:t>，</w:t>
      </w:r>
      <w:r>
        <w:rPr>
          <w:rFonts w:hint="eastAsia" w:ascii="仿宋_GB2312" w:hAnsi="仿宋" w:eastAsia="仿宋_GB2312"/>
          <w:color w:val="auto"/>
          <w:sz w:val="32"/>
          <w:szCs w:val="32"/>
          <w:highlight w:val="none"/>
        </w:rPr>
        <w:t>承办市政府交办的其他事项。</w:t>
      </w:r>
    </w:p>
    <w:p>
      <w:pPr>
        <w:pStyle w:val="5"/>
        <w:shd w:val="clear"/>
        <w:rPr>
          <w:rStyle w:val="21"/>
          <w:b w:val="0"/>
          <w:bCs w:val="0"/>
          <w:color w:val="auto"/>
          <w:highlight w:val="none"/>
        </w:rPr>
      </w:pPr>
      <w:bookmarkStart w:id="18" w:name="_Toc15396601"/>
      <w:bookmarkStart w:id="19" w:name="_Toc15377200"/>
      <w:bookmarkStart w:id="20" w:name="_Toc31519"/>
      <w:r>
        <w:rPr>
          <w:rFonts w:hint="eastAsia" w:ascii="黑体" w:eastAsia="黑体"/>
          <w:b w:val="0"/>
          <w:color w:val="auto"/>
          <w:highlight w:val="none"/>
        </w:rPr>
        <w:t>二、</w:t>
      </w:r>
      <w:r>
        <w:rPr>
          <w:rFonts w:hint="eastAsia" w:ascii="黑体" w:hAnsi="黑体" w:eastAsia="黑体"/>
          <w:b w:val="0"/>
          <w:color w:val="auto"/>
          <w:highlight w:val="none"/>
        </w:rPr>
        <w:t>机</w:t>
      </w:r>
      <w:r>
        <w:rPr>
          <w:rStyle w:val="21"/>
          <w:rFonts w:hint="eastAsia" w:ascii="黑体" w:hAnsi="黑体" w:eastAsia="黑体"/>
          <w:b w:val="0"/>
          <w:bCs w:val="0"/>
          <w:color w:val="auto"/>
          <w:highlight w:val="none"/>
        </w:rPr>
        <w:t>构设置</w:t>
      </w:r>
      <w:bookmarkEnd w:id="18"/>
      <w:bookmarkEnd w:id="19"/>
      <w:bookmarkEnd w:id="20"/>
    </w:p>
    <w:p>
      <w:pPr>
        <w:pageBreakBefore w:val="0"/>
        <w:shd w:val="clear"/>
        <w:kinsoku/>
        <w:wordWrap/>
        <w:overflowPunct/>
        <w:topLinePunct w:val="0"/>
        <w:autoSpaceDE/>
        <w:autoSpaceDN/>
        <w:bidi w:val="0"/>
        <w:adjustRightInd/>
        <w:snapToGrid w:val="0"/>
        <w:spacing w:line="360" w:lineRule="auto"/>
        <w:ind w:firstLine="640" w:firstLineChars="200"/>
        <w:rPr>
          <w:rFonts w:hint="eastAsia" w:ascii="仿宋" w:hAnsi="仿宋" w:eastAsia="仿宋" w:cs="宋体"/>
          <w:bCs/>
          <w:color w:val="auto"/>
          <w:kern w:val="0"/>
          <w:sz w:val="32"/>
          <w:szCs w:val="32"/>
          <w:highlight w:val="none"/>
          <w:lang w:val="en-US" w:eastAsia="zh-CN" w:bidi="ar-SA"/>
        </w:rPr>
      </w:pPr>
      <w:r>
        <w:rPr>
          <w:rFonts w:hint="eastAsia" w:ascii="仿宋" w:hAnsi="仿宋" w:eastAsia="仿宋" w:cs="宋体"/>
          <w:bCs/>
          <w:color w:val="auto"/>
          <w:kern w:val="0"/>
          <w:sz w:val="32"/>
          <w:szCs w:val="32"/>
          <w:highlight w:val="none"/>
          <w:lang w:val="en-US" w:eastAsia="zh-CN" w:bidi="ar-SA"/>
        </w:rPr>
        <w:t>我局为一级预算的行政单位，无二级单位，下属参照公务员法管理的事业单位1个，全额拨款事业单位1个。本单位共有编制41名。总编制40个。其中局机关23名，包括行政编制21名、工勤2名；市普查中心编制6名；市统计大数据管理与社情民意调查中心编制12名。在职人员44名，其中财政供养人员44人，局机关23人包括行政人员21人、工勤2人，市普查中心6人包括行政人员4名、工勤人员1名，市统计大数据管理与社情民意调查中心全额事业人员16名；长期聘用人员1人。</w:t>
      </w:r>
    </w:p>
    <w:p>
      <w:pPr>
        <w:pStyle w:val="4"/>
        <w:shd w:val="clear"/>
        <w:ind w:right="440"/>
        <w:jc w:val="center"/>
        <w:rPr>
          <w:rStyle w:val="20"/>
          <w:rFonts w:ascii="黑体" w:hAnsi="黑体" w:eastAsia="黑体"/>
          <w:b w:val="0"/>
          <w:bCs/>
          <w:color w:val="auto"/>
          <w:highlight w:val="none"/>
        </w:rPr>
      </w:pPr>
      <w:bookmarkStart w:id="21" w:name="_Toc15377204"/>
      <w:bookmarkStart w:id="22" w:name="_Toc503"/>
      <w:bookmarkStart w:id="23"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0"/>
          <w:rFonts w:hint="eastAsia" w:ascii="黑体" w:hAnsi="黑体" w:eastAsia="黑体"/>
          <w:b w:val="0"/>
          <w:bCs/>
          <w:color w:val="auto"/>
          <w:highlight w:val="none"/>
        </w:rPr>
        <w:t>部门决算情况说明</w:t>
      </w:r>
      <w:bookmarkEnd w:id="21"/>
      <w:bookmarkEnd w:id="22"/>
      <w:bookmarkEnd w:id="23"/>
    </w:p>
    <w:p>
      <w:pPr>
        <w:shd w:val="clear"/>
        <w:rPr>
          <w:color w:val="auto"/>
          <w:highlight w:val="none"/>
        </w:rPr>
      </w:pPr>
    </w:p>
    <w:p>
      <w:pPr>
        <w:pStyle w:val="31"/>
        <w:numPr>
          <w:ilvl w:val="0"/>
          <w:numId w:val="2"/>
        </w:numPr>
        <w:shd w:val="clear"/>
        <w:spacing w:line="600" w:lineRule="exact"/>
        <w:ind w:firstLineChars="0"/>
        <w:outlineLvl w:val="1"/>
        <w:rPr>
          <w:rStyle w:val="21"/>
          <w:rFonts w:ascii="黑体" w:hAnsi="黑体" w:eastAsia="黑体"/>
          <w:b w:val="0"/>
          <w:color w:val="auto"/>
          <w:highlight w:val="none"/>
        </w:rPr>
      </w:pPr>
      <w:bookmarkStart w:id="24" w:name="_Toc15377205"/>
      <w:bookmarkStart w:id="25" w:name="_Toc20503"/>
      <w:bookmarkStart w:id="26" w:name="_Toc15396603"/>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入支出决算总体情况说明</w:t>
      </w:r>
      <w:bookmarkEnd w:id="24"/>
      <w:bookmarkEnd w:id="25"/>
      <w:bookmarkEnd w:id="26"/>
    </w:p>
    <w:p>
      <w:pPr>
        <w:shd w:val="clea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978.6</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73.48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8.12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新进人员</w:t>
      </w:r>
      <w:r>
        <w:rPr>
          <w:rFonts w:hint="eastAsia" w:ascii="仿宋" w:hAnsi="仿宋" w:eastAsia="仿宋"/>
          <w:color w:val="auto"/>
          <w:sz w:val="32"/>
          <w:szCs w:val="32"/>
          <w:highlight w:val="none"/>
          <w:lang w:val="en-US" w:eastAsia="zh-CN"/>
        </w:rPr>
        <w:t>5人，基础性绩效补发调增，承担临时性工作追加工作经费30万元等</w:t>
      </w:r>
      <w:r>
        <w:rPr>
          <w:rFonts w:hint="eastAsia" w:ascii="仿宋" w:hAnsi="仿宋" w:eastAsia="仿宋"/>
          <w:color w:val="auto"/>
          <w:sz w:val="32"/>
          <w:szCs w:val="32"/>
          <w:highlight w:val="none"/>
          <w:lang w:eastAsia="zh-CN"/>
        </w:rPr>
        <w:t>。</w:t>
      </w:r>
    </w:p>
    <w:p>
      <w:pPr>
        <w:keepNext w:val="0"/>
        <w:keepLines w:val="0"/>
        <w:widowControl/>
        <w:suppressLineNumbers w:val="0"/>
        <w:shd w:val="clear"/>
        <w:jc w:val="center"/>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5267960" cy="3016250"/>
            <wp:effectExtent l="0" t="0" r="8890"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5267960" cy="3016250"/>
                    </a:xfrm>
                    <a:prstGeom prst="rect">
                      <a:avLst/>
                    </a:prstGeom>
                    <a:noFill/>
                    <a:ln w="9525">
                      <a:noFill/>
                    </a:ln>
                  </pic:spPr>
                </pic:pic>
              </a:graphicData>
            </a:graphic>
          </wp:inline>
        </w:drawing>
      </w:r>
    </w:p>
    <w:p>
      <w:pPr>
        <w:shd w:val="clear"/>
        <w:spacing w:line="600" w:lineRule="exact"/>
        <w:ind w:firstLine="640" w:firstLineChars="200"/>
        <w:jc w:val="left"/>
        <w:rPr>
          <w:rFonts w:ascii="仿宋_GB2312" w:eastAsia="仿宋_GB2312"/>
          <w:color w:val="auto"/>
          <w:sz w:val="32"/>
          <w:szCs w:val="32"/>
          <w:highlight w:val="none"/>
        </w:rPr>
      </w:pPr>
    </w:p>
    <w:p>
      <w:pPr>
        <w:pStyle w:val="31"/>
        <w:numPr>
          <w:ilvl w:val="0"/>
          <w:numId w:val="2"/>
        </w:numPr>
        <w:shd w:val="clear"/>
        <w:spacing w:line="600" w:lineRule="exact"/>
        <w:ind w:firstLineChars="0"/>
        <w:outlineLvl w:val="1"/>
        <w:rPr>
          <w:rStyle w:val="21"/>
          <w:rFonts w:ascii="黑体" w:hAnsi="黑体" w:eastAsia="黑体"/>
          <w:b w:val="0"/>
          <w:color w:val="auto"/>
          <w:highlight w:val="none"/>
        </w:rPr>
      </w:pPr>
      <w:bookmarkStart w:id="27" w:name="_Toc15377206"/>
      <w:bookmarkStart w:id="28" w:name="_Toc15396604"/>
      <w:bookmarkStart w:id="29" w:name="_Toc9265"/>
      <w:r>
        <w:rPr>
          <w:rFonts w:hint="eastAsia" w:ascii="黑体" w:hAnsi="黑体" w:eastAsia="黑体"/>
          <w:color w:val="auto"/>
          <w:sz w:val="32"/>
          <w:szCs w:val="32"/>
          <w:highlight w:val="none"/>
        </w:rPr>
        <w:t>收</w:t>
      </w:r>
      <w:r>
        <w:rPr>
          <w:rStyle w:val="21"/>
          <w:rFonts w:hint="eastAsia" w:ascii="黑体" w:hAnsi="黑体" w:eastAsia="黑体"/>
          <w:b w:val="0"/>
          <w:color w:val="auto"/>
          <w:highlight w:val="none"/>
        </w:rPr>
        <w:t>入决算情况说明</w:t>
      </w:r>
      <w:bookmarkEnd w:id="27"/>
      <w:bookmarkEnd w:id="28"/>
      <w:bookmarkEnd w:id="29"/>
    </w:p>
    <w:p>
      <w:pPr>
        <w:shd w:val="clear"/>
        <w:spacing w:line="600" w:lineRule="exact"/>
        <w:ind w:firstLine="640" w:firstLineChars="200"/>
        <w:outlineLvl w:val="1"/>
        <w:rPr>
          <w:rFonts w:ascii="仿宋" w:hAnsi="仿宋" w:eastAsia="仿宋"/>
          <w:color w:val="auto"/>
          <w:sz w:val="32"/>
          <w:szCs w:val="32"/>
          <w:highlight w:val="none"/>
        </w:rPr>
      </w:pPr>
      <w:bookmarkStart w:id="30" w:name="_Toc3101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954.05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953.62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99.95</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keepNext w:val="0"/>
        <w:keepLines w:val="0"/>
        <w:widowControl/>
        <w:suppressLineNumbers w:val="0"/>
        <w:shd w:val="clear"/>
        <w:jc w:val="center"/>
        <w:rPr>
          <w:rFonts w:ascii="宋体" w:hAnsi="宋体" w:eastAsia="宋体" w:cs="宋体"/>
          <w:color w:val="auto"/>
          <w:kern w:val="0"/>
          <w:sz w:val="24"/>
          <w:szCs w:val="24"/>
          <w:highlight w:val="none"/>
          <w:lang w:val="en-US" w:eastAsia="zh-CN" w:bidi="ar"/>
        </w:rPr>
      </w:pPr>
      <w:bookmarkStart w:id="31" w:name="_Toc15396605"/>
      <w:bookmarkStart w:id="32" w:name="_Toc15377207"/>
      <w:r>
        <w:rPr>
          <w:rFonts w:ascii="宋体" w:hAnsi="宋体" w:eastAsia="宋体" w:cs="宋体"/>
          <w:color w:val="auto"/>
          <w:kern w:val="0"/>
          <w:sz w:val="24"/>
          <w:szCs w:val="24"/>
          <w:highlight w:val="none"/>
          <w:lang w:val="en-US" w:eastAsia="zh-CN" w:bidi="ar"/>
        </w:rPr>
        <w:drawing>
          <wp:inline distT="0" distB="0" distL="114300" distR="114300">
            <wp:extent cx="5097780" cy="2786380"/>
            <wp:effectExtent l="0" t="0" r="7620" b="1397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0"/>
                    <a:stretch>
                      <a:fillRect/>
                    </a:stretch>
                  </pic:blipFill>
                  <pic:spPr>
                    <a:xfrm>
                      <a:off x="0" y="0"/>
                      <a:ext cx="5097780" cy="2786380"/>
                    </a:xfrm>
                    <a:prstGeom prst="rect">
                      <a:avLst/>
                    </a:prstGeom>
                    <a:noFill/>
                    <a:ln w="9525">
                      <a:noFill/>
                    </a:ln>
                  </pic:spPr>
                </pic:pic>
              </a:graphicData>
            </a:graphic>
          </wp:inline>
        </w:drawing>
      </w:r>
    </w:p>
    <w:p>
      <w:pPr>
        <w:pStyle w:val="11"/>
        <w:shd w:val="clear"/>
        <w:rPr>
          <w:rFonts w:ascii="宋体" w:hAnsi="宋体" w:eastAsia="宋体" w:cs="宋体"/>
          <w:color w:val="auto"/>
          <w:kern w:val="0"/>
          <w:sz w:val="24"/>
          <w:szCs w:val="24"/>
          <w:highlight w:val="none"/>
          <w:lang w:val="en-US" w:eastAsia="zh-CN" w:bidi="ar"/>
        </w:rPr>
      </w:pPr>
    </w:p>
    <w:p>
      <w:pPr>
        <w:pStyle w:val="11"/>
        <w:shd w:val="clear"/>
        <w:rPr>
          <w:rFonts w:ascii="宋体" w:hAnsi="宋体" w:eastAsia="宋体" w:cs="宋体"/>
          <w:color w:val="auto"/>
          <w:kern w:val="0"/>
          <w:sz w:val="24"/>
          <w:szCs w:val="24"/>
          <w:highlight w:val="none"/>
          <w:lang w:val="en-US" w:eastAsia="zh-CN" w:bidi="ar"/>
        </w:rPr>
      </w:pPr>
    </w:p>
    <w:p>
      <w:pPr>
        <w:pStyle w:val="31"/>
        <w:numPr>
          <w:ilvl w:val="0"/>
          <w:numId w:val="2"/>
        </w:numPr>
        <w:shd w:val="clear"/>
        <w:spacing w:line="600" w:lineRule="exact"/>
        <w:ind w:firstLineChars="0"/>
        <w:outlineLvl w:val="1"/>
        <w:rPr>
          <w:rStyle w:val="21"/>
          <w:rFonts w:ascii="黑体" w:hAnsi="黑体" w:eastAsia="黑体"/>
          <w:b w:val="0"/>
          <w:color w:val="auto"/>
          <w:highlight w:val="none"/>
        </w:rPr>
      </w:pPr>
      <w:bookmarkStart w:id="33" w:name="_Toc8324"/>
      <w:r>
        <w:rPr>
          <w:rFonts w:hint="eastAsia" w:ascii="黑体" w:hAnsi="黑体" w:eastAsia="黑体"/>
          <w:color w:val="auto"/>
          <w:sz w:val="32"/>
          <w:szCs w:val="32"/>
          <w:highlight w:val="none"/>
        </w:rPr>
        <w:t>支</w:t>
      </w:r>
      <w:r>
        <w:rPr>
          <w:rStyle w:val="21"/>
          <w:rFonts w:hint="eastAsia" w:ascii="黑体" w:hAnsi="黑体" w:eastAsia="黑体"/>
          <w:b w:val="0"/>
          <w:color w:val="auto"/>
          <w:highlight w:val="none"/>
        </w:rPr>
        <w:t>出决算情况说明</w:t>
      </w:r>
      <w:bookmarkEnd w:id="31"/>
      <w:bookmarkEnd w:id="32"/>
      <w:bookmarkEnd w:id="33"/>
    </w:p>
    <w:p>
      <w:pPr>
        <w:shd w:val="clear"/>
        <w:spacing w:line="600" w:lineRule="exact"/>
        <w:ind w:firstLine="640" w:firstLineChars="200"/>
        <w:outlineLvl w:val="1"/>
        <w:rPr>
          <w:rFonts w:ascii="仿宋" w:hAnsi="仿宋" w:eastAsia="仿宋"/>
          <w:color w:val="auto"/>
          <w:sz w:val="32"/>
          <w:szCs w:val="32"/>
          <w:highlight w:val="none"/>
        </w:rPr>
      </w:pPr>
      <w:bookmarkStart w:id="34" w:name="_Toc1073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973.09</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839.18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86.24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133.91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13.75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keepNext w:val="0"/>
        <w:keepLines w:val="0"/>
        <w:widowControl/>
        <w:suppressLineNumbers w:val="0"/>
        <w:shd w:val="clear"/>
        <w:jc w:val="center"/>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4931410" cy="3126105"/>
            <wp:effectExtent l="0" t="0" r="2540" b="1714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1"/>
                    <a:stretch>
                      <a:fillRect/>
                    </a:stretch>
                  </pic:blipFill>
                  <pic:spPr>
                    <a:xfrm>
                      <a:off x="0" y="0"/>
                      <a:ext cx="4931410" cy="3126105"/>
                    </a:xfrm>
                    <a:prstGeom prst="rect">
                      <a:avLst/>
                    </a:prstGeom>
                    <a:noFill/>
                    <a:ln w="9525">
                      <a:noFill/>
                    </a:ln>
                  </pic:spPr>
                </pic:pic>
              </a:graphicData>
            </a:graphic>
          </wp:inline>
        </w:drawing>
      </w:r>
    </w:p>
    <w:p>
      <w:pPr>
        <w:shd w:val="clear"/>
        <w:spacing w:line="600" w:lineRule="exact"/>
        <w:ind w:firstLine="640" w:firstLineChars="200"/>
        <w:rPr>
          <w:rFonts w:ascii="仿宋_GB2312" w:eastAsia="仿宋_GB2312"/>
          <w:color w:val="auto"/>
          <w:sz w:val="32"/>
          <w:szCs w:val="32"/>
          <w:highlight w:val="none"/>
        </w:rPr>
      </w:pPr>
    </w:p>
    <w:p>
      <w:pPr>
        <w:shd w:val="clear"/>
        <w:spacing w:line="600" w:lineRule="exact"/>
        <w:ind w:firstLine="640" w:firstLineChars="200"/>
        <w:outlineLvl w:val="1"/>
        <w:rPr>
          <w:rStyle w:val="21"/>
          <w:rFonts w:ascii="黑体" w:hAnsi="黑体" w:eastAsia="黑体"/>
          <w:b w:val="0"/>
          <w:color w:val="auto"/>
          <w:highlight w:val="none"/>
        </w:rPr>
      </w:pPr>
      <w:bookmarkStart w:id="35" w:name="_Toc15377208"/>
      <w:bookmarkStart w:id="36" w:name="_Toc15396606"/>
      <w:bookmarkStart w:id="37" w:name="_Toc30853"/>
      <w:r>
        <w:rPr>
          <w:rFonts w:hint="eastAsia" w:ascii="黑体" w:hAnsi="黑体" w:eastAsia="黑体"/>
          <w:color w:val="auto"/>
          <w:sz w:val="32"/>
          <w:szCs w:val="32"/>
          <w:highlight w:val="none"/>
        </w:rPr>
        <w:t>四、财</w:t>
      </w:r>
      <w:r>
        <w:rPr>
          <w:rStyle w:val="21"/>
          <w:rFonts w:hint="eastAsia" w:ascii="黑体" w:hAnsi="黑体" w:eastAsia="黑体"/>
          <w:b w:val="0"/>
          <w:color w:val="auto"/>
          <w:highlight w:val="none"/>
        </w:rPr>
        <w:t>政拨款收入支出决算总体情况说明</w:t>
      </w:r>
      <w:bookmarkEnd w:id="35"/>
      <w:bookmarkEnd w:id="36"/>
      <w:bookmarkEnd w:id="37"/>
    </w:p>
    <w:p>
      <w:pPr>
        <w:shd w:val="clea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978.17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73.86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8.17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新进人员</w:t>
      </w:r>
      <w:r>
        <w:rPr>
          <w:rFonts w:hint="eastAsia" w:ascii="仿宋" w:hAnsi="仿宋" w:eastAsia="仿宋"/>
          <w:color w:val="auto"/>
          <w:sz w:val="32"/>
          <w:szCs w:val="32"/>
          <w:highlight w:val="none"/>
          <w:lang w:val="en-US" w:eastAsia="zh-CN"/>
        </w:rPr>
        <w:t>5人，基础性绩效补发调增，承担临时性工作追加工作经费30万元等</w:t>
      </w:r>
      <w:r>
        <w:rPr>
          <w:rFonts w:hint="eastAsia" w:ascii="仿宋" w:hAnsi="仿宋" w:eastAsia="仿宋"/>
          <w:color w:val="auto"/>
          <w:sz w:val="32"/>
          <w:szCs w:val="32"/>
          <w:highlight w:val="none"/>
          <w:lang w:eastAsia="zh-CN"/>
        </w:rPr>
        <w:t>。</w:t>
      </w:r>
    </w:p>
    <w:p>
      <w:pPr>
        <w:keepNext w:val="0"/>
        <w:keepLines w:val="0"/>
        <w:widowControl/>
        <w:suppressLineNumbers w:val="0"/>
        <w:shd w:val="clear"/>
        <w:jc w:val="center"/>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5666740" cy="2930525"/>
            <wp:effectExtent l="0" t="0" r="10160" b="317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2"/>
                    <a:stretch>
                      <a:fillRect/>
                    </a:stretch>
                  </pic:blipFill>
                  <pic:spPr>
                    <a:xfrm>
                      <a:off x="0" y="0"/>
                      <a:ext cx="5666740" cy="2930525"/>
                    </a:xfrm>
                    <a:prstGeom prst="rect">
                      <a:avLst/>
                    </a:prstGeom>
                    <a:noFill/>
                    <a:ln w="9525">
                      <a:noFill/>
                    </a:ln>
                  </pic:spPr>
                </pic:pic>
              </a:graphicData>
            </a:graphic>
          </wp:inline>
        </w:drawing>
      </w:r>
    </w:p>
    <w:p>
      <w:pPr>
        <w:shd w:val="clear"/>
        <w:spacing w:line="600" w:lineRule="exact"/>
        <w:ind w:firstLine="640"/>
        <w:rPr>
          <w:rFonts w:ascii="仿宋" w:hAnsi="仿宋" w:eastAsia="仿宋"/>
          <w:b/>
          <w:color w:val="auto"/>
          <w:sz w:val="32"/>
          <w:szCs w:val="32"/>
          <w:highlight w:val="none"/>
        </w:rPr>
      </w:pPr>
    </w:p>
    <w:p>
      <w:pPr>
        <w:shd w:val="clear"/>
        <w:spacing w:line="600" w:lineRule="exact"/>
        <w:ind w:firstLine="640" w:firstLineChars="200"/>
        <w:outlineLvl w:val="1"/>
        <w:rPr>
          <w:rStyle w:val="21"/>
          <w:rFonts w:ascii="黑体" w:hAnsi="黑体" w:eastAsia="黑体"/>
          <w:b w:val="0"/>
          <w:color w:val="auto"/>
          <w:highlight w:val="none"/>
        </w:rPr>
      </w:pPr>
      <w:bookmarkStart w:id="38" w:name="_Toc20477"/>
      <w:bookmarkStart w:id="39" w:name="_Toc15377209"/>
      <w:bookmarkStart w:id="40"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般公共预算财政拨款支出决算情况说明</w:t>
      </w:r>
      <w:bookmarkEnd w:id="38"/>
      <w:bookmarkEnd w:id="39"/>
      <w:bookmarkEnd w:id="40"/>
    </w:p>
    <w:p>
      <w:pPr>
        <w:shd w:val="clear"/>
        <w:spacing w:line="600" w:lineRule="exact"/>
        <w:ind w:firstLine="643"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hd w:val="clea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年一般公共预算财政拨款支出973.09万元，占本年支出合计的</w:t>
      </w:r>
      <w:r>
        <w:rPr>
          <w:rFonts w:hint="eastAsia" w:ascii="仿宋" w:hAnsi="仿宋" w:eastAsia="仿宋"/>
          <w:color w:val="auto"/>
          <w:sz w:val="32"/>
          <w:szCs w:val="32"/>
          <w:highlight w:val="none"/>
          <w:lang w:val="en-US" w:eastAsia="zh-CN"/>
        </w:rPr>
        <w:t>99.95</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93.34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新进人员</w:t>
      </w:r>
      <w:r>
        <w:rPr>
          <w:rFonts w:hint="eastAsia" w:ascii="仿宋" w:hAnsi="仿宋" w:eastAsia="仿宋"/>
          <w:color w:val="auto"/>
          <w:sz w:val="32"/>
          <w:szCs w:val="32"/>
          <w:highlight w:val="none"/>
          <w:lang w:val="en-US" w:eastAsia="zh-CN"/>
        </w:rPr>
        <w:t>5人，基础性绩效补发调增，承担临时性工作追加工作经费30万元等</w:t>
      </w:r>
      <w:r>
        <w:rPr>
          <w:rFonts w:hint="eastAsia" w:ascii="仿宋" w:hAnsi="仿宋" w:eastAsia="仿宋"/>
          <w:color w:val="auto"/>
          <w:sz w:val="32"/>
          <w:szCs w:val="32"/>
          <w:highlight w:val="none"/>
          <w:lang w:eastAsia="zh-CN"/>
        </w:rPr>
        <w:t>。</w:t>
      </w:r>
    </w:p>
    <w:p>
      <w:pPr>
        <w:keepNext w:val="0"/>
        <w:keepLines w:val="0"/>
        <w:widowControl/>
        <w:suppressLineNumbers w:val="0"/>
        <w:shd w:val="clear"/>
        <w:jc w:val="center"/>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5343525" cy="2752725"/>
            <wp:effectExtent l="0" t="0" r="9525"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3"/>
                    <a:stretch>
                      <a:fillRect/>
                    </a:stretch>
                  </pic:blipFill>
                  <pic:spPr>
                    <a:xfrm>
                      <a:off x="0" y="0"/>
                      <a:ext cx="5343525" cy="2752725"/>
                    </a:xfrm>
                    <a:prstGeom prst="rect">
                      <a:avLst/>
                    </a:prstGeom>
                    <a:noFill/>
                    <a:ln w="9525">
                      <a:noFill/>
                    </a:ln>
                  </pic:spPr>
                </pic:pic>
              </a:graphicData>
            </a:graphic>
          </wp:inline>
        </w:drawing>
      </w:r>
    </w:p>
    <w:p>
      <w:pPr>
        <w:shd w:val="clear"/>
        <w:spacing w:line="600" w:lineRule="exact"/>
        <w:ind w:firstLine="643"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hd w:val="clea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年一般公共预算财政拨款支出973.09万元，主要用于以下方面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795.22万元，占</w:t>
      </w:r>
      <w:r>
        <w:rPr>
          <w:rFonts w:hint="eastAsia" w:ascii="仿宋" w:hAnsi="仿宋" w:eastAsia="仿宋"/>
          <w:color w:val="auto"/>
          <w:sz w:val="32"/>
          <w:szCs w:val="32"/>
          <w:highlight w:val="none"/>
          <w:lang w:val="en-US" w:eastAsia="zh-CN"/>
        </w:rPr>
        <w:t>81.72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50.33万元，占</w:t>
      </w:r>
      <w:r>
        <w:rPr>
          <w:rFonts w:hint="eastAsia" w:ascii="仿宋" w:hAnsi="仿宋" w:eastAsia="仿宋"/>
          <w:color w:val="auto"/>
          <w:sz w:val="32"/>
          <w:szCs w:val="32"/>
          <w:highlight w:val="none"/>
          <w:lang w:val="en-US" w:eastAsia="zh-CN"/>
        </w:rPr>
        <w:t>5.17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25.34万元，占</w:t>
      </w:r>
      <w:r>
        <w:rPr>
          <w:rFonts w:hint="eastAsia" w:ascii="仿宋" w:hAnsi="仿宋" w:eastAsia="仿宋"/>
          <w:color w:val="auto"/>
          <w:sz w:val="32"/>
          <w:szCs w:val="32"/>
          <w:highlight w:val="none"/>
          <w:lang w:val="en-US" w:eastAsia="zh-CN"/>
        </w:rPr>
        <w:t>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102.2万元，占</w:t>
      </w:r>
      <w:r>
        <w:rPr>
          <w:rFonts w:hint="eastAsia" w:ascii="仿宋" w:hAnsi="仿宋" w:eastAsia="仿宋"/>
          <w:color w:val="auto"/>
          <w:sz w:val="32"/>
          <w:szCs w:val="32"/>
          <w:highlight w:val="none"/>
          <w:lang w:val="en-US" w:eastAsia="zh-CN"/>
        </w:rPr>
        <w:t>10.5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widowControl/>
        <w:suppressLineNumbers w:val="0"/>
        <w:shd w:val="clear"/>
        <w:jc w:val="left"/>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5431790" cy="2622550"/>
            <wp:effectExtent l="0" t="0" r="16510" b="635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14"/>
                    <a:stretch>
                      <a:fillRect/>
                    </a:stretch>
                  </pic:blipFill>
                  <pic:spPr>
                    <a:xfrm>
                      <a:off x="0" y="0"/>
                      <a:ext cx="5431790" cy="2622550"/>
                    </a:xfrm>
                    <a:prstGeom prst="rect">
                      <a:avLst/>
                    </a:prstGeom>
                    <a:noFill/>
                    <a:ln w="9525">
                      <a:noFill/>
                    </a:ln>
                  </pic:spPr>
                </pic:pic>
              </a:graphicData>
            </a:graphic>
          </wp:inline>
        </w:drawing>
      </w:r>
    </w:p>
    <w:p>
      <w:pPr>
        <w:shd w:val="clear"/>
        <w:spacing w:line="600" w:lineRule="exact"/>
        <w:ind w:firstLine="640" w:firstLineChars="200"/>
        <w:rPr>
          <w:rFonts w:ascii="仿宋" w:hAnsi="仿宋" w:eastAsia="仿宋"/>
          <w:color w:val="auto"/>
          <w:sz w:val="32"/>
          <w:szCs w:val="32"/>
          <w:highlight w:val="none"/>
        </w:rPr>
      </w:pPr>
    </w:p>
    <w:p>
      <w:pPr>
        <w:shd w:val="clear"/>
        <w:spacing w:line="600" w:lineRule="exact"/>
        <w:ind w:firstLine="643" w:firstLineChars="200"/>
        <w:outlineLvl w:val="2"/>
        <w:rPr>
          <w:rFonts w:ascii="仿宋" w:hAnsi="仿宋" w:eastAsia="仿宋"/>
          <w:b/>
          <w:color w:val="auto"/>
          <w:sz w:val="32"/>
          <w:szCs w:val="32"/>
          <w:highlight w:val="none"/>
        </w:rPr>
      </w:pPr>
      <w:bookmarkStart w:id="43" w:name="_Toc15377212"/>
      <w:r>
        <w:rPr>
          <w:rFonts w:hint="eastAsia" w:ascii="仿宋" w:hAnsi="仿宋" w:eastAsia="仿宋"/>
          <w:b/>
          <w:color w:val="auto"/>
          <w:sz w:val="32"/>
          <w:szCs w:val="32"/>
          <w:highlight w:val="none"/>
        </w:rPr>
        <w:t>（三）一般公共预算财政拨款支出决算具体情况</w:t>
      </w:r>
      <w:bookmarkEnd w:id="43"/>
    </w:p>
    <w:p>
      <w:pPr>
        <w:shd w:val="clear"/>
        <w:spacing w:line="600" w:lineRule="exact"/>
        <w:ind w:firstLine="643" w:firstLineChars="200"/>
        <w:outlineLvl w:val="1"/>
        <w:rPr>
          <w:rFonts w:ascii="仿宋" w:hAnsi="仿宋" w:eastAsia="仿宋"/>
          <w:color w:val="auto"/>
          <w:sz w:val="32"/>
          <w:szCs w:val="32"/>
          <w:highlight w:val="none"/>
        </w:rPr>
      </w:pPr>
      <w:bookmarkStart w:id="44" w:name="_Toc15377213"/>
      <w:bookmarkStart w:id="45" w:name="_Toc15378460"/>
      <w:bookmarkStart w:id="46" w:name="_Toc15377444"/>
      <w:bookmarkStart w:id="47" w:name="_Toc1348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rPr>
        <w:t>973.09万元，</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99.48</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44"/>
      <w:bookmarkEnd w:id="45"/>
      <w:bookmarkEnd w:id="46"/>
      <w:bookmarkEnd w:id="47"/>
    </w:p>
    <w:p>
      <w:pPr>
        <w:numPr>
          <w:ilvl w:val="0"/>
          <w:numId w:val="3"/>
        </w:numPr>
        <w:shd w:val="clea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eastAsia="zh-CN"/>
        </w:rPr>
        <w:t>（类）</w:t>
      </w:r>
      <w:r>
        <w:rPr>
          <w:rStyle w:val="18"/>
          <w:rFonts w:hint="eastAsia" w:ascii="仿宋" w:hAnsi="仿宋" w:eastAsia="仿宋"/>
          <w:bCs/>
          <w:color w:val="auto"/>
          <w:sz w:val="32"/>
          <w:szCs w:val="32"/>
          <w:highlight w:val="none"/>
        </w:rPr>
        <w:t>统计信息事务</w:t>
      </w:r>
      <w:r>
        <w:rPr>
          <w:rStyle w:val="18"/>
          <w:rFonts w:hint="eastAsia" w:ascii="仿宋" w:hAnsi="仿宋" w:eastAsia="仿宋"/>
          <w:bCs/>
          <w:color w:val="auto"/>
          <w:sz w:val="32"/>
          <w:szCs w:val="32"/>
          <w:highlight w:val="none"/>
          <w:lang w:eastAsia="zh-CN"/>
        </w:rPr>
        <w:t>（款）</w:t>
      </w:r>
      <w:r>
        <w:rPr>
          <w:rStyle w:val="18"/>
          <w:rFonts w:hint="eastAsia" w:ascii="仿宋" w:hAnsi="仿宋" w:eastAsia="仿宋"/>
          <w:bCs/>
          <w:color w:val="auto"/>
          <w:sz w:val="32"/>
          <w:szCs w:val="32"/>
          <w:highlight w:val="none"/>
        </w:rPr>
        <w:t>行政运行</w:t>
      </w:r>
      <w:r>
        <w:rPr>
          <w:rStyle w:val="18"/>
          <w:rFonts w:hint="eastAsia" w:ascii="仿宋" w:hAnsi="仿宋" w:eastAsia="仿宋"/>
          <w:bCs/>
          <w:color w:val="auto"/>
          <w:sz w:val="32"/>
          <w:szCs w:val="32"/>
          <w:highlight w:val="none"/>
          <w:lang w:eastAsia="zh-CN"/>
        </w:rPr>
        <w:t>（项）：</w:t>
      </w:r>
      <w:r>
        <w:rPr>
          <w:rStyle w:val="18"/>
          <w:rFonts w:hint="eastAsia" w:ascii="仿宋" w:hAnsi="仿宋" w:eastAsia="仿宋"/>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支出决算为563.1万元，完成预算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，年终无结余</w:t>
      </w:r>
      <w:r>
        <w:rPr>
          <w:rStyle w:val="18"/>
          <w:rFonts w:hint="eastAsia" w:ascii="仿宋" w:hAnsi="仿宋" w:eastAsia="仿宋"/>
          <w:b w:val="0"/>
          <w:bCs/>
          <w:color w:val="auto"/>
          <w:sz w:val="32"/>
          <w:szCs w:val="32"/>
          <w:highlight w:val="none"/>
        </w:rPr>
        <w:t>。</w:t>
      </w:r>
    </w:p>
    <w:p>
      <w:pPr>
        <w:numPr>
          <w:ilvl w:val="0"/>
          <w:numId w:val="0"/>
        </w:numPr>
        <w:shd w:val="clea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2.</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eastAsia="zh-CN"/>
        </w:rPr>
        <w:t>（类）</w:t>
      </w:r>
      <w:r>
        <w:rPr>
          <w:rStyle w:val="18"/>
          <w:rFonts w:hint="eastAsia" w:ascii="仿宋" w:hAnsi="仿宋" w:eastAsia="仿宋"/>
          <w:bCs/>
          <w:color w:val="auto"/>
          <w:sz w:val="32"/>
          <w:szCs w:val="32"/>
          <w:highlight w:val="none"/>
        </w:rPr>
        <w:t>统计信息事务</w:t>
      </w:r>
      <w:r>
        <w:rPr>
          <w:rStyle w:val="18"/>
          <w:rFonts w:hint="eastAsia" w:ascii="仿宋" w:hAnsi="仿宋" w:eastAsia="仿宋"/>
          <w:bCs/>
          <w:color w:val="auto"/>
          <w:sz w:val="32"/>
          <w:szCs w:val="32"/>
          <w:highlight w:val="none"/>
          <w:lang w:eastAsia="zh-CN"/>
        </w:rPr>
        <w:t>（款）</w:t>
      </w:r>
      <w:r>
        <w:rPr>
          <w:rStyle w:val="18"/>
          <w:rFonts w:hint="eastAsia" w:ascii="仿宋" w:hAnsi="仿宋" w:eastAsia="仿宋"/>
          <w:bCs/>
          <w:color w:val="auto"/>
          <w:sz w:val="32"/>
          <w:szCs w:val="32"/>
          <w:highlight w:val="none"/>
        </w:rPr>
        <w:t>专项统计业务</w:t>
      </w:r>
      <w:r>
        <w:rPr>
          <w:rStyle w:val="18"/>
          <w:rFonts w:hint="eastAsia" w:ascii="仿宋" w:hAnsi="仿宋" w:eastAsia="仿宋"/>
          <w:bCs/>
          <w:color w:val="auto"/>
          <w:sz w:val="32"/>
          <w:szCs w:val="32"/>
          <w:highlight w:val="none"/>
          <w:lang w:eastAsia="zh-CN"/>
        </w:rPr>
        <w:t>（项）：</w:t>
      </w:r>
      <w:r>
        <w:rPr>
          <w:rStyle w:val="18"/>
          <w:rFonts w:hint="eastAsia" w:ascii="仿宋" w:hAnsi="仿宋" w:eastAsia="仿宋"/>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105.01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，年终无结余</w:t>
      </w:r>
      <w:r>
        <w:rPr>
          <w:rStyle w:val="18"/>
          <w:rFonts w:hint="eastAsia" w:ascii="仿宋" w:hAnsi="仿宋" w:eastAsia="仿宋"/>
          <w:b w:val="0"/>
          <w:bCs/>
          <w:color w:val="auto"/>
          <w:sz w:val="32"/>
          <w:szCs w:val="32"/>
          <w:highlight w:val="none"/>
        </w:rPr>
        <w:t>。</w:t>
      </w:r>
    </w:p>
    <w:p>
      <w:pPr>
        <w:shd w:val="clear"/>
        <w:spacing w:line="600" w:lineRule="exact"/>
        <w:ind w:firstLine="643" w:firstLineChars="200"/>
        <w:rPr>
          <w:rFonts w:hint="default" w:ascii="仿宋" w:hAnsi="仿宋" w:eastAsia="仿宋"/>
          <w:b/>
          <w:color w:val="auto"/>
          <w:sz w:val="32"/>
          <w:szCs w:val="32"/>
          <w:highlight w:val="none"/>
        </w:rPr>
      </w:pPr>
      <w:r>
        <w:rPr>
          <w:rStyle w:val="18"/>
          <w:rFonts w:ascii="仿宋" w:hAnsi="仿宋" w:eastAsia="仿宋"/>
          <w:bCs/>
          <w:color w:val="auto"/>
          <w:sz w:val="32"/>
          <w:szCs w:val="32"/>
          <w:highlight w:val="none"/>
        </w:rPr>
        <w:t>3.</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eastAsia="zh-CN"/>
        </w:rPr>
        <w:t>（类）</w:t>
      </w:r>
      <w:r>
        <w:rPr>
          <w:rStyle w:val="18"/>
          <w:rFonts w:hint="eastAsia" w:ascii="仿宋" w:hAnsi="仿宋" w:eastAsia="仿宋"/>
          <w:bCs/>
          <w:color w:val="auto"/>
          <w:sz w:val="32"/>
          <w:szCs w:val="32"/>
          <w:highlight w:val="none"/>
        </w:rPr>
        <w:t>统计信息事务</w:t>
      </w:r>
      <w:r>
        <w:rPr>
          <w:rStyle w:val="18"/>
          <w:rFonts w:hint="eastAsia" w:ascii="仿宋" w:hAnsi="仿宋" w:eastAsia="仿宋"/>
          <w:bCs/>
          <w:color w:val="auto"/>
          <w:sz w:val="32"/>
          <w:szCs w:val="32"/>
          <w:highlight w:val="none"/>
          <w:lang w:eastAsia="zh-CN"/>
        </w:rPr>
        <w:t>（款）</w:t>
      </w:r>
      <w:r>
        <w:rPr>
          <w:rStyle w:val="18"/>
          <w:rFonts w:hint="eastAsia" w:ascii="仿宋" w:hAnsi="仿宋" w:eastAsia="仿宋"/>
          <w:bCs/>
          <w:color w:val="auto"/>
          <w:sz w:val="32"/>
          <w:szCs w:val="32"/>
          <w:highlight w:val="none"/>
        </w:rPr>
        <w:t>专项普查活动</w:t>
      </w:r>
      <w:r>
        <w:rPr>
          <w:rStyle w:val="18"/>
          <w:rFonts w:hint="eastAsia" w:ascii="仿宋" w:hAnsi="仿宋" w:eastAsia="仿宋"/>
          <w:bCs/>
          <w:color w:val="auto"/>
          <w:sz w:val="32"/>
          <w:szCs w:val="32"/>
          <w:highlight w:val="none"/>
          <w:lang w:eastAsia="zh-CN"/>
        </w:rPr>
        <w:t>（项）：</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支出决算为28.9万元，完成预算</w:t>
      </w:r>
      <w:r>
        <w:rPr>
          <w:rStyle w:val="18"/>
          <w:rFonts w:hint="eastAsia" w:ascii="仿宋" w:hAnsi="仿宋" w:eastAsia="仿宋"/>
          <w:b w:val="0"/>
          <w:bCs/>
          <w:color w:val="auto"/>
          <w:sz w:val="32"/>
          <w:szCs w:val="32"/>
          <w:highlight w:val="none"/>
          <w:lang w:val="en-US" w:eastAsia="zh-CN"/>
        </w:rPr>
        <w:t>96.33</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，决算数小于预算数的主要原因是</w:t>
      </w:r>
      <w:r>
        <w:rPr>
          <w:rStyle w:val="18"/>
          <w:rFonts w:hint="eastAsia" w:ascii="仿宋" w:hAnsi="仿宋" w:eastAsia="仿宋"/>
          <w:b w:val="0"/>
          <w:bCs/>
          <w:color w:val="auto"/>
          <w:sz w:val="32"/>
          <w:szCs w:val="32"/>
          <w:highlight w:val="none"/>
          <w:lang w:eastAsia="zh-CN"/>
        </w:rPr>
        <w:t>零星未支付到该项目</w:t>
      </w:r>
      <w:r>
        <w:rPr>
          <w:rStyle w:val="18"/>
          <w:rFonts w:hint="default" w:ascii="仿宋" w:hAnsi="仿宋" w:eastAsia="仿宋"/>
          <w:b w:val="0"/>
          <w:bCs/>
          <w:color w:val="auto"/>
          <w:sz w:val="32"/>
          <w:szCs w:val="32"/>
          <w:highlight w:val="none"/>
          <w:lang w:eastAsia="zh-CN"/>
        </w:rPr>
        <w:t>。</w:t>
      </w:r>
    </w:p>
    <w:p>
      <w:pPr>
        <w:numPr>
          <w:ilvl w:val="0"/>
          <w:numId w:val="0"/>
        </w:numPr>
        <w:shd w:val="clea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4.</w:t>
      </w:r>
      <w:r>
        <w:rPr>
          <w:rStyle w:val="18"/>
          <w:rFonts w:hint="eastAsia" w:ascii="仿宋" w:hAnsi="仿宋" w:eastAsia="仿宋"/>
          <w:bCs/>
          <w:color w:val="auto"/>
          <w:sz w:val="32"/>
          <w:szCs w:val="32"/>
          <w:highlight w:val="none"/>
          <w:lang w:eastAsia="zh-CN"/>
        </w:rPr>
        <w:t>一般公共服务（类）统计信息事务（款）事业运行（项）：</w:t>
      </w:r>
      <w:r>
        <w:rPr>
          <w:rStyle w:val="18"/>
          <w:rFonts w:hint="eastAsia" w:ascii="仿宋" w:hAnsi="仿宋" w:eastAsia="仿宋"/>
          <w:b w:val="0"/>
          <w:bCs/>
          <w:color w:val="auto"/>
          <w:sz w:val="32"/>
          <w:szCs w:val="32"/>
          <w:highlight w:val="none"/>
        </w:rPr>
        <w:t>支出决算为98.21万元，完成预算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，决算数</w:t>
      </w:r>
      <w:r>
        <w:rPr>
          <w:rStyle w:val="18"/>
          <w:rFonts w:hint="eastAsia" w:ascii="仿宋" w:hAnsi="仿宋" w:eastAsia="仿宋"/>
          <w:b w:val="0"/>
          <w:bCs/>
          <w:color w:val="auto"/>
          <w:sz w:val="32"/>
          <w:szCs w:val="32"/>
          <w:highlight w:val="none"/>
          <w:lang w:eastAsia="zh-CN"/>
        </w:rPr>
        <w:t>等于</w:t>
      </w:r>
      <w:r>
        <w:rPr>
          <w:rStyle w:val="18"/>
          <w:rFonts w:hint="eastAsia" w:ascii="仿宋" w:hAnsi="仿宋" w:eastAsia="仿宋"/>
          <w:b w:val="0"/>
          <w:bCs/>
          <w:color w:val="auto"/>
          <w:sz w:val="32"/>
          <w:szCs w:val="32"/>
          <w:highlight w:val="none"/>
        </w:rPr>
        <w:t>预算数</w:t>
      </w:r>
      <w:r>
        <w:rPr>
          <w:rStyle w:val="18"/>
          <w:rFonts w:hint="eastAsia" w:ascii="仿宋" w:hAnsi="仿宋" w:eastAsia="仿宋"/>
          <w:b w:val="0"/>
          <w:bCs/>
          <w:color w:val="auto"/>
          <w:sz w:val="32"/>
          <w:szCs w:val="32"/>
          <w:highlight w:val="none"/>
          <w:lang w:eastAsia="zh-CN"/>
        </w:rPr>
        <w:t>，年终无结余</w:t>
      </w:r>
      <w:r>
        <w:rPr>
          <w:rStyle w:val="18"/>
          <w:rFonts w:hint="eastAsia" w:ascii="仿宋" w:hAnsi="仿宋" w:eastAsia="仿宋"/>
          <w:b w:val="0"/>
          <w:bCs/>
          <w:color w:val="auto"/>
          <w:sz w:val="32"/>
          <w:szCs w:val="32"/>
          <w:highlight w:val="none"/>
        </w:rPr>
        <w:t>。</w:t>
      </w:r>
    </w:p>
    <w:p>
      <w:pPr>
        <w:shd w:val="clea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5.</w:t>
      </w:r>
      <w:r>
        <w:rPr>
          <w:rStyle w:val="18"/>
          <w:rFonts w:hint="eastAsia" w:ascii="仿宋" w:hAnsi="仿宋" w:eastAsia="仿宋"/>
          <w:bCs/>
          <w:color w:val="auto"/>
          <w:sz w:val="32"/>
          <w:szCs w:val="32"/>
          <w:highlight w:val="none"/>
          <w:lang w:eastAsia="zh-CN"/>
        </w:rPr>
        <w:t>社会保障和就业支出（类）行政事业单位养老支出（款）机关事业单位基本养老保险缴费支出（项）：</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47.5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hd w:val="clear"/>
        <w:spacing w:line="600" w:lineRule="exact"/>
        <w:ind w:firstLine="643" w:firstLineChars="200"/>
        <w:rPr>
          <w:rFonts w:ascii="仿宋" w:hAnsi="仿宋" w:eastAsia="仿宋"/>
          <w:b/>
          <w:color w:val="auto"/>
          <w:sz w:val="32"/>
          <w:szCs w:val="32"/>
          <w:highlight w:val="none"/>
        </w:rPr>
      </w:pPr>
      <w:r>
        <w:rPr>
          <w:rStyle w:val="18"/>
          <w:rFonts w:ascii="仿宋" w:hAnsi="仿宋" w:eastAsia="仿宋"/>
          <w:bCs/>
          <w:color w:val="auto"/>
          <w:sz w:val="32"/>
          <w:szCs w:val="32"/>
          <w:highlight w:val="none"/>
        </w:rPr>
        <w:t>6.</w:t>
      </w:r>
      <w:r>
        <w:rPr>
          <w:rStyle w:val="18"/>
          <w:rFonts w:hint="eastAsia" w:ascii="仿宋" w:hAnsi="仿宋" w:eastAsia="仿宋"/>
          <w:bCs/>
          <w:color w:val="auto"/>
          <w:sz w:val="32"/>
          <w:szCs w:val="32"/>
          <w:highlight w:val="none"/>
          <w:lang w:eastAsia="zh-CN"/>
        </w:rPr>
        <w:t>社会保障和就业支出（类）其他社会保障和就业支出（款）  其他社会保障和就业支出（项）：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2.83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hd w:val="clear"/>
        <w:spacing w:line="600" w:lineRule="exact"/>
        <w:ind w:firstLine="643" w:firstLineChars="200"/>
        <w:rPr>
          <w:rFonts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hint="eastAsia" w:ascii="仿宋" w:hAnsi="仿宋" w:eastAsia="仿宋"/>
          <w:bCs/>
          <w:color w:val="auto"/>
          <w:sz w:val="32"/>
          <w:szCs w:val="32"/>
          <w:highlight w:val="none"/>
          <w:lang w:eastAsia="zh-CN"/>
        </w:rPr>
        <w:t>.医疗卫生与计划生育（类）</w:t>
      </w:r>
      <w:r>
        <w:rPr>
          <w:rStyle w:val="18"/>
          <w:rFonts w:hint="eastAsia" w:ascii="仿宋" w:hAnsi="仿宋" w:eastAsia="仿宋"/>
          <w:bCs/>
          <w:color w:val="auto"/>
          <w:sz w:val="32"/>
          <w:szCs w:val="32"/>
          <w:highlight w:val="none"/>
          <w:lang w:val="en-US" w:eastAsia="zh-CN"/>
        </w:rPr>
        <w:t>行政事业单位医疗</w:t>
      </w:r>
      <w:r>
        <w:rPr>
          <w:rStyle w:val="18"/>
          <w:rFonts w:hint="eastAsia" w:ascii="仿宋" w:hAnsi="仿宋" w:eastAsia="仿宋"/>
          <w:bCs/>
          <w:color w:val="auto"/>
          <w:sz w:val="32"/>
          <w:szCs w:val="32"/>
          <w:highlight w:val="none"/>
          <w:lang w:eastAsia="zh-CN"/>
        </w:rPr>
        <w:t>（款）</w:t>
      </w:r>
      <w:r>
        <w:rPr>
          <w:rStyle w:val="18"/>
          <w:rFonts w:hint="eastAsia" w:ascii="仿宋" w:hAnsi="仿宋" w:eastAsia="仿宋"/>
          <w:bCs/>
          <w:color w:val="auto"/>
          <w:sz w:val="32"/>
          <w:szCs w:val="32"/>
          <w:highlight w:val="none"/>
          <w:lang w:val="en-US" w:eastAsia="zh-CN"/>
        </w:rPr>
        <w:t>行政单位医疗</w:t>
      </w:r>
      <w:r>
        <w:rPr>
          <w:rStyle w:val="18"/>
          <w:rFonts w:hint="eastAsia" w:ascii="仿宋" w:hAnsi="仿宋" w:eastAsia="仿宋"/>
          <w:bCs/>
          <w:color w:val="auto"/>
          <w:sz w:val="32"/>
          <w:szCs w:val="32"/>
          <w:highlight w:val="none"/>
          <w:lang w:eastAsia="zh-CN"/>
        </w:rPr>
        <w:t>（项）：</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25.34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hd w:val="clea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8.住房保障（类）住房改革支出（款）住房公积金（项）：</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102.2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hd w:val="clear"/>
        <w:tabs>
          <w:tab w:val="right" w:pos="8306"/>
        </w:tabs>
        <w:spacing w:line="600" w:lineRule="exact"/>
        <w:ind w:firstLine="640"/>
        <w:outlineLvl w:val="1"/>
        <w:rPr>
          <w:rStyle w:val="21"/>
          <w:color w:val="auto"/>
          <w:highlight w:val="none"/>
        </w:rPr>
      </w:pPr>
      <w:bookmarkStart w:id="48" w:name="_Toc15377214"/>
      <w:bookmarkStart w:id="49" w:name="_Toc15396608"/>
      <w:bookmarkStart w:id="50" w:name="_Toc2625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1"/>
          <w:rFonts w:hint="eastAsia" w:ascii="黑体" w:hAnsi="黑体" w:eastAsia="黑体"/>
          <w:b w:val="0"/>
          <w:color w:val="auto"/>
          <w:highlight w:val="none"/>
        </w:rPr>
        <w:t>般公共预算财政拨款基本支出决算情况说明</w:t>
      </w:r>
      <w:bookmarkEnd w:id="48"/>
      <w:bookmarkEnd w:id="49"/>
      <w:bookmarkEnd w:id="50"/>
      <w:r>
        <w:rPr>
          <w:rStyle w:val="21"/>
          <w:rFonts w:ascii="黑体" w:hAnsi="黑体" w:eastAsia="黑体"/>
          <w:b w:val="0"/>
          <w:color w:val="auto"/>
          <w:highlight w:val="none"/>
        </w:rPr>
        <w:tab/>
      </w:r>
    </w:p>
    <w:p>
      <w:pPr>
        <w:shd w:val="clear"/>
        <w:spacing w:line="600" w:lineRule="exact"/>
        <w:ind w:firstLine="645"/>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年一般公共预算财政拨款基本支出839.18万元</w:t>
      </w:r>
      <w:r>
        <w:rPr>
          <w:rFonts w:hint="default" w:ascii="仿宋" w:hAnsi="仿宋" w:eastAsia="仿宋"/>
          <w:color w:val="auto"/>
          <w:sz w:val="32"/>
          <w:szCs w:val="32"/>
          <w:highlight w:val="none"/>
        </w:rPr>
        <w:t>。</w:t>
      </w:r>
      <w:r>
        <w:rPr>
          <w:rFonts w:hint="eastAsia" w:ascii="仿宋" w:hAnsi="仿宋" w:eastAsia="仿宋"/>
          <w:color w:val="auto"/>
          <w:sz w:val="32"/>
          <w:szCs w:val="32"/>
          <w:highlight w:val="none"/>
        </w:rPr>
        <w:t>其中：</w:t>
      </w:r>
    </w:p>
    <w:p>
      <w:pPr>
        <w:shd w:val="clea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746.7</w:t>
      </w:r>
      <w:r>
        <w:rPr>
          <w:rFonts w:hint="eastAsia" w:ascii="仿宋" w:hAnsi="仿宋" w:eastAsia="仿宋"/>
          <w:color w:val="auto"/>
          <w:sz w:val="32"/>
          <w:szCs w:val="32"/>
          <w:highlight w:val="none"/>
        </w:rPr>
        <w:t>万元，主要包括：基本工资、奖金、伙食补助费、绩效工资、机关事业单位基本养老保险缴费、职工基本医疗保险缴费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其他社会保障缴费、住房公积金支出</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其他工资福利支出、生活补助等。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92.48</w:t>
      </w:r>
      <w:r>
        <w:rPr>
          <w:rFonts w:hint="eastAsia" w:ascii="仿宋" w:hAnsi="仿宋" w:eastAsia="仿宋"/>
          <w:color w:val="auto"/>
          <w:sz w:val="32"/>
          <w:szCs w:val="32"/>
          <w:highlight w:val="none"/>
        </w:rPr>
        <w:t>万元，主要包括：办公费、印刷费、手续费、水费、邮电费、差旅费、维修（护）费、会议费、公务接待费、劳务费、工会经费、福利费、公务用车运行维护费、其他交通费</w:t>
      </w:r>
      <w:r>
        <w:rPr>
          <w:rFonts w:hint="eastAsia" w:ascii="仿宋" w:hAnsi="仿宋" w:eastAsia="仿宋"/>
          <w:color w:val="auto"/>
          <w:sz w:val="32"/>
          <w:szCs w:val="32"/>
          <w:highlight w:val="none"/>
          <w:lang w:val="en-US" w:eastAsia="zh-CN"/>
        </w:rPr>
        <w:t>用</w:t>
      </w:r>
      <w:r>
        <w:rPr>
          <w:rFonts w:hint="eastAsia" w:ascii="仿宋" w:hAnsi="仿宋" w:eastAsia="仿宋"/>
          <w:color w:val="auto"/>
          <w:sz w:val="32"/>
          <w:szCs w:val="32"/>
          <w:highlight w:val="none"/>
        </w:rPr>
        <w:t>、其他商品和服务支出。</w:t>
      </w:r>
    </w:p>
    <w:p>
      <w:pPr>
        <w:shd w:val="clear"/>
        <w:spacing w:line="600" w:lineRule="exact"/>
        <w:ind w:firstLine="640"/>
        <w:outlineLvl w:val="1"/>
        <w:rPr>
          <w:rStyle w:val="21"/>
          <w:rFonts w:ascii="黑体" w:hAnsi="黑体" w:eastAsia="黑体"/>
          <w:b w:val="0"/>
          <w:color w:val="auto"/>
          <w:highlight w:val="none"/>
        </w:rPr>
      </w:pPr>
      <w:bookmarkStart w:id="51" w:name="_Toc15377215"/>
      <w:bookmarkStart w:id="52" w:name="_Toc15396609"/>
      <w:bookmarkStart w:id="53" w:name="_Toc3480"/>
      <w:r>
        <w:rPr>
          <w:rFonts w:hint="eastAsia" w:ascii="黑体" w:eastAsia="黑体"/>
          <w:color w:val="auto"/>
          <w:sz w:val="32"/>
          <w:szCs w:val="32"/>
          <w:highlight w:val="none"/>
        </w:rPr>
        <w:t>七、</w:t>
      </w:r>
      <w:r>
        <w:rPr>
          <w:rStyle w:val="21"/>
          <w:rFonts w:hint="eastAsia" w:ascii="黑体" w:hAnsi="黑体" w:eastAsia="黑体"/>
          <w:b w:val="0"/>
          <w:color w:val="auto"/>
          <w:highlight w:val="none"/>
        </w:rPr>
        <w:t>财政拨款</w:t>
      </w:r>
      <w:r>
        <w:rPr>
          <w:rStyle w:val="21"/>
          <w:rFonts w:hint="eastAsia" w:ascii="黑体" w:hAnsi="黑体" w:eastAsia="黑体"/>
          <w:color w:val="auto"/>
          <w:highlight w:val="none"/>
        </w:rPr>
        <w:t>“</w:t>
      </w:r>
      <w:r>
        <w:rPr>
          <w:rStyle w:val="21"/>
          <w:rFonts w:hint="eastAsia" w:ascii="黑体" w:hAnsi="黑体" w:eastAsia="黑体"/>
          <w:b w:val="0"/>
          <w:color w:val="auto"/>
          <w:highlight w:val="none"/>
        </w:rPr>
        <w:t>三公”经费支出决算情况说明</w:t>
      </w:r>
      <w:bookmarkEnd w:id="51"/>
      <w:bookmarkEnd w:id="52"/>
      <w:bookmarkEnd w:id="53"/>
    </w:p>
    <w:p>
      <w:pPr>
        <w:shd w:val="clea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8.89</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减少0.83万元，下降8.5%。</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接待费下降，严格执行厉行节约十三条措施</w:t>
      </w:r>
      <w:r>
        <w:rPr>
          <w:rFonts w:hint="eastAsia" w:ascii="仿宋" w:hAnsi="仿宋" w:eastAsia="仿宋"/>
          <w:color w:val="auto"/>
          <w:sz w:val="32"/>
          <w:szCs w:val="32"/>
          <w:highlight w:val="none"/>
        </w:rPr>
        <w:t>。</w:t>
      </w:r>
    </w:p>
    <w:p>
      <w:pPr>
        <w:shd w:val="clea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hd w:val="clea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7.54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84.8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15.18</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keepNext w:val="0"/>
        <w:keepLines w:val="0"/>
        <w:widowControl/>
        <w:suppressLineNumbers w:val="0"/>
        <w:shd w:val="clear"/>
        <w:jc w:val="center"/>
        <w:rPr>
          <w:color w:val="auto"/>
          <w:highlight w:val="none"/>
        </w:rPr>
      </w:pPr>
      <w:r>
        <w:rPr>
          <w:rFonts w:ascii="宋体" w:hAnsi="宋体" w:eastAsia="宋体" w:cs="宋体"/>
          <w:color w:val="auto"/>
          <w:kern w:val="0"/>
          <w:sz w:val="24"/>
          <w:szCs w:val="24"/>
          <w:highlight w:val="none"/>
          <w:lang w:val="en-US" w:eastAsia="zh-CN" w:bidi="ar"/>
        </w:rPr>
        <w:drawing>
          <wp:inline distT="0" distB="0" distL="114300" distR="114300">
            <wp:extent cx="5375275" cy="2514600"/>
            <wp:effectExtent l="0" t="0" r="15875" b="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5"/>
                    <a:stretch>
                      <a:fillRect/>
                    </a:stretch>
                  </pic:blipFill>
                  <pic:spPr>
                    <a:xfrm>
                      <a:off x="0" y="0"/>
                      <a:ext cx="5375275" cy="2514600"/>
                    </a:xfrm>
                    <a:prstGeom prst="rect">
                      <a:avLst/>
                    </a:prstGeom>
                    <a:noFill/>
                    <a:ln w="9525">
                      <a:noFill/>
                    </a:ln>
                  </pic:spPr>
                </pic:pic>
              </a:graphicData>
            </a:graphic>
          </wp:inline>
        </w:drawing>
      </w:r>
    </w:p>
    <w:p>
      <w:pPr>
        <w:shd w:val="clear"/>
        <w:spacing w:line="600" w:lineRule="exact"/>
        <w:ind w:firstLine="640"/>
        <w:rPr>
          <w:rFonts w:hint="eastAsia" w:ascii="仿宋" w:hAnsi="仿宋" w:eastAsia="仿宋" w:cs="仿宋"/>
          <w:b w:val="0"/>
          <w:bCs/>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b/>
          <w:color w:val="auto"/>
          <w:sz w:val="32"/>
          <w:szCs w:val="32"/>
          <w:highlight w:val="none"/>
        </w:rPr>
        <w:t>万元</w:t>
      </w:r>
      <w:r>
        <w:rPr>
          <w:rFonts w:hint="eastAsia" w:ascii="仿宋_GB2312" w:eastAsia="仿宋_GB2312"/>
          <w:color w:val="auto"/>
          <w:sz w:val="32"/>
          <w:szCs w:val="32"/>
          <w:highlight w:val="none"/>
        </w:rPr>
        <w:t>，</w:t>
      </w:r>
      <w:r>
        <w:rPr>
          <w:rFonts w:hint="eastAsia" w:ascii="仿宋" w:hAnsi="仿宋" w:eastAsia="仿宋" w:cs="仿宋"/>
          <w:b w:val="0"/>
          <w:bCs/>
          <w:color w:val="auto"/>
          <w:sz w:val="32"/>
          <w:szCs w:val="32"/>
          <w:highlight w:val="none"/>
          <w:lang w:val="en-US" w:eastAsia="zh-CN"/>
        </w:rPr>
        <w:t>年初未安排预算</w:t>
      </w:r>
      <w:r>
        <w:rPr>
          <w:rStyle w:val="18"/>
          <w:rFonts w:hint="eastAsia" w:ascii="仿宋" w:hAnsi="仿宋" w:eastAsia="仿宋"/>
          <w:b w:val="0"/>
          <w:bCs/>
          <w:color w:val="auto"/>
          <w:sz w:val="32"/>
          <w:szCs w:val="32"/>
          <w:highlight w:val="none"/>
        </w:rPr>
        <w:t>。</w:t>
      </w:r>
      <w:r>
        <w:rPr>
          <w:rFonts w:hint="eastAsia" w:ascii="仿宋" w:hAnsi="仿宋" w:eastAsia="仿宋" w:cs="仿宋"/>
          <w:b w:val="0"/>
          <w:bCs/>
          <w:color w:val="auto"/>
          <w:sz w:val="32"/>
          <w:szCs w:val="32"/>
          <w:highlight w:val="none"/>
        </w:rPr>
        <w:t>因公出国（境）支出决算较202</w:t>
      </w: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年无变化</w:t>
      </w:r>
      <w:r>
        <w:rPr>
          <w:rFonts w:hint="eastAsia" w:ascii="仿宋" w:hAnsi="仿宋" w:eastAsia="仿宋" w:cs="仿宋"/>
          <w:b w:val="0"/>
          <w:bCs/>
          <w:color w:val="auto"/>
          <w:sz w:val="32"/>
          <w:szCs w:val="32"/>
          <w:highlight w:val="none"/>
          <w:lang w:eastAsia="zh-CN"/>
        </w:rPr>
        <w:t>。</w:t>
      </w:r>
    </w:p>
    <w:p>
      <w:pPr>
        <w:shd w:val="clea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7.54万元，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14.7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2022年七人普工作重心为普查数据开发应用阶段，公务用车频率减少，2022年疫情期间用车频率减少，费用较上年有一定降幅</w:t>
      </w:r>
      <w:r>
        <w:rPr>
          <w:rFonts w:hint="eastAsia" w:ascii="仿宋_GB2312" w:eastAsia="仿宋_GB2312"/>
          <w:color w:val="auto"/>
          <w:sz w:val="32"/>
          <w:szCs w:val="32"/>
          <w:highlight w:val="none"/>
        </w:rPr>
        <w:t>。</w:t>
      </w:r>
    </w:p>
    <w:p>
      <w:pPr>
        <w:shd w:val="clea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w:t>
      </w:r>
      <w:r>
        <w:rPr>
          <w:rFonts w:hint="eastAsia" w:ascii="仿宋" w:hAnsi="仿宋" w:eastAsia="仿宋" w:cs="仿宋"/>
          <w:b w:val="0"/>
          <w:bCs/>
          <w:color w:val="auto"/>
          <w:sz w:val="32"/>
          <w:szCs w:val="32"/>
          <w:highlight w:val="none"/>
        </w:rPr>
        <w:t>越野车</w:t>
      </w:r>
      <w:r>
        <w:rPr>
          <w:rFonts w:hint="eastAsia" w:ascii="仿宋" w:hAnsi="仿宋" w:eastAsia="仿宋" w:cs="仿宋"/>
          <w:b w:val="0"/>
          <w:bCs/>
          <w:color w:val="auto"/>
          <w:sz w:val="32"/>
          <w:szCs w:val="32"/>
          <w:highlight w:val="none"/>
          <w:lang w:val="en-US" w:eastAsia="zh-CN"/>
        </w:rPr>
        <w:t>1</w:t>
      </w:r>
      <w:r>
        <w:rPr>
          <w:rFonts w:hint="eastAsia" w:ascii="仿宋" w:hAnsi="仿宋" w:eastAsia="仿宋" w:cs="仿宋"/>
          <w:b w:val="0"/>
          <w:bCs/>
          <w:color w:val="auto"/>
          <w:sz w:val="32"/>
          <w:szCs w:val="32"/>
          <w:highlight w:val="none"/>
        </w:rPr>
        <w:t>辆。</w:t>
      </w:r>
    </w:p>
    <w:p>
      <w:pPr>
        <w:shd w:val="clear"/>
        <w:spacing w:line="600" w:lineRule="exact"/>
        <w:ind w:firstLine="640"/>
        <w:rPr>
          <w:rFonts w:hint="eastAsia" w:ascii="仿宋" w:hAnsi="仿宋" w:eastAsia="仿宋" w:cs="仿宋"/>
          <w:b w:val="0"/>
          <w:bCs/>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7.54</w:t>
      </w:r>
      <w:r>
        <w:rPr>
          <w:rFonts w:hint="eastAsia" w:ascii="仿宋_GB2312" w:eastAsia="仿宋_GB2312"/>
          <w:color w:val="auto"/>
          <w:sz w:val="32"/>
          <w:szCs w:val="32"/>
          <w:highlight w:val="none"/>
        </w:rPr>
        <w:t>万元。主要用于</w:t>
      </w:r>
      <w:r>
        <w:rPr>
          <w:rFonts w:hint="eastAsia" w:ascii="仿宋" w:hAnsi="仿宋" w:eastAsia="仿宋" w:cs="仿宋"/>
          <w:b w:val="0"/>
          <w:bCs/>
          <w:color w:val="auto"/>
          <w:sz w:val="32"/>
          <w:szCs w:val="32"/>
          <w:highlight w:val="none"/>
          <w:lang w:eastAsia="zh-CN"/>
        </w:rPr>
        <w:t>专项统计业务、统计执法及七人普</w:t>
      </w:r>
      <w:r>
        <w:rPr>
          <w:rFonts w:hint="eastAsia" w:ascii="仿宋" w:hAnsi="仿宋" w:eastAsia="仿宋" w:cs="仿宋"/>
          <w:b w:val="0"/>
          <w:bCs/>
          <w:color w:val="auto"/>
          <w:sz w:val="32"/>
          <w:szCs w:val="32"/>
          <w:highlight w:val="none"/>
        </w:rPr>
        <w:t>等</w:t>
      </w:r>
      <w:r>
        <w:rPr>
          <w:rFonts w:hint="eastAsia" w:ascii="仿宋" w:hAnsi="仿宋" w:eastAsia="仿宋" w:cs="仿宋"/>
          <w:b w:val="0"/>
          <w:bCs/>
          <w:color w:val="auto"/>
          <w:sz w:val="32"/>
          <w:szCs w:val="32"/>
          <w:highlight w:val="none"/>
          <w:lang w:eastAsia="zh-CN"/>
        </w:rPr>
        <w:t>统计业务工作开展</w:t>
      </w:r>
      <w:r>
        <w:rPr>
          <w:rFonts w:hint="eastAsia" w:ascii="仿宋" w:hAnsi="仿宋" w:eastAsia="仿宋" w:cs="仿宋"/>
          <w:b w:val="0"/>
          <w:bCs/>
          <w:color w:val="auto"/>
          <w:sz w:val="32"/>
          <w:szCs w:val="32"/>
          <w:highlight w:val="none"/>
        </w:rPr>
        <w:t>所需的公务用车燃料费、维修费、过路过桥费、保险费等支出。</w:t>
      </w:r>
    </w:p>
    <w:p>
      <w:pPr>
        <w:shd w:val="clea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1.35</w:t>
      </w:r>
      <w:r>
        <w:rPr>
          <w:rFonts w:hint="eastAsia" w:ascii="仿宋_GB2312" w:eastAsia="仿宋_GB2312"/>
          <w:b/>
          <w:color w:val="auto"/>
          <w:sz w:val="32"/>
          <w:szCs w:val="32"/>
          <w:highlight w:val="none"/>
        </w:rPr>
        <w:t>万元</w:t>
      </w:r>
      <w:r>
        <w:rPr>
          <w:rFonts w:hint="eastAsia" w:ascii="仿宋_GB2312" w:eastAsia="仿宋_GB2312"/>
          <w:color w:val="auto"/>
          <w:sz w:val="32"/>
          <w:szCs w:val="32"/>
          <w:highlight w:val="none"/>
        </w:rPr>
        <w:t>，</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0.46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51.6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。统计</w:t>
      </w:r>
      <w:r>
        <w:rPr>
          <w:rFonts w:ascii="仿宋_GB2312" w:eastAsia="仿宋_GB2312"/>
          <w:color w:val="auto"/>
          <w:sz w:val="32"/>
          <w:szCs w:val="32"/>
          <w:highlight w:val="none"/>
        </w:rPr>
        <w:t>专项业务开展</w:t>
      </w:r>
      <w:r>
        <w:rPr>
          <w:rFonts w:hint="eastAsia" w:ascii="仿宋_GB2312" w:eastAsia="仿宋_GB2312"/>
          <w:color w:val="auto"/>
          <w:sz w:val="32"/>
          <w:szCs w:val="32"/>
          <w:highlight w:val="none"/>
        </w:rPr>
        <w:t>开支</w:t>
      </w:r>
      <w:r>
        <w:rPr>
          <w:rFonts w:ascii="仿宋_GB2312" w:eastAsia="仿宋_GB2312"/>
          <w:color w:val="auto"/>
          <w:sz w:val="32"/>
          <w:szCs w:val="32"/>
          <w:highlight w:val="none"/>
        </w:rPr>
        <w:t>的</w:t>
      </w:r>
      <w:r>
        <w:rPr>
          <w:rFonts w:hint="eastAsia" w:ascii="仿宋_GB2312" w:eastAsia="仿宋_GB2312"/>
          <w:color w:val="auto"/>
          <w:sz w:val="32"/>
          <w:szCs w:val="32"/>
          <w:highlight w:val="none"/>
        </w:rPr>
        <w:t>用餐费等。其中：</w:t>
      </w:r>
    </w:p>
    <w:p>
      <w:pPr>
        <w:shd w:val="clear"/>
        <w:spacing w:line="600" w:lineRule="exact"/>
        <w:ind w:firstLine="640"/>
        <w:rPr>
          <w:rFonts w:hint="default"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1.35</w:t>
      </w:r>
      <w:r>
        <w:rPr>
          <w:rFonts w:hint="eastAsia" w:ascii="仿宋_GB2312" w:eastAsia="仿宋_GB2312"/>
          <w:color w:val="auto"/>
          <w:sz w:val="32"/>
          <w:szCs w:val="32"/>
          <w:highlight w:val="none"/>
        </w:rPr>
        <w:t>万元，主要用于统计</w:t>
      </w:r>
      <w:r>
        <w:rPr>
          <w:rFonts w:ascii="仿宋_GB2312" w:eastAsia="仿宋_GB2312"/>
          <w:color w:val="auto"/>
          <w:sz w:val="32"/>
          <w:szCs w:val="32"/>
          <w:highlight w:val="none"/>
        </w:rPr>
        <w:t>专项业务开展</w:t>
      </w:r>
      <w:r>
        <w:rPr>
          <w:rFonts w:hint="eastAsia" w:ascii="仿宋_GB2312" w:eastAsia="仿宋_GB2312"/>
          <w:color w:val="auto"/>
          <w:sz w:val="32"/>
          <w:szCs w:val="32"/>
          <w:highlight w:val="none"/>
        </w:rPr>
        <w:t>开支</w:t>
      </w:r>
      <w:r>
        <w:rPr>
          <w:rFonts w:ascii="仿宋_GB2312" w:eastAsia="仿宋_GB2312"/>
          <w:color w:val="auto"/>
          <w:sz w:val="32"/>
          <w:szCs w:val="32"/>
          <w:highlight w:val="none"/>
        </w:rPr>
        <w:t>的</w:t>
      </w:r>
      <w:r>
        <w:rPr>
          <w:rFonts w:hint="eastAsia" w:ascii="仿宋_GB2312" w:eastAsia="仿宋_GB2312"/>
          <w:color w:val="auto"/>
          <w:sz w:val="32"/>
          <w:szCs w:val="32"/>
          <w:highlight w:val="none"/>
        </w:rPr>
        <w:t>用餐费等。国内公务接待</w:t>
      </w: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120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1.35</w:t>
      </w:r>
      <w:r>
        <w:rPr>
          <w:rFonts w:hint="eastAsia" w:ascii="仿宋_GB2312" w:eastAsia="仿宋_GB2312"/>
          <w:color w:val="auto"/>
          <w:sz w:val="32"/>
          <w:szCs w:val="32"/>
          <w:highlight w:val="none"/>
        </w:rPr>
        <w:t>万元，具体内容包括：统计</w:t>
      </w:r>
      <w:r>
        <w:rPr>
          <w:rFonts w:ascii="仿宋_GB2312" w:eastAsia="仿宋_GB2312"/>
          <w:color w:val="auto"/>
          <w:sz w:val="32"/>
          <w:szCs w:val="32"/>
          <w:highlight w:val="none"/>
        </w:rPr>
        <w:t>专项业务开展</w:t>
      </w:r>
      <w:r>
        <w:rPr>
          <w:rFonts w:hint="eastAsia" w:ascii="仿宋_GB2312" w:eastAsia="仿宋_GB2312"/>
          <w:color w:val="auto"/>
          <w:sz w:val="32"/>
          <w:szCs w:val="32"/>
          <w:highlight w:val="none"/>
        </w:rPr>
        <w:t>开支</w:t>
      </w:r>
      <w:r>
        <w:rPr>
          <w:rFonts w:ascii="仿宋_GB2312" w:eastAsia="仿宋_GB2312"/>
          <w:color w:val="auto"/>
          <w:sz w:val="32"/>
          <w:szCs w:val="32"/>
          <w:highlight w:val="none"/>
        </w:rPr>
        <w:t>的</w:t>
      </w:r>
      <w:r>
        <w:rPr>
          <w:rFonts w:hint="eastAsia" w:ascii="仿宋_GB2312" w:eastAsia="仿宋_GB2312"/>
          <w:color w:val="auto"/>
          <w:sz w:val="32"/>
          <w:szCs w:val="32"/>
          <w:highlight w:val="none"/>
        </w:rPr>
        <w:t>用餐费等。</w:t>
      </w:r>
    </w:p>
    <w:p>
      <w:pPr>
        <w:shd w:val="clea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6" w:name="_Toc15377218"/>
      <w:bookmarkStart w:id="57" w:name="_Toc15396610"/>
    </w:p>
    <w:p>
      <w:pPr>
        <w:shd w:val="clear"/>
        <w:spacing w:line="600" w:lineRule="exact"/>
        <w:ind w:firstLine="640"/>
        <w:outlineLvl w:val="1"/>
        <w:rPr>
          <w:rStyle w:val="21"/>
          <w:rFonts w:ascii="黑体" w:hAnsi="黑体" w:eastAsia="黑体"/>
          <w:color w:val="auto"/>
          <w:highlight w:val="none"/>
        </w:rPr>
      </w:pPr>
      <w:bookmarkStart w:id="58" w:name="_Toc3362"/>
      <w:r>
        <w:rPr>
          <w:rFonts w:hint="eastAsia" w:ascii="黑体" w:eastAsia="黑体"/>
          <w:color w:val="auto"/>
          <w:sz w:val="32"/>
          <w:szCs w:val="32"/>
          <w:highlight w:val="none"/>
        </w:rPr>
        <w:t>八、</w:t>
      </w:r>
      <w:r>
        <w:rPr>
          <w:rStyle w:val="21"/>
          <w:rFonts w:hint="eastAsia" w:ascii="黑体" w:hAnsi="黑体" w:eastAsia="黑体"/>
          <w:b w:val="0"/>
          <w:color w:val="auto"/>
          <w:highlight w:val="none"/>
        </w:rPr>
        <w:t>政府性基金预算支出决算情况说明</w:t>
      </w:r>
      <w:bookmarkEnd w:id="56"/>
      <w:bookmarkEnd w:id="57"/>
      <w:bookmarkEnd w:id="58"/>
    </w:p>
    <w:p>
      <w:pPr>
        <w:shd w:val="clea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hd w:val="clear"/>
        <w:spacing w:line="600" w:lineRule="exact"/>
        <w:ind w:firstLine="640"/>
        <w:outlineLvl w:val="1"/>
        <w:rPr>
          <w:rStyle w:val="21"/>
          <w:rFonts w:ascii="黑体" w:hAnsi="黑体" w:eastAsia="黑体"/>
          <w:b w:val="0"/>
          <w:color w:val="auto"/>
          <w:highlight w:val="none"/>
        </w:rPr>
      </w:pPr>
      <w:bookmarkStart w:id="59" w:name="_Toc28775"/>
      <w:bookmarkStart w:id="60" w:name="_Toc15396611"/>
      <w:bookmarkStart w:id="61" w:name="_Toc15377219"/>
      <w:r>
        <w:rPr>
          <w:rStyle w:val="21"/>
          <w:rFonts w:hint="eastAsia" w:ascii="黑体" w:hAnsi="黑体" w:eastAsia="黑体"/>
          <w:b w:val="0"/>
          <w:color w:val="auto"/>
          <w:highlight w:val="none"/>
        </w:rPr>
        <w:t>国有资本经营预算支出决算情况说明</w:t>
      </w:r>
      <w:bookmarkEnd w:id="59"/>
      <w:bookmarkEnd w:id="60"/>
      <w:bookmarkEnd w:id="61"/>
    </w:p>
    <w:p>
      <w:pPr>
        <w:shd w:val="clea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hd w:val="clear"/>
        <w:spacing w:line="600" w:lineRule="exact"/>
        <w:ind w:firstLine="640"/>
        <w:outlineLvl w:val="1"/>
        <w:rPr>
          <w:rStyle w:val="21"/>
          <w:rFonts w:hint="eastAsia" w:ascii="黑体" w:hAnsi="黑体" w:eastAsia="黑体"/>
          <w:b w:val="0"/>
          <w:color w:val="auto"/>
          <w:highlight w:val="none"/>
        </w:rPr>
      </w:pPr>
      <w:bookmarkStart w:id="62" w:name="_Toc15396612"/>
      <w:bookmarkStart w:id="63" w:name="_Toc15377221"/>
      <w:bookmarkStart w:id="64" w:name="_Toc8480"/>
      <w:r>
        <w:rPr>
          <w:rStyle w:val="21"/>
          <w:rFonts w:hint="eastAsia" w:ascii="黑体" w:hAnsi="黑体" w:eastAsia="黑体"/>
          <w:b w:val="0"/>
          <w:color w:val="auto"/>
          <w:highlight w:val="none"/>
        </w:rPr>
        <w:t>其他重要事项的情况说明</w:t>
      </w:r>
      <w:bookmarkEnd w:id="62"/>
      <w:bookmarkEnd w:id="63"/>
      <w:bookmarkEnd w:id="64"/>
    </w:p>
    <w:p>
      <w:pPr>
        <w:shd w:val="clear"/>
        <w:spacing w:line="600" w:lineRule="exact"/>
        <w:ind w:firstLine="643"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hd w:val="clea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广元市统计局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92.47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6.29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新增人员五名。</w:t>
      </w:r>
    </w:p>
    <w:p>
      <w:pPr>
        <w:shd w:val="clea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广元市统计局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hd w:val="clea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shd w:val="clea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广元市统计局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 w:hAnsi="仿宋" w:eastAsia="仿宋"/>
          <w:color w:val="auto"/>
          <w:sz w:val="32"/>
          <w:szCs w:val="32"/>
          <w:highlight w:val="none"/>
          <w:lang w:eastAsia="zh-CN"/>
        </w:rPr>
        <w:t>开展专项统计业务相关的统计调查、数据核查、人口普查等相关开支</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numPr>
          <w:ilvl w:val="0"/>
          <w:numId w:val="5"/>
        </w:numPr>
        <w:shd w:val="clea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预算绩效管理情况</w:t>
      </w:r>
    </w:p>
    <w:p>
      <w:pPr>
        <w:widowControl/>
        <w:shd w:val="clea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统计年鉴、月报、季报、统计资料制作经费、统计业务培训经费、统计等保测评信息化运维项目、统计调查专项经费、基本单位名录库专项工作经费、统计宣传及专业技术资格教育考试工作经费、乡村振兴工作经费、第七次全国人口普查工作经费、统计延伸督查检工作经费等</w:t>
      </w:r>
      <w:r>
        <w:rPr>
          <w:rFonts w:hint="eastAsia" w:ascii="仿宋_GB2312" w:hAnsi="仿宋_GB2312" w:eastAsia="仿宋_GB2312" w:cs="仿宋_GB2312"/>
          <w:color w:val="auto"/>
          <w:sz w:val="32"/>
          <w:szCs w:val="32"/>
          <w:highlight w:val="none"/>
          <w:lang w:val="en-US" w:eastAsia="zh-CN"/>
        </w:rPr>
        <w:t>九个项目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eastAsia="zh-CN"/>
        </w:rPr>
        <w:t>九</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组织对2022年度一般公共预算开展绩效自评，形成</w:t>
      </w:r>
      <w:r>
        <w:rPr>
          <w:rFonts w:hint="eastAsia" w:ascii="仿宋_GB2312" w:hAnsi="仿宋_GB2312" w:eastAsia="仿宋_GB2312" w:cs="仿宋_GB2312"/>
          <w:color w:val="auto"/>
          <w:sz w:val="32"/>
          <w:szCs w:val="32"/>
          <w:highlight w:val="none"/>
          <w:lang w:eastAsia="zh-CN"/>
        </w:rPr>
        <w:t>广元市统计局</w:t>
      </w:r>
      <w:r>
        <w:rPr>
          <w:rFonts w:hint="eastAsia" w:ascii="仿宋_GB2312" w:hAnsi="仿宋_GB2312" w:eastAsia="仿宋_GB2312" w:cs="仿宋_GB2312"/>
          <w:color w:val="auto"/>
          <w:sz w:val="32"/>
          <w:szCs w:val="32"/>
          <w:highlight w:val="none"/>
        </w:rPr>
        <w:t>部门整体绩效自评报告、绩效自评报告详见附件（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bookmarkStart w:id="68" w:name="_Toc15377225"/>
      <w:bookmarkStart w:id="69" w:name="_Toc15396613"/>
    </w:p>
    <w:p>
      <w:pPr>
        <w:widowControl/>
        <w:shd w:val="clear"/>
        <w:ind w:firstLine="3080" w:firstLineChars="700"/>
        <w:jc w:val="left"/>
        <w:outlineLvl w:val="0"/>
        <w:rPr>
          <w:rStyle w:val="20"/>
          <w:rFonts w:ascii="黑体" w:hAnsi="黑体" w:eastAsia="黑体"/>
          <w:b w:val="0"/>
          <w:color w:val="auto"/>
          <w:highlight w:val="none"/>
        </w:rPr>
      </w:pPr>
      <w:bookmarkStart w:id="70" w:name="_Toc16074"/>
      <w:r>
        <w:rPr>
          <w:rStyle w:val="20"/>
          <w:rFonts w:hint="eastAsia" w:ascii="黑体" w:hAnsi="黑体" w:eastAsia="黑体"/>
          <w:b w:val="0"/>
          <w:color w:val="auto"/>
          <w:highlight w:val="none"/>
          <w:lang w:eastAsia="zh-CN"/>
        </w:rPr>
        <w:t>第三部分</w:t>
      </w:r>
      <w:r>
        <w:rPr>
          <w:rStyle w:val="20"/>
          <w:rFonts w:hint="eastAsia" w:ascii="黑体" w:hAnsi="黑体" w:eastAsia="黑体"/>
          <w:b w:val="0"/>
          <w:color w:val="auto"/>
          <w:highlight w:val="none"/>
          <w:lang w:val="en-US" w:eastAsia="zh-CN"/>
        </w:rPr>
        <w:t xml:space="preserve"> </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0"/>
          <w:rFonts w:hint="eastAsia" w:ascii="黑体" w:hAnsi="黑体" w:eastAsia="黑体"/>
          <w:b w:val="0"/>
          <w:color w:val="auto"/>
          <w:highlight w:val="none"/>
        </w:rPr>
        <w:t>词解释</w:t>
      </w:r>
      <w:bookmarkEnd w:id="68"/>
      <w:bookmarkEnd w:id="69"/>
      <w:bookmarkEnd w:id="70"/>
    </w:p>
    <w:p>
      <w:pPr>
        <w:shd w:val="clear"/>
        <w:spacing w:line="600" w:lineRule="exact"/>
        <w:jc w:val="left"/>
        <w:rPr>
          <w:rFonts w:ascii="宋体"/>
          <w:b/>
          <w:color w:val="auto"/>
          <w:sz w:val="44"/>
          <w:szCs w:val="44"/>
          <w:highlight w:val="none"/>
        </w:rPr>
      </w:pPr>
    </w:p>
    <w:p>
      <w:pPr>
        <w:pStyle w:val="30"/>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outlineLvl w:val="1"/>
        <w:rPr>
          <w:rFonts w:hAnsi="仿宋"/>
          <w:color w:val="auto"/>
          <w:sz w:val="32"/>
          <w:szCs w:val="32"/>
          <w:highlight w:val="none"/>
        </w:rPr>
      </w:pPr>
      <w:bookmarkStart w:id="71" w:name="_Toc22525"/>
      <w:r>
        <w:rPr>
          <w:rFonts w:hint="eastAsia" w:ascii="仿宋_GB2312" w:eastAsia="仿宋_GB2312"/>
          <w:color w:val="auto"/>
          <w:sz w:val="32"/>
          <w:szCs w:val="32"/>
          <w:highlight w:val="none"/>
        </w:rPr>
        <w:t>财政拨款收入：</w:t>
      </w:r>
      <w:r>
        <w:rPr>
          <w:rFonts w:hint="eastAsia" w:hAnsi="仿宋"/>
          <w:color w:val="auto"/>
          <w:sz w:val="32"/>
          <w:szCs w:val="32"/>
          <w:highlight w:val="none"/>
        </w:rPr>
        <w:t>指单位从同级财政部门取得的财政预算资金。</w:t>
      </w:r>
      <w:bookmarkEnd w:id="71"/>
    </w:p>
    <w:p>
      <w:pPr>
        <w:pStyle w:val="30"/>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其他收入：</w:t>
      </w:r>
      <w:r>
        <w:rPr>
          <w:rFonts w:hint="eastAsia" w:hAnsi="仿宋"/>
          <w:color w:val="auto"/>
          <w:sz w:val="32"/>
          <w:szCs w:val="32"/>
          <w:highlight w:val="none"/>
        </w:rPr>
        <w:t>指单位取得的除上述收入以外的各项收入。主要是利息收入等。</w:t>
      </w:r>
      <w:r>
        <w:rPr>
          <w:rFonts w:hAnsi="仿宋"/>
          <w:color w:val="auto"/>
          <w:sz w:val="32"/>
          <w:szCs w:val="32"/>
          <w:highlight w:val="none"/>
        </w:rPr>
        <w:t xml:space="preserve"> </w:t>
      </w:r>
    </w:p>
    <w:p>
      <w:pPr>
        <w:pStyle w:val="30"/>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ascii="仿宋_GB2312" w:eastAsia="仿宋_GB2312"/>
          <w:color w:val="auto"/>
          <w:sz w:val="32"/>
          <w:szCs w:val="32"/>
          <w:highlight w:val="none"/>
        </w:rPr>
      </w:pPr>
      <w:r>
        <w:rPr>
          <w:rFonts w:hint="eastAsia" w:hAnsi="仿宋"/>
          <w:color w:val="auto"/>
          <w:sz w:val="32"/>
          <w:szCs w:val="32"/>
          <w:highlight w:val="none"/>
        </w:rPr>
        <w:t>年初结转和结余：指以前年度尚未完成、结转到本年按有关规定继续使用的资金。</w:t>
      </w:r>
      <w:r>
        <w:rPr>
          <w:rFonts w:hAnsi="仿宋"/>
          <w:color w:val="auto"/>
          <w:sz w:val="32"/>
          <w:szCs w:val="32"/>
          <w:highlight w:val="none"/>
        </w:rPr>
        <w:t xml:space="preserve"> </w:t>
      </w:r>
    </w:p>
    <w:p>
      <w:pPr>
        <w:pStyle w:val="30"/>
        <w:numPr>
          <w:ilvl w:val="0"/>
          <w:numId w:val="6"/>
        </w:numPr>
        <w:shd w:val="clear"/>
        <w:spacing w:line="560" w:lineRule="exact"/>
        <w:ind w:left="0" w:leftChars="0" w:firstLine="400" w:firstLineChars="0"/>
        <w:rPr>
          <w:rFonts w:ascii="仿宋_GB2312" w:eastAsia="仿宋_GB2312"/>
          <w:color w:val="auto"/>
          <w:sz w:val="32"/>
          <w:szCs w:val="32"/>
          <w:highlight w:val="none"/>
        </w:rPr>
      </w:pPr>
      <w:r>
        <w:rPr>
          <w:rFonts w:hint="eastAsia" w:hAnsi="仿宋"/>
          <w:color w:val="auto"/>
          <w:sz w:val="32"/>
          <w:szCs w:val="32"/>
          <w:highlight w:val="none"/>
        </w:rPr>
        <w:t>年末结转和结余：指单位按有关规定结转到下年或以后年度继续使用的资金。</w:t>
      </w:r>
      <w:r>
        <w:rPr>
          <w:rFonts w:ascii="仿宋_GB2312" w:eastAsia="仿宋_GB2312"/>
          <w:color w:val="auto"/>
          <w:sz w:val="32"/>
          <w:szCs w:val="32"/>
          <w:highlight w:val="none"/>
        </w:rPr>
        <w:t xml:space="preserve"> </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bidi w:val="0"/>
        <w:snapToGrid/>
        <w:spacing w:before="0" w:beforeAutospacing="0" w:after="0" w:afterAutospacing="0" w:line="560" w:lineRule="exact"/>
        <w:ind w:left="0" w:leftChars="0" w:right="0" w:firstLine="400" w:firstLineChars="0"/>
        <w:jc w:val="left"/>
        <w:textAlignment w:val="auto"/>
        <w:rPr>
          <w:color w:val="auto"/>
          <w:highlight w:val="none"/>
        </w:rPr>
      </w:pPr>
      <w:r>
        <w:rPr>
          <w:rFonts w:hint="eastAsia" w:ascii="仿宋" w:hAnsi="仿宋" w:eastAsia="仿宋" w:cs="仿宋"/>
          <w:color w:val="auto"/>
          <w:kern w:val="0"/>
          <w:sz w:val="32"/>
          <w:szCs w:val="32"/>
          <w:highlight w:val="none"/>
          <w:lang w:val="en-US" w:eastAsia="zh-Hans" w:bidi="ar-SA"/>
        </w:rPr>
        <w:t>一般公共服务</w:t>
      </w:r>
      <w:r>
        <w:rPr>
          <w:rFonts w:hint="eastAsia" w:ascii="仿宋" w:hAnsi="仿宋" w:eastAsia="仿宋" w:cs="仿宋"/>
          <w:color w:val="auto"/>
          <w:kern w:val="0"/>
          <w:sz w:val="32"/>
          <w:szCs w:val="32"/>
          <w:highlight w:val="none"/>
          <w:lang w:val="en-US" w:eastAsia="zh-CN" w:bidi="ar-SA"/>
        </w:rPr>
        <w:t>（类）</w:t>
      </w:r>
      <w:r>
        <w:rPr>
          <w:rFonts w:hint="eastAsia" w:ascii="仿宋" w:hAnsi="仿宋" w:eastAsia="仿宋" w:cs="仿宋"/>
          <w:color w:val="auto"/>
          <w:kern w:val="0"/>
          <w:sz w:val="32"/>
          <w:szCs w:val="32"/>
          <w:highlight w:val="none"/>
          <w:lang w:val="en-US" w:eastAsia="zh-Hans" w:bidi="ar-SA"/>
        </w:rPr>
        <w:t>统计信息事务</w:t>
      </w:r>
      <w:r>
        <w:rPr>
          <w:rFonts w:hint="eastAsia" w:ascii="仿宋" w:hAnsi="仿宋" w:eastAsia="仿宋" w:cs="仿宋"/>
          <w:color w:val="auto"/>
          <w:kern w:val="0"/>
          <w:sz w:val="32"/>
          <w:szCs w:val="32"/>
          <w:highlight w:val="none"/>
          <w:lang w:val="en-US" w:eastAsia="zh-CN" w:bidi="ar-SA"/>
        </w:rPr>
        <w:t>（款）</w:t>
      </w:r>
      <w:r>
        <w:rPr>
          <w:rFonts w:hint="eastAsia" w:ascii="仿宋" w:hAnsi="仿宋" w:eastAsia="仿宋" w:cs="仿宋"/>
          <w:color w:val="auto"/>
          <w:kern w:val="0"/>
          <w:sz w:val="32"/>
          <w:szCs w:val="32"/>
          <w:highlight w:val="none"/>
          <w:lang w:val="en-US" w:eastAsia="zh-Hans" w:bidi="ar-SA"/>
        </w:rPr>
        <w:t>行政运行</w:t>
      </w:r>
      <w:r>
        <w:rPr>
          <w:rFonts w:hint="eastAsia" w:ascii="仿宋" w:hAnsi="仿宋" w:eastAsia="仿宋" w:cs="仿宋"/>
          <w:color w:val="auto"/>
          <w:kern w:val="0"/>
          <w:sz w:val="32"/>
          <w:szCs w:val="32"/>
          <w:highlight w:val="none"/>
          <w:lang w:val="en-US" w:eastAsia="zh-CN" w:bidi="ar-SA"/>
        </w:rPr>
        <w:t>（项）</w:t>
      </w:r>
      <w:r>
        <w:rPr>
          <w:rFonts w:hint="eastAsia" w:ascii="仿宋" w:hAnsi="仿宋" w:eastAsia="仿宋" w:cs="仿宋"/>
          <w:color w:val="auto"/>
          <w:kern w:val="0"/>
          <w:sz w:val="32"/>
          <w:szCs w:val="32"/>
          <w:highlight w:val="none"/>
          <w:lang w:val="en-US" w:eastAsia="zh-Hans" w:bidi="ar-SA"/>
        </w:rPr>
        <w:t>：指</w:t>
      </w:r>
      <w:r>
        <w:rPr>
          <w:rFonts w:hint="default" w:ascii="仿宋" w:hAnsi="仿宋" w:eastAsia="仿宋" w:cs="仿宋"/>
          <w:color w:val="auto"/>
          <w:kern w:val="0"/>
          <w:sz w:val="32"/>
          <w:szCs w:val="32"/>
          <w:highlight w:val="none"/>
          <w:lang w:val="en-US" w:eastAsia="zh-Hans" w:bidi="ar-SA"/>
        </w:rPr>
        <w:t>广元市</w:t>
      </w:r>
      <w:r>
        <w:rPr>
          <w:rFonts w:hint="eastAsia" w:ascii="仿宋" w:hAnsi="仿宋" w:eastAsia="仿宋" w:cs="仿宋"/>
          <w:color w:val="auto"/>
          <w:kern w:val="0"/>
          <w:sz w:val="32"/>
          <w:szCs w:val="32"/>
          <w:highlight w:val="none"/>
          <w:lang w:val="en-US" w:eastAsia="zh-CN" w:bidi="ar-SA"/>
        </w:rPr>
        <w:t>统计</w:t>
      </w:r>
      <w:r>
        <w:rPr>
          <w:rFonts w:hint="default" w:ascii="仿宋" w:hAnsi="仿宋" w:eastAsia="仿宋" w:cs="仿宋"/>
          <w:color w:val="auto"/>
          <w:kern w:val="0"/>
          <w:sz w:val="32"/>
          <w:szCs w:val="32"/>
          <w:highlight w:val="none"/>
          <w:lang w:val="en-US" w:eastAsia="zh-Hans" w:bidi="ar-SA"/>
        </w:rPr>
        <w:t>部门</w:t>
      </w:r>
      <w:r>
        <w:rPr>
          <w:rFonts w:hint="eastAsia" w:ascii="仿宋" w:hAnsi="仿宋" w:eastAsia="仿宋" w:cs="仿宋"/>
          <w:color w:val="auto"/>
          <w:kern w:val="0"/>
          <w:sz w:val="32"/>
          <w:szCs w:val="32"/>
          <w:highlight w:val="none"/>
          <w:lang w:val="en-US" w:eastAsia="zh-Hans" w:bidi="ar-SA"/>
        </w:rPr>
        <w:t>基本支出。</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bidi w:val="0"/>
        <w:snapToGrid/>
        <w:spacing w:before="0" w:beforeAutospacing="0" w:after="0" w:afterAutospacing="0" w:line="560" w:lineRule="exact"/>
        <w:ind w:left="0" w:leftChars="0" w:right="0" w:firstLine="400" w:firstLineChars="0"/>
        <w:jc w:val="left"/>
        <w:textAlignment w:val="auto"/>
        <w:rPr>
          <w:rFonts w:hint="eastAsia" w:ascii="仿宋" w:hAnsi="仿宋" w:eastAsia="仿宋" w:cs="仿宋"/>
          <w:color w:val="auto"/>
          <w:kern w:val="0"/>
          <w:sz w:val="32"/>
          <w:szCs w:val="32"/>
          <w:highlight w:val="none"/>
          <w:lang w:val="en-US" w:eastAsia="zh-Hans" w:bidi="ar-SA"/>
        </w:rPr>
      </w:pPr>
      <w:r>
        <w:rPr>
          <w:rFonts w:hint="eastAsia" w:ascii="仿宋" w:hAnsi="仿宋" w:eastAsia="仿宋" w:cs="仿宋"/>
          <w:color w:val="auto"/>
          <w:kern w:val="0"/>
          <w:sz w:val="32"/>
          <w:szCs w:val="32"/>
          <w:highlight w:val="none"/>
          <w:lang w:val="en-US" w:eastAsia="zh-Hans" w:bidi="ar-SA"/>
        </w:rPr>
        <w:t>一般公共服务</w:t>
      </w:r>
      <w:r>
        <w:rPr>
          <w:rFonts w:hint="eastAsia" w:ascii="仿宋" w:hAnsi="仿宋" w:eastAsia="仿宋" w:cs="仿宋"/>
          <w:color w:val="auto"/>
          <w:kern w:val="0"/>
          <w:sz w:val="32"/>
          <w:szCs w:val="32"/>
          <w:highlight w:val="none"/>
          <w:lang w:val="en-US" w:eastAsia="zh-CN" w:bidi="ar-SA"/>
        </w:rPr>
        <w:t>（类）</w:t>
      </w:r>
      <w:r>
        <w:rPr>
          <w:rFonts w:hint="eastAsia" w:ascii="仿宋" w:hAnsi="仿宋" w:eastAsia="仿宋" w:cs="仿宋"/>
          <w:color w:val="auto"/>
          <w:kern w:val="0"/>
          <w:sz w:val="32"/>
          <w:szCs w:val="32"/>
          <w:highlight w:val="none"/>
          <w:lang w:val="en-US" w:eastAsia="zh-Hans" w:bidi="ar-SA"/>
        </w:rPr>
        <w:t>统计信息事务</w:t>
      </w:r>
      <w:r>
        <w:rPr>
          <w:rFonts w:hint="eastAsia" w:ascii="仿宋" w:hAnsi="仿宋" w:eastAsia="仿宋" w:cs="仿宋"/>
          <w:color w:val="auto"/>
          <w:kern w:val="0"/>
          <w:sz w:val="32"/>
          <w:szCs w:val="32"/>
          <w:highlight w:val="none"/>
          <w:lang w:val="en-US" w:eastAsia="zh-CN" w:bidi="ar-SA"/>
        </w:rPr>
        <w:t>（款）</w:t>
      </w:r>
      <w:r>
        <w:rPr>
          <w:rFonts w:hint="eastAsia" w:ascii="仿宋" w:hAnsi="仿宋" w:eastAsia="仿宋" w:cs="仿宋"/>
          <w:color w:val="auto"/>
          <w:kern w:val="0"/>
          <w:sz w:val="32"/>
          <w:szCs w:val="32"/>
          <w:highlight w:val="none"/>
          <w:lang w:val="en-US" w:eastAsia="zh-Hans" w:bidi="ar-SA"/>
        </w:rPr>
        <w:t>专项统计业务</w:t>
      </w:r>
      <w:r>
        <w:rPr>
          <w:rFonts w:hint="eastAsia" w:ascii="仿宋" w:hAnsi="仿宋" w:eastAsia="仿宋" w:cs="仿宋"/>
          <w:color w:val="auto"/>
          <w:kern w:val="0"/>
          <w:sz w:val="32"/>
          <w:szCs w:val="32"/>
          <w:highlight w:val="none"/>
          <w:lang w:val="en-US" w:eastAsia="zh-CN" w:bidi="ar-SA"/>
        </w:rPr>
        <w:t>（项）</w:t>
      </w:r>
      <w:r>
        <w:rPr>
          <w:rFonts w:hint="eastAsia" w:ascii="仿宋" w:hAnsi="仿宋" w:eastAsia="仿宋" w:cs="仿宋"/>
          <w:color w:val="auto"/>
          <w:kern w:val="0"/>
          <w:sz w:val="32"/>
          <w:szCs w:val="32"/>
          <w:highlight w:val="none"/>
          <w:lang w:val="en-US" w:eastAsia="zh-Hans" w:bidi="ar-SA"/>
        </w:rPr>
        <w:t>：反映</w:t>
      </w:r>
      <w:r>
        <w:rPr>
          <w:rFonts w:hint="default" w:ascii="仿宋" w:hAnsi="仿宋" w:eastAsia="仿宋" w:cs="仿宋"/>
          <w:color w:val="auto"/>
          <w:kern w:val="0"/>
          <w:sz w:val="32"/>
          <w:szCs w:val="32"/>
          <w:highlight w:val="none"/>
          <w:lang w:val="en-US" w:eastAsia="zh-Hans" w:bidi="ar-SA"/>
        </w:rPr>
        <w:t>广元市</w:t>
      </w:r>
      <w:r>
        <w:rPr>
          <w:rFonts w:hint="eastAsia" w:ascii="仿宋" w:hAnsi="仿宋" w:eastAsia="仿宋" w:cs="仿宋"/>
          <w:color w:val="auto"/>
          <w:kern w:val="0"/>
          <w:sz w:val="32"/>
          <w:szCs w:val="32"/>
          <w:highlight w:val="none"/>
          <w:lang w:val="en-US" w:eastAsia="zh-CN" w:bidi="ar-SA"/>
        </w:rPr>
        <w:t>统计</w:t>
      </w:r>
      <w:r>
        <w:rPr>
          <w:rFonts w:hint="default" w:ascii="仿宋" w:hAnsi="仿宋" w:eastAsia="仿宋" w:cs="仿宋"/>
          <w:color w:val="auto"/>
          <w:kern w:val="0"/>
          <w:sz w:val="32"/>
          <w:szCs w:val="32"/>
          <w:highlight w:val="none"/>
          <w:lang w:val="en-US" w:eastAsia="zh-Hans" w:bidi="ar-SA"/>
        </w:rPr>
        <w:t>部门</w:t>
      </w:r>
      <w:r>
        <w:rPr>
          <w:rFonts w:hint="eastAsia" w:ascii="仿宋" w:hAnsi="仿宋" w:eastAsia="仿宋" w:cs="仿宋"/>
          <w:color w:val="auto"/>
          <w:kern w:val="0"/>
          <w:sz w:val="32"/>
          <w:szCs w:val="32"/>
          <w:highlight w:val="none"/>
          <w:lang w:val="en-US" w:eastAsia="zh-Hans" w:bidi="ar-SA"/>
        </w:rPr>
        <w:t>日常业务之外开展专项统计工作的支出。</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ascii="仿宋" w:hAnsi="仿宋" w:eastAsia="仿宋"/>
          <w:color w:val="auto"/>
          <w:sz w:val="32"/>
          <w:szCs w:val="32"/>
          <w:highlight w:val="none"/>
        </w:rPr>
      </w:pPr>
      <w:r>
        <w:rPr>
          <w:rFonts w:hint="eastAsia" w:ascii="仿宋" w:hAnsi="仿宋" w:eastAsia="仿宋" w:cs="仿宋"/>
          <w:color w:val="auto"/>
          <w:kern w:val="0"/>
          <w:sz w:val="32"/>
          <w:szCs w:val="32"/>
          <w:highlight w:val="none"/>
          <w:lang w:val="en-US" w:eastAsia="zh-Hans" w:bidi="ar-SA"/>
        </w:rPr>
        <w:t>一般公共服务</w:t>
      </w:r>
      <w:r>
        <w:rPr>
          <w:rFonts w:hint="eastAsia" w:ascii="仿宋" w:hAnsi="仿宋" w:eastAsia="仿宋" w:cs="仿宋"/>
          <w:color w:val="auto"/>
          <w:kern w:val="0"/>
          <w:sz w:val="32"/>
          <w:szCs w:val="32"/>
          <w:highlight w:val="none"/>
          <w:lang w:val="en-US" w:eastAsia="zh-CN" w:bidi="ar-SA"/>
        </w:rPr>
        <w:t>（类）</w:t>
      </w:r>
      <w:r>
        <w:rPr>
          <w:rFonts w:hint="eastAsia" w:ascii="仿宋" w:hAnsi="仿宋" w:eastAsia="仿宋" w:cs="仿宋"/>
          <w:color w:val="auto"/>
          <w:kern w:val="0"/>
          <w:sz w:val="32"/>
          <w:szCs w:val="32"/>
          <w:highlight w:val="none"/>
          <w:lang w:val="en-US" w:eastAsia="zh-Hans" w:bidi="ar-SA"/>
        </w:rPr>
        <w:t>统计信息事务</w:t>
      </w:r>
      <w:r>
        <w:rPr>
          <w:rFonts w:hint="eastAsia" w:ascii="仿宋" w:hAnsi="仿宋" w:eastAsia="仿宋" w:cs="仿宋"/>
          <w:color w:val="auto"/>
          <w:kern w:val="0"/>
          <w:sz w:val="32"/>
          <w:szCs w:val="32"/>
          <w:highlight w:val="none"/>
          <w:lang w:val="en-US" w:eastAsia="zh-CN" w:bidi="ar-SA"/>
        </w:rPr>
        <w:t>（款）</w:t>
      </w:r>
      <w:r>
        <w:rPr>
          <w:rFonts w:hint="eastAsia" w:ascii="仿宋" w:hAnsi="仿宋" w:eastAsia="仿宋"/>
          <w:color w:val="auto"/>
          <w:sz w:val="32"/>
          <w:szCs w:val="32"/>
          <w:highlight w:val="none"/>
        </w:rPr>
        <w:t>专项普查活动</w:t>
      </w:r>
      <w:r>
        <w:rPr>
          <w:rFonts w:hint="eastAsia" w:ascii="仿宋" w:hAnsi="仿宋" w:eastAsia="仿宋"/>
          <w:color w:val="auto"/>
          <w:sz w:val="32"/>
          <w:szCs w:val="32"/>
          <w:highlight w:val="none"/>
          <w:lang w:eastAsia="zh-CN"/>
        </w:rPr>
        <w:t>（项）</w:t>
      </w:r>
      <w:r>
        <w:rPr>
          <w:rFonts w:hint="eastAsia" w:ascii="仿宋" w:hAnsi="仿宋" w:eastAsia="仿宋"/>
          <w:color w:val="auto"/>
          <w:sz w:val="32"/>
          <w:szCs w:val="32"/>
          <w:highlight w:val="none"/>
        </w:rPr>
        <w:t>：反映统计部门开展人口普查、经济普查、农业普查、投入产出调查等周期性普查工作的支出。</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bidi w:val="0"/>
        <w:snapToGrid/>
        <w:spacing w:before="0" w:beforeAutospacing="0" w:after="0" w:afterAutospacing="0" w:line="560" w:lineRule="exact"/>
        <w:ind w:left="0" w:leftChars="0" w:right="0" w:firstLine="400" w:firstLineChars="0"/>
        <w:jc w:val="left"/>
        <w:textAlignment w:val="auto"/>
        <w:rPr>
          <w:rFonts w:hint="eastAsia" w:ascii="仿宋" w:hAnsi="仿宋" w:eastAsia="仿宋"/>
          <w:color w:val="auto"/>
          <w:sz w:val="32"/>
          <w:szCs w:val="32"/>
          <w:highlight w:val="none"/>
          <w:lang w:eastAsia="zh-CN"/>
        </w:rPr>
      </w:pPr>
      <w:r>
        <w:rPr>
          <w:rFonts w:hint="eastAsia" w:ascii="仿宋" w:hAnsi="仿宋" w:eastAsia="仿宋" w:cs="仿宋"/>
          <w:color w:val="auto"/>
          <w:kern w:val="0"/>
          <w:sz w:val="32"/>
          <w:szCs w:val="32"/>
          <w:highlight w:val="none"/>
          <w:lang w:val="en-US" w:eastAsia="zh-Hans" w:bidi="ar-SA"/>
        </w:rPr>
        <w:t>一般公共服务</w:t>
      </w:r>
      <w:r>
        <w:rPr>
          <w:rFonts w:hint="eastAsia" w:ascii="仿宋" w:hAnsi="仿宋" w:eastAsia="仿宋" w:cs="仿宋"/>
          <w:color w:val="auto"/>
          <w:kern w:val="0"/>
          <w:sz w:val="32"/>
          <w:szCs w:val="32"/>
          <w:highlight w:val="none"/>
          <w:lang w:val="en-US" w:eastAsia="zh-CN" w:bidi="ar-SA"/>
        </w:rPr>
        <w:t>（类）</w:t>
      </w:r>
      <w:r>
        <w:rPr>
          <w:rFonts w:hint="eastAsia" w:ascii="仿宋" w:hAnsi="仿宋" w:eastAsia="仿宋" w:cs="仿宋"/>
          <w:color w:val="auto"/>
          <w:kern w:val="0"/>
          <w:sz w:val="32"/>
          <w:szCs w:val="32"/>
          <w:highlight w:val="none"/>
          <w:lang w:val="en-US" w:eastAsia="zh-Hans" w:bidi="ar-SA"/>
        </w:rPr>
        <w:t>统计信息事务</w:t>
      </w:r>
      <w:r>
        <w:rPr>
          <w:rFonts w:hint="eastAsia" w:ascii="仿宋" w:hAnsi="仿宋" w:eastAsia="仿宋" w:cs="仿宋"/>
          <w:color w:val="auto"/>
          <w:kern w:val="0"/>
          <w:sz w:val="32"/>
          <w:szCs w:val="32"/>
          <w:highlight w:val="none"/>
          <w:lang w:val="en-US" w:eastAsia="zh-CN" w:bidi="ar-SA"/>
        </w:rPr>
        <w:t>（款）事业</w:t>
      </w:r>
      <w:r>
        <w:rPr>
          <w:rFonts w:hint="eastAsia" w:ascii="仿宋" w:hAnsi="仿宋" w:eastAsia="仿宋" w:cs="仿宋"/>
          <w:color w:val="auto"/>
          <w:kern w:val="0"/>
          <w:sz w:val="32"/>
          <w:szCs w:val="32"/>
          <w:highlight w:val="none"/>
          <w:lang w:val="en-US" w:eastAsia="zh-Hans" w:bidi="ar-SA"/>
        </w:rPr>
        <w:t>运行</w:t>
      </w:r>
      <w:r>
        <w:rPr>
          <w:rFonts w:hint="eastAsia" w:ascii="仿宋" w:hAnsi="仿宋" w:eastAsia="仿宋" w:cs="仿宋"/>
          <w:color w:val="auto"/>
          <w:kern w:val="0"/>
          <w:sz w:val="32"/>
          <w:szCs w:val="32"/>
          <w:highlight w:val="none"/>
          <w:lang w:val="en-US" w:eastAsia="zh-CN" w:bidi="ar-SA"/>
        </w:rPr>
        <w:t>（项）</w:t>
      </w:r>
      <w:r>
        <w:rPr>
          <w:rFonts w:hint="eastAsia" w:ascii="仿宋" w:hAnsi="仿宋" w:eastAsia="仿宋" w:cs="仿宋"/>
          <w:color w:val="auto"/>
          <w:kern w:val="0"/>
          <w:sz w:val="32"/>
          <w:szCs w:val="32"/>
          <w:highlight w:val="none"/>
          <w:lang w:val="en-US" w:eastAsia="zh-Hans" w:bidi="ar-SA"/>
        </w:rPr>
        <w:t>：</w:t>
      </w:r>
      <w:r>
        <w:rPr>
          <w:rFonts w:hint="eastAsia" w:ascii="仿宋" w:hAnsi="仿宋" w:eastAsia="仿宋" w:cs="仿宋"/>
          <w:color w:val="auto"/>
          <w:kern w:val="0"/>
          <w:sz w:val="32"/>
          <w:szCs w:val="32"/>
          <w:highlight w:val="none"/>
          <w:lang w:val="en-US" w:eastAsia="zh-CN" w:bidi="ar-SA"/>
        </w:rPr>
        <w:t>指广元市统计部门下属事业单位的基本支出。</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hint="default" w:ascii="仿宋" w:hAnsi="仿宋" w:eastAsia="仿宋" w:cs="仿宋"/>
          <w:color w:val="auto"/>
          <w:kern w:val="0"/>
          <w:sz w:val="32"/>
          <w:szCs w:val="32"/>
          <w:highlight w:val="none"/>
          <w:lang w:val="en-US" w:eastAsia="zh-Hans" w:bidi="ar-SA"/>
        </w:rPr>
      </w:pPr>
      <w:r>
        <w:rPr>
          <w:rFonts w:hint="default" w:ascii="仿宋" w:hAnsi="仿宋" w:eastAsia="仿宋" w:cs="仿宋"/>
          <w:color w:val="auto"/>
          <w:kern w:val="0"/>
          <w:sz w:val="32"/>
          <w:szCs w:val="32"/>
          <w:highlight w:val="none"/>
          <w:lang w:val="en-US" w:eastAsia="zh-Hans" w:bidi="ar-SA"/>
        </w:rPr>
        <w:t>社会保障和就业支出（类）行政事业单位养老支出（款）机关事业单位基本养老保险缴费支出（项）：指广元市</w:t>
      </w:r>
      <w:r>
        <w:rPr>
          <w:rFonts w:hint="eastAsia" w:ascii="仿宋" w:hAnsi="仿宋" w:eastAsia="仿宋" w:cs="仿宋"/>
          <w:color w:val="auto"/>
          <w:kern w:val="0"/>
          <w:sz w:val="32"/>
          <w:szCs w:val="32"/>
          <w:highlight w:val="none"/>
          <w:lang w:val="en-US" w:eastAsia="zh-CN" w:bidi="ar-SA"/>
        </w:rPr>
        <w:t>统计</w:t>
      </w:r>
      <w:r>
        <w:rPr>
          <w:rFonts w:hint="default" w:ascii="仿宋" w:hAnsi="仿宋" w:eastAsia="仿宋" w:cs="仿宋"/>
          <w:color w:val="auto"/>
          <w:kern w:val="0"/>
          <w:sz w:val="32"/>
          <w:szCs w:val="32"/>
          <w:highlight w:val="none"/>
          <w:lang w:val="en-US" w:eastAsia="zh-Hans" w:bidi="ar-SA"/>
        </w:rPr>
        <w:t>部门用于实施养老保险制度由单位缴纳的基本养老保险费支出。</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hint="eastAsia" w:ascii="仿宋" w:hAnsi="仿宋" w:eastAsia="仿宋" w:cs="仿宋"/>
          <w:color w:val="auto"/>
          <w:kern w:val="0"/>
          <w:sz w:val="32"/>
          <w:szCs w:val="32"/>
          <w:highlight w:val="none"/>
          <w:lang w:val="en-US" w:eastAsia="zh-CN" w:bidi="ar-SA"/>
        </w:rPr>
      </w:pPr>
      <w:r>
        <w:rPr>
          <w:rStyle w:val="18"/>
          <w:rFonts w:hint="eastAsia" w:ascii="仿宋" w:hAnsi="仿宋" w:eastAsia="仿宋" w:cs="Times New Roman"/>
          <w:b w:val="0"/>
          <w:bCs/>
          <w:color w:val="auto"/>
          <w:sz w:val="32"/>
          <w:szCs w:val="32"/>
          <w:highlight w:val="none"/>
        </w:rPr>
        <w:t>社会保障和就业</w:t>
      </w:r>
      <w:r>
        <w:rPr>
          <w:rStyle w:val="18"/>
          <w:rFonts w:hint="eastAsia" w:ascii="仿宋" w:hAnsi="仿宋" w:eastAsia="仿宋" w:cs="Times New Roman"/>
          <w:b w:val="0"/>
          <w:bCs/>
          <w:color w:val="auto"/>
          <w:sz w:val="32"/>
          <w:szCs w:val="32"/>
          <w:highlight w:val="none"/>
          <w:lang w:eastAsia="zh-CN"/>
        </w:rPr>
        <w:t>支出</w:t>
      </w:r>
      <w:r>
        <w:rPr>
          <w:rStyle w:val="18"/>
          <w:rFonts w:hint="eastAsia" w:ascii="仿宋" w:hAnsi="仿宋" w:eastAsia="仿宋" w:cs="Times New Roman"/>
          <w:b w:val="0"/>
          <w:bCs/>
          <w:color w:val="auto"/>
          <w:sz w:val="32"/>
          <w:szCs w:val="32"/>
          <w:highlight w:val="none"/>
        </w:rPr>
        <w:t>（类）其他社会保障和就业支出（款）其他社会保障和就业支出（项）</w:t>
      </w:r>
      <w:r>
        <w:rPr>
          <w:rStyle w:val="18"/>
          <w:rFonts w:hint="eastAsia" w:ascii="仿宋" w:hAnsi="仿宋" w:eastAsia="仿宋" w:cs="Times New Roman"/>
          <w:b w:val="0"/>
          <w:bCs/>
          <w:color w:val="auto"/>
          <w:sz w:val="32"/>
          <w:szCs w:val="32"/>
          <w:highlight w:val="none"/>
          <w:lang w:eastAsia="zh-CN"/>
        </w:rPr>
        <w:t>：指广元市统计部门用于实施其他社会保险制度由单位缴纳的其他社会保险支出。</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ascii="仿宋" w:hAnsi="仿宋" w:eastAsia="仿宋"/>
          <w:color w:val="auto"/>
          <w:sz w:val="32"/>
          <w:szCs w:val="32"/>
          <w:highlight w:val="none"/>
        </w:rPr>
      </w:pPr>
      <w:r>
        <w:rPr>
          <w:rFonts w:hint="eastAsia" w:ascii="仿宋" w:hAnsi="仿宋" w:eastAsia="仿宋" w:cs="仿宋"/>
          <w:color w:val="auto"/>
          <w:kern w:val="0"/>
          <w:sz w:val="32"/>
          <w:szCs w:val="32"/>
          <w:highlight w:val="none"/>
          <w:lang w:val="en-US" w:eastAsia="zh-CN" w:bidi="ar-SA"/>
        </w:rPr>
        <w:t>卫</w:t>
      </w:r>
      <w:r>
        <w:rPr>
          <w:rFonts w:hint="default" w:ascii="仿宋" w:hAnsi="仿宋" w:eastAsia="仿宋" w:cs="仿宋"/>
          <w:color w:val="auto"/>
          <w:kern w:val="0"/>
          <w:sz w:val="32"/>
          <w:szCs w:val="32"/>
          <w:highlight w:val="none"/>
          <w:lang w:val="en-US" w:eastAsia="zh-Hans" w:bidi="ar-SA"/>
        </w:rPr>
        <w:t>生健康支出（类）行政事业单位医疗（款）行政单位医疗（项）：</w:t>
      </w:r>
      <w:r>
        <w:rPr>
          <w:rFonts w:hint="eastAsia" w:ascii="仿宋" w:hAnsi="仿宋" w:eastAsia="仿宋" w:cs="仿宋"/>
          <w:color w:val="auto"/>
          <w:kern w:val="0"/>
          <w:sz w:val="32"/>
          <w:szCs w:val="32"/>
          <w:highlight w:val="none"/>
          <w:lang w:val="en-US" w:eastAsia="zh-Hans" w:bidi="ar-SA"/>
        </w:rPr>
        <w:t>指财政部门集中安排的行政单位基本医疗保险缴费经费，未参加医疗保险的行政单位的公费医疗经费，按国家规定享</w:t>
      </w:r>
      <w:r>
        <w:rPr>
          <w:rFonts w:hint="eastAsia" w:ascii="仿宋" w:hAnsi="仿宋" w:eastAsia="仿宋"/>
          <w:color w:val="auto"/>
          <w:sz w:val="32"/>
          <w:szCs w:val="32"/>
          <w:highlight w:val="none"/>
        </w:rPr>
        <w:t>受离休人员、红军老战士待遇人员的医疗经费。</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hint="default" w:ascii="仿宋" w:hAnsi="仿宋" w:eastAsia="仿宋" w:cs="Times New Roman"/>
          <w:color w:val="auto"/>
          <w:sz w:val="32"/>
          <w:szCs w:val="32"/>
          <w:highlight w:val="none"/>
          <w:lang w:val="en-US" w:eastAsia="zh-Hans"/>
        </w:rPr>
      </w:pPr>
      <w:r>
        <w:rPr>
          <w:rFonts w:hint="default" w:ascii="仿宋" w:hAnsi="仿宋" w:eastAsia="仿宋" w:cs="Times New Roman"/>
          <w:color w:val="auto"/>
          <w:sz w:val="32"/>
          <w:szCs w:val="32"/>
          <w:highlight w:val="none"/>
          <w:lang w:val="en-US" w:eastAsia="zh-Hans"/>
        </w:rPr>
        <w:t>住房保障支出（类）住房改革支出（款）住房公积金（项）：指广元市</w:t>
      </w:r>
      <w:r>
        <w:rPr>
          <w:rFonts w:hint="eastAsia" w:ascii="仿宋" w:hAnsi="仿宋" w:eastAsia="仿宋" w:cs="Times New Roman"/>
          <w:color w:val="auto"/>
          <w:sz w:val="32"/>
          <w:szCs w:val="32"/>
          <w:highlight w:val="none"/>
          <w:lang w:val="en-US" w:eastAsia="zh-CN"/>
        </w:rPr>
        <w:t>统计</w:t>
      </w:r>
      <w:r>
        <w:rPr>
          <w:rFonts w:hint="default" w:ascii="仿宋" w:hAnsi="仿宋" w:eastAsia="仿宋" w:cs="Times New Roman"/>
          <w:color w:val="auto"/>
          <w:sz w:val="32"/>
          <w:szCs w:val="32"/>
          <w:highlight w:val="none"/>
          <w:lang w:val="en-US" w:eastAsia="zh-Hans"/>
        </w:rPr>
        <w:t xml:space="preserve">部门用于按规定的工资基数以及规定比例为职工缴纳的住房公积金。 </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基本支出：指为保障机构正常运转、完成日常工作任务而发生的人员支出和公用支出。</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项目支出：指在基本支出之外为完成各项统计专项业务和各类大型普查活动等相关工作而发生的支出。</w:t>
      </w:r>
      <w:r>
        <w:rPr>
          <w:rFonts w:ascii="仿宋" w:hAnsi="仿宋" w:eastAsia="仿宋"/>
          <w:color w:val="auto"/>
          <w:sz w:val="32"/>
          <w:szCs w:val="32"/>
          <w:highlight w:val="none"/>
        </w:rPr>
        <w:t xml:space="preserve"> </w:t>
      </w:r>
    </w:p>
    <w:p>
      <w:pPr>
        <w:pStyle w:val="30"/>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hAnsi="仿宋"/>
          <w:color w:val="auto"/>
          <w:sz w:val="32"/>
          <w:szCs w:val="32"/>
          <w:highlight w:val="none"/>
        </w:rPr>
      </w:pPr>
      <w:r>
        <w:rPr>
          <w:rFonts w:hint="eastAsia" w:hAnsi="仿宋"/>
          <w:color w:val="auto"/>
          <w:sz w:val="32"/>
          <w:szCs w:val="32"/>
          <w:highlight w:val="none"/>
        </w:rPr>
        <w:t>“三公”经费：指部门用财政拨款安排的公务用车运行维护费和公务接待费。其中，我单位不涉及因公出国出境费用；公务用车运行及维护费反映单位留存的公务用车车辆燃料费、维修费、过路过桥费、保险费等支出以及公务租用费；公务接待费反映单位按规定开支的各类公务接待支出。</w:t>
      </w:r>
    </w:p>
    <w:p>
      <w:pPr>
        <w:keepNext w:val="0"/>
        <w:keepLines w:val="0"/>
        <w:pageBreakBefore w:val="0"/>
        <w:numPr>
          <w:ilvl w:val="0"/>
          <w:numId w:val="6"/>
        </w:numPr>
        <w:shd w:val="clear"/>
        <w:kinsoku/>
        <w:wordWrap/>
        <w:overflowPunct/>
        <w:topLinePunct w:val="0"/>
        <w:bidi w:val="0"/>
        <w:snapToGrid/>
        <w:spacing w:line="560" w:lineRule="exact"/>
        <w:ind w:left="0" w:leftChars="0" w:firstLine="400" w:firstLineChars="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办公用房水电费、公务用车运行维护费以及其他费用。</w:t>
      </w:r>
    </w:p>
    <w:p>
      <w:pPr>
        <w:rPr>
          <w:rFonts w:hint="eastAsia" w:ascii="黑体" w:hAnsi="黑体" w:eastAsia="黑体"/>
          <w:color w:val="auto"/>
          <w:sz w:val="44"/>
          <w:szCs w:val="44"/>
          <w:highlight w:val="none"/>
        </w:rPr>
      </w:pPr>
      <w:r>
        <w:rPr>
          <w:rFonts w:hint="eastAsia" w:ascii="仿宋" w:hAnsi="仿宋" w:eastAsia="仿宋" w:cs="Times New Roman"/>
          <w:color w:val="auto"/>
          <w:sz w:val="32"/>
          <w:szCs w:val="32"/>
          <w:highlight w:val="none"/>
        </w:rPr>
        <w:br w:type="page"/>
      </w:r>
      <w:bookmarkStart w:id="72" w:name="_Toc15396614"/>
      <w:bookmarkStart w:id="73" w:name="_Toc15377226"/>
    </w:p>
    <w:p>
      <w:pPr>
        <w:shd w:val="clear"/>
        <w:spacing w:line="600" w:lineRule="exact"/>
        <w:jc w:val="center"/>
        <w:outlineLvl w:val="9"/>
        <w:rPr>
          <w:rFonts w:hint="eastAsia" w:ascii="黑体" w:hAnsi="黑体" w:eastAsia="黑体"/>
          <w:color w:val="auto"/>
          <w:sz w:val="44"/>
          <w:szCs w:val="44"/>
          <w:highlight w:val="none"/>
        </w:rPr>
      </w:pPr>
    </w:p>
    <w:p>
      <w:pPr>
        <w:shd w:val="clear"/>
        <w:spacing w:line="600" w:lineRule="exact"/>
        <w:jc w:val="center"/>
        <w:outlineLvl w:val="0"/>
        <w:rPr>
          <w:rStyle w:val="20"/>
          <w:rFonts w:hint="eastAsia" w:ascii="黑体" w:hAnsi="黑体" w:eastAsia="黑体"/>
          <w:b w:val="0"/>
          <w:color w:val="auto"/>
          <w:highlight w:val="none"/>
          <w:lang w:eastAsia="zh-CN"/>
        </w:rPr>
      </w:pPr>
      <w:bookmarkStart w:id="74" w:name="_Toc28864"/>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四部分 附件</w:t>
      </w:r>
      <w:bookmarkEnd w:id="72"/>
      <w:bookmarkEnd w:id="74"/>
    </w:p>
    <w:p>
      <w:pPr>
        <w:keepNext w:val="0"/>
        <w:keepLines w:val="0"/>
        <w:pageBreakBefore w:val="0"/>
        <w:shd w:val="clear"/>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75" w:name="_Toc2200"/>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75"/>
    </w:p>
    <w:p>
      <w:pPr>
        <w:shd w:val="clear"/>
        <w:spacing w:line="740" w:lineRule="exact"/>
        <w:jc w:val="center"/>
        <w:rPr>
          <w:rFonts w:hint="eastAsia" w:ascii="方正小标宋简体" w:hAnsi="方正小标宋简体" w:eastAsia="方正小标宋简体" w:cs="方正小标宋简体"/>
          <w:b w:val="0"/>
          <w:bCs w:val="0"/>
          <w:color w:val="auto"/>
          <w:sz w:val="44"/>
          <w:szCs w:val="44"/>
          <w:highlight w:val="none"/>
          <w:shd w:val="clear" w:color="auto" w:fill="FFFFFF"/>
        </w:rPr>
      </w:pPr>
      <w:r>
        <w:rPr>
          <w:rFonts w:hint="eastAsia" w:ascii="方正小标宋简体" w:eastAsia="方正小标宋简体"/>
          <w:color w:val="auto"/>
          <w:sz w:val="44"/>
          <w:szCs w:val="44"/>
          <w:highlight w:val="none"/>
        </w:rPr>
        <w:t>广元市统计局</w:t>
      </w:r>
    </w:p>
    <w:p>
      <w:pPr>
        <w:keepNext w:val="0"/>
        <w:keepLines w:val="0"/>
        <w:pageBreakBefore w:val="0"/>
        <w:widowControl/>
        <w:shd w:val="clear"/>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val="0"/>
          <w:color w:val="auto"/>
          <w:sz w:val="44"/>
          <w:szCs w:val="44"/>
          <w:highlight w:val="none"/>
          <w:shd w:val="clear" w:color="auto" w:fill="FFFFFF"/>
        </w:rPr>
      </w:pPr>
      <w:r>
        <w:rPr>
          <w:rFonts w:hint="eastAsia" w:ascii="方正小标宋简体" w:hAnsi="方正小标宋简体" w:eastAsia="方正小标宋简体" w:cs="方正小标宋简体"/>
          <w:b w:val="0"/>
          <w:bCs w:val="0"/>
          <w:color w:val="auto"/>
          <w:sz w:val="44"/>
          <w:szCs w:val="44"/>
          <w:highlight w:val="none"/>
          <w:shd w:val="clear" w:color="auto" w:fill="FFFFFF"/>
        </w:rPr>
        <w:t>20</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val="0"/>
          <w:color w:val="auto"/>
          <w:sz w:val="44"/>
          <w:szCs w:val="44"/>
          <w:highlight w:val="none"/>
          <w:shd w:val="clear" w:color="auto" w:fill="FFFFFF"/>
        </w:rPr>
        <w:t>年</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市</w:t>
      </w:r>
      <w:r>
        <w:rPr>
          <w:rFonts w:hint="eastAsia" w:ascii="方正小标宋简体" w:hAnsi="方正小标宋简体" w:eastAsia="方正小标宋简体" w:cs="方正小标宋简体"/>
          <w:b w:val="0"/>
          <w:bCs w:val="0"/>
          <w:color w:val="auto"/>
          <w:sz w:val="44"/>
          <w:szCs w:val="44"/>
          <w:highlight w:val="none"/>
          <w:shd w:val="clear" w:color="auto" w:fill="FFFFFF"/>
        </w:rPr>
        <w:t>级部门整体</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支出</w:t>
      </w:r>
      <w:r>
        <w:rPr>
          <w:rFonts w:hint="eastAsia" w:ascii="方正小标宋简体" w:hAnsi="方正小标宋简体" w:eastAsia="方正小标宋简体" w:cs="方正小标宋简体"/>
          <w:b w:val="0"/>
          <w:bCs w:val="0"/>
          <w:color w:val="auto"/>
          <w:sz w:val="44"/>
          <w:szCs w:val="44"/>
          <w:highlight w:val="none"/>
          <w:shd w:val="clear" w:color="auto" w:fill="FFFFFF"/>
        </w:rPr>
        <w:t>绩效</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自评</w:t>
      </w:r>
      <w:r>
        <w:rPr>
          <w:rFonts w:hint="eastAsia" w:ascii="方正小标宋简体" w:hAnsi="方正小标宋简体" w:eastAsia="方正小标宋简体" w:cs="方正小标宋简体"/>
          <w:b w:val="0"/>
          <w:bCs w:val="0"/>
          <w:color w:val="auto"/>
          <w:sz w:val="44"/>
          <w:szCs w:val="44"/>
          <w:highlight w:val="none"/>
          <w:shd w:val="clear" w:color="auto" w:fill="FFFFFF"/>
        </w:rPr>
        <w:t>报告</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7"/>
        </w:numPr>
        <w:shd w:val="clea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76" w:name="_Toc11544"/>
      <w:r>
        <w:rPr>
          <w:rFonts w:hint="eastAsia" w:ascii="黑体" w:hAnsi="宋体" w:eastAsia="黑体" w:cs="宋体"/>
          <w:color w:val="auto"/>
          <w:kern w:val="0"/>
          <w:sz w:val="32"/>
          <w:szCs w:val="32"/>
          <w:highlight w:val="none"/>
          <w:shd w:val="clear" w:color="auto" w:fill="FFFFFF"/>
          <w:lang w:val="zh-CN"/>
        </w:rPr>
        <w:t>部门（单位）基本情况</w:t>
      </w:r>
      <w:bookmarkEnd w:id="76"/>
    </w:p>
    <w:p>
      <w:pPr>
        <w:shd w:val="clear"/>
        <w:spacing w:line="576" w:lineRule="exact"/>
        <w:ind w:firstLine="630" w:firstLineChars="196"/>
        <w:rPr>
          <w:rFonts w:hint="eastAsia" w:ascii="仿宋_GB2312" w:hAnsi="宋体" w:eastAsia="仿宋_GB2312" w:cs="宋体"/>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（一）机构组成。</w:t>
      </w:r>
      <w:r>
        <w:rPr>
          <w:rFonts w:hint="eastAsia" w:ascii="仿宋_GB2312" w:hAnsi="宋体" w:eastAsia="仿宋_GB2312" w:cs="宋体"/>
          <w:color w:val="auto"/>
          <w:kern w:val="0"/>
          <w:sz w:val="32"/>
          <w:szCs w:val="32"/>
          <w:highlight w:val="none"/>
          <w:shd w:val="clear" w:color="auto" w:fill="FFFFFF"/>
          <w:lang w:val="zh-CN"/>
        </w:rPr>
        <w:t>广元市统计局是一级预算单位，无独立核算的二级预算单位，下属一个参公单位广元市普查中心；一个全额拨款事业单位广元市统计大数据管理与社情民意调查中心。</w:t>
      </w:r>
    </w:p>
    <w:p>
      <w:pPr>
        <w:pStyle w:val="15"/>
        <w:shd w:val="clear" w:color="auto"/>
        <w:spacing w:before="0" w:beforeAutospacing="0" w:after="0" w:afterAutospacing="0" w:line="576" w:lineRule="exact"/>
        <w:ind w:firstLine="643" w:firstLineChars="200"/>
        <w:rPr>
          <w:rFonts w:hint="eastAsia" w:ascii="仿宋_GB2312" w:hAnsi="仿宋" w:eastAsia="仿宋_GB2312"/>
          <w:color w:val="auto"/>
          <w:sz w:val="32"/>
          <w:szCs w:val="32"/>
          <w:highlight w:val="none"/>
        </w:rPr>
      </w:pPr>
      <w:r>
        <w:rPr>
          <w:rFonts w:hint="eastAsia" w:ascii="楷体_GB2312" w:hAnsi="楷体_GB2312" w:eastAsia="楷体_GB2312" w:cs="楷体_GB2312"/>
          <w:b/>
          <w:bCs/>
          <w:color w:val="auto"/>
          <w:kern w:val="0"/>
          <w:sz w:val="32"/>
          <w:szCs w:val="32"/>
          <w:highlight w:val="none"/>
          <w:shd w:val="clear" w:color="auto" w:fill="FFFFFF"/>
          <w:lang w:val="zh-CN"/>
        </w:rPr>
        <w:t>（二）机构职能和人员概况。</w:t>
      </w:r>
      <w:r>
        <w:rPr>
          <w:rFonts w:hint="eastAsia" w:ascii="仿宋" w:hAnsi="仿宋" w:eastAsia="仿宋"/>
          <w:bCs/>
          <w:color w:val="auto"/>
          <w:sz w:val="32"/>
          <w:szCs w:val="32"/>
          <w:highlight w:val="none"/>
        </w:rPr>
        <w:t>我局的基本职能主要是负责全市国民经济核算，主管全市统计工作，分析和预测国民经济、社会发展、科技进步和资源环境等情况，</w:t>
      </w:r>
      <w:r>
        <w:rPr>
          <w:rFonts w:hint="eastAsia" w:ascii="仿宋_GB2312" w:hAnsi="仿宋" w:eastAsia="仿宋_GB2312"/>
          <w:color w:val="auto"/>
          <w:sz w:val="32"/>
          <w:szCs w:val="32"/>
          <w:highlight w:val="none"/>
        </w:rPr>
        <w:t>贯彻执行有关统计工作的方针、政策和法律、法规、规章；结合本市实际，研究起草有关统计工作的地方性法规、规章草案和政策，并组织实施有关法规、规章和政策。建立和完善统计指标体系，制定全市统一的基本统计制度；组织领导和监督检查各区县、各部门的统计和国民经济核算工作。会同有关部门组织重大的国情、国力调查和开展各项普查；</w:t>
      </w:r>
      <w:r>
        <w:rPr>
          <w:rFonts w:hint="eastAsia" w:ascii="仿宋" w:hAnsi="仿宋" w:eastAsia="仿宋"/>
          <w:bCs/>
          <w:color w:val="auto"/>
          <w:sz w:val="32"/>
          <w:szCs w:val="32"/>
          <w:highlight w:val="none"/>
        </w:rPr>
        <w:t>定期发布全市经济社会发展情况的统计信息，向市委、市政府及有关部门提供统计咨询建议，向社会公众提供统计信息服务等</w:t>
      </w:r>
      <w:r>
        <w:rPr>
          <w:rFonts w:hint="eastAsia" w:ascii="仿宋" w:hAnsi="仿宋" w:eastAsia="仿宋"/>
          <w:bCs/>
          <w:color w:val="auto"/>
          <w:sz w:val="32"/>
          <w:szCs w:val="32"/>
          <w:highlight w:val="none"/>
          <w:lang w:eastAsia="zh-CN"/>
        </w:rPr>
        <w:t>，</w:t>
      </w:r>
      <w:r>
        <w:rPr>
          <w:rFonts w:hint="eastAsia" w:ascii="仿宋_GB2312" w:hAnsi="仿宋" w:eastAsia="仿宋_GB2312"/>
          <w:color w:val="auto"/>
          <w:sz w:val="32"/>
          <w:szCs w:val="32"/>
          <w:highlight w:val="none"/>
        </w:rPr>
        <w:t>承办市政府交办的其他事项。</w:t>
      </w:r>
    </w:p>
    <w:p>
      <w:pPr>
        <w:shd w:val="clear"/>
        <w:spacing w:line="576" w:lineRule="exact"/>
        <w:ind w:firstLine="627" w:firstLineChars="196"/>
        <w:rPr>
          <w:rFonts w:hint="eastAsia" w:ascii="仿宋_GB2312" w:hAnsi="仿宋" w:eastAsia="仿宋_GB2312"/>
          <w:color w:val="auto"/>
          <w:sz w:val="32"/>
          <w:szCs w:val="32"/>
          <w:highlight w:val="none"/>
        </w:rPr>
      </w:pPr>
      <w:r>
        <w:rPr>
          <w:rFonts w:ascii="仿宋" w:hAnsi="仿宋" w:eastAsia="仿宋"/>
          <w:bCs/>
          <w:color w:val="auto"/>
          <w:sz w:val="32"/>
          <w:szCs w:val="32"/>
          <w:highlight w:val="none"/>
        </w:rPr>
        <w:t>20</w:t>
      </w:r>
      <w:r>
        <w:rPr>
          <w:rFonts w:hint="eastAsia" w:ascii="仿宋" w:hAnsi="仿宋" w:eastAsia="仿宋"/>
          <w:bCs/>
          <w:color w:val="auto"/>
          <w:sz w:val="32"/>
          <w:szCs w:val="32"/>
          <w:highlight w:val="none"/>
          <w:lang w:val="en-US" w:eastAsia="zh-CN"/>
        </w:rPr>
        <w:t>22</w:t>
      </w:r>
      <w:r>
        <w:rPr>
          <w:rFonts w:hint="eastAsia" w:ascii="仿宋" w:hAnsi="仿宋" w:eastAsia="仿宋"/>
          <w:bCs/>
          <w:color w:val="auto"/>
          <w:sz w:val="32"/>
          <w:szCs w:val="32"/>
          <w:highlight w:val="none"/>
        </w:rPr>
        <w:t>年</w:t>
      </w:r>
      <w:r>
        <w:rPr>
          <w:rFonts w:hint="eastAsia" w:ascii="仿宋" w:hAnsi="仿宋" w:eastAsia="仿宋"/>
          <w:bCs/>
          <w:color w:val="auto"/>
          <w:sz w:val="32"/>
          <w:szCs w:val="32"/>
          <w:highlight w:val="none"/>
          <w:lang w:val="en-US" w:eastAsia="zh-CN"/>
        </w:rPr>
        <w:t>市统计局总编制42个，其中：行政编制21个，参公编制6个，事业编制13个（其中3个为引进人才专人专编），工勤编制2个。在职人员44人，其中：行政人员20人，参公人员5个，事业人员16个，工勤人员3人；退休人员19人。年末</w:t>
      </w:r>
      <w:r>
        <w:rPr>
          <w:rFonts w:hint="eastAsia" w:ascii="仿宋" w:hAnsi="仿宋" w:eastAsia="仿宋"/>
          <w:bCs/>
          <w:color w:val="auto"/>
          <w:spacing w:val="-4"/>
          <w:sz w:val="32"/>
          <w:szCs w:val="32"/>
          <w:highlight w:val="none"/>
        </w:rPr>
        <w:t>在职人员</w:t>
      </w:r>
      <w:r>
        <w:rPr>
          <w:rFonts w:hint="eastAsia" w:ascii="仿宋" w:hAnsi="仿宋" w:eastAsia="仿宋"/>
          <w:bCs/>
          <w:color w:val="auto"/>
          <w:spacing w:val="-4"/>
          <w:sz w:val="32"/>
          <w:szCs w:val="32"/>
          <w:highlight w:val="none"/>
          <w:lang w:val="en-US" w:eastAsia="zh-CN"/>
        </w:rPr>
        <w:t>45</w:t>
      </w:r>
      <w:r>
        <w:rPr>
          <w:rFonts w:hint="eastAsia" w:ascii="仿宋" w:hAnsi="仿宋" w:eastAsia="仿宋"/>
          <w:bCs/>
          <w:color w:val="auto"/>
          <w:spacing w:val="-4"/>
          <w:sz w:val="32"/>
          <w:szCs w:val="32"/>
          <w:highlight w:val="none"/>
        </w:rPr>
        <w:t>名，其中财政供养人员</w:t>
      </w:r>
      <w:r>
        <w:rPr>
          <w:rFonts w:hint="eastAsia" w:ascii="仿宋" w:hAnsi="仿宋" w:eastAsia="仿宋"/>
          <w:bCs/>
          <w:color w:val="auto"/>
          <w:spacing w:val="-4"/>
          <w:sz w:val="32"/>
          <w:szCs w:val="32"/>
          <w:highlight w:val="none"/>
          <w:lang w:val="en-US" w:eastAsia="zh-CN"/>
        </w:rPr>
        <w:t>44</w:t>
      </w:r>
      <w:r>
        <w:rPr>
          <w:rFonts w:hint="eastAsia" w:ascii="仿宋" w:hAnsi="仿宋" w:eastAsia="仿宋"/>
          <w:bCs/>
          <w:color w:val="auto"/>
          <w:spacing w:val="-4"/>
          <w:sz w:val="32"/>
          <w:szCs w:val="32"/>
          <w:highlight w:val="none"/>
        </w:rPr>
        <w:t>人，长期聘用人员</w:t>
      </w:r>
      <w:r>
        <w:rPr>
          <w:rFonts w:ascii="仿宋" w:hAnsi="仿宋" w:eastAsia="仿宋"/>
          <w:bCs/>
          <w:color w:val="auto"/>
          <w:spacing w:val="-4"/>
          <w:sz w:val="32"/>
          <w:szCs w:val="32"/>
          <w:highlight w:val="none"/>
        </w:rPr>
        <w:t>1</w:t>
      </w:r>
      <w:r>
        <w:rPr>
          <w:rFonts w:hint="eastAsia" w:ascii="仿宋" w:hAnsi="仿宋" w:eastAsia="仿宋"/>
          <w:bCs/>
          <w:color w:val="auto"/>
          <w:spacing w:val="-4"/>
          <w:sz w:val="32"/>
          <w:szCs w:val="32"/>
          <w:highlight w:val="none"/>
        </w:rPr>
        <w:t>人</w:t>
      </w:r>
      <w:r>
        <w:rPr>
          <w:rFonts w:hint="eastAsia" w:ascii="仿宋" w:hAnsi="仿宋" w:eastAsia="仿宋"/>
          <w:bCs/>
          <w:color w:val="auto"/>
          <w:sz w:val="32"/>
          <w:szCs w:val="32"/>
          <w:highlight w:val="none"/>
        </w:rPr>
        <w:t>。</w:t>
      </w:r>
    </w:p>
    <w:p>
      <w:pPr>
        <w:keepNext w:val="0"/>
        <w:keepLines w:val="0"/>
        <w:pageBreakBefore w:val="0"/>
        <w:widowControl/>
        <w:suppressLineNumbers w:val="0"/>
        <w:shd w:val="clear"/>
        <w:kinsoku/>
        <w:wordWrap/>
        <w:overflowPunct/>
        <w:topLinePunct w:val="0"/>
        <w:autoSpaceDE/>
        <w:autoSpaceDN/>
        <w:bidi w:val="0"/>
        <w:adjustRightInd/>
        <w:snapToGrid/>
        <w:spacing w:line="576" w:lineRule="exact"/>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（三）年度主要工作任务。</w:t>
      </w:r>
      <w:r>
        <w:rPr>
          <w:rFonts w:hint="eastAsia" w:ascii="楷体" w:hAnsi="楷体" w:eastAsia="楷体" w:cs="楷体"/>
          <w:b w:val="0"/>
          <w:bCs w:val="0"/>
          <w:color w:val="auto"/>
          <w:kern w:val="2"/>
          <w:sz w:val="32"/>
          <w:szCs w:val="32"/>
          <w:highlight w:val="none"/>
          <w:lang w:val="en-US" w:eastAsia="zh-CN" w:bidi="ar-SA"/>
        </w:rPr>
        <w:t>一是始终坚持党建统领统计工作。</w:t>
      </w:r>
      <w:r>
        <w:rPr>
          <w:rFonts w:hint="eastAsia" w:ascii="仿宋" w:hAnsi="仿宋" w:eastAsia="仿宋" w:cs="仿宋"/>
          <w:color w:val="auto"/>
          <w:kern w:val="0"/>
          <w:sz w:val="32"/>
          <w:szCs w:val="32"/>
          <w:highlight w:val="none"/>
          <w:lang w:val="en" w:eastAsia="zh-CN" w:bidi="ar-SA"/>
        </w:rPr>
        <w:t>主动向党委政府汇报统计工作，争取最大限度的支持，得到高度重视。主要领导亲自研究、亲自推动统计改革建设，定期听取全市统计工作情况汇报，市委市政府主要领导、分管领导经常亲自研究、部署推动统计工作。各地各部门统计工作党政同责意识和“管行业就要管统计、管统计就要管统计数据质量”理念进一步强化。局党组</w:t>
      </w:r>
      <w:r>
        <w:rPr>
          <w:rFonts w:hint="eastAsia" w:ascii="仿宋" w:hAnsi="仿宋" w:eastAsia="仿宋" w:cs="仿宋"/>
          <w:color w:val="auto"/>
          <w:kern w:val="0"/>
          <w:sz w:val="32"/>
          <w:szCs w:val="32"/>
          <w:highlight w:val="none"/>
          <w:lang w:val="en-US" w:eastAsia="zh-CN" w:bidi="ar-SA"/>
        </w:rPr>
        <w:t>坚持党建和统计工作深度融合，全面落实新时代党的建设总要求，切实扛牢管党治党政治责任，不断强化政治理论武装，严肃党内政治生活，加强干部队伍建设，深入推进正风肃纪，确保全面从严治党具体要求在统计系统落地落实。</w:t>
      </w:r>
    </w:p>
    <w:p>
      <w:pPr>
        <w:keepNext w:val="0"/>
        <w:keepLines w:val="0"/>
        <w:pageBreakBefore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楷体" w:hAnsi="楷体" w:eastAsia="楷体" w:cs="楷体"/>
          <w:b w:val="0"/>
          <w:bCs w:val="0"/>
          <w:color w:val="auto"/>
          <w:kern w:val="2"/>
          <w:sz w:val="32"/>
          <w:szCs w:val="32"/>
          <w:highlight w:val="none"/>
          <w:lang w:val="en-US" w:eastAsia="zh-CN" w:bidi="ar-SA"/>
        </w:rPr>
        <w:t>二是锚定目标奋力反映发展成效。</w:t>
      </w:r>
      <w:r>
        <w:rPr>
          <w:rFonts w:hint="eastAsia" w:ascii="仿宋" w:hAnsi="仿宋" w:eastAsia="仿宋" w:cs="仿宋"/>
          <w:i w:val="0"/>
          <w:caps w:val="0"/>
          <w:color w:val="auto"/>
          <w:spacing w:val="0"/>
          <w:kern w:val="0"/>
          <w:sz w:val="32"/>
          <w:szCs w:val="32"/>
          <w:highlight w:val="none"/>
          <w:shd w:val="clear" w:color="auto" w:fill="FFFFFF"/>
          <w:lang w:val="en-US" w:eastAsia="zh-CN" w:bidi="ar"/>
        </w:rPr>
        <w:t>始终聚焦全市经济发展</w:t>
      </w:r>
      <w:r>
        <w:rPr>
          <w:rFonts w:hint="eastAsia" w:ascii="仿宋" w:hAnsi="仿宋" w:eastAsia="仿宋" w:cs="仿宋"/>
          <w:color w:val="auto"/>
          <w:sz w:val="32"/>
          <w:szCs w:val="32"/>
          <w:highlight w:val="none"/>
        </w:rPr>
        <w:t>目标</w:t>
      </w:r>
      <w:r>
        <w:rPr>
          <w:rFonts w:hint="eastAsia" w:ascii="仿宋" w:hAnsi="仿宋" w:eastAsia="仿宋" w:cs="仿宋"/>
          <w:color w:val="auto"/>
          <w:sz w:val="32"/>
          <w:szCs w:val="32"/>
          <w:highlight w:val="none"/>
          <w:lang w:eastAsia="zh-CN"/>
        </w:rPr>
        <w:t>尤其是拼经济搞建设的系列指标任务，想尽一切办法将全市经济发展成果应统尽统，统干统全。出台《关于为拼经济搞建设提供更加优质统计服务的通知》并抓紧抓细落实。全力以赴抓“升规入统”工作，前</w:t>
      </w:r>
      <w:r>
        <w:rPr>
          <w:rFonts w:hint="eastAsia" w:ascii="仿宋" w:hAnsi="仿宋" w:eastAsia="仿宋" w:cs="仿宋"/>
          <w:color w:val="auto"/>
          <w:sz w:val="32"/>
          <w:szCs w:val="32"/>
          <w:highlight w:val="none"/>
          <w:lang w:val="en-US" w:eastAsia="zh-CN"/>
        </w:rPr>
        <w:t>10月</w:t>
      </w:r>
      <w:r>
        <w:rPr>
          <w:rFonts w:hint="eastAsia" w:ascii="仿宋" w:hAnsi="仿宋" w:eastAsia="仿宋" w:cs="仿宋"/>
          <w:color w:val="auto"/>
          <w:sz w:val="32"/>
          <w:szCs w:val="32"/>
          <w:highlight w:val="none"/>
          <w:lang w:eastAsia="zh-CN"/>
        </w:rPr>
        <w:t>指导</w:t>
      </w:r>
      <w:r>
        <w:rPr>
          <w:rFonts w:hint="eastAsia" w:ascii="仿宋" w:hAnsi="仿宋" w:eastAsia="仿宋" w:cs="仿宋"/>
          <w:b w:val="0"/>
          <w:bCs w:val="0"/>
          <w:color w:val="auto"/>
          <w:sz w:val="32"/>
          <w:szCs w:val="32"/>
          <w:highlight w:val="none"/>
          <w:lang w:bidi="ar"/>
        </w:rPr>
        <w:t>全市新入库“四上”企业120户</w:t>
      </w:r>
      <w:r>
        <w:rPr>
          <w:rFonts w:hint="eastAsia" w:ascii="仿宋" w:hAnsi="仿宋" w:eastAsia="仿宋" w:cs="仿宋"/>
          <w:b w:val="0"/>
          <w:bCs w:val="0"/>
          <w:color w:val="auto"/>
          <w:sz w:val="32"/>
          <w:szCs w:val="32"/>
          <w:highlight w:val="none"/>
          <w:lang w:eastAsia="zh-CN" w:bidi="ar"/>
        </w:rPr>
        <w:t>，</w:t>
      </w:r>
      <w:r>
        <w:rPr>
          <w:rFonts w:hint="eastAsia" w:ascii="仿宋" w:hAnsi="仿宋" w:eastAsia="仿宋" w:cs="仿宋"/>
          <w:b w:val="0"/>
          <w:bCs w:val="0"/>
          <w:color w:val="auto"/>
          <w:sz w:val="32"/>
          <w:szCs w:val="32"/>
          <w:highlight w:val="none"/>
          <w:lang w:bidi="ar"/>
        </w:rPr>
        <w:t>其中，工业企业36户、批零住餐企业36户、服务业企业12户、房地产开发企业7户、资质建筑业企业29户。</w:t>
      </w:r>
      <w:r>
        <w:rPr>
          <w:rFonts w:hint="eastAsia" w:ascii="仿宋" w:hAnsi="仿宋" w:eastAsia="仿宋" w:cs="仿宋"/>
          <w:b w:val="0"/>
          <w:bCs w:val="0"/>
          <w:color w:val="auto"/>
          <w:sz w:val="32"/>
          <w:szCs w:val="32"/>
          <w:highlight w:val="none"/>
          <w:lang w:eastAsia="zh-CN" w:bidi="ar"/>
        </w:rPr>
        <w:t>每月开网前对可能存在的情况进行分析、研判，为党委政府决策当好参谋。在数据报送过程中适时监测，精心指导，穷尽一切可能</w:t>
      </w:r>
      <w:r>
        <w:rPr>
          <w:rFonts w:hint="eastAsia" w:ascii="仿宋" w:hAnsi="仿宋" w:eastAsia="仿宋" w:cs="仿宋"/>
          <w:color w:val="auto"/>
          <w:sz w:val="32"/>
          <w:szCs w:val="32"/>
          <w:highlight w:val="none"/>
        </w:rPr>
        <w:t>确保数据报得出、报得好</w:t>
      </w:r>
      <w:r>
        <w:rPr>
          <w:rFonts w:hint="eastAsia" w:ascii="仿宋" w:hAnsi="仿宋" w:eastAsia="仿宋" w:cs="仿宋"/>
          <w:color w:val="auto"/>
          <w:sz w:val="32"/>
          <w:szCs w:val="32"/>
          <w:highlight w:val="none"/>
          <w:lang w:eastAsia="zh-CN"/>
        </w:rPr>
        <w:t>、保得住，</w:t>
      </w:r>
      <w:r>
        <w:rPr>
          <w:rFonts w:hint="eastAsia" w:ascii="仿宋" w:hAnsi="仿宋" w:eastAsia="仿宋" w:cs="仿宋"/>
          <w:color w:val="auto"/>
          <w:sz w:val="32"/>
          <w:szCs w:val="32"/>
          <w:highlight w:val="none"/>
          <w:lang w:val="en-US" w:eastAsia="zh-CN"/>
        </w:rPr>
        <w:t>前10月</w:t>
      </w:r>
      <w:r>
        <w:rPr>
          <w:rFonts w:hint="eastAsia" w:ascii="仿宋" w:hAnsi="仿宋" w:eastAsia="仿宋" w:cs="仿宋"/>
          <w:color w:val="auto"/>
          <w:sz w:val="32"/>
          <w:szCs w:val="32"/>
          <w:highlight w:val="none"/>
          <w:lang w:eastAsia="zh-CN"/>
        </w:rPr>
        <w:t>解锁工业企业</w:t>
      </w:r>
      <w:r>
        <w:rPr>
          <w:rFonts w:hint="eastAsia" w:ascii="仿宋" w:hAnsi="仿宋" w:eastAsia="仿宋" w:cs="仿宋"/>
          <w:color w:val="auto"/>
          <w:sz w:val="32"/>
          <w:szCs w:val="32"/>
          <w:highlight w:val="none"/>
          <w:lang w:val="en-US" w:eastAsia="zh-CN"/>
        </w:rPr>
        <w:t>500余家（次），解锁</w:t>
      </w:r>
      <w:r>
        <w:rPr>
          <w:rFonts w:hint="eastAsia" w:ascii="仿宋" w:hAnsi="仿宋" w:eastAsia="仿宋" w:cs="仿宋"/>
          <w:color w:val="auto"/>
          <w:sz w:val="32"/>
          <w:szCs w:val="32"/>
          <w:highlight w:val="none"/>
          <w:lang w:eastAsia="zh-CN"/>
        </w:rPr>
        <w:t>投资项目</w:t>
      </w:r>
      <w:r>
        <w:rPr>
          <w:rFonts w:hint="eastAsia" w:ascii="仿宋" w:hAnsi="仿宋" w:eastAsia="仿宋" w:cs="仿宋"/>
          <w:color w:val="auto"/>
          <w:sz w:val="32"/>
          <w:szCs w:val="32"/>
          <w:highlight w:val="none"/>
          <w:lang w:val="en-US" w:eastAsia="zh-CN"/>
        </w:rPr>
        <w:t>260多个（次），涉及投资数据70余亿元。数据结果出来后</w:t>
      </w:r>
      <w:r>
        <w:rPr>
          <w:rFonts w:hint="eastAsia" w:ascii="仿宋" w:hAnsi="仿宋" w:eastAsia="仿宋" w:cs="仿宋"/>
          <w:b w:val="0"/>
          <w:bCs w:val="0"/>
          <w:color w:val="auto"/>
          <w:sz w:val="32"/>
          <w:szCs w:val="32"/>
          <w:highlight w:val="none"/>
          <w:lang w:eastAsia="zh-CN" w:bidi="ar"/>
        </w:rPr>
        <w:t>及时报告并对抓发展提参考建议，对抓好下一步统计再安排再部署。</w:t>
      </w:r>
      <w:r>
        <w:rPr>
          <w:rFonts w:hint="eastAsia" w:ascii="仿宋" w:hAnsi="仿宋" w:eastAsia="仿宋" w:cs="仿宋"/>
          <w:color w:val="auto"/>
          <w:sz w:val="32"/>
          <w:szCs w:val="32"/>
          <w:highlight w:val="none"/>
          <w:lang w:eastAsia="zh-CN"/>
        </w:rPr>
        <w:t>主动加强与上级主管部门的汇报，</w:t>
      </w:r>
      <w:r>
        <w:rPr>
          <w:rFonts w:hint="eastAsia" w:ascii="仿宋" w:hAnsi="仿宋" w:eastAsia="仿宋" w:cs="仿宋"/>
          <w:color w:val="auto"/>
          <w:kern w:val="0"/>
          <w:sz w:val="32"/>
          <w:szCs w:val="32"/>
          <w:highlight w:val="none"/>
          <w:lang w:val="en-US" w:eastAsia="zh-CN" w:bidi="ar-SA"/>
        </w:rPr>
        <w:t>年内局主要领导先后15次到省统计局汇报工作，班子成员和科室负责人及业务人员在坚持每月每季沟通衔接的基础上，遇到需要支持的事项，适时汇报对接，争取我市发展成绩得到最大限度的反映。</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bidi="ar-SA"/>
        </w:rPr>
        <w:t>三是充分发挥统计监测职能作用。</w:t>
      </w:r>
      <w:r>
        <w:rPr>
          <w:rFonts w:hint="eastAsia" w:ascii="仿宋" w:hAnsi="仿宋" w:eastAsia="仿宋" w:cs="仿宋"/>
          <w:b w:val="0"/>
          <w:bCs w:val="0"/>
          <w:color w:val="auto"/>
          <w:sz w:val="32"/>
          <w:szCs w:val="32"/>
          <w:highlight w:val="none"/>
          <w:lang w:val="en-US" w:eastAsia="zh-CN"/>
        </w:rPr>
        <w:t>认真执行各项统计调查制度及标准，有序推进各类常规统计调查任务和抽样调查工作，全市统计监测工作得到省统计局以及各专业处室的充分认可。针对今年突发疫情、高温限电等情况迅速开展了10余项快速调查，并形成了高质量调研报告，为经济决策提供了参考。有序开展人口变动专项抽样调查前期准备工作，接续做好“七人普”后期工作，深入挖掘普查信息价值，提升人口普查数据使用效率，为广元成为“十四五”第二批海绵城市建设国家级示范城市提供了助力。</w:t>
      </w:r>
    </w:p>
    <w:p>
      <w:pPr>
        <w:pStyle w:val="7"/>
        <w:keepNext w:val="0"/>
        <w:keepLines w:val="0"/>
        <w:pageBreakBefore w:val="0"/>
        <w:shd w:val="clea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val="0"/>
          <w:bCs w:val="0"/>
          <w:color w:val="auto"/>
          <w:kern w:val="2"/>
          <w:sz w:val="32"/>
          <w:szCs w:val="32"/>
          <w:highlight w:val="none"/>
          <w:lang w:val="en-US" w:eastAsia="zh-CN" w:bidi="ar-SA"/>
        </w:rPr>
        <w:t>四是主动优化服务助力党政决策。</w:t>
      </w:r>
      <w:r>
        <w:rPr>
          <w:rFonts w:hint="eastAsia" w:ascii="仿宋" w:hAnsi="仿宋" w:eastAsia="仿宋" w:cs="仿宋"/>
          <w:b w:val="0"/>
          <w:bCs w:val="0"/>
          <w:color w:val="auto"/>
          <w:kern w:val="2"/>
          <w:sz w:val="32"/>
          <w:szCs w:val="32"/>
          <w:highlight w:val="none"/>
          <w:lang w:val="en-US" w:eastAsia="zh-CN" w:bidi="ar-SA"/>
        </w:rPr>
        <w:t>围绕市委制定的重点产业专班及“1+4”政策文件，制定了统计保障服务拼经济搞建设相关措施，持续完善统计监测体系。优化预警系统及时进行风险提示，变结果导向为过程服务；创新评审方式，公开评审过程，开展统计数据阳光评审。按季召开经济形势新闻发布会、经济形势分析会和部门联席会，认真研判经济运行情况，及时向党委政府汇报，为经济运行分析调度提供智力支持。一年来，共撰写分析文章40余篇，被市领导批示23篇次，为党委全会、“两会”、市委工作会、招商引资、项目推进等重要会议、重大活动提供统计资料、统计服务400余次；开展送“统计服务”到部门到县区活动，创新开办“统计微课堂”24期。</w:t>
      </w:r>
    </w:p>
    <w:p>
      <w:pPr>
        <w:keepNext w:val="0"/>
        <w:keepLines w:val="0"/>
        <w:pageBreakBefore w:val="0"/>
        <w:widowControl/>
        <w:suppressLineNumbers w:val="0"/>
        <w:shd w:val="clear"/>
        <w:kinsoku/>
        <w:wordWrap/>
        <w:overflowPunct/>
        <w:topLinePunct w:val="0"/>
        <w:autoSpaceDE/>
        <w:autoSpaceDN/>
        <w:bidi w:val="0"/>
        <w:adjustRightInd/>
        <w:snapToGrid/>
        <w:spacing w:line="576" w:lineRule="exact"/>
        <w:ind w:firstLine="640"/>
        <w:jc w:val="both"/>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 w:hAnsi="楷体" w:eastAsia="楷体" w:cs="楷体"/>
          <w:b w:val="0"/>
          <w:bCs w:val="0"/>
          <w:color w:val="auto"/>
          <w:kern w:val="2"/>
          <w:sz w:val="32"/>
          <w:szCs w:val="32"/>
          <w:highlight w:val="none"/>
          <w:lang w:val="en-US" w:eastAsia="zh-CN" w:bidi="ar-SA"/>
        </w:rPr>
        <w:t>五是持之以恒不断夯实统计基础。</w:t>
      </w:r>
      <w:r>
        <w:rPr>
          <w:rFonts w:hint="eastAsia" w:ascii="仿宋" w:hAnsi="仿宋" w:eastAsia="仿宋" w:cs="仿宋"/>
          <w:b w:val="0"/>
          <w:bCs w:val="0"/>
          <w:color w:val="auto"/>
          <w:kern w:val="2"/>
          <w:sz w:val="32"/>
          <w:szCs w:val="32"/>
          <w:highlight w:val="none"/>
          <w:lang w:val="en-US" w:eastAsia="zh-CN" w:bidi="ar-SA"/>
        </w:rPr>
        <w:t>认真落实国家和省关于进一步加强统计基层基础建设的要求，逐项压实责任，细化工作举措。将统计基层基础工作纳入对县区、部门的目标考核。采取集中培训、分片轮训的形式，对各级党委政府、行业部门及“四上”企业培训40余次，其中市分管领导亲自参加并作讲话2次。建立全市县区、企业和部门统计联动机制，聚力推动统计工作科学高效运行，形成了一级抓一级、层层抓落实的工作格局。同时，深入学习宣传贯彻统计《监督意见》，研究制定实施方案，全方位开展统计普法宣传。配合国家统计局第5督查组对广元延伸督查工作。按国家、省统一安排部署分批次对部分企业（项目）开展年度执法检查。</w:t>
      </w:r>
    </w:p>
    <w:p>
      <w:pPr>
        <w:keepNext w:val="0"/>
        <w:keepLines w:val="0"/>
        <w:pageBreakBefore w:val="0"/>
        <w:widowControl w:val="0"/>
        <w:shd w:val="clear"/>
        <w:kinsoku/>
        <w:wordWrap/>
        <w:overflowPunct/>
        <w:topLinePunct w:val="0"/>
        <w:autoSpaceDE/>
        <w:autoSpaceDN/>
        <w:bidi w:val="0"/>
        <w:adjustRightInd/>
        <w:snapToGrid/>
        <w:spacing w:line="740" w:lineRule="exact"/>
        <w:ind w:firstLine="643" w:firstLineChars="200"/>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r>
        <w:rPr>
          <w:rFonts w:hint="eastAsia" w:ascii="仿宋_GB2312" w:hAnsi="仿宋" w:eastAsia="仿宋_GB2312"/>
          <w:color w:val="auto"/>
          <w:sz w:val="32"/>
          <w:szCs w:val="32"/>
          <w:highlight w:val="none"/>
          <w:lang w:val="zh-CN"/>
        </w:rPr>
        <w:t>坚定以习近平新时代中国特色社会主义思想为指导，按照市委市政府和省统计局的部署要求，切实履行管党治党政治责任，改革创新、砥砺前行，保障全局2022年统计工作顺利推进，为全市改革发展提供真实统计数据和信息决策服务，完成七人普数据产品的印制。</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7" w:name="_Toc1065"/>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77"/>
    </w:p>
    <w:p>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val="0"/>
        <w:shd w:val="clear"/>
        <w:kinsoku/>
        <w:wordWrap/>
        <w:overflowPunct/>
        <w:topLinePunct w:val="0"/>
        <w:autoSpaceDE/>
        <w:autoSpaceDN/>
        <w:bidi w:val="0"/>
        <w:adjustRightInd/>
        <w:snapToGrid/>
        <w:spacing w:line="740" w:lineRule="exact"/>
        <w:ind w:firstLine="960" w:firstLineChars="3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我单位本年收入情况由上年财政应返还额度245549.34元、本年预算收入10002576.2元、其他资金4279.91元组成，全年财政拨款收入数为998296.29元，与财政完成对账无误。全年支出情况财政拨款支付数为9735215.2元。收支较去年都有一定上升，主要原因是2022年进入第七次全国人口普查数据核查与普查数据开发应用等相关工作的重要时期，本年调整专项预算拨款60万元，主要包括人口普查2022年工作经费30万元、国家统计局延伸督查迎检工作经费30万元。</w:t>
      </w:r>
    </w:p>
    <w:p>
      <w:pPr>
        <w:keepNext w:val="0"/>
        <w:keepLines w:val="0"/>
        <w:pageBreakBefore w:val="0"/>
        <w:widowControl w:val="0"/>
        <w:shd w:val="clear"/>
        <w:kinsoku/>
        <w:wordWrap/>
        <w:overflowPunct/>
        <w:topLinePunct w:val="0"/>
        <w:autoSpaceDE/>
        <w:autoSpaceDN/>
        <w:bidi w:val="0"/>
        <w:adjustRightInd/>
        <w:snapToGrid/>
        <w:spacing w:line="740" w:lineRule="exact"/>
        <w:ind w:firstLine="960" w:firstLineChars="3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本年总支出为9730935.29元，一般公共服务支出中，行政运行经费支出924762.66元，较去年有一定增幅；专项统计经费支1339118.64元，年终追加项目支出，较去年有一定增幅；第七次人口普查工作经费调增30万元、国家统计局延伸督查迎检工作经费30万元，年终无结余。</w:t>
      </w:r>
    </w:p>
    <w:p>
      <w:pPr>
        <w:keepNext w:val="0"/>
        <w:keepLines w:val="0"/>
        <w:pageBreakBefore w:val="0"/>
        <w:widowControl w:val="0"/>
        <w:shd w:val="clear"/>
        <w:kinsoku/>
        <w:wordWrap/>
        <w:overflowPunct/>
        <w:topLinePunct w:val="0"/>
        <w:autoSpaceDE/>
        <w:autoSpaceDN/>
        <w:bidi w:val="0"/>
        <w:adjustRightInd/>
        <w:snapToGrid/>
        <w:spacing w:line="740" w:lineRule="exact"/>
        <w:ind w:firstLine="960" w:firstLineChars="300"/>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3.部门总体结转结余情况。2022年年末财政资金结转结余指标为46.21万元，均为人员经费，其他资金5.08万元为往来款项和利息收入结余。</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1.部门财政拨款收入情况。我单位本年收入情况由上年财政应返还额度245549.34元、本年财政拨款预算收入9540476.2元。</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2.部门财政拨款支出情况。我单位本年财政拨款支出为9730935.29元。</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3.部门财政拨款结转结余情况。2022年年末财政资金结转结余指标为46.21万元，均为人员经费，其他资金5.08万元为往来款项和利息收入结余。</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r>
        <w:rPr>
          <w:rFonts w:hint="eastAsia" w:ascii="黑体" w:hAnsi="宋体" w:eastAsia="黑体" w:cs="宋体"/>
          <w:color w:val="auto"/>
          <w:kern w:val="0"/>
          <w:sz w:val="32"/>
          <w:szCs w:val="32"/>
          <w:highlight w:val="none"/>
          <w:shd w:val="clear" w:color="auto" w:fill="FFFFFF"/>
        </w:rPr>
        <w:t>（根据适用指标体系进行调整</w:t>
      </w:r>
      <w:r>
        <w:rPr>
          <w:rFonts w:hint="eastAsia" w:ascii="黑体" w:hAnsi="宋体" w:eastAsia="黑体" w:cs="宋体"/>
          <w:color w:val="auto"/>
          <w:kern w:val="0"/>
          <w:sz w:val="32"/>
          <w:szCs w:val="32"/>
          <w:highlight w:val="none"/>
          <w:shd w:val="clear" w:color="auto" w:fill="FFFFFF"/>
          <w:lang w:eastAsia="zh-CN"/>
        </w:rPr>
        <w:t>，涉及到有专项资金预算项目的部门，专项资金预算项目自评报告作为本报告附件一并公开</w:t>
      </w:r>
      <w:r>
        <w:rPr>
          <w:rFonts w:hint="eastAsia" w:ascii="黑体" w:hAnsi="宋体" w:eastAsia="黑体" w:cs="宋体"/>
          <w:color w:val="auto"/>
          <w:kern w:val="0"/>
          <w:sz w:val="32"/>
          <w:szCs w:val="32"/>
          <w:highlight w:val="none"/>
          <w:shd w:val="clear" w:color="auto" w:fill="FFFFFF"/>
        </w:rPr>
        <w:t>）</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bCs/>
          <w:color w:val="auto"/>
          <w:kern w:val="0"/>
          <w:sz w:val="32"/>
          <w:szCs w:val="32"/>
          <w:highlight w:val="none"/>
          <w:shd w:val="clear" w:color="auto" w:fill="FFFFFF"/>
          <w:lang w:val="zh-CN"/>
        </w:rPr>
        <w:t>（一）部门预算项目绩效分析。</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contextualSpacing/>
        <w:jc w:val="left"/>
        <w:textAlignment w:val="auto"/>
        <w:outlineLvl w:val="1"/>
        <w:rPr>
          <w:rFonts w:hint="eastAsia" w:ascii="仿宋_GB2312" w:hAnsi="宋体" w:eastAsia="仿宋_GB2312" w:cs="宋体"/>
          <w:b/>
          <w:bCs/>
          <w:color w:val="auto"/>
          <w:kern w:val="0"/>
          <w:sz w:val="32"/>
          <w:szCs w:val="32"/>
          <w:highlight w:val="none"/>
          <w:shd w:val="clear" w:color="auto" w:fill="FFFFFF"/>
          <w:lang w:val="en-US" w:eastAsia="zh-CN"/>
        </w:rPr>
      </w:pPr>
      <w:bookmarkStart w:id="78" w:name="_Toc22325"/>
      <w:r>
        <w:rPr>
          <w:rFonts w:hint="eastAsia" w:ascii="仿宋_GB2312" w:hAnsi="宋体" w:eastAsia="仿宋_GB2312" w:cs="宋体"/>
          <w:b/>
          <w:bCs/>
          <w:color w:val="auto"/>
          <w:kern w:val="0"/>
          <w:sz w:val="32"/>
          <w:szCs w:val="32"/>
          <w:highlight w:val="none"/>
          <w:shd w:val="clear" w:color="auto" w:fill="FFFFFF"/>
          <w:lang w:val="en-US" w:eastAsia="zh-CN"/>
        </w:rPr>
        <w:t>一、人员类项目绩效分析</w:t>
      </w:r>
      <w:bookmarkEnd w:id="78"/>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绩效目标制定。年初人员类项目绩效目标</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设</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定为：数量指标、质量指标、成本指标、满意度指标，根据单位实有在职人数进行绩效目标设定。</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目标实现。保障市统计局44名在职干部和1名长期聘用人员工资福利支出，目标实现了保障基本运转。</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支出控制。</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2022年人员经费支出预决算偏差率主要是新增人员5名。</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4、</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及时处置。</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2022年人员类项目绩效监控未发现问题。</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5、</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执行进度。人员类项目预算执行进度按</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6.9.11月实际支出完成良好。</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6、</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预算完成情况。人员经费预算完成情况良好。</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7、</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资金结余率。人员类经费无低效无效和违规记录等情况。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contextualSpacing/>
        <w:jc w:val="left"/>
        <w:textAlignment w:val="auto"/>
        <w:outlineLvl w:val="1"/>
        <w:rPr>
          <w:rFonts w:hint="eastAsia" w:ascii="仿宋_GB2312" w:hAnsi="宋体" w:eastAsia="仿宋_GB2312" w:cs="宋体"/>
          <w:b/>
          <w:bCs/>
          <w:color w:val="auto"/>
          <w:kern w:val="0"/>
          <w:sz w:val="32"/>
          <w:szCs w:val="32"/>
          <w:highlight w:val="none"/>
          <w:shd w:val="clear" w:color="auto" w:fill="FFFFFF"/>
          <w:lang w:val="en-US" w:eastAsia="zh-CN"/>
        </w:rPr>
      </w:pPr>
      <w:bookmarkStart w:id="79" w:name="_Toc9095"/>
      <w:r>
        <w:rPr>
          <w:rFonts w:hint="eastAsia" w:ascii="仿宋_GB2312" w:hAnsi="宋体" w:eastAsia="仿宋_GB2312" w:cs="宋体"/>
          <w:b/>
          <w:bCs/>
          <w:color w:val="auto"/>
          <w:kern w:val="0"/>
          <w:sz w:val="32"/>
          <w:szCs w:val="32"/>
          <w:highlight w:val="none"/>
          <w:shd w:val="clear" w:color="auto" w:fill="FFFFFF"/>
          <w:lang w:val="en-US" w:eastAsia="zh-CN"/>
        </w:rPr>
        <w:t>二、运转类项目绩效分析</w:t>
      </w:r>
      <w:bookmarkEnd w:id="79"/>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绩效目标制定。年初运转类项目绩效目标</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设</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定为：数量指标、质量指标、成本指标、满意度指标，根据单位实有在职人数核定运转类项目绩效目标设定。</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目标实现。保障</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指导全市统计专业人才队伍建设，开展统计交流与合作；承担机关财务管理和全市统计系统内部审计工作；监督管理机关及直属事业单位的国有资产；指导全市统计系统财务管理、政府采购工作；负责协调机关政务和后勤管理；承担文秘、会务、政务信息、办公自动化、档案管理以及保密、信访、维稳、应急处理和社会治安综合治理等工作；组织实施机关国有资产管理；负责机关车辆、通讯、文印等服务保障工作。</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年终目标实现机关运行良好，支出控制、执行进度、预算完成情况良好、年终无资金结余和违规记录等情况。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3" w:firstLineChars="200"/>
        <w:contextualSpacing/>
        <w:jc w:val="left"/>
        <w:textAlignment w:val="auto"/>
        <w:outlineLvl w:val="1"/>
        <w:rPr>
          <w:rFonts w:hint="default" w:ascii="仿宋_GB2312" w:hAnsi="宋体" w:eastAsia="仿宋_GB2312" w:cs="宋体"/>
          <w:b/>
          <w:bCs/>
          <w:color w:val="auto"/>
          <w:kern w:val="0"/>
          <w:sz w:val="32"/>
          <w:szCs w:val="32"/>
          <w:highlight w:val="none"/>
          <w:shd w:val="clear" w:color="auto" w:fill="FFFFFF"/>
          <w:lang w:val="en-US" w:eastAsia="zh-CN"/>
        </w:rPr>
      </w:pPr>
      <w:bookmarkStart w:id="80" w:name="_Toc17310"/>
      <w:r>
        <w:rPr>
          <w:rFonts w:hint="eastAsia" w:ascii="仿宋_GB2312" w:hAnsi="宋体" w:eastAsia="仿宋_GB2312" w:cs="宋体"/>
          <w:b/>
          <w:bCs/>
          <w:color w:val="auto"/>
          <w:kern w:val="0"/>
          <w:sz w:val="32"/>
          <w:szCs w:val="32"/>
          <w:highlight w:val="none"/>
          <w:shd w:val="clear" w:color="auto" w:fill="FFFFFF"/>
          <w:lang w:val="en-US" w:eastAsia="zh-CN"/>
        </w:rPr>
        <w:t>三、特定目标类项目绩效分析</w:t>
      </w:r>
      <w:bookmarkEnd w:id="80"/>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年初特定目标类项目绩效目标设定为八个专项项目绩效申报，统计局部门预算绩效项目目标编制要素完整，指标细化量化。年中追加项目绩效申报第七次全国人口普查2023年度工作经费、统计延伸督查工作经费、人才引进安家费等三个项目。特定目标类项目</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支出控制、执行进度、预算完成情况良好、年终无资金结余和违规记录等情况。</w:t>
      </w:r>
    </w:p>
    <w:p>
      <w:pPr>
        <w:keepNext w:val="0"/>
        <w:keepLines w:val="0"/>
        <w:pageBreakBefore w:val="0"/>
        <w:widowControl/>
        <w:numPr>
          <w:ilvl w:val="0"/>
          <w:numId w:val="0"/>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（二）部门整体履职绩效分析。</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部门整体绩效目标完成情况良好，部门履职情况达到绩效目标要求。统计部门主动向党委政府汇报统计工作，争取最大限度的支持，得到高度重视。主要领导亲自研究、亲自推动统计改革建设，定期听取全市统计工作情况汇报，市委市政府主要领导、分管领导经常亲自研究、部署推动统计工作。全力以赴抓“升规入统”工作，前10月指导全市新入库“四上”企业120户，其中，工业企业36户、批零住餐企业36户、服务业企业12户、房地产开发企业7户、资质建筑业企业29户。前10月解锁工业企业500余家（次），解锁投资项目260多个（次），涉及投资数据70余亿元。针对今年突发疫情、高温限电等情况迅速开展了10余项快速调查，并形成了高质量调研报告，为经济决策提供了参考。有序开展人口变动专项抽样调查前期准备工作，接续做好“七人普”后期工作，深入挖掘普查信息价值，提升人口普查数据使用效率，为广元成为“十四五”第二批海绵城市建设国家级示范城市提供了助力。一年来，共撰写分析文章40余篇，被市领导批示23篇次，为党委全会、“两会”、市委工作会、招商引资、项目推进等重要会议、重大活动提供统计资料、统计服务400余次；开展送“统计服务”到部门到县区活动，创新开办“统计微课堂”24期。</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（三）结果应用情况。</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1、我局按要求完成了对预算执行动态监控、中期评估、绩效跟踪监控管理工作。严格执行了部门内控制度及绩效管理实施细则。在年底采取了相关措施加快预算执行，确保了全年预算绩效目标完成。</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2、根据我局工作实际情况，对绩效监控内容提出了合理建议。</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3、我局在规定的时间内向市财政局报送了部门整体支出绩效评价自评报告。自评报告内容完整，手续齐全，各项评价指标明确。评价结论合理有据、客观公正，如实地体现了单位取得绩效与存在的问题。</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4、我局积极配合财政部门开展的绩效评价工作，及时提供了准确、真实的相关资料</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5、</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单位预决算、绩效目标和整体支出绩效自评均在财政部门批复预决算后二十日内通过广元市政府门户网站向社会公开。公开数据以财政批复数据为准，按统一格式公开，数据完整、真实、准确。</w:t>
      </w:r>
    </w:p>
    <w:p>
      <w:pPr>
        <w:keepNext w:val="0"/>
        <w:keepLines w:val="0"/>
        <w:pageBreakBefore w:val="0"/>
        <w:widowControl/>
        <w:numPr>
          <w:ilvl w:val="0"/>
          <w:numId w:val="8"/>
        </w:numPr>
        <w:shd w:val="clea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自评质量。</w:t>
      </w:r>
    </w:p>
    <w:p>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2022年度整体绩效评价得分97分。</w:t>
      </w:r>
    </w:p>
    <w:p>
      <w:pPr>
        <w:keepNext w:val="0"/>
        <w:keepLines w:val="0"/>
        <w:pageBreakBefore w:val="0"/>
        <w:widowControl/>
        <w:shd w:val="clea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1" w:name="_Toc5092"/>
      <w:r>
        <w:rPr>
          <w:rFonts w:hint="eastAsia" w:ascii="黑体" w:hAnsi="宋体" w:eastAsia="黑体" w:cs="宋体"/>
          <w:color w:val="auto"/>
          <w:kern w:val="0"/>
          <w:sz w:val="32"/>
          <w:szCs w:val="32"/>
          <w:highlight w:val="none"/>
          <w:shd w:val="clear" w:color="auto" w:fill="FFFFFF"/>
        </w:rPr>
        <w:t>四、评价结论及建议</w:t>
      </w:r>
      <w:bookmarkEnd w:id="81"/>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330" w:beforeAutospacing="0" w:after="0" w:afterAutospacing="0" w:line="360" w:lineRule="atLeast"/>
        <w:ind w:left="0" w:right="0" w:firstLine="643" w:firstLineChars="200"/>
        <w:rPr>
          <w:rFonts w:hint="eastAsia" w:ascii="Times New Roman" w:hAnsi="Times New Roman" w:eastAsia="仿宋_GB2312" w:cs="Times New Roman"/>
          <w:color w:val="auto"/>
          <w:kern w:val="2"/>
          <w:sz w:val="32"/>
          <w:szCs w:val="24"/>
          <w:highlight w:val="none"/>
          <w:lang w:val="zh-CN" w:eastAsia="zh-CN" w:bidi="ar-SA"/>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r>
        <w:rPr>
          <w:rFonts w:hint="eastAsia" w:ascii="Times New Roman" w:hAnsi="Times New Roman" w:eastAsia="仿宋_GB2312" w:cs="Times New Roman"/>
          <w:color w:val="auto"/>
          <w:kern w:val="2"/>
          <w:sz w:val="32"/>
          <w:szCs w:val="24"/>
          <w:highlight w:val="none"/>
          <w:lang w:val="en-US" w:eastAsia="zh-CN" w:bidi="ar-SA"/>
        </w:rPr>
        <w:t>2022年，我单位以绩效目标实现为导向，进一步加强制度建设，提升自评质量，预算绩效管理取得新成效。一是抓好绩效目标编制，及时报送绩效目标。二是探索绩效跟踪监控，要求加强过程监控。三是深入开展财政支出绩效评价，对专项资金实施绩效自评和项目核查，在此基础上形成自评报告。四是强化评价结果应用，组织绩效自评和绩效跟踪监控，对发现的问题及时改进，加强评价结果与项目资金安排的衔接。五是健全绩效管理工作机制，明确职责分工，努力提高了绩效管理工作水平。</w:t>
      </w:r>
    </w:p>
    <w:p>
      <w:pPr>
        <w:shd w:val="clear"/>
        <w:spacing w:line="578" w:lineRule="exact"/>
        <w:ind w:firstLine="643" w:firstLineChars="200"/>
        <w:rPr>
          <w:rFonts w:hint="eastAsia" w:ascii="Times New Roman" w:hAnsi="Times New Roman" w:eastAsia="仿宋_GB2312" w:cs="Times New Roman"/>
          <w:color w:val="auto"/>
          <w:kern w:val="2"/>
          <w:sz w:val="32"/>
          <w:szCs w:val="24"/>
          <w:highlight w:val="none"/>
          <w:lang w:val="en-US" w:eastAsia="zh-CN" w:bidi="ar-SA"/>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r>
        <w:rPr>
          <w:rFonts w:hint="eastAsia" w:ascii="Times New Roman" w:hAnsi="Times New Roman" w:eastAsia="仿宋_GB2312" w:cs="Times New Roman"/>
          <w:color w:val="auto"/>
          <w:kern w:val="2"/>
          <w:sz w:val="32"/>
          <w:szCs w:val="24"/>
          <w:highlight w:val="none"/>
          <w:lang w:val="en-US" w:eastAsia="zh-CN" w:bidi="ar-SA"/>
        </w:rPr>
        <w:t>一是预算绩效控制薄弱，实行政府制定预算绩效制度以后，按照相关制度开展工作。但仍缺乏相关的绩效管理，没有专职人员开展这项工作。二是对于绩效评价的认识不够全面，思想认识不到位，把预算绩效简单等同于工作目标、工作考核和业务管理。</w:t>
      </w:r>
    </w:p>
    <w:p>
      <w:pPr>
        <w:shd w:val="clear"/>
        <w:spacing w:line="578" w:lineRule="exact"/>
        <w:ind w:firstLine="643" w:firstLineChars="200"/>
        <w:rPr>
          <w:rFonts w:hint="eastAsia" w:ascii="Times New Roman" w:hAnsi="Times New Roman" w:eastAsia="仿宋_GB2312" w:cs="Times New Roman"/>
          <w:color w:val="auto"/>
          <w:kern w:val="2"/>
          <w:sz w:val="32"/>
          <w:szCs w:val="24"/>
          <w:highlight w:val="none"/>
          <w:lang w:val="en-US" w:eastAsia="zh-CN" w:bidi="ar-SA"/>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r>
        <w:rPr>
          <w:rFonts w:hint="eastAsia" w:ascii="Times New Roman" w:hAnsi="Times New Roman" w:eastAsia="仿宋_GB2312" w:cs="Times New Roman"/>
          <w:color w:val="auto"/>
          <w:kern w:val="2"/>
          <w:sz w:val="32"/>
          <w:szCs w:val="24"/>
          <w:highlight w:val="none"/>
          <w:lang w:val="en-US" w:eastAsia="zh-CN" w:bidi="ar-SA"/>
        </w:rPr>
        <w:t>一是不断加强绩效管理意识。良好的绩效管理意识是绩效管理制度设计完善和有效运行的基本前提。二是完善绩效管理制度，并严格执行，发挥绩效管理制度应有的作用。三是提高管理人员业务素养。四是加强绩效评价管理制度和流程的建设，进一步深化、完善绩效管理体系，建立全过程的预算绩效管理机制，促进绩效管理工作向广度和深度延伸。五是提升项目绩效支出管理水平，加强对各项目科室项目支出绩效管理指导，监督项目支出经费合理、规范、及时支出。</w:t>
      </w:r>
    </w:p>
    <w:p>
      <w:pPr>
        <w:shd w:val="clear"/>
        <w:spacing w:line="578" w:lineRule="exact"/>
        <w:ind w:firstLine="640" w:firstLineChars="200"/>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建议：市财政局进一步加强对各单位项目支出绩效评价工作的培训和指导，和绩效优秀单位进行工作交流学习经验，促进项目支出绩效评价工作更科学、更有效。</w:t>
      </w:r>
    </w:p>
    <w:p>
      <w:pPr>
        <w:shd w:val="clear"/>
        <w:rPr>
          <w:rFonts w:hint="eastAsia" w:ascii="Times New Roman" w:hAnsi="Times New Roman" w:eastAsia="仿宋_GB2312" w:cs="Times New Roman"/>
          <w:color w:val="auto"/>
          <w:kern w:val="2"/>
          <w:sz w:val="32"/>
          <w:szCs w:val="24"/>
          <w:highlight w:val="none"/>
          <w:lang w:val="en-US" w:eastAsia="zh-CN" w:bidi="ar-SA"/>
        </w:rPr>
      </w:pPr>
    </w:p>
    <w:p>
      <w:pPr>
        <w:pStyle w:val="2"/>
        <w:shd w:val="clear"/>
        <w:rPr>
          <w:rFonts w:hint="eastAsia"/>
          <w:color w:val="auto"/>
          <w:highlight w:val="none"/>
          <w:lang w:val="en-US" w:eastAsia="zh-CN"/>
        </w:rPr>
      </w:pPr>
    </w:p>
    <w:p>
      <w:pPr>
        <w:pStyle w:val="2"/>
        <w:shd w:val="clear"/>
        <w:rPr>
          <w:rFonts w:hint="eastAsia"/>
          <w:color w:val="auto"/>
          <w:highlight w:val="none"/>
          <w:lang w:val="en-US" w:eastAsia="zh-CN"/>
        </w:rPr>
      </w:pPr>
    </w:p>
    <w:tbl>
      <w:tblPr>
        <w:tblStyle w:val="16"/>
        <w:tblpPr w:leftFromText="180" w:rightFromText="180" w:vertAnchor="text" w:horzAnchor="page" w:tblpX="633" w:tblpY="1809"/>
        <w:tblOverlap w:val="never"/>
        <w:tblW w:w="10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8"/>
        <w:gridCol w:w="1092"/>
        <w:gridCol w:w="346"/>
        <w:gridCol w:w="2658"/>
        <w:gridCol w:w="577"/>
        <w:gridCol w:w="522"/>
        <w:gridCol w:w="816"/>
        <w:gridCol w:w="1105"/>
        <w:gridCol w:w="1081"/>
        <w:gridCol w:w="560"/>
        <w:gridCol w:w="530"/>
        <w:gridCol w:w="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695"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44"/>
                <w:szCs w:val="44"/>
                <w:highlight w:val="none"/>
                <w:u w:val="none"/>
              </w:rPr>
            </w:pPr>
            <w:r>
              <w:rPr>
                <w:rFonts w:hint="default" w:ascii="方正小标宋简体" w:hAnsi="方正小标宋简体" w:eastAsia="方正小标宋简体" w:cs="方正小标宋简体"/>
                <w:i w:val="0"/>
                <w:iCs w:val="0"/>
                <w:color w:val="auto"/>
                <w:kern w:val="0"/>
                <w:sz w:val="44"/>
                <w:szCs w:val="44"/>
                <w:highlight w:val="none"/>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部门名称</w:t>
            </w:r>
          </w:p>
        </w:tc>
        <w:tc>
          <w:tcPr>
            <w:tcW w:w="84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主要</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任务</w:t>
            </w:r>
          </w:p>
        </w:tc>
        <w:tc>
          <w:tcPr>
            <w:tcW w:w="14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任务名称</w:t>
            </w:r>
          </w:p>
        </w:tc>
        <w:tc>
          <w:tcPr>
            <w:tcW w:w="2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主要内容</w:t>
            </w:r>
          </w:p>
        </w:tc>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预算金额（万元）</w:t>
            </w:r>
          </w:p>
        </w:tc>
        <w:tc>
          <w:tcPr>
            <w:tcW w:w="2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2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总额</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财政拨款</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其他资金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总额</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财政拨款</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第七次全国人口普查2022年度经费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2022年七人普工作进入普查成果应用及资料开发阶段，需要开展人口普查成果应用，人口普查数据处理技术总结。人口普查部分数据和分析等相关培训及年鉴等资料印制。</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统计延伸督查检工作经费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完成7月下旬到8月上旬国家第五督查组在我市市本级、利州区、剑阁区开展为期半个月的统计延伸督查迎检相关工作。</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统计宣传及专业技术资格教育考试工作经费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圆满完成全国统计专业技术资格考试广元考务工作，确保基层统计人员岗证相符，提升统计能力和水平；全面完成省统计局杂志征订宣传任务。</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4</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4</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4</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统计业务培训专项经费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组织实施农林牧渔业、工业、建筑业、批发和零售业、住宿和餐饮业、房地产业等国民经济行业以及能源、投资、人口、收入、科技、社会发展基本情况、环境基本状况等领域的统计调查，建立全市经济社会发展监测评价制度及指标体系，对重点区域和重要领域实施监测评价，牵头综合整理和提供资源、房屋、旅游、教育、卫生、邮电、交通运输、社会保障、公用事业、对外贸易、对外经济等全市基本统计资料。</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10.13</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10.13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10.13</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10.13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统计年鉴、月报、季报、统计资料制作经费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十次党代会以来广元主要经济指标》《投资统计制度变革相关情况》等</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13.14</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13.14</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13.14</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13.14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公用经费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协助管理区（县）统计局正副局长，会同有关部门组织管理全市统计专业资格考试、职务评聘和从业资格认定工作，指导全市统计专业人才队伍建设，开展统计交流与合作，监督管理地方政府统计部门由中央财政和省级财政、市级财政提供的统计经费。2、承担机关财务管理和全市统计系统内部审计工作；监督管理机关及直属事业单位的国有资产；监督管理县级及以上地方政府统计部门由中央财政和省级财政提供的统计经费；指导全市统计系统财务管理、政府采购工作。3、　负责机关及直属单位的党群工作和纪律监督；4、负责协调机关政务和后勤管理；负责行政效能建设、政务督办和绩效管理工作，承担文秘、会务、政务信息、办公自动化、档案管理以及保密、信访、维稳、应急处理和社会治安综合治理等工作；组织实施机关国有资产管理。5、负责机关车辆、通讯、文印、物业管理等服务保障工作。</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92.48</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92.48</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92.48</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92.48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人员经费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保障市统计局44名在职干部和1名长期聘用人员工资福利支出，保障基本运转</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809.32</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809.32</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746.71</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746.71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统计调查专项经费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承担全市社会经济调查和社情民意调查等工作</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18.28</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18.28</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18.28</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18.28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乡村振兴驻村帮扶工作</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顺利实现帮扶的剑阁县普安镇鹤鸣村基础设施建设不断提升，产业发展不断优化，服务群众更加务实，基层组织建设更加有力，脱贫户持续稳定增收，推动巩固脱贫攻坚成果、接续推进乡村振兴各项工作。</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5.46</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5.46</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5.46</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5.46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基本单位名录库专项工作经费</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全面维护基本单位名录库，实时新增、变更、剔除，确保名录库数据质量，如实反映全社会经济发展情况；完成“四上”企业入库申报工作；建立“四上”企业培育库；对入库企业进行现场核查和平台审批，保证入库企业真实存在、达到规模标准、数据真实可靠。</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统计信息化建设及管理</w:t>
            </w:r>
          </w:p>
        </w:tc>
        <w:tc>
          <w:tcPr>
            <w:tcW w:w="26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按照省级统计部门数据库和网络的基本标准和运行规则，建立健全全市统计数据库系统和统计信息自动化系统，建立健全市及各区县部门统计信息共享制度，指导地方统计信息化建设。</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right"/>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12"/>
                <w:szCs w:val="1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4096"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金额合计</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1024.81</w:t>
            </w:r>
          </w:p>
        </w:tc>
        <w:tc>
          <w:tcPr>
            <w:tcW w:w="1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12"/>
                <w:szCs w:val="12"/>
                <w:highlight w:val="none"/>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973.52</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973.52</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总体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目标</w:t>
            </w:r>
          </w:p>
        </w:tc>
        <w:tc>
          <w:tcPr>
            <w:tcW w:w="4673"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预期目标</w:t>
            </w:r>
          </w:p>
        </w:tc>
        <w:tc>
          <w:tcPr>
            <w:tcW w:w="51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48"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46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left"/>
              <w:textAlignment w:val="top"/>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坚定以习近平新时代中国特色社会主义思想为指导，按照市委市政府和省统计局的部署要求，切实履行管党治党政治责任，改革创新、砥砺前行，保障全局2022年统计工作顺利推进，为全市改革发展提供真实统计数据和信息决策服务，完成七人普数据产品的印制。</w:t>
            </w:r>
          </w:p>
        </w:tc>
        <w:tc>
          <w:tcPr>
            <w:tcW w:w="517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坚定以习近平新时代中国特色社会主义思想为指导，按照市委市政府和省统计局的部署要求，切实履行管党治党政治责任，改革创新、砥砺前行，保障全局2022年统计工作顺利推进，为全市改革发展提供真实统计数据和信息决策服务，完成七人普数据产品的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绩</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效</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标</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一级指标</w:t>
            </w:r>
          </w:p>
        </w:tc>
        <w:tc>
          <w:tcPr>
            <w:tcW w:w="3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二级指标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三级指标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指标值（包含数字及文字描述）</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实际完成指标值（包含数字及文字描述）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部门自评得分</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财政部门科室复评得分</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产出指标</w:t>
            </w:r>
          </w:p>
        </w:tc>
        <w:tc>
          <w:tcPr>
            <w:tcW w:w="3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数量指标</w:t>
            </w: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 xml:space="preserve"> 2022年人口变动抽样调查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15个小区</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15个小区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完成各统计专业企业核查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110个</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110个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完成各统计专业培训会、年报会等</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14次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14次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乡村振兴驻村帮扶队员</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3人</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机房设备更新升级、 管理平台系统维护、“乡村振兴”统计监测系统管理 统计专网使用电信、移动各一条广域网络专线。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3个平台</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3个平台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印制各类统计产品</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6410本/册</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6410本/册</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质量指标</w:t>
            </w:r>
          </w:p>
        </w:tc>
        <w:tc>
          <w:tcPr>
            <w:tcW w:w="1099" w:type="dxa"/>
            <w:gridSpan w:val="2"/>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shd w:val="clear"/>
              <w:jc w:val="center"/>
              <w:textAlignment w:val="top"/>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按国家制度要求开展调查、质量核查，抽样数据误差率低于</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0.8</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0.8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保障市统计局40名在职干部和1名长期聘用人员工资福利支出，保障基本运转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完成2022年度贸易和服务业统计两个专业调研报告和进度分析报告。</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 xml:space="preserve"> 按月、季、年收集全国、全省、全市、各县区及相关部门经济指标数据，确保印制资料数据准确</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时效指标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 xml:space="preserve"> 各项工作完成时效</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2022.12.31</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2022.12.31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成本指标</w:t>
            </w:r>
          </w:p>
        </w:tc>
        <w:tc>
          <w:tcPr>
            <w:tcW w:w="3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成本指标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保障全局2022年统计工作顺利推进</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1019.73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1019.73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效益指标</w:t>
            </w:r>
          </w:p>
        </w:tc>
        <w:tc>
          <w:tcPr>
            <w:tcW w:w="3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社会效益</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及时反映全社会经济运行发展情况为相关部门提供服务，为党委政府决策提供依据，数据利用率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进一步提高县区专业人员业务水平完成培训，培训对象能力提升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高</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高</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 xml:space="preserve"> 及时发布统计数计，客观反映投资运行态势。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好</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可持续影响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做好数据咨询、服务工作</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准确解读数据，合理引导社会舆论和公众预期。</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加强统计分析，积极为全市经济发展贡献统计智慧。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指标</w:t>
            </w:r>
          </w:p>
        </w:tc>
        <w:tc>
          <w:tcPr>
            <w:tcW w:w="3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满意度指标</w:t>
            </w: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确保社会公众、相关部门和党政领导给予较高的评价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满意度&gt;98%</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&gt;98%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 xml:space="preserve"> 培训对象满意度指标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3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调查对象满意度指标率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iCs w:val="0"/>
                <w:color w:val="auto"/>
                <w:sz w:val="12"/>
                <w:szCs w:val="12"/>
                <w:highlight w:val="none"/>
                <w:u w:val="none"/>
              </w:rPr>
            </w:pPr>
            <w:r>
              <w:rPr>
                <w:rFonts w:hint="eastAsia" w:ascii="宋体" w:hAnsi="宋体" w:eastAsia="宋体" w:cs="宋体"/>
                <w:i w:val="0"/>
                <w:iCs w:val="0"/>
                <w:color w:val="auto"/>
                <w:kern w:val="0"/>
                <w:sz w:val="12"/>
                <w:szCs w:val="12"/>
                <w:highlight w:val="none"/>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部门（单位）自评结论</w:t>
            </w:r>
          </w:p>
        </w:tc>
        <w:tc>
          <w:tcPr>
            <w:tcW w:w="98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主动向党委政府汇报统计工作，争取最大限度的支持，得到高度重视。主要领导亲自研究、亲自推动统计改革建设，定期听取全市统计工作情况汇报，市委市政府主要领导、分管领导经常亲自研究、部署推动统计工作。全力以赴抓“升规入统”工作，前10月指导全市新入库“四上”企业120户，其中，工业企业36户、批零住餐企业36户、服务业企业12户、房地产开发企业7户、资质建筑业企业29户。前10月解锁工业企业500余家（次），解锁投资项目260多个（次），涉及投资数据70余亿元。针对今年突发疫情、高温限电等情况迅速开展了10余项快速调查，并形成了高质量调研报告，为经济决策提供了参考。有序开展人口变动专项抽样调查前期准备工作，接续做好“七人普”后期工作，深入挖掘普查信息价值，提升人口普查数据使用效率，为广元成为“十四五”第二批海绵城市建设国家级示范城市提供了助力。一年来，共撰写分析文章40余篇，被市领导批示23篇次，为党委全会、“两会”、市委工作会、招商引资、项目推进等重要会议、重大活动提供统计资料、统计服务400余次；开展送“统计服务”到部门到县区活动，创新开办“统计微课堂”24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部门（单位）自评存在问题</w:t>
            </w:r>
          </w:p>
        </w:tc>
        <w:tc>
          <w:tcPr>
            <w:tcW w:w="98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一是预算执行进度有待加强。二是项目绩效规划上需加强科学性、时效性。三是个别项目在一定程度上存在支出进度慢的现象。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部门（单位）自评改进措施</w:t>
            </w:r>
          </w:p>
        </w:tc>
        <w:tc>
          <w:tcPr>
            <w:tcW w:w="98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一是加强费用管理，规范公务卡使用，严格控制“三公”经费，特别是公务接待费的支出。二是加强人员培训，提高业务能力，以适应新形势下财政管理工作需要。三是完善相关财务制度，财务考核办法，建立长效管理机制。四是做好预算执行的监控工作，对执行进度较慢的项目应及时提醒，加快工作完成后的报账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财政部门对口科室复评结论及整改要求</w:t>
            </w:r>
          </w:p>
        </w:tc>
        <w:tc>
          <w:tcPr>
            <w:tcW w:w="98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单位项目负责人：赵正基</w:t>
            </w:r>
          </w:p>
        </w:tc>
        <w:tc>
          <w:tcPr>
            <w:tcW w:w="46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04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部门项目负责人：</w:t>
            </w:r>
          </w:p>
        </w:tc>
        <w:tc>
          <w:tcPr>
            <w:tcW w:w="46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财政部门科室负责人：</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695" w:type="dxa"/>
            <w:gridSpan w:val="12"/>
            <w:tcBorders>
              <w:top w:val="single" w:color="000000" w:sz="4" w:space="0"/>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注：部门整体支出绩效目标自评表在年度预算执行完毕后填报。</w:t>
            </w:r>
          </w:p>
        </w:tc>
      </w:tr>
    </w:tbl>
    <w:p>
      <w:pPr>
        <w:pStyle w:val="8"/>
        <w:shd w:val="clear"/>
        <w:rPr>
          <w:rFonts w:hint="default" w:ascii="方正小标宋简体" w:hAnsi="方正小标宋简体" w:eastAsia="方正小标宋简体" w:cs="方正小标宋简体"/>
          <w:b w:val="0"/>
          <w:bCs w:val="0"/>
          <w:color w:val="auto"/>
          <w:kern w:val="2"/>
          <w:sz w:val="44"/>
          <w:szCs w:val="44"/>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Start w:id="82" w:name="_Toc15396618"/>
      <w:r>
        <w:rPr>
          <w:rFonts w:hint="eastAsia" w:hAnsi="宋体" w:cs="宋体"/>
          <w:color w:val="auto"/>
          <w:kern w:val="0"/>
          <w:sz w:val="32"/>
          <w:szCs w:val="32"/>
          <w:highlight w:val="none"/>
          <w:shd w:val="clear" w:color="auto" w:fill="FFFFFF"/>
          <w:lang w:val="en-US" w:eastAsia="zh-CN"/>
        </w:rPr>
        <w:t>-1</w:t>
      </w:r>
    </w:p>
    <w:p>
      <w:pPr>
        <w:keepNext w:val="0"/>
        <w:keepLines w:val="0"/>
        <w:pageBreakBefore w:val="0"/>
        <w:widowControl w:val="0"/>
        <w:shd w:val="clear"/>
        <w:kinsoku/>
        <w:wordWrap/>
        <w:overflowPunct/>
        <w:topLinePunct w:val="0"/>
        <w:autoSpaceDE/>
        <w:autoSpaceDN/>
        <w:bidi w:val="0"/>
        <w:spacing w:line="576" w:lineRule="exact"/>
        <w:ind w:firstLine="3520" w:firstLineChars="800"/>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广元市统计局</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2022年全国第七次人口普查经费</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b w:val="0"/>
          <w:bCs w:val="0"/>
          <w:color w:val="auto"/>
          <w:kern w:val="2"/>
          <w:sz w:val="44"/>
          <w:szCs w:val="44"/>
          <w:highlight w:val="none"/>
          <w:lang w:eastAsia="zh-CN"/>
        </w:rPr>
      </w:pPr>
      <w:r>
        <w:rPr>
          <w:rFonts w:hint="eastAsia" w:ascii="方正小标宋简体" w:hAnsi="方正小标宋简体" w:eastAsia="方正小标宋简体" w:cs="方正小标宋简体"/>
          <w:b w:val="0"/>
          <w:bCs w:val="0"/>
          <w:color w:val="auto"/>
          <w:kern w:val="2"/>
          <w:sz w:val="44"/>
          <w:szCs w:val="44"/>
          <w:highlight w:val="none"/>
          <w:lang w:eastAsia="zh-CN"/>
        </w:rPr>
        <w:t>绩效自评报告</w:t>
      </w:r>
      <w:r>
        <w:rPr>
          <w:rFonts w:hint="eastAsia" w:ascii="方正小标宋简体" w:hAnsi="方正小标宋简体" w:eastAsia="方正小标宋简体" w:cs="方正小标宋简体"/>
          <w:b w:val="0"/>
          <w:bCs w:val="0"/>
          <w:color w:val="auto"/>
          <w:kern w:val="2"/>
          <w:sz w:val="44"/>
          <w:szCs w:val="44"/>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hint="eastAsia" w:ascii="黑体" w:hAnsi="宋体" w:eastAsia="黑体"/>
          <w:b w:val="0"/>
          <w:bCs w:val="0"/>
          <w:color w:val="auto"/>
          <w:sz w:val="32"/>
          <w:szCs w:val="32"/>
          <w:highlight w:val="none"/>
          <w:u w:val="none"/>
          <w:lang w:val="zh-CN"/>
        </w:rPr>
      </w:pPr>
      <w:bookmarkStart w:id="83" w:name="_Toc4705"/>
      <w:r>
        <w:rPr>
          <w:rFonts w:hint="eastAsia" w:ascii="黑体" w:hAnsi="宋体" w:eastAsia="黑体"/>
          <w:b w:val="0"/>
          <w:bCs w:val="0"/>
          <w:color w:val="auto"/>
          <w:sz w:val="32"/>
          <w:szCs w:val="32"/>
          <w:highlight w:val="none"/>
          <w:u w:val="none"/>
        </w:rPr>
        <w:t>一、</w:t>
      </w:r>
      <w:r>
        <w:rPr>
          <w:rFonts w:hint="eastAsia" w:ascii="黑体" w:hAnsi="宋体" w:eastAsia="黑体"/>
          <w:b w:val="0"/>
          <w:bCs w:val="0"/>
          <w:color w:val="auto"/>
          <w:sz w:val="32"/>
          <w:szCs w:val="32"/>
          <w:highlight w:val="none"/>
          <w:u w:val="none"/>
          <w:lang w:val="zh-CN"/>
        </w:rPr>
        <w:t>项目概况</w:t>
      </w:r>
      <w:bookmarkEnd w:id="83"/>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3" w:firstLineChars="200"/>
        <w:contextualSpacing/>
        <w:jc w:val="both"/>
        <w:textAlignment w:val="auto"/>
        <w:rPr>
          <w:rFonts w:hint="eastAsia" w:ascii="仿宋" w:hAnsi="仿宋" w:eastAsia="仿宋" w:cs="仿宋"/>
          <w:color w:val="auto"/>
          <w:sz w:val="32"/>
          <w:szCs w:val="32"/>
          <w:highlight w:val="none"/>
        </w:rPr>
      </w:pPr>
      <w:r>
        <w:rPr>
          <w:rFonts w:hint="eastAsia" w:ascii="仿宋_GB2312" w:hAnsi="仿宋_GB2312" w:eastAsia="仿宋_GB2312" w:cs="仿宋_GB2312"/>
          <w:b/>
          <w:bCs/>
          <w:color w:val="auto"/>
          <w:kern w:val="0"/>
          <w:sz w:val="32"/>
          <w:szCs w:val="32"/>
          <w:highlight w:val="none"/>
          <w:u w:val="none"/>
          <w:shd w:val="clear" w:color="auto" w:fill="FFFFFF"/>
          <w:lang w:val="zh-CN"/>
        </w:rPr>
        <w:t>1．说明项目主管部门（单位）在该项目管理中的职能。</w:t>
      </w:r>
      <w:r>
        <w:rPr>
          <w:rFonts w:hint="eastAsia" w:ascii="仿宋" w:hAnsi="仿宋" w:eastAsia="仿宋" w:cs="仿宋"/>
          <w:color w:val="auto"/>
          <w:sz w:val="32"/>
          <w:szCs w:val="32"/>
          <w:highlight w:val="none"/>
        </w:rPr>
        <w:t>第七次全国人口普查是在中国特色社会主义进入新时代开展的重大国情国力调查，将全面查清我国人口数量、结构、分布、城乡住房等方面情况。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3" w:firstLineChars="200"/>
        <w:contextualSpacing/>
        <w:jc w:val="both"/>
        <w:textAlignment w:val="auto"/>
        <w:rPr>
          <w:rFonts w:ascii="仿宋" w:hAnsi="仿宋" w:eastAsia="仿宋" w:cs="仿宋"/>
          <w:color w:val="auto"/>
          <w:sz w:val="32"/>
          <w:szCs w:val="32"/>
          <w:highlight w:val="none"/>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2．项目立项、资金申报的依据，</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包括</w:t>
      </w:r>
      <w:r>
        <w:rPr>
          <w:rFonts w:hint="eastAsia" w:ascii="仿宋" w:hAnsi="仿宋" w:eastAsia="仿宋" w:cs="仿宋"/>
          <w:color w:val="auto"/>
          <w:sz w:val="32"/>
          <w:szCs w:val="32"/>
          <w:highlight w:val="none"/>
        </w:rPr>
        <w:t>依据四川省第七次全国</w:t>
      </w:r>
      <w:r>
        <w:rPr>
          <w:rFonts w:ascii="仿宋" w:hAnsi="仿宋" w:eastAsia="仿宋" w:cs="仿宋"/>
          <w:color w:val="auto"/>
          <w:sz w:val="32"/>
          <w:szCs w:val="32"/>
          <w:highlight w:val="none"/>
        </w:rPr>
        <w:t>人口普查领导小组办公室等部门</w:t>
      </w:r>
      <w:r>
        <w:rPr>
          <w:rFonts w:hint="eastAsia" w:ascii="仿宋" w:hAnsi="仿宋" w:eastAsia="仿宋" w:cs="仿宋"/>
          <w:color w:val="auto"/>
          <w:sz w:val="32"/>
          <w:szCs w:val="32"/>
          <w:highlight w:val="none"/>
        </w:rPr>
        <w:t>关于</w:t>
      </w:r>
      <w:r>
        <w:rPr>
          <w:rFonts w:ascii="仿宋" w:hAnsi="仿宋" w:eastAsia="仿宋" w:cs="仿宋"/>
          <w:color w:val="auto"/>
          <w:sz w:val="32"/>
          <w:szCs w:val="32"/>
          <w:highlight w:val="none"/>
        </w:rPr>
        <w:t>转发</w:t>
      </w:r>
      <w:r>
        <w:rPr>
          <w:rFonts w:hint="eastAsia" w:ascii="仿宋" w:hAnsi="仿宋" w:eastAsia="仿宋" w:cs="仿宋"/>
          <w:color w:val="auto"/>
          <w:sz w:val="32"/>
          <w:szCs w:val="32"/>
          <w:highlight w:val="none"/>
        </w:rPr>
        <w:t>《国务院</w:t>
      </w:r>
      <w:r>
        <w:rPr>
          <w:rFonts w:ascii="仿宋" w:hAnsi="仿宋" w:eastAsia="仿宋" w:cs="仿宋"/>
          <w:color w:val="auto"/>
          <w:sz w:val="32"/>
          <w:szCs w:val="32"/>
          <w:highlight w:val="none"/>
        </w:rPr>
        <w:t>第七次全国人口普查领导小组办公室</w:t>
      </w:r>
      <w:r>
        <w:rPr>
          <w:rFonts w:hint="eastAsia" w:ascii="仿宋" w:hAnsi="仿宋" w:eastAsia="仿宋" w:cs="仿宋"/>
          <w:color w:val="auto"/>
          <w:sz w:val="32"/>
          <w:szCs w:val="32"/>
          <w:highlight w:val="none"/>
        </w:rPr>
        <w:t xml:space="preserve"> 财政</w:t>
      </w:r>
      <w:r>
        <w:rPr>
          <w:rFonts w:ascii="仿宋" w:hAnsi="仿宋" w:eastAsia="仿宋" w:cs="仿宋"/>
          <w:color w:val="auto"/>
          <w:sz w:val="32"/>
          <w:szCs w:val="32"/>
          <w:highlight w:val="none"/>
        </w:rPr>
        <w:t>部</w:t>
      </w:r>
      <w:r>
        <w:rPr>
          <w:rFonts w:hint="eastAsia" w:ascii="仿宋" w:hAnsi="仿宋" w:eastAsia="仿宋" w:cs="仿宋"/>
          <w:color w:val="auto"/>
          <w:sz w:val="32"/>
          <w:szCs w:val="32"/>
          <w:highlight w:val="none"/>
        </w:rPr>
        <w:t xml:space="preserve"> 人力</w:t>
      </w:r>
      <w:r>
        <w:rPr>
          <w:rFonts w:ascii="仿宋" w:hAnsi="仿宋" w:eastAsia="仿宋" w:cs="仿宋"/>
          <w:color w:val="auto"/>
          <w:sz w:val="32"/>
          <w:szCs w:val="32"/>
          <w:highlight w:val="none"/>
        </w:rPr>
        <w:t>资源和</w:t>
      </w:r>
      <w:r>
        <w:rPr>
          <w:rFonts w:hint="eastAsia" w:ascii="仿宋" w:hAnsi="仿宋" w:eastAsia="仿宋" w:cs="仿宋"/>
          <w:color w:val="auto"/>
          <w:sz w:val="32"/>
          <w:szCs w:val="32"/>
          <w:highlight w:val="none"/>
        </w:rPr>
        <w:t>社会</w:t>
      </w:r>
      <w:r>
        <w:rPr>
          <w:rFonts w:ascii="仿宋" w:hAnsi="仿宋" w:eastAsia="仿宋" w:cs="仿宋"/>
          <w:color w:val="auto"/>
          <w:sz w:val="32"/>
          <w:szCs w:val="32"/>
          <w:highlight w:val="none"/>
        </w:rPr>
        <w:t>保障部</w:t>
      </w:r>
      <w:r>
        <w:rPr>
          <w:rFonts w:hint="eastAsia" w:ascii="仿宋" w:hAnsi="仿宋" w:eastAsia="仿宋" w:cs="仿宋"/>
          <w:color w:val="auto"/>
          <w:sz w:val="32"/>
          <w:szCs w:val="32"/>
          <w:highlight w:val="none"/>
        </w:rPr>
        <w:t xml:space="preserve"> 国家</w:t>
      </w:r>
      <w:r>
        <w:rPr>
          <w:rFonts w:ascii="仿宋" w:hAnsi="仿宋" w:eastAsia="仿宋" w:cs="仿宋"/>
          <w:color w:val="auto"/>
          <w:sz w:val="32"/>
          <w:szCs w:val="32"/>
          <w:highlight w:val="none"/>
        </w:rPr>
        <w:t>统计局关于做好第七次全国人口普查经费保障工作的通知</w:t>
      </w:r>
      <w:r>
        <w:rPr>
          <w:rFonts w:hint="eastAsia" w:ascii="仿宋" w:hAnsi="仿宋" w:eastAsia="仿宋" w:cs="仿宋"/>
          <w:color w:val="auto"/>
          <w:sz w:val="32"/>
          <w:szCs w:val="32"/>
          <w:highlight w:val="none"/>
        </w:rPr>
        <w:t>》（川人</w:t>
      </w:r>
      <w:r>
        <w:rPr>
          <w:rFonts w:ascii="仿宋" w:hAnsi="仿宋" w:eastAsia="仿宋" w:cs="仿宋"/>
          <w:color w:val="auto"/>
          <w:sz w:val="32"/>
          <w:szCs w:val="32"/>
          <w:highlight w:val="none"/>
        </w:rPr>
        <w:t>普办字</w:t>
      </w: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2020</w:t>
      </w: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12</w:t>
      </w:r>
      <w:r>
        <w:rPr>
          <w:rFonts w:hint="eastAsia" w:ascii="仿宋" w:hAnsi="仿宋" w:eastAsia="仿宋" w:cs="仿宋"/>
          <w:color w:val="auto"/>
          <w:sz w:val="32"/>
          <w:szCs w:val="32"/>
          <w:highlight w:val="none"/>
        </w:rPr>
        <w:t>号）和《国务院关于开展第七次全国人口普查的通知》、</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四川省</w:t>
      </w:r>
      <w:r>
        <w:rPr>
          <w:rFonts w:ascii="仿宋" w:hAnsi="仿宋" w:eastAsia="仿宋" w:cs="仿宋"/>
          <w:color w:val="auto"/>
          <w:sz w:val="32"/>
          <w:szCs w:val="32"/>
          <w:highlight w:val="none"/>
        </w:rPr>
        <w:t>人民政府关于做好四川第七次全国人口普查工作的通知》</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3" w:firstLineChars="200"/>
        <w:contextualSpacing/>
        <w:jc w:val="both"/>
        <w:textAlignment w:val="auto"/>
        <w:rPr>
          <w:rFonts w:hint="eastAsia" w:ascii="仿宋" w:hAnsi="仿宋" w:eastAsia="仿宋" w:cs="仿宋"/>
          <w:color w:val="auto"/>
          <w:sz w:val="32"/>
          <w:szCs w:val="32"/>
          <w:highlight w:val="none"/>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 w:hAnsi="仿宋" w:eastAsia="仿宋" w:cs="仿宋"/>
          <w:color w:val="auto"/>
          <w:sz w:val="32"/>
          <w:szCs w:val="32"/>
          <w:highlight w:val="none"/>
          <w:lang w:val="zh-CN" w:eastAsia="zh-CN"/>
        </w:rPr>
        <w:t>按市统计局财务管理制度和预算管理制度、专项补助资金管理实施办法进行管理</w:t>
      </w:r>
      <w:r>
        <w:rPr>
          <w:rFonts w:hint="eastAsia" w:ascii="仿宋" w:hAnsi="仿宋" w:eastAsia="仿宋" w:cs="仿宋"/>
          <w:color w:val="auto"/>
          <w:sz w:val="32"/>
          <w:szCs w:val="32"/>
          <w:highlight w:val="none"/>
          <w:lang w:val="zh-CN"/>
        </w:rPr>
        <w:t>，</w:t>
      </w:r>
      <w:r>
        <w:rPr>
          <w:rFonts w:hint="eastAsia" w:ascii="仿宋" w:hAnsi="仿宋" w:eastAsia="仿宋" w:cs="仿宋"/>
          <w:color w:val="auto"/>
          <w:sz w:val="32"/>
          <w:szCs w:val="32"/>
          <w:highlight w:val="none"/>
          <w:lang w:eastAsia="zh-CN"/>
        </w:rPr>
        <w:t>我局</w:t>
      </w:r>
      <w:r>
        <w:rPr>
          <w:rFonts w:hint="eastAsia" w:ascii="仿宋" w:hAnsi="仿宋" w:eastAsia="仿宋" w:cs="仿宋"/>
          <w:color w:val="auto"/>
          <w:sz w:val="32"/>
          <w:szCs w:val="32"/>
          <w:highlight w:val="none"/>
        </w:rPr>
        <w:t>预算执行到位，做到了财务公开、会计核算真实、规范，没有截留、挪用财政资金、擅自扩大或缩小资金使用范围、改变资金用途等现象，未在项目申报中弄虚作假，套取财政资金，保证了专项资金专款专用。</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6" w:lineRule="exact"/>
        <w:ind w:firstLine="643" w:firstLineChars="200"/>
        <w:textAlignment w:val="auto"/>
        <w:rPr>
          <w:rFonts w:hint="eastAsia" w:ascii="仿宋" w:hAnsi="仿宋" w:eastAsia="仿宋" w:cs="仿宋"/>
          <w:color w:val="auto"/>
          <w:sz w:val="32"/>
          <w:szCs w:val="32"/>
          <w:highlight w:val="none"/>
          <w:lang w:val="zh-CN"/>
        </w:rPr>
      </w:pPr>
      <w:r>
        <w:rPr>
          <w:rFonts w:hint="eastAsia" w:ascii="仿宋_GB2312" w:hAnsi="仿宋_GB2312" w:eastAsia="仿宋_GB2312" w:cs="仿宋_GB2312"/>
          <w:b/>
          <w:bCs/>
          <w:color w:val="auto"/>
          <w:kern w:val="0"/>
          <w:sz w:val="32"/>
          <w:szCs w:val="32"/>
          <w:highlight w:val="none"/>
          <w:u w:val="none"/>
          <w:shd w:val="clear" w:color="auto" w:fill="FFFFFF"/>
          <w:lang w:val="zh-CN"/>
        </w:rPr>
        <w:t>4．资金分配的原则及考虑因素。</w:t>
      </w:r>
      <w:r>
        <w:rPr>
          <w:rFonts w:hint="eastAsia" w:ascii="仿宋" w:hAnsi="仿宋" w:eastAsia="仿宋" w:cs="仿宋"/>
          <w:color w:val="auto"/>
          <w:sz w:val="32"/>
          <w:szCs w:val="32"/>
          <w:highlight w:val="none"/>
          <w:lang w:val="zh-CN"/>
        </w:rPr>
        <w:t>资金分配原则按照年初预算各科室实施工作任务申报的事前项目绩效申报情况经局党组会讨论研究，并结合</w:t>
      </w:r>
      <w:r>
        <w:rPr>
          <w:rFonts w:hint="eastAsia" w:ascii="仿宋" w:hAnsi="仿宋" w:eastAsia="仿宋" w:cs="仿宋"/>
          <w:color w:val="auto"/>
          <w:sz w:val="32"/>
          <w:szCs w:val="32"/>
          <w:highlight w:val="none"/>
          <w:lang w:val="en-US" w:eastAsia="zh-CN"/>
        </w:rPr>
        <w:t xml:space="preserve">2022年全年七人普工作安排对资金进行上报和分配。 </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Fonts w:hint="eastAsia" w:ascii="仿宋" w:hAnsi="仿宋" w:eastAsia="仿宋" w:cs="仿宋"/>
          <w:color w:val="auto"/>
          <w:sz w:val="32"/>
          <w:szCs w:val="32"/>
          <w:highlight w:val="none"/>
        </w:rPr>
        <w:t>根据第七次</w:t>
      </w:r>
      <w:r>
        <w:rPr>
          <w:rFonts w:ascii="仿宋" w:hAnsi="仿宋" w:eastAsia="仿宋" w:cs="仿宋"/>
          <w:color w:val="auto"/>
          <w:sz w:val="32"/>
          <w:szCs w:val="32"/>
          <w:highlight w:val="none"/>
        </w:rPr>
        <w:t>全国人口普查工作总体安排，</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w:t>
      </w:r>
      <w:r>
        <w:rPr>
          <w:rFonts w:ascii="仿宋" w:hAnsi="仿宋" w:eastAsia="仿宋" w:cs="仿宋"/>
          <w:color w:val="auto"/>
          <w:sz w:val="32"/>
          <w:szCs w:val="32"/>
          <w:highlight w:val="none"/>
        </w:rPr>
        <w:t>将</w:t>
      </w:r>
      <w:r>
        <w:rPr>
          <w:rFonts w:hint="eastAsia" w:ascii="仿宋" w:hAnsi="仿宋" w:eastAsia="仿宋" w:cs="仿宋"/>
          <w:color w:val="auto"/>
          <w:sz w:val="32"/>
          <w:szCs w:val="32"/>
          <w:highlight w:val="none"/>
        </w:rPr>
        <w:t>进入普查</w:t>
      </w:r>
      <w:r>
        <w:rPr>
          <w:rFonts w:hint="eastAsia" w:ascii="仿宋" w:hAnsi="仿宋" w:eastAsia="仿宋" w:cs="仿宋"/>
          <w:color w:val="auto"/>
          <w:sz w:val="32"/>
          <w:szCs w:val="32"/>
          <w:highlight w:val="none"/>
          <w:lang w:eastAsia="zh-CN"/>
        </w:rPr>
        <w:t>成果应用及资料开发阶段</w:t>
      </w:r>
      <w:r>
        <w:rPr>
          <w:rFonts w:ascii="仿宋" w:hAnsi="仿宋" w:eastAsia="仿宋" w:cs="仿宋"/>
          <w:color w:val="auto"/>
          <w:sz w:val="32"/>
          <w:szCs w:val="32"/>
          <w:highlight w:val="none"/>
        </w:rPr>
        <w:t>，需要开展</w:t>
      </w:r>
      <w:r>
        <w:rPr>
          <w:rFonts w:hint="eastAsia" w:ascii="仿宋" w:hAnsi="仿宋" w:eastAsia="仿宋" w:cs="仿宋"/>
          <w:color w:val="auto"/>
          <w:sz w:val="32"/>
          <w:szCs w:val="32"/>
          <w:highlight w:val="none"/>
        </w:rPr>
        <w:t>人口普查成果应用、人口普查数据处理技术总结、人口普查部门数据与普查结果分析</w:t>
      </w:r>
      <w:r>
        <w:rPr>
          <w:rFonts w:hint="eastAsia" w:ascii="仿宋" w:hAnsi="仿宋" w:eastAsia="仿宋" w:cs="仿宋"/>
          <w:color w:val="auto"/>
          <w:sz w:val="32"/>
          <w:szCs w:val="32"/>
          <w:highlight w:val="none"/>
          <w:lang w:eastAsia="zh-CN"/>
        </w:rPr>
        <w:t>等相关培训以及</w:t>
      </w:r>
      <w:r>
        <w:rPr>
          <w:rFonts w:hint="eastAsia" w:ascii="仿宋" w:hAnsi="仿宋" w:eastAsia="仿宋" w:cs="仿宋"/>
          <w:color w:val="auto"/>
          <w:sz w:val="32"/>
          <w:szCs w:val="32"/>
          <w:highlight w:val="none"/>
        </w:rPr>
        <w:t>人口普查年鉴</w:t>
      </w:r>
      <w:r>
        <w:rPr>
          <w:rFonts w:hint="eastAsia" w:ascii="仿宋" w:hAnsi="仿宋" w:eastAsia="仿宋" w:cs="仿宋"/>
          <w:color w:val="auto"/>
          <w:sz w:val="32"/>
          <w:szCs w:val="32"/>
          <w:highlight w:val="none"/>
          <w:lang w:eastAsia="zh-CN"/>
        </w:rPr>
        <w:t>等普查资料印制</w:t>
      </w:r>
      <w:r>
        <w:rPr>
          <w:rFonts w:ascii="仿宋" w:hAnsi="仿宋" w:eastAsia="仿宋" w:cs="仿宋"/>
          <w:color w:val="auto"/>
          <w:sz w:val="32"/>
          <w:szCs w:val="32"/>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2．项目应实现的具体绩效目标，</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包括</w:t>
      </w:r>
      <w:r>
        <w:rPr>
          <w:rFonts w:hint="eastAsia" w:ascii="仿宋_GB2312" w:hAnsi="仿宋_GB2312" w:cs="仿宋_GB2312"/>
          <w:b w:val="0"/>
          <w:bCs w:val="0"/>
          <w:color w:val="auto"/>
          <w:kern w:val="0"/>
          <w:sz w:val="32"/>
          <w:szCs w:val="32"/>
          <w:highlight w:val="none"/>
          <w:u w:val="none"/>
          <w:shd w:val="clear" w:color="auto" w:fill="FFFFFF"/>
          <w:lang w:val="en-US" w:eastAsia="zh-CN"/>
        </w:rPr>
        <w:t>：</w:t>
      </w:r>
      <w:r>
        <w:rPr>
          <w:rFonts w:hint="eastAsia" w:ascii="仿宋" w:hAnsi="仿宋" w:eastAsia="仿宋" w:cs="仿宋"/>
          <w:color w:val="auto"/>
          <w:sz w:val="32"/>
          <w:szCs w:val="32"/>
          <w:highlight w:val="none"/>
          <w:lang w:val="zh-CN" w:eastAsia="zh-CN"/>
        </w:rPr>
        <w:t>包括项目的数量指标、质量指标、实效指标、成本指标等几个部分组成，三级指标共细化为</w:t>
      </w:r>
      <w:r>
        <w:rPr>
          <w:rFonts w:hint="eastAsia" w:ascii="仿宋" w:hAnsi="仿宋" w:eastAsia="仿宋" w:cs="仿宋"/>
          <w:color w:val="auto"/>
          <w:sz w:val="32"/>
          <w:szCs w:val="32"/>
          <w:highlight w:val="none"/>
          <w:lang w:val="en-US" w:eastAsia="zh-CN"/>
        </w:rPr>
        <w:t>12项，</w:t>
      </w:r>
      <w:r>
        <w:rPr>
          <w:rFonts w:hint="eastAsia" w:ascii="仿宋" w:hAnsi="仿宋" w:eastAsia="仿宋" w:cs="仿宋"/>
          <w:color w:val="auto"/>
          <w:sz w:val="32"/>
          <w:szCs w:val="32"/>
          <w:highlight w:val="none"/>
          <w:lang w:val="zh-CN" w:eastAsia="zh-CN"/>
        </w:rPr>
        <w:t>设计都进行了量化和细化，情况以及项目实施进度计划等。</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3．本项目绩效目标申报内容与实际相符，申报目标设置为八个二级指标，十一个三级指标，相对合理可行。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本项目为我单位部门职能范围内业务工作，属于部门预算内项目，是按照部门职责相关规定及统计行业政策、行业标准及统计专业技术规范进行绩效自评，采用的组织实施步骤为年初申报项目绩效时，由负责项目实施科室根据工作需要编制项目预算绩效申报表，进行现场评价，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84" w:name="_Toc1585"/>
      <w:r>
        <w:rPr>
          <w:rFonts w:hint="eastAsia" w:ascii="黑体" w:hAnsi="宋体" w:eastAsia="黑体"/>
          <w:b w:val="0"/>
          <w:bCs w:val="0"/>
          <w:color w:val="auto"/>
          <w:sz w:val="32"/>
          <w:szCs w:val="32"/>
          <w:highlight w:val="none"/>
          <w:u w:val="none"/>
        </w:rPr>
        <w:t>二、项目资金申报及使用情况</w:t>
      </w:r>
      <w:bookmarkEnd w:id="84"/>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zh-CN" w:eastAsia="zh-CN"/>
        </w:rPr>
        <w:t>该项目资金申报、批复及预算调整等程序均按部门预算相关规定按时执行。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default" w:ascii="仿宋_GB2312" w:hAnsi="宋体"/>
          <w:b w:val="0"/>
          <w:bCs w:val="0"/>
          <w:color w:val="auto"/>
          <w:sz w:val="32"/>
          <w:szCs w:val="32"/>
          <w:highlight w:val="none"/>
          <w:u w:val="none"/>
        </w:rPr>
      </w:pPr>
      <w:r>
        <w:rPr>
          <w:rFonts w:hint="eastAsia" w:ascii="楷体_GB2312" w:hAnsi="宋体" w:eastAsia="楷体_GB2312"/>
          <w:b w:val="0"/>
          <w:bCs w:val="0"/>
          <w:color w:val="auto"/>
          <w:sz w:val="32"/>
          <w:szCs w:val="32"/>
          <w:highlight w:val="none"/>
          <w:u w:val="none"/>
          <w:lang w:val="zh-CN"/>
        </w:rPr>
        <w:t>（二）资金计划、到位及使用情况</w:t>
      </w:r>
      <w:r>
        <w:rPr>
          <w:rFonts w:hint="default" w:ascii="楷体_GB2312" w:hAnsi="宋体" w:eastAsia="楷体_GB2312"/>
          <w:b w:val="0"/>
          <w:bCs w:val="0"/>
          <w:color w:val="auto"/>
          <w:sz w:val="32"/>
          <w:szCs w:val="32"/>
          <w:highlight w:val="none"/>
          <w:u w:val="none"/>
        </w:rPr>
        <w:t>。</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 w:hAnsi="仿宋" w:eastAsia="仿宋" w:cs="仿宋"/>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1．资金计划。</w:t>
      </w:r>
      <w:r>
        <w:rPr>
          <w:rFonts w:hint="eastAsia" w:ascii="仿宋" w:hAnsi="仿宋" w:eastAsia="仿宋" w:cs="仿宋"/>
          <w:color w:val="auto"/>
          <w:sz w:val="32"/>
          <w:szCs w:val="32"/>
          <w:highlight w:val="none"/>
          <w:lang w:val="zh-CN" w:eastAsia="zh-CN"/>
        </w:rPr>
        <w:t>根据七人普整体工作安排和三年普查经费预算</w:t>
      </w:r>
      <w:r>
        <w:rPr>
          <w:rFonts w:hint="eastAsia" w:ascii="仿宋" w:hAnsi="仿宋" w:eastAsia="仿宋" w:cs="仿宋"/>
          <w:color w:val="auto"/>
          <w:sz w:val="32"/>
          <w:szCs w:val="32"/>
          <w:highlight w:val="none"/>
          <w:lang w:val="en-US" w:eastAsia="zh-CN"/>
        </w:rPr>
        <w:t>2022年度计划资金为30万元。</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2．资金到位。汇总统计截止评价时点该项目全</w:t>
      </w:r>
      <w:r>
        <w:rPr>
          <w:rFonts w:hint="eastAsia" w:ascii="仿宋_GB2312" w:hAnsi="仿宋_GB2312" w:cs="仿宋_GB2312"/>
          <w:b w:val="0"/>
          <w:bCs w:val="0"/>
          <w:color w:val="auto"/>
          <w:kern w:val="0"/>
          <w:sz w:val="32"/>
          <w:szCs w:val="32"/>
          <w:highlight w:val="none"/>
          <w:u w:val="none"/>
          <w:shd w:val="clear" w:color="auto" w:fill="FFFFFF"/>
          <w:lang w:val="zh-CN"/>
        </w:rPr>
        <w:t>市</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资金到位</w:t>
      </w:r>
      <w:r>
        <w:rPr>
          <w:rFonts w:hint="eastAsia" w:ascii="仿宋_GB2312" w:hAnsi="仿宋_GB2312" w:cs="仿宋_GB2312"/>
          <w:b w:val="0"/>
          <w:bCs w:val="0"/>
          <w:color w:val="auto"/>
          <w:kern w:val="0"/>
          <w:sz w:val="32"/>
          <w:szCs w:val="32"/>
          <w:highlight w:val="none"/>
          <w:u w:val="none"/>
          <w:shd w:val="clear" w:color="auto" w:fill="FFFFFF"/>
          <w:lang w:val="en-US" w:eastAsia="zh-CN"/>
        </w:rPr>
        <w:t>30万元</w:t>
      </w:r>
      <w:r>
        <w:rPr>
          <w:rFonts w:hint="eastAsia" w:ascii="仿宋_GB2312" w:hAnsi="仿宋_GB2312" w:cs="仿宋_GB2312"/>
          <w:b w:val="0"/>
          <w:bCs w:val="0"/>
          <w:color w:val="auto"/>
          <w:kern w:val="0"/>
          <w:sz w:val="32"/>
          <w:szCs w:val="32"/>
          <w:highlight w:val="none"/>
          <w:u w:val="none"/>
          <w:shd w:val="clear" w:color="auto" w:fill="FFFFFF"/>
          <w:lang w:val="zh-CN"/>
        </w:rPr>
        <w:t>，</w:t>
      </w:r>
      <w:r>
        <w:rPr>
          <w:rFonts w:hint="eastAsia" w:ascii="仿宋" w:hAnsi="仿宋" w:eastAsia="仿宋" w:cs="仿宋"/>
          <w:color w:val="auto"/>
          <w:sz w:val="32"/>
          <w:szCs w:val="32"/>
          <w:highlight w:val="none"/>
          <w:lang w:val="en-US" w:eastAsia="zh-CN"/>
        </w:rPr>
        <w:t>到位率100%。</w:t>
      </w:r>
    </w:p>
    <w:p>
      <w:pPr>
        <w:shd w:val="clear"/>
        <w:spacing w:line="580" w:lineRule="exact"/>
        <w:ind w:firstLine="640" w:firstLineChars="200"/>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3．资金使用。</w:t>
      </w:r>
      <w:r>
        <w:rPr>
          <w:rFonts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rPr>
        <w:t>全年</w:t>
      </w:r>
      <w:r>
        <w:rPr>
          <w:rFonts w:ascii="仿宋_GB2312" w:hAnsi="仿宋_GB2312" w:eastAsia="仿宋_GB2312" w:cs="仿宋_GB2312"/>
          <w:color w:val="auto"/>
          <w:sz w:val="32"/>
          <w:szCs w:val="32"/>
          <w:highlight w:val="none"/>
        </w:rPr>
        <w:t>预算</w:t>
      </w:r>
      <w:r>
        <w:rPr>
          <w:rFonts w:hint="eastAsia" w:ascii="仿宋_GB2312" w:hAnsi="仿宋_GB2312" w:cs="仿宋_GB2312"/>
          <w:color w:val="auto"/>
          <w:sz w:val="32"/>
          <w:szCs w:val="32"/>
          <w:highlight w:val="none"/>
          <w:lang w:val="en-US" w:eastAsia="zh-CN"/>
        </w:rPr>
        <w:t>30万</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执行数</w:t>
      </w:r>
      <w:r>
        <w:rPr>
          <w:rFonts w:hint="eastAsia" w:ascii="仿宋_GB2312" w:hAnsi="仿宋_GB2312" w:cs="仿宋_GB2312"/>
          <w:color w:val="auto"/>
          <w:sz w:val="32"/>
          <w:szCs w:val="32"/>
          <w:highlight w:val="none"/>
          <w:lang w:val="en-US" w:eastAsia="zh-CN"/>
        </w:rPr>
        <w:t xml:space="preserve">30 </w:t>
      </w:r>
      <w:r>
        <w:rPr>
          <w:rFonts w:hint="eastAsia" w:ascii="仿宋_GB2312" w:hAnsi="仿宋_GB2312" w:eastAsia="仿宋_GB2312" w:cs="仿宋_GB2312"/>
          <w:color w:val="auto"/>
          <w:sz w:val="32"/>
          <w:szCs w:val="32"/>
          <w:highlight w:val="none"/>
          <w:lang w:val="en-US" w:eastAsia="zh-CN"/>
        </w:rPr>
        <w:t>万元，</w:t>
      </w:r>
      <w:r>
        <w:rPr>
          <w:rFonts w:ascii="仿宋_GB2312" w:hAnsi="仿宋_GB2312" w:eastAsia="仿宋_GB2312" w:cs="仿宋_GB2312"/>
          <w:color w:val="auto"/>
          <w:sz w:val="32"/>
          <w:szCs w:val="32"/>
          <w:highlight w:val="none"/>
        </w:rPr>
        <w:t>完成预算</w:t>
      </w:r>
      <w:r>
        <w:rPr>
          <w:rFonts w:hint="eastAsia" w:ascii="仿宋_GB2312" w:hAnsi="仿宋_GB2312" w:cs="仿宋_GB2312"/>
          <w:color w:val="auto"/>
          <w:sz w:val="32"/>
          <w:szCs w:val="32"/>
          <w:highlight w:val="none"/>
          <w:lang w:val="en-US" w:eastAsia="zh-CN"/>
        </w:rPr>
        <w:t>100</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通过</w:t>
      </w:r>
      <w:r>
        <w:rPr>
          <w:rFonts w:ascii="仿宋_GB2312" w:hAnsi="仿宋_GB2312" w:eastAsia="仿宋_GB2312" w:cs="仿宋_GB2312"/>
          <w:color w:val="auto"/>
          <w:sz w:val="32"/>
          <w:szCs w:val="32"/>
          <w:highlight w:val="none"/>
        </w:rPr>
        <w:t>项目实施</w:t>
      </w:r>
      <w:r>
        <w:rPr>
          <w:rFonts w:hint="eastAsia" w:ascii="仿宋_GB2312" w:hAnsi="仿宋_GB2312" w:eastAsia="仿宋_GB2312" w:cs="仿宋_GB2312"/>
          <w:color w:val="auto"/>
          <w:sz w:val="32"/>
          <w:szCs w:val="32"/>
          <w:highlight w:val="none"/>
        </w:rPr>
        <w:t>完成202</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年度第七次人口普查相关工作，主要是完成第七次人口普查相关工作，主要是</w:t>
      </w:r>
      <w:r>
        <w:rPr>
          <w:rFonts w:hint="eastAsia" w:ascii="仿宋" w:hAnsi="仿宋" w:eastAsia="仿宋" w:cs="仿宋"/>
          <w:color w:val="auto"/>
          <w:sz w:val="32"/>
          <w:szCs w:val="32"/>
          <w:highlight w:val="none"/>
        </w:rPr>
        <w:t>普查</w:t>
      </w:r>
      <w:r>
        <w:rPr>
          <w:rFonts w:hint="eastAsia" w:ascii="仿宋" w:hAnsi="仿宋" w:eastAsia="仿宋" w:cs="仿宋"/>
          <w:color w:val="auto"/>
          <w:sz w:val="32"/>
          <w:szCs w:val="32"/>
          <w:highlight w:val="none"/>
          <w:lang w:eastAsia="zh-CN"/>
        </w:rPr>
        <w:t>成果应用及资料开发阶段</w:t>
      </w:r>
      <w:r>
        <w:rPr>
          <w:rFonts w:ascii="仿宋" w:hAnsi="仿宋" w:eastAsia="仿宋" w:cs="仿宋"/>
          <w:color w:val="auto"/>
          <w:sz w:val="32"/>
          <w:szCs w:val="32"/>
          <w:highlight w:val="none"/>
        </w:rPr>
        <w:t>，需要开展</w:t>
      </w:r>
      <w:r>
        <w:rPr>
          <w:rFonts w:hint="eastAsia" w:ascii="仿宋" w:hAnsi="仿宋" w:eastAsia="仿宋" w:cs="仿宋"/>
          <w:color w:val="auto"/>
          <w:sz w:val="32"/>
          <w:szCs w:val="32"/>
          <w:highlight w:val="none"/>
        </w:rPr>
        <w:t>人口普查成果应用、人口普查数据处理技术总结、人口普查部门数据与普查结果分析</w:t>
      </w:r>
      <w:r>
        <w:rPr>
          <w:rFonts w:hint="eastAsia" w:ascii="仿宋" w:hAnsi="仿宋" w:eastAsia="仿宋" w:cs="仿宋"/>
          <w:color w:val="auto"/>
          <w:sz w:val="32"/>
          <w:szCs w:val="32"/>
          <w:highlight w:val="none"/>
          <w:lang w:eastAsia="zh-CN"/>
        </w:rPr>
        <w:t>等相关培训以及</w:t>
      </w:r>
      <w:r>
        <w:rPr>
          <w:rFonts w:hint="eastAsia" w:ascii="仿宋" w:hAnsi="仿宋" w:eastAsia="仿宋" w:cs="仿宋"/>
          <w:color w:val="auto"/>
          <w:sz w:val="32"/>
          <w:szCs w:val="32"/>
          <w:highlight w:val="none"/>
        </w:rPr>
        <w:t>人口普查年鉴</w:t>
      </w:r>
      <w:r>
        <w:rPr>
          <w:rFonts w:hint="eastAsia" w:ascii="仿宋" w:hAnsi="仿宋" w:eastAsia="仿宋" w:cs="仿宋"/>
          <w:color w:val="auto"/>
          <w:sz w:val="32"/>
          <w:szCs w:val="32"/>
          <w:highlight w:val="none"/>
          <w:lang w:eastAsia="zh-CN"/>
        </w:rPr>
        <w:t>等普查资料印制</w:t>
      </w:r>
      <w:r>
        <w:rPr>
          <w:rFonts w:ascii="仿宋" w:hAnsi="仿宋" w:eastAsia="仿宋" w:cs="仿宋"/>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85" w:name="_Toc25946"/>
      <w:r>
        <w:rPr>
          <w:rFonts w:hint="eastAsia" w:ascii="黑体" w:hAnsi="宋体" w:eastAsia="黑体"/>
          <w:b w:val="0"/>
          <w:bCs w:val="0"/>
          <w:color w:val="auto"/>
          <w:sz w:val="32"/>
          <w:szCs w:val="32"/>
          <w:highlight w:val="none"/>
          <w:u w:val="none"/>
        </w:rPr>
        <w:t>三、项目实施及管理情况</w:t>
      </w:r>
      <w:bookmarkEnd w:id="85"/>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zh-CN" w:eastAsia="zh-CN"/>
        </w:rPr>
        <w:t>结合项目组织实施管理办法，重点围绕以下内容进行分析评价，并对自评中发现的问题分析说明。</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项目组织架构及实施流程。</w:t>
      </w:r>
    </w:p>
    <w:p>
      <w:pPr>
        <w:pStyle w:val="2"/>
        <w:numPr>
          <w:ilvl w:val="0"/>
          <w:numId w:val="0"/>
        </w:numPr>
        <w:shd w:val="clear"/>
        <w:ind w:leftChars="400"/>
        <w:rPr>
          <w:color w:val="auto"/>
          <w:highlight w:val="none"/>
          <w:lang w:val="zh-CN"/>
        </w:rPr>
      </w:pPr>
      <w:r>
        <w:rPr>
          <w:rFonts w:ascii="宋体" w:hAnsi="宋体" w:eastAsia="宋体" w:cs="宋体"/>
          <w:color w:val="auto"/>
          <w:kern w:val="0"/>
          <w:sz w:val="24"/>
          <w:szCs w:val="24"/>
          <w:highlight w:val="none"/>
          <w:lang w:val="en-US" w:eastAsia="zh-CN" w:bidi="ar"/>
        </w:rPr>
        <w:drawing>
          <wp:inline distT="0" distB="0" distL="114300" distR="114300">
            <wp:extent cx="4349115" cy="1557655"/>
            <wp:effectExtent l="0" t="0" r="13335" b="444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16"/>
                    <a:stretch>
                      <a:fillRect/>
                    </a:stretch>
                  </pic:blipFill>
                  <pic:spPr>
                    <a:xfrm>
                      <a:off x="0" y="0"/>
                      <a:ext cx="4349115" cy="1557655"/>
                    </a:xfrm>
                    <a:prstGeom prst="rect">
                      <a:avLst/>
                    </a:prstGeom>
                    <a:noFill/>
                    <a:ln w="9525">
                      <a:noFill/>
                    </a:ln>
                  </pic:spPr>
                </pic:pic>
              </a:graphicData>
            </a:graphic>
          </wp:inline>
        </w:drawing>
      </w:r>
    </w:p>
    <w:p>
      <w:pPr>
        <w:shd w:val="clear"/>
        <w:adjustRightInd w:val="0"/>
        <w:spacing w:line="360" w:lineRule="auto"/>
        <w:ind w:firstLine="640" w:firstLineChars="200"/>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_GB2312" w:hAnsi="宋体" w:eastAsia="仿宋_GB2312"/>
          <w:color w:val="auto"/>
          <w:sz w:val="30"/>
          <w:szCs w:val="30"/>
          <w:highlight w:val="none"/>
        </w:rPr>
        <w:t>按照会计基础工作规范化和《四川省会计管理条例》进行财务核算；</w:t>
      </w:r>
      <w:r>
        <w:rPr>
          <w:rFonts w:hint="eastAsia" w:ascii="仿宋_GB2312" w:hAnsi="宋体" w:eastAsia="仿宋_GB2312"/>
          <w:color w:val="auto"/>
          <w:sz w:val="30"/>
          <w:szCs w:val="30"/>
          <w:highlight w:val="none"/>
          <w:lang w:eastAsia="zh-CN"/>
        </w:rPr>
        <w:t>三是</w:t>
      </w:r>
      <w:r>
        <w:rPr>
          <w:rFonts w:hint="eastAsia" w:ascii="仿宋_GB2312" w:hAnsi="宋体" w:eastAsia="仿宋_GB2312"/>
          <w:color w:val="auto"/>
          <w:sz w:val="30"/>
          <w:szCs w:val="30"/>
          <w:highlight w:val="none"/>
        </w:rPr>
        <w:t>依据新的</w:t>
      </w:r>
      <w:r>
        <w:rPr>
          <w:rFonts w:ascii="仿宋_GB2312" w:hAnsi="宋体" w:eastAsia="仿宋_GB2312"/>
          <w:color w:val="auto"/>
          <w:sz w:val="30"/>
          <w:szCs w:val="30"/>
          <w:highlight w:val="none"/>
        </w:rPr>
        <w:t>政策</w:t>
      </w:r>
      <w:r>
        <w:rPr>
          <w:rFonts w:hint="eastAsia" w:ascii="仿宋_GB2312" w:hAnsi="宋体" w:eastAsia="仿宋_GB2312"/>
          <w:color w:val="auto"/>
          <w:sz w:val="30"/>
          <w:szCs w:val="30"/>
          <w:highlight w:val="none"/>
        </w:rPr>
        <w:t>和</w:t>
      </w:r>
      <w:r>
        <w:rPr>
          <w:rFonts w:ascii="仿宋_GB2312" w:hAnsi="宋体" w:eastAsia="仿宋_GB2312"/>
          <w:color w:val="auto"/>
          <w:sz w:val="30"/>
          <w:szCs w:val="30"/>
          <w:highlight w:val="none"/>
        </w:rPr>
        <w:t>要求</w:t>
      </w:r>
      <w:r>
        <w:rPr>
          <w:rFonts w:hint="eastAsia" w:ascii="仿宋_GB2312" w:hAnsi="宋体" w:eastAsia="仿宋_GB2312"/>
          <w:color w:val="auto"/>
          <w:sz w:val="30"/>
          <w:szCs w:val="30"/>
          <w:highlight w:val="none"/>
        </w:rPr>
        <w:t>修改完善</w:t>
      </w:r>
      <w:r>
        <w:rPr>
          <w:rFonts w:hint="eastAsia" w:ascii="仿宋_GB2312" w:hAnsi="宋体" w:eastAsia="仿宋_GB2312"/>
          <w:color w:val="auto"/>
          <w:sz w:val="30"/>
          <w:szCs w:val="30"/>
          <w:highlight w:val="none"/>
          <w:lang w:eastAsia="zh-CN"/>
        </w:rPr>
        <w:t>了</w:t>
      </w:r>
      <w:r>
        <w:rPr>
          <w:rFonts w:ascii="仿宋_GB2312" w:hAnsi="宋体" w:eastAsia="仿宋_GB2312"/>
          <w:color w:val="auto"/>
          <w:sz w:val="30"/>
          <w:szCs w:val="30"/>
          <w:highlight w:val="none"/>
        </w:rPr>
        <w:t>《</w:t>
      </w:r>
      <w:r>
        <w:rPr>
          <w:rFonts w:hint="eastAsia" w:ascii="仿宋_GB2312" w:hAnsi="宋体" w:eastAsia="仿宋_GB2312"/>
          <w:color w:val="auto"/>
          <w:sz w:val="30"/>
          <w:szCs w:val="30"/>
          <w:highlight w:val="none"/>
        </w:rPr>
        <w:t>广元市</w:t>
      </w:r>
      <w:r>
        <w:rPr>
          <w:rFonts w:ascii="仿宋_GB2312" w:hAnsi="宋体" w:eastAsia="仿宋_GB2312"/>
          <w:color w:val="auto"/>
          <w:sz w:val="30"/>
          <w:szCs w:val="30"/>
          <w:highlight w:val="none"/>
        </w:rPr>
        <w:t>内部控制</w:t>
      </w:r>
      <w:r>
        <w:rPr>
          <w:rFonts w:hint="eastAsia" w:ascii="仿宋_GB2312" w:hAnsi="宋体" w:eastAsia="仿宋_GB2312"/>
          <w:color w:val="auto"/>
          <w:sz w:val="30"/>
          <w:szCs w:val="30"/>
          <w:highlight w:val="none"/>
        </w:rPr>
        <w:t>制度</w:t>
      </w:r>
      <w:r>
        <w:rPr>
          <w:rFonts w:ascii="仿宋_GB2312" w:hAnsi="宋体" w:eastAsia="仿宋_GB2312"/>
          <w:color w:val="auto"/>
          <w:sz w:val="30"/>
          <w:szCs w:val="30"/>
          <w:highlight w:val="none"/>
        </w:rPr>
        <w:t>汇编》</w:t>
      </w:r>
      <w:r>
        <w:rPr>
          <w:rFonts w:hint="eastAsia" w:ascii="仿宋_GB2312" w:hAnsi="宋体" w:eastAsia="仿宋_GB2312"/>
          <w:color w:val="auto"/>
          <w:sz w:val="30"/>
          <w:szCs w:val="30"/>
          <w:highlight w:val="none"/>
          <w:lang w:eastAsia="zh-CN"/>
        </w:rPr>
        <w:t>，新增了《广元市统计局固定资产管理办法》《广元市统计局政府采购内控制度》《广元市统计局自行采购管理办法》《广元市统计局预算管理制度》等制度，</w:t>
      </w:r>
      <w:r>
        <w:rPr>
          <w:rFonts w:hint="eastAsia" w:ascii="仿宋" w:hAnsi="仿宋" w:eastAsia="仿宋" w:cs="Times New Roman"/>
          <w:color w:val="auto"/>
          <w:sz w:val="32"/>
          <w:szCs w:val="32"/>
          <w:highlight w:val="none"/>
          <w:lang w:eastAsia="zh-CN"/>
        </w:rPr>
        <w:t>严格按照部门预算专项资金开支范围执行，</w:t>
      </w:r>
      <w:r>
        <w:rPr>
          <w:rFonts w:hint="eastAsia" w:ascii="仿宋" w:hAnsi="仿宋" w:eastAsia="仿宋" w:cs="Times New Roman"/>
          <w:color w:val="auto"/>
          <w:sz w:val="32"/>
          <w:szCs w:val="32"/>
          <w:highlight w:val="none"/>
        </w:rPr>
        <w:t>支出合理。</w:t>
      </w:r>
    </w:p>
    <w:p>
      <w:pPr>
        <w:shd w:val="clear"/>
        <w:adjustRightInd w:val="0"/>
        <w:snapToGrid w:val="0"/>
        <w:spacing w:line="600" w:lineRule="exact"/>
        <w:ind w:firstLine="720"/>
        <w:rPr>
          <w:rFonts w:hint="eastAsia" w:ascii="仿宋_GB2312" w:hAnsi="宋体" w:eastAsia="仿宋_GB2312"/>
          <w:color w:val="auto"/>
          <w:sz w:val="30"/>
          <w:szCs w:val="30"/>
          <w:highlight w:val="none"/>
          <w:lang w:val="zh-CN" w:eastAsia="zh-CN"/>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_GB2312" w:hAnsi="宋体" w:eastAsia="仿宋_GB2312"/>
          <w:color w:val="auto"/>
          <w:sz w:val="30"/>
          <w:szCs w:val="30"/>
          <w:highlight w:val="none"/>
          <w:lang w:val="zh-CN" w:eastAsia="zh-CN"/>
        </w:rPr>
        <w:t>项目实施是统计局各业务科室根据年度工作计划开展，重点围绕统计专项业务工作开展情况进行分析评价，并对自评中发现的问题分析说明，由资金管理部门局办公室进行项目实施进度监管、提醒，确保项目执行进度。</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86" w:name="_Toc16064"/>
      <w:r>
        <w:rPr>
          <w:rFonts w:hint="eastAsia" w:ascii="黑体" w:hAnsi="宋体" w:eastAsia="黑体"/>
          <w:b w:val="0"/>
          <w:bCs w:val="0"/>
          <w:color w:val="auto"/>
          <w:sz w:val="32"/>
          <w:szCs w:val="32"/>
          <w:highlight w:val="none"/>
          <w:u w:val="none"/>
        </w:rPr>
        <w:t>四、项目绩效情况</w:t>
      </w:r>
      <w:bookmarkEnd w:id="86"/>
      <w:r>
        <w:rPr>
          <w:rFonts w:hint="eastAsia" w:ascii="仿宋_GB2312" w:hAnsi="宋体"/>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shd w:val="clear"/>
        <w:adjustRightInd w:val="0"/>
        <w:snapToGrid w:val="0"/>
        <w:spacing w:line="600" w:lineRule="exact"/>
        <w:ind w:firstLine="720"/>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zh-CN" w:eastAsia="zh-CN"/>
        </w:rPr>
        <w:t>该项目的完成保障完成人口普查总结表彰会、人口普查数据处理技术培训会、人口普查成果应用培训等，人口普查宣传画册、人口普查年鉴印制</w:t>
      </w:r>
      <w:r>
        <w:rPr>
          <w:rFonts w:hint="eastAsia" w:ascii="仿宋_GB2312" w:hAnsi="宋体" w:eastAsia="仿宋_GB2312"/>
          <w:color w:val="auto"/>
          <w:sz w:val="30"/>
          <w:szCs w:val="30"/>
          <w:highlight w:val="none"/>
          <w:lang w:val="en-US" w:eastAsia="zh-CN"/>
        </w:rPr>
        <w:t>120套，</w:t>
      </w:r>
      <w:r>
        <w:rPr>
          <w:rFonts w:hint="eastAsia" w:ascii="仿宋_GB2312" w:hAnsi="宋体" w:eastAsia="仿宋_GB2312"/>
          <w:color w:val="auto"/>
          <w:sz w:val="30"/>
          <w:szCs w:val="30"/>
          <w:highlight w:val="none"/>
          <w:lang w:val="zh-CN" w:eastAsia="zh-CN"/>
        </w:rPr>
        <w:t>全面客观反映我国人口发展状况，数据利用率≥90%，普查数据的分阶段错差率低于相关要求，均达标住房和单元数≦2‰；户籍人口数≦4‰；登记人数与户籍人数指标差错率为0，出生人口与死亡人口指标零差错，普查数据的利用率，网站点击率≥90%，超3000条。</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shd w:val="clear"/>
        <w:adjustRightInd w:val="0"/>
        <w:snapToGrid w:val="0"/>
        <w:spacing w:line="600" w:lineRule="exact"/>
        <w:ind w:firstLine="720"/>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zh-CN" w:eastAsia="zh-CN"/>
        </w:rPr>
        <w:t>该项目的实施完成第七次人口普查相关工作，完成人普数据处理及成果应用率达</w:t>
      </w:r>
      <w:r>
        <w:rPr>
          <w:rFonts w:hint="eastAsia" w:ascii="仿宋_GB2312" w:hAnsi="宋体" w:eastAsia="仿宋_GB2312"/>
          <w:color w:val="auto"/>
          <w:sz w:val="30"/>
          <w:szCs w:val="30"/>
          <w:highlight w:val="none"/>
          <w:lang w:val="en-US" w:eastAsia="zh-CN"/>
        </w:rPr>
        <w:t>95%，对统计数据质量和人口普查数据应用率达95%，完成人口普查年鉴数据印制等成果发布及应用。</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87" w:name="_Toc6616"/>
      <w:r>
        <w:rPr>
          <w:rFonts w:hint="eastAsia" w:ascii="黑体" w:hAnsi="宋体" w:eastAsia="黑体"/>
          <w:b w:val="0"/>
          <w:bCs w:val="0"/>
          <w:color w:val="auto"/>
          <w:sz w:val="32"/>
          <w:szCs w:val="32"/>
          <w:highlight w:val="none"/>
          <w:u w:val="none"/>
        </w:rPr>
        <w:t>五、评价结论及建议</w:t>
      </w:r>
      <w:bookmarkEnd w:id="87"/>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shd w:val="clear"/>
        <w:adjustRightInd w:val="0"/>
        <w:snapToGrid w:val="0"/>
        <w:spacing w:line="600" w:lineRule="exact"/>
        <w:ind w:firstLine="720"/>
        <w:rPr>
          <w:rFonts w:hint="eastAsia" w:ascii="仿宋_GB2312" w:hAnsi="宋体" w:eastAsia="仿宋_GB2312"/>
          <w:color w:val="auto"/>
          <w:sz w:val="30"/>
          <w:szCs w:val="30"/>
          <w:highlight w:val="none"/>
          <w:lang w:val="zh-CN" w:eastAsia="zh-CN"/>
        </w:rPr>
      </w:pPr>
      <w:r>
        <w:rPr>
          <w:rFonts w:hint="eastAsia" w:ascii="仿宋_GB2312" w:hAnsi="宋体" w:eastAsia="仿宋_GB2312"/>
          <w:color w:val="auto"/>
          <w:sz w:val="30"/>
          <w:szCs w:val="30"/>
          <w:highlight w:val="none"/>
          <w:lang w:val="zh-CN" w:eastAsia="zh-CN"/>
        </w:rPr>
        <w:t>我局该项目预算执行到位，做到了财务公开、会计核算真实、规范，没有截留、挪用财政资金、擅自扩大或缩小资金使用范围、改变资金用途等现象，未在项目申报中弄虚作假，套取财政资金，保证了专项资金专款专用。对照《部门项目支出绩效评价指标体系》，我局</w:t>
      </w:r>
      <w:r>
        <w:rPr>
          <w:rFonts w:hint="eastAsia" w:ascii="仿宋_GB2312" w:hAnsi="宋体" w:eastAsia="仿宋_GB2312"/>
          <w:color w:val="auto"/>
          <w:sz w:val="30"/>
          <w:szCs w:val="30"/>
          <w:highlight w:val="none"/>
          <w:lang w:val="en-US" w:eastAsia="zh-CN"/>
        </w:rPr>
        <w:t>2022年第七次全国人口普查</w:t>
      </w:r>
      <w:r>
        <w:rPr>
          <w:rFonts w:hint="eastAsia" w:ascii="仿宋_GB2312" w:hAnsi="宋体" w:eastAsia="仿宋_GB2312"/>
          <w:color w:val="auto"/>
          <w:sz w:val="30"/>
          <w:szCs w:val="30"/>
          <w:highlight w:val="none"/>
          <w:lang w:val="zh-CN" w:eastAsia="zh-CN"/>
        </w:rPr>
        <w:t>绩效自评自评得分9</w:t>
      </w:r>
      <w:r>
        <w:rPr>
          <w:rFonts w:hint="eastAsia" w:ascii="仿宋_GB2312" w:hAnsi="宋体" w:eastAsia="仿宋_GB2312"/>
          <w:color w:val="auto"/>
          <w:sz w:val="30"/>
          <w:szCs w:val="30"/>
          <w:highlight w:val="none"/>
          <w:lang w:val="en-US" w:eastAsia="zh-CN"/>
        </w:rPr>
        <w:t>7</w:t>
      </w:r>
      <w:r>
        <w:rPr>
          <w:rFonts w:hint="eastAsia" w:ascii="仿宋_GB2312" w:hAnsi="宋体" w:eastAsia="仿宋_GB2312"/>
          <w:color w:val="auto"/>
          <w:sz w:val="30"/>
          <w:szCs w:val="30"/>
          <w:highlight w:val="none"/>
          <w:lang w:val="zh-CN" w:eastAsia="zh-CN"/>
        </w:rPr>
        <w:t>分。</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shd w:val="clear"/>
        <w:adjustRightInd w:val="0"/>
        <w:snapToGrid w:val="0"/>
        <w:spacing w:line="600" w:lineRule="exact"/>
        <w:ind w:firstLine="720"/>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zh-CN" w:eastAsia="zh-CN"/>
        </w:rPr>
        <w:t>结合自评情况，存在的问题一是预算执行进度有待加强。二是项目绩效规划上需加强科学性、时效性。</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shd w:val="clear"/>
        <w:adjustRightInd w:val="0"/>
        <w:snapToGrid w:val="0"/>
        <w:spacing w:line="600" w:lineRule="exact"/>
        <w:ind w:firstLine="720"/>
        <w:rPr>
          <w:rFonts w:hint="eastAsia" w:ascii="仿宋_GB2312" w:hAnsi="宋体" w:eastAsia="仿宋_GB2312"/>
          <w:color w:val="auto"/>
          <w:sz w:val="30"/>
          <w:szCs w:val="30"/>
          <w:highlight w:val="none"/>
          <w:lang w:val="zh-CN" w:eastAsia="zh-CN"/>
        </w:rPr>
      </w:pPr>
      <w:r>
        <w:rPr>
          <w:rFonts w:hint="eastAsia" w:ascii="仿宋_GB2312" w:hAnsi="宋体" w:eastAsia="仿宋_GB2312"/>
          <w:color w:val="auto"/>
          <w:sz w:val="30"/>
          <w:szCs w:val="30"/>
          <w:highlight w:val="none"/>
          <w:lang w:val="zh-CN" w:eastAsia="zh-CN"/>
        </w:rPr>
        <w:t>一是加</w:t>
      </w:r>
      <w:r>
        <w:rPr>
          <w:rFonts w:hint="eastAsia" w:ascii="仿宋_GB2312" w:hAnsi="宋体" w:eastAsia="仿宋_GB2312"/>
          <w:color w:val="auto"/>
          <w:sz w:val="30"/>
          <w:szCs w:val="30"/>
          <w:highlight w:val="none"/>
          <w:lang w:val="en-US" w:eastAsia="zh-CN"/>
        </w:rPr>
        <w:t>结合部门职能职责、中长期规划和年度工作计划，采取定量和定性相结合的方式，设置完整、合理、清晰、明确细化且具有可衡量性的绩效目标和指标。</w:t>
      </w:r>
      <w:r>
        <w:rPr>
          <w:rFonts w:hint="eastAsia" w:ascii="仿宋_GB2312" w:hAnsi="宋体" w:eastAsia="仿宋_GB2312"/>
          <w:color w:val="auto"/>
          <w:sz w:val="30"/>
          <w:szCs w:val="30"/>
          <w:highlight w:val="none"/>
          <w:lang w:val="zh-CN" w:eastAsia="zh-CN"/>
        </w:rPr>
        <w:t>二是加强人员培训，提高业务能力，以适应新形势下财政管理工作需要。三是完善相关财务制度，财务考核办法，建立长效管理机制。四是做好预算执行的监控工作，对执行进度较慢的项目应及时提醒，加快工作完成后的报账速度。</w:t>
      </w:r>
    </w:p>
    <w:tbl>
      <w:tblPr>
        <w:tblStyle w:val="16"/>
        <w:tblpPr w:leftFromText="180" w:rightFromText="180" w:vertAnchor="text" w:horzAnchor="page" w:tblpX="641" w:tblpY="-2085"/>
        <w:tblOverlap w:val="never"/>
        <w:tblW w:w="107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1169"/>
        <w:gridCol w:w="865"/>
        <w:gridCol w:w="1159"/>
        <w:gridCol w:w="466"/>
        <w:gridCol w:w="805"/>
        <w:gridCol w:w="387"/>
        <w:gridCol w:w="802"/>
        <w:gridCol w:w="378"/>
        <w:gridCol w:w="901"/>
        <w:gridCol w:w="859"/>
        <w:gridCol w:w="2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733"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项目名称</w:t>
            </w:r>
          </w:p>
        </w:tc>
        <w:tc>
          <w:tcPr>
            <w:tcW w:w="8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第七次全国人口普查2022年度经费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主管部门（盖章）</w:t>
            </w:r>
          </w:p>
        </w:tc>
        <w:tc>
          <w:tcPr>
            <w:tcW w:w="3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实施单位 （盖章）</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项目基本情况</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1.项目年度目标完成情况</w:t>
            </w:r>
          </w:p>
        </w:tc>
        <w:tc>
          <w:tcPr>
            <w:tcW w:w="3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项目年度目标</w:t>
            </w:r>
          </w:p>
        </w:tc>
        <w:tc>
          <w:tcPr>
            <w:tcW w:w="5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36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2022年七人普工作进入普查成果应用及资料开发阶段，需要开展人口普查成果应用，人口普查数据处理技术总结。人口普查部分数据和分析等相关培训及年鉴等资料印制。</w:t>
            </w:r>
          </w:p>
        </w:tc>
        <w:tc>
          <w:tcPr>
            <w:tcW w:w="50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2022年七人普工作进入普查成果应用及资料开发阶段，需要开展人口普查成果应用，人口普查数据处理技术总结。人口普查部分数据和分析等相关培训及年鉴等资料印制。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2.项目实施内容及过程概述</w:t>
            </w:r>
          </w:p>
        </w:tc>
        <w:tc>
          <w:tcPr>
            <w:tcW w:w="8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第七次全国人口普查成果应用及资料开发阶段，需要开展人口普查成果应用、人口普查数据处理技术总结、人口普查部门数据与普查结果分析等相关培训、数据核查以及人口普查年鉴等普查资料印制。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预算执行情况（10分）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年度预算数（万元）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年初预算</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预算执行数</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预算执行率</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总额</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其中：财政资金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财政专户管理资金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其他资金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绩效指标（90分）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一级指标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二级指标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三级指标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指标性质</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指标值</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度量单位</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完成值</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86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普查总结表彰会</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场次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人口普查数据处理技术培训  </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一次，26</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一次，26</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人口普查宣传画册</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本</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人口普查成果应用培训</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人口普查工作文件汇编</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套册</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人口普查年鉴印制</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开展人口普查成果应用，人口普查数据处理技术</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良好</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良好</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2022年完成时间</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月</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完成2022年度工作</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万元</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完成人普数据处理及成果应用率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对统计数据质量和人口普查数据应用率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69"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党委、政府对人口普查数据利用率及用于决策率</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合计</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仿宋" w:hAnsi="仿宋" w:eastAsia="仿宋" w:cs="仿宋"/>
                <w:i w:val="0"/>
                <w:iCs w:val="0"/>
                <w:color w:val="auto"/>
                <w:sz w:val="22"/>
                <w:szCs w:val="22"/>
                <w:highlight w:val="none"/>
                <w:u w:val="none"/>
              </w:rPr>
            </w:pPr>
            <w:r>
              <w:rPr>
                <w:rFonts w:hint="default" w:ascii="仿宋" w:hAnsi="仿宋" w:eastAsia="仿宋" w:cs="仿宋"/>
                <w:i w:val="0"/>
                <w:iCs w:val="0"/>
                <w:color w:val="auto"/>
                <w:sz w:val="22"/>
                <w:szCs w:val="22"/>
                <w:highlight w:val="none"/>
                <w:u w:val="none"/>
              </w:rPr>
              <w:t>97</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部门（单位）自评结论</w:t>
            </w:r>
          </w:p>
        </w:tc>
        <w:tc>
          <w:tcPr>
            <w:tcW w:w="9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第七次全国人口普查成果应用及资料开发阶段，需要开展人口普查成果应用、人口普查数据处理技术总结、人口普查部门数据与普查结果分析等相关培训、数据核查以及人口普查年鉴等普查资料印制。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部门（单位）自评存在问题</w:t>
            </w:r>
          </w:p>
        </w:tc>
        <w:tc>
          <w:tcPr>
            <w:tcW w:w="9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部门（单位）自评改进措施</w:t>
            </w:r>
          </w:p>
        </w:tc>
        <w:tc>
          <w:tcPr>
            <w:tcW w:w="9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财政部门对口科室复评结论及整改要求</w:t>
            </w:r>
          </w:p>
        </w:tc>
        <w:tc>
          <w:tcPr>
            <w:tcW w:w="99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44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单位项目负责人：范安琼</w:t>
            </w:r>
          </w:p>
        </w:tc>
        <w:tc>
          <w:tcPr>
            <w:tcW w:w="62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4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62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07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bl>
    <w:p>
      <w:pPr>
        <w:keepNext w:val="0"/>
        <w:keepLines w:val="0"/>
        <w:pageBreakBefore w:val="0"/>
        <w:widowControl w:val="0"/>
        <w:shd w:val="clear"/>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8"/>
        <w:shd w:val="clea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2-2</w:t>
      </w:r>
    </w:p>
    <w:p>
      <w:pPr>
        <w:keepNext w:val="0"/>
        <w:keepLines w:val="0"/>
        <w:pageBreakBefore w:val="0"/>
        <w:widowControl w:val="0"/>
        <w:shd w:val="clear"/>
        <w:kinsoku/>
        <w:wordWrap/>
        <w:overflowPunct/>
        <w:topLinePunct w:val="0"/>
        <w:autoSpaceDE/>
        <w:autoSpaceDN/>
        <w:bidi w:val="0"/>
        <w:spacing w:line="576" w:lineRule="exact"/>
        <w:ind w:firstLine="3960" w:firstLineChars="900"/>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广元市统计局</w:t>
      </w:r>
    </w:p>
    <w:p>
      <w:pPr>
        <w:keepNext w:val="0"/>
        <w:keepLines w:val="0"/>
        <w:pageBreakBefore w:val="0"/>
        <w:widowControl w:val="0"/>
        <w:shd w:val="clear"/>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b w:val="0"/>
          <w:bCs w:val="0"/>
          <w:color w:val="auto"/>
          <w:kern w:val="2"/>
          <w:sz w:val="44"/>
          <w:szCs w:val="44"/>
          <w:highlight w:val="none"/>
          <w:lang w:val="en-US" w:eastAsia="zh-CN"/>
        </w:rPr>
        <w:t>2022年</w:t>
      </w:r>
      <w:r>
        <w:rPr>
          <w:rFonts w:hint="eastAsia" w:ascii="方正小标宋简体" w:hAnsi="方正小标宋简体" w:eastAsia="方正小标宋简体" w:cs="方正小标宋简体"/>
          <w:color w:val="auto"/>
          <w:sz w:val="44"/>
          <w:szCs w:val="44"/>
          <w:highlight w:val="none"/>
          <w:lang w:val="en-US" w:eastAsia="zh-CN"/>
        </w:rPr>
        <w:t>国家统计局延伸督查迎检</w:t>
      </w:r>
    </w:p>
    <w:p>
      <w:pPr>
        <w:pStyle w:val="35"/>
        <w:keepNext w:val="0"/>
        <w:keepLines w:val="0"/>
        <w:pageBreakBefore w:val="0"/>
        <w:widowControl w:val="0"/>
        <w:shd w:val="clear"/>
        <w:kinsoku/>
        <w:wordWrap/>
        <w:overflowPunct/>
        <w:topLinePunct w:val="0"/>
        <w:autoSpaceDE/>
        <w:autoSpaceDN/>
        <w:bidi w:val="0"/>
        <w:adjustRightInd/>
        <w:snapToGrid/>
        <w:spacing w:line="576" w:lineRule="exact"/>
        <w:ind w:firstLine="0"/>
        <w:jc w:val="center"/>
        <w:textAlignment w:val="auto"/>
        <w:outlineLvl w:val="1"/>
        <w:rPr>
          <w:rFonts w:hint="eastAsia" w:ascii="方正小标宋简体" w:hAnsi="方正小标宋简体" w:eastAsia="方正小标宋简体" w:cs="方正小标宋简体"/>
          <w:b w:val="0"/>
          <w:bCs w:val="0"/>
          <w:color w:val="auto"/>
          <w:kern w:val="2"/>
          <w:sz w:val="44"/>
          <w:szCs w:val="44"/>
          <w:highlight w:val="none"/>
          <w:lang w:eastAsia="zh-CN"/>
        </w:rPr>
      </w:pPr>
      <w:bookmarkStart w:id="88" w:name="_Toc12004"/>
      <w:r>
        <w:rPr>
          <w:rFonts w:hint="eastAsia" w:ascii="方正小标宋简体" w:hAnsi="方正小标宋简体" w:eastAsia="方正小标宋简体" w:cs="方正小标宋简体"/>
          <w:color w:val="auto"/>
          <w:sz w:val="44"/>
          <w:szCs w:val="44"/>
          <w:highlight w:val="none"/>
          <w:lang w:val="en-US" w:eastAsia="zh-CN"/>
        </w:rPr>
        <w:t>工作经费</w:t>
      </w:r>
      <w:r>
        <w:rPr>
          <w:rFonts w:hint="eastAsia" w:ascii="方正小标宋简体" w:hAnsi="方正小标宋简体" w:eastAsia="方正小标宋简体" w:cs="方正小标宋简体"/>
          <w:b w:val="0"/>
          <w:bCs w:val="0"/>
          <w:color w:val="auto"/>
          <w:kern w:val="2"/>
          <w:sz w:val="44"/>
          <w:szCs w:val="44"/>
          <w:highlight w:val="none"/>
          <w:lang w:eastAsia="zh-CN"/>
        </w:rPr>
        <w:t>绩效自评报告</w:t>
      </w:r>
      <w:bookmarkEnd w:id="88"/>
      <w:r>
        <w:rPr>
          <w:rFonts w:hint="eastAsia" w:ascii="方正小标宋简体" w:hAnsi="方正小标宋简体" w:eastAsia="方正小标宋简体" w:cs="方正小标宋简体"/>
          <w:b w:val="0"/>
          <w:bCs w:val="0"/>
          <w:color w:val="auto"/>
          <w:kern w:val="2"/>
          <w:sz w:val="44"/>
          <w:szCs w:val="44"/>
          <w:highlight w:val="none"/>
          <w:lang w:val="en-US" w:eastAsia="zh-CN"/>
        </w:rPr>
        <w:t xml:space="preserve"> </w:t>
      </w:r>
    </w:p>
    <w:p>
      <w:pPr>
        <w:pStyle w:val="35"/>
        <w:keepNext w:val="0"/>
        <w:keepLines w:val="0"/>
        <w:pageBreakBefore w:val="0"/>
        <w:widowControl w:val="0"/>
        <w:shd w:val="clear"/>
        <w:kinsoku/>
        <w:wordWrap/>
        <w:overflowPunct/>
        <w:topLinePunct w:val="0"/>
        <w:autoSpaceDE/>
        <w:autoSpaceDN/>
        <w:bidi w:val="0"/>
        <w:spacing w:line="578"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hint="eastAsia" w:ascii="黑体" w:hAnsi="宋体" w:eastAsia="黑体"/>
          <w:b w:val="0"/>
          <w:bCs w:val="0"/>
          <w:color w:val="auto"/>
          <w:sz w:val="32"/>
          <w:szCs w:val="32"/>
          <w:highlight w:val="none"/>
          <w:lang w:val="zh-CN"/>
        </w:rPr>
      </w:pPr>
      <w:bookmarkStart w:id="89" w:name="_Toc10291"/>
      <w:r>
        <w:rPr>
          <w:rFonts w:hint="eastAsia" w:ascii="黑体" w:hAnsi="宋体" w:eastAsia="黑体"/>
          <w:b w:val="0"/>
          <w:bCs w:val="0"/>
          <w:color w:val="auto"/>
          <w:sz w:val="32"/>
          <w:szCs w:val="32"/>
          <w:highlight w:val="none"/>
        </w:rPr>
        <w:t>一、</w:t>
      </w:r>
      <w:r>
        <w:rPr>
          <w:rFonts w:hint="eastAsia" w:ascii="黑体" w:hAnsi="宋体" w:eastAsia="黑体"/>
          <w:b w:val="0"/>
          <w:bCs w:val="0"/>
          <w:color w:val="auto"/>
          <w:sz w:val="32"/>
          <w:szCs w:val="32"/>
          <w:highlight w:val="none"/>
          <w:lang w:val="zh-CN"/>
        </w:rPr>
        <w:t>项目概况</w:t>
      </w:r>
      <w:bookmarkEnd w:id="89"/>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（一）项目基本情况。</w:t>
      </w:r>
    </w:p>
    <w:p>
      <w:pPr>
        <w:keepNext w:val="0"/>
        <w:keepLines w:val="0"/>
        <w:pageBreakBefore w:val="0"/>
        <w:widowControl w:val="0"/>
        <w:shd w:val="clear"/>
        <w:kinsoku/>
        <w:wordWrap/>
        <w:autoSpaceDE/>
        <w:autoSpaceDN/>
        <w:bidi w:val="0"/>
        <w:spacing w:line="576" w:lineRule="exact"/>
        <w:ind w:firstLine="643" w:firstLineChars="200"/>
        <w:textAlignment w:val="auto"/>
        <w:rPr>
          <w:rFonts w:hint="eastAsia" w:ascii="仿宋" w:eastAsia="仿宋" w:cs="仿宋"/>
          <w:b w:val="0"/>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1．说明项目主管部门（单位）在该项目管理中的职能。</w:t>
      </w:r>
      <w:r>
        <w:rPr>
          <w:rFonts w:hint="eastAsia" w:ascii="仿宋" w:eastAsia="仿宋" w:cs="仿宋"/>
          <w:b w:val="0"/>
          <w:color w:val="auto"/>
          <w:sz w:val="32"/>
          <w:szCs w:val="32"/>
          <w:highlight w:val="none"/>
        </w:rPr>
        <w:t>为做好国家统计督察“回头看”服务保障工作，全面客观反映我</w:t>
      </w:r>
      <w:r>
        <w:rPr>
          <w:rFonts w:hint="eastAsia" w:ascii="仿宋" w:eastAsia="仿宋" w:cs="仿宋"/>
          <w:b w:val="0"/>
          <w:color w:val="auto"/>
          <w:sz w:val="32"/>
          <w:szCs w:val="32"/>
          <w:highlight w:val="none"/>
          <w:lang w:eastAsia="zh-CN"/>
        </w:rPr>
        <w:t>市</w:t>
      </w:r>
      <w:r>
        <w:rPr>
          <w:rFonts w:hint="eastAsia" w:ascii="仿宋" w:eastAsia="仿宋" w:cs="仿宋"/>
          <w:b w:val="0"/>
          <w:color w:val="auto"/>
          <w:sz w:val="32"/>
          <w:szCs w:val="32"/>
          <w:highlight w:val="none"/>
        </w:rPr>
        <w:t>统计工作情况，确保督察“回头看”顺利有序进行</w:t>
      </w:r>
      <w:r>
        <w:rPr>
          <w:rFonts w:hint="eastAsia" w:ascii="仿宋" w:eastAsia="仿宋" w:cs="仿宋"/>
          <w:b w:val="0"/>
          <w:color w:val="auto"/>
          <w:sz w:val="32"/>
          <w:szCs w:val="32"/>
          <w:highlight w:val="none"/>
          <w:lang w:eastAsia="zh-CN"/>
        </w:rPr>
        <w:t>，</w:t>
      </w:r>
      <w:r>
        <w:rPr>
          <w:rFonts w:hint="eastAsia" w:ascii="仿宋" w:eastAsia="仿宋" w:cs="仿宋"/>
          <w:b w:val="0"/>
          <w:color w:val="auto"/>
          <w:sz w:val="32"/>
          <w:szCs w:val="32"/>
          <w:highlight w:val="none"/>
        </w:rPr>
        <w:t>成立</w:t>
      </w:r>
      <w:r>
        <w:rPr>
          <w:rFonts w:hint="eastAsia" w:ascii="仿宋" w:eastAsia="仿宋" w:cs="仿宋"/>
          <w:b w:val="0"/>
          <w:color w:val="auto"/>
          <w:sz w:val="32"/>
          <w:szCs w:val="32"/>
          <w:highlight w:val="none"/>
          <w:lang w:eastAsia="zh-CN"/>
        </w:rPr>
        <w:t>市</w:t>
      </w:r>
      <w:r>
        <w:rPr>
          <w:rFonts w:hint="eastAsia" w:ascii="仿宋" w:eastAsia="仿宋" w:cs="仿宋"/>
          <w:b w:val="0"/>
          <w:color w:val="auto"/>
          <w:sz w:val="32"/>
          <w:szCs w:val="32"/>
          <w:highlight w:val="none"/>
        </w:rPr>
        <w:t>统计局服务保障“回头看”工作领导小组</w:t>
      </w:r>
      <w:r>
        <w:rPr>
          <w:rFonts w:hint="eastAsia" w:ascii="仿宋" w:eastAsia="仿宋" w:cs="仿宋"/>
          <w:b w:val="0"/>
          <w:color w:val="auto"/>
          <w:sz w:val="32"/>
          <w:szCs w:val="32"/>
          <w:highlight w:val="none"/>
          <w:lang w:eastAsia="zh-CN"/>
        </w:rPr>
        <w:t>，</w:t>
      </w:r>
      <w:r>
        <w:rPr>
          <w:rFonts w:hint="eastAsia" w:ascii="仿宋" w:eastAsia="仿宋" w:cs="仿宋"/>
          <w:b w:val="0"/>
          <w:color w:val="auto"/>
          <w:sz w:val="32"/>
          <w:szCs w:val="32"/>
          <w:highlight w:val="none"/>
        </w:rPr>
        <w:t>全面负责迎检工作的组织领导和统筹协调，对接</w:t>
      </w:r>
      <w:r>
        <w:rPr>
          <w:rFonts w:hint="eastAsia" w:ascii="仿宋" w:eastAsia="仿宋" w:cs="仿宋"/>
          <w:b w:val="0"/>
          <w:color w:val="auto"/>
          <w:sz w:val="32"/>
          <w:szCs w:val="32"/>
          <w:highlight w:val="none"/>
          <w:lang w:eastAsia="zh-CN"/>
        </w:rPr>
        <w:t>市</w:t>
      </w:r>
      <w:r>
        <w:rPr>
          <w:rFonts w:hint="eastAsia" w:ascii="仿宋" w:eastAsia="仿宋" w:cs="仿宋"/>
          <w:b w:val="0"/>
          <w:color w:val="auto"/>
          <w:sz w:val="32"/>
          <w:szCs w:val="32"/>
          <w:highlight w:val="none"/>
        </w:rPr>
        <w:t>委、</w:t>
      </w:r>
      <w:r>
        <w:rPr>
          <w:rFonts w:hint="eastAsia" w:ascii="仿宋" w:eastAsia="仿宋" w:cs="仿宋"/>
          <w:b w:val="0"/>
          <w:color w:val="auto"/>
          <w:sz w:val="32"/>
          <w:szCs w:val="32"/>
          <w:highlight w:val="none"/>
          <w:lang w:eastAsia="zh-CN"/>
        </w:rPr>
        <w:t>市</w:t>
      </w:r>
      <w:r>
        <w:rPr>
          <w:rFonts w:hint="eastAsia" w:ascii="仿宋" w:eastAsia="仿宋" w:cs="仿宋"/>
          <w:b w:val="0"/>
          <w:color w:val="auto"/>
          <w:sz w:val="32"/>
          <w:szCs w:val="32"/>
          <w:highlight w:val="none"/>
        </w:rPr>
        <w:t>政府有关事宜，督促</w:t>
      </w:r>
      <w:r>
        <w:rPr>
          <w:rFonts w:hint="eastAsia" w:ascii="仿宋" w:eastAsia="仿宋" w:cs="仿宋"/>
          <w:b w:val="0"/>
          <w:color w:val="auto"/>
          <w:sz w:val="32"/>
          <w:szCs w:val="32"/>
          <w:highlight w:val="none"/>
          <w:lang w:eastAsia="zh-CN"/>
        </w:rPr>
        <w:t>市</w:t>
      </w:r>
      <w:r>
        <w:rPr>
          <w:rFonts w:hint="eastAsia" w:ascii="仿宋" w:eastAsia="仿宋" w:cs="仿宋"/>
          <w:b w:val="0"/>
          <w:color w:val="auto"/>
          <w:sz w:val="32"/>
          <w:szCs w:val="32"/>
          <w:highlight w:val="none"/>
        </w:rPr>
        <w:t>直有关部门和各</w:t>
      </w:r>
      <w:r>
        <w:rPr>
          <w:rFonts w:hint="eastAsia" w:ascii="仿宋" w:eastAsia="仿宋" w:cs="仿宋"/>
          <w:b w:val="0"/>
          <w:color w:val="auto"/>
          <w:sz w:val="32"/>
          <w:szCs w:val="32"/>
          <w:highlight w:val="none"/>
          <w:lang w:eastAsia="zh-CN"/>
        </w:rPr>
        <w:t>县区</w:t>
      </w:r>
      <w:r>
        <w:rPr>
          <w:rFonts w:hint="eastAsia" w:ascii="仿宋" w:eastAsia="仿宋" w:cs="仿宋"/>
          <w:b w:val="0"/>
          <w:color w:val="auto"/>
          <w:sz w:val="32"/>
          <w:szCs w:val="32"/>
          <w:highlight w:val="none"/>
        </w:rPr>
        <w:t>党委、政府配合国家统计局在</w:t>
      </w:r>
      <w:r>
        <w:rPr>
          <w:rFonts w:hint="eastAsia" w:ascii="仿宋" w:eastAsia="仿宋" w:cs="仿宋"/>
          <w:b w:val="0"/>
          <w:color w:val="auto"/>
          <w:sz w:val="32"/>
          <w:szCs w:val="32"/>
          <w:highlight w:val="none"/>
          <w:lang w:eastAsia="zh-CN"/>
        </w:rPr>
        <w:t>广</w:t>
      </w:r>
      <w:r>
        <w:rPr>
          <w:rFonts w:hint="eastAsia" w:ascii="仿宋" w:eastAsia="仿宋" w:cs="仿宋"/>
          <w:b w:val="0"/>
          <w:color w:val="auto"/>
          <w:sz w:val="32"/>
          <w:szCs w:val="32"/>
          <w:highlight w:val="none"/>
        </w:rPr>
        <w:t>开展督察“回头看”工作。</w:t>
      </w:r>
    </w:p>
    <w:p>
      <w:pPr>
        <w:keepNext w:val="0"/>
        <w:keepLines w:val="0"/>
        <w:pageBreakBefore w:val="0"/>
        <w:widowControl w:val="0"/>
        <w:shd w:val="clear"/>
        <w:kinsoku/>
        <w:wordWrap/>
        <w:autoSpaceDE/>
        <w:autoSpaceDN/>
        <w:bidi w:val="0"/>
        <w:spacing w:line="576" w:lineRule="exact"/>
        <w:ind w:firstLine="645"/>
        <w:textAlignment w:val="auto"/>
        <w:rPr>
          <w:rFonts w:hint="eastAsia" w:ascii="仿宋" w:eastAsia="仿宋" w:cs="仿宋"/>
          <w:color w:val="auto"/>
          <w:sz w:val="32"/>
          <w:szCs w:val="32"/>
          <w:highlight w:val="none"/>
        </w:rPr>
      </w:pPr>
      <w:r>
        <w:rPr>
          <w:rFonts w:hint="eastAsia" w:ascii="仿宋_GB2312" w:hAnsi="仿宋_GB2312" w:eastAsia="仿宋_GB2312" w:cs="仿宋_GB2312"/>
          <w:b/>
          <w:bCs/>
          <w:color w:val="auto"/>
          <w:kern w:val="0"/>
          <w:sz w:val="32"/>
          <w:szCs w:val="32"/>
          <w:highlight w:val="none"/>
          <w:u w:val="none"/>
          <w:shd w:val="clear" w:color="auto" w:fill="FFFFFF"/>
          <w:lang w:val="zh-CN"/>
        </w:rPr>
        <w:t>2．项目立项、资金申报的依据，</w:t>
      </w:r>
      <w:r>
        <w:rPr>
          <w:rFonts w:hint="eastAsia" w:ascii="仿宋" w:eastAsia="仿宋" w:cs="仿宋"/>
          <w:color w:val="auto"/>
          <w:sz w:val="32"/>
          <w:szCs w:val="32"/>
          <w:highlight w:val="none"/>
        </w:rPr>
        <w:t>“回头看”是对统计督察整改工作的一次全面验收，也是对统计工作的又一次全面检视。要切实提高政治站位，充分认识督察“回头看”对</w:t>
      </w:r>
      <w:r>
        <w:rPr>
          <w:rFonts w:hint="eastAsia" w:ascii="仿宋" w:eastAsia="仿宋" w:cs="仿宋"/>
          <w:color w:val="auto"/>
          <w:sz w:val="32"/>
          <w:szCs w:val="32"/>
          <w:highlight w:val="none"/>
          <w:lang w:eastAsia="zh-CN"/>
        </w:rPr>
        <w:t>广元</w:t>
      </w:r>
      <w:r>
        <w:rPr>
          <w:rFonts w:hint="eastAsia" w:ascii="仿宋" w:eastAsia="仿宋" w:cs="仿宋"/>
          <w:color w:val="auto"/>
          <w:sz w:val="32"/>
          <w:szCs w:val="32"/>
          <w:highlight w:val="none"/>
        </w:rPr>
        <w:t>统计工作的重要意义，把服务保障统计督察“回头看”作为当前重点工作，精心组织、周密安排、定人定责、抓紧抓细，以强烈的责任感和紧迫感高质高效完成各项工作，确保督察“回头看”顺利进行。</w:t>
      </w:r>
    </w:p>
    <w:p>
      <w:pPr>
        <w:keepNext w:val="0"/>
        <w:keepLines w:val="0"/>
        <w:pageBreakBefore w:val="0"/>
        <w:widowControl w:val="0"/>
        <w:shd w:val="clear"/>
        <w:kinsoku/>
        <w:wordWrap/>
        <w:autoSpaceDE/>
        <w:autoSpaceDN/>
        <w:bidi w:val="0"/>
        <w:spacing w:line="576" w:lineRule="exact"/>
        <w:ind w:firstLine="643" w:firstLineChars="200"/>
        <w:textAlignment w:val="auto"/>
        <w:rPr>
          <w:rFonts w:hint="eastAsia" w:ascii="仿宋" w:eastAsia="仿宋" w:cs="仿宋"/>
          <w:color w:val="auto"/>
          <w:sz w:val="32"/>
          <w:szCs w:val="32"/>
          <w:highlight w:val="none"/>
        </w:rPr>
      </w:pPr>
      <w:r>
        <w:rPr>
          <w:rFonts w:hint="eastAsia" w:ascii="仿宋_GB2312" w:hAnsi="仿宋_GB2312" w:eastAsia="仿宋_GB2312" w:cs="仿宋_GB2312"/>
          <w:b/>
          <w:bCs/>
          <w:color w:val="auto"/>
          <w:kern w:val="0"/>
          <w:sz w:val="32"/>
          <w:szCs w:val="32"/>
          <w:highlight w:val="none"/>
          <w:u w:val="none"/>
          <w:shd w:val="clear" w:color="auto" w:fill="FFFFFF"/>
          <w:lang w:val="zh-CN"/>
        </w:rPr>
        <w:t>3．资金</w:t>
      </w:r>
      <w:r>
        <w:rPr>
          <w:rFonts w:hint="eastAsia" w:ascii="仿宋_GB2312" w:hAnsi="仿宋_GB2312" w:eastAsia="仿宋_GB2312" w:cs="仿宋_GB2312"/>
          <w:b/>
          <w:bCs/>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b/>
          <w:bCs/>
          <w:color w:val="auto"/>
          <w:kern w:val="0"/>
          <w:sz w:val="32"/>
          <w:szCs w:val="32"/>
          <w:highlight w:val="none"/>
          <w:u w:val="none"/>
          <w:shd w:val="clear" w:color="auto" w:fill="FFFFFF"/>
          <w:lang w:val="zh-CN"/>
        </w:rPr>
        <w:t>管理办法制定情况</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 w:eastAsia="仿宋" w:cs="仿宋"/>
          <w:color w:val="auto"/>
          <w:sz w:val="32"/>
          <w:szCs w:val="32"/>
          <w:highlight w:val="none"/>
          <w:lang w:val="zh-CN" w:eastAsia="zh-CN"/>
        </w:rPr>
        <w:t>按市统计局财务管理制度和预算管理制度、专项补助资金管理实施办法进行管理</w:t>
      </w:r>
      <w:r>
        <w:rPr>
          <w:rFonts w:hint="eastAsia" w:ascii="仿宋" w:eastAsia="仿宋" w:cs="仿宋"/>
          <w:color w:val="auto"/>
          <w:sz w:val="32"/>
          <w:szCs w:val="32"/>
          <w:highlight w:val="none"/>
          <w:lang w:val="zh-CN"/>
        </w:rPr>
        <w:t>，</w:t>
      </w:r>
      <w:r>
        <w:rPr>
          <w:rFonts w:hint="eastAsia" w:ascii="仿宋" w:eastAsia="仿宋" w:cs="仿宋"/>
          <w:color w:val="auto"/>
          <w:sz w:val="32"/>
          <w:szCs w:val="32"/>
          <w:highlight w:val="none"/>
          <w:lang w:eastAsia="zh-CN"/>
        </w:rPr>
        <w:t>我局</w:t>
      </w:r>
      <w:r>
        <w:rPr>
          <w:rFonts w:hint="eastAsia" w:ascii="仿宋" w:eastAsia="仿宋" w:cs="仿宋"/>
          <w:color w:val="auto"/>
          <w:sz w:val="32"/>
          <w:szCs w:val="32"/>
          <w:highlight w:val="none"/>
        </w:rPr>
        <w:t>预算执行到位，做到了财务公开、会计核算真实、规范，没有截留、挪用财政资金、擅自扩大或缩小资金使用范围、改变资金用途等现象，未在项目申报中弄虚作假，套取财政资金，保证了专项资金专款专用。</w:t>
      </w:r>
    </w:p>
    <w:p>
      <w:pPr>
        <w:keepNext w:val="0"/>
        <w:keepLines w:val="0"/>
        <w:pageBreakBefore w:val="0"/>
        <w:widowControl w:val="0"/>
        <w:shd w:val="clear"/>
        <w:kinsoku/>
        <w:wordWrap/>
        <w:autoSpaceDE/>
        <w:autoSpaceDN/>
        <w:bidi w:val="0"/>
        <w:spacing w:line="576" w:lineRule="exact"/>
        <w:ind w:firstLine="645"/>
        <w:textAlignment w:val="auto"/>
        <w:rPr>
          <w:rFonts w:hint="eastAsia" w:ascii="仿宋" w:eastAsia="仿宋" w:cs="仿宋"/>
          <w:color w:val="auto"/>
          <w:sz w:val="32"/>
          <w:szCs w:val="32"/>
          <w:highlight w:val="none"/>
          <w:lang w:val="zh-CN"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rPr>
        <w:t>4．资金分配的原则及考虑因素。</w:t>
      </w:r>
      <w:r>
        <w:rPr>
          <w:rFonts w:hint="eastAsia" w:ascii="仿宋" w:eastAsia="仿宋" w:cs="仿宋"/>
          <w:color w:val="auto"/>
          <w:sz w:val="32"/>
          <w:szCs w:val="32"/>
          <w:highlight w:val="none"/>
          <w:lang w:val="zh-CN" w:eastAsia="zh-CN"/>
        </w:rPr>
        <w:t>按照督察“回头看”有关工作要求，严格遵守保密规定和疫情防控要求，周到、细致、热情做好服务保障工作，自觉接受驻发改委纪检监察组监督指导。资金分配原则按照全市迎检工作专班工作安排，有效申报各项督查保障工作经局党组会讨论研究开支</w:t>
      </w:r>
      <w:r>
        <w:rPr>
          <w:rFonts w:hint="eastAsia" w:ascii="仿宋" w:eastAsia="仿宋" w:cs="仿宋"/>
          <w:color w:val="auto"/>
          <w:sz w:val="32"/>
          <w:szCs w:val="32"/>
          <w:highlight w:val="none"/>
          <w:lang w:val="en-US" w:eastAsia="zh-CN"/>
        </w:rPr>
        <w:t xml:space="preserve">。 </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（二）项目绩效目标。</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w:t>
      </w:r>
      <w:r>
        <w:rPr>
          <w:rFonts w:hint="eastAsia" w:ascii="仿宋" w:eastAsia="仿宋" w:cs="仿宋"/>
          <w:color w:val="auto"/>
          <w:sz w:val="32"/>
          <w:szCs w:val="32"/>
          <w:highlight w:val="none"/>
          <w:lang w:val="zh-CN" w:eastAsia="zh-CN"/>
        </w:rPr>
        <w:t>项目主要内容。统计督察“回头看”是一项事关全市、全局的系统性工作，头绪多、时间紧、任务重，既要落实好牵头责任，又要做好协作配合。督察期间，市上成立迎检工作专班，实行牵头领导分组负责制，全面组织领导和统筹协调。相关部门抽调专人常驻凤台宾馆定点办公。我局全员参与，分别设立综合协调、文件资料、综合文稿、宣传信访、后勤保障、延伸协调6个工作组，周到、细致、热情地做好了服务工作，高效保障了各项工作有序推进。</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2．</w:t>
      </w:r>
      <w:r>
        <w:rPr>
          <w:rFonts w:hint="eastAsia" w:ascii="仿宋" w:eastAsia="仿宋" w:cs="仿宋"/>
          <w:color w:val="auto"/>
          <w:sz w:val="32"/>
          <w:szCs w:val="32"/>
          <w:highlight w:val="none"/>
          <w:lang w:val="zh-CN" w:eastAsia="zh-CN"/>
        </w:rPr>
        <w:t>项目应实现的具体绩效目标，</w:t>
      </w:r>
      <w:r>
        <w:rPr>
          <w:rFonts w:hint="eastAsia" w:ascii="仿宋" w:eastAsia="仿宋" w:cs="仿宋"/>
          <w:color w:val="auto"/>
          <w:sz w:val="32"/>
          <w:szCs w:val="32"/>
          <w:highlight w:val="none"/>
          <w:lang w:val="en-US" w:eastAsia="zh-CN"/>
        </w:rPr>
        <w:t>包括：</w:t>
      </w:r>
      <w:r>
        <w:rPr>
          <w:rFonts w:hint="eastAsia" w:ascii="仿宋" w:eastAsia="仿宋" w:cs="仿宋"/>
          <w:color w:val="auto"/>
          <w:sz w:val="32"/>
          <w:szCs w:val="32"/>
          <w:highlight w:val="none"/>
          <w:lang w:val="zh-CN" w:eastAsia="zh-CN"/>
        </w:rPr>
        <w:t>包括项目的数量指标、质量指标、实效指标、成本指标等几个部分组成，三级指标共细化为</w:t>
      </w:r>
      <w:r>
        <w:rPr>
          <w:rFonts w:hint="eastAsia" w:ascii="仿宋" w:eastAsia="仿宋" w:cs="仿宋"/>
          <w:color w:val="auto"/>
          <w:sz w:val="32"/>
          <w:szCs w:val="32"/>
          <w:highlight w:val="none"/>
          <w:lang w:val="en-US" w:eastAsia="zh-CN"/>
        </w:rPr>
        <w:t>15项，</w:t>
      </w:r>
      <w:r>
        <w:rPr>
          <w:rFonts w:hint="eastAsia" w:ascii="仿宋" w:eastAsia="仿宋" w:cs="仿宋"/>
          <w:color w:val="auto"/>
          <w:sz w:val="32"/>
          <w:szCs w:val="32"/>
          <w:highlight w:val="none"/>
          <w:lang w:val="zh-CN" w:eastAsia="zh-CN"/>
        </w:rPr>
        <w:t>设计都进行了量化和细化，情况以及项目实施进度计划等。</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3．本项目绩效目标申报内容与实际相符，申报目标设置为七个二级指标，十五个三级指标，相对合理可行。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（三）项目自评步骤及方法。</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en-US" w:eastAsia="zh-CN"/>
        </w:rPr>
        <w:t>为期半个月的统计</w:t>
      </w:r>
      <w:r>
        <w:rPr>
          <w:rFonts w:hint="eastAsia" w:ascii="仿宋" w:eastAsia="仿宋" w:cs="仿宋"/>
          <w:color w:val="auto"/>
          <w:sz w:val="32"/>
          <w:szCs w:val="32"/>
          <w:highlight w:val="none"/>
          <w:lang w:val="zh-CN" w:eastAsia="zh-CN"/>
        </w:rPr>
        <w:t>延伸督查工作为我单位牵头迎检职能范围内业务工作，督察期间，市上成立迎检工作专班，实行牵头领导分组负责制，全面组织领导和统筹协调，并且是今年的一项临时性专项督查，年初无预算。是按照督查期间工作专班工作安排计划申报项目绩效，对项目的指标体系进行完善后上报，在项目实施中按照业务科室具体经办、财务部门审核支付的流程，最终按照项目实施进度进行事中监督，并在项目开展结束开展项目成果自评。</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90" w:name="_Toc20636"/>
      <w:r>
        <w:rPr>
          <w:rFonts w:hint="eastAsia" w:ascii="黑体" w:hAnsi="宋体" w:eastAsia="黑体"/>
          <w:b w:val="0"/>
          <w:bCs w:val="0"/>
          <w:color w:val="auto"/>
          <w:sz w:val="32"/>
          <w:szCs w:val="32"/>
          <w:highlight w:val="none"/>
          <w:u w:val="none"/>
        </w:rPr>
        <w:t>二、项目资金申报及使用情况</w:t>
      </w:r>
      <w:bookmarkEnd w:id="90"/>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（一）项目资金申报及批复情况。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该项目资金申报、批复及预算调整等程序均按部门预算相关规定按时执行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hint="default" w:ascii="仿宋_GB2312" w:hAnsi="宋体"/>
          <w:b w:val="0"/>
          <w:bCs w:val="0"/>
          <w:color w:val="auto"/>
          <w:sz w:val="32"/>
          <w:szCs w:val="32"/>
          <w:highlight w:val="none"/>
          <w:u w:val="none"/>
        </w:rPr>
      </w:pPr>
      <w:r>
        <w:rPr>
          <w:rFonts w:hint="eastAsia" w:ascii="楷体_GB2312" w:hAnsi="宋体" w:eastAsia="楷体_GB2312"/>
          <w:b w:val="0"/>
          <w:bCs w:val="0"/>
          <w:color w:val="auto"/>
          <w:sz w:val="32"/>
          <w:szCs w:val="32"/>
          <w:highlight w:val="none"/>
          <w:u w:val="none"/>
          <w:lang w:val="zh-CN"/>
        </w:rPr>
        <w:t>（二）资金计划、到位及使用情况</w:t>
      </w:r>
      <w:r>
        <w:rPr>
          <w:rFonts w:hint="default" w:ascii="楷体_GB2312" w:hAnsi="宋体" w:eastAsia="楷体_GB2312"/>
          <w:b w:val="0"/>
          <w:bCs w:val="0"/>
          <w:color w:val="auto"/>
          <w:sz w:val="32"/>
          <w:szCs w:val="32"/>
          <w:highlight w:val="none"/>
          <w:u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仿宋" w:eastAsia="仿宋" w:cs="仿宋"/>
          <w:color w:val="auto"/>
          <w:sz w:val="32"/>
          <w:szCs w:val="32"/>
          <w:highlight w:val="none"/>
          <w:lang w:val="en-US" w:eastAsia="zh-CN"/>
        </w:rPr>
      </w:pPr>
      <w:r>
        <w:rPr>
          <w:rFonts w:hint="eastAsia" w:ascii="仿宋" w:eastAsia="仿宋" w:cs="仿宋"/>
          <w:color w:val="auto"/>
          <w:sz w:val="32"/>
          <w:szCs w:val="32"/>
          <w:highlight w:val="none"/>
          <w:lang w:val="zh-CN" w:eastAsia="zh-CN"/>
        </w:rPr>
        <w:t>1．资金计划。根据</w:t>
      </w:r>
      <w:r>
        <w:rPr>
          <w:rFonts w:hint="eastAsia" w:ascii="仿宋" w:eastAsia="仿宋" w:cs="仿宋"/>
          <w:color w:val="auto"/>
          <w:sz w:val="32"/>
          <w:szCs w:val="32"/>
          <w:highlight w:val="none"/>
          <w:lang w:val="en-US" w:eastAsia="zh-CN"/>
        </w:rPr>
        <w:t>统计</w:t>
      </w:r>
      <w:r>
        <w:rPr>
          <w:rFonts w:hint="eastAsia" w:ascii="仿宋" w:eastAsia="仿宋" w:cs="仿宋"/>
          <w:color w:val="auto"/>
          <w:sz w:val="32"/>
          <w:szCs w:val="32"/>
          <w:highlight w:val="none"/>
          <w:lang w:val="zh-CN" w:eastAsia="zh-CN"/>
        </w:rPr>
        <w:t>延伸督查整体工作安排预算</w:t>
      </w:r>
      <w:r>
        <w:rPr>
          <w:rFonts w:hint="eastAsia" w:ascii="仿宋" w:eastAsia="仿宋" w:cs="仿宋"/>
          <w:color w:val="auto"/>
          <w:sz w:val="32"/>
          <w:szCs w:val="32"/>
          <w:highlight w:val="none"/>
          <w:lang w:val="en-US" w:eastAsia="zh-CN"/>
        </w:rPr>
        <w:t>2022年度工作经费30万元。</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en-US" w:eastAsia="zh-CN"/>
        </w:rPr>
      </w:pPr>
      <w:r>
        <w:rPr>
          <w:rFonts w:hint="eastAsia" w:ascii="仿宋" w:eastAsia="仿宋" w:cs="仿宋"/>
          <w:color w:val="auto"/>
          <w:sz w:val="32"/>
          <w:szCs w:val="32"/>
          <w:highlight w:val="none"/>
          <w:lang w:val="zh-CN" w:eastAsia="zh-CN"/>
        </w:rPr>
        <w:t>2．资金到位。汇总统计截止评价时点该项目全市资金到位</w:t>
      </w:r>
      <w:r>
        <w:rPr>
          <w:rFonts w:hint="eastAsia" w:ascii="仿宋" w:eastAsia="仿宋" w:cs="仿宋"/>
          <w:color w:val="auto"/>
          <w:sz w:val="32"/>
          <w:szCs w:val="32"/>
          <w:highlight w:val="none"/>
          <w:lang w:val="en-US" w:eastAsia="zh-CN"/>
        </w:rPr>
        <w:t>30万元</w:t>
      </w:r>
      <w:r>
        <w:rPr>
          <w:rFonts w:hint="eastAsia" w:ascii="仿宋" w:eastAsia="仿宋" w:cs="仿宋"/>
          <w:color w:val="auto"/>
          <w:sz w:val="32"/>
          <w:szCs w:val="32"/>
          <w:highlight w:val="none"/>
          <w:lang w:val="zh-CN" w:eastAsia="zh-CN"/>
        </w:rPr>
        <w:t>，</w:t>
      </w:r>
      <w:r>
        <w:rPr>
          <w:rFonts w:hint="eastAsia" w:ascii="仿宋" w:eastAsia="仿宋" w:cs="仿宋"/>
          <w:color w:val="auto"/>
          <w:sz w:val="32"/>
          <w:szCs w:val="32"/>
          <w:highlight w:val="none"/>
          <w:lang w:val="en-US" w:eastAsia="zh-CN"/>
        </w:rPr>
        <w:t>到位率100%。</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eastAsia="仿宋" w:cs="仿宋"/>
          <w:color w:val="auto"/>
          <w:sz w:val="32"/>
          <w:szCs w:val="32"/>
          <w:highlight w:val="none"/>
          <w:lang w:val="zh-CN" w:eastAsia="zh-CN"/>
        </w:rPr>
        <w:t>3．资金使用。项目全年预算</w:t>
      </w:r>
      <w:r>
        <w:rPr>
          <w:rFonts w:hint="eastAsia" w:ascii="仿宋" w:eastAsia="仿宋" w:cs="仿宋"/>
          <w:color w:val="auto"/>
          <w:sz w:val="32"/>
          <w:szCs w:val="32"/>
          <w:highlight w:val="none"/>
          <w:lang w:val="en-US" w:eastAsia="zh-CN"/>
        </w:rPr>
        <w:t>30万</w:t>
      </w:r>
      <w:r>
        <w:rPr>
          <w:rFonts w:hint="eastAsia" w:ascii="仿宋" w:eastAsia="仿宋" w:cs="仿宋"/>
          <w:color w:val="auto"/>
          <w:sz w:val="32"/>
          <w:szCs w:val="32"/>
          <w:highlight w:val="none"/>
          <w:lang w:val="zh-CN" w:eastAsia="zh-CN"/>
        </w:rPr>
        <w:t>元，执行数</w:t>
      </w:r>
      <w:r>
        <w:rPr>
          <w:rFonts w:hint="eastAsia" w:ascii="仿宋" w:eastAsia="仿宋" w:cs="仿宋"/>
          <w:color w:val="auto"/>
          <w:sz w:val="32"/>
          <w:szCs w:val="32"/>
          <w:highlight w:val="none"/>
          <w:lang w:val="en-US" w:eastAsia="zh-CN"/>
        </w:rPr>
        <w:t>30 万元，</w:t>
      </w:r>
      <w:r>
        <w:rPr>
          <w:rFonts w:hint="eastAsia" w:ascii="仿宋" w:eastAsia="仿宋" w:cs="仿宋"/>
          <w:color w:val="auto"/>
          <w:sz w:val="32"/>
          <w:szCs w:val="32"/>
          <w:highlight w:val="none"/>
          <w:lang w:val="zh-CN" w:eastAsia="zh-CN"/>
        </w:rPr>
        <w:t>完成预算</w:t>
      </w:r>
      <w:r>
        <w:rPr>
          <w:rFonts w:hint="eastAsia" w:ascii="仿宋" w:eastAsia="仿宋" w:cs="仿宋"/>
          <w:color w:val="auto"/>
          <w:sz w:val="32"/>
          <w:szCs w:val="32"/>
          <w:highlight w:val="none"/>
          <w:lang w:val="en-US" w:eastAsia="zh-CN"/>
        </w:rPr>
        <w:t>100</w:t>
      </w:r>
      <w:r>
        <w:rPr>
          <w:rFonts w:hint="eastAsia" w:ascii="仿宋" w:eastAsia="仿宋" w:cs="仿宋"/>
          <w:color w:val="auto"/>
          <w:sz w:val="32"/>
          <w:szCs w:val="32"/>
          <w:highlight w:val="none"/>
          <w:lang w:val="zh-CN" w:eastAsia="zh-CN"/>
        </w:rPr>
        <w:t>%。通过项目实施完成</w:t>
      </w:r>
      <w:r>
        <w:rPr>
          <w:rFonts w:hint="eastAsia" w:ascii="仿宋" w:eastAsia="仿宋" w:cs="仿宋"/>
          <w:color w:val="auto"/>
          <w:sz w:val="32"/>
          <w:szCs w:val="32"/>
          <w:highlight w:val="none"/>
          <w:lang w:val="en-US" w:eastAsia="zh-CN"/>
        </w:rPr>
        <w:t>统计</w:t>
      </w:r>
      <w:r>
        <w:rPr>
          <w:rFonts w:hint="eastAsia" w:ascii="仿宋" w:eastAsia="仿宋" w:cs="仿宋"/>
          <w:color w:val="auto"/>
          <w:sz w:val="32"/>
          <w:szCs w:val="32"/>
          <w:highlight w:val="none"/>
          <w:lang w:val="zh-CN" w:eastAsia="zh-CN"/>
        </w:rPr>
        <w:t>延伸督查迎检工作，切实提高政治站位，充分认识督察“回头看”对广元统计工作的重要意义，把服务保障统计督察“回头看”作为当前重点工作，精心组织、周密安排、定人定责、抓紧抓细，以强烈的责任感和紧迫感高质高效完成各项工作，确保督察“回头看”顺利进行。</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（三）项目财务管理情况。</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91" w:name="_Toc8531"/>
      <w:r>
        <w:rPr>
          <w:rFonts w:hint="eastAsia" w:ascii="黑体" w:hAnsi="宋体" w:eastAsia="黑体"/>
          <w:b w:val="0"/>
          <w:bCs w:val="0"/>
          <w:color w:val="auto"/>
          <w:sz w:val="32"/>
          <w:szCs w:val="32"/>
          <w:highlight w:val="none"/>
          <w:u w:val="none"/>
        </w:rPr>
        <w:t>三、项目实施及管理情况</w:t>
      </w:r>
      <w:bookmarkEnd w:id="9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结合项目组织实施管理办法，重点围绕以下内容进行分析评价，并对自评中发现的问题分析说明。</w:t>
      </w:r>
    </w:p>
    <w:p>
      <w:pPr>
        <w:keepNext w:val="0"/>
        <w:keepLines w:val="0"/>
        <w:pageBreakBefore w:val="0"/>
        <w:widowControl w:val="0"/>
        <w:numPr>
          <w:ilvl w:val="0"/>
          <w:numId w:val="9"/>
        </w:numPr>
        <w:shd w:val="clear"/>
        <w:kinsoku/>
        <w:wordWrap/>
        <w:overflowPunct/>
        <w:topLinePunct w:val="0"/>
        <w:autoSpaceDE/>
        <w:autoSpaceDN/>
        <w:bidi w:val="0"/>
        <w:adjustRightInd w:val="0"/>
        <w:snapToGrid w:val="0"/>
        <w:spacing w:line="578" w:lineRule="exact"/>
        <w:ind w:firstLine="640" w:firstLineChars="200"/>
        <w:jc w:val="both"/>
        <w:textAlignment w:val="auto"/>
        <w:rPr>
          <w:rFonts w:hint="eastAsia"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项目组织架构及实施流程。</w:t>
      </w:r>
    </w:p>
    <w:p>
      <w:pPr>
        <w:pStyle w:val="2"/>
        <w:numPr>
          <w:ilvl w:val="0"/>
          <w:numId w:val="0"/>
        </w:numPr>
        <w:shd w:val="clear"/>
        <w:ind w:leftChars="400"/>
        <w:rPr>
          <w:color w:val="auto"/>
          <w:highlight w:val="none"/>
          <w:lang w:val="zh-CN"/>
        </w:rPr>
      </w:pPr>
      <w:r>
        <w:rPr>
          <w:rFonts w:ascii="宋体" w:hAnsi="宋体" w:eastAsia="宋体" w:cs="宋体"/>
          <w:color w:val="auto"/>
          <w:kern w:val="0"/>
          <w:sz w:val="24"/>
          <w:szCs w:val="24"/>
          <w:highlight w:val="none"/>
          <w:lang w:val="en-US" w:eastAsia="zh-CN" w:bidi="ar"/>
        </w:rPr>
        <w:drawing>
          <wp:inline distT="0" distB="0" distL="114300" distR="114300">
            <wp:extent cx="4349115" cy="1557655"/>
            <wp:effectExtent l="0" t="0" r="13335" b="4445"/>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6"/>
                    <a:stretch>
                      <a:fillRect/>
                    </a:stretch>
                  </pic:blipFill>
                  <pic:spPr>
                    <a:xfrm>
                      <a:off x="0" y="0"/>
                      <a:ext cx="4349115" cy="1557655"/>
                    </a:xfrm>
                    <a:prstGeom prst="rect">
                      <a:avLst/>
                    </a:prstGeom>
                    <a:noFill/>
                    <a:ln w="9525">
                      <a:noFill/>
                    </a:ln>
                  </pic:spPr>
                </pic:pic>
              </a:graphicData>
            </a:graphic>
          </wp:inline>
        </w:drawing>
      </w:r>
    </w:p>
    <w:p>
      <w:pPr>
        <w:shd w:val="clear"/>
        <w:adjustRightInd w:val="0"/>
        <w:spacing w:line="360" w:lineRule="auto"/>
        <w:ind w:firstLine="640" w:firstLineChars="200"/>
        <w:rPr>
          <w:rFonts w:hint="eastAsia" w:ascii="仿宋" w:eastAsia="仿宋" w:cs="仿宋"/>
          <w:color w:val="auto"/>
          <w:sz w:val="32"/>
          <w:szCs w:val="32"/>
          <w:highlight w:val="none"/>
          <w:lang w:val="zh-CN" w:eastAsia="zh-CN"/>
        </w:rPr>
      </w:pPr>
      <w:r>
        <w:rPr>
          <w:rFonts w:hint="eastAsia" w:ascii="楷体_GB2312" w:hAnsi="宋体" w:eastAsia="楷体_GB2312"/>
          <w:b w:val="0"/>
          <w:bCs w:val="0"/>
          <w:color w:val="auto"/>
          <w:sz w:val="32"/>
          <w:szCs w:val="32"/>
          <w:highlight w:val="none"/>
          <w:u w:val="none"/>
          <w:lang w:val="zh-CN"/>
        </w:rPr>
        <w:t>（二）项目管理情况。</w:t>
      </w:r>
      <w:r>
        <w:rPr>
          <w:rFonts w:hint="eastAsia" w:ascii="仿宋" w:eastAsia="仿宋" w:cs="仿宋"/>
          <w:color w:val="auto"/>
          <w:sz w:val="32"/>
          <w:szCs w:val="32"/>
          <w:highlight w:val="none"/>
          <w:lang w:val="zh-CN" w:eastAsia="zh-CN"/>
        </w:rPr>
        <w:t>按照会计基础工作规范化和《四川省会计管理条例》进行财务核算；三是依据新的政策和要求修改完善了《广元市内部控制制度汇编》，新增了《广元市统计局固定资产管理办法》《广元市统计局政府采购内控制度》《广元市统计局自行采购管理办法》《广元市统计局预算管理制度》等制度，严格按照部门预算专项资金开支范围执行，支出合理。</w:t>
      </w:r>
    </w:p>
    <w:p>
      <w:pPr>
        <w:shd w:val="clear"/>
        <w:adjustRightInd w:val="0"/>
        <w:snapToGrid w:val="0"/>
        <w:spacing w:line="600" w:lineRule="exact"/>
        <w:ind w:firstLine="720"/>
        <w:rPr>
          <w:rFonts w:hint="eastAsia" w:ascii="仿宋" w:eastAsia="仿宋" w:cs="仿宋"/>
          <w:color w:val="auto"/>
          <w:sz w:val="32"/>
          <w:szCs w:val="32"/>
          <w:highlight w:val="none"/>
          <w:lang w:val="zh-CN" w:eastAsia="zh-CN"/>
        </w:rPr>
      </w:pPr>
      <w:r>
        <w:rPr>
          <w:rFonts w:hint="eastAsia" w:ascii="楷体_GB2312" w:hAnsi="宋体" w:eastAsia="楷体_GB2312"/>
          <w:b w:val="0"/>
          <w:bCs w:val="0"/>
          <w:color w:val="auto"/>
          <w:sz w:val="32"/>
          <w:szCs w:val="32"/>
          <w:highlight w:val="none"/>
          <w:u w:val="none"/>
          <w:lang w:val="zh-CN"/>
        </w:rPr>
        <w:t>（三）项目监管情况。</w:t>
      </w:r>
      <w:r>
        <w:rPr>
          <w:rFonts w:hint="eastAsia" w:ascii="仿宋" w:eastAsia="仿宋" w:cs="仿宋"/>
          <w:color w:val="auto"/>
          <w:sz w:val="32"/>
          <w:szCs w:val="32"/>
          <w:highlight w:val="none"/>
          <w:lang w:val="zh-CN" w:eastAsia="zh-CN"/>
        </w:rPr>
        <w:t>项目实施是统计局各业务科室根据迎检工作的开展，重点围绕统计督查“回头看”工作开展情况进行分析评价，并对自评中发现的问题分析说明，由资金管理部门局办公室进行项目实施进度监管、提醒，确保项目执行进度。</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仿宋_GB2312" w:hAnsi="宋体"/>
          <w:b w:val="0"/>
          <w:bCs w:val="0"/>
          <w:color w:val="auto"/>
          <w:sz w:val="32"/>
          <w:szCs w:val="32"/>
          <w:highlight w:val="none"/>
          <w:u w:val="none"/>
          <w:lang w:val="zh-CN"/>
        </w:rPr>
      </w:pPr>
      <w:bookmarkStart w:id="92" w:name="_Toc31884"/>
      <w:r>
        <w:rPr>
          <w:rFonts w:hint="eastAsia" w:ascii="黑体" w:hAnsi="宋体" w:eastAsia="黑体"/>
          <w:b w:val="0"/>
          <w:bCs w:val="0"/>
          <w:color w:val="auto"/>
          <w:sz w:val="32"/>
          <w:szCs w:val="32"/>
          <w:highlight w:val="none"/>
          <w:u w:val="none"/>
        </w:rPr>
        <w:t>四、项目绩效情况</w:t>
      </w:r>
      <w:bookmarkEnd w:id="92"/>
      <w:r>
        <w:rPr>
          <w:rFonts w:hint="eastAsia" w:ascii="仿宋_GB2312" w:hAnsi="宋体"/>
          <w:b w:val="0"/>
          <w:bCs w:val="0"/>
          <w:color w:val="auto"/>
          <w:sz w:val="32"/>
          <w:szCs w:val="32"/>
          <w:highlight w:val="none"/>
          <w:u w:val="none"/>
          <w:lang w:val="zh-CN"/>
        </w:rPr>
        <w:tab/>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（一）项目完成情况。</w:t>
      </w:r>
    </w:p>
    <w:p>
      <w:pPr>
        <w:shd w:val="clear"/>
        <w:adjustRightInd w:val="0"/>
        <w:snapToGrid w:val="0"/>
        <w:spacing w:line="600" w:lineRule="exact"/>
        <w:ind w:firstLine="720"/>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为做好国家统计督察“回头看”来广保障工作，我局负责服务保障督察“回头看”工作的统筹协调。与国家统计局督察组对接进驻具体时间和日程安排，统筹协调、计划安排与督察有关的接待、会议、谈话、问卷调查等工作；协调发改、经信、商务等市直有关部门、相关县区落实督察“回头看”准备事宜、组织谈话、资料调阅等工作，根据督察组要求收集有关单位名册，作好工作安排，协调有关单位及时提供督察组要求的各类补充资料；了解掌握督察进展情况，按需编报工作动态；协调落实市领导有关保障；统筹协调其他各组工作。</w:t>
      </w:r>
    </w:p>
    <w:p>
      <w:pPr>
        <w:keepNext w:val="0"/>
        <w:keepLines w:val="0"/>
        <w:pageBreakBefore w:val="0"/>
        <w:widowControl w:val="0"/>
        <w:shd w:val="clear"/>
        <w:kinsoku/>
        <w:wordWrap/>
        <w:topLinePunct/>
        <w:autoSpaceDE/>
        <w:autoSpaceDN/>
        <w:bidi w:val="0"/>
        <w:spacing w:line="576" w:lineRule="exact"/>
        <w:ind w:firstLine="640" w:firstLineChars="200"/>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（二）项目效益情况。</w:t>
      </w:r>
    </w:p>
    <w:p>
      <w:pPr>
        <w:shd w:val="clear"/>
        <w:adjustRightInd w:val="0"/>
        <w:snapToGrid w:val="0"/>
        <w:spacing w:line="600" w:lineRule="exact"/>
        <w:ind w:firstLine="720"/>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协助市委办、市政府办梳理督察整改落实情况，收集整理相关文件资料，起草市委、政府关于督察整改举措、成效的报告；协调发改、经信、商务等市直有关部门落实督查回头看准备事宜、组织谈话、资料调阅等工作，梳理市统计局督察整改落实情况，收集整理相关文件资料，起草市统计局关于督察整改举措、成效的报告；梳理国家、省统计局直查和转交办理的统计违纪违法案件以及市统计局立案案件和责任追究的有关资料；配合落实督察组在2个县（市、区）进行的延伸督察工作。</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outlineLvl w:val="1"/>
        <w:rPr>
          <w:rFonts w:ascii="黑体" w:hAnsi="宋体" w:eastAsia="黑体"/>
          <w:b w:val="0"/>
          <w:bCs w:val="0"/>
          <w:color w:val="auto"/>
          <w:sz w:val="32"/>
          <w:szCs w:val="32"/>
          <w:highlight w:val="none"/>
          <w:u w:val="none"/>
        </w:rPr>
      </w:pPr>
      <w:bookmarkStart w:id="93" w:name="_Toc16698"/>
      <w:r>
        <w:rPr>
          <w:rFonts w:hint="eastAsia" w:ascii="黑体" w:hAnsi="宋体" w:eastAsia="黑体"/>
          <w:b w:val="0"/>
          <w:bCs w:val="0"/>
          <w:color w:val="auto"/>
          <w:sz w:val="32"/>
          <w:szCs w:val="32"/>
          <w:highlight w:val="none"/>
          <w:u w:val="none"/>
        </w:rPr>
        <w:t>五、评价结论及建议</w:t>
      </w:r>
      <w:bookmarkEnd w:id="93"/>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（一）评价结论。</w:t>
      </w:r>
    </w:p>
    <w:p>
      <w:pPr>
        <w:shd w:val="clear"/>
        <w:adjustRightInd w:val="0"/>
        <w:snapToGrid w:val="0"/>
        <w:spacing w:line="600" w:lineRule="exact"/>
        <w:ind w:firstLine="720"/>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我局该项目预算执行到位，做到了财务公开、会计核算真实、规范，没有截留、挪用财政资金、擅自扩大或缩小资金使用范围、改变资金用途等现象，未在项目申报中弄虚作假，套取财政资金，保证了专项资金专款专用。对照《部门项目支出绩效评价指标体系》，我局</w:t>
      </w:r>
      <w:r>
        <w:rPr>
          <w:rFonts w:hint="eastAsia" w:ascii="仿宋" w:eastAsia="仿宋" w:cs="仿宋"/>
          <w:color w:val="auto"/>
          <w:sz w:val="32"/>
          <w:szCs w:val="32"/>
          <w:highlight w:val="none"/>
          <w:lang w:val="en-US" w:eastAsia="zh-CN"/>
        </w:rPr>
        <w:t>2022年国家统计局延伸督查迎检工作经费</w:t>
      </w:r>
      <w:r>
        <w:rPr>
          <w:rFonts w:hint="eastAsia" w:ascii="仿宋" w:eastAsia="仿宋" w:cs="仿宋"/>
          <w:color w:val="auto"/>
          <w:sz w:val="32"/>
          <w:szCs w:val="32"/>
          <w:highlight w:val="none"/>
          <w:lang w:val="zh-CN" w:eastAsia="zh-CN"/>
        </w:rPr>
        <w:t>自评得分9</w:t>
      </w:r>
      <w:r>
        <w:rPr>
          <w:rFonts w:hint="eastAsia" w:ascii="仿宋" w:eastAsia="仿宋" w:cs="仿宋"/>
          <w:color w:val="auto"/>
          <w:sz w:val="32"/>
          <w:szCs w:val="32"/>
          <w:highlight w:val="none"/>
          <w:lang w:val="en-US" w:eastAsia="zh-CN"/>
        </w:rPr>
        <w:t>7</w:t>
      </w:r>
      <w:r>
        <w:rPr>
          <w:rFonts w:hint="eastAsia" w:ascii="仿宋" w:eastAsia="仿宋" w:cs="仿宋"/>
          <w:color w:val="auto"/>
          <w:sz w:val="32"/>
          <w:szCs w:val="32"/>
          <w:highlight w:val="none"/>
          <w:lang w:val="zh-CN" w:eastAsia="zh-CN"/>
        </w:rPr>
        <w:t>分。</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（二）存在的问题。</w:t>
      </w:r>
    </w:p>
    <w:p>
      <w:pPr>
        <w:shd w:val="clear"/>
        <w:adjustRightInd w:val="0"/>
        <w:snapToGrid w:val="0"/>
        <w:spacing w:line="600" w:lineRule="exact"/>
        <w:ind w:firstLine="720"/>
        <w:rPr>
          <w:rFonts w:hint="default" w:ascii="仿宋" w:eastAsia="仿宋" w:cs="仿宋"/>
          <w:color w:val="auto"/>
          <w:sz w:val="32"/>
          <w:szCs w:val="32"/>
          <w:highlight w:val="none"/>
          <w:lang w:val="en-US" w:eastAsia="zh-CN"/>
        </w:rPr>
      </w:pPr>
      <w:r>
        <w:rPr>
          <w:rFonts w:hint="eastAsia" w:ascii="仿宋" w:eastAsia="仿宋" w:cs="仿宋"/>
          <w:color w:val="auto"/>
          <w:sz w:val="32"/>
          <w:szCs w:val="32"/>
          <w:highlight w:val="none"/>
          <w:lang w:val="zh-CN" w:eastAsia="zh-CN"/>
        </w:rPr>
        <w:t>结合自评情况，存在的问题一是预算执行进度有待加强。二是项目绩效规划上需加强科学性、时效性。</w:t>
      </w:r>
    </w:p>
    <w:p>
      <w:pPr>
        <w:keepNext w:val="0"/>
        <w:keepLines w:val="0"/>
        <w:pageBreakBefore w:val="0"/>
        <w:widowControl w:val="0"/>
        <w:shd w:val="clear"/>
        <w:kinsoku/>
        <w:wordWrap/>
        <w:overflowPunct/>
        <w:topLinePunct w:val="0"/>
        <w:autoSpaceDE/>
        <w:autoSpaceDN/>
        <w:bidi w:val="0"/>
        <w:adjustRightInd w:val="0"/>
        <w:snapToGrid w:val="0"/>
        <w:spacing w:line="578" w:lineRule="exact"/>
        <w:ind w:firstLine="640" w:firstLineChars="200"/>
        <w:jc w:val="both"/>
        <w:textAlignment w:val="auto"/>
        <w:rPr>
          <w:rFonts w:ascii="楷体_GB2312" w:hAnsi="宋体" w:eastAsia="楷体_GB2312"/>
          <w:b w:val="0"/>
          <w:bCs w:val="0"/>
          <w:color w:val="auto"/>
          <w:sz w:val="32"/>
          <w:szCs w:val="32"/>
          <w:highlight w:val="none"/>
          <w:u w:val="none"/>
          <w:lang w:val="zh-CN"/>
        </w:rPr>
      </w:pPr>
      <w:r>
        <w:rPr>
          <w:rFonts w:hint="eastAsia" w:ascii="楷体_GB2312" w:hAnsi="宋体" w:eastAsia="楷体_GB2312"/>
          <w:b w:val="0"/>
          <w:bCs w:val="0"/>
          <w:color w:val="auto"/>
          <w:sz w:val="32"/>
          <w:szCs w:val="32"/>
          <w:highlight w:val="none"/>
          <w:u w:val="none"/>
          <w:lang w:val="zh-CN"/>
        </w:rPr>
        <w:t>（三）相关建议。</w:t>
      </w:r>
    </w:p>
    <w:p>
      <w:pPr>
        <w:shd w:val="clear"/>
        <w:adjustRightInd w:val="0"/>
        <w:snapToGrid w:val="0"/>
        <w:spacing w:line="600" w:lineRule="exact"/>
        <w:ind w:firstLine="720"/>
        <w:rPr>
          <w:rFonts w:hint="eastAsia" w:ascii="仿宋" w:eastAsia="仿宋" w:cs="仿宋"/>
          <w:color w:val="auto"/>
          <w:sz w:val="32"/>
          <w:szCs w:val="32"/>
          <w:highlight w:val="none"/>
          <w:lang w:val="zh-CN" w:eastAsia="zh-CN"/>
        </w:rPr>
      </w:pPr>
      <w:r>
        <w:rPr>
          <w:rFonts w:hint="eastAsia" w:ascii="仿宋" w:eastAsia="仿宋" w:cs="仿宋"/>
          <w:color w:val="auto"/>
          <w:sz w:val="32"/>
          <w:szCs w:val="32"/>
          <w:highlight w:val="none"/>
          <w:lang w:val="zh-CN" w:eastAsia="zh-CN"/>
        </w:rPr>
        <w:t>一是加</w:t>
      </w:r>
      <w:r>
        <w:rPr>
          <w:rFonts w:hint="eastAsia" w:ascii="仿宋" w:eastAsia="仿宋" w:cs="仿宋"/>
          <w:color w:val="auto"/>
          <w:sz w:val="32"/>
          <w:szCs w:val="32"/>
          <w:highlight w:val="none"/>
          <w:lang w:val="en-US" w:eastAsia="zh-CN"/>
        </w:rPr>
        <w:t>结合部门职能职责、中长期规划和年度工作计划，采取定量和定性相结合的方式，设置完整、合理、清晰、明确细化且具有可衡量性的绩效目标和指标。</w:t>
      </w:r>
      <w:r>
        <w:rPr>
          <w:rFonts w:hint="eastAsia" w:ascii="仿宋" w:eastAsia="仿宋" w:cs="仿宋"/>
          <w:color w:val="auto"/>
          <w:sz w:val="32"/>
          <w:szCs w:val="32"/>
          <w:highlight w:val="none"/>
          <w:lang w:val="zh-CN" w:eastAsia="zh-CN"/>
        </w:rPr>
        <w:t>二是加强人员培训，提高业务能力，以适应新形势下财政管理工作需要。三是完善相关财务制度，财务考核办法，建立长效管理机制。四是做好预算执行的监控工作，对执行进度较慢的项目应及时提醒，加快工作完成后的报账速度。</w:t>
      </w:r>
    </w:p>
    <w:tbl>
      <w:tblPr>
        <w:tblStyle w:val="16"/>
        <w:tblpPr w:leftFromText="180" w:rightFromText="180" w:vertAnchor="text" w:horzAnchor="page" w:tblpX="641" w:tblpY="266"/>
        <w:tblOverlap w:val="never"/>
        <w:tblW w:w="10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9"/>
        <w:gridCol w:w="1303"/>
        <w:gridCol w:w="818"/>
        <w:gridCol w:w="1338"/>
        <w:gridCol w:w="397"/>
        <w:gridCol w:w="782"/>
        <w:gridCol w:w="397"/>
        <w:gridCol w:w="846"/>
        <w:gridCol w:w="590"/>
        <w:gridCol w:w="727"/>
        <w:gridCol w:w="885"/>
        <w:gridCol w:w="1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10920"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44"/>
                <w:szCs w:val="44"/>
                <w:highlight w:val="none"/>
                <w:u w:val="none"/>
              </w:rPr>
            </w:pPr>
            <w:r>
              <w:rPr>
                <w:rFonts w:hint="default" w:ascii="方正小标宋简体" w:hAnsi="方正小标宋简体" w:eastAsia="方正小标宋简体" w:cs="方正小标宋简体"/>
                <w:i w:val="0"/>
                <w:iCs w:val="0"/>
                <w:color w:val="auto"/>
                <w:kern w:val="0"/>
                <w:sz w:val="44"/>
                <w:szCs w:val="44"/>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项目名称</w:t>
            </w:r>
          </w:p>
        </w:tc>
        <w:tc>
          <w:tcPr>
            <w:tcW w:w="85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统计延伸督查检工作经费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主管部门（盖章）</w:t>
            </w:r>
          </w:p>
        </w:tc>
        <w:tc>
          <w:tcPr>
            <w:tcW w:w="3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实施单位 （盖章）</w:t>
            </w:r>
          </w:p>
        </w:tc>
        <w:tc>
          <w:tcPr>
            <w:tcW w:w="3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项目基本情况</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1.项目年度目标完成情况</w:t>
            </w:r>
          </w:p>
        </w:tc>
        <w:tc>
          <w:tcPr>
            <w:tcW w:w="3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项目年度目标</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37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完成7月下旬到8月上旬国家第五督查组在我市市本级、利州区、剑阁区开展为期半个月的统计延伸督查迎检相关工作。</w:t>
            </w:r>
          </w:p>
        </w:tc>
        <w:tc>
          <w:tcPr>
            <w:tcW w:w="47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完成7月下旬到8月上旬国家第五督查组在我市市本级、利州区、剑阁区开展为期半个月的统计延伸督查迎检相关工作。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2.项目实施内容及过程概述</w:t>
            </w:r>
          </w:p>
        </w:tc>
        <w:tc>
          <w:tcPr>
            <w:tcW w:w="85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完成7月下旬到8月上旬国家第五督查组在我市市本级、利州区、剑阁区开展为期半个月的统计延伸督查迎检相关工作。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预算执行情况（10分）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年度预算数（万元）</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年初预算</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调整后预算数</w:t>
            </w: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预算执行率</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总额</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其中：财政资金</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财政专户管理资金</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单位资金</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其他资金</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1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绩效指标（90分）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一级指标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二级指标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三级指标</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指标性质</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指标值</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完成值</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81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国家统计局第五督查组对接沟通会</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分管市领导每晚汇总、调度会  </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16</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16</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分组谈话会议室</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分组问卷调查会议室</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专班会议室工作用办公用品</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统计督查文书资料及督查表册</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督查组车辆保障数量</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专班工作人员</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周到细致热情做好迎检服务保障工作</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良好</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级</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良好</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督查完成时间</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完成督查迎检保障经费</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20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完成好迎检工作，切实把广元工作成效客观真实的反映出来，反映率</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确保统计督查工作顺利开展，提高党委、政府对统计工作的重视度，提高统计数据质量和统计监督职能</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133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国家局统计督查组人员对此次工作配合度满意程度</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1099" w:type="dxa"/>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03" w:type="dxa"/>
            <w:vMerge w:val="continue"/>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left"/>
              <w:rPr>
                <w:rFonts w:hint="eastAsia" w:ascii="仿宋" w:hAnsi="仿宋" w:eastAsia="仿宋" w:cs="仿宋"/>
                <w:i w:val="0"/>
                <w:iCs w:val="0"/>
                <w:color w:val="auto"/>
                <w:sz w:val="18"/>
                <w:szCs w:val="18"/>
                <w:highlight w:val="none"/>
                <w:u w:val="none"/>
              </w:rPr>
            </w:pPr>
          </w:p>
        </w:tc>
        <w:tc>
          <w:tcPr>
            <w:tcW w:w="133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党委、政府对市统计局迎检工作安排部署、统筹协调能力满意度</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合计</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default" w:ascii="仿宋" w:hAnsi="仿宋" w:eastAsia="仿宋" w:cs="仿宋"/>
                <w:i w:val="0"/>
                <w:iCs w:val="0"/>
                <w:color w:val="auto"/>
                <w:kern w:val="0"/>
                <w:sz w:val="22"/>
                <w:szCs w:val="22"/>
                <w:highlight w:val="none"/>
                <w:u w:val="none"/>
                <w:lang w:eastAsia="zh-CN" w:bidi="ar"/>
              </w:rPr>
              <w:t>9</w:t>
            </w:r>
            <w:r>
              <w:rPr>
                <w:rFonts w:hint="eastAsia" w:ascii="仿宋" w:hAnsi="仿宋" w:eastAsia="仿宋" w:cs="仿宋"/>
                <w:i w:val="0"/>
                <w:iCs w:val="0"/>
                <w:color w:val="auto"/>
                <w:kern w:val="0"/>
                <w:sz w:val="22"/>
                <w:szCs w:val="22"/>
                <w:highlight w:val="none"/>
                <w:u w:val="none"/>
                <w:lang w:val="en-US" w:eastAsia="zh-CN" w:bidi="ar"/>
              </w:rPr>
              <w:t>8</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部门（单位）自评结论</w:t>
            </w:r>
          </w:p>
        </w:tc>
        <w:tc>
          <w:tcPr>
            <w:tcW w:w="98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完成7月下旬到8月上旬国家第五督查组在我市市本级、利州区、剑阁区开展为期半个月的统计延伸督查迎检相关工作。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部门（单位）自评存在问题</w:t>
            </w:r>
          </w:p>
        </w:tc>
        <w:tc>
          <w:tcPr>
            <w:tcW w:w="98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部门（单位）自评改进措施</w:t>
            </w:r>
          </w:p>
        </w:tc>
        <w:tc>
          <w:tcPr>
            <w:tcW w:w="98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财政部门对口科室复评结论及整改要求</w:t>
            </w:r>
          </w:p>
        </w:tc>
        <w:tc>
          <w:tcPr>
            <w:tcW w:w="982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单位项目负责人：仲川城</w:t>
            </w:r>
          </w:p>
        </w:tc>
        <w:tc>
          <w:tcPr>
            <w:tcW w:w="59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596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09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bl>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keepNext w:val="0"/>
        <w:keepLines w:val="0"/>
        <w:pageBreakBefore w:val="0"/>
        <w:widowControl w:val="0"/>
        <w:shd w:val="clear"/>
        <w:kinsoku/>
        <w:wordWrap/>
        <w:overflowPunct/>
        <w:topLinePunct w:val="0"/>
        <w:autoSpaceDE/>
        <w:autoSpaceDN/>
        <w:bidi w:val="0"/>
        <w:ind w:left="-199" w:leftChars="-95" w:firstLine="198" w:firstLineChars="62"/>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23"/>
        <w:keepNext w:val="0"/>
        <w:keepLines w:val="0"/>
        <w:pageBreakBefore w:val="0"/>
        <w:widowControl w:val="0"/>
        <w:shd w:val="clear"/>
        <w:kinsoku/>
        <w:wordWrap/>
        <w:overflowPunct/>
        <w:topLinePunct w:val="0"/>
        <w:autoSpaceDE/>
        <w:autoSpaceDN/>
        <w:bidi w:val="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keepNext w:val="0"/>
        <w:keepLines w:val="0"/>
        <w:pageBreakBefore w:val="0"/>
        <w:widowControl w:val="0"/>
        <w:shd w:val="clear"/>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23"/>
        <w:keepNext w:val="0"/>
        <w:keepLines w:val="0"/>
        <w:pageBreakBefore w:val="0"/>
        <w:widowControl w:val="0"/>
        <w:shd w:val="clear"/>
        <w:kinsoku/>
        <w:wordWrap/>
        <w:overflowPunct/>
        <w:topLinePunct w:val="0"/>
        <w:autoSpaceDE/>
        <w:autoSpaceDN/>
        <w:bidi w:val="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keepNext w:val="0"/>
        <w:keepLines w:val="0"/>
        <w:pageBreakBefore w:val="0"/>
        <w:widowControl w:val="0"/>
        <w:shd w:val="clear"/>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8"/>
        <w:shd w:val="clear"/>
        <w:outlineLvl w:val="0"/>
        <w:rPr>
          <w:rFonts w:hint="eastAsia" w:hAnsi="宋体" w:cs="宋体"/>
          <w:color w:val="auto"/>
          <w:kern w:val="0"/>
          <w:sz w:val="32"/>
          <w:szCs w:val="32"/>
          <w:highlight w:val="none"/>
          <w:shd w:val="clear" w:color="auto" w:fill="FFFFFF"/>
          <w:lang w:val="en-US" w:eastAsia="zh-CN"/>
        </w:rPr>
      </w:pPr>
      <w:bookmarkStart w:id="94" w:name="_Toc29907"/>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2-3</w:t>
      </w:r>
      <w:bookmarkEnd w:id="94"/>
    </w:p>
    <w:tbl>
      <w:tblPr>
        <w:tblStyle w:val="16"/>
        <w:tblW w:w="10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905"/>
        <w:gridCol w:w="905"/>
        <w:gridCol w:w="905"/>
        <w:gridCol w:w="905"/>
        <w:gridCol w:w="905"/>
        <w:gridCol w:w="905"/>
        <w:gridCol w:w="905"/>
        <w:gridCol w:w="905"/>
        <w:gridCol w:w="905"/>
        <w:gridCol w:w="905"/>
        <w:gridCol w:w="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10860"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项目名称</w:t>
            </w:r>
          </w:p>
        </w:tc>
        <w:tc>
          <w:tcPr>
            <w:tcW w:w="90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统计业务培训经费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主管部门（盖章）</w:t>
            </w:r>
          </w:p>
        </w:tc>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tabs>
                <w:tab w:val="left" w:pos="4200"/>
              </w:tabs>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实施单位 （盖章）</w:t>
            </w:r>
          </w:p>
        </w:tc>
        <w:tc>
          <w:tcPr>
            <w:tcW w:w="36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项目基本情况</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1.项目年度目标完成情况</w:t>
            </w:r>
          </w:p>
        </w:tc>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项目年度目标</w:t>
            </w:r>
          </w:p>
        </w:tc>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完成2022年工业能源统计业务知识培训、 工业能源统计年报会暨业务知识培训等业务培训会议、2022年人口抽样调查培训会、劳动工资培训会、2021年研发、科技创新、“两岗监测”、两码、2022年GDP统一核算、信息化建设业务培训等相关专项培训会议</w:t>
            </w:r>
          </w:p>
        </w:tc>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完成2022年工业能源统计业务知识培训、 工业能源统计年报会暨业务知识培训等业务培训会议、2022年人口抽样调查培训会、劳动工资培训会、2021年研发、科技创新、“两岗监测”、两码、2022年GDP统一核算、信息化建设业务培训等相关专项培训会议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2.项目实施内容及过程概述</w:t>
            </w:r>
          </w:p>
        </w:tc>
        <w:tc>
          <w:tcPr>
            <w:tcW w:w="90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2022年度各统计专业培训，2022年工业能源统计业务知识培训、 工业能源统计年报会暨业务知识培训等业务培训会议、2022年人口抽样调查培训会、劳动工资培训会、2021年研发、科技创新、“两岗监测”、两码、2022年GDP统一核算、信息化建设业务培训等相关专项培训会议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预算执行情况（10分）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年度预算数（万元）</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年初预算</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调整后预算数</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权重%</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部门自评得分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财政部门科室复评得分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总额</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其中：财政资金</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财政专户管理资金</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单位资金</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其他资金</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绩效指标（90分）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一级指标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二级指标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三级指标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指标性质</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指标值</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度量单位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完成值</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权重</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部门自评得分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财政部门科室复评得分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2021年研发、科技创新统计年报培训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完成2021年劳动工资培训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国民经济、GDP统一核算培训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完成2021年人口变动调查培训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2022年劳动工资统计年报培训会</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2022年人口抽样变动调查培训会</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2021年文化产业、两纲监测培训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乡村振兴战略统计监测培训</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7"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（质量达标率）确保各类调查年报工作顺利完成率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级</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4"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按期完成率）按规定时限完成专业培训；政策咨询建议。</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月</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全年各项统计工作培训会</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万元</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10.13</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通过培训对统计调查工作起到促进作用</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级</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统计调查业务工作培训效果</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级</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05" w:type="dxa"/>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统计系统、部门参训人员满意度</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72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合计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仿宋" w:hAnsi="仿宋" w:eastAsia="仿宋" w:cs="仿宋"/>
                <w:i w:val="0"/>
                <w:iCs w:val="0"/>
                <w:color w:val="auto"/>
                <w:sz w:val="18"/>
                <w:szCs w:val="18"/>
                <w:highlight w:val="none"/>
                <w:u w:val="none"/>
              </w:rPr>
            </w:pPr>
            <w:r>
              <w:rPr>
                <w:rFonts w:hint="default" w:ascii="仿宋" w:hAnsi="仿宋" w:eastAsia="仿宋" w:cs="仿宋"/>
                <w:i w:val="0"/>
                <w:iCs w:val="0"/>
                <w:color w:val="auto"/>
                <w:sz w:val="18"/>
                <w:szCs w:val="18"/>
                <w:highlight w:val="none"/>
                <w:u w:val="none"/>
              </w:rPr>
              <w:t>100</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仿宋" w:hAnsi="仿宋" w:eastAsia="仿宋" w:cs="仿宋"/>
                <w:i w:val="0"/>
                <w:iCs w:val="0"/>
                <w:color w:val="auto"/>
                <w:sz w:val="18"/>
                <w:szCs w:val="18"/>
                <w:highlight w:val="none"/>
                <w:u w:val="none"/>
              </w:rPr>
            </w:pPr>
            <w:r>
              <w:rPr>
                <w:rFonts w:hint="default" w:ascii="仿宋" w:hAnsi="仿宋" w:eastAsia="仿宋" w:cs="仿宋"/>
                <w:i w:val="0"/>
                <w:iCs w:val="0"/>
                <w:color w:val="auto"/>
                <w:sz w:val="18"/>
                <w:szCs w:val="18"/>
                <w:highlight w:val="none"/>
                <w:u w:val="none"/>
              </w:rPr>
              <w:t>98</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部门（单位）自评结论</w:t>
            </w:r>
          </w:p>
        </w:tc>
        <w:tc>
          <w:tcPr>
            <w:tcW w:w="99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项目主管部门为局机关，在该项目管理中的职能为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十次党代会以来广元主要经济指标》《投资统计制度变革相关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部门（单位）自评存在问题</w:t>
            </w:r>
          </w:p>
        </w:tc>
        <w:tc>
          <w:tcPr>
            <w:tcW w:w="99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统计产品印制项目都是基于统计各专业的培训、资料印制工作的整合，是由每年工作任务中的多个统计业务组成，整合后的项目资金投入较少。追加项目中也存在相关专项统计调查业务资料的印制等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部门（单位）自评改进措施</w:t>
            </w:r>
          </w:p>
        </w:tc>
        <w:tc>
          <w:tcPr>
            <w:tcW w:w="99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财政部门对口科室复评结论及整改要求</w:t>
            </w:r>
          </w:p>
        </w:tc>
        <w:tc>
          <w:tcPr>
            <w:tcW w:w="99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单位项目负责人：邓维</w:t>
            </w:r>
          </w:p>
        </w:tc>
        <w:tc>
          <w:tcPr>
            <w:tcW w:w="63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63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0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bl>
    <w:p>
      <w:pPr>
        <w:pStyle w:val="8"/>
        <w:shd w:val="clea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附件2-4</w:t>
      </w:r>
    </w:p>
    <w:p>
      <w:pPr>
        <w:shd w:val="clear"/>
        <w:rPr>
          <w:rFonts w:hint="default"/>
          <w:color w:val="auto"/>
          <w:highlight w:val="none"/>
          <w:lang w:val="en-US" w:eastAsia="zh-CN"/>
        </w:rPr>
      </w:pPr>
    </w:p>
    <w:tbl>
      <w:tblPr>
        <w:tblStyle w:val="16"/>
        <w:tblpPr w:leftFromText="180" w:rightFromText="180" w:vertAnchor="text" w:horzAnchor="page" w:tblpX="296" w:tblpY="672"/>
        <w:tblOverlap w:val="never"/>
        <w:tblW w:w="11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950"/>
        <w:gridCol w:w="950"/>
        <w:gridCol w:w="950"/>
        <w:gridCol w:w="950"/>
        <w:gridCol w:w="950"/>
        <w:gridCol w:w="950"/>
        <w:gridCol w:w="950"/>
        <w:gridCol w:w="950"/>
        <w:gridCol w:w="950"/>
        <w:gridCol w:w="950"/>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400"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项目名称</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统计等保测评信息化运维项目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主管部门（盖章）</w:t>
            </w:r>
          </w:p>
        </w:tc>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实施单位 （盖章）</w:t>
            </w:r>
          </w:p>
        </w:tc>
        <w:tc>
          <w:tcPr>
            <w:tcW w:w="3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项目基本情况</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1.项目年度目标完成情况</w:t>
            </w:r>
          </w:p>
        </w:tc>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项目年度目标</w:t>
            </w:r>
          </w:p>
        </w:tc>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保障全局信息化建设顺利推进，提升全市统计系统信息化水平，确保统计数据及时准确收集，为市委市政府决策提供参考依据，完成统计“一套表”平台、五证合一平台、四川统计综合管理平台、统计多个业务系统、中心机房等的建设运维和网络信息安全保障，推进系统整合共享。完成年度重要信息系统等级保护测评工作。</w:t>
            </w:r>
          </w:p>
        </w:tc>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保障全局信息化建设顺利推进，提升全市统计系统信息化水平，确保统计数据及时准确收集，为市委市政府决策提供参考依据，完成统计“一套表”平台、五证合一平台、四川统计综合管理平台、统计多个业务系统、中心机房等的建设运维和网络信息安全保障，推进系统整合共享。完成年度重要信息系统等级保护测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2.项目实施内容及过程概述</w:t>
            </w:r>
          </w:p>
        </w:tc>
        <w:tc>
          <w:tcPr>
            <w:tcW w:w="95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完成统计“一套表”平台、五证合一平台、四川统计综合管理平台、统计多个业务系统、中心机房等的建设运维和网络信息安全保障，推进系统整合共享。完成年度重要信息系统等级保护测评工作。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预算执行情况（10分）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年度预算数（万元）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年初预算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调整后预算数</w:t>
            </w: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权重%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部门自评得分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财政部门科室复评得分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总额</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其中：财政资金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财政专户管理资金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单位资金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其他资金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绩效指标（90分）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二级指标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三级指标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指标性质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指标值</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度量单位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完成值</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权重</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部门自评得分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财政部门科室复评得分</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9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完成年度重要信息系统等级保护测评工作。</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机房设备更新升级、一套表平台、名录库综合管理平台套数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（质量达标率）项目达到中心机房测评维护预期安全值</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按期完成测评及维护</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个月</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等保测评费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万元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信息化运维材料及服务经费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万元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确保数据安全及管控好舆情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定性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好</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与国家、省级平台有效衔接率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50" w:type="dxa"/>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统计系统网络使用用户满意度</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合计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仿宋" w:hAnsi="仿宋" w:eastAsia="仿宋" w:cs="仿宋"/>
                <w:i w:val="0"/>
                <w:iCs w:val="0"/>
                <w:color w:val="auto"/>
                <w:sz w:val="22"/>
                <w:szCs w:val="22"/>
                <w:highlight w:val="none"/>
                <w:u w:val="none"/>
              </w:rPr>
            </w:pPr>
            <w:r>
              <w:rPr>
                <w:rFonts w:hint="default" w:ascii="仿宋" w:hAnsi="仿宋" w:eastAsia="仿宋" w:cs="仿宋"/>
                <w:i w:val="0"/>
                <w:iCs w:val="0"/>
                <w:color w:val="auto"/>
                <w:sz w:val="22"/>
                <w:szCs w:val="22"/>
                <w:highlight w:val="none"/>
                <w:u w:val="none"/>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部门（单位）自评结论</w:t>
            </w:r>
          </w:p>
        </w:tc>
        <w:tc>
          <w:tcPr>
            <w:tcW w:w="10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项目主管部门为局机关，在该项目管理中的职能为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十次党代会以来广元主要经济指标》《投资统计制度变革相关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部门（单位）自评存在问题</w:t>
            </w:r>
          </w:p>
        </w:tc>
        <w:tc>
          <w:tcPr>
            <w:tcW w:w="10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统计产品印制项目都是基于统计各专业的培训、资料印制工作的整合，是由每年工作任务中的多个统计业务组成，整合后的项目资金投入较少。追加项目中也存在相关专项统计调查业务资料的印制等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部门（单位）自评改进措施</w:t>
            </w:r>
          </w:p>
        </w:tc>
        <w:tc>
          <w:tcPr>
            <w:tcW w:w="10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财政部门对口科室复评结论及整改要求</w:t>
            </w:r>
          </w:p>
        </w:tc>
        <w:tc>
          <w:tcPr>
            <w:tcW w:w="10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单位项目负责人：邓维</w:t>
            </w:r>
          </w:p>
        </w:tc>
        <w:tc>
          <w:tcPr>
            <w:tcW w:w="6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66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4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bl>
    <w:p>
      <w:pPr>
        <w:pStyle w:val="8"/>
        <w:shd w:val="clear"/>
        <w:rPr>
          <w:rFonts w:hint="default" w:hAnsi="宋体" w:cs="宋体"/>
          <w:color w:val="auto"/>
          <w:kern w:val="0"/>
          <w:sz w:val="32"/>
          <w:szCs w:val="32"/>
          <w:highlight w:val="none"/>
          <w:shd w:val="clear" w:color="auto" w:fill="FFFFFF"/>
          <w:lang w:val="en-US" w:eastAsia="zh-CN"/>
        </w:rPr>
      </w:pPr>
    </w:p>
    <w:p>
      <w:pPr>
        <w:pStyle w:val="23"/>
        <w:keepNext w:val="0"/>
        <w:keepLines w:val="0"/>
        <w:pageBreakBefore w:val="0"/>
        <w:widowControl w:val="0"/>
        <w:shd w:val="clear"/>
        <w:kinsoku/>
        <w:wordWrap/>
        <w:overflowPunct/>
        <w:topLinePunct w:val="0"/>
        <w:autoSpaceDE/>
        <w:autoSpaceDN/>
        <w:bidi w:val="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8"/>
        <w:shd w:val="clear"/>
        <w:rPr>
          <w:rFonts w:hint="default"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附件2-5</w:t>
      </w:r>
    </w:p>
    <w:tbl>
      <w:tblPr>
        <w:tblStyle w:val="16"/>
        <w:tblW w:w="10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3"/>
        <w:gridCol w:w="903"/>
        <w:gridCol w:w="903"/>
        <w:gridCol w:w="903"/>
        <w:gridCol w:w="700"/>
        <w:gridCol w:w="660"/>
        <w:gridCol w:w="1185"/>
        <w:gridCol w:w="1068"/>
        <w:gridCol w:w="903"/>
        <w:gridCol w:w="903"/>
        <w:gridCol w:w="903"/>
        <w:gridCol w:w="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10840"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项目名称</w:t>
            </w:r>
          </w:p>
        </w:tc>
        <w:tc>
          <w:tcPr>
            <w:tcW w:w="90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统计调查专项经费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主管部门（盖章）</w:t>
            </w:r>
          </w:p>
        </w:tc>
        <w:tc>
          <w:tcPr>
            <w:tcW w:w="4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实施单位 （盖章）</w:t>
            </w:r>
          </w:p>
        </w:tc>
        <w:tc>
          <w:tcPr>
            <w:tcW w:w="3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项目基本情况</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1.项目年度目标完成情况</w:t>
            </w:r>
          </w:p>
        </w:tc>
        <w:tc>
          <w:tcPr>
            <w:tcW w:w="4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项目年度目标</w:t>
            </w:r>
          </w:p>
        </w:tc>
        <w:tc>
          <w:tcPr>
            <w:tcW w:w="4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43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组织实施全市人口抽样变动调查、劳动工资、经济运行、文化产业、亿元项目、固定资产投资、建筑业、房地产业的统计调查，对投资项目、房地产市场运行情况等进行统计数据监测；收集、整理和提供有关统计调查数据，对有关数据质量进行检查和评估，检查指导有关专业统计基础工作；进行统计分析。</w:t>
            </w:r>
          </w:p>
        </w:tc>
        <w:tc>
          <w:tcPr>
            <w:tcW w:w="46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组织实施全市人口抽样变动调查、劳动工资、经济运行、文化产业、亿元项目、固定资产投资、建筑业、房地产业的统计调查，对投资项目、房地产市场运行情况等进行统计数据监测；收集、整理和提供有关统计调查数据，对有关数据质量进行检查和评估，检查指导有关专业统计基础工作；进行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2.项目实施内容及过程概述</w:t>
            </w:r>
          </w:p>
        </w:tc>
        <w:tc>
          <w:tcPr>
            <w:tcW w:w="90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市2022年人口抽样变动调查、劳动工资、经济运行、文化产业、亿元项目、固定资产投资、建筑业、房地产业的统计调查，对投资项目、房地产市场运行情况等进行统计数据监测；收集、整理和提供有关统计调查数据，对有关数据质量进行检查和评估，检查指导有关专业统计基础工作；进行统计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预算执行情况（10分）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年度预算数（万元）</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年初预算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调整后预算数</w:t>
            </w: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预算执行率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权重%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部门自评得分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财政部门科室复评得分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总额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18.28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18.28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其中：财政资金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18.28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18.28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财政专户管理资金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其他资金</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5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绩效指标（90分）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二级指标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三级指标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指标值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度量单位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权重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部门自评得分</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财政部门科室复评得分</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90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广元企业创新调查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2022年劳动工资季报数据核查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规模以下服务业抽样调查为季度报表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72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次</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72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新进规工业和规上工业核查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60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60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2022年人口变动抽样调查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企业研发调查企业</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615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615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重大政策落实情况满意度绝对误差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8"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按规定时限完成调查任务；政策咨询建议及时提出并报告。</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3" w:type="dxa"/>
            <w:tcBorders>
              <w:top w:val="nil"/>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统计调查项目标准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18.28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万元</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18.28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20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20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调查数据使用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95</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9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99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合计</w:t>
            </w:r>
          </w:p>
        </w:tc>
        <w:tc>
          <w:tcPr>
            <w:tcW w:w="99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部门（单位）自评结论</w:t>
            </w:r>
          </w:p>
        </w:tc>
        <w:tc>
          <w:tcPr>
            <w:tcW w:w="993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项目主管部门为局机关，在该项目管理中的职能为做精做细了《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省十次党代会以来广元主要经济指标》《投资统计制度变革相关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部门（单位）自评存在问题</w:t>
            </w:r>
          </w:p>
        </w:tc>
        <w:tc>
          <w:tcPr>
            <w:tcW w:w="65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部门（单位）自评改进措施</w:t>
            </w:r>
          </w:p>
        </w:tc>
        <w:tc>
          <w:tcPr>
            <w:tcW w:w="65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108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财政部门对口科室复评结论及整改要求</w:t>
            </w:r>
          </w:p>
        </w:tc>
      </w:tr>
    </w:tbl>
    <w:p>
      <w:pPr>
        <w:keepNext w:val="0"/>
        <w:keepLines w:val="0"/>
        <w:pageBreakBefore w:val="0"/>
        <w:widowControl w:val="0"/>
        <w:shd w:val="clear"/>
        <w:kinsoku/>
        <w:wordWrap/>
        <w:overflowPunct/>
        <w:topLinePunct w:val="0"/>
        <w:autoSpaceDE/>
        <w:autoSpaceDN/>
        <w:bidi w:val="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8"/>
        <w:shd w:val="clear"/>
        <w:rPr>
          <w:rFonts w:hint="default"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t>附件2-6</w:t>
      </w:r>
    </w:p>
    <w:tbl>
      <w:tblPr>
        <w:tblStyle w:val="16"/>
        <w:tblW w:w="106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7"/>
        <w:gridCol w:w="56"/>
        <w:gridCol w:w="767"/>
        <w:gridCol w:w="112"/>
        <w:gridCol w:w="710"/>
        <w:gridCol w:w="168"/>
        <w:gridCol w:w="656"/>
        <w:gridCol w:w="220"/>
        <w:gridCol w:w="594"/>
        <w:gridCol w:w="280"/>
        <w:gridCol w:w="555"/>
        <w:gridCol w:w="336"/>
        <w:gridCol w:w="503"/>
        <w:gridCol w:w="436"/>
        <w:gridCol w:w="444"/>
        <w:gridCol w:w="447"/>
        <w:gridCol w:w="388"/>
        <w:gridCol w:w="503"/>
        <w:gridCol w:w="332"/>
        <w:gridCol w:w="559"/>
        <w:gridCol w:w="276"/>
        <w:gridCol w:w="636"/>
        <w:gridCol w:w="226"/>
        <w:gridCol w:w="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68" w:type="dxa"/>
          <w:trHeight w:val="908" w:hRule="atLeast"/>
        </w:trPr>
        <w:tc>
          <w:tcPr>
            <w:tcW w:w="10031" w:type="dxa"/>
            <w:gridSpan w:val="23"/>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514" w:hRule="atLeast"/>
        </w:trPr>
        <w:tc>
          <w:tcPr>
            <w:tcW w:w="1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项目名称</w:t>
            </w:r>
          </w:p>
        </w:tc>
        <w:tc>
          <w:tcPr>
            <w:tcW w:w="836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基本单位名录库专项工作经费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615" w:hRule="atLeast"/>
        </w:trPr>
        <w:tc>
          <w:tcPr>
            <w:tcW w:w="1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主管部门（盖章）</w:t>
            </w:r>
          </w:p>
        </w:tc>
        <w:tc>
          <w:tcPr>
            <w:tcW w:w="41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实施单位 （盖章）</w:t>
            </w:r>
          </w:p>
        </w:tc>
        <w:tc>
          <w:tcPr>
            <w:tcW w:w="33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553"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项目基本情况</w:t>
            </w:r>
          </w:p>
        </w:tc>
        <w:tc>
          <w:tcPr>
            <w:tcW w:w="8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1.项目年度目标完成情况</w:t>
            </w:r>
          </w:p>
        </w:tc>
        <w:tc>
          <w:tcPr>
            <w:tcW w:w="41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项目年度目标</w:t>
            </w:r>
          </w:p>
        </w:tc>
        <w:tc>
          <w:tcPr>
            <w:tcW w:w="41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523"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41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面维护基本单位名录库，实时新增、变更、剔除，确保名录库数据质量，如实反映全社会经济发展情况；完成“四上”企业入库申报工作；建立“四上”企业培育库；对入库企业进行现场核查和平台审批，保证入库企业真实存在、达到规模标准、数据真实可靠。</w:t>
            </w:r>
          </w:p>
        </w:tc>
        <w:tc>
          <w:tcPr>
            <w:tcW w:w="41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面维护基本单位名录库，实时新增、变更、剔除，确保名录库数据质量，如实反映全社会经济发展情况；完成“四上”企业入库申报工作；建立“四上”企业培育库；对入库企业进行现场核查和平台审批，保证入库企业真实存在、达到规模标准、数据真实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2.项目实施内容及过程概述</w:t>
            </w:r>
          </w:p>
        </w:tc>
        <w:tc>
          <w:tcPr>
            <w:tcW w:w="8360"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面维护基本单位名录库，实时新增、变更、剔除，确保名录库数据质量，如实反映全社会经济发展情况；完成“四上”企业入库申报工作；建立“四上”企业培育库；对入库企业进行现场核查和平台审批，保证入库企业真实存在、达到规模标准、数据真实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预算执行情况（10分）</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年度预算数（万元）</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年初预算</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调整后预算数</w:t>
            </w: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预算执行数</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476"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总额</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615"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其中：财政资金</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615"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财政专户管理资金</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359"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单位资金</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4603"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其他资金</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5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绩效指标（90分）</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一级指标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二级指标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三级指标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指标性质</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指标值</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度量单位</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完成值</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523"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835"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名录库维护工作会、规范化建设、试点</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场次</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22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名录库“四上”企业申报月卡制作</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确保名录库入库企业数量</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631"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完成时限</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月</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523"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35"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名录库入库核查、规范化建设及试点成本</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220"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名录库四上企业月卡印制成本</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825"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名录库数据为党委政府提供经济发展状况有力依据</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w:t>
            </w:r>
          </w:p>
        </w:tc>
        <w:tc>
          <w:tcPr>
            <w:tcW w:w="839" w:type="dxa"/>
            <w:gridSpan w:val="2"/>
            <w:tcBorders>
              <w:top w:val="nil"/>
              <w:left w:val="nil"/>
              <w:bottom w:val="nil"/>
              <w:right w:val="nil"/>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523"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确保基本单位名录库数据及分析服务工作</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服务对象满意度指标</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四上企业入库服务工作评价</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10</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9</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49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合计</w:t>
            </w:r>
          </w:p>
        </w:tc>
        <w:tc>
          <w:tcPr>
            <w:tcW w:w="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22"/>
                <w:szCs w:val="22"/>
                <w:highlight w:val="none"/>
                <w:u w:val="none"/>
              </w:rPr>
            </w:pPr>
            <w:r>
              <w:rPr>
                <w:rFonts w:hint="default" w:ascii="仿宋" w:hAnsi="仿宋" w:eastAsia="仿宋" w:cs="仿宋"/>
                <w:i w:val="0"/>
                <w:iCs w:val="0"/>
                <w:color w:val="auto"/>
                <w:kern w:val="0"/>
                <w:sz w:val="22"/>
                <w:szCs w:val="22"/>
                <w:highlight w:val="none"/>
                <w:u w:val="none"/>
                <w:lang w:eastAsia="zh-CN" w:bidi="ar"/>
              </w:rPr>
              <w:t>9</w:t>
            </w:r>
            <w:r>
              <w:rPr>
                <w:rFonts w:hint="eastAsia" w:ascii="仿宋" w:hAnsi="仿宋" w:eastAsia="仿宋" w:cs="仿宋"/>
                <w:i w:val="0"/>
                <w:iCs w:val="0"/>
                <w:color w:val="auto"/>
                <w:kern w:val="0"/>
                <w:sz w:val="22"/>
                <w:szCs w:val="22"/>
                <w:highlight w:val="none"/>
                <w:u w:val="none"/>
                <w:lang w:val="en-US" w:eastAsia="zh-CN" w:bidi="ar"/>
              </w:rPr>
              <w:t>8</w:t>
            </w:r>
          </w:p>
        </w:tc>
        <w:tc>
          <w:tcPr>
            <w:tcW w:w="8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部门（单位）自评结论</w:t>
            </w:r>
          </w:p>
        </w:tc>
        <w:tc>
          <w:tcPr>
            <w:tcW w:w="919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全面维护基本单位名录库，实时新增、变更、剔除，确保名录库数据质量，如实反映全社会经济发展情况；完成“四上”企业入库申报工作；建立“四上”企业培育库；对入库企业进行现场核查和平台审批，保证入库企业真实存在、达到规模标准、数据真实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部门（单位）自评存在问题</w:t>
            </w:r>
          </w:p>
        </w:tc>
        <w:tc>
          <w:tcPr>
            <w:tcW w:w="919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918"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部门（单位）自评改进措施</w:t>
            </w:r>
          </w:p>
        </w:tc>
        <w:tc>
          <w:tcPr>
            <w:tcW w:w="919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1523"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财政部门对口科室复评结论及整改要求</w:t>
            </w:r>
          </w:p>
        </w:tc>
        <w:tc>
          <w:tcPr>
            <w:tcW w:w="9196"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514" w:hRule="atLeast"/>
        </w:trPr>
        <w:tc>
          <w:tcPr>
            <w:tcW w:w="41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单位项目负责人：张丽</w:t>
            </w:r>
          </w:p>
        </w:tc>
        <w:tc>
          <w:tcPr>
            <w:tcW w:w="585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534" w:hRule="atLeast"/>
        </w:trPr>
        <w:tc>
          <w:tcPr>
            <w:tcW w:w="417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585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427" w:hRule="atLeast"/>
        </w:trPr>
        <w:tc>
          <w:tcPr>
            <w:tcW w:w="10031"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68" w:type="dxa"/>
          <w:trHeight w:val="450" w:hRule="atLeast"/>
        </w:trPr>
        <w:tc>
          <w:tcPr>
            <w:tcW w:w="10031" w:type="dxa"/>
            <w:gridSpan w:val="23"/>
            <w:tcBorders>
              <w:top w:val="nil"/>
              <w:left w:val="nil"/>
              <w:bottom w:val="nil"/>
              <w:right w:val="nil"/>
            </w:tcBorders>
            <w:shd w:val="clear" w:color="auto" w:fill="auto"/>
            <w:vAlign w:val="center"/>
          </w:tcPr>
          <w:p>
            <w:pPr>
              <w:pStyle w:val="8"/>
              <w:shd w:val="clea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pPr>
            <w:r>
              <w:rPr>
                <w:rFonts w:hint="eastAsia" w:hAnsi="宋体" w:cs="宋体"/>
                <w:color w:val="auto"/>
                <w:kern w:val="0"/>
                <w:sz w:val="32"/>
                <w:szCs w:val="32"/>
                <w:highlight w:val="none"/>
                <w:shd w:val="clear" w:color="auto" w:fill="FFFFFF"/>
                <w:lang w:val="en-US" w:eastAsia="zh-CN"/>
              </w:rPr>
              <w:t>附件2-7</w:t>
            </w:r>
          </w:p>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项目名称</w:t>
            </w:r>
          </w:p>
        </w:tc>
        <w:tc>
          <w:tcPr>
            <w:tcW w:w="891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统计宣传及专业技术资格教育考试工作经费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主管部门（盖章）</w:t>
            </w:r>
          </w:p>
        </w:tc>
        <w:tc>
          <w:tcPr>
            <w:tcW w:w="44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实施单位 （盖章）</w:t>
            </w:r>
          </w:p>
        </w:tc>
        <w:tc>
          <w:tcPr>
            <w:tcW w:w="35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项目基本情况</w:t>
            </w:r>
          </w:p>
        </w:tc>
        <w:tc>
          <w:tcPr>
            <w:tcW w:w="8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1.项目年度目标完成情况</w:t>
            </w:r>
          </w:p>
        </w:tc>
        <w:tc>
          <w:tcPr>
            <w:tcW w:w="44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项目年度目标</w:t>
            </w:r>
          </w:p>
        </w:tc>
        <w:tc>
          <w:tcPr>
            <w:tcW w:w="44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44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圆满完成全国统计专业技术资格考试广元考务工作，确保基层统计人员岗证相符，提升统计能力和水平；全面完成省统计局杂志征订宣传任务。</w:t>
            </w:r>
          </w:p>
        </w:tc>
        <w:tc>
          <w:tcPr>
            <w:tcW w:w="44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圆满完成全国统计专业技术资格考试广元考务工作，确保基层统计人员岗证相符，提升统计能力和水平；全面完成省统计局杂志征订宣传任务。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2.项目实施内容及过程概述</w:t>
            </w:r>
          </w:p>
        </w:tc>
        <w:tc>
          <w:tcPr>
            <w:tcW w:w="8916"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圆满完成全国统计专业技术资格考试广元考务工作，确保基层统计人员岗证相符，提升统计能力和水平；全面完成省统计局杂志征订宣传任务。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预算执行情况（10分）</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年度预算数（万元）</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年初预算</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调整后预算数</w:t>
            </w: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预算执行数</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总额</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其中：财政资金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财政专户管理资金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其他资金</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绩效指标（90分）</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一级指标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二级指标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三级指标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指标性质</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指标值</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度量单位</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完成值</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891"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全国统计专项技术考试</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场次</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征订《四川省情》《中国统计》《中国国情国力》</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本</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统计微平台宣传教育工作</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期/年</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完成省统计局杂志征订</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好坏</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完成全国统计专业技术资格考试广元考务工作</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好坏</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完成时限</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月</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91"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统计微平台服务费</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2.53</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2.53</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统计征订杂志</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1.47</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1.47</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提升全社会对统计的知晓率和参与度</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确保全市考生顺利完成统计专业技术职称考试</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确保一年一度全国统计专业技术资格考试顺利完成</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好坏</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好坏</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2"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服务对象满意度指标</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确保统计专业考试考生满意度</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95</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合计</w:t>
            </w:r>
          </w:p>
        </w:tc>
        <w:tc>
          <w:tcPr>
            <w:tcW w:w="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仿宋" w:hAnsi="仿宋" w:eastAsia="仿宋" w:cs="仿宋"/>
                <w:i w:val="0"/>
                <w:iCs w:val="0"/>
                <w:color w:val="auto"/>
                <w:sz w:val="22"/>
                <w:szCs w:val="22"/>
                <w:highlight w:val="none"/>
                <w:u w:val="none"/>
              </w:rPr>
            </w:pPr>
            <w:r>
              <w:rPr>
                <w:rFonts w:hint="default" w:ascii="仿宋" w:hAnsi="仿宋" w:eastAsia="仿宋" w:cs="仿宋"/>
                <w:i w:val="0"/>
                <w:iCs w:val="0"/>
                <w:color w:val="auto"/>
                <w:sz w:val="22"/>
                <w:szCs w:val="22"/>
                <w:highlight w:val="none"/>
                <w:u w:val="none"/>
              </w:rPr>
              <w:t>100</w:t>
            </w:r>
          </w:p>
        </w:tc>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部门（单位）自评结论</w:t>
            </w:r>
          </w:p>
        </w:tc>
        <w:tc>
          <w:tcPr>
            <w:tcW w:w="980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圆满完成全国统计专业技术资格考试广元考务工作，确保基层统计人员岗证相符，提升统计能力和水平；全面完成省统计局杂志征订宣传任务。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部门（单位）自评存在问题</w:t>
            </w:r>
          </w:p>
        </w:tc>
        <w:tc>
          <w:tcPr>
            <w:tcW w:w="980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部门（单位）自评改进措施</w:t>
            </w:r>
          </w:p>
        </w:tc>
        <w:tc>
          <w:tcPr>
            <w:tcW w:w="980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财政部门对口科室复评结论及整改要求</w:t>
            </w:r>
          </w:p>
        </w:tc>
        <w:tc>
          <w:tcPr>
            <w:tcW w:w="9808"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单位项目负责人：林莉</w:t>
            </w:r>
          </w:p>
        </w:tc>
        <w:tc>
          <w:tcPr>
            <w:tcW w:w="624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4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624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699"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bl>
    <w:p>
      <w:pPr>
        <w:pStyle w:val="23"/>
        <w:keepNext w:val="0"/>
        <w:keepLines w:val="0"/>
        <w:pageBreakBefore w:val="0"/>
        <w:widowControl w:val="0"/>
        <w:shd w:val="clear"/>
        <w:kinsoku/>
        <w:wordWrap/>
        <w:overflowPunct/>
        <w:topLinePunct w:val="0"/>
        <w:autoSpaceDE/>
        <w:autoSpaceDN/>
        <w:bidi w:val="0"/>
        <w:textAlignment w:val="auto"/>
        <w:outlineLvl w:val="9"/>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shd w:val="clea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pStyle w:val="8"/>
        <w:shd w:val="clea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pPr>
      <w:r>
        <w:rPr>
          <w:rFonts w:hint="eastAsia" w:hAnsi="宋体" w:cs="宋体"/>
          <w:color w:val="auto"/>
          <w:kern w:val="0"/>
          <w:sz w:val="32"/>
          <w:szCs w:val="32"/>
          <w:highlight w:val="none"/>
          <w:shd w:val="clear" w:color="auto" w:fill="FFFFFF"/>
          <w:lang w:val="en-US" w:eastAsia="zh-CN"/>
        </w:rPr>
        <w:t>附件2-8</w:t>
      </w:r>
    </w:p>
    <w:p>
      <w:pPr>
        <w:pStyle w:val="2"/>
        <w:shd w:val="clear"/>
        <w:rPr>
          <w:rFonts w:hint="eastAsia"/>
          <w:color w:val="auto"/>
          <w:highlight w:val="none"/>
          <w:lang w:val="zh-CN" w:eastAsia="zh-CN"/>
        </w:rPr>
      </w:pPr>
    </w:p>
    <w:tbl>
      <w:tblPr>
        <w:tblStyle w:val="16"/>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5"/>
        <w:gridCol w:w="865"/>
        <w:gridCol w:w="865"/>
        <w:gridCol w:w="865"/>
        <w:gridCol w:w="865"/>
        <w:gridCol w:w="865"/>
        <w:gridCol w:w="865"/>
        <w:gridCol w:w="865"/>
        <w:gridCol w:w="865"/>
        <w:gridCol w:w="865"/>
        <w:gridCol w:w="865"/>
        <w:gridCol w:w="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0380" w:type="dxa"/>
            <w:gridSpan w:val="12"/>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ascii="方正小标宋简体" w:hAnsi="方正小标宋简体" w:eastAsia="方正小标宋简体" w:cs="方正小标宋简体"/>
                <w:i w:val="0"/>
                <w:iCs w:val="0"/>
                <w:color w:val="auto"/>
                <w:sz w:val="36"/>
                <w:szCs w:val="36"/>
                <w:highlight w:val="none"/>
                <w:u w:val="none"/>
              </w:rPr>
            </w:pPr>
            <w:r>
              <w:rPr>
                <w:rFonts w:hint="default" w:ascii="方正小标宋简体" w:hAnsi="方正小标宋简体" w:eastAsia="方正小标宋简体" w:cs="方正小标宋简体"/>
                <w:i w:val="0"/>
                <w:iCs w:val="0"/>
                <w:color w:val="auto"/>
                <w:kern w:val="0"/>
                <w:sz w:val="36"/>
                <w:szCs w:val="36"/>
                <w:highlight w:val="none"/>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项目名称</w:t>
            </w:r>
          </w:p>
        </w:tc>
        <w:tc>
          <w:tcPr>
            <w:tcW w:w="86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主管部门（盖章）</w:t>
            </w: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实施单位 （盖章）</w:t>
            </w:r>
          </w:p>
        </w:tc>
        <w:tc>
          <w:tcPr>
            <w:tcW w:w="3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广元市统计局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项目基本情况</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1.项目年度目标完成情况</w:t>
            </w: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项目年度目标</w:t>
            </w: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顺利实现帮扶的剑阁县普安镇鹤鸣村基础设施建设不断提升，产业发展不断优化，服务群众更加务实，基层组织建设更加有力，脱贫户持续稳定增收，推动巩固脱贫攻坚成果、接续推进乡村振兴各项工作。</w:t>
            </w:r>
          </w:p>
        </w:tc>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顺利实现帮扶的剑阁县普安镇鹤鸣村基础设施建设不断提升，产业发展不断优化，服务群众更加务实，基层组织建设更加有力，脱贫户持续稳定增收，推动巩固脱贫攻坚成果、接续推进乡村振兴各项工作。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2.项目实施内容及过程概述</w:t>
            </w:r>
          </w:p>
        </w:tc>
        <w:tc>
          <w:tcPr>
            <w:tcW w:w="86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保障驻村工作队3人差旅费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预算执行情况（10分）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年度预算数（万元）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年初预算</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调整后预算数</w:t>
            </w: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预算执行率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总额</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5.46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5.46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其中：财政资金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5.46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5.46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财政专户管理资金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6"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其他资金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25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绩效指标（90分）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一级指标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二级指标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三级指标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指标性质</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指标值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度量单位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完成值</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部门自评得分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财政部门科室复评得分</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产出指标</w:t>
            </w:r>
          </w:p>
        </w:tc>
        <w:tc>
          <w:tcPr>
            <w:tcW w:w="86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数量指标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剑阁县普安镇鹤鸣村</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驻村帮扶队员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人数</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质量指标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完成2022乡村振兴帮扶工作</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高中低</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高中低</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时效指标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完成时限</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月</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6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驻村队员3人生活补助及差旅费</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4.28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4.28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continue"/>
            <w:tcBorders>
              <w:top w:val="nil"/>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网络费、水电、一次性补助</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0.58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0.58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nil"/>
              <w:left w:val="single" w:color="000000" w:sz="4" w:space="0"/>
              <w:bottom w:val="nil"/>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成本指标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网络费、水电、一次性补助</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0.58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万元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0.58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效益指标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社会效益指标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乡村振兴各项工作有序推进</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高中低</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高中低</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可持续影响指标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引导群众持续提升增收能力</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定性</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好坏</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好坏</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满意度指标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帮扶对象满意度指标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帮扶村群众对乡村振兴工作满意度</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合计</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b/>
                <w:bCs/>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仿宋" w:hAnsi="仿宋" w:eastAsia="仿宋" w:cs="仿宋"/>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default" w:ascii="仿宋" w:hAnsi="仿宋" w:eastAsia="仿宋" w:cs="仿宋"/>
                <w:i w:val="0"/>
                <w:iCs w:val="0"/>
                <w:color w:val="auto"/>
                <w:sz w:val="22"/>
                <w:szCs w:val="22"/>
                <w:highlight w:val="none"/>
                <w:u w:val="none"/>
              </w:rPr>
            </w:pPr>
            <w:r>
              <w:rPr>
                <w:rFonts w:hint="default" w:ascii="仿宋" w:hAnsi="仿宋" w:eastAsia="仿宋" w:cs="仿宋"/>
                <w:i w:val="0"/>
                <w:iCs w:val="0"/>
                <w:color w:val="auto"/>
                <w:sz w:val="22"/>
                <w:szCs w:val="22"/>
                <w:highlight w:val="none"/>
                <w:u w:val="none"/>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hd w:val="clear"/>
              <w:rPr>
                <w:rFonts w:hint="eastAsia" w:ascii="仿宋" w:hAnsi="仿宋" w:eastAsia="仿宋" w:cs="仿宋"/>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部门（单位）自评结论</w:t>
            </w:r>
          </w:p>
        </w:tc>
        <w:tc>
          <w:tcPr>
            <w:tcW w:w="9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6"/>
                <w:szCs w:val="16"/>
                <w:highlight w:val="none"/>
                <w:u w:val="none"/>
              </w:rPr>
            </w:pPr>
            <w:r>
              <w:rPr>
                <w:rFonts w:hint="eastAsia" w:ascii="仿宋" w:hAnsi="仿宋" w:eastAsia="仿宋" w:cs="仿宋"/>
                <w:i w:val="0"/>
                <w:iCs w:val="0"/>
                <w:color w:val="auto"/>
                <w:kern w:val="0"/>
                <w:sz w:val="16"/>
                <w:szCs w:val="16"/>
                <w:highlight w:val="none"/>
                <w:u w:val="none"/>
                <w:lang w:val="en-US" w:eastAsia="zh-CN" w:bidi="ar"/>
              </w:rPr>
              <w:t>顺利实现帮扶的剑阁县普安镇鹤鸣村基础设施建设不断提升，产业发展不断优化，服务群众更加务实，基层组织建设更加有力，脱贫户持续稳定增收，推动巩固脱贫攻坚成果、接续推进乡村振兴各项工作。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部门（单位）自评存在问题</w:t>
            </w:r>
          </w:p>
        </w:tc>
        <w:tc>
          <w:tcPr>
            <w:tcW w:w="9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部门（单位）自评改进措施</w:t>
            </w:r>
          </w:p>
        </w:tc>
        <w:tc>
          <w:tcPr>
            <w:tcW w:w="9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default" w:ascii="仿宋" w:hAnsi="仿宋" w:eastAsia="仿宋" w:cs="仿宋"/>
                <w:i w:val="0"/>
                <w:iCs w:val="0"/>
                <w:color w:val="auto"/>
                <w:sz w:val="16"/>
                <w:szCs w:val="16"/>
                <w:highlight w:val="none"/>
                <w:u w:val="none"/>
              </w:rPr>
            </w:pPr>
            <w:r>
              <w:rPr>
                <w:rFonts w:hint="default" w:ascii="仿宋" w:hAnsi="仿宋" w:eastAsia="仿宋" w:cs="仿宋"/>
                <w:i w:val="0"/>
                <w:iCs w:val="0"/>
                <w:color w:val="auto"/>
                <w:sz w:val="16"/>
                <w:szCs w:val="16"/>
                <w:highlight w:val="none"/>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财政部门对口科室复评结论及整改要求</w:t>
            </w:r>
          </w:p>
        </w:tc>
        <w:tc>
          <w:tcPr>
            <w:tcW w:w="95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仿宋" w:hAnsi="仿宋" w:eastAsia="仿宋" w:cs="仿宋"/>
                <w:i w:val="0"/>
                <w:iCs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单位项目负责人：王智</w:t>
            </w:r>
          </w:p>
        </w:tc>
        <w:tc>
          <w:tcPr>
            <w:tcW w:w="60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单位财务负责人：陈婷婷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3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部门项目负责人：</w:t>
            </w:r>
          </w:p>
        </w:tc>
        <w:tc>
          <w:tcPr>
            <w:tcW w:w="605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38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财政部门科室负责人：</w:t>
            </w:r>
          </w:p>
        </w:tc>
      </w:tr>
    </w:tbl>
    <w:p>
      <w:pPr>
        <w:pStyle w:val="2"/>
        <w:shd w:val="clea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p>
    <w:p>
      <w:pPr>
        <w:shd w:val="clear"/>
        <w:rPr>
          <w:rFonts w:hint="eastAsia"/>
          <w:color w:val="auto"/>
          <w:highlight w:val="none"/>
          <w:lang w:val="zh-CN" w:eastAsia="zh-CN"/>
        </w:rPr>
      </w:pPr>
    </w:p>
    <w:p>
      <w:pPr>
        <w:shd w:val="clear"/>
        <w:rPr>
          <w:rFonts w:hint="eastAsia"/>
          <w:color w:val="auto"/>
          <w:highlight w:val="none"/>
          <w:lang w:val="zh-CN" w:eastAsia="zh-CN"/>
        </w:rPr>
      </w:pPr>
    </w:p>
    <w:p>
      <w:pPr>
        <w:shd w:val="clear"/>
        <w:spacing w:line="600" w:lineRule="exact"/>
        <w:jc w:val="center"/>
        <w:outlineLvl w:val="0"/>
        <w:rPr>
          <w:rFonts w:hint="eastAsia" w:ascii="仿宋" w:hAnsi="仿宋" w:eastAsia="仿宋"/>
          <w:b w:val="0"/>
          <w:color w:val="auto"/>
          <w:highlight w:val="none"/>
        </w:rPr>
      </w:pPr>
      <w:bookmarkStart w:id="95" w:name="_Toc1805"/>
      <w:r>
        <w:rPr>
          <w:rFonts w:hint="eastAsia" w:ascii="黑体" w:hAnsi="黑体" w:eastAsia="黑体"/>
          <w:color w:val="auto"/>
          <w:sz w:val="44"/>
          <w:szCs w:val="44"/>
          <w:highlight w:val="none"/>
        </w:rPr>
        <w:t>第</w:t>
      </w:r>
      <w:r>
        <w:rPr>
          <w:rStyle w:val="20"/>
          <w:rFonts w:hint="eastAsia" w:ascii="黑体" w:hAnsi="黑体" w:eastAsia="黑体"/>
          <w:b w:val="0"/>
          <w:color w:val="auto"/>
          <w:highlight w:val="none"/>
        </w:rPr>
        <w:t>五部分 附表</w:t>
      </w:r>
      <w:bookmarkEnd w:id="73"/>
      <w:bookmarkEnd w:id="82"/>
      <w:bookmarkEnd w:id="95"/>
      <w:bookmarkStart w:id="96" w:name="_Toc15396619"/>
    </w:p>
    <w:p>
      <w:pPr>
        <w:pStyle w:val="5"/>
        <w:shd w:val="clear"/>
        <w:rPr>
          <w:rFonts w:ascii="仿宋" w:hAnsi="仿宋" w:eastAsia="仿宋"/>
          <w:color w:val="auto"/>
          <w:highlight w:val="none"/>
        </w:rPr>
      </w:pPr>
      <w:bookmarkStart w:id="97" w:name="_Toc29569"/>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96"/>
      <w:bookmarkEnd w:id="97"/>
    </w:p>
    <w:p>
      <w:pPr>
        <w:pStyle w:val="5"/>
        <w:shd w:val="clear"/>
        <w:rPr>
          <w:rFonts w:ascii="仿宋" w:hAnsi="仿宋" w:eastAsia="仿宋"/>
          <w:color w:val="auto"/>
          <w:highlight w:val="none"/>
        </w:rPr>
      </w:pPr>
      <w:bookmarkStart w:id="98" w:name="_Toc1583"/>
      <w:bookmarkStart w:id="99" w:name="_Toc15396620"/>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98"/>
      <w:bookmarkEnd w:id="99"/>
    </w:p>
    <w:p>
      <w:pPr>
        <w:pStyle w:val="5"/>
        <w:shd w:val="clear"/>
        <w:rPr>
          <w:rFonts w:ascii="仿宋" w:hAnsi="仿宋" w:eastAsia="仿宋"/>
          <w:color w:val="auto"/>
          <w:highlight w:val="none"/>
        </w:rPr>
      </w:pPr>
      <w:bookmarkStart w:id="100" w:name="_Toc16819"/>
      <w:bookmarkStart w:id="101" w:name="_Toc15396621"/>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100"/>
      <w:bookmarkEnd w:id="101"/>
    </w:p>
    <w:p>
      <w:pPr>
        <w:pStyle w:val="5"/>
        <w:shd w:val="clear"/>
        <w:rPr>
          <w:rFonts w:ascii="仿宋" w:hAnsi="仿宋" w:eastAsia="仿宋"/>
          <w:b w:val="0"/>
          <w:color w:val="auto"/>
          <w:highlight w:val="none"/>
        </w:rPr>
      </w:pPr>
      <w:bookmarkStart w:id="102" w:name="_Toc364"/>
      <w:bookmarkStart w:id="103" w:name="_Toc15396622"/>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102"/>
      <w:bookmarkEnd w:id="103"/>
    </w:p>
    <w:p>
      <w:pPr>
        <w:pStyle w:val="5"/>
        <w:shd w:val="clear"/>
        <w:rPr>
          <w:rStyle w:val="21"/>
          <w:rFonts w:ascii="仿宋" w:hAnsi="仿宋" w:eastAsia="仿宋"/>
          <w:b w:val="0"/>
          <w:bCs w:val="0"/>
          <w:color w:val="auto"/>
          <w:highlight w:val="none"/>
        </w:rPr>
      </w:pPr>
      <w:bookmarkStart w:id="104" w:name="_Toc17571"/>
      <w:bookmarkStart w:id="105" w:name="_Toc15396623"/>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104"/>
      <w:bookmarkEnd w:id="105"/>
      <w:bookmarkStart w:id="106" w:name="_Toc15396624"/>
    </w:p>
    <w:p>
      <w:pPr>
        <w:pStyle w:val="5"/>
        <w:shd w:val="clear"/>
        <w:rPr>
          <w:rFonts w:ascii="仿宋" w:hAnsi="仿宋" w:eastAsia="仿宋"/>
          <w:color w:val="auto"/>
          <w:highlight w:val="none"/>
        </w:rPr>
      </w:pPr>
      <w:bookmarkStart w:id="107" w:name="_Toc10311"/>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106"/>
      <w:bookmarkEnd w:id="107"/>
    </w:p>
    <w:p>
      <w:pPr>
        <w:pStyle w:val="5"/>
        <w:shd w:val="clear"/>
        <w:rPr>
          <w:rFonts w:ascii="仿宋" w:hAnsi="仿宋" w:eastAsia="仿宋"/>
          <w:color w:val="auto"/>
          <w:highlight w:val="none"/>
        </w:rPr>
      </w:pPr>
      <w:bookmarkStart w:id="108" w:name="_Toc6193"/>
      <w:bookmarkStart w:id="109" w:name="_Toc15396625"/>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108"/>
      <w:bookmarkEnd w:id="109"/>
    </w:p>
    <w:p>
      <w:pPr>
        <w:pStyle w:val="5"/>
        <w:shd w:val="clear"/>
        <w:rPr>
          <w:rFonts w:ascii="仿宋" w:hAnsi="仿宋" w:eastAsia="仿宋"/>
          <w:color w:val="auto"/>
          <w:highlight w:val="none"/>
        </w:rPr>
      </w:pPr>
      <w:bookmarkStart w:id="110" w:name="_Toc20452"/>
      <w:bookmarkStart w:id="111" w:name="_Toc15396626"/>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110"/>
      <w:bookmarkEnd w:id="111"/>
    </w:p>
    <w:p>
      <w:pPr>
        <w:pStyle w:val="5"/>
        <w:shd w:val="clear"/>
        <w:rPr>
          <w:rFonts w:ascii="仿宋" w:hAnsi="仿宋" w:eastAsia="仿宋"/>
          <w:color w:val="auto"/>
          <w:highlight w:val="none"/>
        </w:rPr>
      </w:pPr>
      <w:bookmarkStart w:id="112" w:name="_Toc19113"/>
      <w:bookmarkStart w:id="113" w:name="_Toc15396627"/>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112"/>
      <w:bookmarkEnd w:id="113"/>
    </w:p>
    <w:p>
      <w:pPr>
        <w:pStyle w:val="5"/>
        <w:shd w:val="clear"/>
        <w:rPr>
          <w:rFonts w:ascii="仿宋" w:hAnsi="仿宋" w:eastAsia="仿宋"/>
          <w:color w:val="auto"/>
          <w:highlight w:val="none"/>
        </w:rPr>
      </w:pPr>
      <w:bookmarkStart w:id="114" w:name="_Toc15396628"/>
      <w:bookmarkStart w:id="115" w:name="_Toc3116"/>
      <w:r>
        <w:rPr>
          <w:rStyle w:val="21"/>
          <w:rFonts w:hint="eastAsia" w:ascii="仿宋" w:hAnsi="仿宋" w:eastAsia="仿宋"/>
          <w:b w:val="0"/>
          <w:bCs w:val="0"/>
          <w:color w:val="auto"/>
          <w:highlight w:val="none"/>
        </w:rPr>
        <w:t>十、</w:t>
      </w:r>
      <w:bookmarkEnd w:id="114"/>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115"/>
    </w:p>
    <w:p>
      <w:pPr>
        <w:pStyle w:val="5"/>
        <w:shd w:val="clear"/>
        <w:rPr>
          <w:rFonts w:ascii="仿宋" w:hAnsi="仿宋" w:eastAsia="仿宋"/>
          <w:color w:val="auto"/>
          <w:highlight w:val="none"/>
        </w:rPr>
      </w:pPr>
      <w:bookmarkStart w:id="116" w:name="_Toc15396629"/>
      <w:bookmarkStart w:id="117" w:name="_Toc11226"/>
      <w:r>
        <w:rPr>
          <w:rStyle w:val="21"/>
          <w:rFonts w:hint="eastAsia" w:ascii="仿宋" w:hAnsi="仿宋" w:eastAsia="仿宋"/>
          <w:b w:val="0"/>
          <w:bCs w:val="0"/>
          <w:color w:val="auto"/>
          <w:highlight w:val="none"/>
        </w:rPr>
        <w:t>十一、</w:t>
      </w:r>
      <w:bookmarkEnd w:id="116"/>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117"/>
    </w:p>
    <w:p>
      <w:pPr>
        <w:pStyle w:val="5"/>
        <w:shd w:val="clear"/>
        <w:rPr>
          <w:rFonts w:ascii="仿宋" w:hAnsi="仿宋" w:eastAsia="仿宋"/>
          <w:color w:val="auto"/>
          <w:highlight w:val="none"/>
        </w:rPr>
      </w:pPr>
      <w:bookmarkStart w:id="118" w:name="_Toc15396630"/>
      <w:bookmarkStart w:id="119" w:name="_Toc29465"/>
      <w:r>
        <w:rPr>
          <w:rStyle w:val="21"/>
          <w:rFonts w:hint="eastAsia" w:ascii="仿宋" w:hAnsi="仿宋" w:eastAsia="仿宋"/>
          <w:b w:val="0"/>
          <w:bCs w:val="0"/>
          <w:color w:val="auto"/>
          <w:highlight w:val="none"/>
        </w:rPr>
        <w:t>十二、</w:t>
      </w:r>
      <w:bookmarkEnd w:id="118"/>
      <w:r>
        <w:rPr>
          <w:rStyle w:val="21"/>
          <w:rFonts w:hint="eastAsia" w:ascii="仿宋" w:hAnsi="仿宋" w:eastAsia="仿宋"/>
          <w:b w:val="0"/>
          <w:bCs w:val="0"/>
          <w:color w:val="auto"/>
          <w:highlight w:val="none"/>
          <w:lang w:eastAsia="zh-CN"/>
        </w:rPr>
        <w:t>国有资本经营预算财政拨款支出决算表</w:t>
      </w:r>
      <w:bookmarkEnd w:id="119"/>
    </w:p>
    <w:p>
      <w:pPr>
        <w:pStyle w:val="5"/>
        <w:shd w:val="clear"/>
        <w:rPr>
          <w:rFonts w:hint="eastAsia" w:eastAsia="仿宋"/>
          <w:color w:val="auto"/>
          <w:highlight w:val="none"/>
          <w:lang w:eastAsia="zh-CN"/>
        </w:rPr>
      </w:pPr>
      <w:bookmarkStart w:id="120" w:name="_Toc15396631"/>
      <w:bookmarkStart w:id="121" w:name="_Toc29110"/>
      <w:r>
        <w:rPr>
          <w:rStyle w:val="21"/>
          <w:rFonts w:hint="eastAsia" w:ascii="仿宋" w:hAnsi="仿宋" w:eastAsia="仿宋"/>
          <w:b w:val="0"/>
          <w:bCs w:val="0"/>
          <w:color w:val="auto"/>
          <w:highlight w:val="none"/>
        </w:rPr>
        <w:t>十三、</w:t>
      </w:r>
      <w:bookmarkEnd w:id="120"/>
      <w:r>
        <w:rPr>
          <w:rStyle w:val="21"/>
          <w:rFonts w:hint="eastAsia" w:ascii="仿宋" w:hAnsi="仿宋" w:eastAsia="仿宋"/>
          <w:b w:val="0"/>
          <w:bCs w:val="0"/>
          <w:color w:val="auto"/>
          <w:highlight w:val="none"/>
          <w:lang w:eastAsia="zh-CN"/>
        </w:rPr>
        <w:t>财政拨款“三公”经费支出决算表</w:t>
      </w:r>
      <w:bookmarkEnd w:id="121"/>
    </w:p>
    <w:sectPr>
      <w:footerReference r:id="rId7" w:type="first"/>
      <w:footerReference r:id="rId6" w:type="default"/>
      <w:pgSz w:w="11906" w:h="16838"/>
      <w:pgMar w:top="720" w:right="720" w:bottom="720" w:left="72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DC3E7B-B992-449A-BC90-19DFFA1631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2" w:fontKey="{6E597E39-8594-4FD3-9689-E27FCC3B96FF}"/>
  </w:font>
  <w:font w:name="仿宋_GB2312">
    <w:altName w:val="仿宋"/>
    <w:panose1 w:val="02010609030101010101"/>
    <w:charset w:val="86"/>
    <w:family w:val="modern"/>
    <w:pitch w:val="default"/>
    <w:sig w:usb0="00000000" w:usb1="00000000" w:usb2="00000010" w:usb3="00000000" w:csb0="00040000" w:csb1="00000000"/>
    <w:embedRegular r:id="rId3" w:fontKey="{8EABCDA6-5F75-4A20-801F-47FA18D283FE}"/>
  </w:font>
  <w:font w:name="仿宋">
    <w:panose1 w:val="02010609060101010101"/>
    <w:charset w:val="86"/>
    <w:family w:val="auto"/>
    <w:pitch w:val="default"/>
    <w:sig w:usb0="800002BF" w:usb1="38CF7CFA" w:usb2="00000016" w:usb3="00000000" w:csb0="00040001" w:csb1="00000000"/>
    <w:embedRegular r:id="rId4" w:fontKey="{CEAE5321-8134-4E68-B886-281B3359CBB7}"/>
  </w:font>
  <w:font w:name="??">
    <w:altName w:val="Times New Roman"/>
    <w:panose1 w:val="00000000000000000000"/>
    <w:charset w:val="00"/>
    <w:family w:val="roman"/>
    <w:pitch w:val="default"/>
    <w:sig w:usb0="00000000" w:usb1="00000000" w:usb2="00000000" w:usb3="00000000" w:csb0="00000000" w:csb1="00000000"/>
  </w:font>
  <w:font w:name="方正小标宋简体">
    <w:altName w:val="Arial Unicode MS"/>
    <w:panose1 w:val="02000000000000000000"/>
    <w:charset w:val="86"/>
    <w:family w:val="script"/>
    <w:pitch w:val="default"/>
    <w:sig w:usb0="00000000" w:usb1="00000000" w:usb2="00000000" w:usb3="00000000" w:csb0="00040000" w:csb1="00000000"/>
    <w:embedRegular r:id="rId5" w:fontKey="{5B5F4F23-950A-48AC-8102-194494205CF4}"/>
  </w:font>
  <w:font w:name="楷体_GB2312">
    <w:altName w:val="楷体"/>
    <w:panose1 w:val="02010609030101010101"/>
    <w:charset w:val="86"/>
    <w:family w:val="auto"/>
    <w:pitch w:val="default"/>
    <w:sig w:usb0="00000000" w:usb1="00000000" w:usb2="00000000" w:usb3="00000000" w:csb0="00040000" w:csb1="00000000"/>
    <w:embedRegular r:id="rId6" w:fontKey="{CE76ED21-C46D-4667-912C-754FAB5EFA53}"/>
  </w:font>
  <w:font w:name="楷体">
    <w:panose1 w:val="02010609060101010101"/>
    <w:charset w:val="86"/>
    <w:family w:val="auto"/>
    <w:pitch w:val="default"/>
    <w:sig w:usb0="800002BF" w:usb1="38CF7CFA" w:usb2="00000016" w:usb3="00000000" w:csb0="00040001" w:csb1="00000000"/>
    <w:embedRegular r:id="rId7" w:fontKey="{B50A36E5-9DC4-4E8E-97F3-9E8E22136115}"/>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960" w:firstLineChars="2200"/>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6300460"/>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366300460"/>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6105"/>
        <w:tab w:val="clear" w:pos="4153"/>
      </w:tabs>
      <w:ind w:firstLine="3960" w:firstLineChars="2200"/>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val="en-US"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239DF"/>
    <w:multiLevelType w:val="singleLevel"/>
    <w:tmpl w:val="9C0239DF"/>
    <w:lvl w:ilvl="0" w:tentative="0">
      <w:start w:val="1"/>
      <w:numFmt w:val="chineseCounting"/>
      <w:suff w:val="nothing"/>
      <w:lvlText w:val="（%1）"/>
      <w:lvlJc w:val="left"/>
      <w:rPr>
        <w:rFonts w:hint="eastAsia"/>
      </w:rPr>
    </w:lvl>
  </w:abstractNum>
  <w:abstractNum w:abstractNumId="1">
    <w:nsid w:val="C1C7CDC2"/>
    <w:multiLevelType w:val="singleLevel"/>
    <w:tmpl w:val="C1C7CDC2"/>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EB9DA664"/>
    <w:multiLevelType w:val="singleLevel"/>
    <w:tmpl w:val="EB9DA664"/>
    <w:lvl w:ilvl="0" w:tentative="0">
      <w:start w:val="4"/>
      <w:numFmt w:val="chineseCounting"/>
      <w:suff w:val="nothing"/>
      <w:lvlText w:val="（%1）"/>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070769A6"/>
    <w:multiLevelType w:val="singleLevel"/>
    <w:tmpl w:val="070769A6"/>
    <w:lvl w:ilvl="0" w:tentative="0">
      <w:start w:val="1"/>
      <w:numFmt w:val="decimal"/>
      <w:suff w:val="nothing"/>
      <w:lvlText w:val="%1．"/>
      <w:lvlJc w:val="left"/>
      <w:pPr>
        <w:ind w:left="0" w:firstLine="400"/>
      </w:pPr>
      <w:rPr>
        <w:rFonts w:hint="default" w:ascii="Times New Roman" w:hAnsi="Times New Roman" w:cs="Times New Roman"/>
        <w:sz w:val="32"/>
        <w:szCs w:val="32"/>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4F99D218"/>
    <w:multiLevelType w:val="singleLevel"/>
    <w:tmpl w:val="4F99D218"/>
    <w:lvl w:ilvl="0" w:tentative="0">
      <w:start w:val="1"/>
      <w:numFmt w:val="chineseCounting"/>
      <w:suff w:val="nothing"/>
      <w:lvlText w:val="%1、"/>
      <w:lvlJc w:val="left"/>
      <w:rPr>
        <w:rFonts w:hint="eastAsia"/>
      </w:rPr>
    </w:lvl>
  </w:abstractNum>
  <w:num w:numId="1">
    <w:abstractNumId w:val="8"/>
  </w:num>
  <w:num w:numId="2">
    <w:abstractNumId w:val="7"/>
  </w:num>
  <w:num w:numId="3">
    <w:abstractNumId w:val="1"/>
  </w:num>
  <w:num w:numId="4">
    <w:abstractNumId w:val="2"/>
  </w:num>
  <w:num w:numId="5">
    <w:abstractNumId w:val="4"/>
  </w:num>
  <w:num w:numId="6">
    <w:abstractNumId w:val="6"/>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kZTlmMzNjZjA4NGFjZjgzNWM2ODQzZGE0Nzc2Y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6409"/>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7B3F"/>
    <w:rsid w:val="00FD3CC1"/>
    <w:rsid w:val="00FF1E02"/>
    <w:rsid w:val="00FF30B4"/>
    <w:rsid w:val="010333FC"/>
    <w:rsid w:val="013E00A9"/>
    <w:rsid w:val="015975B8"/>
    <w:rsid w:val="017809D2"/>
    <w:rsid w:val="02143E91"/>
    <w:rsid w:val="02F76F90"/>
    <w:rsid w:val="03C36E72"/>
    <w:rsid w:val="040D00EE"/>
    <w:rsid w:val="046A0F9C"/>
    <w:rsid w:val="064C6E52"/>
    <w:rsid w:val="066E0107"/>
    <w:rsid w:val="06A55EF3"/>
    <w:rsid w:val="07195727"/>
    <w:rsid w:val="07635C4A"/>
    <w:rsid w:val="07996F6E"/>
    <w:rsid w:val="07A92999"/>
    <w:rsid w:val="080737D2"/>
    <w:rsid w:val="080812F8"/>
    <w:rsid w:val="081B727D"/>
    <w:rsid w:val="085333A0"/>
    <w:rsid w:val="09DC2A3C"/>
    <w:rsid w:val="0A2032A3"/>
    <w:rsid w:val="0A371264"/>
    <w:rsid w:val="0ADF27E4"/>
    <w:rsid w:val="0B2823DD"/>
    <w:rsid w:val="0B867103"/>
    <w:rsid w:val="0BC32105"/>
    <w:rsid w:val="0C41302A"/>
    <w:rsid w:val="0D51729D"/>
    <w:rsid w:val="0E6A1F98"/>
    <w:rsid w:val="0F98263C"/>
    <w:rsid w:val="0F9D2C6D"/>
    <w:rsid w:val="0F9E09FB"/>
    <w:rsid w:val="101860EC"/>
    <w:rsid w:val="108F5D13"/>
    <w:rsid w:val="10C055FF"/>
    <w:rsid w:val="11040DF0"/>
    <w:rsid w:val="1122342A"/>
    <w:rsid w:val="118107EC"/>
    <w:rsid w:val="11847C41"/>
    <w:rsid w:val="13D50BC4"/>
    <w:rsid w:val="1538070B"/>
    <w:rsid w:val="16BB723D"/>
    <w:rsid w:val="16D8502D"/>
    <w:rsid w:val="189E7349"/>
    <w:rsid w:val="18FC7BC2"/>
    <w:rsid w:val="19F811CC"/>
    <w:rsid w:val="1A07140F"/>
    <w:rsid w:val="1AE36CE9"/>
    <w:rsid w:val="1BE8440E"/>
    <w:rsid w:val="1C136791"/>
    <w:rsid w:val="1C1D1B72"/>
    <w:rsid w:val="1D155CEE"/>
    <w:rsid w:val="1DA578BD"/>
    <w:rsid w:val="1EC368A1"/>
    <w:rsid w:val="1F3F33F9"/>
    <w:rsid w:val="1F87F550"/>
    <w:rsid w:val="1FE521F3"/>
    <w:rsid w:val="1FF35744"/>
    <w:rsid w:val="201E5705"/>
    <w:rsid w:val="20672C08"/>
    <w:rsid w:val="229402B2"/>
    <w:rsid w:val="234334B0"/>
    <w:rsid w:val="23860B96"/>
    <w:rsid w:val="240371BF"/>
    <w:rsid w:val="240E783E"/>
    <w:rsid w:val="242D564E"/>
    <w:rsid w:val="244B45EE"/>
    <w:rsid w:val="25237319"/>
    <w:rsid w:val="25387F6D"/>
    <w:rsid w:val="26561C3E"/>
    <w:rsid w:val="26C26CF7"/>
    <w:rsid w:val="26D1378F"/>
    <w:rsid w:val="27F73FD0"/>
    <w:rsid w:val="286A4CE2"/>
    <w:rsid w:val="28C13CBC"/>
    <w:rsid w:val="291D29FD"/>
    <w:rsid w:val="29FD04D3"/>
    <w:rsid w:val="2B004385"/>
    <w:rsid w:val="2BBE7D9C"/>
    <w:rsid w:val="2C02412C"/>
    <w:rsid w:val="2C7219A3"/>
    <w:rsid w:val="2C8A61B5"/>
    <w:rsid w:val="2C99101C"/>
    <w:rsid w:val="2CCD1427"/>
    <w:rsid w:val="2D614E83"/>
    <w:rsid w:val="2DF04E50"/>
    <w:rsid w:val="2EFC4E63"/>
    <w:rsid w:val="2F040D46"/>
    <w:rsid w:val="2F3E547B"/>
    <w:rsid w:val="2F491434"/>
    <w:rsid w:val="306D4B10"/>
    <w:rsid w:val="3071362F"/>
    <w:rsid w:val="310048D1"/>
    <w:rsid w:val="319F7F4E"/>
    <w:rsid w:val="31DA480F"/>
    <w:rsid w:val="31E061D8"/>
    <w:rsid w:val="32542B96"/>
    <w:rsid w:val="32A9493D"/>
    <w:rsid w:val="32BB5035"/>
    <w:rsid w:val="32C54BDB"/>
    <w:rsid w:val="3304709D"/>
    <w:rsid w:val="34CF1A50"/>
    <w:rsid w:val="35E121C6"/>
    <w:rsid w:val="3643781B"/>
    <w:rsid w:val="36AA5135"/>
    <w:rsid w:val="376D39B2"/>
    <w:rsid w:val="3776777C"/>
    <w:rsid w:val="37E16F03"/>
    <w:rsid w:val="3806030C"/>
    <w:rsid w:val="38D469F0"/>
    <w:rsid w:val="394713D0"/>
    <w:rsid w:val="398068D0"/>
    <w:rsid w:val="39C4517A"/>
    <w:rsid w:val="3AC16F61"/>
    <w:rsid w:val="3B872ABB"/>
    <w:rsid w:val="3BBA40DC"/>
    <w:rsid w:val="3C5D2C77"/>
    <w:rsid w:val="3D98207C"/>
    <w:rsid w:val="3DB90469"/>
    <w:rsid w:val="3E78745D"/>
    <w:rsid w:val="3ED74FA5"/>
    <w:rsid w:val="3FB452E6"/>
    <w:rsid w:val="405E58AD"/>
    <w:rsid w:val="40E52904"/>
    <w:rsid w:val="4167271B"/>
    <w:rsid w:val="424B5C7C"/>
    <w:rsid w:val="426E79CE"/>
    <w:rsid w:val="42F32CC4"/>
    <w:rsid w:val="4466428A"/>
    <w:rsid w:val="44896D41"/>
    <w:rsid w:val="44C40459"/>
    <w:rsid w:val="44E268DA"/>
    <w:rsid w:val="450665E4"/>
    <w:rsid w:val="46853C85"/>
    <w:rsid w:val="46C422B2"/>
    <w:rsid w:val="473E2065"/>
    <w:rsid w:val="475E6263"/>
    <w:rsid w:val="47800598"/>
    <w:rsid w:val="482B15B1"/>
    <w:rsid w:val="49DF038B"/>
    <w:rsid w:val="49F20EE5"/>
    <w:rsid w:val="4A5F76B0"/>
    <w:rsid w:val="4A627F82"/>
    <w:rsid w:val="4A9D70A2"/>
    <w:rsid w:val="4AF56EDE"/>
    <w:rsid w:val="4B0E749A"/>
    <w:rsid w:val="4B4F25DA"/>
    <w:rsid w:val="4BE068DB"/>
    <w:rsid w:val="4BFA0524"/>
    <w:rsid w:val="4CEE0ABD"/>
    <w:rsid w:val="4D1B477C"/>
    <w:rsid w:val="4D577224"/>
    <w:rsid w:val="4D7D5A97"/>
    <w:rsid w:val="4E303D1C"/>
    <w:rsid w:val="4EAB630A"/>
    <w:rsid w:val="4ECE2238"/>
    <w:rsid w:val="4EF63225"/>
    <w:rsid w:val="4F710AFD"/>
    <w:rsid w:val="509E3B74"/>
    <w:rsid w:val="50D03926"/>
    <w:rsid w:val="537D42F8"/>
    <w:rsid w:val="537E6D0A"/>
    <w:rsid w:val="53D310CB"/>
    <w:rsid w:val="55711857"/>
    <w:rsid w:val="5621480F"/>
    <w:rsid w:val="566118CC"/>
    <w:rsid w:val="569F41A2"/>
    <w:rsid w:val="5706321F"/>
    <w:rsid w:val="57F4051E"/>
    <w:rsid w:val="58366D88"/>
    <w:rsid w:val="59570D64"/>
    <w:rsid w:val="598458A7"/>
    <w:rsid w:val="5A7C02E2"/>
    <w:rsid w:val="5AF92295"/>
    <w:rsid w:val="5C0D4977"/>
    <w:rsid w:val="5CAF7CCE"/>
    <w:rsid w:val="5CD71FC4"/>
    <w:rsid w:val="5D203D43"/>
    <w:rsid w:val="5D6E78AE"/>
    <w:rsid w:val="5D8B5480"/>
    <w:rsid w:val="5DA0717E"/>
    <w:rsid w:val="5DCC7732"/>
    <w:rsid w:val="5E0F4078"/>
    <w:rsid w:val="5E113BD7"/>
    <w:rsid w:val="5E4656D1"/>
    <w:rsid w:val="5EAA2C55"/>
    <w:rsid w:val="60A46F85"/>
    <w:rsid w:val="610D74CC"/>
    <w:rsid w:val="61F44A7B"/>
    <w:rsid w:val="62625E95"/>
    <w:rsid w:val="63711839"/>
    <w:rsid w:val="66AF21DF"/>
    <w:rsid w:val="66BB5028"/>
    <w:rsid w:val="66C562C4"/>
    <w:rsid w:val="67BA0661"/>
    <w:rsid w:val="68A56021"/>
    <w:rsid w:val="69B63885"/>
    <w:rsid w:val="69BF343C"/>
    <w:rsid w:val="69F85C4B"/>
    <w:rsid w:val="6A06480C"/>
    <w:rsid w:val="6A8B3727"/>
    <w:rsid w:val="6C4A05C8"/>
    <w:rsid w:val="6CA57FB8"/>
    <w:rsid w:val="6D2232F1"/>
    <w:rsid w:val="6D2515A4"/>
    <w:rsid w:val="6D7E290C"/>
    <w:rsid w:val="6DC26C9C"/>
    <w:rsid w:val="6DF36BCF"/>
    <w:rsid w:val="6E185A80"/>
    <w:rsid w:val="6E414065"/>
    <w:rsid w:val="6E5E310E"/>
    <w:rsid w:val="6E7E3605"/>
    <w:rsid w:val="6EF410D7"/>
    <w:rsid w:val="6F481423"/>
    <w:rsid w:val="6FF5CC65"/>
    <w:rsid w:val="715C0E4B"/>
    <w:rsid w:val="716E008B"/>
    <w:rsid w:val="718C1A9B"/>
    <w:rsid w:val="72734D90"/>
    <w:rsid w:val="72C232B3"/>
    <w:rsid w:val="738D1AFA"/>
    <w:rsid w:val="73AD3F4B"/>
    <w:rsid w:val="73AD73D5"/>
    <w:rsid w:val="73B6EB34"/>
    <w:rsid w:val="744731E5"/>
    <w:rsid w:val="7472364A"/>
    <w:rsid w:val="747D1B6F"/>
    <w:rsid w:val="7510653F"/>
    <w:rsid w:val="75A86778"/>
    <w:rsid w:val="760017AF"/>
    <w:rsid w:val="76B64EC4"/>
    <w:rsid w:val="76C8722C"/>
    <w:rsid w:val="76E3355F"/>
    <w:rsid w:val="77521091"/>
    <w:rsid w:val="778769C8"/>
    <w:rsid w:val="78594A5B"/>
    <w:rsid w:val="789631FF"/>
    <w:rsid w:val="78DE0702"/>
    <w:rsid w:val="792720A9"/>
    <w:rsid w:val="79AE4579"/>
    <w:rsid w:val="79EE5BA4"/>
    <w:rsid w:val="7A894339"/>
    <w:rsid w:val="7A9032B8"/>
    <w:rsid w:val="7AEF72F4"/>
    <w:rsid w:val="7BB67714"/>
    <w:rsid w:val="7C0473F0"/>
    <w:rsid w:val="7C7750F6"/>
    <w:rsid w:val="7D580EFC"/>
    <w:rsid w:val="7E953F59"/>
    <w:rsid w:val="7EEF11D3"/>
    <w:rsid w:val="7EFFEB63"/>
    <w:rsid w:val="7F4734A5"/>
    <w:rsid w:val="7F866811"/>
    <w:rsid w:val="7FA30C79"/>
    <w:rsid w:val="7FB7269E"/>
    <w:rsid w:val="7FC96657"/>
    <w:rsid w:val="D8D6DB89"/>
    <w:rsid w:val="DB6F4CAB"/>
    <w:rsid w:val="DF6F9789"/>
    <w:rsid w:val="FFFF2C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Salutation"/>
    <w:basedOn w:val="1"/>
    <w:next w:val="1"/>
    <w:qFormat/>
    <w:uiPriority w:val="0"/>
  </w:style>
  <w:style w:type="paragraph" w:styleId="8">
    <w:name w:val="Body Text"/>
    <w:basedOn w:val="1"/>
    <w:link w:val="29"/>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标题 1 Char"/>
    <w:basedOn w:val="17"/>
    <w:link w:val="4"/>
    <w:qFormat/>
    <w:uiPriority w:val="9"/>
    <w:rPr>
      <w:rFonts w:ascii="Times New Roman" w:hAnsi="Times New Roman"/>
      <w:b/>
      <w:bCs/>
      <w:kern w:val="44"/>
      <w:sz w:val="44"/>
      <w:szCs w:val="44"/>
    </w:rPr>
  </w:style>
  <w:style w:type="character" w:customStyle="1" w:styleId="21">
    <w:name w:val="标题 2 Char"/>
    <w:basedOn w:val="17"/>
    <w:link w:val="5"/>
    <w:qFormat/>
    <w:uiPriority w:val="9"/>
    <w:rPr>
      <w:rFonts w:asciiTheme="majorHAnsi" w:hAnsiTheme="majorHAnsi" w:eastAsiaTheme="majorEastAsia" w:cstheme="majorBidi"/>
      <w:b/>
      <w:bCs/>
      <w:kern w:val="2"/>
      <w:sz w:val="32"/>
      <w:szCs w:val="32"/>
    </w:rPr>
  </w:style>
  <w:style w:type="character" w:customStyle="1" w:styleId="22">
    <w:name w:val="标题 3 Char"/>
    <w:basedOn w:val="17"/>
    <w:link w:val="6"/>
    <w:qFormat/>
    <w:uiPriority w:val="9"/>
    <w:rPr>
      <w:rFonts w:ascii="Times New Roman" w:hAnsi="Times New Roman"/>
      <w:b/>
      <w:bCs/>
      <w:kern w:val="2"/>
      <w:sz w:val="32"/>
      <w:szCs w:val="32"/>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7"/>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17"/>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17"/>
    <w:semiHidden/>
    <w:qFormat/>
    <w:uiPriority w:val="99"/>
    <w:rPr>
      <w:rFonts w:ascii="Times New Roman" w:hAnsi="Times New Roman"/>
      <w:szCs w:val="24"/>
    </w:rPr>
  </w:style>
  <w:style w:type="character" w:customStyle="1" w:styleId="29">
    <w:name w:val="正文文本 Char"/>
    <w:link w:val="8"/>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2</TotalTime>
  <ScaleCrop>false</ScaleCrop>
  <LinksUpToDate>false</LinksUpToDate>
  <CharactersWithSpaces>8692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喜月</cp:lastModifiedBy>
  <cp:lastPrinted>2023-07-31T18:35:00Z</cp:lastPrinted>
  <dcterms:modified xsi:type="dcterms:W3CDTF">2023-09-27T02:57:46Z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1BF328E4FCBC46E183310AF8D9815CC9</vt:lpwstr>
  </property>
</Properties>
</file>