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78441"/>
      <w:bookmarkStart w:id="1" w:name="_Toc15377193"/>
      <w:bookmarkStart w:id="2" w:name="_Toc15377425"/>
      <w:bookmarkStart w:id="3" w:name="_Toc15396597"/>
      <w:bookmarkStart w:id="4" w:name="_Toc15396475"/>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719633495"/>
      <w:bookmarkStart w:id="7" w:name="_Toc1513620322"/>
      <w:bookmarkStart w:id="8" w:name="_Toc171796749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bookmarkEnd w:id="7"/>
      <w:bookmarkEnd w:id="8"/>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9" w:name="_Toc71448912"/>
      <w:bookmarkStart w:id="10" w:name="_Toc15396598"/>
      <w:bookmarkStart w:id="11" w:name="_Toc15378442"/>
      <w:bookmarkStart w:id="12" w:name="_Toc15377426"/>
      <w:bookmarkStart w:id="13" w:name="_Toc15377194"/>
      <w:bookmarkStart w:id="14" w:name="_Toc1819136859"/>
      <w:bookmarkStart w:id="15" w:name="_Toc698968910"/>
      <w:bookmarkStart w:id="16" w:name="_Toc15396476"/>
      <w:r>
        <w:rPr>
          <w:rFonts w:hint="eastAsia" w:ascii="方正小标宋简体" w:hAnsi="方正小标宋简体" w:eastAsia="方正小标宋简体" w:cs="方正小标宋简体"/>
          <w:color w:val="auto"/>
          <w:sz w:val="72"/>
          <w:szCs w:val="72"/>
          <w:highlight w:val="none"/>
          <w:lang w:eastAsia="zh-CN"/>
        </w:rPr>
        <w:t>广元市</w:t>
      </w:r>
      <w:bookmarkEnd w:id="5"/>
      <w:bookmarkStart w:id="17" w:name="_Toc15306268"/>
      <w:r>
        <w:rPr>
          <w:rFonts w:hint="eastAsia" w:ascii="方正小标宋简体" w:hAnsi="方正小标宋简体" w:eastAsia="方正小标宋简体" w:cs="方正小标宋简体"/>
          <w:color w:val="auto"/>
          <w:sz w:val="72"/>
          <w:szCs w:val="72"/>
          <w:highlight w:val="none"/>
          <w:lang w:val="en-US" w:eastAsia="zh-CN"/>
        </w:rPr>
        <w:t>司法局</w:t>
      </w:r>
      <w:r>
        <w:rPr>
          <w:rFonts w:hint="eastAsia" w:ascii="方正小标宋简体" w:hAnsi="方正小标宋简体" w:eastAsia="方正小标宋简体" w:cs="方正小标宋简体"/>
          <w:color w:val="auto"/>
          <w:sz w:val="72"/>
          <w:szCs w:val="72"/>
          <w:highlight w:val="none"/>
        </w:rPr>
        <w:t>部门决算</w:t>
      </w:r>
      <w:bookmarkEnd w:id="9"/>
      <w:bookmarkEnd w:id="10"/>
      <w:bookmarkEnd w:id="11"/>
      <w:bookmarkEnd w:id="12"/>
      <w:bookmarkEnd w:id="13"/>
      <w:bookmarkEnd w:id="14"/>
      <w:bookmarkEnd w:id="15"/>
      <w:bookmarkEnd w:id="16"/>
      <w:bookmarkEnd w:id="17"/>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2"/>
        <w:rPr>
          <w:rFonts w:hint="eastAsia"/>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bookmarkStart w:id="204" w:name="_GoBack"/>
      <w:bookmarkEnd w:id="204"/>
    </w:p>
    <w:sdt>
      <w:sdtPr>
        <w:rPr>
          <w:rFonts w:ascii="宋体" w:hAnsi="宋体" w:eastAsia="宋体" w:cs="Times New Roman"/>
          <w:kern w:val="2"/>
          <w:sz w:val="21"/>
          <w:szCs w:val="24"/>
          <w:lang w:val="en-US" w:eastAsia="zh-CN" w:bidi="ar-SA"/>
        </w:rPr>
        <w:id w:val="171028862"/>
        <w15:color w:val="DBDBDB"/>
        <w:docPartObj>
          <w:docPartGallery w:val="Table of Contents"/>
          <w:docPartUnique/>
        </w:docPartObj>
      </w:sdtPr>
      <w:sdtEndPr>
        <w:rPr>
          <w:rFonts w:ascii="仿宋_GB2312" w:hAnsi="Times New Roman" w:eastAsia="仿宋_GB2312" w:cs="Times New Roman"/>
          <w:kern w:val="0"/>
          <w:sz w:val="30"/>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2"/>
            <w:tabs>
              <w:tab w:val="right" w:leader="dot" w:pos="8306"/>
              <w:tab w:val="clear" w:pos="8296"/>
            </w:tabs>
          </w:pPr>
          <w:r>
            <w:fldChar w:fldCharType="begin"/>
          </w:r>
          <w:r>
            <w:instrText xml:space="preserve">TOC \o "1-2" \t "目录" \h \u </w:instrText>
          </w:r>
          <w:r>
            <w:fldChar w:fldCharType="separate"/>
          </w:r>
          <w:r>
            <w:fldChar w:fldCharType="begin"/>
          </w:r>
          <w:r>
            <w:instrText xml:space="preserve"> HYPERLINK \l _Toc1554334828 </w:instrText>
          </w:r>
          <w:r>
            <w:fldChar w:fldCharType="separate"/>
          </w:r>
          <w:r>
            <w:rPr>
              <w:rFonts w:hint="eastAsia" w:ascii="黑体" w:hAnsi="黑体" w:eastAsia="黑体"/>
              <w:highlight w:val="none"/>
            </w:rPr>
            <w:t xml:space="preserve">第一部分 </w:t>
          </w:r>
          <w:r>
            <w:rPr>
              <w:rFonts w:hint="eastAsia" w:ascii="黑体" w:hAnsi="黑体" w:eastAsia="黑体"/>
              <w:bCs w:val="0"/>
              <w:highlight w:val="none"/>
            </w:rPr>
            <w:t>部门概况</w:t>
          </w:r>
          <w:r>
            <w:tab/>
          </w:r>
          <w:r>
            <w:fldChar w:fldCharType="begin"/>
          </w:r>
          <w:r>
            <w:instrText xml:space="preserve"> PAGEREF _Toc1554334828 \h </w:instrText>
          </w:r>
          <w:r>
            <w:fldChar w:fldCharType="separate"/>
          </w:r>
          <w:r>
            <w:t>2</w:t>
          </w:r>
          <w:r>
            <w:fldChar w:fldCharType="end"/>
          </w:r>
          <w:r>
            <w:fldChar w:fldCharType="end"/>
          </w:r>
        </w:p>
        <w:p>
          <w:pPr>
            <w:pStyle w:val="14"/>
            <w:tabs>
              <w:tab w:val="right" w:leader="dot" w:pos="8306"/>
              <w:tab w:val="clear" w:pos="8296"/>
            </w:tabs>
          </w:pPr>
          <w:r>
            <w:fldChar w:fldCharType="begin"/>
          </w:r>
          <w:r>
            <w:instrText xml:space="preserve"> HYPERLINK \l _Toc628618615 </w:instrText>
          </w:r>
          <w:r>
            <w:fldChar w:fldCharType="separate"/>
          </w:r>
          <w:r>
            <w:rPr>
              <w:rFonts w:hint="eastAsia" w:ascii="黑体" w:hAnsi="黑体" w:eastAsia="黑体"/>
              <w:lang w:eastAsia="zh-CN"/>
            </w:rPr>
            <w:t xml:space="preserve">一、 </w:t>
          </w:r>
          <w:r>
            <w:rPr>
              <w:rFonts w:hint="eastAsia" w:ascii="黑体" w:hAnsi="黑体" w:eastAsia="黑体"/>
              <w:highlight w:val="none"/>
              <w:lang w:eastAsia="zh-CN"/>
            </w:rPr>
            <w:t>部门职责</w:t>
          </w:r>
          <w:r>
            <w:tab/>
          </w:r>
          <w:r>
            <w:fldChar w:fldCharType="begin"/>
          </w:r>
          <w:r>
            <w:instrText xml:space="preserve"> PAGEREF _Toc628618615 \h </w:instrText>
          </w:r>
          <w:r>
            <w:fldChar w:fldCharType="separate"/>
          </w:r>
          <w:r>
            <w:t>2</w:t>
          </w:r>
          <w:r>
            <w:fldChar w:fldCharType="end"/>
          </w:r>
          <w:r>
            <w:fldChar w:fldCharType="end"/>
          </w:r>
        </w:p>
        <w:p>
          <w:pPr>
            <w:pStyle w:val="14"/>
            <w:tabs>
              <w:tab w:val="right" w:leader="dot" w:pos="8306"/>
              <w:tab w:val="clear" w:pos="8296"/>
            </w:tabs>
          </w:pPr>
          <w:r>
            <w:fldChar w:fldCharType="begin"/>
          </w:r>
          <w:r>
            <w:instrText xml:space="preserve"> HYPERLINK \l _Toc1993697030 </w:instrText>
          </w:r>
          <w: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_Toc1993697030 \h </w:instrText>
          </w:r>
          <w:r>
            <w:fldChar w:fldCharType="separate"/>
          </w:r>
          <w:r>
            <w:t>7</w:t>
          </w:r>
          <w:r>
            <w:fldChar w:fldCharType="end"/>
          </w:r>
          <w:r>
            <w:fldChar w:fldCharType="end"/>
          </w:r>
        </w:p>
        <w:p>
          <w:pPr>
            <w:pStyle w:val="12"/>
            <w:tabs>
              <w:tab w:val="right" w:leader="dot" w:pos="8306"/>
              <w:tab w:val="clear" w:pos="8296"/>
            </w:tabs>
          </w:pPr>
          <w:r>
            <w:fldChar w:fldCharType="begin"/>
          </w:r>
          <w:r>
            <w:instrText xml:space="preserve"> HYPERLINK \l _Toc1939781663 </w:instrText>
          </w:r>
          <w: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2022年度</w:t>
          </w:r>
          <w:r>
            <w:rPr>
              <w:rFonts w:hint="eastAsia" w:ascii="黑体" w:hAnsi="黑体" w:eastAsia="黑体"/>
              <w:bCs/>
              <w:highlight w:val="none"/>
            </w:rPr>
            <w:t>部门决算情况说明</w:t>
          </w:r>
          <w:r>
            <w:tab/>
          </w:r>
          <w:r>
            <w:fldChar w:fldCharType="begin"/>
          </w:r>
          <w:r>
            <w:instrText xml:space="preserve"> PAGEREF _Toc1939781663 \h </w:instrText>
          </w:r>
          <w:r>
            <w:fldChar w:fldCharType="separate"/>
          </w:r>
          <w:r>
            <w:t>8</w:t>
          </w:r>
          <w:r>
            <w:fldChar w:fldCharType="end"/>
          </w:r>
          <w:r>
            <w:fldChar w:fldCharType="end"/>
          </w:r>
        </w:p>
        <w:p>
          <w:pPr>
            <w:pStyle w:val="14"/>
            <w:tabs>
              <w:tab w:val="right" w:leader="dot" w:pos="8306"/>
              <w:tab w:val="clear" w:pos="8296"/>
            </w:tabs>
            <w:rPr>
              <w:rFonts w:hint="eastAsia"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_Toc2113418375 </w:instrText>
          </w:r>
          <w:r>
            <w:rPr>
              <w:rFonts w:hint="eastAsia" w:ascii="黑体" w:hAnsi="黑体" w:eastAsia="黑体"/>
              <w:highlight w:val="none"/>
              <w:lang w:eastAsia="zh-CN"/>
            </w:rPr>
            <w:fldChar w:fldCharType="separate"/>
          </w:r>
          <w:r>
            <w:rPr>
              <w:rFonts w:hint="default" w:ascii="黑体" w:hAnsi="黑体" w:eastAsia="黑体"/>
              <w:highlight w:val="none"/>
              <w:lang w:eastAsia="zh-CN"/>
            </w:rPr>
            <w:t xml:space="preserve">一、 </w:t>
          </w:r>
          <w:r>
            <w:rPr>
              <w:rFonts w:hint="eastAsia" w:ascii="黑体" w:hAnsi="黑体" w:eastAsia="黑体"/>
              <w:highlight w:val="none"/>
              <w:lang w:eastAsia="zh-CN"/>
            </w:rPr>
            <w:t>收入支出决算总体情况说明</w:t>
          </w:r>
          <w:r>
            <w:rPr>
              <w:rFonts w:hint="eastAsia" w:ascii="黑体" w:hAnsi="黑体" w:eastAsia="黑体"/>
              <w:highlight w:val="none"/>
              <w:lang w:eastAsia="zh-CN"/>
            </w:rPr>
            <w:tab/>
          </w: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PAGEREF _Toc2113418375 \h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8</w:t>
          </w:r>
          <w:r>
            <w:rPr>
              <w:rFonts w:hint="eastAsia" w:ascii="黑体" w:hAnsi="黑体" w:eastAsia="黑体"/>
              <w:highlight w:val="none"/>
              <w:lang w:eastAsia="zh-CN"/>
            </w:rPr>
            <w:fldChar w:fldCharType="end"/>
          </w:r>
          <w:r>
            <w:rPr>
              <w:rFonts w:hint="eastAsia" w:ascii="黑体" w:hAnsi="黑体" w:eastAsia="黑体"/>
              <w:highlight w:val="none"/>
              <w:lang w:eastAsia="zh-CN"/>
            </w:rPr>
            <w:fldChar w:fldCharType="end"/>
          </w:r>
        </w:p>
        <w:p>
          <w:pPr>
            <w:pStyle w:val="14"/>
            <w:tabs>
              <w:tab w:val="right" w:leader="dot" w:pos="8306"/>
              <w:tab w:val="clear" w:pos="8296"/>
            </w:tabs>
            <w:rPr>
              <w:rFonts w:hint="eastAsia"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_Toc1429180138 </w:instrText>
          </w:r>
          <w:r>
            <w:rPr>
              <w:rFonts w:hint="eastAsia" w:ascii="黑体" w:hAnsi="黑体" w:eastAsia="黑体"/>
              <w:highlight w:val="none"/>
              <w:lang w:eastAsia="zh-CN"/>
            </w:rPr>
            <w:fldChar w:fldCharType="separate"/>
          </w:r>
          <w:r>
            <w:rPr>
              <w:rFonts w:hint="default" w:ascii="黑体" w:hAnsi="黑体" w:eastAsia="黑体"/>
              <w:highlight w:val="none"/>
              <w:lang w:eastAsia="zh-CN"/>
            </w:rPr>
            <w:t xml:space="preserve">二、 </w:t>
          </w:r>
          <w:r>
            <w:rPr>
              <w:rFonts w:hint="eastAsia" w:ascii="黑体" w:hAnsi="黑体" w:eastAsia="黑体"/>
              <w:highlight w:val="none"/>
              <w:lang w:eastAsia="zh-CN"/>
            </w:rPr>
            <w:t>收入决算情况说明</w:t>
          </w:r>
          <w:r>
            <w:rPr>
              <w:rFonts w:hint="eastAsia" w:ascii="黑体" w:hAnsi="黑体" w:eastAsia="黑体"/>
              <w:highlight w:val="none"/>
              <w:lang w:eastAsia="zh-CN"/>
            </w:rPr>
            <w:tab/>
          </w: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PAGEREF _Toc1429180138 \h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9</w:t>
          </w:r>
          <w:r>
            <w:rPr>
              <w:rFonts w:hint="eastAsia" w:ascii="黑体" w:hAnsi="黑体" w:eastAsia="黑体"/>
              <w:highlight w:val="none"/>
              <w:lang w:eastAsia="zh-CN"/>
            </w:rPr>
            <w:fldChar w:fldCharType="end"/>
          </w:r>
          <w:r>
            <w:rPr>
              <w:rFonts w:hint="eastAsia" w:ascii="黑体" w:hAnsi="黑体" w:eastAsia="黑体"/>
              <w:highlight w:val="none"/>
              <w:lang w:eastAsia="zh-CN"/>
            </w:rPr>
            <w:fldChar w:fldCharType="end"/>
          </w:r>
        </w:p>
        <w:p>
          <w:pPr>
            <w:pStyle w:val="14"/>
            <w:tabs>
              <w:tab w:val="right" w:leader="dot" w:pos="8306"/>
              <w:tab w:val="clear" w:pos="8296"/>
            </w:tabs>
            <w:rPr>
              <w:rFonts w:hint="eastAsia"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_Toc1139170899 </w:instrText>
          </w:r>
          <w:r>
            <w:rPr>
              <w:rFonts w:hint="eastAsia" w:ascii="黑体" w:hAnsi="黑体" w:eastAsia="黑体"/>
              <w:highlight w:val="none"/>
              <w:lang w:eastAsia="zh-CN"/>
            </w:rPr>
            <w:fldChar w:fldCharType="separate"/>
          </w:r>
          <w:r>
            <w:rPr>
              <w:rFonts w:hint="default" w:ascii="黑体" w:hAnsi="黑体" w:eastAsia="黑体"/>
              <w:highlight w:val="none"/>
              <w:lang w:eastAsia="zh-CN"/>
            </w:rPr>
            <w:t xml:space="preserve">三、 </w:t>
          </w:r>
          <w:r>
            <w:rPr>
              <w:rFonts w:hint="eastAsia" w:ascii="黑体" w:hAnsi="黑体" w:eastAsia="黑体"/>
              <w:highlight w:val="none"/>
              <w:lang w:eastAsia="zh-CN"/>
            </w:rPr>
            <w:t>支出决算情况说明</w:t>
          </w:r>
          <w:r>
            <w:rPr>
              <w:rFonts w:hint="eastAsia" w:ascii="黑体" w:hAnsi="黑体" w:eastAsia="黑体"/>
              <w:highlight w:val="none"/>
              <w:lang w:eastAsia="zh-CN"/>
            </w:rPr>
            <w:tab/>
          </w: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PAGEREF _Toc1139170899 \h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10</w:t>
          </w:r>
          <w:r>
            <w:rPr>
              <w:rFonts w:hint="eastAsia" w:ascii="黑体" w:hAnsi="黑体" w:eastAsia="黑体"/>
              <w:highlight w:val="none"/>
              <w:lang w:eastAsia="zh-CN"/>
            </w:rPr>
            <w:fldChar w:fldCharType="end"/>
          </w:r>
          <w:r>
            <w:rPr>
              <w:rFonts w:hint="eastAsia" w:ascii="黑体" w:hAnsi="黑体" w:eastAsia="黑体"/>
              <w:highlight w:val="none"/>
              <w:lang w:eastAsia="zh-CN"/>
            </w:rPr>
            <w:fldChar w:fldCharType="end"/>
          </w:r>
        </w:p>
        <w:p>
          <w:pPr>
            <w:pStyle w:val="14"/>
            <w:tabs>
              <w:tab w:val="right" w:leader="dot" w:pos="8306"/>
              <w:tab w:val="clear" w:pos="8296"/>
            </w:tabs>
            <w:rPr>
              <w:rFonts w:hint="eastAsia"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_Toc1284366140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四、财政拨款收入支出决算总体情况说明</w:t>
          </w:r>
          <w:r>
            <w:rPr>
              <w:rFonts w:hint="eastAsia" w:ascii="黑体" w:hAnsi="黑体" w:eastAsia="黑体"/>
              <w:highlight w:val="none"/>
              <w:lang w:eastAsia="zh-CN"/>
            </w:rPr>
            <w:tab/>
          </w: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PAGEREF _Toc1284366140 \h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10</w:t>
          </w:r>
          <w:r>
            <w:rPr>
              <w:rFonts w:hint="eastAsia" w:ascii="黑体" w:hAnsi="黑体" w:eastAsia="黑体"/>
              <w:highlight w:val="none"/>
              <w:lang w:eastAsia="zh-CN"/>
            </w:rPr>
            <w:fldChar w:fldCharType="end"/>
          </w:r>
          <w:r>
            <w:rPr>
              <w:rFonts w:hint="eastAsia" w:ascii="黑体" w:hAnsi="黑体" w:eastAsia="黑体"/>
              <w:highlight w:val="none"/>
              <w:lang w:eastAsia="zh-CN"/>
            </w:rPr>
            <w:fldChar w:fldCharType="end"/>
          </w:r>
        </w:p>
        <w:p>
          <w:pPr>
            <w:pStyle w:val="14"/>
            <w:tabs>
              <w:tab w:val="right" w:leader="dot" w:pos="8306"/>
              <w:tab w:val="clear" w:pos="8296"/>
            </w:tabs>
            <w:rPr>
              <w:rFonts w:hint="eastAsia"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_Toc1868369157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五、一般公共预算财政拨款支出决算情况说明</w:t>
          </w:r>
          <w:r>
            <w:rPr>
              <w:rFonts w:hint="eastAsia" w:ascii="黑体" w:hAnsi="黑体" w:eastAsia="黑体"/>
              <w:highlight w:val="none"/>
              <w:lang w:eastAsia="zh-CN"/>
            </w:rPr>
            <w:tab/>
          </w: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PAGEREF _Toc1868369157 \h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11</w:t>
          </w:r>
          <w:r>
            <w:rPr>
              <w:rFonts w:hint="eastAsia" w:ascii="黑体" w:hAnsi="黑体" w:eastAsia="黑体"/>
              <w:highlight w:val="none"/>
              <w:lang w:eastAsia="zh-CN"/>
            </w:rPr>
            <w:fldChar w:fldCharType="end"/>
          </w:r>
          <w:r>
            <w:rPr>
              <w:rFonts w:hint="eastAsia" w:ascii="黑体" w:hAnsi="黑体" w:eastAsia="黑体"/>
              <w:highlight w:val="none"/>
              <w:lang w:eastAsia="zh-CN"/>
            </w:rPr>
            <w:fldChar w:fldCharType="end"/>
          </w:r>
        </w:p>
        <w:p>
          <w:pPr>
            <w:pStyle w:val="14"/>
            <w:tabs>
              <w:tab w:val="right" w:leader="dot" w:pos="8306"/>
              <w:tab w:val="clear" w:pos="8296"/>
            </w:tabs>
            <w:rPr>
              <w:rFonts w:hint="eastAsia"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_Toc1684342239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六、一般公共预算财政拨款基本支出决算情况说明</w:t>
          </w:r>
          <w:r>
            <w:rPr>
              <w:rFonts w:hint="eastAsia" w:ascii="黑体" w:hAnsi="黑体" w:eastAsia="黑体"/>
              <w:highlight w:val="none"/>
              <w:lang w:eastAsia="zh-CN"/>
            </w:rPr>
            <w:tab/>
          </w: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PAGEREF _Toc1684342239 \h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14</w:t>
          </w:r>
          <w:r>
            <w:rPr>
              <w:rFonts w:hint="eastAsia" w:ascii="黑体" w:hAnsi="黑体" w:eastAsia="黑体"/>
              <w:highlight w:val="none"/>
              <w:lang w:eastAsia="zh-CN"/>
            </w:rPr>
            <w:fldChar w:fldCharType="end"/>
          </w:r>
          <w:r>
            <w:rPr>
              <w:rFonts w:hint="eastAsia" w:ascii="黑体" w:hAnsi="黑体" w:eastAsia="黑体"/>
              <w:highlight w:val="none"/>
              <w:lang w:eastAsia="zh-CN"/>
            </w:rPr>
            <w:fldChar w:fldCharType="end"/>
          </w:r>
        </w:p>
        <w:p>
          <w:pPr>
            <w:pStyle w:val="14"/>
            <w:tabs>
              <w:tab w:val="right" w:leader="dot" w:pos="8306"/>
              <w:tab w:val="clear" w:pos="8296"/>
            </w:tabs>
            <w:rPr>
              <w:rFonts w:hint="eastAsia"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_Toc1945123494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七、财政拨款“三公”经费支出决算情况说明</w:t>
          </w:r>
          <w:r>
            <w:rPr>
              <w:rFonts w:hint="eastAsia" w:ascii="黑体" w:hAnsi="黑体" w:eastAsia="黑体"/>
              <w:highlight w:val="none"/>
              <w:lang w:eastAsia="zh-CN"/>
            </w:rPr>
            <w:tab/>
          </w: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PAGEREF _Toc1945123494 \h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15</w:t>
          </w:r>
          <w:r>
            <w:rPr>
              <w:rFonts w:hint="eastAsia" w:ascii="黑体" w:hAnsi="黑体" w:eastAsia="黑体"/>
              <w:highlight w:val="none"/>
              <w:lang w:eastAsia="zh-CN"/>
            </w:rPr>
            <w:fldChar w:fldCharType="end"/>
          </w:r>
          <w:r>
            <w:rPr>
              <w:rFonts w:hint="eastAsia" w:ascii="黑体" w:hAnsi="黑体" w:eastAsia="黑体"/>
              <w:highlight w:val="none"/>
              <w:lang w:eastAsia="zh-CN"/>
            </w:rPr>
            <w:fldChar w:fldCharType="end"/>
          </w:r>
        </w:p>
        <w:p>
          <w:pPr>
            <w:pStyle w:val="14"/>
            <w:tabs>
              <w:tab w:val="right" w:leader="dot" w:pos="8306"/>
              <w:tab w:val="clear" w:pos="8296"/>
            </w:tabs>
            <w:rPr>
              <w:rFonts w:hint="eastAsia"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_Toc855876937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八、政府性基金预算支出决算情况说明</w:t>
          </w:r>
          <w:r>
            <w:rPr>
              <w:rFonts w:hint="eastAsia" w:ascii="黑体" w:hAnsi="黑体" w:eastAsia="黑体"/>
              <w:highlight w:val="none"/>
              <w:lang w:eastAsia="zh-CN"/>
            </w:rPr>
            <w:tab/>
          </w: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PAGEREF _Toc855876937 \h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17</w:t>
          </w:r>
          <w:r>
            <w:rPr>
              <w:rFonts w:hint="eastAsia" w:ascii="黑体" w:hAnsi="黑体" w:eastAsia="黑体"/>
              <w:highlight w:val="none"/>
              <w:lang w:eastAsia="zh-CN"/>
            </w:rPr>
            <w:fldChar w:fldCharType="end"/>
          </w:r>
          <w:r>
            <w:rPr>
              <w:rFonts w:hint="eastAsia" w:ascii="黑体" w:hAnsi="黑体" w:eastAsia="黑体"/>
              <w:highlight w:val="none"/>
              <w:lang w:eastAsia="zh-CN"/>
            </w:rPr>
            <w:fldChar w:fldCharType="end"/>
          </w:r>
        </w:p>
        <w:p>
          <w:pPr>
            <w:pStyle w:val="14"/>
            <w:tabs>
              <w:tab w:val="right" w:leader="dot" w:pos="8306"/>
              <w:tab w:val="clear" w:pos="8296"/>
            </w:tabs>
            <w:rPr>
              <w:rFonts w:hint="eastAsia"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_Toc338159029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九、 国有资本经营预算支出决算情况说明</w:t>
          </w:r>
          <w:r>
            <w:rPr>
              <w:rFonts w:hint="eastAsia" w:ascii="黑体" w:hAnsi="黑体" w:eastAsia="黑体"/>
              <w:highlight w:val="none"/>
              <w:lang w:eastAsia="zh-CN"/>
            </w:rPr>
            <w:tab/>
          </w: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PAGEREF _Toc338159029 \h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17</w:t>
          </w:r>
          <w:r>
            <w:rPr>
              <w:rFonts w:hint="eastAsia" w:ascii="黑体" w:hAnsi="黑体" w:eastAsia="黑体"/>
              <w:highlight w:val="none"/>
              <w:lang w:eastAsia="zh-CN"/>
            </w:rPr>
            <w:fldChar w:fldCharType="end"/>
          </w:r>
          <w:r>
            <w:rPr>
              <w:rFonts w:hint="eastAsia" w:ascii="黑体" w:hAnsi="黑体" w:eastAsia="黑体"/>
              <w:highlight w:val="none"/>
              <w:lang w:eastAsia="zh-CN"/>
            </w:rPr>
            <w:fldChar w:fldCharType="end"/>
          </w:r>
        </w:p>
        <w:p>
          <w:pPr>
            <w:pStyle w:val="14"/>
            <w:tabs>
              <w:tab w:val="right" w:leader="dot" w:pos="8306"/>
              <w:tab w:val="clear" w:pos="8296"/>
            </w:tabs>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_Toc2016089823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十、 其他重要事项的情况说明</w:t>
          </w:r>
          <w:r>
            <w:rPr>
              <w:rFonts w:hint="eastAsia" w:ascii="黑体" w:hAnsi="黑体" w:eastAsia="黑体"/>
              <w:highlight w:val="none"/>
              <w:lang w:eastAsia="zh-CN"/>
            </w:rPr>
            <w:tab/>
          </w: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PAGEREF _Toc2016089823 \h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17</w:t>
          </w:r>
          <w:r>
            <w:rPr>
              <w:rFonts w:hint="eastAsia" w:ascii="黑体" w:hAnsi="黑体" w:eastAsia="黑体"/>
              <w:highlight w:val="none"/>
              <w:lang w:eastAsia="zh-CN"/>
            </w:rPr>
            <w:fldChar w:fldCharType="end"/>
          </w:r>
          <w:r>
            <w:rPr>
              <w:rFonts w:hint="eastAsia" w:ascii="黑体" w:hAnsi="黑体" w:eastAsia="黑体"/>
              <w:highlight w:val="none"/>
              <w:lang w:eastAsia="zh-CN"/>
            </w:rPr>
            <w:fldChar w:fldCharType="end"/>
          </w:r>
        </w:p>
        <w:p>
          <w:pPr>
            <w:pStyle w:val="12"/>
            <w:tabs>
              <w:tab w:val="right" w:leader="dot" w:pos="8306"/>
              <w:tab w:val="clear" w:pos="8296"/>
            </w:tabs>
          </w:pPr>
          <w:r>
            <w:fldChar w:fldCharType="begin"/>
          </w:r>
          <w:r>
            <w:instrText xml:space="preserve"> HYPERLINK \l _Toc1445684009 </w:instrText>
          </w:r>
          <w:r>
            <w:fldChar w:fldCharType="separate"/>
          </w:r>
          <w:r>
            <w:rPr>
              <w:rFonts w:hint="eastAsia" w:ascii="黑体" w:hAnsi="黑体" w:eastAsia="黑体"/>
              <w:highlight w:val="none"/>
            </w:rPr>
            <w:t>第三部分</w:t>
          </w:r>
          <w:r>
            <w:rPr>
              <w:rFonts w:hint="eastAsia" w:ascii="黑体" w:hAnsi="黑体" w:eastAsia="黑体"/>
            </w:rPr>
            <w:t xml:space="preserve"> </w:t>
          </w:r>
          <w:r>
            <w:rPr>
              <w:rFonts w:hint="eastAsia" w:ascii="黑体" w:hAnsi="黑体" w:eastAsia="黑体"/>
              <w:highlight w:val="none"/>
            </w:rPr>
            <w:t>名词解释</w:t>
          </w:r>
          <w:r>
            <w:tab/>
          </w:r>
          <w:r>
            <w:fldChar w:fldCharType="begin"/>
          </w:r>
          <w:r>
            <w:instrText xml:space="preserve"> PAGEREF _Toc1445684009 \h </w:instrText>
          </w:r>
          <w:r>
            <w:fldChar w:fldCharType="separate"/>
          </w:r>
          <w:r>
            <w:t>20</w:t>
          </w:r>
          <w:r>
            <w:fldChar w:fldCharType="end"/>
          </w:r>
          <w:r>
            <w:fldChar w:fldCharType="end"/>
          </w:r>
        </w:p>
        <w:p>
          <w:pPr>
            <w:pStyle w:val="12"/>
            <w:tabs>
              <w:tab w:val="right" w:leader="dot" w:pos="8306"/>
              <w:tab w:val="clear" w:pos="8296"/>
            </w:tabs>
          </w:pPr>
          <w:r>
            <w:fldChar w:fldCharType="begin"/>
          </w:r>
          <w:r>
            <w:instrText xml:space="preserve"> HYPERLINK \l _Toc1855132997 </w:instrText>
          </w:r>
          <w:r>
            <w:fldChar w:fldCharType="separate"/>
          </w:r>
          <w:r>
            <w:rPr>
              <w:rFonts w:hint="eastAsia" w:ascii="黑体" w:hAnsi="黑体" w:eastAsia="黑体"/>
              <w:highlight w:val="none"/>
            </w:rPr>
            <w:t>第四部分 附件</w:t>
          </w:r>
          <w:r>
            <w:tab/>
          </w:r>
          <w:r>
            <w:fldChar w:fldCharType="begin"/>
          </w:r>
          <w:r>
            <w:instrText xml:space="preserve"> PAGEREF _Toc1855132997 \h </w:instrText>
          </w:r>
          <w:r>
            <w:fldChar w:fldCharType="separate"/>
          </w:r>
          <w:r>
            <w:t>24</w:t>
          </w:r>
          <w:r>
            <w:fldChar w:fldCharType="end"/>
          </w:r>
          <w:r>
            <w:fldChar w:fldCharType="end"/>
          </w:r>
        </w:p>
        <w:p>
          <w:pPr>
            <w:pStyle w:val="12"/>
            <w:tabs>
              <w:tab w:val="right" w:leader="dot" w:pos="8306"/>
              <w:tab w:val="clear" w:pos="8296"/>
            </w:tabs>
          </w:pPr>
          <w:r>
            <w:fldChar w:fldCharType="begin"/>
          </w:r>
          <w:r>
            <w:instrText xml:space="preserve"> HYPERLINK \l _Toc1707033187 </w:instrText>
          </w:r>
          <w:r>
            <w:fldChar w:fldCharType="separate"/>
          </w:r>
          <w:r>
            <w:rPr>
              <w:rFonts w:hint="eastAsia" w:ascii="黑体" w:hAnsi="黑体" w:eastAsia="黑体"/>
              <w:szCs w:val="44"/>
              <w:highlight w:val="none"/>
            </w:rPr>
            <w:t>第五部分 附表</w:t>
          </w:r>
          <w:r>
            <w:tab/>
          </w:r>
          <w:r>
            <w:fldChar w:fldCharType="begin"/>
          </w:r>
          <w:r>
            <w:instrText xml:space="preserve"> PAGEREF _Toc1707033187 \h </w:instrText>
          </w:r>
          <w:r>
            <w:fldChar w:fldCharType="separate"/>
          </w:r>
          <w:r>
            <w:rPr>
              <w:rFonts w:hint="default"/>
              <w:lang w:val="en"/>
            </w:rPr>
            <w:t>9</w:t>
          </w:r>
          <w:r>
            <w:t>4</w:t>
          </w:r>
          <w:r>
            <w:fldChar w:fldCharType="end"/>
          </w:r>
          <w:r>
            <w:fldChar w:fldCharType="end"/>
          </w:r>
        </w:p>
        <w:p>
          <w:pPr>
            <w:pStyle w:val="14"/>
            <w:tabs>
              <w:tab w:val="right" w:leader="dot" w:pos="8306"/>
              <w:tab w:val="clear" w:pos="8296"/>
            </w:tabs>
            <w:rPr>
              <w:rFonts w:hint="default"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_Toc1302947772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一、收入支出决算总表</w:t>
          </w:r>
          <w:r>
            <w:rPr>
              <w:rFonts w:hint="eastAsia" w:ascii="黑体" w:hAnsi="黑体" w:eastAsia="黑体"/>
              <w:highlight w:val="none"/>
              <w:lang w:eastAsia="zh-CN"/>
            </w:rPr>
            <w:tab/>
          </w:r>
          <w:r>
            <w:rPr>
              <w:rFonts w:hint="default" w:ascii="黑体" w:hAnsi="黑体" w:eastAsia="黑体"/>
              <w:highlight w:val="none"/>
              <w:lang w:val="en" w:eastAsia="zh-CN"/>
            </w:rPr>
            <w:t>9</w:t>
          </w:r>
          <w:r>
            <w:rPr>
              <w:rFonts w:hint="eastAsia" w:ascii="黑体" w:hAnsi="黑体" w:eastAsia="黑体"/>
              <w:highlight w:val="none"/>
              <w:lang w:eastAsia="zh-CN"/>
            </w:rPr>
            <w:fldChar w:fldCharType="end"/>
          </w:r>
          <w:r>
            <w:rPr>
              <w:rFonts w:hint="default" w:ascii="黑体" w:hAnsi="黑体" w:eastAsia="黑体"/>
              <w:highlight w:val="none"/>
              <w:lang w:eastAsia="zh-CN"/>
            </w:rPr>
            <w:t>4</w:t>
          </w:r>
        </w:p>
        <w:p>
          <w:pPr>
            <w:pStyle w:val="14"/>
            <w:tabs>
              <w:tab w:val="right" w:leader="dot" w:pos="8306"/>
              <w:tab w:val="clear" w:pos="8296"/>
            </w:tabs>
            <w:rPr>
              <w:rFonts w:hint="default"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_Toc344519592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二、收入决算表</w:t>
          </w:r>
          <w:r>
            <w:rPr>
              <w:rFonts w:hint="eastAsia" w:ascii="黑体" w:hAnsi="黑体" w:eastAsia="黑体"/>
              <w:highlight w:val="none"/>
              <w:lang w:eastAsia="zh-CN"/>
            </w:rPr>
            <w:tab/>
          </w:r>
          <w:r>
            <w:rPr>
              <w:rFonts w:hint="default" w:ascii="黑体" w:hAnsi="黑体" w:eastAsia="黑体"/>
              <w:highlight w:val="none"/>
              <w:lang w:val="en" w:eastAsia="zh-CN"/>
            </w:rPr>
            <w:t>9</w:t>
          </w:r>
          <w:r>
            <w:rPr>
              <w:rFonts w:hint="eastAsia" w:ascii="黑体" w:hAnsi="黑体" w:eastAsia="黑体"/>
              <w:highlight w:val="none"/>
              <w:lang w:eastAsia="zh-CN"/>
            </w:rPr>
            <w:fldChar w:fldCharType="end"/>
          </w:r>
          <w:r>
            <w:rPr>
              <w:rFonts w:hint="default" w:ascii="黑体" w:hAnsi="黑体" w:eastAsia="黑体"/>
              <w:highlight w:val="none"/>
              <w:lang w:eastAsia="zh-CN"/>
            </w:rPr>
            <w:t>4</w:t>
          </w:r>
        </w:p>
        <w:p>
          <w:pPr>
            <w:pStyle w:val="14"/>
            <w:tabs>
              <w:tab w:val="right" w:leader="dot" w:pos="8306"/>
              <w:tab w:val="clear" w:pos="8296"/>
            </w:tabs>
            <w:rPr>
              <w:rFonts w:hint="default"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_Toc532572746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三、支出决算表</w:t>
          </w:r>
          <w:r>
            <w:rPr>
              <w:rFonts w:hint="eastAsia" w:ascii="黑体" w:hAnsi="黑体" w:eastAsia="黑体"/>
              <w:highlight w:val="none"/>
              <w:lang w:eastAsia="zh-CN"/>
            </w:rPr>
            <w:tab/>
          </w:r>
          <w:r>
            <w:rPr>
              <w:rFonts w:hint="default" w:ascii="黑体" w:hAnsi="黑体" w:eastAsia="黑体"/>
              <w:highlight w:val="none"/>
              <w:lang w:val="en" w:eastAsia="zh-CN"/>
            </w:rPr>
            <w:t>9</w:t>
          </w:r>
          <w:r>
            <w:rPr>
              <w:rFonts w:hint="eastAsia" w:ascii="黑体" w:hAnsi="黑体" w:eastAsia="黑体"/>
              <w:highlight w:val="none"/>
              <w:lang w:eastAsia="zh-CN"/>
            </w:rPr>
            <w:fldChar w:fldCharType="end"/>
          </w:r>
          <w:r>
            <w:rPr>
              <w:rFonts w:hint="default" w:ascii="黑体" w:hAnsi="黑体" w:eastAsia="黑体"/>
              <w:highlight w:val="none"/>
              <w:lang w:eastAsia="zh-CN"/>
            </w:rPr>
            <w:t>4</w:t>
          </w:r>
        </w:p>
        <w:p>
          <w:pPr>
            <w:pStyle w:val="14"/>
            <w:tabs>
              <w:tab w:val="right" w:leader="dot" w:pos="8306"/>
              <w:tab w:val="clear" w:pos="8296"/>
            </w:tabs>
            <w:rPr>
              <w:rFonts w:hint="default"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_Toc900004845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四、财政拨款收入支出决算总表</w:t>
          </w:r>
          <w:r>
            <w:rPr>
              <w:rFonts w:hint="eastAsia" w:ascii="黑体" w:hAnsi="黑体" w:eastAsia="黑体"/>
              <w:highlight w:val="none"/>
              <w:lang w:eastAsia="zh-CN"/>
            </w:rPr>
            <w:tab/>
          </w:r>
          <w:r>
            <w:rPr>
              <w:rFonts w:hint="default" w:ascii="黑体" w:hAnsi="黑体" w:eastAsia="黑体"/>
              <w:highlight w:val="none"/>
              <w:lang w:val="en" w:eastAsia="zh-CN"/>
            </w:rPr>
            <w:t>9</w:t>
          </w:r>
          <w:r>
            <w:rPr>
              <w:rFonts w:hint="eastAsia" w:ascii="黑体" w:hAnsi="黑体" w:eastAsia="黑体"/>
              <w:highlight w:val="none"/>
              <w:lang w:eastAsia="zh-CN"/>
            </w:rPr>
            <w:fldChar w:fldCharType="end"/>
          </w:r>
          <w:r>
            <w:rPr>
              <w:rFonts w:hint="default" w:ascii="黑体" w:hAnsi="黑体" w:eastAsia="黑体"/>
              <w:highlight w:val="none"/>
              <w:lang w:eastAsia="zh-CN"/>
            </w:rPr>
            <w:t>4</w:t>
          </w:r>
        </w:p>
        <w:p>
          <w:pPr>
            <w:pStyle w:val="14"/>
            <w:tabs>
              <w:tab w:val="right" w:leader="dot" w:pos="8306"/>
              <w:tab w:val="clear" w:pos="8296"/>
            </w:tabs>
            <w:rPr>
              <w:rFonts w:hint="default"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_Toc6780079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五、财政拨款支出决算明细表</w:t>
          </w:r>
          <w:r>
            <w:rPr>
              <w:rFonts w:hint="eastAsia" w:ascii="黑体" w:hAnsi="黑体" w:eastAsia="黑体"/>
              <w:highlight w:val="none"/>
              <w:lang w:eastAsia="zh-CN"/>
            </w:rPr>
            <w:tab/>
          </w:r>
          <w:r>
            <w:rPr>
              <w:rFonts w:hint="default" w:ascii="黑体" w:hAnsi="黑体" w:eastAsia="黑体"/>
              <w:highlight w:val="none"/>
              <w:lang w:val="en" w:eastAsia="zh-CN"/>
            </w:rPr>
            <w:t>9</w:t>
          </w:r>
          <w:r>
            <w:rPr>
              <w:rFonts w:hint="eastAsia" w:ascii="黑体" w:hAnsi="黑体" w:eastAsia="黑体"/>
              <w:highlight w:val="none"/>
              <w:lang w:eastAsia="zh-CN"/>
            </w:rPr>
            <w:fldChar w:fldCharType="end"/>
          </w:r>
          <w:r>
            <w:rPr>
              <w:rFonts w:hint="default" w:ascii="黑体" w:hAnsi="黑体" w:eastAsia="黑体"/>
              <w:highlight w:val="none"/>
              <w:lang w:eastAsia="zh-CN"/>
            </w:rPr>
            <w:t>4</w:t>
          </w:r>
        </w:p>
        <w:p>
          <w:pPr>
            <w:pStyle w:val="14"/>
            <w:tabs>
              <w:tab w:val="right" w:leader="dot" w:pos="8306"/>
              <w:tab w:val="clear" w:pos="8296"/>
            </w:tabs>
            <w:rPr>
              <w:rFonts w:hint="default"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_Toc2046193068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六、一般公共预算财政拨款支出决算表</w:t>
          </w:r>
          <w:r>
            <w:rPr>
              <w:rFonts w:hint="eastAsia" w:ascii="黑体" w:hAnsi="黑体" w:eastAsia="黑体"/>
              <w:highlight w:val="none"/>
              <w:lang w:eastAsia="zh-CN"/>
            </w:rPr>
            <w:tab/>
          </w:r>
          <w:r>
            <w:rPr>
              <w:rFonts w:hint="default" w:ascii="黑体" w:hAnsi="黑体" w:eastAsia="黑体"/>
              <w:highlight w:val="none"/>
              <w:lang w:val="en" w:eastAsia="zh-CN"/>
            </w:rPr>
            <w:t>9</w:t>
          </w:r>
          <w:r>
            <w:rPr>
              <w:rFonts w:hint="eastAsia" w:ascii="黑体" w:hAnsi="黑体" w:eastAsia="黑体"/>
              <w:highlight w:val="none"/>
              <w:lang w:eastAsia="zh-CN"/>
            </w:rPr>
            <w:fldChar w:fldCharType="end"/>
          </w:r>
          <w:r>
            <w:rPr>
              <w:rFonts w:hint="default" w:ascii="黑体" w:hAnsi="黑体" w:eastAsia="黑体"/>
              <w:highlight w:val="none"/>
              <w:lang w:eastAsia="zh-CN"/>
            </w:rPr>
            <w:t>4</w:t>
          </w:r>
        </w:p>
        <w:p>
          <w:pPr>
            <w:pStyle w:val="14"/>
            <w:tabs>
              <w:tab w:val="right" w:leader="dot" w:pos="8306"/>
              <w:tab w:val="clear" w:pos="8296"/>
            </w:tabs>
            <w:rPr>
              <w:rFonts w:hint="default"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_Toc1598973755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七、一般公共预算财政拨款支出决算明细表</w:t>
          </w:r>
          <w:r>
            <w:rPr>
              <w:rFonts w:hint="eastAsia" w:ascii="黑体" w:hAnsi="黑体" w:eastAsia="黑体"/>
              <w:highlight w:val="none"/>
              <w:lang w:eastAsia="zh-CN"/>
            </w:rPr>
            <w:tab/>
          </w:r>
          <w:r>
            <w:rPr>
              <w:rFonts w:hint="default" w:ascii="黑体" w:hAnsi="黑体" w:eastAsia="黑体"/>
              <w:highlight w:val="none"/>
              <w:lang w:val="en" w:eastAsia="zh-CN"/>
            </w:rPr>
            <w:t>9</w:t>
          </w:r>
          <w:r>
            <w:rPr>
              <w:rFonts w:hint="eastAsia" w:ascii="黑体" w:hAnsi="黑体" w:eastAsia="黑体"/>
              <w:highlight w:val="none"/>
              <w:lang w:eastAsia="zh-CN"/>
            </w:rPr>
            <w:fldChar w:fldCharType="end"/>
          </w:r>
          <w:r>
            <w:rPr>
              <w:rFonts w:hint="default" w:ascii="黑体" w:hAnsi="黑体" w:eastAsia="黑体"/>
              <w:highlight w:val="none"/>
              <w:lang w:eastAsia="zh-CN"/>
            </w:rPr>
            <w:t>4</w:t>
          </w:r>
        </w:p>
        <w:p>
          <w:pPr>
            <w:pStyle w:val="14"/>
            <w:tabs>
              <w:tab w:val="right" w:leader="dot" w:pos="8306"/>
              <w:tab w:val="clear" w:pos="8296"/>
            </w:tabs>
            <w:rPr>
              <w:rFonts w:hint="default"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_Toc1561114907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八、一般公共预算财政拨款基本支出决算表</w:t>
          </w:r>
          <w:r>
            <w:rPr>
              <w:rFonts w:hint="eastAsia" w:ascii="黑体" w:hAnsi="黑体" w:eastAsia="黑体"/>
              <w:highlight w:val="none"/>
              <w:lang w:eastAsia="zh-CN"/>
            </w:rPr>
            <w:tab/>
          </w:r>
          <w:r>
            <w:rPr>
              <w:rFonts w:hint="default" w:ascii="黑体" w:hAnsi="黑体" w:eastAsia="黑体"/>
              <w:highlight w:val="none"/>
              <w:lang w:val="en" w:eastAsia="zh-CN"/>
            </w:rPr>
            <w:t>9</w:t>
          </w:r>
          <w:r>
            <w:rPr>
              <w:rFonts w:hint="eastAsia" w:ascii="黑体" w:hAnsi="黑体" w:eastAsia="黑体"/>
              <w:highlight w:val="none"/>
              <w:lang w:eastAsia="zh-CN"/>
            </w:rPr>
            <w:fldChar w:fldCharType="end"/>
          </w:r>
          <w:r>
            <w:rPr>
              <w:rFonts w:hint="default" w:ascii="黑体" w:hAnsi="黑体" w:eastAsia="黑体"/>
              <w:highlight w:val="none"/>
              <w:lang w:eastAsia="zh-CN"/>
            </w:rPr>
            <w:t>4</w:t>
          </w:r>
        </w:p>
        <w:p>
          <w:pPr>
            <w:pStyle w:val="14"/>
            <w:tabs>
              <w:tab w:val="right" w:leader="dot" w:pos="8306"/>
              <w:tab w:val="clear" w:pos="8296"/>
            </w:tabs>
            <w:rPr>
              <w:rFonts w:hint="default"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_Toc527328035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九、一般公共预算财政拨款项目支出决算表</w:t>
          </w:r>
          <w:r>
            <w:rPr>
              <w:rFonts w:hint="eastAsia" w:ascii="黑体" w:hAnsi="黑体" w:eastAsia="黑体"/>
              <w:highlight w:val="none"/>
              <w:lang w:eastAsia="zh-CN"/>
            </w:rPr>
            <w:tab/>
          </w:r>
          <w:r>
            <w:rPr>
              <w:rFonts w:hint="default" w:ascii="黑体" w:hAnsi="黑体" w:eastAsia="黑体"/>
              <w:highlight w:val="none"/>
              <w:lang w:val="en" w:eastAsia="zh-CN"/>
            </w:rPr>
            <w:t>9</w:t>
          </w:r>
          <w:r>
            <w:rPr>
              <w:rFonts w:hint="eastAsia" w:ascii="黑体" w:hAnsi="黑体" w:eastAsia="黑体"/>
              <w:highlight w:val="none"/>
              <w:lang w:eastAsia="zh-CN"/>
            </w:rPr>
            <w:fldChar w:fldCharType="end"/>
          </w:r>
          <w:r>
            <w:rPr>
              <w:rFonts w:hint="default" w:ascii="黑体" w:hAnsi="黑体" w:eastAsia="黑体"/>
              <w:highlight w:val="none"/>
              <w:lang w:eastAsia="zh-CN"/>
            </w:rPr>
            <w:t>4</w:t>
          </w:r>
        </w:p>
        <w:p>
          <w:pPr>
            <w:pStyle w:val="14"/>
            <w:tabs>
              <w:tab w:val="right" w:leader="dot" w:pos="8306"/>
              <w:tab w:val="clear" w:pos="8296"/>
            </w:tabs>
            <w:rPr>
              <w:rFonts w:hint="default"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_Toc1445187137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十、政府性基金预算财政拨款收入支出决算表</w:t>
          </w:r>
          <w:r>
            <w:rPr>
              <w:rFonts w:hint="eastAsia" w:ascii="黑体" w:hAnsi="黑体" w:eastAsia="黑体"/>
              <w:highlight w:val="none"/>
              <w:lang w:eastAsia="zh-CN"/>
            </w:rPr>
            <w:tab/>
          </w:r>
          <w:r>
            <w:rPr>
              <w:rFonts w:hint="default" w:ascii="黑体" w:hAnsi="黑体" w:eastAsia="黑体"/>
              <w:highlight w:val="none"/>
              <w:lang w:val="en" w:eastAsia="zh-CN"/>
            </w:rPr>
            <w:t>9</w:t>
          </w:r>
          <w:r>
            <w:rPr>
              <w:rFonts w:hint="eastAsia" w:ascii="黑体" w:hAnsi="黑体" w:eastAsia="黑体"/>
              <w:highlight w:val="none"/>
              <w:lang w:eastAsia="zh-CN"/>
            </w:rPr>
            <w:fldChar w:fldCharType="end"/>
          </w:r>
          <w:r>
            <w:rPr>
              <w:rFonts w:hint="default" w:ascii="黑体" w:hAnsi="黑体" w:eastAsia="黑体"/>
              <w:highlight w:val="none"/>
              <w:lang w:eastAsia="zh-CN"/>
            </w:rPr>
            <w:t>4</w:t>
          </w:r>
        </w:p>
        <w:p>
          <w:pPr>
            <w:pStyle w:val="14"/>
            <w:tabs>
              <w:tab w:val="right" w:leader="dot" w:pos="8306"/>
              <w:tab w:val="clear" w:pos="8296"/>
            </w:tabs>
            <w:rPr>
              <w:rFonts w:hint="default"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_Toc1353412922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十一、国有资本经营预算财政拨款收入支出决算表</w:t>
          </w:r>
          <w:r>
            <w:rPr>
              <w:rFonts w:hint="eastAsia" w:ascii="黑体" w:hAnsi="黑体" w:eastAsia="黑体"/>
              <w:highlight w:val="none"/>
              <w:lang w:eastAsia="zh-CN"/>
            </w:rPr>
            <w:tab/>
          </w:r>
          <w:r>
            <w:rPr>
              <w:rFonts w:hint="default" w:ascii="黑体" w:hAnsi="黑体" w:eastAsia="黑体"/>
              <w:highlight w:val="none"/>
              <w:lang w:val="en" w:eastAsia="zh-CN"/>
            </w:rPr>
            <w:t>9</w:t>
          </w:r>
          <w:r>
            <w:rPr>
              <w:rFonts w:hint="eastAsia" w:ascii="黑体" w:hAnsi="黑体" w:eastAsia="黑体"/>
              <w:highlight w:val="none"/>
              <w:lang w:eastAsia="zh-CN"/>
            </w:rPr>
            <w:fldChar w:fldCharType="end"/>
          </w:r>
          <w:r>
            <w:rPr>
              <w:rFonts w:hint="default" w:ascii="黑体" w:hAnsi="黑体" w:eastAsia="黑体"/>
              <w:highlight w:val="none"/>
              <w:lang w:eastAsia="zh-CN"/>
            </w:rPr>
            <w:t>4</w:t>
          </w:r>
        </w:p>
        <w:p>
          <w:pPr>
            <w:pStyle w:val="14"/>
            <w:tabs>
              <w:tab w:val="right" w:leader="dot" w:pos="8306"/>
              <w:tab w:val="clear" w:pos="8296"/>
            </w:tabs>
            <w:rPr>
              <w:rFonts w:hint="default" w:ascii="黑体" w:hAnsi="黑体" w:eastAsia="黑体"/>
              <w:highlight w:val="none"/>
              <w:lang w:eastAsia="zh-C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_Toc493262762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十二、国有资本经营预算财政拨款支出决算表</w:t>
          </w:r>
          <w:r>
            <w:rPr>
              <w:rFonts w:hint="eastAsia" w:ascii="黑体" w:hAnsi="黑体" w:eastAsia="黑体"/>
              <w:highlight w:val="none"/>
              <w:lang w:eastAsia="zh-CN"/>
            </w:rPr>
            <w:tab/>
          </w:r>
          <w:r>
            <w:rPr>
              <w:rFonts w:hint="default" w:ascii="黑体" w:hAnsi="黑体" w:eastAsia="黑体"/>
              <w:highlight w:val="none"/>
              <w:lang w:val="en" w:eastAsia="zh-CN"/>
            </w:rPr>
            <w:t>9</w:t>
          </w:r>
          <w:r>
            <w:rPr>
              <w:rFonts w:hint="eastAsia" w:ascii="黑体" w:hAnsi="黑体" w:eastAsia="黑体"/>
              <w:highlight w:val="none"/>
              <w:lang w:eastAsia="zh-CN"/>
            </w:rPr>
            <w:fldChar w:fldCharType="end"/>
          </w:r>
          <w:r>
            <w:rPr>
              <w:rFonts w:hint="default" w:ascii="黑体" w:hAnsi="黑体" w:eastAsia="黑体"/>
              <w:highlight w:val="none"/>
              <w:lang w:eastAsia="zh-CN"/>
            </w:rPr>
            <w:t>4</w:t>
          </w:r>
        </w:p>
        <w:p>
          <w:pPr>
            <w:pStyle w:val="14"/>
            <w:tabs>
              <w:tab w:val="right" w:leader="dot" w:pos="8306"/>
              <w:tab w:val="clear" w:pos="8296"/>
            </w:tabs>
            <w:rPr>
              <w:rFonts w:hint="default"/>
              <w:lang w:val="en"/>
            </w:rPr>
          </w:pPr>
          <w:r>
            <w:rPr>
              <w:rFonts w:hint="eastAsia" w:ascii="黑体" w:hAnsi="黑体" w:eastAsia="黑体"/>
              <w:highlight w:val="none"/>
              <w:lang w:eastAsia="zh-CN"/>
            </w:rPr>
            <w:fldChar w:fldCharType="begin"/>
          </w:r>
          <w:r>
            <w:rPr>
              <w:rFonts w:hint="eastAsia" w:ascii="黑体" w:hAnsi="黑体" w:eastAsia="黑体"/>
              <w:highlight w:val="none"/>
              <w:lang w:eastAsia="zh-CN"/>
            </w:rPr>
            <w:instrText xml:space="preserve"> HYPERLINK \l _Toc726883627 </w:instrText>
          </w:r>
          <w:r>
            <w:rPr>
              <w:rFonts w:hint="eastAsia" w:ascii="黑体" w:hAnsi="黑体" w:eastAsia="黑体"/>
              <w:highlight w:val="none"/>
              <w:lang w:eastAsia="zh-CN"/>
            </w:rPr>
            <w:fldChar w:fldCharType="separate"/>
          </w:r>
          <w:r>
            <w:rPr>
              <w:rFonts w:hint="eastAsia" w:ascii="黑体" w:hAnsi="黑体" w:eastAsia="黑体"/>
              <w:highlight w:val="none"/>
              <w:lang w:eastAsia="zh-CN"/>
            </w:rPr>
            <w:t>十三、财政拨款“三公”经费</w:t>
          </w:r>
          <w:r>
            <w:rPr>
              <w:rFonts w:hint="eastAsia" w:ascii="黑体" w:hAnsi="黑体" w:eastAsia="黑体"/>
              <w:highlight w:val="none"/>
              <w:lang w:eastAsia="zh-CN"/>
            </w:rPr>
            <w:tab/>
          </w:r>
          <w:r>
            <w:rPr>
              <w:rFonts w:hint="default" w:ascii="黑体" w:hAnsi="黑体" w:eastAsia="黑体"/>
              <w:highlight w:val="none"/>
              <w:lang w:val="en" w:eastAsia="zh-CN"/>
            </w:rPr>
            <w:t>9</w:t>
          </w:r>
          <w:r>
            <w:rPr>
              <w:rFonts w:hint="eastAsia" w:ascii="黑体" w:hAnsi="黑体" w:eastAsia="黑体"/>
              <w:highlight w:val="none"/>
              <w:lang w:eastAsia="zh-CN"/>
            </w:rPr>
            <w:fldChar w:fldCharType="end"/>
          </w:r>
          <w:r>
            <w:rPr>
              <w:rFonts w:hint="default" w:ascii="黑体" w:hAnsi="黑体" w:eastAsia="黑体"/>
              <w:highlight w:val="none"/>
              <w:lang w:val="en" w:eastAsia="zh-CN"/>
            </w:rPr>
            <w:t>4</w:t>
          </w:r>
        </w:p>
        <w:p>
          <w:r>
            <w:fldChar w:fldCharType="end"/>
          </w:r>
        </w:p>
        <w:p>
          <w:pPr>
            <w:pStyle w:val="2"/>
          </w:pPr>
        </w:p>
      </w:sdtContent>
    </w:sdt>
    <w:p>
      <w:pPr>
        <w:rPr>
          <w:color w:val="auto"/>
          <w:highlight w:val="none"/>
        </w:rPr>
      </w:pPr>
    </w:p>
    <w:p>
      <w:pPr>
        <w:pStyle w:val="3"/>
        <w:jc w:val="center"/>
        <w:rPr>
          <w:rFonts w:ascii="黑体" w:eastAsia="黑体"/>
          <w:color w:val="auto"/>
          <w:sz w:val="32"/>
          <w:szCs w:val="32"/>
          <w:highlight w:val="none"/>
        </w:rPr>
      </w:pPr>
      <w:bookmarkStart w:id="18" w:name="_Toc1554334828"/>
      <w:bookmarkStart w:id="19" w:name="_Toc15377196"/>
      <w:bookmarkStart w:id="20" w:name="_Toc595229341"/>
      <w:bookmarkStart w:id="21" w:name="_Toc15396599"/>
      <w:bookmarkStart w:id="22" w:name="_Toc1571698069"/>
      <w:r>
        <w:rPr>
          <w:rFonts w:hint="eastAsia" w:ascii="黑体" w:hAnsi="黑体" w:eastAsia="黑体"/>
          <w:b w:val="0"/>
          <w:color w:val="auto"/>
          <w:highlight w:val="none"/>
        </w:rPr>
        <w:t xml:space="preserve">第一部分 </w:t>
      </w:r>
      <w:r>
        <w:rPr>
          <w:rStyle w:val="29"/>
          <w:rFonts w:hint="eastAsia" w:ascii="黑体" w:hAnsi="黑体" w:eastAsia="黑体"/>
          <w:b w:val="0"/>
          <w:bCs w:val="0"/>
          <w:color w:val="auto"/>
          <w:highlight w:val="none"/>
        </w:rPr>
        <w:t>部门概况</w:t>
      </w:r>
      <w:bookmarkEnd w:id="18"/>
      <w:bookmarkEnd w:id="19"/>
      <w:bookmarkEnd w:id="20"/>
      <w:bookmarkEnd w:id="21"/>
      <w:bookmarkEnd w:id="22"/>
    </w:p>
    <w:p>
      <w:pPr>
        <w:pStyle w:val="4"/>
        <w:numPr>
          <w:ilvl w:val="0"/>
          <w:numId w:val="1"/>
        </w:numPr>
        <w:rPr>
          <w:rFonts w:hint="eastAsia" w:ascii="黑体" w:hAnsi="黑体" w:eastAsia="黑体"/>
          <w:b w:val="0"/>
          <w:color w:val="auto"/>
          <w:highlight w:val="none"/>
          <w:lang w:eastAsia="zh-CN"/>
        </w:rPr>
      </w:pPr>
      <w:bookmarkStart w:id="23" w:name="_Toc942621997"/>
      <w:bookmarkStart w:id="24" w:name="_Toc628618615"/>
      <w:bookmarkStart w:id="25" w:name="_Toc944056379"/>
      <w:r>
        <w:rPr>
          <w:rFonts w:hint="eastAsia" w:ascii="黑体" w:hAnsi="黑体" w:eastAsia="黑体"/>
          <w:b w:val="0"/>
          <w:color w:val="auto"/>
          <w:highlight w:val="none"/>
          <w:lang w:eastAsia="zh-CN"/>
        </w:rPr>
        <w:t>部门职责</w:t>
      </w:r>
      <w:bookmarkEnd w:id="23"/>
      <w:bookmarkEnd w:id="24"/>
      <w:bookmarkEnd w:id="25"/>
    </w:p>
    <w:p>
      <w:p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（一）基本职能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3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市委全面依法治市委员会办公室（以下简称市委依法治市办）设在市司法局，接受市委全面依法治市委员会的直接领导，承担委员会具体工作，组织开展全面依法治市重大问题的政策研究，协调督促有关方面落实委员会决定事项、工作部署和要求等。设置市委依法治市办秘书室，负责处理市委依法治市办日常事务。市司法局的内设机构根据工作需要承担市委依法治市办相关工作，接受市委依法治市办的统筹协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3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1.承担全面依法治国、依法治省和依法治市重大问题的政策研究，协调有关方面提出全面依法治市规划建议，负责有关重大决策部署督察工作。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3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2.承担统筹规划立法工作的责任。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3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3.负责起草或者组织起草地方性法规、市政府规章草案。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4.承担市政府规章的解释、立法后评估工作。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5.负责市政府规范性文件、重大行政决策发布前的合法性审查。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6.承担统筹推进法治政府建设的责任。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7.承担统筹规划法治社会建设的责任。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8.指导管理社区矫正工作。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3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9.负责全市公共法律服务体系建设。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3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10.负责全市国家统一法律职业资格考试工作。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3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11.负责本系统警车管理工作。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3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12.规划、协调、指导法治人才队伍建设相关工作。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3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13.负责并指导本系统行政审批工作。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30"/>
        <w:jc w:val="left"/>
        <w:rPr>
          <w:rFonts w:hint="eastAsia" w:ascii="仿宋_GB2312" w:hAnsi="仿宋_GB2312" w:eastAsia="仿宋_GB2312" w:cs="仿宋_GB2312"/>
          <w:i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caps w:val="0"/>
          <w:color w:val="333333"/>
          <w:spacing w:val="0"/>
          <w:kern w:val="0"/>
          <w:sz w:val="32"/>
          <w:szCs w:val="32"/>
          <w:shd w:val="clear" w:fill="FFFFFF"/>
          <w:lang w:val="en-US" w:eastAsia="zh-CN" w:bidi="ar"/>
        </w:rPr>
        <w:t>14.完成市委和市政府交办的其他任务。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w:t>
      </w:r>
      <w:r>
        <w:rPr>
          <w:rFonts w:hint="eastAsia" w:ascii="黑体" w:hAnsi="黑体" w:eastAsia="黑体" w:cs="黑体"/>
          <w:color w:val="333333"/>
          <w:kern w:val="0"/>
          <w:sz w:val="32"/>
          <w:szCs w:val="32"/>
          <w:shd w:val="clear" w:color="auto" w:fill="FFFFFF"/>
        </w:rPr>
        <w:t>202</w:t>
      </w:r>
      <w:r>
        <w:rPr>
          <w:rFonts w:hint="eastAsia" w:ascii="黑体" w:hAnsi="黑体" w:eastAsia="黑体" w:cs="黑体"/>
          <w:color w:val="333333"/>
          <w:kern w:val="0"/>
          <w:sz w:val="32"/>
          <w:szCs w:val="32"/>
          <w:shd w:val="clear" w:color="auto" w:fill="FFFFFF"/>
          <w:lang w:val="en-US" w:eastAsia="zh-CN"/>
        </w:rPr>
        <w:t>2</w:t>
      </w:r>
      <w:r>
        <w:rPr>
          <w:rFonts w:hint="eastAsia" w:ascii="黑体" w:hAnsi="黑体" w:eastAsia="黑体" w:cs="黑体"/>
          <w:color w:val="333333"/>
          <w:kern w:val="0"/>
          <w:sz w:val="32"/>
          <w:szCs w:val="32"/>
          <w:shd w:val="clear" w:color="auto" w:fill="FFFFFF"/>
        </w:rPr>
        <w:t>年重点工作完成情况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lang w:eastAsia="zh-CN"/>
        </w:rPr>
        <w:t>强化忠诚铸魂</w:t>
      </w:r>
      <w:r>
        <w:rPr>
          <w:rFonts w:hint="eastAsia" w:ascii="楷体_GB2312" w:hAnsi="楷体_GB2312" w:eastAsia="楷体_GB2312" w:cs="楷体_GB2312"/>
          <w:sz w:val="32"/>
          <w:szCs w:val="32"/>
        </w:rPr>
        <w:t>，政治建设全面加强。</w:t>
      </w:r>
      <w:r>
        <w:rPr>
          <w:rFonts w:hint="eastAsia" w:ascii="仿宋_GB2312" w:hAnsi="仿宋" w:eastAsia="仿宋_GB2312" w:cs="仿宋"/>
          <w:sz w:val="32"/>
          <w:szCs w:val="32"/>
          <w:lang w:eastAsia="zh-CN"/>
        </w:rPr>
        <w:t>采取中心组理论学习、支部集中学习、个人自学等方式，持续</w:t>
      </w:r>
      <w:r>
        <w:rPr>
          <w:rFonts w:hint="eastAsia" w:ascii="仿宋_GB2312" w:hAnsi="仿宋_GB2312" w:eastAsia="仿宋_GB2312" w:cs="仿宋_GB2312"/>
          <w:sz w:val="32"/>
          <w:szCs w:val="32"/>
          <w:lang w:val="en-US" w:eastAsia="zh-CN"/>
        </w:rPr>
        <w:t>抓好习近平总书记来川视察重要指示精神、全国“两会”精神、党的二十大精神和省第十二次党代会精神的学习贯彻，</w:t>
      </w:r>
      <w:r>
        <w:rPr>
          <w:rFonts w:hint="eastAsia" w:ascii="仿宋_GB2312" w:hAnsi="仿宋" w:eastAsia="仿宋_GB2312" w:cs="仿宋"/>
          <w:sz w:val="32"/>
          <w:szCs w:val="32"/>
          <w:lang w:eastAsia="zh-CN"/>
        </w:rPr>
        <w:t>切实</w:t>
      </w:r>
      <w:r>
        <w:rPr>
          <w:rFonts w:hint="eastAsia" w:ascii="仿宋_GB2312" w:hAnsi="仿宋" w:eastAsia="仿宋_GB2312" w:cs="仿宋"/>
          <w:sz w:val="32"/>
          <w:szCs w:val="32"/>
        </w:rPr>
        <w:t>补足精神之钙。</w:t>
      </w:r>
      <w:r>
        <w:rPr>
          <w:rFonts w:hint="eastAsia" w:ascii="仿宋_GB2312" w:hAnsi="仿宋" w:eastAsia="仿宋_GB2312" w:cs="仿宋"/>
          <w:sz w:val="32"/>
          <w:szCs w:val="32"/>
          <w:lang w:eastAsia="zh-CN"/>
        </w:rPr>
        <w:t>深入开展“忠诚铸魂、铁纪担当”专项活动，持续巩固政法队伍教育整顿成果。</w:t>
      </w:r>
      <w:r>
        <w:rPr>
          <w:rFonts w:hint="eastAsia" w:ascii="仿宋_GB2312" w:hAnsi="仿宋_GB2312" w:eastAsia="仿宋_GB2312" w:cs="仿宋_GB2312"/>
          <w:sz w:val="32"/>
          <w:szCs w:val="32"/>
        </w:rPr>
        <w:t>严格落实意识形态工作责任制，</w:t>
      </w:r>
      <w:r>
        <w:rPr>
          <w:rFonts w:hint="eastAsia" w:ascii="仿宋_GB2312" w:eastAsia="仿宋_GB2312"/>
          <w:b w:val="0"/>
          <w:bCs w:val="0"/>
          <w:sz w:val="32"/>
          <w:szCs w:val="32"/>
          <w:lang w:val="en-US" w:eastAsia="zh-CN"/>
        </w:rPr>
        <w:t>强化局机关和全系统舆论宣传管理和网络意识形态工作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组织召开以案促改暨全市司法行政系统警示教育大会，</w:t>
      </w:r>
      <w:r>
        <w:rPr>
          <w:rFonts w:hint="eastAsia" w:ascii="仿宋_GB2312" w:hAnsi="仿宋_GB2312" w:eastAsia="仿宋_GB2312" w:cs="仿宋_GB2312"/>
          <w:sz w:val="32"/>
          <w:szCs w:val="32"/>
        </w:rPr>
        <w:t>逗硬落实《广元市政法系统从严治警十条禁令》，</w:t>
      </w:r>
      <w:r>
        <w:rPr>
          <w:rFonts w:hint="eastAsia" w:ascii="仿宋_GB2312" w:hAnsi="仿宋_GB2312" w:eastAsia="仿宋_GB2312" w:cs="仿宋_GB2312"/>
          <w:sz w:val="32"/>
          <w:szCs w:val="32"/>
          <w:lang w:eastAsia="zh-CN"/>
        </w:rPr>
        <w:t>组织党员干部开展</w:t>
      </w:r>
      <w:r>
        <w:rPr>
          <w:rFonts w:hint="eastAsia" w:ascii="仿宋_GB2312" w:hAnsi="仿宋_GB2312" w:eastAsia="仿宋_GB2312" w:cs="仿宋_GB2312"/>
          <w:sz w:val="32"/>
          <w:szCs w:val="32"/>
        </w:rPr>
        <w:t>“回望小康路 奋进新征程 扶贫茶里忆党恩”</w:t>
      </w:r>
      <w:r>
        <w:rPr>
          <w:rFonts w:hint="eastAsia" w:ascii="仿宋_GB2312" w:hAnsi="仿宋_GB2312" w:eastAsia="仿宋_GB2312" w:cs="仿宋_GB2312"/>
          <w:sz w:val="32"/>
          <w:szCs w:val="32"/>
          <w:lang w:eastAsia="zh-CN"/>
        </w:rPr>
        <w:t>等主题党日活动，筑牢廉政思想防线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我局</w:t>
      </w:r>
      <w:r>
        <w:rPr>
          <w:rStyle w:val="36"/>
          <w:rFonts w:hint="eastAsia" w:ascii="仿宋_GB2312" w:eastAsia="仿宋_GB2312"/>
          <w:kern w:val="0"/>
          <w:sz w:val="32"/>
          <w:szCs w:val="32"/>
        </w:rPr>
        <w:t>被</w:t>
      </w:r>
      <w:r>
        <w:rPr>
          <w:rStyle w:val="36"/>
          <w:rFonts w:hint="eastAsia" w:ascii="仿宋_GB2312" w:eastAsia="仿宋_GB2312"/>
          <w:kern w:val="0"/>
          <w:sz w:val="32"/>
          <w:szCs w:val="32"/>
          <w:lang w:eastAsia="zh-CN"/>
        </w:rPr>
        <w:t>司法部、人社局表彰为</w:t>
      </w:r>
      <w:r>
        <w:rPr>
          <w:rFonts w:hint="eastAsia" w:ascii="仿宋_GB2312" w:eastAsia="仿宋_GB2312" w:cs="仿宋_GB2312"/>
          <w:sz w:val="32"/>
          <w:szCs w:val="32"/>
          <w:lang w:val="en"/>
        </w:rPr>
        <w:t>全国司法行政系统先进集体</w:t>
      </w:r>
      <w:r>
        <w:rPr>
          <w:rFonts w:hint="eastAsia" w:asci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color w:val="auto"/>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lang w:eastAsia="zh-CN"/>
        </w:rPr>
        <w:t>强化</w:t>
      </w:r>
      <w:r>
        <w:rPr>
          <w:rFonts w:hint="eastAsia" w:ascii="楷体_GB2312" w:hAnsi="楷体_GB2312" w:eastAsia="楷体_GB2312" w:cs="楷体_GB2312"/>
          <w:sz w:val="32"/>
          <w:szCs w:val="32"/>
        </w:rPr>
        <w:t>法治</w:t>
      </w:r>
      <w:r>
        <w:rPr>
          <w:rFonts w:hint="eastAsia" w:ascii="楷体_GB2312" w:hAnsi="楷体_GB2312" w:eastAsia="楷体_GB2312" w:cs="楷体_GB2312"/>
          <w:sz w:val="32"/>
          <w:szCs w:val="32"/>
          <w:lang w:eastAsia="zh-CN"/>
        </w:rPr>
        <w:t>统筹</w:t>
      </w:r>
      <w:r>
        <w:rPr>
          <w:rFonts w:hint="eastAsia" w:ascii="楷体_GB2312" w:hAnsi="楷体_GB2312" w:eastAsia="楷体_GB2312" w:cs="楷体_GB2312"/>
          <w:sz w:val="32"/>
          <w:szCs w:val="32"/>
        </w:rPr>
        <w:t>，依法治市</w:t>
      </w:r>
      <w:r>
        <w:rPr>
          <w:rFonts w:hint="eastAsia" w:ascii="楷体_GB2312" w:hAnsi="楷体_GB2312" w:eastAsia="楷体_GB2312" w:cs="楷体_GB2312"/>
          <w:sz w:val="32"/>
          <w:szCs w:val="32"/>
          <w:lang w:eastAsia="zh-CN"/>
        </w:rPr>
        <w:t>整体推进</w:t>
      </w:r>
      <w:r>
        <w:rPr>
          <w:rFonts w:hint="eastAsia" w:ascii="楷体_GB2312" w:hAnsi="楷体_GB2312" w:eastAsia="楷体_GB2312" w:cs="楷体_GB2312"/>
          <w:sz w:val="32"/>
          <w:szCs w:val="32"/>
        </w:rPr>
        <w:t>。</w:t>
      </w:r>
      <w:r>
        <w:rPr>
          <w:rFonts w:hint="eastAsia" w:ascii="仿宋_GB2312" w:hAnsi="Calibri" w:eastAsia="仿宋_GB2312" w:cs="仿宋_GB2312"/>
          <w:b w:val="0"/>
          <w:bCs w:val="0"/>
          <w:caps w:val="0"/>
          <w:color w:val="auto"/>
          <w:spacing w:val="0"/>
          <w:kern w:val="0"/>
          <w:sz w:val="32"/>
          <w:szCs w:val="32"/>
          <w:vertAlign w:val="baseline"/>
          <w:lang w:val="en-US" w:eastAsia="zh-CN" w:bidi="ar"/>
        </w:rPr>
        <w:t>开办“广元法治大讲堂”，举办习近平法治思想专题讲座30余期</w:t>
      </w:r>
      <w:r>
        <w:rPr>
          <w:rFonts w:hint="eastAsia" w:ascii="仿宋_GB2312" w:eastAsia="仿宋_GB2312" w:cs="仿宋_GB2312"/>
          <w:b w:val="0"/>
          <w:bCs w:val="0"/>
          <w:caps w:val="0"/>
          <w:color w:val="auto"/>
          <w:spacing w:val="0"/>
          <w:kern w:val="0"/>
          <w:sz w:val="32"/>
          <w:szCs w:val="32"/>
          <w:vertAlign w:val="baseline"/>
          <w:lang w:val="en-US" w:eastAsia="zh-CN" w:bidi="ar"/>
        </w:rPr>
        <w:t>。</w:t>
      </w:r>
      <w:r>
        <w:rPr>
          <w:rFonts w:hint="eastAsia" w:ascii="仿宋_GB2312" w:hAnsi="仿宋_GB2312" w:eastAsia="仿宋_GB2312" w:cs="仿宋_GB2312"/>
          <w:sz w:val="32"/>
          <w:szCs w:val="32"/>
        </w:rPr>
        <w:t>编制法治建设“一规划两方案”，依法治市工作稳步向前。</w:t>
      </w:r>
      <w:r>
        <w:rPr>
          <w:rFonts w:hint="default" w:ascii="仿宋_GB2312" w:eastAsia="仿宋_GB2312"/>
          <w:color w:val="auto"/>
          <w:sz w:val="32"/>
          <w:szCs w:val="32"/>
          <w:lang w:val="en-US" w:eastAsia="zh-CN"/>
        </w:rPr>
        <w:t>加强昭化区依法治区示范试点督促指导，结合全省安排部署，以“法治账图”为突破点，全面推广全省“1+8”示范试点成果。落实党政主要负责人履行推进法治建设第一责任人职责，开展党政主要负责人述法工作。</w:t>
      </w:r>
      <w:r>
        <w:rPr>
          <w:rFonts w:hint="eastAsia" w:ascii="仿宋_GB2312" w:eastAsia="仿宋_GB2312"/>
          <w:color w:val="auto"/>
          <w:sz w:val="32"/>
          <w:szCs w:val="32"/>
          <w:lang w:val="en-US" w:eastAsia="zh-CN"/>
        </w:rPr>
        <w:t>出台“八五”普法规划，成立“八五”普法讲师团，</w:t>
      </w:r>
      <w:r>
        <w:rPr>
          <w:rFonts w:hint="eastAsia" w:ascii="仿宋_GB2312" w:hAnsi="仿宋_GB2312" w:eastAsia="仿宋_GB2312" w:cs="仿宋_GB2312"/>
          <w:sz w:val="32"/>
          <w:szCs w:val="32"/>
          <w:lang w:val="en-US" w:eastAsia="zh-CN"/>
        </w:rPr>
        <w:t>实施“法律明白人”培养工程，全市共培养“法律明白人”9299名。</w:t>
      </w:r>
      <w:r>
        <w:rPr>
          <w:rFonts w:hint="default" w:ascii="仿宋_GB2312" w:hAnsi="仿宋_GB2312" w:eastAsia="仿宋_GB2312" w:cs="仿宋_GB2312"/>
          <w:sz w:val="32"/>
          <w:szCs w:val="32"/>
          <w:lang w:val="en-US" w:eastAsia="zh-CN"/>
        </w:rPr>
        <w:t>成立广元普法维权巾帼志愿宣传队</w:t>
      </w:r>
      <w:r>
        <w:rPr>
          <w:rFonts w:hint="eastAsia" w:ascii="仿宋_GB2312" w:hAnsi="仿宋_GB2312" w:eastAsia="仿宋_GB2312" w:cs="仿宋_GB2312"/>
          <w:sz w:val="32"/>
          <w:szCs w:val="32"/>
          <w:lang w:val="en-US" w:eastAsia="zh-CN"/>
        </w:rPr>
        <w:t>、广元法律服务团普法分团，统筹推进森林防灭火、世界环境日、“三八”妇女节、“6.26”禁毒日、防诈反邪宣传</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00余场次</w:t>
      </w:r>
      <w:r>
        <w:rPr>
          <w:rFonts w:hint="eastAsia" w:ascii="仿宋_GB2312" w:hAnsi="仿宋_GB2312" w:eastAsia="仿宋_GB2312" w:cs="仿宋_GB2312"/>
          <w:sz w:val="32"/>
          <w:szCs w:val="32"/>
          <w:lang w:val="en-US" w:eastAsia="zh-CN"/>
        </w:rPr>
        <w:t>。</w:t>
      </w:r>
      <w:r>
        <w:rPr>
          <w:rFonts w:ascii="仿宋_GB2312" w:hAnsi="黑体" w:eastAsia="仿宋_GB2312"/>
          <w:color w:val="auto"/>
          <w:sz w:val="32"/>
          <w:szCs w:val="32"/>
        </w:rPr>
        <w:t>组织全市国家工作人员完成年度学法考法工作</w:t>
      </w:r>
      <w:r>
        <w:rPr>
          <w:rFonts w:hint="eastAsia" w:ascii="仿宋_GB2312" w:hAnsi="黑体" w:eastAsia="仿宋_GB2312"/>
          <w:color w:val="auto"/>
          <w:sz w:val="32"/>
          <w:szCs w:val="32"/>
          <w:lang w:eastAsia="zh-CN"/>
        </w:rPr>
        <w:t>，</w:t>
      </w:r>
      <w:r>
        <w:rPr>
          <w:rFonts w:hint="eastAsia" w:ascii="仿宋_GB2312" w:hAnsi="仿宋_GB2312" w:eastAsia="仿宋_GB2312" w:cs="仿宋_GB2312"/>
          <w:kern w:val="2"/>
          <w:sz w:val="32"/>
          <w:szCs w:val="32"/>
          <w:lang w:val="en-US" w:eastAsia="zh-CN" w:bidi="ar-SA"/>
        </w:rPr>
        <w:t>学法考法人员20000余人</w:t>
      </w:r>
      <w:r>
        <w:rPr>
          <w:rFonts w:hint="eastAsia" w:ascii="仿宋_GB2312" w:hAnsi="黑体" w:eastAsia="仿宋_GB2312"/>
          <w:color w:val="auto"/>
          <w:sz w:val="32"/>
          <w:szCs w:val="32"/>
          <w:lang w:val="en-US" w:eastAsia="zh-CN"/>
        </w:rPr>
        <w:t>。开展示范创建，</w:t>
      </w:r>
      <w:r>
        <w:rPr>
          <w:rFonts w:hint="eastAsia" w:ascii="仿宋_GB2312" w:hAnsi="仿宋_GB2312" w:eastAsia="仿宋_GB2312" w:cs="仿宋_GB2312"/>
          <w:color w:val="auto"/>
          <w:sz w:val="32"/>
          <w:szCs w:val="32"/>
          <w:lang w:val="en-US" w:eastAsia="zh-CN"/>
        </w:rPr>
        <w:t>昭化区朝阳村等3个</w:t>
      </w:r>
      <w:r>
        <w:rPr>
          <w:rFonts w:hint="eastAsia" w:ascii="仿宋_GB2312" w:hAnsi="仿宋_GB2312" w:eastAsia="仿宋_GB2312" w:cs="仿宋_GB2312"/>
          <w:sz w:val="32"/>
          <w:szCs w:val="32"/>
          <w:lang w:val="en-US" w:eastAsia="zh-CN"/>
        </w:rPr>
        <w:t>村（社区）被命名为第九批“全国民主法治示范村（社区）”，剑阁县光荣村等10个村（社区）被命名为第一批省级“民主法治示范村（社区）”。</w:t>
      </w:r>
      <w:r>
        <w:rPr>
          <w:rFonts w:hint="eastAsia" w:ascii="仿宋_GB2312" w:hAnsi="黑体" w:eastAsia="仿宋_GB2312"/>
          <w:color w:val="auto"/>
          <w:sz w:val="32"/>
          <w:szCs w:val="32"/>
        </w:rPr>
        <w:t>市司法局</w:t>
      </w:r>
      <w:r>
        <w:rPr>
          <w:rFonts w:hint="eastAsia" w:ascii="仿宋_GB2312" w:hAnsi="黑体" w:eastAsia="仿宋_GB2312"/>
          <w:color w:val="auto"/>
          <w:sz w:val="32"/>
          <w:szCs w:val="32"/>
          <w:lang w:eastAsia="zh-CN"/>
        </w:rPr>
        <w:t>被</w:t>
      </w:r>
      <w:r>
        <w:rPr>
          <w:rFonts w:hint="eastAsia" w:ascii="仿宋_GB2312" w:hAnsi="黑体" w:eastAsia="仿宋_GB2312"/>
          <w:color w:val="auto"/>
          <w:sz w:val="32"/>
          <w:szCs w:val="32"/>
        </w:rPr>
        <w:t>表彰</w:t>
      </w:r>
      <w:r>
        <w:rPr>
          <w:rFonts w:hint="eastAsia" w:ascii="仿宋_GB2312" w:hAnsi="黑体" w:eastAsia="仿宋_GB2312"/>
          <w:color w:val="auto"/>
          <w:sz w:val="32"/>
          <w:szCs w:val="32"/>
          <w:lang w:eastAsia="zh-CN"/>
        </w:rPr>
        <w:t>为</w:t>
      </w:r>
      <w:r>
        <w:rPr>
          <w:rFonts w:hint="eastAsia" w:ascii="仿宋_GB2312" w:hAnsi="黑体" w:eastAsia="仿宋_GB2312"/>
          <w:color w:val="auto"/>
          <w:sz w:val="32"/>
          <w:szCs w:val="32"/>
        </w:rPr>
        <w:t>全国“七五”普法工作先进单位。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FF"/>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强化</w:t>
      </w:r>
      <w:r>
        <w:rPr>
          <w:rFonts w:hint="eastAsia" w:ascii="楷体_GB2312" w:hAnsi="楷体_GB2312" w:eastAsia="楷体_GB2312" w:cs="楷体_GB2312"/>
          <w:sz w:val="32"/>
          <w:szCs w:val="32"/>
          <w:lang w:eastAsia="zh-CN"/>
        </w:rPr>
        <w:t>示范创建</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依法行政重点突破</w:t>
      </w:r>
      <w:r>
        <w:rPr>
          <w:rFonts w:hint="eastAsia" w:ascii="楷体_GB2312" w:hAnsi="楷体_GB2312" w:eastAsia="楷体_GB2312" w:cs="楷体_GB2312"/>
          <w:sz w:val="32"/>
          <w:szCs w:val="32"/>
        </w:rPr>
        <w:t>。</w:t>
      </w:r>
      <w:r>
        <w:rPr>
          <w:rStyle w:val="36"/>
          <w:rFonts w:hint="eastAsia" w:ascii="仿宋_GB2312" w:hAnsi="仿宋_GB2312" w:eastAsia="仿宋_GB2312"/>
          <w:b w:val="0"/>
          <w:i w:val="0"/>
          <w:caps w:val="0"/>
          <w:color w:val="000000"/>
          <w:spacing w:val="0"/>
          <w:w w:val="100"/>
          <w:kern w:val="2"/>
          <w:sz w:val="32"/>
          <w:szCs w:val="32"/>
          <w:lang w:val="en-US" w:eastAsia="zh-CN" w:bidi="ar-SA"/>
        </w:rPr>
        <w:t>以更高的站位、更大的决心、更强的举措，</w:t>
      </w:r>
      <w:r>
        <w:rPr>
          <w:rFonts w:hint="eastAsia" w:ascii="仿宋_GB2312" w:eastAsia="仿宋_GB2312" w:cs="Times New Roman"/>
          <w:color w:val="auto"/>
          <w:sz w:val="32"/>
          <w:szCs w:val="32"/>
          <w:lang w:val="en-US" w:eastAsia="zh-CN"/>
        </w:rPr>
        <w:t>举全市之力</w:t>
      </w:r>
      <w:r>
        <w:rPr>
          <w:rStyle w:val="36"/>
          <w:rFonts w:hint="eastAsia" w:ascii="仿宋_GB2312" w:hAnsi="仿宋_GB2312" w:eastAsia="仿宋_GB2312"/>
          <w:b w:val="0"/>
          <w:i w:val="0"/>
          <w:caps w:val="0"/>
          <w:color w:val="000000"/>
          <w:spacing w:val="0"/>
          <w:w w:val="100"/>
          <w:kern w:val="2"/>
          <w:sz w:val="32"/>
          <w:szCs w:val="32"/>
          <w:lang w:val="en-US" w:eastAsia="zh-CN" w:bidi="ar-SA"/>
        </w:rPr>
        <w:t>毫不松懈持续推进</w:t>
      </w:r>
      <w:r>
        <w:rPr>
          <w:rFonts w:hint="eastAsia" w:ascii="仿宋_GB2312" w:eastAsia="仿宋_GB2312" w:cs="Times New Roman"/>
          <w:color w:val="auto"/>
          <w:sz w:val="32"/>
          <w:szCs w:val="32"/>
          <w:lang w:val="en-US" w:eastAsia="zh-CN"/>
        </w:rPr>
        <w:t>创建全国法治政府建设示范市。坚持“一把手”强力推进、“一盘棋”统筹推进、“一股劲”全力推进“三个推进”，</w:t>
      </w:r>
      <w:r>
        <w:rPr>
          <w:rStyle w:val="36"/>
          <w:rFonts w:hint="eastAsia" w:ascii="仿宋_GB2312" w:hAnsi="仿宋_GB2312" w:eastAsia="仿宋_GB2312"/>
          <w:b w:val="0"/>
          <w:i w:val="0"/>
          <w:caps w:val="0"/>
          <w:color w:val="000000"/>
          <w:spacing w:val="0"/>
          <w:w w:val="100"/>
          <w:kern w:val="2"/>
          <w:sz w:val="32"/>
          <w:szCs w:val="32"/>
          <w:lang w:val="en-US" w:eastAsia="zh-CN" w:bidi="ar-SA"/>
        </w:rPr>
        <w:t>高站位强化创建组织保障</w:t>
      </w:r>
      <w:r>
        <w:rPr>
          <w:rFonts w:hint="eastAsia" w:ascii="仿宋_GB2312" w:eastAsia="仿宋_GB2312" w:cs="Times New Roman"/>
          <w:color w:val="auto"/>
          <w:sz w:val="32"/>
          <w:szCs w:val="32"/>
          <w:lang w:val="en-US" w:eastAsia="zh-CN"/>
        </w:rPr>
        <w:t>；开展法治教育大宣传、重大行政决策大规范、行政立法执法大提升、政务服务大优化、矛盾纠纷大化解“五大行动”，高标准推动创建任务落实；打造最优政务服务、最优营商环境、最优问政平台、最优法治乡村、最优安全城市“五个最优”，高质量彰显创建工作实效。</w:t>
      </w:r>
      <w:r>
        <w:rPr>
          <w:rFonts w:hint="eastAsia" w:ascii="仿宋_GB2312" w:hAnsi="仿宋_GB2312" w:eastAsia="仿宋_GB2312" w:cs="仿宋_GB2312"/>
          <w:sz w:val="32"/>
          <w:szCs w:val="32"/>
          <w:lang w:val="en-US" w:eastAsia="zh-CN"/>
        </w:rPr>
        <w:t>广元市</w:t>
      </w:r>
      <w:r>
        <w:rPr>
          <w:rFonts w:hint="eastAsia" w:ascii="仿宋_GB2312" w:hAnsi="仿宋_GB2312" w:eastAsia="仿宋_GB2312" w:cs="仿宋_GB2312"/>
          <w:color w:val="auto"/>
          <w:sz w:val="32"/>
          <w:szCs w:val="32"/>
          <w:lang w:val="en-US" w:eastAsia="zh-CN"/>
        </w:rPr>
        <w:t>成功进入第二批拟命名的全国法治政府建设示范地区和项目公示名单</w:t>
      </w:r>
      <w:r>
        <w:rPr>
          <w:rFonts w:hint="eastAsia" w:ascii="仿宋_GB2312" w:hAnsi="仿宋_GB2312" w:eastAsia="仿宋_GB2312" w:cs="仿宋_GB2312"/>
          <w:sz w:val="32"/>
          <w:szCs w:val="32"/>
          <w:lang w:eastAsia="zh-CN"/>
        </w:rPr>
        <w:t>，有望在年底命名授牌。</w:t>
      </w:r>
      <w:r>
        <w:rPr>
          <w:rFonts w:hint="eastAsia" w:ascii="仿宋_GB2312" w:hAnsi="仿宋_GB2312" w:eastAsia="仿宋_GB2312" w:cs="仿宋_GB2312"/>
          <w:color w:val="000000"/>
          <w:sz w:val="32"/>
          <w:szCs w:val="32"/>
          <w:lang w:eastAsia="zh-CN"/>
        </w:rPr>
        <w:t>推进执法监督体系改革，青川竹园镇、朝天区、利州区宝轮镇开展试点工作</w:t>
      </w:r>
      <w:r>
        <w:rPr>
          <w:rFonts w:hint="eastAsia" w:ascii="仿宋_GB2312" w:hAnsi="仿宋_GB2312" w:eastAsia="仿宋_GB2312" w:cs="仿宋_GB2312"/>
          <w:color w:val="000000"/>
          <w:sz w:val="32"/>
          <w:szCs w:val="32"/>
        </w:rPr>
        <w:t>。全面贯彻落实《行政处罚法》，开展执法人员“大学习、大练兵、大比武”活动，</w:t>
      </w:r>
      <w:r>
        <w:rPr>
          <w:rFonts w:hint="eastAsia" w:ascii="仿宋_GB2312" w:hAnsi="仿宋_GB2312" w:eastAsia="仿宋_GB2312" w:cs="仿宋_GB2312"/>
          <w:b w:val="0"/>
          <w:bCs w:val="0"/>
          <w:w w:val="100"/>
          <w:sz w:val="32"/>
          <w:szCs w:val="32"/>
          <w:lang w:val="en-US" w:eastAsia="zh-CN"/>
        </w:rPr>
        <w:t>持续深化人民群众最不满意行政执法突</w:t>
      </w:r>
      <w:r>
        <w:rPr>
          <w:rFonts w:hint="eastAsia" w:ascii="仿宋_GB2312" w:hAnsi="仿宋_GB2312" w:eastAsia="仿宋_GB2312" w:cs="仿宋_GB2312"/>
          <w:color w:val="000000"/>
          <w:sz w:val="32"/>
          <w:szCs w:val="32"/>
          <w:lang w:val="en-US" w:eastAsia="zh-CN"/>
        </w:rPr>
        <w:t>出问题承诺整改活动，督促全市23个重点领域、突出问题涉及部门积极整改</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出台</w:t>
      </w:r>
      <w:r>
        <w:rPr>
          <w:rFonts w:hint="eastAsia" w:ascii="仿宋_GB2312" w:hAnsi="仿宋_GB2312" w:eastAsia="仿宋_GB2312" w:cs="仿宋_GB2312"/>
          <w:color w:val="000000"/>
          <w:sz w:val="32"/>
          <w:szCs w:val="32"/>
        </w:rPr>
        <w:t>《广元市行政执法案卷评查标准》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开展2021年行政执法案卷评查，抽评合格率达9</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％，行政执法案件“回头看”满意度测评达</w:t>
      </w:r>
      <w:r>
        <w:rPr>
          <w:rFonts w:hint="eastAsia" w:ascii="仿宋_GB2312" w:hAnsi="仿宋_GB2312" w:eastAsia="仿宋_GB2312" w:cs="仿宋_GB2312"/>
          <w:color w:val="000000"/>
          <w:sz w:val="32"/>
          <w:szCs w:val="32"/>
          <w:lang w:val="en-US" w:eastAsia="zh-CN"/>
        </w:rPr>
        <w:t>99</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lang w:eastAsia="zh-CN"/>
        </w:rPr>
        <w:t>。我局在</w:t>
      </w:r>
      <w:r>
        <w:rPr>
          <w:rFonts w:hint="eastAsia" w:ascii="仿宋_GB2312" w:eastAsia="仿宋_GB2312" w:cs="仿宋_GB2312"/>
          <w:sz w:val="32"/>
          <w:szCs w:val="32"/>
        </w:rPr>
        <w:t>省市县乡四级行政执法协调监督工作体系建设试点工作中期推进会</w:t>
      </w:r>
      <w:r>
        <w:rPr>
          <w:rFonts w:hint="eastAsia" w:ascii="仿宋_GB2312" w:eastAsia="仿宋_GB2312" w:cs="仿宋_GB2312"/>
          <w:sz w:val="32"/>
          <w:szCs w:val="32"/>
          <w:lang w:eastAsia="zh-CN"/>
        </w:rPr>
        <w:t>上作交流发言。</w:t>
      </w:r>
      <w:r>
        <w:rPr>
          <w:rFonts w:hint="eastAsia" w:ascii="仿宋_GB2312" w:hAnsi="仿宋_GB2312" w:eastAsia="仿宋_GB2312" w:cs="仿宋_GB2312"/>
          <w:sz w:val="32"/>
          <w:szCs w:val="32"/>
          <w:lang w:eastAsia="zh-CN"/>
        </w:rPr>
        <w:t>市本级及县区全面完成行政复议体制改革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多元化畅通行政复议申请渠道，</w:t>
      </w:r>
      <w:r>
        <w:rPr>
          <w:rFonts w:hint="eastAsia" w:ascii="仿宋_GB2312" w:hAnsi="宋体" w:eastAsia="仿宋_GB2312" w:cs="宋体"/>
          <w:color w:val="000000"/>
          <w:kern w:val="2"/>
          <w:sz w:val="32"/>
          <w:szCs w:val="32"/>
          <w:lang w:val="en-US" w:eastAsia="zh-CN" w:bidi="ar-SA"/>
        </w:rPr>
        <w:t>行政复议案件及时受理率和按时办结率100%，</w:t>
      </w:r>
      <w:r>
        <w:rPr>
          <w:rFonts w:hint="eastAsia" w:ascii="仿宋_GB2312" w:hAnsi="宋体" w:eastAsia="仿宋_GB2312" w:cs="宋体"/>
          <w:color w:val="000000"/>
          <w:sz w:val="32"/>
          <w:szCs w:val="32"/>
          <w:lang w:val="en-US" w:eastAsia="zh-CN"/>
        </w:rPr>
        <w:t>制发《行政复议案件年度分析报告》，采取定期通报等制度倒逼行政机关依法行政，负责人出庭应诉率100%。切实加强法治审核，当好法治参谋。</w:t>
      </w:r>
      <w:r>
        <w:rPr>
          <w:rFonts w:hint="eastAsia" w:eastAsia="仿宋_GB2312"/>
          <w:sz w:val="32"/>
          <w:szCs w:val="32"/>
          <w:lang w:val="en-US" w:eastAsia="zh-CN"/>
        </w:rPr>
        <w:t>对市委、市政府交办的工贸·家世界委托经营管理、长虹集团协议处置、广元康养示范园履约问题等</w:t>
      </w:r>
      <w:r>
        <w:rPr>
          <w:rFonts w:hint="eastAsia" w:ascii="仿宋_GB2312" w:hAnsi="仿宋_GB2312" w:eastAsia="仿宋_GB2312" w:cs="仿宋_GB2312"/>
          <w:sz w:val="32"/>
          <w:szCs w:val="32"/>
          <w:lang w:val="en-US" w:eastAsia="zh-CN"/>
        </w:rPr>
        <w:t>3</w:t>
      </w:r>
      <w:r>
        <w:rPr>
          <w:rFonts w:hint="eastAsia" w:eastAsia="仿宋_GB2312"/>
          <w:sz w:val="32"/>
          <w:szCs w:val="32"/>
          <w:lang w:val="en-US" w:eastAsia="zh-CN"/>
        </w:rPr>
        <w:t>件重大涉法事务出具了法律分析报告。对市政府领导交办或部门提请审</w:t>
      </w:r>
      <w:r>
        <w:rPr>
          <w:rFonts w:hint="eastAsia" w:ascii="仿宋_GB2312" w:hAnsi="宋体" w:eastAsia="仿宋_GB2312" w:cs="宋体"/>
          <w:color w:val="000000"/>
          <w:sz w:val="32"/>
          <w:szCs w:val="32"/>
          <w:lang w:val="en-US" w:eastAsia="zh-CN"/>
        </w:rPr>
        <w:t>查的行政规范性文件、棚户区改造有关事宜、招商引资协议等进行了审查，出具合法性审查意见书或意见建议书290件，提出意见建议1300余条，为市领导决策提供了参考依据。</w:t>
      </w:r>
    </w:p>
    <w:p>
      <w:pPr>
        <w:pStyle w:val="7"/>
        <w:spacing w:line="576" w:lineRule="exact"/>
        <w:ind w:left="0" w:leftChars="0" w:firstLine="643"/>
        <w:rPr>
          <w:rFonts w:hint="eastAsia" w:ascii="仿宋_GB2312" w:hAnsi="仿宋_GB2312" w:eastAsia="仿宋_GB2312" w:cs="仿宋_GB2312"/>
          <w:color w:val="auto"/>
          <w:sz w:val="32"/>
          <w:szCs w:val="32"/>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lang w:eastAsia="zh-CN"/>
        </w:rPr>
        <w:t>强化法治护航</w:t>
      </w:r>
      <w:r>
        <w:rPr>
          <w:rFonts w:hint="eastAsia" w:ascii="楷体_GB2312" w:hAnsi="楷体_GB2312" w:eastAsia="楷体_GB2312" w:cs="楷体_GB2312"/>
          <w:sz w:val="32"/>
          <w:szCs w:val="32"/>
        </w:rPr>
        <w:t>，营商环境持续优化。</w:t>
      </w:r>
      <w:r>
        <w:rPr>
          <w:rFonts w:hint="eastAsia" w:ascii="仿宋_GB2312" w:hAnsi="仿宋_GB2312" w:eastAsia="仿宋_GB2312" w:cs="仿宋_GB2312"/>
          <w:b w:val="0"/>
          <w:bCs w:val="0"/>
          <w:color w:val="000000"/>
          <w:sz w:val="32"/>
          <w:szCs w:val="32"/>
          <w:lang w:eastAsia="zh-CN"/>
        </w:rPr>
        <w:t>严格落实规范涉企停工停产停业五条措施，</w:t>
      </w:r>
      <w:r>
        <w:rPr>
          <w:rFonts w:hint="eastAsia" w:ascii="仿宋_GB2312" w:hAnsi="仿宋_GB2312" w:eastAsia="仿宋_GB2312" w:cs="仿宋_GB2312"/>
          <w:b w:val="0"/>
          <w:bCs w:val="0"/>
          <w:color w:val="000000"/>
          <w:sz w:val="32"/>
          <w:szCs w:val="32"/>
          <w:lang w:val="en-US" w:eastAsia="zh-CN"/>
        </w:rPr>
        <w:t>实现服务无处不在、监管无事不扰。</w:t>
      </w:r>
      <w:r>
        <w:rPr>
          <w:rFonts w:hint="eastAsia" w:ascii="仿宋_GB2312" w:hAnsi="仿宋_GB2312" w:eastAsia="仿宋_GB2312" w:cs="仿宋_GB2312"/>
          <w:b w:val="0"/>
          <w:bCs w:val="0"/>
          <w:color w:val="000000"/>
          <w:sz w:val="32"/>
          <w:szCs w:val="32"/>
          <w:lang w:eastAsia="zh-CN"/>
        </w:rPr>
        <w:t>扎实开展“百名律师进百企”专项法律服务行动</w:t>
      </w:r>
      <w:r>
        <w:rPr>
          <w:rFonts w:hint="eastAsia" w:ascii="仿宋_GB2312" w:hAnsi="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重点围绕投资融资、劳动用工、征地拆迁等风险点，为250家企业开展“法治体检”，发现问题21个，反馈法律相关问题13条，提供专业法律意见和建议20余条。</w:t>
      </w:r>
      <w:r>
        <w:rPr>
          <w:rFonts w:hint="eastAsia" w:ascii="仿宋_GB2312" w:hAnsi="黑体" w:eastAsia="仿宋_GB2312"/>
          <w:color w:val="auto"/>
          <w:sz w:val="32"/>
          <w:szCs w:val="32"/>
        </w:rPr>
        <w:t>编印</w:t>
      </w:r>
      <w:r>
        <w:rPr>
          <w:rFonts w:hint="eastAsia" w:ascii="仿宋_GB2312" w:hAnsi="黑体" w:eastAsia="仿宋_GB2312"/>
          <w:color w:val="auto"/>
          <w:sz w:val="32"/>
          <w:szCs w:val="32"/>
          <w:lang w:val="en"/>
        </w:rPr>
        <w:t>《企业法律风险防控99问》</w:t>
      </w:r>
      <w:r>
        <w:rPr>
          <w:rFonts w:hint="eastAsia" w:ascii="仿宋_GB2312" w:hAnsi="仿宋_GB2312" w:eastAsia="仿宋_GB2312" w:cs="仿宋_GB2312"/>
          <w:sz w:val="32"/>
          <w:szCs w:val="32"/>
        </w:rPr>
        <w:t>《民营企业法律风险防控以案释法读本》</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从根本和源头上增强企业核心竞争力,确保企业健康可持续发展</w:t>
      </w:r>
      <w:r>
        <w:rPr>
          <w:rFonts w:hint="eastAsia" w:ascii="仿宋_GB2312" w:hAnsi="黑体"/>
          <w:color w:val="auto"/>
          <w:sz w:val="32"/>
          <w:szCs w:val="32"/>
          <w:lang w:val="en-US" w:eastAsia="zh-CN"/>
        </w:rPr>
        <w:t>。</w:t>
      </w:r>
      <w:r>
        <w:rPr>
          <w:rFonts w:hint="eastAsia" w:ascii="仿宋_GB2312" w:hAnsi="仿宋_GB2312" w:eastAsia="仿宋_GB2312" w:cs="仿宋_GB2312"/>
          <w:color w:val="auto"/>
          <w:sz w:val="32"/>
          <w:szCs w:val="32"/>
        </w:rPr>
        <w:t>深化“一网通办”前提下的“最多跑一次”改革，全面落实“告知承诺制”“容缺受理”“上门服务”“延时服务”等便民措施，公共法律服务平台提供法律咨询8</w:t>
      </w:r>
      <w:r>
        <w:rPr>
          <w:rFonts w:hint="eastAsia" w:ascii="仿宋_GB2312" w:hAnsi="仿宋_GB2312" w:eastAsia="仿宋_GB2312" w:cs="仿宋_GB2312"/>
          <w:color w:val="auto"/>
          <w:sz w:val="32"/>
          <w:szCs w:val="32"/>
          <w:lang w:val="en-US" w:eastAsia="zh-CN"/>
        </w:rPr>
        <w:t>900</w:t>
      </w:r>
      <w:r>
        <w:rPr>
          <w:rFonts w:hint="eastAsia" w:ascii="仿宋_GB2312" w:hAnsi="仿宋_GB2312" w:eastAsia="仿宋_GB2312" w:cs="仿宋_GB2312"/>
          <w:color w:val="auto"/>
          <w:sz w:val="32"/>
          <w:szCs w:val="32"/>
        </w:rPr>
        <w:t>余人次，公证、鉴定行业开展延时服务</w:t>
      </w:r>
      <w:r>
        <w:rPr>
          <w:rFonts w:hint="eastAsia" w:ascii="仿宋_GB2312" w:hAnsi="仿宋_GB2312" w:eastAsia="仿宋_GB2312" w:cs="仿宋_GB2312"/>
          <w:color w:val="auto"/>
          <w:sz w:val="32"/>
          <w:szCs w:val="32"/>
          <w:lang w:val="en-US" w:eastAsia="zh-CN"/>
        </w:rPr>
        <w:t>520</w:t>
      </w:r>
      <w:r>
        <w:rPr>
          <w:rFonts w:hint="eastAsia" w:ascii="仿宋_GB2312" w:hAnsi="仿宋_GB2312" w:eastAsia="仿宋_GB2312" w:cs="仿宋_GB2312"/>
          <w:color w:val="auto"/>
          <w:sz w:val="32"/>
          <w:szCs w:val="32"/>
        </w:rPr>
        <w:t>余件，提供上门服务</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余件。持续开展农民工工资拖欠“清零”百日行动和根治欠薪“利剑”行动，</w:t>
      </w:r>
      <w:r>
        <w:rPr>
          <w:rFonts w:hint="eastAsia" w:ascii="仿宋_GB2312" w:hAnsi="仿宋_GB2312" w:eastAsia="仿宋_GB2312" w:cs="仿宋_GB2312"/>
          <w:b w:val="0"/>
          <w:bCs w:val="0"/>
          <w:color w:val="auto"/>
          <w:sz w:val="32"/>
          <w:szCs w:val="32"/>
        </w:rPr>
        <w:t>我市9件法律援助案例入选第二届四川省农民工维权百优案例，其中2件获十佳提名案例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sz w:val="32"/>
          <w:szCs w:val="32"/>
          <w:lang w:val="en-US" w:eastAsia="zh-CN"/>
        </w:rPr>
        <w:t>《市法律援助中心3个月挽回农民工损失125万元》工作信息得到司法部公法局分管副局长和法援处长的肯定称赞。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lang w:eastAsia="zh-CN"/>
        </w:rPr>
        <w:t>强化依法治理</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基层基础更加夯实</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压紧压实疫情防控“四方责任”，落实常态化防控措施，全面做好极端条件下防疫力量、手段、方案、物资等各项准备</w:t>
      </w:r>
      <w:r>
        <w:rPr>
          <w:rFonts w:hint="eastAsia" w:ascii="仿宋_GB2312" w:hAnsi="仿宋_GB2312" w:eastAsia="仿宋_GB2312" w:cs="仿宋_GB2312"/>
          <w:sz w:val="32"/>
          <w:szCs w:val="32"/>
          <w:lang w:eastAsia="zh-CN"/>
        </w:rPr>
        <w:t>，并长期派出</w:t>
      </w:r>
      <w:r>
        <w:rPr>
          <w:rFonts w:hint="eastAsia" w:ascii="仿宋_GB2312" w:hAnsi="仿宋_GB2312" w:eastAsia="仿宋_GB2312" w:cs="仿宋_GB2312"/>
          <w:sz w:val="32"/>
          <w:szCs w:val="32"/>
          <w:lang w:val="en-US" w:eastAsia="zh-CN"/>
        </w:rPr>
        <w:t>4名干部轮流值守火车站卡口，协助守牢“四川北大门”</w:t>
      </w:r>
      <w:r>
        <w:rPr>
          <w:rFonts w:hint="eastAsia" w:ascii="仿宋_GB2312" w:hAnsi="仿宋_GB2312" w:eastAsia="仿宋_GB2312" w:cs="仿宋_GB2312"/>
          <w:sz w:val="32"/>
          <w:szCs w:val="32"/>
        </w:rPr>
        <w:t>。扎实推进“乡村振兴 法治同行”活动，有序推进司法所参与基层法治建设试点，助力提升乡村治理法治化</w:t>
      </w:r>
      <w:r>
        <w:rPr>
          <w:rFonts w:hint="eastAsia" w:ascii="仿宋_GB2312" w:hAnsi="仿宋_GB2312" w:eastAsia="仿宋_GB2312" w:cs="仿宋_GB2312"/>
          <w:sz w:val="32"/>
          <w:szCs w:val="32"/>
          <w:lang w:val="en-US" w:eastAsia="zh-CN"/>
        </w:rPr>
        <w:t>水平。开展司法所规范化建设三年行动，累计指导全市建成6个全国模范司法所、96个省级规范化司法所、8个省级枫桥式司法所。开展调解促稳定喜迎二十大“三查三化三优”专项行动，做好涉疫及全国“两会”和党的二十大期间等重点时段的矛盾纠纷排查化解，开展矛盾纠纷排查11700余次，预防纠纷1817件，</w:t>
      </w:r>
      <w:r>
        <w:rPr>
          <w:rFonts w:hint="eastAsia" w:ascii="仿宋_GB2312" w:hAnsi="仿宋_GB2312" w:eastAsia="仿宋_GB2312" w:cs="仿宋_GB2312"/>
          <w:sz w:val="32"/>
          <w:szCs w:val="32"/>
          <w:lang w:val="en" w:eastAsia="zh-CN"/>
        </w:rPr>
        <w:t>全市共调解案件</w:t>
      </w:r>
      <w:r>
        <w:rPr>
          <w:rFonts w:hint="eastAsia" w:ascii="仿宋_GB2312" w:hAnsi="仿宋_GB2312" w:eastAsia="仿宋_GB2312" w:cs="仿宋_GB2312"/>
          <w:sz w:val="32"/>
          <w:szCs w:val="32"/>
          <w:lang w:val="en-US" w:eastAsia="zh-CN"/>
        </w:rPr>
        <w:t>10191件，调解成功10142件，调解成功率达99%，其中，涉及100万以上的大金额案件39件，涉及10人以上人数众多的案件47件。</w:t>
      </w:r>
      <w:r>
        <w:rPr>
          <w:rFonts w:hint="eastAsia" w:ascii="仿宋_GB2312" w:hAnsi="仿宋_GB2312" w:eastAsia="仿宋_GB2312" w:cs="仿宋_GB2312"/>
          <w:sz w:val="32"/>
          <w:szCs w:val="32"/>
          <w:lang w:eastAsia="zh-CN"/>
        </w:rPr>
        <w:t>编印《广元市社区矫正工作执法手册》，指导规范社区矫正执法工作。</w:t>
      </w:r>
      <w:r>
        <w:rPr>
          <w:rFonts w:hint="eastAsia" w:ascii="仿宋_GB2312" w:hAnsi="仿宋_GB2312" w:eastAsia="仿宋_GB2312" w:cs="仿宋_GB2312"/>
          <w:sz w:val="32"/>
          <w:szCs w:val="32"/>
          <w:lang w:val="en-US" w:eastAsia="zh-CN"/>
        </w:rPr>
        <w:t>投入148.2万元，为143个规范化司法所配置高拍仪、高扫仪、指纹采集仪等信息化设备，“人防物防技防”三防联控筑牢社区矫正安全防线。</w:t>
      </w:r>
      <w:r>
        <w:rPr>
          <w:rFonts w:hint="eastAsia" w:ascii="仿宋_GB2312" w:hAnsi="仿宋_GB2312" w:eastAsia="仿宋_GB2312" w:cs="仿宋_GB2312"/>
          <w:color w:val="000000"/>
          <w:sz w:val="32"/>
          <w:szCs w:val="32"/>
          <w:lang w:val="en-US" w:eastAsia="zh-CN"/>
        </w:rPr>
        <w:t>扎实开展“大调度大排查大帮教大化解大管控”五大行动，100%落实“必接必送”制度，</w:t>
      </w:r>
      <w:r>
        <w:rPr>
          <w:rFonts w:hint="eastAsia" w:ascii="仿宋_GB2312" w:hAnsi="仿宋_GB2312" w:eastAsia="仿宋_GB2312" w:cs="仿宋_GB2312"/>
          <w:b w:val="0"/>
          <w:bCs w:val="0"/>
          <w:sz w:val="32"/>
          <w:szCs w:val="32"/>
        </w:rPr>
        <w:t>在村、社区宣传远程视频会见制度机制2256场次，</w:t>
      </w:r>
      <w:r>
        <w:rPr>
          <w:rFonts w:hint="eastAsia" w:ascii="仿宋_GB2312" w:hAnsi="仿宋_GB2312" w:eastAsia="仿宋_GB2312" w:cs="仿宋_GB2312"/>
          <w:b w:val="0"/>
          <w:bCs w:val="0"/>
          <w:color w:val="000000"/>
          <w:sz w:val="32"/>
          <w:szCs w:val="32"/>
        </w:rPr>
        <w:t>解决特困安置帮教对象临时生活困难</w:t>
      </w:r>
      <w:r>
        <w:rPr>
          <w:rFonts w:hint="eastAsia" w:ascii="仿宋_GB2312" w:hAnsi="仿宋_GB2312" w:eastAsia="仿宋_GB2312" w:cs="仿宋_GB2312"/>
          <w:b w:val="0"/>
          <w:bCs w:val="0"/>
          <w:color w:val="000000"/>
          <w:sz w:val="32"/>
          <w:szCs w:val="32"/>
          <w:lang w:eastAsia="zh-CN"/>
        </w:rPr>
        <w:t>、就学帮扶等</w:t>
      </w:r>
      <w:r>
        <w:rPr>
          <w:rFonts w:hint="eastAsia" w:ascii="仿宋_GB2312" w:hAnsi="仿宋_GB2312" w:eastAsia="仿宋_GB2312" w:cs="仿宋_GB2312"/>
          <w:b w:val="0"/>
          <w:bCs w:val="0"/>
          <w:color w:val="000000"/>
          <w:sz w:val="32"/>
          <w:szCs w:val="32"/>
          <w:lang w:val="en-US" w:eastAsia="zh-CN"/>
        </w:rPr>
        <w:t>426</w:t>
      </w:r>
      <w:r>
        <w:rPr>
          <w:rFonts w:hint="eastAsia" w:ascii="仿宋_GB2312" w:hAnsi="仿宋_GB2312" w:eastAsia="仿宋_GB2312" w:cs="仿宋_GB2312"/>
          <w:b w:val="0"/>
          <w:bCs w:val="0"/>
          <w:color w:val="000000"/>
          <w:sz w:val="32"/>
          <w:szCs w:val="32"/>
        </w:rPr>
        <w:t>人次</w:t>
      </w:r>
      <w:r>
        <w:rPr>
          <w:rFonts w:hint="eastAsia" w:ascii="仿宋_GB2312" w:hAnsi="仿宋_GB2312" w:eastAsia="仿宋_GB2312" w:cs="仿宋_GB2312"/>
          <w:b w:val="0"/>
          <w:bCs w:val="0"/>
          <w:sz w:val="32"/>
          <w:szCs w:val="32"/>
          <w:lang w:eastAsia="zh-CN"/>
        </w:rPr>
        <w:t>，持续提升重点人群服务能力。广元“五大行动”抓好“两类对象”管理服务工作经验及出台十条措施健全完善刑满释放人员安置帮教工作机制被省厅专刊推广。</w:t>
      </w:r>
      <w:r>
        <w:rPr>
          <w:rFonts w:hint="eastAsia" w:ascii="仿宋_GB2312" w:hAnsi="仿宋_GB2312" w:eastAsia="仿宋_GB2312" w:cs="仿宋_GB2312"/>
          <w:sz w:val="32"/>
          <w:szCs w:val="32"/>
        </w:rPr>
        <w:t>积极参与扫黑除恶、电信诈骗等各项工作，常态化开展律师代理涉黑案件报备，加强活跃律师管控，市司法局在</w:t>
      </w:r>
      <w:r>
        <w:rPr>
          <w:rFonts w:hint="eastAsia" w:ascii="仿宋_GB2312" w:eastAsia="仿宋_GB2312" w:cs="仿宋_GB2312"/>
          <w:sz w:val="32"/>
          <w:szCs w:val="32"/>
        </w:rPr>
        <w:t>全省律师行业党建工作经验交流视频会暨“十个标准化”品牌党支部表彰授牌仪式上</w:t>
      </w:r>
      <w:r>
        <w:rPr>
          <w:rFonts w:hint="eastAsia" w:ascii="仿宋_GB2312" w:eastAsia="仿宋_GB2312" w:cs="仿宋_GB2312"/>
          <w:sz w:val="32"/>
          <w:szCs w:val="32"/>
          <w:lang w:eastAsia="zh-CN"/>
        </w:rPr>
        <w:t>交流发言</w:t>
      </w:r>
      <w:r>
        <w:rPr>
          <w:rFonts w:hint="eastAsia" w:ascii="仿宋_GB2312" w:hAnsi="仿宋_GB2312" w:eastAsia="仿宋_GB2312" w:cs="仿宋_GB2312"/>
          <w:sz w:val="32"/>
          <w:szCs w:val="32"/>
        </w:rPr>
        <w:t>。深化律师参与涉法涉诉信访化解工作，社会</w:t>
      </w:r>
      <w:r>
        <w:rPr>
          <w:rFonts w:hint="eastAsia" w:ascii="仿宋_GB2312" w:hAnsi="仿宋_GB2312" w:eastAsia="仿宋_GB2312" w:cs="仿宋_GB2312"/>
          <w:sz w:val="32"/>
          <w:szCs w:val="32"/>
          <w:lang w:eastAsia="zh-CN"/>
        </w:rPr>
        <w:t>大局和谐稳定</w:t>
      </w:r>
      <w:r>
        <w:rPr>
          <w:rFonts w:hint="eastAsia" w:ascii="仿宋_GB2312" w:hAnsi="仿宋_GB2312" w:eastAsia="仿宋_GB2312" w:cs="仿宋_GB2312"/>
          <w:sz w:val="32"/>
          <w:szCs w:val="32"/>
        </w:rPr>
        <w:t>。</w:t>
      </w:r>
    </w:p>
    <w:p>
      <w:pPr>
        <w:numPr>
          <w:ilvl w:val="0"/>
          <w:numId w:val="0"/>
        </w:numPr>
        <w:rPr>
          <w:rFonts w:hint="eastAsia"/>
          <w:lang w:eastAsia="zh-CN"/>
        </w:rPr>
      </w:pPr>
    </w:p>
    <w:p>
      <w:pPr>
        <w:pStyle w:val="4"/>
        <w:rPr>
          <w:rStyle w:val="30"/>
          <w:b w:val="0"/>
          <w:bCs w:val="0"/>
          <w:color w:val="auto"/>
          <w:highlight w:val="none"/>
        </w:rPr>
      </w:pPr>
      <w:bookmarkStart w:id="26" w:name="_Toc15396601"/>
      <w:bookmarkStart w:id="27" w:name="_Toc15377200"/>
      <w:bookmarkStart w:id="28" w:name="_Toc1993697030"/>
      <w:bookmarkStart w:id="29" w:name="_Toc769812455"/>
      <w:bookmarkStart w:id="30" w:name="_Toc1491532896"/>
      <w:r>
        <w:rPr>
          <w:rFonts w:hint="eastAsia" w:ascii="黑体" w:eastAsia="黑体"/>
          <w:b w:val="0"/>
          <w:color w:val="auto"/>
          <w:highlight w:val="none"/>
        </w:rPr>
        <w:t>二、</w:t>
      </w:r>
      <w:r>
        <w:rPr>
          <w:rFonts w:hint="eastAsia" w:ascii="黑体" w:hAnsi="黑体" w:eastAsia="黑体"/>
          <w:b w:val="0"/>
          <w:color w:val="auto"/>
          <w:highlight w:val="none"/>
        </w:rPr>
        <w:t>机</w:t>
      </w:r>
      <w:r>
        <w:rPr>
          <w:rStyle w:val="30"/>
          <w:rFonts w:hint="eastAsia" w:ascii="黑体" w:hAnsi="黑体" w:eastAsia="黑体"/>
          <w:b w:val="0"/>
          <w:bCs w:val="0"/>
          <w:color w:val="auto"/>
          <w:highlight w:val="none"/>
        </w:rPr>
        <w:t>构设置</w:t>
      </w:r>
      <w:bookmarkEnd w:id="26"/>
      <w:bookmarkEnd w:id="27"/>
      <w:bookmarkEnd w:id="28"/>
      <w:bookmarkEnd w:id="29"/>
      <w:bookmarkEnd w:id="30"/>
    </w:p>
    <w:p>
      <w:pPr>
        <w:widowControl/>
        <w:shd w:val="clear" w:color="auto" w:fill="FFFFFF"/>
        <w:spacing w:line="576" w:lineRule="exact"/>
        <w:ind w:firstLine="630"/>
        <w:jc w:val="left"/>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广元市司法局</w:t>
      </w:r>
      <w:r>
        <w:rPr>
          <w:rFonts w:hint="default" w:ascii="仿宋_GB2312" w:hAnsi="仿宋_GB2312" w:eastAsia="仿宋_GB2312" w:cs="仿宋_GB2312"/>
          <w:color w:val="333333"/>
          <w:kern w:val="0"/>
          <w:sz w:val="32"/>
          <w:szCs w:val="32"/>
          <w:shd w:val="clear" w:color="auto" w:fill="FFFFFF"/>
        </w:rPr>
        <w:t>无</w:t>
      </w:r>
      <w:r>
        <w:rPr>
          <w:rFonts w:hint="eastAsia" w:ascii="仿宋_GB2312" w:hAnsi="仿宋_GB2312" w:eastAsia="仿宋_GB2312" w:cs="仿宋_GB2312"/>
          <w:color w:val="333333"/>
          <w:kern w:val="0"/>
          <w:sz w:val="32"/>
          <w:szCs w:val="32"/>
          <w:shd w:val="clear" w:color="auto" w:fill="FFFFFF"/>
        </w:rPr>
        <w:t>下属</w:t>
      </w:r>
      <w:r>
        <w:rPr>
          <w:rFonts w:hint="eastAsia" w:ascii="仿宋_GB2312" w:hAnsi="仿宋_GB2312" w:eastAsia="仿宋_GB2312" w:cs="仿宋_GB2312"/>
          <w:color w:val="333333"/>
          <w:kern w:val="0"/>
          <w:sz w:val="32"/>
          <w:szCs w:val="32"/>
          <w:highlight w:val="none"/>
          <w:shd w:val="clear" w:color="auto" w:fill="FFFFFF"/>
          <w:lang w:val="en-US" w:eastAsia="zh-CN"/>
        </w:rPr>
        <w:t>二级预算单位</w:t>
      </w:r>
      <w:r>
        <w:rPr>
          <w:rFonts w:hint="default" w:ascii="仿宋_GB2312" w:hAnsi="仿宋_GB2312" w:eastAsia="仿宋_GB2312" w:cs="仿宋_GB2312"/>
          <w:color w:val="333333"/>
          <w:kern w:val="0"/>
          <w:sz w:val="32"/>
          <w:szCs w:val="32"/>
          <w:highlight w:val="none"/>
          <w:shd w:val="clear" w:color="auto" w:fill="FFFFFF"/>
          <w:lang w:eastAsia="zh-CN"/>
        </w:rPr>
        <w:t>，下设独立编制机构6</w:t>
      </w:r>
      <w:r>
        <w:rPr>
          <w:rFonts w:hint="eastAsia" w:ascii="仿宋_GB2312" w:hAnsi="仿宋_GB2312" w:eastAsia="仿宋_GB2312" w:cs="仿宋_GB2312"/>
          <w:color w:val="333333"/>
          <w:kern w:val="0"/>
          <w:sz w:val="32"/>
          <w:szCs w:val="32"/>
          <w:highlight w:val="none"/>
          <w:shd w:val="clear" w:color="auto" w:fill="FFFFFF"/>
        </w:rPr>
        <w:t>个，</w:t>
      </w:r>
      <w:r>
        <w:rPr>
          <w:rFonts w:hint="eastAsia" w:ascii="仿宋_GB2312" w:hAnsi="仿宋_GB2312" w:eastAsia="仿宋_GB2312" w:cs="仿宋_GB2312"/>
          <w:color w:val="333333"/>
          <w:kern w:val="0"/>
          <w:sz w:val="32"/>
          <w:szCs w:val="32"/>
          <w:shd w:val="clear" w:color="auto" w:fill="FFFFFF"/>
        </w:rPr>
        <w:t>其中行政单位</w:t>
      </w:r>
      <w:r>
        <w:rPr>
          <w:rFonts w:hint="default" w:ascii="仿宋_GB2312" w:hAnsi="仿宋_GB2312" w:eastAsia="仿宋_GB2312" w:cs="仿宋_GB2312"/>
          <w:color w:val="333333"/>
          <w:kern w:val="0"/>
          <w:sz w:val="32"/>
          <w:szCs w:val="32"/>
          <w:shd w:val="clear" w:color="auto" w:fill="FFFFFF"/>
        </w:rPr>
        <w:t>1</w:t>
      </w:r>
      <w:r>
        <w:rPr>
          <w:rFonts w:hint="eastAsia" w:ascii="仿宋_GB2312" w:hAnsi="仿宋_GB2312" w:eastAsia="仿宋_GB2312" w:cs="仿宋_GB2312"/>
          <w:color w:val="333333"/>
          <w:kern w:val="0"/>
          <w:sz w:val="32"/>
          <w:szCs w:val="32"/>
          <w:shd w:val="clear" w:color="auto" w:fill="FFFFFF"/>
        </w:rPr>
        <w:t>个，参照公务员法管理的事业单位</w:t>
      </w:r>
      <w:r>
        <w:rPr>
          <w:rFonts w:ascii="仿宋_GB2312" w:hAnsi="仿宋_GB2312" w:eastAsia="仿宋_GB2312" w:cs="仿宋_GB2312"/>
          <w:color w:val="333333"/>
          <w:kern w:val="0"/>
          <w:sz w:val="32"/>
          <w:szCs w:val="32"/>
          <w:shd w:val="clear" w:color="auto" w:fill="FFFFFF"/>
        </w:rPr>
        <w:t>1</w:t>
      </w:r>
      <w:r>
        <w:rPr>
          <w:rFonts w:hint="eastAsia" w:ascii="仿宋_GB2312" w:hAnsi="仿宋_GB2312" w:eastAsia="仿宋_GB2312" w:cs="仿宋_GB2312"/>
          <w:color w:val="333333"/>
          <w:kern w:val="0"/>
          <w:sz w:val="32"/>
          <w:szCs w:val="32"/>
          <w:shd w:val="clear" w:color="auto" w:fill="FFFFFF"/>
        </w:rPr>
        <w:t>个，其他事业单位</w:t>
      </w:r>
      <w:r>
        <w:rPr>
          <w:rFonts w:ascii="仿宋_GB2312" w:hAnsi="仿宋_GB2312" w:eastAsia="仿宋_GB2312" w:cs="仿宋_GB2312"/>
          <w:color w:val="333333"/>
          <w:kern w:val="0"/>
          <w:sz w:val="32"/>
          <w:szCs w:val="32"/>
          <w:shd w:val="clear" w:color="auto" w:fill="FFFFFF"/>
        </w:rPr>
        <w:t>4</w:t>
      </w:r>
      <w:r>
        <w:rPr>
          <w:rFonts w:hint="eastAsia" w:ascii="仿宋_GB2312" w:hAnsi="仿宋_GB2312" w:eastAsia="仿宋_GB2312" w:cs="仿宋_GB2312"/>
          <w:color w:val="333333"/>
          <w:kern w:val="0"/>
          <w:sz w:val="32"/>
          <w:szCs w:val="32"/>
          <w:shd w:val="clear" w:color="auto" w:fill="FFFFFF"/>
        </w:rPr>
        <w:t>个。</w:t>
      </w:r>
    </w:p>
    <w:p>
      <w:pPr>
        <w:widowControl/>
        <w:shd w:val="clear" w:color="auto" w:fill="FFFFFF"/>
        <w:spacing w:line="576" w:lineRule="exact"/>
        <w:ind w:firstLine="630"/>
        <w:jc w:val="left"/>
        <w:rPr>
          <w:rFonts w:ascii="仿宋_GB2312" w:hAnsi="仿宋_GB2312" w:eastAsia="仿宋_GB2312" w:cs="仿宋_GB2312"/>
          <w:color w:val="333333"/>
          <w:kern w:val="0"/>
          <w:sz w:val="32"/>
          <w:szCs w:val="32"/>
          <w:shd w:val="clear" w:color="auto" w:fill="FFFFFF"/>
        </w:rPr>
      </w:pPr>
      <w:r>
        <w:rPr>
          <w:rFonts w:hint="eastAsia" w:ascii="仿宋_GB2312" w:hAnsi="仿宋_GB2312" w:eastAsia="仿宋_GB2312" w:cs="仿宋_GB2312"/>
          <w:color w:val="333333"/>
          <w:kern w:val="0"/>
          <w:sz w:val="32"/>
          <w:szCs w:val="32"/>
          <w:shd w:val="clear" w:color="auto" w:fill="FFFFFF"/>
        </w:rPr>
        <w:t>纳入广元市司法局</w:t>
      </w:r>
      <w:r>
        <w:rPr>
          <w:rFonts w:ascii="仿宋_GB2312" w:hAnsi="仿宋_GB2312" w:eastAsia="仿宋_GB2312" w:cs="仿宋_GB2312"/>
          <w:color w:val="333333"/>
          <w:kern w:val="0"/>
          <w:sz w:val="32"/>
          <w:szCs w:val="32"/>
          <w:shd w:val="clear" w:color="auto" w:fill="FFFFFF"/>
        </w:rPr>
        <w:t>202</w:t>
      </w:r>
      <w:r>
        <w:rPr>
          <w:rFonts w:hint="eastAsia" w:ascii="仿宋_GB2312" w:hAnsi="仿宋_GB2312" w:eastAsia="仿宋_GB2312" w:cs="仿宋_GB2312"/>
          <w:color w:val="333333"/>
          <w:kern w:val="0"/>
          <w:sz w:val="32"/>
          <w:szCs w:val="32"/>
          <w:shd w:val="clear" w:color="auto" w:fill="FFFFFF"/>
          <w:lang w:val="en-US" w:eastAsia="zh-CN"/>
        </w:rPr>
        <w:t>2</w:t>
      </w:r>
      <w:r>
        <w:rPr>
          <w:rFonts w:hint="eastAsia" w:ascii="仿宋_GB2312" w:hAnsi="仿宋_GB2312" w:eastAsia="仿宋_GB2312" w:cs="仿宋_GB2312"/>
          <w:color w:val="333333"/>
          <w:kern w:val="0"/>
          <w:sz w:val="32"/>
          <w:szCs w:val="32"/>
          <w:shd w:val="clear" w:color="auto" w:fill="FFFFFF"/>
        </w:rPr>
        <w:t>年度部门决算编制范围的</w:t>
      </w:r>
      <w:r>
        <w:rPr>
          <w:rFonts w:hint="default" w:ascii="仿宋_GB2312" w:hAnsi="仿宋_GB2312" w:eastAsia="仿宋_GB2312" w:cs="仿宋_GB2312"/>
          <w:color w:val="333333"/>
          <w:kern w:val="0"/>
          <w:sz w:val="32"/>
          <w:szCs w:val="32"/>
          <w:shd w:val="clear" w:color="auto" w:fill="FFFFFF"/>
        </w:rPr>
        <w:t>独立编制机构</w:t>
      </w:r>
      <w:r>
        <w:rPr>
          <w:rFonts w:hint="eastAsia" w:ascii="仿宋_GB2312" w:hAnsi="仿宋_GB2312" w:eastAsia="仿宋_GB2312" w:cs="仿宋_GB2312"/>
          <w:color w:val="333333"/>
          <w:kern w:val="0"/>
          <w:sz w:val="32"/>
          <w:szCs w:val="32"/>
          <w:shd w:val="clear" w:color="auto" w:fill="FFFFFF"/>
        </w:rPr>
        <w:t>包括：</w:t>
      </w:r>
    </w:p>
    <w:p>
      <w:pPr>
        <w:widowControl/>
        <w:shd w:val="clear" w:color="auto" w:fill="FFFFFF"/>
        <w:spacing w:line="576" w:lineRule="exact"/>
        <w:ind w:firstLine="630"/>
        <w:jc w:val="left"/>
        <w:rPr>
          <w:rFonts w:ascii="仿宋_GB2312" w:hAnsi="仿宋_GB2312" w:eastAsia="仿宋_GB2312" w:cs="仿宋_GB2312"/>
          <w:color w:val="333333"/>
          <w:kern w:val="0"/>
          <w:sz w:val="32"/>
          <w:szCs w:val="32"/>
          <w:shd w:val="clear" w:color="auto" w:fill="FFFFFF"/>
        </w:rPr>
      </w:pPr>
      <w:r>
        <w:rPr>
          <w:rFonts w:ascii="仿宋_GB2312" w:hAnsi="仿宋_GB2312" w:eastAsia="仿宋_GB2312" w:cs="仿宋_GB2312"/>
          <w:color w:val="333333"/>
          <w:kern w:val="0"/>
          <w:sz w:val="32"/>
          <w:szCs w:val="32"/>
          <w:shd w:val="clear" w:color="auto" w:fill="FFFFFF"/>
        </w:rPr>
        <w:t>1.</w:t>
      </w:r>
      <w:r>
        <w:rPr>
          <w:rFonts w:hint="eastAsia" w:ascii="仿宋_GB2312" w:hAnsi="仿宋_GB2312" w:eastAsia="仿宋_GB2312" w:cs="仿宋_GB2312"/>
          <w:color w:val="333333"/>
          <w:kern w:val="0"/>
          <w:sz w:val="32"/>
          <w:szCs w:val="32"/>
          <w:shd w:val="clear" w:color="auto" w:fill="FFFFFF"/>
        </w:rPr>
        <w:t>市法律援助中心</w:t>
      </w:r>
    </w:p>
    <w:p>
      <w:pPr>
        <w:widowControl/>
        <w:shd w:val="clear" w:color="auto" w:fill="FFFFFF"/>
        <w:spacing w:line="576" w:lineRule="exact"/>
        <w:ind w:firstLine="630"/>
        <w:jc w:val="left"/>
        <w:rPr>
          <w:rFonts w:ascii="仿宋_GB2312" w:hAnsi="仿宋_GB2312" w:eastAsia="仿宋_GB2312" w:cs="仿宋_GB2312"/>
          <w:color w:val="333333"/>
          <w:kern w:val="0"/>
          <w:sz w:val="32"/>
          <w:szCs w:val="32"/>
          <w:shd w:val="clear" w:color="auto" w:fill="FFFFFF"/>
        </w:rPr>
      </w:pPr>
      <w:r>
        <w:rPr>
          <w:rFonts w:ascii="仿宋_GB2312" w:hAnsi="仿宋_GB2312" w:eastAsia="仿宋_GB2312" w:cs="仿宋_GB2312"/>
          <w:color w:val="333333"/>
          <w:kern w:val="0"/>
          <w:sz w:val="32"/>
          <w:szCs w:val="32"/>
          <w:shd w:val="clear" w:color="auto" w:fill="FFFFFF"/>
        </w:rPr>
        <w:t>2.</w:t>
      </w:r>
      <w:r>
        <w:rPr>
          <w:rFonts w:hint="eastAsia" w:ascii="仿宋_GB2312" w:hAnsi="仿宋_GB2312" w:eastAsia="仿宋_GB2312" w:cs="仿宋_GB2312"/>
          <w:color w:val="333333"/>
          <w:kern w:val="0"/>
          <w:sz w:val="32"/>
          <w:szCs w:val="32"/>
          <w:shd w:val="clear" w:color="auto" w:fill="FFFFFF"/>
        </w:rPr>
        <w:t>市医患纠纷调解中心</w:t>
      </w:r>
    </w:p>
    <w:p>
      <w:pPr>
        <w:widowControl/>
        <w:shd w:val="clear" w:color="auto" w:fill="FFFFFF"/>
        <w:spacing w:line="576" w:lineRule="exact"/>
        <w:ind w:firstLine="630"/>
        <w:jc w:val="left"/>
        <w:rPr>
          <w:rFonts w:ascii="仿宋_GB2312" w:hAnsi="仿宋_GB2312" w:eastAsia="仿宋_GB2312" w:cs="仿宋_GB2312"/>
          <w:color w:val="333333"/>
          <w:kern w:val="0"/>
          <w:sz w:val="32"/>
          <w:szCs w:val="32"/>
          <w:shd w:val="clear" w:color="auto" w:fill="FFFFFF"/>
        </w:rPr>
      </w:pPr>
      <w:r>
        <w:rPr>
          <w:rFonts w:ascii="仿宋_GB2312" w:hAnsi="仿宋_GB2312" w:eastAsia="仿宋_GB2312" w:cs="仿宋_GB2312"/>
          <w:color w:val="333333"/>
          <w:kern w:val="0"/>
          <w:sz w:val="32"/>
          <w:szCs w:val="32"/>
          <w:shd w:val="clear" w:color="auto" w:fill="FFFFFF"/>
        </w:rPr>
        <w:t>3.</w:t>
      </w:r>
      <w:r>
        <w:rPr>
          <w:rFonts w:hint="eastAsia" w:ascii="仿宋_GB2312" w:hAnsi="仿宋_GB2312" w:eastAsia="仿宋_GB2312" w:cs="仿宋_GB2312"/>
          <w:color w:val="333333"/>
          <w:kern w:val="0"/>
          <w:sz w:val="32"/>
          <w:szCs w:val="32"/>
          <w:shd w:val="clear" w:color="auto" w:fill="FFFFFF"/>
        </w:rPr>
        <w:t>市行政法律服务中心</w:t>
      </w:r>
    </w:p>
    <w:p>
      <w:pPr>
        <w:widowControl/>
        <w:shd w:val="clear" w:color="auto" w:fill="FFFFFF"/>
        <w:spacing w:line="576" w:lineRule="exact"/>
        <w:ind w:firstLine="630"/>
        <w:jc w:val="left"/>
        <w:rPr>
          <w:rFonts w:ascii="仿宋_GB2312" w:hAnsi="仿宋_GB2312" w:eastAsia="仿宋_GB2312" w:cs="仿宋_GB2312"/>
          <w:color w:val="333333"/>
          <w:kern w:val="0"/>
          <w:sz w:val="32"/>
          <w:szCs w:val="32"/>
          <w:shd w:val="clear" w:color="auto" w:fill="FFFFFF"/>
        </w:rPr>
      </w:pPr>
      <w:r>
        <w:rPr>
          <w:rFonts w:ascii="仿宋_GB2312" w:hAnsi="仿宋_GB2312" w:eastAsia="仿宋_GB2312" w:cs="仿宋_GB2312"/>
          <w:color w:val="333333"/>
          <w:kern w:val="0"/>
          <w:sz w:val="32"/>
          <w:szCs w:val="32"/>
          <w:shd w:val="clear" w:color="auto" w:fill="FFFFFF"/>
        </w:rPr>
        <w:t>4.</w:t>
      </w:r>
      <w:r>
        <w:rPr>
          <w:rFonts w:hint="eastAsia" w:ascii="仿宋_GB2312" w:hAnsi="仿宋_GB2312" w:eastAsia="仿宋_GB2312" w:cs="仿宋_GB2312"/>
          <w:color w:val="333333"/>
          <w:kern w:val="0"/>
          <w:sz w:val="32"/>
          <w:szCs w:val="32"/>
          <w:shd w:val="clear" w:color="auto" w:fill="FFFFFF"/>
        </w:rPr>
        <w:t>市恒信公证处</w:t>
      </w:r>
    </w:p>
    <w:p>
      <w:pPr>
        <w:widowControl/>
        <w:shd w:val="clear" w:color="auto" w:fill="FFFFFF"/>
        <w:spacing w:line="576" w:lineRule="exact"/>
        <w:ind w:firstLine="630"/>
        <w:jc w:val="left"/>
        <w:rPr>
          <w:rFonts w:ascii="仿宋_GB2312" w:hAnsi="仿宋_GB2312" w:eastAsia="仿宋_GB2312" w:cs="仿宋_GB2312"/>
          <w:color w:val="333333"/>
          <w:kern w:val="0"/>
          <w:sz w:val="32"/>
          <w:szCs w:val="32"/>
          <w:shd w:val="clear" w:color="auto" w:fill="FFFFFF"/>
        </w:rPr>
      </w:pPr>
      <w:r>
        <w:rPr>
          <w:rFonts w:ascii="仿宋_GB2312" w:hAnsi="仿宋_GB2312" w:eastAsia="仿宋_GB2312" w:cs="仿宋_GB2312"/>
          <w:color w:val="333333"/>
          <w:kern w:val="0"/>
          <w:sz w:val="32"/>
          <w:szCs w:val="32"/>
          <w:shd w:val="clear" w:color="auto" w:fill="FFFFFF"/>
        </w:rPr>
        <w:t>5.</w:t>
      </w:r>
      <w:r>
        <w:rPr>
          <w:rFonts w:hint="eastAsia" w:ascii="仿宋_GB2312" w:hAnsi="仿宋_GB2312" w:eastAsia="仿宋_GB2312" w:cs="仿宋_GB2312"/>
          <w:color w:val="333333"/>
          <w:kern w:val="0"/>
          <w:sz w:val="32"/>
          <w:szCs w:val="32"/>
          <w:shd w:val="clear" w:color="auto" w:fill="FFFFFF"/>
        </w:rPr>
        <w:t>广元仲裁委秘书处</w:t>
      </w:r>
      <w:r>
        <w:rPr>
          <w:rFonts w:ascii="仿宋_GB2312" w:hAnsi="仿宋_GB2312" w:eastAsia="仿宋_GB2312" w:cs="仿宋_GB2312"/>
          <w:color w:val="333333"/>
          <w:kern w:val="0"/>
          <w:sz w:val="32"/>
          <w:szCs w:val="32"/>
          <w:shd w:val="clear" w:color="auto" w:fill="FFFFFF"/>
        </w:rPr>
        <w:t xml:space="preserve">  </w:t>
      </w:r>
    </w:p>
    <w:p>
      <w:pPr>
        <w:pStyle w:val="2"/>
        <w:ind w:left="0" w:leftChars="0" w:firstLine="600" w:firstLineChars="200"/>
        <w:rPr>
          <w:rFonts w:hint="default"/>
        </w:rPr>
      </w:pPr>
      <w:r>
        <w:t>6.广元市司法局局机关</w:t>
      </w:r>
    </w:p>
    <w:p>
      <w:pPr>
        <w:pStyle w:val="3"/>
        <w:ind w:right="440"/>
        <w:jc w:val="center"/>
        <w:rPr>
          <w:color w:val="auto"/>
          <w:highlight w:val="none"/>
        </w:rPr>
      </w:pPr>
      <w:bookmarkStart w:id="31" w:name="_Toc15396602"/>
      <w:bookmarkStart w:id="32" w:name="_Toc15377204"/>
      <w:r>
        <w:rPr>
          <w:rFonts w:hint="eastAsia" w:ascii="黑体" w:hAnsi="黑体" w:eastAsia="黑体"/>
          <w:b w:val="0"/>
          <w:bCs/>
          <w:color w:val="auto"/>
          <w:highlight w:val="none"/>
          <w:lang w:val="en-US" w:eastAsia="zh-CN"/>
        </w:rPr>
        <w:t xml:space="preserve"> </w:t>
      </w:r>
      <w:bookmarkStart w:id="33" w:name="_Toc991891382"/>
      <w:bookmarkStart w:id="34" w:name="_Toc1939781663"/>
      <w:bookmarkStart w:id="35" w:name="_Toc656196547"/>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9"/>
          <w:rFonts w:hint="eastAsia" w:ascii="黑体" w:hAnsi="黑体" w:eastAsia="黑体"/>
          <w:b w:val="0"/>
          <w:bCs/>
          <w:color w:val="auto"/>
          <w:highlight w:val="none"/>
        </w:rPr>
        <w:t>部门决算情况说明</w:t>
      </w:r>
      <w:bookmarkEnd w:id="31"/>
      <w:bookmarkEnd w:id="32"/>
      <w:bookmarkEnd w:id="33"/>
      <w:bookmarkEnd w:id="34"/>
      <w:bookmarkEnd w:id="35"/>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36" w:name="_Toc1124824838"/>
      <w:bookmarkStart w:id="37" w:name="_Toc15396603"/>
      <w:bookmarkStart w:id="38" w:name="_Toc15377205"/>
      <w:bookmarkStart w:id="39" w:name="_Toc8161834"/>
      <w:bookmarkStart w:id="40" w:name="_Toc2113418375"/>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36"/>
      <w:bookmarkEnd w:id="37"/>
      <w:bookmarkEnd w:id="38"/>
      <w:bookmarkEnd w:id="39"/>
      <w:bookmarkEnd w:id="40"/>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2212.21</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年相比，收、支总计各减少</w:t>
      </w:r>
      <w:r>
        <w:rPr>
          <w:rFonts w:hint="eastAsia" w:ascii="仿宋_GB2312" w:hAnsi="仿宋_GB2312" w:eastAsia="仿宋_GB2312" w:cs="仿宋_GB2312"/>
          <w:color w:val="auto"/>
          <w:sz w:val="32"/>
          <w:szCs w:val="32"/>
          <w:highlight w:val="none"/>
          <w:lang w:val="en-US" w:eastAsia="zh-CN"/>
        </w:rPr>
        <w:t>9.83</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0.4</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受疫情影响，</w:t>
      </w:r>
      <w:r>
        <w:rPr>
          <w:rFonts w:hint="eastAsia" w:ascii="仿宋_GB2312" w:hAnsi="仿宋_GB2312" w:eastAsia="仿宋_GB2312" w:cs="仿宋_GB2312"/>
          <w:color w:val="auto"/>
          <w:sz w:val="32"/>
          <w:szCs w:val="32"/>
          <w:highlight w:val="none"/>
          <w:lang w:val="en-US" w:eastAsia="zh-CN"/>
        </w:rPr>
        <w:t>2022年度国家统一法律职业资格考试项目推迟到2023年举行，当年相关支出较少</w:t>
      </w:r>
      <w:r>
        <w:rPr>
          <w:rFonts w:hint="eastAsia" w:ascii="仿宋_GB2312" w:hAnsi="仿宋_GB2312" w:eastAsia="仿宋_GB2312" w:cs="仿宋_GB2312"/>
          <w:color w:val="auto"/>
          <w:sz w:val="32"/>
          <w:szCs w:val="32"/>
          <w:highlight w:val="none"/>
          <w:lang w:eastAsia="zh-CN"/>
        </w:rPr>
        <w:t>。</w:t>
      </w:r>
    </w:p>
    <w:p>
      <w:pPr>
        <w:pStyle w:val="7"/>
        <w:ind w:left="0" w:leftChars="0" w:firstLine="0" w:firstLineChars="0"/>
        <w:rPr>
          <w:rFonts w:hint="eastAsia" w:ascii="仿宋" w:hAnsi="仿宋" w:eastAsia="仿宋"/>
          <w:color w:val="auto"/>
          <w:sz w:val="32"/>
          <w:szCs w:val="32"/>
          <w:highlight w:val="none"/>
          <w:lang w:eastAsia="zh-CN"/>
        </w:rPr>
      </w:pPr>
    </w:p>
    <w:p>
      <w:pPr>
        <w:pStyle w:val="7"/>
        <w:ind w:left="0" w:leftChars="0" w:firstLine="0" w:firstLineChars="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180330" cy="3481705"/>
            <wp:effectExtent l="0" t="0" r="1270" b="4445"/>
            <wp:docPr id="18" name="图片 18" descr="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8" name="图片 18" descr="1"/>
                    <pic:cNvPicPr>
                      <a:picLocks noChangeAspect="true"/>
                    </pic:cNvPicPr>
                  </pic:nvPicPr>
                  <pic:blipFill>
                    <a:blip r:embed="rId7"/>
                    <a:stretch>
                      <a:fillRect/>
                    </a:stretch>
                  </pic:blipFill>
                  <pic:spPr>
                    <a:xfrm>
                      <a:off x="0" y="0"/>
                      <a:ext cx="5180330" cy="3481705"/>
                    </a:xfrm>
                    <a:prstGeom prst="rect">
                      <a:avLst/>
                    </a:prstGeom>
                  </pic:spPr>
                </pic:pic>
              </a:graphicData>
            </a:graphic>
          </wp:inline>
        </w:drawing>
      </w:r>
    </w:p>
    <w:p>
      <w:pPr>
        <w:spacing w:line="600" w:lineRule="exact"/>
        <w:ind w:firstLine="1600" w:firstLineChars="500"/>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41" w:name="_Toc1429180138"/>
      <w:bookmarkStart w:id="42" w:name="_Toc837041894"/>
      <w:bookmarkStart w:id="43" w:name="_Toc1209783436"/>
      <w:bookmarkStart w:id="44" w:name="_Toc15377206"/>
      <w:bookmarkStart w:id="45" w:name="_Toc15396604"/>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41"/>
      <w:bookmarkEnd w:id="42"/>
      <w:bookmarkEnd w:id="43"/>
      <w:bookmarkEnd w:id="44"/>
      <w:bookmarkEnd w:id="45"/>
    </w:p>
    <w:p>
      <w:pPr>
        <w:spacing w:line="600" w:lineRule="exact"/>
        <w:ind w:firstLine="640" w:firstLineChars="200"/>
        <w:outlineLvl w:val="1"/>
        <w:rPr>
          <w:rFonts w:hint="eastAsia" w:ascii="仿宋_GB2312" w:hAnsi="仿宋_GB2312" w:eastAsia="仿宋_GB2312" w:cs="仿宋_GB2312"/>
          <w:color w:val="auto"/>
          <w:sz w:val="32"/>
          <w:szCs w:val="32"/>
          <w:highlight w:val="none"/>
          <w:lang w:val="en-US" w:eastAsia="zh-CN"/>
        </w:rPr>
      </w:pPr>
      <w:bookmarkStart w:id="46" w:name="_Toc1108343421"/>
      <w:bookmarkStart w:id="47" w:name="_Toc2056304484"/>
      <w:bookmarkStart w:id="48" w:name="_Toc1744552496"/>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1967.22</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1967.22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bookmarkEnd w:id="46"/>
      <w:bookmarkEnd w:id="47"/>
      <w:bookmarkEnd w:id="48"/>
    </w:p>
    <w:p>
      <w:pPr>
        <w:pStyle w:val="2"/>
        <w:rPr>
          <w:rFonts w:hint="eastAsia" w:eastAsia="仿宋_GB2312"/>
          <w:lang w:val="en-US" w:eastAsia="zh-CN"/>
        </w:rPr>
      </w:pPr>
      <w:r>
        <w:rPr>
          <w:rFonts w:hint="eastAsia" w:eastAsia="仿宋_GB2312"/>
          <w:lang w:val="en-US" w:eastAsia="zh-CN"/>
        </w:rPr>
        <w:drawing>
          <wp:inline distT="0" distB="0" distL="114300" distR="114300">
            <wp:extent cx="5389880" cy="3215640"/>
            <wp:effectExtent l="0" t="0" r="1270" b="3810"/>
            <wp:docPr id="12" name="图片 12" descr="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true"/>
                    </pic:cNvPicPr>
                  </pic:nvPicPr>
                  <pic:blipFill>
                    <a:blip r:embed="rId8"/>
                    <a:stretch>
                      <a:fillRect/>
                    </a:stretch>
                  </pic:blipFill>
                  <pic:spPr>
                    <a:xfrm>
                      <a:off x="0" y="0"/>
                      <a:ext cx="5389880" cy="3215640"/>
                    </a:xfrm>
                    <a:prstGeom prst="rect">
                      <a:avLst/>
                    </a:prstGeom>
                  </pic:spPr>
                </pic:pic>
              </a:graphicData>
            </a:graphic>
          </wp:inline>
        </w:drawing>
      </w:r>
    </w:p>
    <w:p>
      <w:pPr>
        <w:spacing w:line="600" w:lineRule="exact"/>
        <w:ind w:firstLine="640" w:firstLineChars="200"/>
        <w:outlineLvl w:val="1"/>
        <w:rPr>
          <w:rFonts w:ascii="仿宋" w:hAnsi="仿宋" w:eastAsia="仿宋"/>
          <w:color w:val="auto"/>
          <w:sz w:val="32"/>
          <w:szCs w:val="32"/>
          <w:highlight w:val="none"/>
        </w:rPr>
      </w:pPr>
    </w:p>
    <w:p>
      <w:pPr>
        <w:spacing w:line="600" w:lineRule="exact"/>
        <w:ind w:firstLine="2240" w:firstLineChars="700"/>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w:t>
      </w:r>
    </w:p>
    <w:p>
      <w:pPr>
        <w:pStyle w:val="28"/>
        <w:numPr>
          <w:ilvl w:val="0"/>
          <w:numId w:val="2"/>
        </w:numPr>
        <w:spacing w:line="600" w:lineRule="exact"/>
        <w:ind w:firstLineChars="0"/>
        <w:outlineLvl w:val="1"/>
        <w:rPr>
          <w:rStyle w:val="30"/>
          <w:rFonts w:ascii="黑体" w:hAnsi="黑体" w:eastAsia="黑体"/>
          <w:b w:val="0"/>
          <w:color w:val="auto"/>
          <w:highlight w:val="none"/>
        </w:rPr>
      </w:pPr>
      <w:bookmarkStart w:id="49" w:name="_Toc1139170899"/>
      <w:bookmarkStart w:id="50" w:name="_Toc15396605"/>
      <w:bookmarkStart w:id="51" w:name="_Toc15377207"/>
      <w:bookmarkStart w:id="52" w:name="_Toc49460324"/>
      <w:bookmarkStart w:id="53" w:name="_Toc328639644"/>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49"/>
      <w:bookmarkEnd w:id="50"/>
      <w:bookmarkEnd w:id="51"/>
      <w:bookmarkEnd w:id="52"/>
      <w:bookmarkEnd w:id="53"/>
    </w:p>
    <w:p>
      <w:pPr>
        <w:spacing w:line="600" w:lineRule="exact"/>
        <w:ind w:firstLine="640" w:firstLineChars="200"/>
        <w:outlineLvl w:val="1"/>
        <w:rPr>
          <w:rFonts w:hint="eastAsia" w:ascii="仿宋_GB2312" w:hAnsi="仿宋_GB2312" w:eastAsia="仿宋_GB2312" w:cs="仿宋_GB2312"/>
          <w:b/>
          <w:color w:val="auto"/>
          <w:sz w:val="32"/>
          <w:szCs w:val="32"/>
          <w:highlight w:val="none"/>
          <w:lang w:val="en-US" w:eastAsia="zh-CN"/>
        </w:rPr>
      </w:pPr>
      <w:bookmarkStart w:id="54" w:name="_Toc1867499701"/>
      <w:bookmarkStart w:id="55" w:name="_Toc1809310173"/>
      <w:bookmarkStart w:id="56" w:name="_Toc57314"/>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2212.21</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1895.25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85.67</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316.95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14.33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bookmarkEnd w:id="54"/>
      <w:bookmarkEnd w:id="55"/>
      <w:bookmarkEnd w:id="56"/>
    </w:p>
    <w:p>
      <w:pPr>
        <w:pStyle w:val="2"/>
        <w:rPr>
          <w:rFonts w:hint="eastAsia" w:eastAsia="仿宋_GB2312"/>
          <w:lang w:eastAsia="zh-CN"/>
        </w:rPr>
      </w:pPr>
      <w:r>
        <w:rPr>
          <w:rFonts w:hint="eastAsia" w:eastAsia="仿宋_GB2312"/>
          <w:lang w:eastAsia="zh-CN"/>
        </w:rPr>
        <w:drawing>
          <wp:inline distT="0" distB="0" distL="114300" distR="114300">
            <wp:extent cx="5485765" cy="3223260"/>
            <wp:effectExtent l="0" t="0" r="635" b="15240"/>
            <wp:docPr id="13" name="图片 13" descr="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3" name="图片 13" descr="3"/>
                    <pic:cNvPicPr>
                      <a:picLocks noChangeAspect="true"/>
                    </pic:cNvPicPr>
                  </pic:nvPicPr>
                  <pic:blipFill>
                    <a:blip r:embed="rId9"/>
                    <a:stretch>
                      <a:fillRect/>
                    </a:stretch>
                  </pic:blipFill>
                  <pic:spPr>
                    <a:xfrm>
                      <a:off x="0" y="0"/>
                      <a:ext cx="5485765" cy="3223260"/>
                    </a:xfrm>
                    <a:prstGeom prst="rect">
                      <a:avLst/>
                    </a:prstGeom>
                  </pic:spPr>
                </pic:pic>
              </a:graphicData>
            </a:graphic>
          </wp:inline>
        </w:drawing>
      </w:r>
    </w:p>
    <w:p>
      <w:pPr>
        <w:spacing w:line="600" w:lineRule="exact"/>
        <w:ind w:firstLine="2240" w:firstLineChars="700"/>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w:t>
      </w:r>
    </w:p>
    <w:p>
      <w:pPr>
        <w:spacing w:line="600" w:lineRule="exact"/>
        <w:ind w:firstLine="640" w:firstLineChars="200"/>
        <w:rPr>
          <w:rFonts w:ascii="仿宋_GB2312" w:eastAsia="仿宋_GB2312"/>
          <w:color w:val="auto"/>
          <w:sz w:val="32"/>
          <w:szCs w:val="32"/>
          <w:highlight w:val="none"/>
        </w:rPr>
      </w:pPr>
    </w:p>
    <w:p>
      <w:pPr>
        <w:spacing w:line="600" w:lineRule="exact"/>
        <w:ind w:firstLine="640" w:firstLineChars="200"/>
        <w:outlineLvl w:val="1"/>
        <w:rPr>
          <w:rStyle w:val="30"/>
          <w:rFonts w:ascii="黑体" w:hAnsi="黑体" w:eastAsia="黑体"/>
          <w:b w:val="0"/>
          <w:color w:val="auto"/>
          <w:highlight w:val="none"/>
        </w:rPr>
      </w:pPr>
      <w:bookmarkStart w:id="57" w:name="_Toc15377208"/>
      <w:bookmarkStart w:id="58" w:name="_Toc1770528012"/>
      <w:bookmarkStart w:id="59" w:name="_Toc1050074167"/>
      <w:bookmarkStart w:id="60" w:name="_Toc15396606"/>
      <w:bookmarkStart w:id="61" w:name="_Toc1284366140"/>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57"/>
      <w:bookmarkEnd w:id="58"/>
      <w:bookmarkEnd w:id="59"/>
      <w:bookmarkEnd w:id="60"/>
      <w:bookmarkEnd w:id="61"/>
    </w:p>
    <w:p>
      <w:pP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2212.21</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年相比，财政拨款收、支总计各减少</w:t>
      </w:r>
      <w:r>
        <w:rPr>
          <w:rFonts w:hint="eastAsia" w:ascii="仿宋_GB2312" w:hAnsi="仿宋_GB2312" w:eastAsia="仿宋_GB2312" w:cs="仿宋_GB2312"/>
          <w:color w:val="auto"/>
          <w:sz w:val="32"/>
          <w:szCs w:val="32"/>
          <w:highlight w:val="none"/>
          <w:lang w:val="en-US" w:eastAsia="zh-CN"/>
        </w:rPr>
        <w:t>9.83</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0.4</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受疫情影响，</w:t>
      </w:r>
      <w:r>
        <w:rPr>
          <w:rFonts w:hint="eastAsia" w:ascii="仿宋_GB2312" w:hAnsi="仿宋_GB2312" w:eastAsia="仿宋_GB2312" w:cs="仿宋_GB2312"/>
          <w:color w:val="auto"/>
          <w:sz w:val="32"/>
          <w:szCs w:val="32"/>
          <w:highlight w:val="none"/>
          <w:lang w:val="en-US" w:eastAsia="zh-CN"/>
        </w:rPr>
        <w:t>2022年度国家法律职业资格考试项目推迟到2023年举行，当年相关支出较少。</w:t>
      </w:r>
    </w:p>
    <w:p>
      <w:pPr>
        <w:spacing w:line="600" w:lineRule="exact"/>
        <w:rPr>
          <w:rFonts w:hint="eastAsia" w:ascii="仿宋" w:hAnsi="仿宋" w:eastAsia="仿宋"/>
          <w:color w:val="auto"/>
          <w:sz w:val="32"/>
          <w:szCs w:val="32"/>
          <w:highlight w:val="none"/>
          <w:lang w:eastAsia="zh-CN"/>
        </w:rPr>
      </w:pPr>
    </w:p>
    <w:p>
      <w:pPr>
        <w:pStyle w:val="2"/>
      </w:pPr>
    </w:p>
    <w:p>
      <w:pPr>
        <w:pStyle w:val="2"/>
        <w:rPr>
          <w:rFonts w:hint="eastAsia" w:eastAsia="仿宋_GB2312"/>
          <w:lang w:eastAsia="zh-CN"/>
        </w:rPr>
      </w:pPr>
      <w:r>
        <w:rPr>
          <w:rFonts w:hint="eastAsia" w:eastAsia="仿宋_GB2312"/>
          <w:lang w:eastAsia="zh-CN"/>
        </w:rPr>
        <w:drawing>
          <wp:inline distT="0" distB="0" distL="114300" distR="114300">
            <wp:extent cx="5114925" cy="3575685"/>
            <wp:effectExtent l="0" t="0" r="9525" b="5715"/>
            <wp:docPr id="14" name="图片 14" descr="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4" name="图片 14" descr="4"/>
                    <pic:cNvPicPr>
                      <a:picLocks noChangeAspect="true"/>
                    </pic:cNvPicPr>
                  </pic:nvPicPr>
                  <pic:blipFill>
                    <a:blip r:embed="rId10"/>
                    <a:stretch>
                      <a:fillRect/>
                    </a:stretch>
                  </pic:blipFill>
                  <pic:spPr>
                    <a:xfrm>
                      <a:off x="0" y="0"/>
                      <a:ext cx="5114925" cy="3575685"/>
                    </a:xfrm>
                    <a:prstGeom prst="rect">
                      <a:avLst/>
                    </a:prstGeom>
                  </pic:spPr>
                </pic:pic>
              </a:graphicData>
            </a:graphic>
          </wp:inline>
        </w:drawing>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pStyle w:val="2"/>
      </w:pPr>
    </w:p>
    <w:p>
      <w:pPr>
        <w:spacing w:line="600" w:lineRule="exact"/>
        <w:ind w:firstLine="640" w:firstLineChars="200"/>
        <w:outlineLvl w:val="1"/>
        <w:rPr>
          <w:rStyle w:val="30"/>
          <w:rFonts w:ascii="黑体" w:hAnsi="黑体" w:eastAsia="黑体"/>
          <w:b w:val="0"/>
          <w:color w:val="auto"/>
          <w:highlight w:val="none"/>
        </w:rPr>
      </w:pPr>
      <w:bookmarkStart w:id="62" w:name="_Toc638586337"/>
      <w:bookmarkStart w:id="63" w:name="_Toc1868369157"/>
      <w:bookmarkStart w:id="64" w:name="_Toc15377209"/>
      <w:bookmarkStart w:id="65" w:name="_Toc15396607"/>
      <w:bookmarkStart w:id="66" w:name="_Toc145143339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62"/>
      <w:bookmarkEnd w:id="63"/>
      <w:bookmarkEnd w:id="64"/>
      <w:bookmarkEnd w:id="65"/>
      <w:bookmarkEnd w:id="66"/>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67" w:name="_Toc392784339"/>
      <w:bookmarkStart w:id="68" w:name="_Toc487042100"/>
      <w:bookmarkStart w:id="69" w:name="_Toc15377210"/>
      <w:r>
        <w:rPr>
          <w:rFonts w:hint="eastAsia" w:ascii="楷体_GB2312" w:hAnsi="楷体_GB2312" w:eastAsia="楷体_GB2312" w:cs="楷体_GB2312"/>
          <w:b w:val="0"/>
          <w:bCs/>
          <w:color w:val="auto"/>
          <w:sz w:val="32"/>
          <w:szCs w:val="32"/>
          <w:highlight w:val="none"/>
        </w:rPr>
        <w:t>（一）一般公共预算财政拨款支出决算总体情况</w:t>
      </w:r>
      <w:bookmarkEnd w:id="67"/>
      <w:bookmarkEnd w:id="68"/>
      <w:bookmarkEnd w:id="69"/>
    </w:p>
    <w:p>
      <w:pPr>
        <w:spacing w:line="60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2212.21</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258.29</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13.22</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val="en-US" w:eastAsia="zh-CN"/>
        </w:rPr>
        <w:t>2022年我局新增了在职职工和退休职工，补缴了上年度保险，人员工资、保险、住房公积金等支出及退休人员生活补贴增加。</w:t>
      </w:r>
    </w:p>
    <w:p>
      <w:pPr>
        <w:pStyle w:val="2"/>
        <w:rPr>
          <w:rFonts w:hint="default"/>
          <w:lang w:val="en-US" w:eastAsia="zh-CN"/>
        </w:rPr>
      </w:pPr>
      <w:r>
        <w:rPr>
          <w:rFonts w:hint="default"/>
          <w:lang w:val="en-US" w:eastAsia="zh-CN"/>
        </w:rPr>
        <w:drawing>
          <wp:inline distT="0" distB="0" distL="114300" distR="114300">
            <wp:extent cx="5133340" cy="3259455"/>
            <wp:effectExtent l="0" t="0" r="10160" b="17145"/>
            <wp:docPr id="15" name="图片 15" descr="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5" name="图片 15" descr="5"/>
                    <pic:cNvPicPr>
                      <a:picLocks noChangeAspect="true"/>
                    </pic:cNvPicPr>
                  </pic:nvPicPr>
                  <pic:blipFill>
                    <a:blip r:embed="rId11"/>
                    <a:stretch>
                      <a:fillRect/>
                    </a:stretch>
                  </pic:blipFill>
                  <pic:spPr>
                    <a:xfrm>
                      <a:off x="0" y="0"/>
                      <a:ext cx="5133340" cy="3259455"/>
                    </a:xfrm>
                    <a:prstGeom prst="rect">
                      <a:avLst/>
                    </a:prstGeom>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70" w:name="_Toc15377211"/>
      <w:bookmarkStart w:id="71" w:name="_Toc1757730670"/>
      <w:bookmarkStart w:id="72" w:name="_Toc106245978"/>
      <w:r>
        <w:rPr>
          <w:rFonts w:hint="eastAsia" w:ascii="楷体_GB2312" w:hAnsi="楷体_GB2312" w:eastAsia="楷体_GB2312" w:cs="楷体_GB2312"/>
          <w:b w:val="0"/>
          <w:bCs/>
          <w:color w:val="auto"/>
          <w:sz w:val="32"/>
          <w:szCs w:val="32"/>
          <w:highlight w:val="none"/>
        </w:rPr>
        <w:t>（二）一般公共预算财政拨款支出决算结构情况</w:t>
      </w:r>
      <w:bookmarkEnd w:id="70"/>
      <w:bookmarkEnd w:id="71"/>
      <w:bookmarkEnd w:id="72"/>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2212.21</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公共安全支出1857.05</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b w:val="0"/>
          <w:bCs w:val="0"/>
          <w:color w:val="auto"/>
          <w:sz w:val="32"/>
          <w:szCs w:val="32"/>
          <w:highlight w:val="none"/>
        </w:rPr>
        <w:t>元，占</w:t>
      </w:r>
      <w:r>
        <w:rPr>
          <w:rFonts w:hint="eastAsia" w:ascii="仿宋_GB2312" w:hAnsi="仿宋_GB2312" w:eastAsia="仿宋_GB2312" w:cs="仿宋_GB2312"/>
          <w:b w:val="0"/>
          <w:bCs w:val="0"/>
          <w:color w:val="auto"/>
          <w:sz w:val="32"/>
          <w:szCs w:val="32"/>
          <w:highlight w:val="none"/>
          <w:lang w:val="en-US" w:eastAsia="zh-CN"/>
        </w:rPr>
        <w:t>8</w:t>
      </w:r>
      <w:r>
        <w:rPr>
          <w:rFonts w:hint="default" w:ascii="仿宋_GB2312" w:hAnsi="仿宋_GB2312" w:eastAsia="仿宋_GB2312" w:cs="仿宋_GB2312"/>
          <w:b w:val="0"/>
          <w:bCs w:val="0"/>
          <w:color w:val="auto"/>
          <w:sz w:val="32"/>
          <w:szCs w:val="32"/>
          <w:highlight w:val="none"/>
          <w:lang w:eastAsia="zh-CN"/>
        </w:rPr>
        <w:t>4</w:t>
      </w:r>
      <w:r>
        <w:rPr>
          <w:rFonts w:hint="eastAsia" w:ascii="仿宋_GB2312" w:hAnsi="仿宋_GB2312" w:eastAsia="仿宋_GB2312" w:cs="仿宋_GB2312"/>
          <w:b w:val="0"/>
          <w:bCs w:val="0"/>
          <w:color w:val="auto"/>
          <w:sz w:val="32"/>
          <w:szCs w:val="32"/>
          <w:highlight w:val="none"/>
        </w:rPr>
        <w:t>%；社会保障和就业支出</w:t>
      </w:r>
      <w:r>
        <w:rPr>
          <w:rFonts w:hint="eastAsia" w:ascii="仿宋_GB2312" w:hAnsi="仿宋_GB2312" w:eastAsia="仿宋_GB2312" w:cs="仿宋_GB2312"/>
          <w:b w:val="0"/>
          <w:bCs w:val="0"/>
          <w:color w:val="auto"/>
          <w:sz w:val="32"/>
          <w:szCs w:val="32"/>
          <w:highlight w:val="none"/>
          <w:lang w:val="en-US" w:eastAsia="zh-CN"/>
        </w:rPr>
        <w:t>129.75</w:t>
      </w:r>
      <w:r>
        <w:rPr>
          <w:rFonts w:hint="eastAsia" w:ascii="仿宋_GB2312" w:hAnsi="仿宋_GB2312" w:eastAsia="仿宋_GB2312" w:cs="仿宋_GB2312"/>
          <w:b w:val="0"/>
          <w:bCs w:val="0"/>
          <w:color w:val="auto"/>
          <w:sz w:val="32"/>
          <w:szCs w:val="32"/>
          <w:highlight w:val="none"/>
        </w:rPr>
        <w:t>万元，占</w:t>
      </w:r>
      <w:r>
        <w:rPr>
          <w:rFonts w:hint="default" w:ascii="仿宋_GB2312" w:hAnsi="仿宋_GB2312" w:eastAsia="仿宋_GB2312" w:cs="仿宋_GB2312"/>
          <w:b w:val="0"/>
          <w:bCs w:val="0"/>
          <w:color w:val="auto"/>
          <w:sz w:val="32"/>
          <w:szCs w:val="32"/>
          <w:highlight w:val="none"/>
        </w:rPr>
        <w:t>6</w:t>
      </w:r>
      <w:r>
        <w:rPr>
          <w:rFonts w:hint="eastAsia" w:ascii="仿宋_GB2312" w:hAnsi="仿宋_GB2312" w:eastAsia="仿宋_GB2312" w:cs="仿宋_GB2312"/>
          <w:b w:val="0"/>
          <w:bCs w:val="0"/>
          <w:color w:val="auto"/>
          <w:sz w:val="32"/>
          <w:szCs w:val="32"/>
          <w:highlight w:val="none"/>
        </w:rPr>
        <w:t>%；卫生健康支出</w:t>
      </w:r>
      <w:r>
        <w:rPr>
          <w:rFonts w:hint="eastAsia" w:ascii="仿宋_GB2312" w:hAnsi="仿宋_GB2312" w:eastAsia="仿宋_GB2312" w:cs="仿宋_GB2312"/>
          <w:b w:val="0"/>
          <w:bCs w:val="0"/>
          <w:color w:val="auto"/>
          <w:sz w:val="32"/>
          <w:szCs w:val="32"/>
          <w:highlight w:val="none"/>
          <w:lang w:val="en-US" w:eastAsia="zh-CN"/>
        </w:rPr>
        <w:t>48.1</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%；住房保障支出</w:t>
      </w:r>
      <w:r>
        <w:rPr>
          <w:rFonts w:hint="eastAsia" w:ascii="仿宋_GB2312" w:hAnsi="仿宋_GB2312" w:eastAsia="仿宋_GB2312" w:cs="仿宋_GB2312"/>
          <w:b w:val="0"/>
          <w:bCs w:val="0"/>
          <w:color w:val="auto"/>
          <w:sz w:val="32"/>
          <w:szCs w:val="32"/>
          <w:highlight w:val="none"/>
          <w:lang w:val="en-US" w:eastAsia="zh-CN"/>
        </w:rPr>
        <w:t>177.30</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p>
    <w:p>
      <w:pPr>
        <w:pStyle w:val="2"/>
        <w:rPr>
          <w:rFonts w:ascii="仿宋" w:hAnsi="仿宋" w:eastAsia="仿宋"/>
          <w:color w:val="auto"/>
          <w:sz w:val="32"/>
          <w:szCs w:val="32"/>
          <w:highlight w:val="none"/>
        </w:rPr>
      </w:pPr>
      <w:r>
        <w:rPr>
          <w:rFonts w:hint="eastAsia" w:eastAsia="仿宋"/>
          <w:lang w:eastAsia="zh-CN"/>
        </w:rPr>
        <w:drawing>
          <wp:inline distT="0" distB="0" distL="114300" distR="114300">
            <wp:extent cx="5307330" cy="2912745"/>
            <wp:effectExtent l="0" t="0" r="7620" b="1905"/>
            <wp:docPr id="16" name="图片 16" descr="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 name="图片 16" descr="6"/>
                    <pic:cNvPicPr>
                      <a:picLocks noChangeAspect="true"/>
                    </pic:cNvPicPr>
                  </pic:nvPicPr>
                  <pic:blipFill>
                    <a:blip r:embed="rId12"/>
                    <a:stretch>
                      <a:fillRect/>
                    </a:stretch>
                  </pic:blipFill>
                  <pic:spPr>
                    <a:xfrm>
                      <a:off x="0" y="0"/>
                      <a:ext cx="5307330" cy="2912745"/>
                    </a:xfrm>
                    <a:prstGeom prst="rect">
                      <a:avLst/>
                    </a:prstGeom>
                  </pic:spPr>
                </pic:pic>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r>
        <w:rPr>
          <w:rFonts w:hint="eastAsia" w:ascii="仿宋" w:hAnsi="仿宋" w:eastAsia="仿宋"/>
          <w:color w:val="auto"/>
          <w:sz w:val="32"/>
          <w:szCs w:val="32"/>
          <w:highlight w:val="none"/>
          <w:lang w:eastAsia="zh-CN"/>
        </w:rPr>
        <w:t>）</w:t>
      </w:r>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73" w:name="_Toc699906188"/>
      <w:bookmarkStart w:id="74" w:name="_Toc15377212"/>
      <w:bookmarkStart w:id="75" w:name="_Toc2083381117"/>
      <w:r>
        <w:rPr>
          <w:rFonts w:hint="eastAsia" w:ascii="楷体_GB2312" w:hAnsi="楷体_GB2312" w:eastAsia="楷体_GB2312" w:cs="楷体_GB2312"/>
          <w:b w:val="0"/>
          <w:bCs/>
          <w:color w:val="auto"/>
          <w:sz w:val="32"/>
          <w:szCs w:val="32"/>
          <w:highlight w:val="none"/>
        </w:rPr>
        <w:t>（三）一般公共预算财政拨款支出决算具体情况</w:t>
      </w:r>
      <w:bookmarkEnd w:id="73"/>
      <w:bookmarkEnd w:id="74"/>
      <w:bookmarkEnd w:id="75"/>
    </w:p>
    <w:p>
      <w:pPr>
        <w:spacing w:line="600" w:lineRule="exact"/>
        <w:ind w:firstLine="640" w:firstLineChars="200"/>
        <w:outlineLvl w:val="2"/>
        <w:rPr>
          <w:rFonts w:hint="eastAsia" w:ascii="仿宋_GB2312" w:hAnsi="仿宋_GB2312" w:eastAsia="仿宋_GB2312" w:cs="仿宋_GB2312"/>
          <w:b w:val="0"/>
          <w:bCs/>
          <w:color w:val="auto"/>
          <w:sz w:val="32"/>
          <w:szCs w:val="32"/>
          <w:highlight w:val="none"/>
        </w:rPr>
      </w:pPr>
      <w:bookmarkStart w:id="76" w:name="_Toc1726108804"/>
      <w:bookmarkStart w:id="77" w:name="_Toc15378460"/>
      <w:bookmarkStart w:id="78" w:name="_Toc15377444"/>
      <w:bookmarkStart w:id="79" w:name="_Toc15377213"/>
      <w:bookmarkStart w:id="80" w:name="_Toc103150080"/>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22</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般公共预算支出决算数为</w:t>
      </w:r>
      <w:r>
        <w:rPr>
          <w:rFonts w:hint="eastAsia" w:ascii="仿宋_GB2312" w:hAnsi="仿宋_GB2312" w:eastAsia="仿宋_GB2312" w:cs="仿宋_GB2312"/>
          <w:b w:val="0"/>
          <w:bCs/>
          <w:color w:val="auto"/>
          <w:sz w:val="32"/>
          <w:szCs w:val="32"/>
          <w:highlight w:val="none"/>
          <w:lang w:val="en-US" w:eastAsia="zh-CN"/>
        </w:rPr>
        <w:t>2212.21万元</w:t>
      </w:r>
      <w:r>
        <w:rPr>
          <w:rFonts w:hint="eastAsia" w:ascii="仿宋_GB2312" w:hAnsi="仿宋_GB2312" w:eastAsia="仿宋_GB2312" w:cs="仿宋_GB2312"/>
          <w:b w:val="0"/>
          <w:bCs/>
          <w:color w:val="auto"/>
          <w:sz w:val="32"/>
          <w:szCs w:val="32"/>
          <w:highlight w:val="none"/>
        </w:rPr>
        <w:t>，</w:t>
      </w:r>
      <w:r>
        <w:rPr>
          <w:rStyle w:val="18"/>
          <w:rFonts w:hint="eastAsia" w:ascii="仿宋_GB2312" w:hAnsi="仿宋_GB2312" w:eastAsia="仿宋_GB2312" w:cs="仿宋_GB2312"/>
          <w:b w:val="0"/>
          <w:bCs/>
          <w:color w:val="auto"/>
          <w:sz w:val="32"/>
          <w:szCs w:val="32"/>
          <w:highlight w:val="none"/>
        </w:rPr>
        <w:t>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%。其中：</w:t>
      </w:r>
      <w:bookmarkEnd w:id="76"/>
      <w:bookmarkEnd w:id="77"/>
      <w:bookmarkEnd w:id="78"/>
      <w:bookmarkEnd w:id="79"/>
      <w:bookmarkEnd w:id="80"/>
    </w:p>
    <w:p>
      <w:pPr>
        <w:numPr>
          <w:ilvl w:val="0"/>
          <w:numId w:val="0"/>
        </w:numPr>
        <w:spacing w:line="600" w:lineRule="exact"/>
        <w:ind w:firstLine="640" w:firstLineChars="200"/>
        <w:rPr>
          <w:rStyle w:val="18"/>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rPr>
        <w:t>公共安全支出（类）司法（款）行政运行（项）</w:t>
      </w:r>
      <w:r>
        <w:rPr>
          <w:rStyle w:val="18"/>
          <w:rFonts w:hint="eastAsia" w:ascii="仿宋_GB2312" w:hAnsi="仿宋_GB2312" w:eastAsia="仿宋_GB2312" w:cs="仿宋_GB2312"/>
          <w:b w:val="0"/>
          <w:bCs/>
          <w:color w:val="auto"/>
          <w:sz w:val="32"/>
          <w:szCs w:val="32"/>
          <w:highlight w:val="none"/>
        </w:rPr>
        <w:t>: 支出决算为</w:t>
      </w:r>
      <w:r>
        <w:rPr>
          <w:rStyle w:val="18"/>
          <w:rFonts w:hint="eastAsia" w:ascii="仿宋_GB2312" w:hAnsi="仿宋_GB2312" w:eastAsia="仿宋_GB2312" w:cs="仿宋_GB2312"/>
          <w:b w:val="0"/>
          <w:bCs/>
          <w:color w:val="auto"/>
          <w:sz w:val="32"/>
          <w:szCs w:val="32"/>
          <w:highlight w:val="none"/>
          <w:lang w:val="en-US" w:eastAsia="zh-CN"/>
        </w:rPr>
        <w:t>1516.32</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_GB2312" w:hAnsi="仿宋_GB2312" w:eastAsia="仿宋_GB2312" w:cs="仿宋_GB2312"/>
          <w:b w:val="0"/>
          <w:bCs/>
          <w:color w:val="auto"/>
          <w:sz w:val="32"/>
          <w:szCs w:val="32"/>
          <w:highlight w:val="none"/>
          <w:lang w:eastAsia="zh-CN"/>
        </w:rPr>
        <w:t>。</w:t>
      </w:r>
    </w:p>
    <w:p>
      <w:pPr>
        <w:numPr>
          <w:ilvl w:val="0"/>
          <w:numId w:val="0"/>
        </w:numPr>
        <w:spacing w:line="60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rPr>
        <w:t>公共安全支出（类）司法（款）</w:t>
      </w:r>
      <w:r>
        <w:rPr>
          <w:rStyle w:val="18"/>
          <w:rFonts w:hint="eastAsia" w:ascii="仿宋_GB2312" w:hAnsi="仿宋_GB2312" w:eastAsia="仿宋_GB2312" w:cs="仿宋_GB2312"/>
          <w:b w:val="0"/>
          <w:bCs/>
          <w:color w:val="000000"/>
          <w:sz w:val="32"/>
          <w:szCs w:val="32"/>
        </w:rPr>
        <w:t>基层司法业务（项）</w:t>
      </w:r>
      <w:r>
        <w:rPr>
          <w:rStyle w:val="18"/>
          <w:rFonts w:hint="eastAsia" w:ascii="仿宋_GB2312" w:hAnsi="仿宋_GB2312" w:eastAsia="仿宋_GB2312" w:cs="仿宋_GB2312"/>
          <w:b w:val="0"/>
          <w:bCs/>
          <w:color w:val="auto"/>
          <w:sz w:val="32"/>
          <w:szCs w:val="32"/>
          <w:highlight w:val="none"/>
        </w:rPr>
        <w:t>: 支出决算为</w:t>
      </w:r>
      <w:r>
        <w:rPr>
          <w:rStyle w:val="18"/>
          <w:rFonts w:hint="eastAsia" w:ascii="仿宋_GB2312" w:hAnsi="仿宋_GB2312" w:eastAsia="仿宋_GB2312" w:cs="仿宋_GB2312"/>
          <w:b w:val="0"/>
          <w:bCs/>
          <w:color w:val="auto"/>
          <w:sz w:val="32"/>
          <w:szCs w:val="32"/>
          <w:highlight w:val="none"/>
          <w:lang w:val="en-US" w:eastAsia="zh-CN"/>
        </w:rPr>
        <w:t>5.85</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p>
    <w:p>
      <w:pPr>
        <w:spacing w:line="600" w:lineRule="exact"/>
        <w:ind w:firstLine="640" w:firstLineChars="200"/>
        <w:rPr>
          <w:rStyle w:val="18"/>
          <w:rFonts w:hint="eastAsia" w:ascii="仿宋_GB2312" w:hAnsi="仿宋_GB2312" w:eastAsia="仿宋_GB2312" w:cs="仿宋_GB2312"/>
          <w:b w:val="0"/>
          <w:bCs/>
          <w:color w:val="auto"/>
          <w:sz w:val="32"/>
          <w:szCs w:val="32"/>
          <w:highlight w:val="none"/>
          <w:lang w:val="en-US" w:eastAsia="zh-CN"/>
        </w:rPr>
      </w:pPr>
      <w:r>
        <w:rPr>
          <w:rStyle w:val="18"/>
          <w:rFonts w:hint="eastAsia" w:ascii="仿宋_GB2312" w:hAnsi="仿宋_GB2312" w:eastAsia="仿宋_GB2312" w:cs="仿宋_GB2312"/>
          <w:b w:val="0"/>
          <w:bCs/>
          <w:color w:val="auto"/>
          <w:sz w:val="32"/>
          <w:szCs w:val="32"/>
          <w:highlight w:val="none"/>
        </w:rPr>
        <w:t>3.</w:t>
      </w:r>
      <w:r>
        <w:rPr>
          <w:rFonts w:hint="eastAsia" w:ascii="仿宋_GB2312" w:hAnsi="仿宋_GB2312" w:eastAsia="仿宋_GB2312" w:cs="仿宋_GB2312"/>
          <w:b w:val="0"/>
          <w:bCs/>
          <w:color w:val="000000"/>
          <w:sz w:val="32"/>
          <w:szCs w:val="32"/>
        </w:rPr>
        <w:t>公共安全支出（类）司法（款）</w:t>
      </w:r>
      <w:r>
        <w:rPr>
          <w:rStyle w:val="18"/>
          <w:rFonts w:hint="eastAsia" w:ascii="仿宋_GB2312" w:hAnsi="仿宋_GB2312" w:eastAsia="仿宋_GB2312" w:cs="仿宋_GB2312"/>
          <w:b w:val="0"/>
          <w:bCs/>
          <w:color w:val="000000"/>
          <w:sz w:val="32"/>
          <w:szCs w:val="32"/>
        </w:rPr>
        <w:t>普法宣传（项）</w:t>
      </w:r>
      <w:r>
        <w:rPr>
          <w:rStyle w:val="18"/>
          <w:rFonts w:hint="eastAsia" w:ascii="仿宋_GB2312" w:hAnsi="仿宋_GB2312" w:eastAsia="仿宋_GB2312" w:cs="仿宋_GB2312"/>
          <w:b w:val="0"/>
          <w:bCs/>
          <w:color w:val="auto"/>
          <w:sz w:val="32"/>
          <w:szCs w:val="32"/>
          <w:highlight w:val="none"/>
        </w:rPr>
        <w:t>: 支出决算为</w:t>
      </w:r>
      <w:r>
        <w:rPr>
          <w:rStyle w:val="18"/>
          <w:rFonts w:hint="eastAsia" w:ascii="仿宋_GB2312" w:hAnsi="仿宋_GB2312" w:eastAsia="仿宋_GB2312" w:cs="仿宋_GB2312"/>
          <w:b w:val="0"/>
          <w:bCs/>
          <w:color w:val="auto"/>
          <w:sz w:val="32"/>
          <w:szCs w:val="32"/>
          <w:highlight w:val="none"/>
          <w:lang w:val="en-US" w:eastAsia="zh-CN"/>
        </w:rPr>
        <w:t>16.8</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_GB2312" w:hAnsi="仿宋_GB2312" w:eastAsia="仿宋_GB2312" w:cs="仿宋_GB2312"/>
          <w:b w:val="0"/>
          <w:bCs/>
          <w:color w:val="auto"/>
          <w:sz w:val="32"/>
          <w:szCs w:val="32"/>
          <w:highlight w:val="none"/>
          <w:lang w:eastAsia="zh-CN"/>
        </w:rPr>
        <w:t>。</w:t>
      </w:r>
    </w:p>
    <w:p>
      <w:pPr>
        <w:spacing w:line="600" w:lineRule="exact"/>
        <w:ind w:firstLine="640" w:firstLineChars="200"/>
        <w:rPr>
          <w:rFonts w:hint="eastAsia" w:ascii="仿宋_GB2312" w:hAnsi="仿宋_GB2312" w:eastAsia="仿宋_GB2312" w:cs="仿宋_GB2312"/>
          <w:b w:val="0"/>
          <w:bCs/>
          <w:color w:val="auto"/>
          <w:sz w:val="32"/>
          <w:szCs w:val="32"/>
          <w:highlight w:val="none"/>
        </w:rPr>
      </w:pPr>
      <w:r>
        <w:rPr>
          <w:rStyle w:val="18"/>
          <w:rFonts w:hint="eastAsia" w:ascii="仿宋_GB2312" w:hAnsi="仿宋_GB2312" w:eastAsia="仿宋_GB2312" w:cs="仿宋_GB2312"/>
          <w:b w:val="0"/>
          <w:bCs/>
          <w:color w:val="auto"/>
          <w:sz w:val="32"/>
          <w:szCs w:val="32"/>
          <w:highlight w:val="none"/>
        </w:rPr>
        <w:t>4.</w:t>
      </w:r>
      <w:r>
        <w:rPr>
          <w:rFonts w:hint="eastAsia" w:ascii="仿宋_GB2312" w:hAnsi="仿宋_GB2312" w:eastAsia="仿宋_GB2312" w:cs="仿宋_GB2312"/>
          <w:b w:val="0"/>
          <w:bCs/>
          <w:color w:val="000000"/>
          <w:sz w:val="32"/>
          <w:szCs w:val="32"/>
        </w:rPr>
        <w:t>公共安全支出（类）司法（款）公共法律服务</w:t>
      </w:r>
      <w:r>
        <w:rPr>
          <w:rStyle w:val="18"/>
          <w:rFonts w:hint="eastAsia" w:ascii="仿宋_GB2312" w:hAnsi="仿宋_GB2312" w:eastAsia="仿宋_GB2312" w:cs="仿宋_GB2312"/>
          <w:b w:val="0"/>
          <w:bCs/>
          <w:color w:val="000000"/>
          <w:sz w:val="32"/>
          <w:szCs w:val="32"/>
        </w:rPr>
        <w:t>（项）</w:t>
      </w:r>
      <w:r>
        <w:rPr>
          <w:rStyle w:val="18"/>
          <w:rFonts w:hint="eastAsia" w:ascii="仿宋_GB2312" w:hAnsi="仿宋_GB2312" w:eastAsia="仿宋_GB2312" w:cs="仿宋_GB2312"/>
          <w:b w:val="0"/>
          <w:bCs/>
          <w:color w:val="auto"/>
          <w:sz w:val="32"/>
          <w:szCs w:val="32"/>
          <w:highlight w:val="none"/>
        </w:rPr>
        <w:t>: 支出决算为</w:t>
      </w:r>
      <w:r>
        <w:rPr>
          <w:rStyle w:val="18"/>
          <w:rFonts w:hint="eastAsia" w:ascii="仿宋_GB2312" w:hAnsi="仿宋_GB2312" w:eastAsia="仿宋_GB2312" w:cs="仿宋_GB2312"/>
          <w:b w:val="0"/>
          <w:bCs/>
          <w:color w:val="auto"/>
          <w:sz w:val="32"/>
          <w:szCs w:val="32"/>
          <w:highlight w:val="none"/>
          <w:lang w:val="en-US" w:eastAsia="zh-CN"/>
        </w:rPr>
        <w:t>32.6</w:t>
      </w:r>
      <w:r>
        <w:rPr>
          <w:rStyle w:val="18"/>
          <w:rFonts w:hint="default" w:ascii="仿宋_GB2312" w:hAnsi="仿宋_GB2312" w:eastAsia="仿宋_GB2312" w:cs="仿宋_GB2312"/>
          <w:b w:val="0"/>
          <w:bCs/>
          <w:color w:val="auto"/>
          <w:sz w:val="32"/>
          <w:szCs w:val="32"/>
          <w:highlight w:val="none"/>
          <w:lang w:eastAsia="zh-CN"/>
        </w:rPr>
        <w:t>2</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p>
    <w:p>
      <w:pPr>
        <w:spacing w:line="600" w:lineRule="exact"/>
        <w:ind w:firstLine="640" w:firstLineChars="200"/>
        <w:rPr>
          <w:rFonts w:hint="eastAsia" w:ascii="仿宋_GB2312" w:hAnsi="仿宋_GB2312" w:eastAsia="仿宋_GB2312" w:cs="仿宋_GB2312"/>
          <w:b w:val="0"/>
          <w:bCs/>
          <w:color w:val="auto"/>
          <w:sz w:val="32"/>
          <w:szCs w:val="32"/>
          <w:highlight w:val="none"/>
        </w:rPr>
      </w:pPr>
      <w:r>
        <w:rPr>
          <w:rStyle w:val="18"/>
          <w:rFonts w:hint="eastAsia" w:ascii="仿宋_GB2312" w:hAnsi="仿宋_GB2312" w:eastAsia="仿宋_GB2312" w:cs="仿宋_GB2312"/>
          <w:b w:val="0"/>
          <w:bCs/>
          <w:color w:val="auto"/>
          <w:sz w:val="32"/>
          <w:szCs w:val="32"/>
          <w:highlight w:val="none"/>
        </w:rPr>
        <w:t>5.</w:t>
      </w:r>
      <w:r>
        <w:rPr>
          <w:rFonts w:hint="eastAsia" w:ascii="仿宋_GB2312" w:hAnsi="仿宋_GB2312" w:eastAsia="仿宋_GB2312" w:cs="仿宋_GB2312"/>
          <w:b w:val="0"/>
          <w:bCs/>
          <w:color w:val="000000"/>
          <w:sz w:val="32"/>
          <w:szCs w:val="32"/>
        </w:rPr>
        <w:t>公共安全支出（类）司法（款）</w:t>
      </w:r>
      <w:r>
        <w:rPr>
          <w:rStyle w:val="18"/>
          <w:rFonts w:hint="eastAsia" w:ascii="仿宋_GB2312" w:hAnsi="仿宋_GB2312" w:eastAsia="仿宋_GB2312" w:cs="仿宋_GB2312"/>
          <w:b w:val="0"/>
          <w:bCs/>
          <w:color w:val="000000"/>
          <w:sz w:val="32"/>
          <w:szCs w:val="32"/>
        </w:rPr>
        <w:t>国家统一法律职业资格考试（项）</w:t>
      </w:r>
      <w:r>
        <w:rPr>
          <w:rStyle w:val="18"/>
          <w:rFonts w:hint="eastAsia" w:ascii="仿宋_GB2312" w:hAnsi="仿宋_GB2312" w:eastAsia="仿宋_GB2312" w:cs="仿宋_GB2312"/>
          <w:b w:val="0"/>
          <w:bCs/>
          <w:color w:val="auto"/>
          <w:sz w:val="32"/>
          <w:szCs w:val="32"/>
          <w:highlight w:val="none"/>
        </w:rPr>
        <w:t>: 支出决算为</w:t>
      </w:r>
      <w:r>
        <w:rPr>
          <w:rStyle w:val="18"/>
          <w:rFonts w:hint="eastAsia" w:ascii="仿宋_GB2312" w:hAnsi="仿宋_GB2312" w:eastAsia="仿宋_GB2312" w:cs="仿宋_GB2312"/>
          <w:b w:val="0"/>
          <w:bCs/>
          <w:color w:val="auto"/>
          <w:sz w:val="32"/>
          <w:szCs w:val="32"/>
          <w:highlight w:val="none"/>
          <w:lang w:val="en-US" w:eastAsia="zh-CN"/>
        </w:rPr>
        <w:t>4.28</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p>
    <w:p>
      <w:pPr>
        <w:spacing w:line="600" w:lineRule="exact"/>
        <w:ind w:firstLine="640" w:firstLineChars="200"/>
        <w:rPr>
          <w:rFonts w:hint="eastAsia" w:ascii="仿宋_GB2312" w:hAnsi="仿宋_GB2312" w:eastAsia="仿宋_GB2312" w:cs="仿宋_GB2312"/>
          <w:b w:val="0"/>
          <w:bCs/>
          <w:color w:val="auto"/>
          <w:sz w:val="32"/>
          <w:szCs w:val="32"/>
          <w:highlight w:val="none"/>
        </w:rPr>
      </w:pPr>
      <w:r>
        <w:rPr>
          <w:rStyle w:val="18"/>
          <w:rFonts w:hint="eastAsia" w:ascii="仿宋_GB2312" w:hAnsi="仿宋_GB2312" w:eastAsia="仿宋_GB2312" w:cs="仿宋_GB2312"/>
          <w:b w:val="0"/>
          <w:bCs/>
          <w:color w:val="auto"/>
          <w:sz w:val="32"/>
          <w:szCs w:val="32"/>
          <w:highlight w:val="none"/>
        </w:rPr>
        <w:t>6.</w:t>
      </w:r>
      <w:r>
        <w:rPr>
          <w:rFonts w:hint="eastAsia" w:ascii="仿宋_GB2312" w:hAnsi="仿宋_GB2312" w:eastAsia="仿宋_GB2312" w:cs="仿宋_GB2312"/>
          <w:b w:val="0"/>
          <w:bCs/>
          <w:color w:val="000000"/>
          <w:sz w:val="32"/>
          <w:szCs w:val="32"/>
        </w:rPr>
        <w:t>公共安全支出（类）司法（款）</w:t>
      </w:r>
      <w:r>
        <w:rPr>
          <w:rStyle w:val="18"/>
          <w:rFonts w:hint="eastAsia" w:ascii="仿宋_GB2312" w:hAnsi="仿宋_GB2312" w:eastAsia="仿宋_GB2312" w:cs="仿宋_GB2312"/>
          <w:b w:val="0"/>
          <w:bCs/>
          <w:color w:val="000000"/>
          <w:sz w:val="32"/>
          <w:szCs w:val="32"/>
        </w:rPr>
        <w:t>法</w:t>
      </w:r>
      <w:r>
        <w:rPr>
          <w:rStyle w:val="18"/>
          <w:rFonts w:hint="eastAsia" w:ascii="仿宋_GB2312" w:hAnsi="仿宋_GB2312" w:eastAsia="仿宋_GB2312" w:cs="仿宋_GB2312"/>
          <w:b w:val="0"/>
          <w:bCs/>
          <w:color w:val="000000"/>
          <w:sz w:val="32"/>
          <w:szCs w:val="32"/>
          <w:lang w:val="en-US" w:eastAsia="zh-CN"/>
        </w:rPr>
        <w:t>治</w:t>
      </w:r>
      <w:r>
        <w:rPr>
          <w:rStyle w:val="18"/>
          <w:rFonts w:hint="eastAsia" w:ascii="仿宋_GB2312" w:hAnsi="仿宋_GB2312" w:eastAsia="仿宋_GB2312" w:cs="仿宋_GB2312"/>
          <w:b w:val="0"/>
          <w:bCs/>
          <w:color w:val="000000"/>
          <w:sz w:val="32"/>
          <w:szCs w:val="32"/>
        </w:rPr>
        <w:t>建设（项）</w:t>
      </w:r>
      <w:r>
        <w:rPr>
          <w:rStyle w:val="18"/>
          <w:rFonts w:hint="eastAsia" w:ascii="仿宋_GB2312" w:hAnsi="仿宋_GB2312" w:eastAsia="仿宋_GB2312" w:cs="仿宋_GB2312"/>
          <w:b w:val="0"/>
          <w:bCs/>
          <w:color w:val="auto"/>
          <w:sz w:val="32"/>
          <w:szCs w:val="32"/>
          <w:highlight w:val="none"/>
        </w:rPr>
        <w:t>:支出决算为</w:t>
      </w:r>
      <w:r>
        <w:rPr>
          <w:rStyle w:val="18"/>
          <w:rFonts w:hint="eastAsia" w:ascii="仿宋_GB2312" w:hAnsi="仿宋_GB2312" w:eastAsia="仿宋_GB2312" w:cs="仿宋_GB2312"/>
          <w:b w:val="0"/>
          <w:bCs/>
          <w:color w:val="auto"/>
          <w:sz w:val="32"/>
          <w:szCs w:val="32"/>
          <w:highlight w:val="none"/>
          <w:lang w:val="en-US" w:eastAsia="zh-CN"/>
        </w:rPr>
        <w:t>29.47</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p>
    <w:p>
      <w:pPr>
        <w:spacing w:line="600" w:lineRule="exact"/>
        <w:ind w:firstLine="640" w:firstLineChars="200"/>
        <w:rPr>
          <w:rStyle w:val="18"/>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7.</w:t>
      </w:r>
      <w:r>
        <w:rPr>
          <w:rFonts w:hint="eastAsia" w:ascii="仿宋_GB2312" w:hAnsi="仿宋_GB2312" w:eastAsia="仿宋_GB2312" w:cs="仿宋_GB2312"/>
          <w:b w:val="0"/>
          <w:bCs/>
          <w:color w:val="000000"/>
          <w:sz w:val="32"/>
          <w:szCs w:val="32"/>
        </w:rPr>
        <w:t>公共安全支出（类）司法（款）事业运行</w:t>
      </w:r>
      <w:r>
        <w:rPr>
          <w:rStyle w:val="18"/>
          <w:rFonts w:hint="eastAsia" w:ascii="仿宋_GB2312" w:hAnsi="仿宋_GB2312" w:eastAsia="仿宋_GB2312" w:cs="仿宋_GB2312"/>
          <w:b w:val="0"/>
          <w:bCs/>
          <w:color w:val="000000"/>
          <w:sz w:val="32"/>
          <w:szCs w:val="32"/>
        </w:rPr>
        <w:t>（项）</w:t>
      </w:r>
      <w:r>
        <w:rPr>
          <w:rStyle w:val="18"/>
          <w:rFonts w:hint="eastAsia" w:ascii="仿宋_GB2312" w:hAnsi="仿宋_GB2312" w:eastAsia="仿宋_GB2312" w:cs="仿宋_GB2312"/>
          <w:b w:val="0"/>
          <w:bCs/>
          <w:color w:val="000000"/>
          <w:sz w:val="32"/>
          <w:szCs w:val="32"/>
          <w:lang w:eastAsia="zh-CN"/>
        </w:rPr>
        <w:t>：</w:t>
      </w:r>
      <w:r>
        <w:rPr>
          <w:rStyle w:val="18"/>
          <w:rFonts w:hint="eastAsia" w:ascii="仿宋_GB2312" w:hAnsi="仿宋_GB2312" w:eastAsia="仿宋_GB2312" w:cs="仿宋_GB2312"/>
          <w:b w:val="0"/>
          <w:bCs/>
          <w:color w:val="000000"/>
          <w:sz w:val="32"/>
          <w:szCs w:val="32"/>
          <w:lang w:val="en-US" w:eastAsia="zh-CN"/>
        </w:rPr>
        <w:t>支出决算为23.78万元，完成预算100%。</w:t>
      </w:r>
    </w:p>
    <w:p>
      <w:pPr>
        <w:pStyle w:val="7"/>
        <w:ind w:left="0" w:leftChars="0" w:firstLine="640" w:firstLineChars="200"/>
        <w:rPr>
          <w:rStyle w:val="18"/>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000000"/>
          <w:sz w:val="32"/>
          <w:szCs w:val="32"/>
          <w:lang w:val="en-US" w:eastAsia="zh-CN"/>
        </w:rPr>
        <w:t>8.</w:t>
      </w:r>
      <w:r>
        <w:rPr>
          <w:rFonts w:hint="eastAsia" w:ascii="仿宋_GB2312" w:hAnsi="仿宋_GB2312" w:eastAsia="仿宋_GB2312" w:cs="仿宋_GB2312"/>
          <w:b w:val="0"/>
          <w:bCs/>
          <w:color w:val="000000"/>
          <w:sz w:val="32"/>
          <w:szCs w:val="32"/>
        </w:rPr>
        <w:t>公共安全支出（类）司法（款）</w:t>
      </w:r>
      <w:r>
        <w:rPr>
          <w:rStyle w:val="18"/>
          <w:rFonts w:hint="eastAsia" w:ascii="仿宋_GB2312" w:hAnsi="仿宋_GB2312" w:eastAsia="仿宋_GB2312" w:cs="仿宋_GB2312"/>
          <w:b w:val="0"/>
          <w:bCs/>
          <w:color w:val="000000"/>
          <w:sz w:val="32"/>
          <w:szCs w:val="32"/>
        </w:rPr>
        <w:t>其他司法支出（项）</w:t>
      </w:r>
      <w:r>
        <w:rPr>
          <w:rStyle w:val="18"/>
          <w:rFonts w:hint="eastAsia" w:ascii="仿宋_GB2312" w:hAnsi="仿宋_GB2312" w:eastAsia="仿宋_GB2312" w:cs="仿宋_GB2312"/>
          <w:b w:val="0"/>
          <w:bCs/>
          <w:color w:val="000000"/>
          <w:sz w:val="32"/>
          <w:szCs w:val="32"/>
          <w:lang w:eastAsia="zh-CN"/>
        </w:rPr>
        <w:t>：</w:t>
      </w:r>
      <w:r>
        <w:rPr>
          <w:rStyle w:val="18"/>
          <w:rFonts w:hint="eastAsia" w:ascii="仿宋_GB2312" w:hAnsi="仿宋_GB2312" w:eastAsia="仿宋_GB2312" w:cs="仿宋_GB2312"/>
          <w:b w:val="0"/>
          <w:bCs/>
          <w:color w:val="auto"/>
          <w:sz w:val="32"/>
          <w:szCs w:val="32"/>
          <w:highlight w:val="none"/>
        </w:rPr>
        <w:t>支出决算为</w:t>
      </w:r>
      <w:r>
        <w:rPr>
          <w:rStyle w:val="18"/>
          <w:rFonts w:hint="eastAsia" w:ascii="仿宋_GB2312" w:hAnsi="仿宋_GB2312" w:eastAsia="仿宋_GB2312" w:cs="仿宋_GB2312"/>
          <w:b w:val="0"/>
          <w:bCs/>
          <w:color w:val="auto"/>
          <w:sz w:val="32"/>
          <w:szCs w:val="32"/>
          <w:highlight w:val="none"/>
          <w:lang w:val="en-US" w:eastAsia="zh-CN"/>
        </w:rPr>
        <w:t>227.94</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_GB2312" w:hAnsi="仿宋_GB2312" w:eastAsia="仿宋_GB2312" w:cs="仿宋_GB2312"/>
          <w:b w:val="0"/>
          <w:bCs/>
          <w:color w:val="auto"/>
          <w:sz w:val="32"/>
          <w:szCs w:val="32"/>
          <w:highlight w:val="none"/>
          <w:lang w:eastAsia="zh-CN"/>
        </w:rPr>
        <w:t>。</w:t>
      </w:r>
    </w:p>
    <w:p>
      <w:pPr>
        <w:pStyle w:val="7"/>
        <w:ind w:left="0" w:leftChars="0" w:firstLine="640" w:firstLineChars="200"/>
        <w:rPr>
          <w:rStyle w:val="18"/>
          <w:rFonts w:hint="eastAsia" w:ascii="仿宋_GB2312" w:hAnsi="仿宋_GB2312" w:eastAsia="仿宋_GB2312" w:cs="仿宋_GB2312"/>
          <w:b w:val="0"/>
          <w:bCs/>
          <w:color w:val="auto"/>
          <w:sz w:val="32"/>
          <w:szCs w:val="32"/>
          <w:highlight w:val="none"/>
          <w:lang w:val="en-US" w:eastAsia="zh-CN"/>
        </w:rPr>
      </w:pPr>
      <w:r>
        <w:rPr>
          <w:rStyle w:val="18"/>
          <w:rFonts w:hint="eastAsia" w:ascii="仿宋_GB2312" w:hAnsi="仿宋_GB2312" w:eastAsia="仿宋_GB2312" w:cs="仿宋_GB2312"/>
          <w:b w:val="0"/>
          <w:bCs/>
          <w:sz w:val="32"/>
          <w:szCs w:val="32"/>
          <w:lang w:val="en-US" w:eastAsia="zh-CN"/>
        </w:rPr>
        <w:t>9.社会保障和就业</w:t>
      </w:r>
      <w:r>
        <w:rPr>
          <w:rStyle w:val="18"/>
          <w:rFonts w:hint="eastAsia" w:ascii="仿宋_GB2312" w:hAnsi="仿宋_GB2312" w:eastAsia="仿宋_GB2312" w:cs="仿宋_GB2312"/>
          <w:b w:val="0"/>
          <w:bCs/>
          <w:sz w:val="32"/>
          <w:szCs w:val="32"/>
        </w:rPr>
        <w:t>（类）</w:t>
      </w:r>
      <w:r>
        <w:rPr>
          <w:rStyle w:val="18"/>
          <w:rFonts w:hint="eastAsia" w:ascii="仿宋_GB2312" w:hAnsi="仿宋_GB2312" w:eastAsia="仿宋_GB2312" w:cs="仿宋_GB2312"/>
          <w:b w:val="0"/>
          <w:bCs/>
          <w:sz w:val="32"/>
          <w:szCs w:val="32"/>
          <w:lang w:val="en-US" w:eastAsia="zh-CN"/>
        </w:rPr>
        <w:t>人力资源和社会保障管理事务</w:t>
      </w:r>
      <w:r>
        <w:rPr>
          <w:rStyle w:val="18"/>
          <w:rFonts w:hint="eastAsia" w:ascii="仿宋_GB2312" w:hAnsi="仿宋_GB2312" w:eastAsia="仿宋_GB2312" w:cs="仿宋_GB2312"/>
          <w:b w:val="0"/>
          <w:bCs/>
          <w:sz w:val="32"/>
          <w:szCs w:val="32"/>
        </w:rPr>
        <w:t>（款）</w:t>
      </w:r>
      <w:r>
        <w:rPr>
          <w:rStyle w:val="18"/>
          <w:rFonts w:hint="eastAsia" w:ascii="仿宋_GB2312" w:hAnsi="仿宋_GB2312" w:eastAsia="仿宋_GB2312" w:cs="仿宋_GB2312"/>
          <w:b w:val="0"/>
          <w:bCs/>
          <w:sz w:val="32"/>
          <w:szCs w:val="32"/>
          <w:lang w:val="en-US" w:eastAsia="zh-CN"/>
        </w:rPr>
        <w:t>其他人力资源和社会保障管理事务</w:t>
      </w:r>
      <w:r>
        <w:rPr>
          <w:rStyle w:val="18"/>
          <w:rFonts w:hint="eastAsia" w:ascii="仿宋_GB2312" w:hAnsi="仿宋_GB2312" w:eastAsia="仿宋_GB2312" w:cs="仿宋_GB2312"/>
          <w:b w:val="0"/>
          <w:bCs/>
          <w:sz w:val="32"/>
          <w:szCs w:val="32"/>
        </w:rPr>
        <w:t>支出（项）</w:t>
      </w:r>
      <w:r>
        <w:rPr>
          <w:rStyle w:val="18"/>
          <w:rFonts w:hint="eastAsia" w:ascii="仿宋_GB2312" w:hAnsi="仿宋_GB2312" w:eastAsia="仿宋_GB2312" w:cs="仿宋_GB2312"/>
          <w:b w:val="0"/>
          <w:bCs/>
          <w:sz w:val="32"/>
          <w:szCs w:val="32"/>
          <w:lang w:eastAsia="zh-CN"/>
        </w:rPr>
        <w:t>：</w:t>
      </w:r>
      <w:r>
        <w:rPr>
          <w:rStyle w:val="18"/>
          <w:rFonts w:hint="eastAsia" w:ascii="仿宋_GB2312" w:hAnsi="仿宋_GB2312" w:eastAsia="仿宋_GB2312" w:cs="仿宋_GB2312"/>
          <w:b w:val="0"/>
          <w:bCs/>
          <w:color w:val="auto"/>
          <w:sz w:val="32"/>
          <w:szCs w:val="32"/>
          <w:highlight w:val="none"/>
        </w:rPr>
        <w:t>支出决算为</w:t>
      </w:r>
      <w:r>
        <w:rPr>
          <w:rStyle w:val="18"/>
          <w:rFonts w:hint="eastAsia" w:ascii="仿宋_GB2312" w:hAnsi="仿宋_GB2312" w:eastAsia="仿宋_GB2312" w:cs="仿宋_GB2312"/>
          <w:b w:val="0"/>
          <w:bCs/>
          <w:color w:val="auto"/>
          <w:sz w:val="32"/>
          <w:szCs w:val="32"/>
          <w:highlight w:val="none"/>
          <w:lang w:val="en-US" w:eastAsia="zh-CN"/>
        </w:rPr>
        <w:t>4</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_GB2312" w:hAnsi="仿宋_GB2312" w:eastAsia="仿宋_GB2312" w:cs="仿宋_GB2312"/>
          <w:b w:val="0"/>
          <w:bCs/>
          <w:color w:val="auto"/>
          <w:sz w:val="32"/>
          <w:szCs w:val="32"/>
          <w:highlight w:val="none"/>
          <w:lang w:eastAsia="zh-CN"/>
        </w:rPr>
        <w:t>。</w:t>
      </w:r>
    </w:p>
    <w:p>
      <w:pPr>
        <w:pStyle w:val="7"/>
        <w:ind w:left="0" w:leftChars="0" w:firstLine="640" w:firstLineChars="200"/>
        <w:rPr>
          <w:rStyle w:val="18"/>
          <w:rFonts w:hint="eastAsia" w:ascii="仿宋_GB2312" w:hAnsi="仿宋_GB2312" w:eastAsia="仿宋_GB2312" w:cs="仿宋_GB2312"/>
          <w:b w:val="0"/>
          <w:bCs/>
          <w:color w:val="auto"/>
          <w:sz w:val="32"/>
          <w:szCs w:val="32"/>
          <w:highlight w:val="none"/>
          <w:lang w:eastAsia="zh-CN"/>
        </w:rPr>
      </w:pPr>
      <w:r>
        <w:rPr>
          <w:rStyle w:val="18"/>
          <w:rFonts w:hint="eastAsia" w:ascii="仿宋_GB2312" w:hAnsi="仿宋_GB2312" w:eastAsia="仿宋_GB2312" w:cs="仿宋_GB2312"/>
          <w:b w:val="0"/>
          <w:bCs/>
          <w:color w:val="000000"/>
          <w:sz w:val="32"/>
          <w:szCs w:val="32"/>
          <w:lang w:val="en-US" w:eastAsia="zh-CN"/>
        </w:rPr>
        <w:t>10.</w:t>
      </w:r>
      <w:r>
        <w:rPr>
          <w:rStyle w:val="18"/>
          <w:rFonts w:hint="eastAsia" w:ascii="仿宋_GB2312" w:hAnsi="仿宋_GB2312" w:eastAsia="仿宋_GB2312" w:cs="仿宋_GB2312"/>
          <w:b w:val="0"/>
          <w:bCs/>
          <w:sz w:val="32"/>
          <w:szCs w:val="32"/>
        </w:rPr>
        <w:t>社会保障和就业（类）行政事业单位养老支出（款）机关事业单位基本养老保险缴费支出（项）</w:t>
      </w:r>
      <w:r>
        <w:rPr>
          <w:rStyle w:val="18"/>
          <w:rFonts w:hint="eastAsia" w:ascii="仿宋_GB2312" w:hAnsi="仿宋_GB2312" w:eastAsia="仿宋_GB2312" w:cs="仿宋_GB2312"/>
          <w:b w:val="0"/>
          <w:bCs/>
          <w:sz w:val="32"/>
          <w:szCs w:val="32"/>
          <w:lang w:eastAsia="zh-CN"/>
        </w:rPr>
        <w:t>：</w:t>
      </w:r>
      <w:r>
        <w:rPr>
          <w:rStyle w:val="18"/>
          <w:rFonts w:hint="eastAsia" w:ascii="仿宋_GB2312" w:hAnsi="仿宋_GB2312" w:eastAsia="仿宋_GB2312" w:cs="仿宋_GB2312"/>
          <w:b w:val="0"/>
          <w:bCs/>
          <w:color w:val="auto"/>
          <w:sz w:val="32"/>
          <w:szCs w:val="32"/>
          <w:highlight w:val="none"/>
        </w:rPr>
        <w:t>支出决算为</w:t>
      </w:r>
      <w:r>
        <w:rPr>
          <w:rStyle w:val="18"/>
          <w:rFonts w:hint="eastAsia" w:ascii="仿宋_GB2312" w:hAnsi="仿宋_GB2312" w:eastAsia="仿宋_GB2312" w:cs="仿宋_GB2312"/>
          <w:b w:val="0"/>
          <w:bCs/>
          <w:color w:val="auto"/>
          <w:sz w:val="32"/>
          <w:szCs w:val="32"/>
          <w:highlight w:val="none"/>
          <w:lang w:val="en-US" w:eastAsia="zh-CN"/>
        </w:rPr>
        <w:t>96.42</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_GB2312" w:hAnsi="仿宋_GB2312" w:eastAsia="仿宋_GB2312" w:cs="仿宋_GB2312"/>
          <w:b w:val="0"/>
          <w:bCs/>
          <w:color w:val="auto"/>
          <w:sz w:val="32"/>
          <w:szCs w:val="32"/>
          <w:highlight w:val="none"/>
          <w:lang w:eastAsia="zh-CN"/>
        </w:rPr>
        <w:t>。</w:t>
      </w:r>
    </w:p>
    <w:p>
      <w:pPr>
        <w:pStyle w:val="7"/>
        <w:ind w:left="0" w:leftChars="0" w:firstLine="640" w:firstLineChars="200"/>
        <w:rPr>
          <w:rStyle w:val="18"/>
          <w:rFonts w:hint="eastAsia" w:ascii="仿宋_GB2312" w:hAnsi="仿宋_GB2312" w:eastAsia="仿宋_GB2312" w:cs="仿宋_GB2312"/>
          <w:b w:val="0"/>
          <w:bCs/>
          <w:color w:val="auto"/>
          <w:sz w:val="32"/>
          <w:szCs w:val="32"/>
          <w:highlight w:val="none"/>
          <w:lang w:val="en-US" w:eastAsia="zh-CN"/>
        </w:rPr>
      </w:pPr>
      <w:r>
        <w:rPr>
          <w:rStyle w:val="18"/>
          <w:rFonts w:hint="eastAsia" w:ascii="仿宋_GB2312" w:hAnsi="仿宋_GB2312" w:eastAsia="仿宋_GB2312" w:cs="仿宋_GB2312"/>
          <w:b w:val="0"/>
          <w:bCs/>
          <w:sz w:val="32"/>
          <w:szCs w:val="32"/>
          <w:lang w:val="en-US" w:eastAsia="zh-CN"/>
        </w:rPr>
        <w:t>11.</w:t>
      </w:r>
      <w:r>
        <w:rPr>
          <w:rStyle w:val="18"/>
          <w:rFonts w:hint="eastAsia" w:ascii="仿宋_GB2312" w:hAnsi="仿宋_GB2312" w:eastAsia="仿宋_GB2312" w:cs="仿宋_GB2312"/>
          <w:b w:val="0"/>
          <w:bCs/>
          <w:sz w:val="32"/>
          <w:szCs w:val="32"/>
        </w:rPr>
        <w:t>社会保障和就业（类）行政事业单位养老支出（款）机关事业单位职业年金缴费支出（项）</w:t>
      </w:r>
      <w:r>
        <w:rPr>
          <w:rStyle w:val="18"/>
          <w:rFonts w:hint="eastAsia" w:ascii="仿宋_GB2312" w:hAnsi="仿宋_GB2312" w:eastAsia="仿宋_GB2312" w:cs="仿宋_GB2312"/>
          <w:b w:val="0"/>
          <w:bCs/>
          <w:sz w:val="32"/>
          <w:szCs w:val="32"/>
          <w:lang w:eastAsia="zh-CN"/>
        </w:rPr>
        <w:t>：</w:t>
      </w:r>
      <w:r>
        <w:rPr>
          <w:rStyle w:val="18"/>
          <w:rFonts w:hint="eastAsia" w:ascii="仿宋_GB2312" w:hAnsi="仿宋_GB2312" w:eastAsia="仿宋_GB2312" w:cs="仿宋_GB2312"/>
          <w:b w:val="0"/>
          <w:bCs/>
          <w:color w:val="auto"/>
          <w:sz w:val="32"/>
          <w:szCs w:val="32"/>
          <w:highlight w:val="none"/>
        </w:rPr>
        <w:t>支出决算为</w:t>
      </w:r>
      <w:r>
        <w:rPr>
          <w:rStyle w:val="18"/>
          <w:rFonts w:hint="eastAsia" w:ascii="仿宋_GB2312" w:hAnsi="仿宋_GB2312" w:eastAsia="仿宋_GB2312" w:cs="仿宋_GB2312"/>
          <w:b w:val="0"/>
          <w:bCs/>
          <w:color w:val="auto"/>
          <w:sz w:val="32"/>
          <w:szCs w:val="32"/>
          <w:highlight w:val="none"/>
          <w:lang w:val="en-US" w:eastAsia="zh-CN"/>
        </w:rPr>
        <w:t>22.27</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_GB2312" w:hAnsi="仿宋_GB2312" w:eastAsia="仿宋_GB2312" w:cs="仿宋_GB2312"/>
          <w:b w:val="0"/>
          <w:bCs/>
          <w:color w:val="auto"/>
          <w:sz w:val="32"/>
          <w:szCs w:val="32"/>
          <w:highlight w:val="none"/>
          <w:lang w:eastAsia="zh-CN"/>
        </w:rPr>
        <w:t>。</w:t>
      </w:r>
    </w:p>
    <w:p>
      <w:pPr>
        <w:pStyle w:val="7"/>
        <w:ind w:left="0" w:leftChars="0" w:firstLine="640" w:firstLineChars="200"/>
        <w:rPr>
          <w:rStyle w:val="18"/>
          <w:rFonts w:hint="eastAsia" w:ascii="仿宋_GB2312" w:hAnsi="仿宋_GB2312" w:eastAsia="仿宋_GB2312" w:cs="仿宋_GB2312"/>
          <w:b w:val="0"/>
          <w:bCs/>
          <w:color w:val="auto"/>
          <w:sz w:val="32"/>
          <w:szCs w:val="32"/>
          <w:highlight w:val="none"/>
          <w:lang w:val="en-US" w:eastAsia="zh-CN"/>
        </w:rPr>
      </w:pPr>
      <w:r>
        <w:rPr>
          <w:rStyle w:val="18"/>
          <w:rFonts w:hint="eastAsia" w:ascii="仿宋_GB2312" w:hAnsi="仿宋_GB2312" w:eastAsia="仿宋_GB2312" w:cs="仿宋_GB2312"/>
          <w:b w:val="0"/>
          <w:bCs/>
          <w:sz w:val="32"/>
          <w:szCs w:val="32"/>
          <w:lang w:val="en-US" w:eastAsia="zh-CN"/>
        </w:rPr>
        <w:t>12.</w:t>
      </w:r>
      <w:r>
        <w:rPr>
          <w:rStyle w:val="18"/>
          <w:rFonts w:hint="eastAsia" w:ascii="仿宋_GB2312" w:hAnsi="仿宋_GB2312" w:eastAsia="仿宋_GB2312" w:cs="仿宋_GB2312"/>
          <w:b w:val="0"/>
          <w:bCs/>
          <w:sz w:val="32"/>
          <w:szCs w:val="32"/>
        </w:rPr>
        <w:t>社会保障和就业（类）抚恤（款）死亡抚恤（项）:</w:t>
      </w:r>
      <w:r>
        <w:rPr>
          <w:rStyle w:val="18"/>
          <w:rFonts w:hint="eastAsia" w:ascii="仿宋_GB2312" w:hAnsi="仿宋_GB2312" w:eastAsia="仿宋_GB2312" w:cs="仿宋_GB2312"/>
          <w:b w:val="0"/>
          <w:bCs/>
          <w:color w:val="auto"/>
          <w:sz w:val="32"/>
          <w:szCs w:val="32"/>
          <w:highlight w:val="none"/>
        </w:rPr>
        <w:t>支出决算为</w:t>
      </w:r>
      <w:r>
        <w:rPr>
          <w:rStyle w:val="18"/>
          <w:rFonts w:hint="eastAsia" w:ascii="仿宋_GB2312" w:hAnsi="仿宋_GB2312" w:eastAsia="仿宋_GB2312" w:cs="仿宋_GB2312"/>
          <w:b w:val="0"/>
          <w:bCs/>
          <w:color w:val="auto"/>
          <w:sz w:val="32"/>
          <w:szCs w:val="32"/>
          <w:highlight w:val="none"/>
          <w:lang w:val="en-US" w:eastAsia="zh-CN"/>
        </w:rPr>
        <w:t>7.06</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_GB2312" w:hAnsi="仿宋_GB2312" w:eastAsia="仿宋_GB2312" w:cs="仿宋_GB2312"/>
          <w:b w:val="0"/>
          <w:bCs/>
          <w:color w:val="auto"/>
          <w:sz w:val="32"/>
          <w:szCs w:val="32"/>
          <w:highlight w:val="none"/>
          <w:lang w:eastAsia="zh-CN"/>
        </w:rPr>
        <w:t>。</w:t>
      </w:r>
    </w:p>
    <w:p>
      <w:pPr>
        <w:pStyle w:val="7"/>
        <w:ind w:left="0" w:leftChars="0" w:firstLine="640" w:firstLineChars="200"/>
        <w:rPr>
          <w:rStyle w:val="18"/>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sz w:val="32"/>
          <w:szCs w:val="32"/>
          <w:lang w:val="en-US" w:eastAsia="zh-CN"/>
        </w:rPr>
        <w:t>13.</w:t>
      </w:r>
      <w:r>
        <w:rPr>
          <w:rFonts w:hint="eastAsia" w:ascii="仿宋_GB2312" w:hAnsi="仿宋_GB2312" w:eastAsia="仿宋_GB2312" w:cs="仿宋_GB2312"/>
          <w:b w:val="0"/>
          <w:bCs/>
          <w:sz w:val="32"/>
          <w:szCs w:val="32"/>
        </w:rPr>
        <w:t>卫生健康</w:t>
      </w:r>
      <w:r>
        <w:rPr>
          <w:rStyle w:val="18"/>
          <w:rFonts w:hint="eastAsia" w:ascii="仿宋_GB2312" w:hAnsi="仿宋_GB2312" w:eastAsia="仿宋_GB2312" w:cs="仿宋_GB2312"/>
          <w:b w:val="0"/>
          <w:bCs/>
          <w:sz w:val="32"/>
          <w:szCs w:val="32"/>
        </w:rPr>
        <w:t>（类）行政事业单位医疗（款）行政单位医疗（项）:</w:t>
      </w:r>
      <w:r>
        <w:rPr>
          <w:rStyle w:val="18"/>
          <w:rFonts w:hint="eastAsia" w:ascii="仿宋_GB2312" w:hAnsi="仿宋_GB2312" w:eastAsia="仿宋_GB2312" w:cs="仿宋_GB2312"/>
          <w:b w:val="0"/>
          <w:bCs/>
          <w:color w:val="auto"/>
          <w:sz w:val="32"/>
          <w:szCs w:val="32"/>
          <w:highlight w:val="none"/>
        </w:rPr>
        <w:t>支出决算为</w:t>
      </w:r>
      <w:r>
        <w:rPr>
          <w:rStyle w:val="18"/>
          <w:rFonts w:hint="eastAsia" w:ascii="仿宋_GB2312" w:hAnsi="仿宋_GB2312" w:eastAsia="仿宋_GB2312" w:cs="仿宋_GB2312"/>
          <w:b w:val="0"/>
          <w:bCs/>
          <w:color w:val="auto"/>
          <w:sz w:val="32"/>
          <w:szCs w:val="32"/>
          <w:highlight w:val="none"/>
          <w:lang w:val="en-US" w:eastAsia="zh-CN"/>
        </w:rPr>
        <w:t>48.1</w:t>
      </w:r>
      <w:r>
        <w:rPr>
          <w:rStyle w:val="18"/>
          <w:rFonts w:hint="default" w:hAnsi="仿宋_GB2312" w:eastAsia="仿宋_GB2312" w:cs="仿宋_GB2312"/>
          <w:b w:val="0"/>
          <w:bCs/>
          <w:color w:val="auto"/>
          <w:sz w:val="32"/>
          <w:szCs w:val="32"/>
          <w:highlight w:val="none"/>
          <w:lang w:eastAsia="zh-CN"/>
        </w:rPr>
        <w:t>0</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_GB2312" w:hAnsi="仿宋_GB2312" w:eastAsia="仿宋_GB2312" w:cs="仿宋_GB2312"/>
          <w:b w:val="0"/>
          <w:bCs/>
          <w:color w:val="auto"/>
          <w:sz w:val="32"/>
          <w:szCs w:val="32"/>
          <w:highlight w:val="none"/>
          <w:lang w:eastAsia="zh-CN"/>
        </w:rPr>
        <w:t>。</w:t>
      </w:r>
    </w:p>
    <w:p>
      <w:pPr>
        <w:pStyle w:val="7"/>
        <w:ind w:left="0" w:leftChars="0"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sz w:val="32"/>
          <w:szCs w:val="32"/>
          <w:lang w:val="en-US" w:eastAsia="zh-CN"/>
        </w:rPr>
        <w:t>14.</w:t>
      </w:r>
      <w:r>
        <w:rPr>
          <w:rFonts w:hint="eastAsia" w:ascii="仿宋_GB2312" w:hAnsi="仿宋_GB2312" w:eastAsia="仿宋_GB2312" w:cs="仿宋_GB2312"/>
          <w:b w:val="0"/>
          <w:bCs/>
          <w:sz w:val="32"/>
          <w:szCs w:val="32"/>
        </w:rPr>
        <w:t>住房保障支出（类）住房改革支出（款）住房公积金（项）</w:t>
      </w:r>
      <w:r>
        <w:rPr>
          <w:rFonts w:hint="eastAsia" w:ascii="仿宋_GB2312" w:hAnsi="仿宋_GB2312" w:eastAsia="仿宋_GB2312" w:cs="仿宋_GB2312"/>
          <w:b w:val="0"/>
          <w:bCs/>
          <w:sz w:val="32"/>
          <w:szCs w:val="32"/>
          <w:lang w:eastAsia="zh-CN"/>
        </w:rPr>
        <w:t>：</w:t>
      </w:r>
      <w:r>
        <w:rPr>
          <w:rStyle w:val="18"/>
          <w:rFonts w:hint="eastAsia" w:ascii="仿宋_GB2312" w:hAnsi="仿宋_GB2312" w:eastAsia="仿宋_GB2312" w:cs="仿宋_GB2312"/>
          <w:b w:val="0"/>
          <w:bCs/>
          <w:color w:val="auto"/>
          <w:sz w:val="32"/>
          <w:szCs w:val="32"/>
          <w:highlight w:val="none"/>
        </w:rPr>
        <w:t>支出决算为</w:t>
      </w:r>
      <w:r>
        <w:rPr>
          <w:rStyle w:val="18"/>
          <w:rFonts w:hint="eastAsia" w:ascii="仿宋_GB2312" w:hAnsi="仿宋_GB2312" w:eastAsia="仿宋_GB2312" w:cs="仿宋_GB2312"/>
          <w:b w:val="0"/>
          <w:bCs/>
          <w:color w:val="auto"/>
          <w:sz w:val="32"/>
          <w:szCs w:val="32"/>
          <w:highlight w:val="none"/>
          <w:lang w:val="en-US" w:eastAsia="zh-CN"/>
        </w:rPr>
        <w:t>177.30</w:t>
      </w:r>
      <w:r>
        <w:rPr>
          <w:rStyle w:val="18"/>
          <w:rFonts w:hint="eastAsia" w:ascii="仿宋_GB2312" w:hAnsi="仿宋_GB2312" w:eastAsia="仿宋_GB2312" w:cs="仿宋_GB2312"/>
          <w:b w:val="0"/>
          <w:bCs/>
          <w:color w:val="auto"/>
          <w:sz w:val="32"/>
          <w:szCs w:val="32"/>
          <w:highlight w:val="none"/>
        </w:rPr>
        <w:t>万元，完成预算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Style w:val="18"/>
          <w:rFonts w:hint="eastAsia" w:ascii="仿宋_GB2312" w:hAnsi="仿宋_GB2312" w:eastAsia="仿宋_GB2312" w:cs="仿宋_GB2312"/>
          <w:b w:val="0"/>
          <w:bCs/>
          <w:color w:val="auto"/>
          <w:sz w:val="32"/>
          <w:szCs w:val="32"/>
          <w:highlight w:val="none"/>
          <w:lang w:eastAsia="zh-CN"/>
        </w:rPr>
        <w:t>。</w:t>
      </w:r>
      <w:r>
        <w:rPr>
          <w:rStyle w:val="18"/>
          <w:rFonts w:hint="eastAsia" w:ascii="仿宋_GB2312" w:hAnsi="仿宋_GB2312" w:eastAsia="仿宋_GB2312" w:cs="仿宋_GB2312"/>
          <w:b w:val="0"/>
          <w:bCs/>
          <w:color w:val="auto"/>
          <w:sz w:val="32"/>
          <w:szCs w:val="32"/>
          <w:highlight w:val="none"/>
          <w:lang w:val="en-US" w:eastAsia="zh-CN"/>
        </w:rPr>
        <w:t xml:space="preserve">  </w:t>
      </w:r>
    </w:p>
    <w:p>
      <w:pPr>
        <w:tabs>
          <w:tab w:val="right" w:pos="8306"/>
        </w:tabs>
        <w:spacing w:line="600" w:lineRule="exact"/>
        <w:ind w:firstLine="640"/>
        <w:outlineLvl w:val="1"/>
        <w:rPr>
          <w:rStyle w:val="30"/>
          <w:color w:val="auto"/>
          <w:highlight w:val="none"/>
        </w:rPr>
      </w:pPr>
      <w:bookmarkStart w:id="81" w:name="_Toc15377214"/>
      <w:bookmarkStart w:id="82" w:name="_Toc15396608"/>
      <w:bookmarkStart w:id="83" w:name="_Toc479996594"/>
      <w:bookmarkStart w:id="84" w:name="_Toc34104150"/>
      <w:bookmarkStart w:id="85" w:name="_Toc1684342239"/>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81"/>
      <w:bookmarkEnd w:id="82"/>
      <w:bookmarkEnd w:id="83"/>
      <w:bookmarkEnd w:id="84"/>
      <w:bookmarkEnd w:id="85"/>
      <w:r>
        <w:rPr>
          <w:rStyle w:val="30"/>
          <w:rFonts w:ascii="黑体" w:hAnsi="黑体" w:eastAsia="黑体"/>
          <w:b w:val="0"/>
          <w:color w:val="auto"/>
          <w:highlight w:val="none"/>
        </w:rPr>
        <w:tab/>
      </w:r>
    </w:p>
    <w:p>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年一般公共预算财政拨款基本支出</w:t>
      </w:r>
      <w:r>
        <w:rPr>
          <w:rFonts w:hint="default" w:ascii="仿宋_GB2312" w:hAnsi="仿宋_GB2312" w:eastAsia="仿宋_GB2312" w:cs="仿宋_GB2312"/>
          <w:color w:val="auto"/>
          <w:sz w:val="32"/>
          <w:szCs w:val="32"/>
          <w:highlight w:val="none"/>
          <w:lang w:eastAsia="zh-CN"/>
        </w:rPr>
        <w:t>1895.25</w:t>
      </w:r>
      <w:r>
        <w:rPr>
          <w:rFonts w:hint="eastAsia" w:ascii="仿宋_GB2312" w:hAnsi="仿宋_GB2312" w:eastAsia="仿宋_GB2312" w:cs="仿宋_GB2312"/>
          <w:color w:val="auto"/>
          <w:sz w:val="32"/>
          <w:szCs w:val="32"/>
          <w:highlight w:val="none"/>
        </w:rPr>
        <w:t>万元，其中：</w:t>
      </w:r>
    </w:p>
    <w:p>
      <w:pPr>
        <w:spacing w:line="600" w:lineRule="exact"/>
        <w:ind w:firstLine="645"/>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default" w:ascii="仿宋_GB2312" w:hAnsi="仿宋_GB2312" w:eastAsia="仿宋_GB2312" w:cs="仿宋_GB2312"/>
          <w:color w:val="auto"/>
          <w:sz w:val="32"/>
          <w:szCs w:val="32"/>
          <w:highlight w:val="none"/>
          <w:lang w:eastAsia="zh-CN"/>
        </w:rPr>
        <w:t>1672.1</w:t>
      </w:r>
      <w:r>
        <w:rPr>
          <w:rFonts w:hint="eastAsia" w:ascii="仿宋_GB2312" w:hAnsi="仿宋_GB2312" w:eastAsia="仿宋_GB2312" w:cs="仿宋_GB2312"/>
          <w:color w:val="auto"/>
          <w:sz w:val="32"/>
          <w:szCs w:val="32"/>
          <w:highlight w:val="none"/>
        </w:rPr>
        <w:t>万元，主要包括：基本工资、津贴补贴、奖金、机关事业单位基本养老保险缴费、职业年金缴费、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其他社会保障缴费、住房公积金、其他工资福利支出、</w:t>
      </w:r>
      <w:r>
        <w:rPr>
          <w:rFonts w:hint="eastAsia" w:ascii="仿宋_GB2312" w:hAnsi="仿宋_GB2312" w:eastAsia="仿宋_GB2312" w:cs="仿宋_GB2312"/>
          <w:color w:val="auto"/>
          <w:sz w:val="32"/>
          <w:szCs w:val="32"/>
          <w:highlight w:val="none"/>
          <w:lang w:val="en-US" w:eastAsia="zh-CN"/>
        </w:rPr>
        <w:t>退职（役）费、</w:t>
      </w:r>
      <w:r>
        <w:rPr>
          <w:rFonts w:hint="eastAsia" w:ascii="仿宋_GB2312" w:hAnsi="仿宋_GB2312" w:eastAsia="仿宋_GB2312" w:cs="仿宋_GB2312"/>
          <w:color w:val="auto"/>
          <w:sz w:val="32"/>
          <w:szCs w:val="32"/>
          <w:highlight w:val="none"/>
        </w:rPr>
        <w:t>抚恤金、生活补助等。</w:t>
      </w:r>
    </w:p>
    <w:p>
      <w:pPr>
        <w:spacing w:line="600" w:lineRule="exact"/>
        <w:ind w:firstLine="645"/>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223.1</w:t>
      </w:r>
      <w:r>
        <w:rPr>
          <w:rFonts w:hint="default"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rPr>
        <w:t>万元，主要包括：办公费、印刷费、水费、电费、物业管理费、差旅费、培训费、公务接待费、劳务费、委托业务费、工会经费、福利费、公务用车运行维护费、其他交通费</w:t>
      </w:r>
      <w:r>
        <w:rPr>
          <w:rFonts w:hint="eastAsia" w:ascii="仿宋_GB2312" w:hAnsi="仿宋_GB2312" w:eastAsia="仿宋_GB2312" w:cs="仿宋_GB2312"/>
          <w:color w:val="auto"/>
          <w:sz w:val="32"/>
          <w:szCs w:val="32"/>
          <w:highlight w:val="none"/>
          <w:lang w:val="en-US" w:eastAsia="zh-CN"/>
        </w:rPr>
        <w:t>用</w:t>
      </w:r>
      <w:r>
        <w:rPr>
          <w:rFonts w:hint="eastAsia" w:ascii="仿宋_GB2312" w:hAnsi="仿宋_GB2312" w:eastAsia="仿宋_GB2312" w:cs="仿宋_GB2312"/>
          <w:color w:val="auto"/>
          <w:sz w:val="32"/>
          <w:szCs w:val="32"/>
          <w:highlight w:val="none"/>
        </w:rPr>
        <w:t>、其他商品和服务支出等。</w:t>
      </w:r>
    </w:p>
    <w:p>
      <w:pPr>
        <w:spacing w:line="600" w:lineRule="exact"/>
        <w:ind w:firstLine="640"/>
        <w:outlineLvl w:val="1"/>
        <w:rPr>
          <w:rStyle w:val="30"/>
          <w:rFonts w:ascii="黑体" w:hAnsi="黑体" w:eastAsia="黑体"/>
          <w:b w:val="0"/>
          <w:color w:val="auto"/>
          <w:highlight w:val="none"/>
        </w:rPr>
      </w:pPr>
      <w:bookmarkStart w:id="86" w:name="_Toc1758617122"/>
      <w:bookmarkStart w:id="87" w:name="_Toc484087507"/>
      <w:bookmarkStart w:id="88" w:name="_Toc1945123494"/>
      <w:bookmarkStart w:id="89" w:name="_Toc15396609"/>
      <w:bookmarkStart w:id="90" w:name="_Toc15377215"/>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bookmarkEnd w:id="86"/>
      <w:bookmarkEnd w:id="87"/>
      <w:bookmarkEnd w:id="88"/>
      <w:bookmarkEnd w:id="89"/>
      <w:bookmarkEnd w:id="90"/>
    </w:p>
    <w:p>
      <w:pPr>
        <w:spacing w:line="600" w:lineRule="exact"/>
        <w:ind w:firstLine="640"/>
        <w:outlineLvl w:val="2"/>
        <w:rPr>
          <w:rFonts w:hint="eastAsia" w:ascii="楷体_GB2312" w:hAnsi="楷体_GB2312" w:eastAsia="楷体_GB2312" w:cs="楷体_GB2312"/>
          <w:b w:val="0"/>
          <w:bCs/>
          <w:color w:val="auto"/>
          <w:sz w:val="32"/>
          <w:szCs w:val="32"/>
          <w:highlight w:val="none"/>
        </w:rPr>
      </w:pPr>
      <w:bookmarkStart w:id="91" w:name="_Toc1443636378"/>
      <w:bookmarkStart w:id="92" w:name="_Toc15377216"/>
      <w:bookmarkStart w:id="93" w:name="_Toc1117046433"/>
      <w:r>
        <w:rPr>
          <w:rFonts w:hint="eastAsia" w:ascii="楷体_GB2312" w:hAnsi="楷体_GB2312" w:eastAsia="楷体_GB2312" w:cs="楷体_GB2312"/>
          <w:b w:val="0"/>
          <w:bCs/>
          <w:color w:val="auto"/>
          <w:sz w:val="32"/>
          <w:szCs w:val="32"/>
          <w:highlight w:val="none"/>
        </w:rPr>
        <w:t>（一）“三公”经费财政拨款支出决算总体情况说明</w:t>
      </w:r>
      <w:bookmarkEnd w:id="91"/>
      <w:bookmarkEnd w:id="92"/>
      <w:bookmarkEnd w:id="93"/>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41.65</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w:t>
      </w:r>
      <w:r>
        <w:rPr>
          <w:rFonts w:hint="eastAsia" w:ascii="仿宋_GB2312" w:hAnsi="仿宋_GB2312" w:eastAsia="仿宋_GB2312" w:cs="仿宋_GB2312"/>
          <w:color w:val="auto"/>
          <w:sz w:val="32"/>
          <w:szCs w:val="32"/>
          <w:highlight w:val="none"/>
          <w:lang w:val="en-US" w:eastAsia="zh-CN"/>
        </w:rPr>
        <w:t>减少11.07万元，下降21%。</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000000"/>
          <w:sz w:val="32"/>
          <w:szCs w:val="32"/>
        </w:rPr>
        <w:t>我局严格执行留用车辆管理规定，严控“三公”经费支出</w:t>
      </w:r>
      <w:r>
        <w:rPr>
          <w:rFonts w:hint="eastAsia" w:ascii="仿宋_GB2312" w:hAnsi="仿宋_GB2312" w:eastAsia="仿宋_GB2312" w:cs="仿宋_GB2312"/>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94" w:name="_Toc714602678"/>
      <w:bookmarkStart w:id="95" w:name="_Toc15377217"/>
      <w:bookmarkStart w:id="96" w:name="_Toc698191562"/>
      <w:r>
        <w:rPr>
          <w:rFonts w:hint="eastAsia" w:ascii="楷体_GB2312" w:hAnsi="楷体_GB2312" w:eastAsia="楷体_GB2312" w:cs="楷体_GB2312"/>
          <w:b w:val="0"/>
          <w:bCs/>
          <w:color w:val="auto"/>
          <w:sz w:val="32"/>
          <w:szCs w:val="32"/>
          <w:highlight w:val="none"/>
        </w:rPr>
        <w:t>（二）“三公”经费财政拨款支出决算具体情况说明</w:t>
      </w:r>
      <w:bookmarkEnd w:id="94"/>
      <w:bookmarkEnd w:id="95"/>
      <w:bookmarkEnd w:id="96"/>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37.79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w:t>
      </w:r>
      <w:r>
        <w:rPr>
          <w:rFonts w:hint="default"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3.86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%。具体情况如下：</w:t>
      </w:r>
    </w:p>
    <w:p>
      <w:pPr>
        <w:pStyle w:val="2"/>
        <w:rPr>
          <w:rFonts w:hint="eastAsia" w:eastAsia="仿宋"/>
          <w:lang w:eastAsia="zh-CN"/>
        </w:rPr>
      </w:pPr>
      <w:r>
        <w:rPr>
          <w:rFonts w:hint="eastAsia" w:eastAsia="仿宋"/>
          <w:lang w:eastAsia="zh-CN"/>
        </w:rPr>
        <w:drawing>
          <wp:inline distT="0" distB="0" distL="114300" distR="114300">
            <wp:extent cx="5202555" cy="2604770"/>
            <wp:effectExtent l="0" t="0" r="17145" b="5080"/>
            <wp:docPr id="17" name="图片 17" descr="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 name="图片 17" descr="7"/>
                    <pic:cNvPicPr>
                      <a:picLocks noChangeAspect="true"/>
                    </pic:cNvPicPr>
                  </pic:nvPicPr>
                  <pic:blipFill>
                    <a:blip r:embed="rId13"/>
                    <a:stretch>
                      <a:fillRect/>
                    </a:stretch>
                  </pic:blipFill>
                  <pic:spPr>
                    <a:xfrm>
                      <a:off x="0" y="0"/>
                      <a:ext cx="5202555" cy="2604770"/>
                    </a:xfrm>
                    <a:prstGeom prst="rect">
                      <a:avLst/>
                    </a:prstGeom>
                  </pic:spPr>
                </pic:pic>
              </a:graphicData>
            </a:graphic>
          </wp:inline>
        </w:drawing>
      </w:r>
    </w:p>
    <w:p>
      <w:pPr>
        <w:pStyle w:val="7"/>
      </w:pPr>
    </w:p>
    <w:p>
      <w:pPr>
        <w:spacing w:line="600" w:lineRule="exact"/>
        <w:ind w:firstLine="1292" w:firstLineChars="404"/>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（图7：“三公”经费财政拨款支出结构</w:t>
      </w:r>
      <w:r>
        <w:rPr>
          <w:rFonts w:hint="eastAsia" w:ascii="仿宋" w:hAnsi="仿宋" w:eastAsia="仿宋"/>
          <w:color w:val="auto"/>
          <w:sz w:val="32"/>
          <w:szCs w:val="32"/>
          <w:highlight w:val="none"/>
          <w:lang w:eastAsia="zh-CN"/>
        </w:rPr>
        <w:t>）</w:t>
      </w:r>
    </w:p>
    <w:p>
      <w:pPr>
        <w:spacing w:line="600" w:lineRule="exact"/>
        <w:ind w:firstLine="64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auto"/>
          <w:sz w:val="32"/>
          <w:szCs w:val="32"/>
          <w:highlight w:val="none"/>
        </w:rPr>
        <w:t>1.因公出国（境）经费支出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Style w:val="18"/>
          <w:rFonts w:hint="eastAsia" w:ascii="仿宋_GB2312" w:hAnsi="仿宋_GB2312" w:eastAsia="仿宋_GB2312" w:cs="仿宋_GB2312"/>
          <w:b w:val="0"/>
          <w:bCs/>
          <w:color w:val="auto"/>
          <w:sz w:val="32"/>
          <w:szCs w:val="32"/>
          <w:highlight w:val="none"/>
          <w:lang w:val="en-US" w:eastAsia="zh-CN"/>
        </w:rPr>
        <w:t>年初未安排预算</w:t>
      </w:r>
      <w:r>
        <w:rPr>
          <w:rStyle w:val="18"/>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因公出国（境）支出决算</w:t>
      </w:r>
      <w:r>
        <w:rPr>
          <w:rFonts w:hint="eastAsia" w:ascii="仿宋_GB2312" w:hAnsi="仿宋_GB2312" w:eastAsia="仿宋_GB2312" w:cs="仿宋_GB2312"/>
          <w:b w:val="0"/>
          <w:bCs/>
          <w:color w:val="auto"/>
          <w:sz w:val="32"/>
          <w:szCs w:val="32"/>
          <w:highlight w:val="none"/>
          <w:lang w:val="en-US" w:eastAsia="zh-CN"/>
        </w:rPr>
        <w:t>较</w:t>
      </w:r>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val="en-US" w:eastAsia="zh-CN"/>
        </w:rPr>
        <w:t>无变化</w:t>
      </w:r>
      <w:r>
        <w:rPr>
          <w:rFonts w:hint="eastAsia" w:ascii="仿宋_GB2312" w:hAnsi="仿宋_GB2312" w:eastAsia="仿宋_GB2312" w:cs="仿宋_GB2312"/>
          <w:b w:val="0"/>
          <w:bCs/>
          <w:color w:val="auto"/>
          <w:sz w:val="32"/>
          <w:szCs w:val="32"/>
          <w:highlight w:val="none"/>
        </w:rPr>
        <w:t>。</w:t>
      </w:r>
    </w:p>
    <w:p>
      <w:pPr>
        <w:spacing w:line="600" w:lineRule="exact"/>
        <w:ind w:firstLine="64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2.公务用车购置及运行维护费支出</w:t>
      </w:r>
      <w:r>
        <w:rPr>
          <w:rFonts w:hint="eastAsia" w:ascii="仿宋_GB2312" w:hAnsi="仿宋_GB2312" w:eastAsia="仿宋_GB2312" w:cs="仿宋_GB2312"/>
          <w:b w:val="0"/>
          <w:bCs/>
          <w:color w:val="auto"/>
          <w:sz w:val="32"/>
          <w:szCs w:val="32"/>
          <w:highlight w:val="none"/>
          <w:lang w:val="en-US" w:eastAsia="zh-CN"/>
        </w:rPr>
        <w:t>37.79</w:t>
      </w:r>
      <w:r>
        <w:rPr>
          <w:rFonts w:hint="eastAsia" w:ascii="仿宋_GB2312" w:hAnsi="仿宋_GB2312" w:eastAsia="仿宋_GB2312" w:cs="仿宋_GB2312"/>
          <w:b w:val="0"/>
          <w:bCs/>
          <w:color w:val="auto"/>
          <w:sz w:val="32"/>
          <w:szCs w:val="32"/>
          <w:highlight w:val="none"/>
        </w:rPr>
        <w:t>万元,</w:t>
      </w:r>
      <w:r>
        <w:rPr>
          <w:rStyle w:val="18"/>
          <w:rFonts w:hint="eastAsia" w:ascii="仿宋_GB2312" w:hAnsi="仿宋_GB2312" w:eastAsia="仿宋_GB2312" w:cs="仿宋_GB2312"/>
          <w:b w:val="0"/>
          <w:bCs/>
          <w:color w:val="auto"/>
          <w:sz w:val="32"/>
          <w:szCs w:val="32"/>
          <w:highlight w:val="none"/>
        </w:rPr>
        <w:t>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公务用车购置及运行维护费支出决算比20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年减少</w:t>
      </w:r>
      <w:r>
        <w:rPr>
          <w:rFonts w:hint="eastAsia" w:ascii="仿宋_GB2312" w:hAnsi="仿宋_GB2312" w:eastAsia="仿宋_GB2312" w:cs="仿宋_GB2312"/>
          <w:b w:val="0"/>
          <w:bCs/>
          <w:color w:val="auto"/>
          <w:sz w:val="32"/>
          <w:szCs w:val="32"/>
          <w:highlight w:val="none"/>
          <w:lang w:val="en-US" w:eastAsia="zh-CN"/>
        </w:rPr>
        <w:t>8.68</w:t>
      </w:r>
      <w:r>
        <w:rPr>
          <w:rFonts w:hint="eastAsia" w:ascii="仿宋_GB2312" w:hAnsi="仿宋_GB2312" w:eastAsia="仿宋_GB2312" w:cs="仿宋_GB2312"/>
          <w:b w:val="0"/>
          <w:bCs/>
          <w:color w:val="auto"/>
          <w:sz w:val="32"/>
          <w:szCs w:val="32"/>
          <w:highlight w:val="none"/>
        </w:rPr>
        <w:t>万元，下降</w:t>
      </w:r>
      <w:r>
        <w:rPr>
          <w:rFonts w:hint="eastAsia" w:ascii="仿宋_GB2312" w:hAnsi="仿宋_GB2312" w:eastAsia="仿宋_GB2312" w:cs="仿宋_GB2312"/>
          <w:b w:val="0"/>
          <w:bCs/>
          <w:color w:val="auto"/>
          <w:sz w:val="32"/>
          <w:szCs w:val="32"/>
          <w:highlight w:val="none"/>
          <w:lang w:val="en-US" w:eastAsia="zh-CN"/>
        </w:rPr>
        <w:t>18.68</w:t>
      </w:r>
      <w:r>
        <w:rPr>
          <w:rFonts w:hint="eastAsia" w:ascii="仿宋_GB2312" w:hAnsi="仿宋_GB2312" w:eastAsia="仿宋_GB2312" w:cs="仿宋_GB2312"/>
          <w:b w:val="0"/>
          <w:bCs/>
          <w:color w:val="auto"/>
          <w:sz w:val="32"/>
          <w:szCs w:val="32"/>
          <w:highlight w:val="none"/>
        </w:rPr>
        <w:t>%。主要原因是</w:t>
      </w:r>
      <w:r>
        <w:rPr>
          <w:rFonts w:hint="eastAsia" w:ascii="仿宋_GB2312" w:hAnsi="仿宋_GB2312" w:eastAsia="仿宋_GB2312" w:cs="仿宋_GB2312"/>
          <w:b w:val="0"/>
          <w:bCs/>
          <w:color w:val="000000"/>
          <w:sz w:val="32"/>
          <w:szCs w:val="32"/>
        </w:rPr>
        <w:t>我局严格执行</w:t>
      </w:r>
      <w:r>
        <w:rPr>
          <w:rFonts w:hint="eastAsia" w:ascii="仿宋_GB2312" w:hAnsi="仿宋_GB2312" w:eastAsia="仿宋_GB2312" w:cs="仿宋_GB2312"/>
          <w:b w:val="0"/>
          <w:bCs/>
          <w:color w:val="000000"/>
          <w:sz w:val="32"/>
          <w:szCs w:val="32"/>
          <w:lang w:val="en-US" w:eastAsia="zh-CN"/>
        </w:rPr>
        <w:t>公务用车</w:t>
      </w:r>
      <w:r>
        <w:rPr>
          <w:rFonts w:hint="eastAsia" w:ascii="仿宋_GB2312" w:hAnsi="仿宋_GB2312" w:eastAsia="仿宋_GB2312" w:cs="仿宋_GB2312"/>
          <w:b w:val="0"/>
          <w:bCs/>
          <w:color w:val="000000"/>
          <w:sz w:val="32"/>
          <w:szCs w:val="32"/>
        </w:rPr>
        <w:t>管理规定</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严控车辆支出。</w:t>
      </w:r>
    </w:p>
    <w:p>
      <w:pPr>
        <w:spacing w:line="60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其中：公务用车购置支出</w:t>
      </w:r>
      <w:r>
        <w:rPr>
          <w:rFonts w:hint="eastAsia" w:ascii="仿宋_GB2312" w:hAnsi="仿宋_GB2312" w:eastAsia="仿宋_GB2312" w:cs="仿宋_GB2312"/>
          <w:b w:val="0"/>
          <w:bCs/>
          <w:color w:val="auto"/>
          <w:sz w:val="32"/>
          <w:szCs w:val="32"/>
          <w:highlight w:val="none"/>
          <w:lang w:val="en-US" w:eastAsia="zh-CN"/>
        </w:rPr>
        <w:t>22.79</w:t>
      </w:r>
      <w:r>
        <w:rPr>
          <w:rFonts w:hint="eastAsia" w:ascii="仿宋_GB2312" w:hAnsi="仿宋_GB2312" w:eastAsia="仿宋_GB2312" w:cs="仿宋_GB2312"/>
          <w:b w:val="0"/>
          <w:bCs/>
          <w:color w:val="auto"/>
          <w:sz w:val="32"/>
          <w:szCs w:val="32"/>
          <w:highlight w:val="none"/>
        </w:rPr>
        <w:t>万元。全年按规定更新购置公务用车</w:t>
      </w: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辆，其中：</w:t>
      </w:r>
      <w:r>
        <w:rPr>
          <w:rFonts w:hint="eastAsia" w:ascii="仿宋_GB2312" w:hAnsi="仿宋_GB2312" w:eastAsia="仿宋_GB2312" w:cs="仿宋_GB2312"/>
          <w:b w:val="0"/>
          <w:bCs/>
          <w:color w:val="auto"/>
          <w:sz w:val="32"/>
          <w:szCs w:val="32"/>
          <w:highlight w:val="none"/>
          <w:lang w:val="en-US" w:eastAsia="zh-CN"/>
        </w:rPr>
        <w:t>小型客车1</w:t>
      </w:r>
      <w:r>
        <w:rPr>
          <w:rFonts w:hint="eastAsia" w:ascii="仿宋_GB2312" w:hAnsi="仿宋_GB2312" w:eastAsia="仿宋_GB2312" w:cs="仿宋_GB2312"/>
          <w:b w:val="0"/>
          <w:bCs/>
          <w:color w:val="auto"/>
          <w:sz w:val="32"/>
          <w:szCs w:val="32"/>
          <w:highlight w:val="none"/>
        </w:rPr>
        <w:t>辆、金额</w:t>
      </w:r>
      <w:r>
        <w:rPr>
          <w:rFonts w:hint="eastAsia" w:ascii="仿宋_GB2312" w:hAnsi="仿宋_GB2312" w:eastAsia="仿宋_GB2312" w:cs="仿宋_GB2312"/>
          <w:b w:val="0"/>
          <w:bCs/>
          <w:color w:val="auto"/>
          <w:sz w:val="32"/>
          <w:szCs w:val="32"/>
          <w:highlight w:val="none"/>
          <w:lang w:val="en-US" w:eastAsia="zh-CN"/>
        </w:rPr>
        <w:t>22.79</w:t>
      </w:r>
      <w:r>
        <w:rPr>
          <w:rFonts w:hint="eastAsia" w:ascii="仿宋_GB2312" w:hAnsi="仿宋_GB2312" w:eastAsia="仿宋_GB2312" w:cs="仿宋_GB2312"/>
          <w:b w:val="0"/>
          <w:bCs/>
          <w:color w:val="auto"/>
          <w:sz w:val="32"/>
          <w:szCs w:val="32"/>
          <w:highlight w:val="none"/>
        </w:rPr>
        <w:t>万元，主要用于</w:t>
      </w:r>
      <w:r>
        <w:rPr>
          <w:rFonts w:hint="eastAsia" w:ascii="仿宋_GB2312" w:hAnsi="仿宋_GB2312" w:eastAsia="仿宋_GB2312" w:cs="仿宋_GB2312"/>
          <w:b w:val="0"/>
          <w:bCs/>
          <w:color w:val="000000"/>
          <w:sz w:val="32"/>
          <w:szCs w:val="32"/>
        </w:rPr>
        <w:t>开展单位执法执勤工作</w:t>
      </w:r>
      <w:r>
        <w:rPr>
          <w:rFonts w:hint="eastAsia" w:ascii="仿宋_GB2312" w:hAnsi="仿宋_GB2312" w:eastAsia="仿宋_GB2312" w:cs="仿宋_GB2312"/>
          <w:b w:val="0"/>
          <w:bCs/>
          <w:color w:val="auto"/>
          <w:sz w:val="32"/>
          <w:szCs w:val="32"/>
          <w:highlight w:val="none"/>
        </w:rPr>
        <w:t>。截至20</w:t>
      </w:r>
      <w:r>
        <w:rPr>
          <w:rFonts w:hint="eastAsia" w:ascii="仿宋_GB2312" w:hAnsi="仿宋_GB2312" w:eastAsia="仿宋_GB2312" w:cs="仿宋_GB2312"/>
          <w:b w:val="0"/>
          <w:bCs/>
          <w:color w:val="auto"/>
          <w:sz w:val="32"/>
          <w:szCs w:val="32"/>
          <w:highlight w:val="none"/>
          <w:lang w:val="en-US" w:eastAsia="zh-CN"/>
        </w:rPr>
        <w:t>22</w:t>
      </w:r>
      <w:r>
        <w:rPr>
          <w:rFonts w:hint="eastAsia" w:ascii="仿宋_GB2312" w:hAnsi="仿宋_GB2312" w:eastAsia="仿宋_GB2312" w:cs="仿宋_GB2312"/>
          <w:b w:val="0"/>
          <w:bCs/>
          <w:color w:val="auto"/>
          <w:sz w:val="32"/>
          <w:szCs w:val="32"/>
          <w:highlight w:val="none"/>
        </w:rPr>
        <w:t>年12月底，单位共有公务用车</w:t>
      </w: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辆，其中：越野车</w:t>
      </w: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辆、</w:t>
      </w:r>
      <w:r>
        <w:rPr>
          <w:rFonts w:hint="eastAsia" w:ascii="仿宋_GB2312" w:hAnsi="仿宋_GB2312" w:eastAsia="仿宋_GB2312" w:cs="仿宋_GB2312"/>
          <w:b w:val="0"/>
          <w:bCs/>
          <w:color w:val="auto"/>
          <w:sz w:val="32"/>
          <w:szCs w:val="32"/>
          <w:highlight w:val="none"/>
          <w:lang w:val="en-US" w:eastAsia="zh-CN"/>
        </w:rPr>
        <w:t>商务车1辆，小型客车2</w:t>
      </w:r>
      <w:r>
        <w:rPr>
          <w:rFonts w:hint="eastAsia" w:ascii="仿宋_GB2312" w:hAnsi="仿宋_GB2312" w:eastAsia="仿宋_GB2312" w:cs="仿宋_GB2312"/>
          <w:b w:val="0"/>
          <w:bCs/>
          <w:color w:val="auto"/>
          <w:sz w:val="32"/>
          <w:szCs w:val="32"/>
          <w:highlight w:val="none"/>
        </w:rPr>
        <w:t>辆。</w:t>
      </w:r>
    </w:p>
    <w:p>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公务用车运行维护费支出</w:t>
      </w:r>
      <w:r>
        <w:rPr>
          <w:rFonts w:hint="eastAsia" w:ascii="仿宋_GB2312" w:hAnsi="仿宋_GB2312" w:eastAsia="仿宋_GB2312" w:cs="仿宋_GB2312"/>
          <w:b w:val="0"/>
          <w:bCs/>
          <w:color w:val="auto"/>
          <w:sz w:val="32"/>
          <w:szCs w:val="32"/>
          <w:highlight w:val="none"/>
          <w:lang w:val="en-US" w:eastAsia="zh-CN"/>
        </w:rPr>
        <w:t>15</w:t>
      </w:r>
      <w:r>
        <w:rPr>
          <w:rFonts w:hint="eastAsia" w:ascii="仿宋_GB2312" w:hAnsi="仿宋_GB2312" w:eastAsia="仿宋_GB2312" w:cs="仿宋_GB2312"/>
          <w:b w:val="0"/>
          <w:bCs/>
          <w:color w:val="auto"/>
          <w:sz w:val="32"/>
          <w:szCs w:val="32"/>
          <w:highlight w:val="none"/>
        </w:rPr>
        <w:t>万元。主要用于</w:t>
      </w:r>
      <w:r>
        <w:rPr>
          <w:rFonts w:hint="eastAsia" w:ascii="仿宋_GB2312" w:hAnsi="仿宋_GB2312" w:eastAsia="仿宋_GB2312" w:cs="仿宋_GB2312"/>
          <w:b w:val="0"/>
          <w:bCs/>
          <w:sz w:val="32"/>
          <w:szCs w:val="32"/>
        </w:rPr>
        <w:t>普法宣传、社区矫正、安置帮教、法律援助、人民调解、医患纠纷调解、</w:t>
      </w:r>
      <w:r>
        <w:rPr>
          <w:rFonts w:hint="eastAsia" w:ascii="仿宋_GB2312" w:hAnsi="仿宋_GB2312" w:eastAsia="仿宋_GB2312" w:cs="仿宋_GB2312"/>
          <w:b w:val="0"/>
          <w:bCs/>
          <w:sz w:val="32"/>
          <w:szCs w:val="32"/>
          <w:lang w:val="en-US" w:eastAsia="zh-CN"/>
        </w:rPr>
        <w:t>乡村振兴</w:t>
      </w:r>
      <w:r>
        <w:rPr>
          <w:rFonts w:hint="eastAsia" w:ascii="仿宋_GB2312" w:hAnsi="仿宋_GB2312" w:eastAsia="仿宋_GB2312" w:cs="仿宋_GB2312"/>
          <w:b w:val="0"/>
          <w:bCs/>
          <w:color w:val="auto"/>
          <w:sz w:val="32"/>
          <w:szCs w:val="32"/>
          <w:highlight w:val="none"/>
        </w:rPr>
        <w:t>等所需的公务用车燃料费、维修费、过路过桥费、保险费等支出。</w:t>
      </w:r>
    </w:p>
    <w:p>
      <w:pP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3.公务接待费支出</w:t>
      </w:r>
      <w:r>
        <w:rPr>
          <w:rFonts w:hint="eastAsia" w:ascii="仿宋_GB2312" w:hAnsi="仿宋_GB2312" w:eastAsia="仿宋_GB2312" w:cs="仿宋_GB2312"/>
          <w:b w:val="0"/>
          <w:bCs/>
          <w:color w:val="auto"/>
          <w:sz w:val="32"/>
          <w:szCs w:val="32"/>
          <w:highlight w:val="none"/>
          <w:lang w:val="en-US" w:eastAsia="zh-CN"/>
        </w:rPr>
        <w:t>3.86</w:t>
      </w:r>
      <w:r>
        <w:rPr>
          <w:rFonts w:hint="eastAsia" w:ascii="仿宋_GB2312" w:hAnsi="仿宋_GB2312" w:eastAsia="仿宋_GB2312" w:cs="仿宋_GB2312"/>
          <w:b w:val="0"/>
          <w:bCs/>
          <w:color w:val="auto"/>
          <w:sz w:val="32"/>
          <w:szCs w:val="32"/>
          <w:highlight w:val="none"/>
        </w:rPr>
        <w:t>万元，</w:t>
      </w:r>
      <w:r>
        <w:rPr>
          <w:rStyle w:val="18"/>
          <w:rFonts w:hint="eastAsia" w:ascii="仿宋_GB2312" w:hAnsi="仿宋_GB2312" w:eastAsia="仿宋_GB2312" w:cs="仿宋_GB2312"/>
          <w:b w:val="0"/>
          <w:bCs/>
          <w:color w:val="auto"/>
          <w:sz w:val="32"/>
          <w:szCs w:val="32"/>
          <w:highlight w:val="none"/>
        </w:rPr>
        <w:t>完成预算</w:t>
      </w:r>
      <w:r>
        <w:rPr>
          <w:rStyle w:val="18"/>
          <w:rFonts w:hint="eastAsia" w:ascii="仿宋_GB2312" w:hAnsi="仿宋_GB2312" w:eastAsia="仿宋_GB2312" w:cs="仿宋_GB2312"/>
          <w:b w:val="0"/>
          <w:bCs/>
          <w:color w:val="auto"/>
          <w:sz w:val="32"/>
          <w:szCs w:val="32"/>
          <w:highlight w:val="none"/>
          <w:lang w:val="en-US" w:eastAsia="zh-CN"/>
        </w:rPr>
        <w:t>100</w:t>
      </w:r>
      <w:r>
        <w:rPr>
          <w:rStyle w:val="18"/>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公务接待费支出决算比20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年减少</w:t>
      </w:r>
      <w:r>
        <w:rPr>
          <w:rFonts w:hint="eastAsia" w:ascii="仿宋_GB2312" w:hAnsi="仿宋_GB2312" w:eastAsia="仿宋_GB2312" w:cs="仿宋_GB2312"/>
          <w:b w:val="0"/>
          <w:bCs/>
          <w:color w:val="auto"/>
          <w:sz w:val="32"/>
          <w:szCs w:val="32"/>
          <w:highlight w:val="none"/>
          <w:lang w:val="en-US" w:eastAsia="zh-CN"/>
        </w:rPr>
        <w:t>2.39</w:t>
      </w:r>
      <w:r>
        <w:rPr>
          <w:rFonts w:hint="eastAsia" w:ascii="仿宋_GB2312" w:hAnsi="仿宋_GB2312" w:eastAsia="仿宋_GB2312" w:cs="仿宋_GB2312"/>
          <w:b w:val="0"/>
          <w:bCs/>
          <w:color w:val="auto"/>
          <w:sz w:val="32"/>
          <w:szCs w:val="32"/>
          <w:highlight w:val="none"/>
        </w:rPr>
        <w:t>万元，下降</w:t>
      </w:r>
      <w:r>
        <w:rPr>
          <w:rFonts w:hint="eastAsia" w:ascii="仿宋_GB2312" w:hAnsi="仿宋_GB2312" w:eastAsia="仿宋_GB2312" w:cs="仿宋_GB2312"/>
          <w:b w:val="0"/>
          <w:bCs/>
          <w:color w:val="auto"/>
          <w:sz w:val="32"/>
          <w:szCs w:val="32"/>
          <w:highlight w:val="none"/>
          <w:lang w:val="en-US" w:eastAsia="zh-CN"/>
        </w:rPr>
        <w:t>38.24</w:t>
      </w:r>
      <w:r>
        <w:rPr>
          <w:rFonts w:hint="eastAsia" w:ascii="仿宋_GB2312" w:hAnsi="仿宋_GB2312" w:eastAsia="仿宋_GB2312" w:cs="仿宋_GB2312"/>
          <w:b w:val="0"/>
          <w:bCs/>
          <w:color w:val="auto"/>
          <w:sz w:val="32"/>
          <w:szCs w:val="32"/>
          <w:highlight w:val="none"/>
        </w:rPr>
        <w:t>%。主要原因是</w:t>
      </w:r>
      <w:r>
        <w:rPr>
          <w:rFonts w:hint="eastAsia" w:ascii="仿宋_GB2312" w:hAnsi="仿宋_GB2312" w:eastAsia="仿宋_GB2312" w:cs="仿宋_GB2312"/>
          <w:b w:val="0"/>
          <w:bCs/>
          <w:sz w:val="32"/>
          <w:szCs w:val="32"/>
        </w:rPr>
        <w:t>我局严格控制公务接待费支出，厉行节约，减少不必</w:t>
      </w:r>
      <w:r>
        <w:rPr>
          <w:rFonts w:hint="eastAsia" w:ascii="仿宋_GB2312" w:hAnsi="仿宋_GB2312" w:eastAsia="仿宋_GB2312" w:cs="仿宋_GB2312"/>
          <w:b w:val="0"/>
          <w:bCs/>
          <w:color w:val="000000"/>
          <w:sz w:val="32"/>
          <w:szCs w:val="32"/>
        </w:rPr>
        <w:t>要接待，杜绝铺张</w:t>
      </w:r>
      <w:r>
        <w:rPr>
          <w:rFonts w:hint="eastAsia" w:ascii="仿宋_GB2312" w:hAnsi="仿宋_GB2312" w:eastAsia="仿宋_GB2312" w:cs="仿宋_GB2312"/>
          <w:b w:val="0"/>
          <w:bCs/>
          <w:sz w:val="32"/>
          <w:szCs w:val="32"/>
        </w:rPr>
        <w:t>浪费</w:t>
      </w:r>
      <w:r>
        <w:rPr>
          <w:rFonts w:hint="eastAsia" w:ascii="仿宋_GB2312" w:hAnsi="仿宋_GB2312" w:eastAsia="仿宋_GB2312" w:cs="仿宋_GB2312"/>
          <w:b w:val="0"/>
          <w:bCs/>
          <w:color w:val="auto"/>
          <w:sz w:val="32"/>
          <w:szCs w:val="32"/>
          <w:highlight w:val="none"/>
        </w:rPr>
        <w:t>。其中：</w:t>
      </w:r>
    </w:p>
    <w:p>
      <w:pPr>
        <w:spacing w:line="56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国内公务接待支出</w:t>
      </w:r>
      <w:r>
        <w:rPr>
          <w:rFonts w:hint="eastAsia" w:ascii="仿宋_GB2312" w:hAnsi="仿宋_GB2312" w:eastAsia="仿宋_GB2312" w:cs="仿宋_GB2312"/>
          <w:b w:val="0"/>
          <w:bCs/>
          <w:color w:val="auto"/>
          <w:sz w:val="32"/>
          <w:szCs w:val="32"/>
          <w:highlight w:val="none"/>
          <w:lang w:val="en-US" w:eastAsia="zh-CN"/>
        </w:rPr>
        <w:t>3.86</w:t>
      </w:r>
      <w:r>
        <w:rPr>
          <w:rFonts w:hint="eastAsia" w:ascii="仿宋_GB2312" w:hAnsi="仿宋_GB2312" w:eastAsia="仿宋_GB2312" w:cs="仿宋_GB2312"/>
          <w:b w:val="0"/>
          <w:bCs/>
          <w:color w:val="auto"/>
          <w:sz w:val="32"/>
          <w:szCs w:val="32"/>
          <w:highlight w:val="none"/>
        </w:rPr>
        <w:t>万元，主要用</w:t>
      </w:r>
      <w:r>
        <w:rPr>
          <w:rFonts w:hint="eastAsia" w:ascii="仿宋_GB2312" w:hAnsi="仿宋_GB2312" w:eastAsia="仿宋_GB2312" w:cs="仿宋_GB2312"/>
          <w:b w:val="0"/>
          <w:bCs/>
          <w:color w:val="auto"/>
          <w:sz w:val="32"/>
          <w:szCs w:val="32"/>
          <w:highlight w:val="none"/>
          <w:lang w:val="en-US" w:eastAsia="zh-CN"/>
        </w:rPr>
        <w:t>于</w:t>
      </w:r>
      <w:r>
        <w:rPr>
          <w:rFonts w:hint="eastAsia" w:ascii="仿宋_GB2312" w:hAnsi="仿宋_GB2312" w:eastAsia="仿宋_GB2312" w:cs="仿宋_GB2312"/>
          <w:b w:val="0"/>
          <w:bCs/>
          <w:color w:val="auto"/>
          <w:sz w:val="32"/>
          <w:szCs w:val="32"/>
          <w:highlight w:val="none"/>
        </w:rPr>
        <w:t>执行公务、开展业务活动开支的用餐费。国内公务接待</w:t>
      </w:r>
      <w:r>
        <w:rPr>
          <w:rFonts w:hint="eastAsia" w:ascii="仿宋_GB2312" w:hAnsi="仿宋_GB2312" w:eastAsia="仿宋_GB2312" w:cs="仿宋_GB2312"/>
          <w:b w:val="0"/>
          <w:bCs/>
          <w:color w:val="auto"/>
          <w:sz w:val="32"/>
          <w:szCs w:val="32"/>
          <w:highlight w:val="none"/>
          <w:lang w:val="en-US" w:eastAsia="zh-CN"/>
        </w:rPr>
        <w:t>40</w:t>
      </w:r>
      <w:r>
        <w:rPr>
          <w:rFonts w:hint="eastAsia" w:ascii="仿宋_GB2312" w:hAnsi="仿宋_GB2312" w:eastAsia="仿宋_GB2312" w:cs="仿宋_GB2312"/>
          <w:b w:val="0"/>
          <w:bCs/>
          <w:color w:val="auto"/>
          <w:sz w:val="32"/>
          <w:szCs w:val="32"/>
          <w:highlight w:val="none"/>
        </w:rPr>
        <w:t>批次，</w:t>
      </w:r>
      <w:r>
        <w:rPr>
          <w:rFonts w:hint="eastAsia" w:ascii="仿宋_GB2312" w:hAnsi="仿宋_GB2312" w:eastAsia="仿宋_GB2312" w:cs="仿宋_GB2312"/>
          <w:b w:val="0"/>
          <w:bCs/>
          <w:color w:val="auto"/>
          <w:sz w:val="32"/>
          <w:szCs w:val="32"/>
          <w:highlight w:val="none"/>
          <w:lang w:val="en-US" w:eastAsia="zh-CN"/>
        </w:rPr>
        <w:t>421</w:t>
      </w:r>
      <w:r>
        <w:rPr>
          <w:rFonts w:hint="eastAsia" w:ascii="仿宋_GB2312" w:hAnsi="仿宋_GB2312" w:eastAsia="仿宋_GB2312" w:cs="仿宋_GB2312"/>
          <w:b w:val="0"/>
          <w:bCs/>
          <w:color w:val="auto"/>
          <w:sz w:val="32"/>
          <w:szCs w:val="32"/>
          <w:highlight w:val="none"/>
        </w:rPr>
        <w:t>人次（不包括陪同人员），共计支出</w:t>
      </w:r>
      <w:r>
        <w:rPr>
          <w:rFonts w:hint="eastAsia" w:ascii="仿宋_GB2312" w:hAnsi="仿宋_GB2312" w:eastAsia="仿宋_GB2312" w:cs="仿宋_GB2312"/>
          <w:b w:val="0"/>
          <w:bCs/>
          <w:color w:val="auto"/>
          <w:sz w:val="32"/>
          <w:szCs w:val="32"/>
          <w:highlight w:val="none"/>
          <w:lang w:val="en-US" w:eastAsia="zh-CN"/>
        </w:rPr>
        <w:t>3.86</w:t>
      </w:r>
      <w:r>
        <w:rPr>
          <w:rFonts w:hint="eastAsia" w:ascii="仿宋_GB2312" w:hAnsi="仿宋_GB2312" w:eastAsia="仿宋_GB2312" w:cs="仿宋_GB2312"/>
          <w:b w:val="0"/>
          <w:bCs/>
          <w:color w:val="auto"/>
          <w:sz w:val="32"/>
          <w:szCs w:val="32"/>
          <w:highlight w:val="none"/>
        </w:rPr>
        <w:t>万元，具体内容包括：</w:t>
      </w:r>
      <w:r>
        <w:rPr>
          <w:rFonts w:hint="eastAsia" w:ascii="仿宋_GB2312" w:hAnsi="仿宋_GB2312" w:eastAsia="仿宋_GB2312" w:cs="仿宋_GB2312"/>
          <w:b w:val="0"/>
          <w:bCs/>
          <w:color w:val="000000"/>
          <w:sz w:val="32"/>
          <w:szCs w:val="32"/>
        </w:rPr>
        <w:t>基层司法、</w:t>
      </w:r>
      <w:r>
        <w:rPr>
          <w:rFonts w:hint="eastAsia" w:ascii="仿宋_GB2312" w:hAnsi="仿宋_GB2312" w:eastAsia="仿宋_GB2312" w:cs="仿宋_GB2312"/>
          <w:b w:val="0"/>
          <w:bCs/>
          <w:sz w:val="32"/>
          <w:szCs w:val="32"/>
        </w:rPr>
        <w:t>普法宣传、社区矫正、安置帮教、法律援助、人民调解等</w:t>
      </w:r>
      <w:r>
        <w:rPr>
          <w:rFonts w:hint="eastAsia" w:ascii="仿宋_GB2312" w:hAnsi="仿宋_GB2312" w:eastAsia="仿宋_GB2312" w:cs="仿宋_GB2312"/>
          <w:b w:val="0"/>
          <w:bCs/>
          <w:color w:val="000000"/>
          <w:sz w:val="32"/>
          <w:szCs w:val="32"/>
        </w:rPr>
        <w:t>业务交流及上级领导检查工作。</w:t>
      </w:r>
    </w:p>
    <w:p>
      <w:pPr>
        <w:spacing w:line="600" w:lineRule="exact"/>
        <w:ind w:firstLine="640"/>
        <w:outlineLvl w:val="1"/>
        <w:rPr>
          <w:rFonts w:hint="eastAsia" w:ascii="仿宋_GB2312" w:hAnsi="仿宋_GB2312" w:eastAsia="仿宋_GB2312" w:cs="仿宋_GB2312"/>
          <w:b w:val="0"/>
          <w:bCs/>
          <w:color w:val="auto"/>
          <w:sz w:val="32"/>
          <w:szCs w:val="32"/>
          <w:highlight w:val="none"/>
        </w:rPr>
      </w:pPr>
      <w:bookmarkStart w:id="97" w:name="_Toc55581980"/>
      <w:bookmarkStart w:id="98" w:name="_Toc1981417909"/>
      <w:bookmarkStart w:id="99" w:name="_Toc39262812"/>
      <w:r>
        <w:rPr>
          <w:rFonts w:hint="eastAsia" w:ascii="仿宋_GB2312" w:hAnsi="仿宋_GB2312" w:eastAsia="仿宋_GB2312" w:cs="仿宋_GB2312"/>
          <w:b w:val="0"/>
          <w:bCs/>
          <w:color w:val="auto"/>
          <w:sz w:val="32"/>
          <w:szCs w:val="32"/>
          <w:highlight w:val="none"/>
        </w:rPr>
        <w:t>外事接待支出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eastAsia="zh-CN"/>
        </w:rPr>
        <w:t>。</w:t>
      </w:r>
      <w:bookmarkEnd w:id="97"/>
      <w:bookmarkEnd w:id="98"/>
      <w:bookmarkEnd w:id="99"/>
      <w:bookmarkStart w:id="100" w:name="_Toc15377218"/>
      <w:bookmarkStart w:id="101" w:name="_Toc15396610"/>
    </w:p>
    <w:p>
      <w:pPr>
        <w:spacing w:line="600" w:lineRule="exact"/>
        <w:ind w:firstLine="640"/>
        <w:outlineLvl w:val="1"/>
        <w:rPr>
          <w:rStyle w:val="30"/>
          <w:rFonts w:ascii="黑体" w:hAnsi="黑体" w:eastAsia="黑体"/>
          <w:color w:val="auto"/>
          <w:highlight w:val="none"/>
        </w:rPr>
      </w:pPr>
      <w:bookmarkStart w:id="102" w:name="_Toc1854715412"/>
      <w:bookmarkStart w:id="103" w:name="_Toc38237092"/>
      <w:bookmarkStart w:id="104" w:name="_Toc855876937"/>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100"/>
      <w:bookmarkEnd w:id="101"/>
      <w:bookmarkEnd w:id="102"/>
      <w:bookmarkEnd w:id="103"/>
      <w:bookmarkEnd w:id="104"/>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年本单位未在政府性基金预算拨款安排</w:t>
      </w:r>
      <w:r>
        <w:rPr>
          <w:rFonts w:hint="eastAsia" w:ascii="仿宋_GB2312" w:eastAsia="仿宋_GB2312"/>
          <w:color w:val="auto"/>
          <w:sz w:val="32"/>
          <w:szCs w:val="32"/>
          <w:highlight w:val="none"/>
          <w:lang w:val="en-US" w:eastAsia="zh-CN"/>
        </w:rPr>
        <w:t>财政拨款</w:t>
      </w:r>
      <w:r>
        <w:rPr>
          <w:rFonts w:hint="eastAsia" w:ascii="仿宋_GB2312" w:eastAsia="仿宋_GB2312"/>
          <w:color w:val="auto"/>
          <w:sz w:val="32"/>
          <w:szCs w:val="32"/>
          <w:highlight w:val="none"/>
        </w:rPr>
        <w:t>支出</w:t>
      </w:r>
      <w:r>
        <w:rPr>
          <w:rFonts w:hint="eastAsia" w:ascii="仿宋_GB2312" w:eastAsia="仿宋_GB2312"/>
          <w:color w:val="auto"/>
          <w:sz w:val="32"/>
          <w:szCs w:val="32"/>
          <w:highlight w:val="none"/>
          <w:lang w:eastAsia="zh-CN"/>
        </w:rPr>
        <w:t>。</w:t>
      </w:r>
    </w:p>
    <w:p>
      <w:pPr>
        <w:numPr>
          <w:ilvl w:val="0"/>
          <w:numId w:val="3"/>
        </w:numPr>
        <w:spacing w:line="600" w:lineRule="exact"/>
        <w:ind w:firstLine="640"/>
        <w:outlineLvl w:val="1"/>
        <w:rPr>
          <w:rStyle w:val="30"/>
          <w:rFonts w:ascii="黑体" w:hAnsi="黑体" w:eastAsia="黑体"/>
          <w:b w:val="0"/>
          <w:color w:val="auto"/>
          <w:highlight w:val="none"/>
        </w:rPr>
      </w:pPr>
      <w:bookmarkStart w:id="105" w:name="_Toc15377219"/>
      <w:bookmarkStart w:id="106" w:name="_Toc15396611"/>
      <w:bookmarkStart w:id="107" w:name="_Toc1315826697"/>
      <w:bookmarkStart w:id="108" w:name="_Toc338159029"/>
      <w:bookmarkStart w:id="109" w:name="_Toc1436725639"/>
      <w:r>
        <w:rPr>
          <w:rStyle w:val="30"/>
          <w:rFonts w:hint="eastAsia" w:ascii="黑体" w:hAnsi="黑体" w:eastAsia="黑体"/>
          <w:b w:val="0"/>
          <w:color w:val="auto"/>
          <w:highlight w:val="none"/>
        </w:rPr>
        <w:t>国有资本经营预算支出决算情况说明</w:t>
      </w:r>
      <w:bookmarkEnd w:id="105"/>
      <w:bookmarkEnd w:id="106"/>
      <w:bookmarkEnd w:id="107"/>
      <w:bookmarkEnd w:id="108"/>
      <w:bookmarkEnd w:id="109"/>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3"/>
        </w:numPr>
        <w:spacing w:line="600" w:lineRule="exact"/>
        <w:ind w:firstLine="640"/>
        <w:outlineLvl w:val="1"/>
        <w:rPr>
          <w:rStyle w:val="30"/>
          <w:rFonts w:hint="eastAsia" w:ascii="黑体" w:hAnsi="黑体" w:eastAsia="黑体"/>
          <w:b w:val="0"/>
          <w:color w:val="auto"/>
          <w:highlight w:val="none"/>
        </w:rPr>
      </w:pPr>
      <w:bookmarkStart w:id="110" w:name="_Toc15396612"/>
      <w:bookmarkStart w:id="111" w:name="_Toc1059622009"/>
      <w:bookmarkStart w:id="112" w:name="_Toc15377221"/>
      <w:bookmarkStart w:id="113" w:name="_Toc2016089823"/>
      <w:bookmarkStart w:id="114" w:name="_Toc1185859347"/>
      <w:r>
        <w:rPr>
          <w:rStyle w:val="30"/>
          <w:rFonts w:hint="eastAsia" w:ascii="黑体" w:hAnsi="黑体" w:eastAsia="黑体"/>
          <w:b w:val="0"/>
          <w:color w:val="auto"/>
          <w:highlight w:val="none"/>
        </w:rPr>
        <w:t>其他重要事项的情况说明</w:t>
      </w:r>
      <w:bookmarkEnd w:id="110"/>
      <w:bookmarkEnd w:id="111"/>
      <w:bookmarkEnd w:id="112"/>
      <w:bookmarkEnd w:id="113"/>
      <w:bookmarkEnd w:id="114"/>
    </w:p>
    <w:p>
      <w:pPr>
        <w:spacing w:line="600" w:lineRule="exact"/>
        <w:ind w:firstLine="640" w:firstLineChars="200"/>
        <w:outlineLvl w:val="2"/>
        <w:rPr>
          <w:rFonts w:hint="eastAsia" w:ascii="楷体_GB2312" w:hAnsi="楷体_GB2312" w:eastAsia="楷体_GB2312" w:cs="楷体_GB2312"/>
          <w:b w:val="0"/>
          <w:bCs/>
          <w:color w:val="auto"/>
          <w:sz w:val="32"/>
          <w:szCs w:val="32"/>
          <w:highlight w:val="none"/>
        </w:rPr>
      </w:pPr>
      <w:bookmarkStart w:id="115" w:name="_Toc293428693"/>
      <w:bookmarkStart w:id="116" w:name="_Toc15377222"/>
      <w:bookmarkStart w:id="117" w:name="_Toc679072759"/>
      <w:r>
        <w:rPr>
          <w:rFonts w:hint="eastAsia" w:ascii="楷体_GB2312" w:hAnsi="楷体_GB2312" w:eastAsia="楷体_GB2312" w:cs="楷体_GB2312"/>
          <w:b w:val="0"/>
          <w:bCs/>
          <w:color w:val="auto"/>
          <w:sz w:val="32"/>
          <w:szCs w:val="32"/>
          <w:highlight w:val="none"/>
        </w:rPr>
        <w:t>（一）机关运行经费支出情况</w:t>
      </w:r>
      <w:bookmarkEnd w:id="115"/>
      <w:bookmarkEnd w:id="116"/>
      <w:bookmarkEnd w:id="117"/>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广元市司法局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223.16</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2.73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我单位</w:t>
      </w:r>
      <w:r>
        <w:rPr>
          <w:rFonts w:hint="eastAsia" w:ascii="仿宋_GB2312" w:eastAsia="仿宋_GB2312"/>
          <w:color w:val="auto"/>
          <w:sz w:val="32"/>
          <w:szCs w:val="32"/>
          <w:highlight w:val="none"/>
        </w:rPr>
        <w:t>例行节约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严格控制</w:t>
      </w:r>
      <w:r>
        <w:rPr>
          <w:rFonts w:hint="eastAsia" w:ascii="仿宋_GB2312" w:eastAsia="仿宋_GB2312"/>
          <w:color w:val="auto"/>
          <w:sz w:val="32"/>
          <w:szCs w:val="32"/>
          <w:highlight w:val="none"/>
          <w:lang w:val="en-US" w:eastAsia="zh-CN"/>
        </w:rPr>
        <w:t>相关</w:t>
      </w:r>
      <w:r>
        <w:rPr>
          <w:rFonts w:hint="eastAsia" w:ascii="仿宋_GB2312" w:eastAsia="仿宋_GB2312"/>
          <w:color w:val="auto"/>
          <w:sz w:val="32"/>
          <w:szCs w:val="32"/>
          <w:highlight w:val="none"/>
        </w:rPr>
        <w:t>经费支出</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bookmarkStart w:id="118" w:name="_Toc596885387"/>
      <w:bookmarkStart w:id="119" w:name="_Toc301254801"/>
      <w:bookmarkStart w:id="120" w:name="_Toc15377223"/>
      <w:r>
        <w:rPr>
          <w:rFonts w:hint="eastAsia" w:ascii="楷体_GB2312" w:hAnsi="楷体_GB2312" w:eastAsia="楷体_GB2312" w:cs="楷体_GB2312"/>
          <w:b w:val="0"/>
          <w:bCs/>
          <w:color w:val="auto"/>
          <w:sz w:val="32"/>
          <w:szCs w:val="32"/>
          <w:highlight w:val="none"/>
        </w:rPr>
        <w:t>（二）政府采购支出情况</w:t>
      </w:r>
      <w:bookmarkEnd w:id="118"/>
      <w:bookmarkEnd w:id="119"/>
      <w:bookmarkEnd w:id="120"/>
    </w:p>
    <w:p>
      <w:pPr>
        <w:spacing w:line="60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广元市司法局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45.23</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45.23</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万元。主要用于办公设备购置</w:t>
      </w:r>
      <w:r>
        <w:rPr>
          <w:rFonts w:hint="eastAsia" w:ascii="仿宋_GB2312" w:eastAsia="仿宋_GB2312"/>
          <w:color w:val="auto"/>
          <w:sz w:val="32"/>
          <w:szCs w:val="32"/>
          <w:highlight w:val="none"/>
          <w:lang w:val="en-US" w:eastAsia="zh-CN"/>
        </w:rPr>
        <w:t>及公务用车购置</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bookmarkStart w:id="121" w:name="_Toc15377224"/>
      <w:bookmarkStart w:id="122" w:name="_Toc864875870"/>
      <w:bookmarkStart w:id="123" w:name="_Toc183228787"/>
      <w:r>
        <w:rPr>
          <w:rFonts w:hint="eastAsia" w:ascii="楷体_GB2312" w:hAnsi="楷体_GB2312" w:eastAsia="楷体_GB2312" w:cs="楷体_GB2312"/>
          <w:b w:val="0"/>
          <w:bCs/>
          <w:color w:val="auto"/>
          <w:sz w:val="32"/>
          <w:szCs w:val="32"/>
          <w:highlight w:val="none"/>
        </w:rPr>
        <w:t>（三）国有资产占有使用情况</w:t>
      </w:r>
      <w:bookmarkEnd w:id="121"/>
      <w:bookmarkEnd w:id="122"/>
      <w:bookmarkEnd w:id="123"/>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广元市司法局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辆，其中：主执法执勤用车</w:t>
      </w:r>
      <w:r>
        <w:rPr>
          <w:rFonts w:ascii="仿宋_GB2312" w:eastAsia="仿宋_GB2312"/>
          <w:color w:val="auto"/>
          <w:sz w:val="32"/>
          <w:szCs w:val="32"/>
          <w:highlight w:val="none"/>
        </w:rPr>
        <w:t>4</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0" w:firstLineChars="200"/>
        <w:jc w:val="left"/>
        <w:outlineLvl w:val="2"/>
        <w:rPr>
          <w:rFonts w:hint="eastAsia" w:ascii="楷体_GB2312" w:hAnsi="楷体_GB2312" w:eastAsia="楷体_GB2312" w:cs="楷体_GB2312"/>
          <w:b w:val="0"/>
          <w:bCs/>
          <w:color w:val="auto"/>
          <w:sz w:val="32"/>
          <w:szCs w:val="32"/>
          <w:highlight w:val="none"/>
        </w:rPr>
      </w:pPr>
      <w:bookmarkStart w:id="124" w:name="_Toc191657795"/>
      <w:bookmarkStart w:id="125" w:name="_Toc1159261377"/>
      <w:r>
        <w:rPr>
          <w:rFonts w:hint="eastAsia" w:ascii="楷体_GB2312" w:hAnsi="楷体_GB2312" w:eastAsia="楷体_GB2312" w:cs="楷体_GB2312"/>
          <w:b w:val="0"/>
          <w:bCs/>
          <w:color w:val="auto"/>
          <w:sz w:val="32"/>
          <w:szCs w:val="32"/>
          <w:highlight w:val="none"/>
        </w:rPr>
        <w:t>（四）预算绩效管理情况</w:t>
      </w:r>
      <w:bookmarkEnd w:id="124"/>
      <w:bookmarkEnd w:id="125"/>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US" w:eastAsia="zh-CN"/>
        </w:rPr>
        <w:t>法律援助</w:t>
      </w:r>
      <w:r>
        <w:rPr>
          <w:rFonts w:hint="eastAsia" w:ascii="仿宋_GB2312" w:hAnsi="仿宋_GB2312" w:eastAsia="仿宋_GB2312" w:cs="仿宋_GB2312"/>
          <w:color w:val="auto"/>
          <w:sz w:val="32"/>
          <w:szCs w:val="32"/>
          <w:highlight w:val="none"/>
        </w:rPr>
        <w:t>项目（项目名称）等</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ascii="仿宋_GB2312" w:eastAsia="仿宋_GB2312"/>
          <w:b/>
          <w:color w:val="auto"/>
          <w:sz w:val="32"/>
          <w:szCs w:val="32"/>
          <w:highlight w:val="yellow"/>
        </w:rPr>
      </w:pPr>
      <w:r>
        <w:rPr>
          <w:rFonts w:hint="eastAsia" w:ascii="仿宋_GB2312" w:hAnsi="仿宋_GB2312" w:eastAsia="仿宋_GB2312" w:cs="仿宋_GB2312"/>
          <w:color w:val="auto"/>
          <w:sz w:val="32"/>
          <w:szCs w:val="32"/>
          <w:highlight w:val="none"/>
        </w:rPr>
        <w:t>组织对2022年度一般公共预算资金等全面开展绩效自评，形成</w:t>
      </w:r>
      <w:r>
        <w:rPr>
          <w:rFonts w:hint="eastAsia" w:ascii="仿宋_GB2312" w:hAnsi="仿宋_GB2312" w:eastAsia="仿宋_GB2312" w:cs="仿宋_GB2312"/>
          <w:color w:val="auto"/>
          <w:sz w:val="32"/>
          <w:szCs w:val="32"/>
          <w:highlight w:val="none"/>
          <w:lang w:val="en-US" w:eastAsia="zh-CN"/>
        </w:rPr>
        <w:t>广元市司法局</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val="en-US" w:eastAsia="zh-CN"/>
        </w:rPr>
        <w:t>法律援助</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eastAsia="仿宋_GB2312" w:cs="仿宋_GB2312"/>
          <w:color w:val="auto"/>
          <w:sz w:val="32"/>
          <w:szCs w:val="32"/>
          <w:highlight w:val="none"/>
          <w:lang w:val="en-US" w:eastAsia="zh-CN"/>
        </w:rPr>
        <w:t>广元市司法局</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91.4</w:t>
      </w:r>
      <w:r>
        <w:rPr>
          <w:rFonts w:hint="eastAsia" w:ascii="仿宋_GB2312" w:hAnsi="仿宋_GB2312" w:eastAsia="仿宋_GB2312" w:cs="仿宋_GB2312"/>
          <w:color w:val="auto"/>
          <w:sz w:val="32"/>
          <w:szCs w:val="32"/>
          <w:highlight w:val="none"/>
        </w:rPr>
        <w:t>分，绩效自评综述：2022年</w:t>
      </w:r>
      <w:r>
        <w:rPr>
          <w:rFonts w:hint="eastAsia" w:ascii="仿宋_GB2312" w:hAnsi="仿宋_GB2312" w:eastAsia="仿宋_GB2312" w:cs="仿宋_GB2312"/>
          <w:color w:val="auto"/>
          <w:sz w:val="32"/>
          <w:szCs w:val="32"/>
          <w:highlight w:val="none"/>
          <w:lang w:eastAsia="zh-CN"/>
        </w:rPr>
        <w:t>广元市司法局</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按要求编制了绩效目标，从项目完成、效益、满意度等方面设置了绩效指标，综合反映出项目预期完成的数量、成本、时效、质量，达到了预期的社会效益、经济效益、以及服务对象满意度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法律援助</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en-US" w:eastAsia="zh-CN"/>
        </w:rPr>
        <w:t>我局</w:t>
      </w:r>
      <w:r>
        <w:rPr>
          <w:rFonts w:hint="eastAsia" w:ascii="仿宋_GB2312" w:eastAsia="仿宋_GB2312"/>
          <w:color w:val="000000"/>
          <w:sz w:val="32"/>
          <w:szCs w:val="32"/>
        </w:rPr>
        <w:t>法律援助项目资金主要用于支付法律援助人员办案补贴和律师值班补贴，</w:t>
      </w:r>
      <w:r>
        <w:rPr>
          <w:rFonts w:hint="eastAsia" w:ascii="仿宋_GB2312" w:hAnsi="仿宋" w:eastAsia="仿宋_GB2312" w:cs="仿宋_GB2312"/>
          <w:color w:val="000000"/>
          <w:sz w:val="32"/>
          <w:szCs w:val="32"/>
        </w:rPr>
        <w:t>通过数量指标、时效指标、质量指标、成本指标进行绩效评价项目评价</w:t>
      </w:r>
      <w:r>
        <w:rPr>
          <w:rFonts w:hint="eastAsia" w:ascii="仿宋_GB2312" w:hAnsi="仿宋" w:eastAsia="仿宋_GB2312" w:cs="仿宋_GB2312"/>
          <w:color w:val="000000"/>
          <w:sz w:val="32"/>
          <w:szCs w:val="32"/>
          <w:lang w:eastAsia="zh-CN"/>
        </w:rPr>
        <w:t>；</w:t>
      </w:r>
      <w:r>
        <w:rPr>
          <w:rFonts w:hint="eastAsia" w:ascii="仿宋_GB2312" w:hAnsi="仿宋_GB2312" w:eastAsia="仿宋_GB2312" w:cs="仿宋_GB2312"/>
          <w:color w:val="auto"/>
          <w:sz w:val="32"/>
          <w:szCs w:val="32"/>
          <w:highlight w:val="none"/>
          <w:lang w:val="en-US" w:eastAsia="zh-CN"/>
        </w:rPr>
        <w:t>法治建设</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w:t>
      </w:r>
      <w:r>
        <w:rPr>
          <w:rFonts w:hint="eastAsia" w:ascii="仿宋_GB2312" w:hAnsi="仿宋" w:eastAsia="仿宋_GB2312"/>
          <w:color w:val="000000"/>
          <w:sz w:val="32"/>
          <w:szCs w:val="32"/>
        </w:rPr>
        <w:t>全面完成年度目标任务，</w:t>
      </w:r>
      <w:r>
        <w:rPr>
          <w:rFonts w:hint="eastAsia" w:ascii="仿宋_GB2312" w:hAnsi="仿宋_GB2312" w:eastAsia="仿宋_GB2312"/>
          <w:color w:val="000000"/>
          <w:sz w:val="32"/>
          <w:szCs w:val="32"/>
        </w:rPr>
        <w:t>承办委员会会议1次、办公室全体会议2次、专题会议3次，完成委员会及办公室公文处理工作；开展专题法治调研10次；开展专项法治督察1次、综合督察2次；积极开展法治政府示范创建，</w:t>
      </w:r>
      <w:r>
        <w:rPr>
          <w:rFonts w:hint="eastAsia" w:ascii="仿宋_GB2312" w:hAnsi="仿宋_GB2312" w:eastAsia="仿宋_GB2312"/>
          <w:color w:val="000000"/>
          <w:sz w:val="32"/>
          <w:szCs w:val="32"/>
          <w:lang w:eastAsia="zh-CN"/>
        </w:rPr>
        <w:t>成功创建</w:t>
      </w:r>
      <w:r>
        <w:rPr>
          <w:rFonts w:hint="eastAsia" w:ascii="仿宋_GB2312" w:hAnsi="仿宋_GB2312" w:eastAsia="仿宋_GB2312"/>
          <w:color w:val="000000"/>
          <w:sz w:val="32"/>
          <w:szCs w:val="32"/>
        </w:rPr>
        <w:t>“全国法治政府建设示范市”。组织依法治市对外宣传活动4次，开展全面依法治市工作主题宣传活动6次；全面完成法治扶贫任务；开展专题培训2次，培训140余人次</w:t>
      </w:r>
      <w:r>
        <w:rPr>
          <w:rFonts w:hint="eastAsia" w:ascii="仿宋_GB2312" w:hAnsi="仿宋_GB2312" w:eastAsia="仿宋_GB2312"/>
          <w:color w:val="000000"/>
          <w:sz w:val="32"/>
          <w:szCs w:val="32"/>
          <w:lang w:eastAsia="zh-CN"/>
        </w:rPr>
        <w:t>；</w:t>
      </w:r>
      <w:r>
        <w:rPr>
          <w:rFonts w:hint="eastAsia" w:ascii="仿宋_GB2312" w:hAnsi="仿宋_GB2312" w:eastAsia="仿宋_GB2312" w:cs="仿宋_GB2312"/>
          <w:color w:val="auto"/>
          <w:sz w:val="32"/>
          <w:szCs w:val="32"/>
          <w:highlight w:val="none"/>
          <w:lang w:val="en-US" w:eastAsia="zh-CN"/>
        </w:rPr>
        <w:t>公共法律服务</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96</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olor w:val="000000"/>
          <w:sz w:val="32"/>
          <w:szCs w:val="32"/>
        </w:rPr>
        <w:t>我局按照年初计划完成</w:t>
      </w:r>
      <w:r>
        <w:rPr>
          <w:rFonts w:hint="eastAsia" w:ascii="仿宋_GB2312" w:hAnsi="仿宋_GB2312" w:eastAsia="仿宋_GB2312"/>
          <w:color w:val="000000"/>
          <w:sz w:val="32"/>
          <w:szCs w:val="32"/>
          <w:lang w:eastAsia="zh-CN"/>
        </w:rPr>
        <w:t>公共法律服务项目，为群众提供了优质法律服务，化解社会矛盾、服务群众，降低群众诉累，提高公证、司法鉴定的社会公信力，提高公共法律服务供给能力，满足群众对法律服务的需求，维护社会长治久安，构建和谐法治社会氛围；</w:t>
      </w:r>
      <w:r>
        <w:rPr>
          <w:rFonts w:hint="eastAsia" w:ascii="仿宋_GB2312" w:hAnsi="仿宋_GB2312" w:eastAsia="仿宋_GB2312" w:cs="仿宋_GB2312"/>
          <w:color w:val="auto"/>
          <w:sz w:val="32"/>
          <w:szCs w:val="32"/>
          <w:highlight w:val="none"/>
          <w:lang w:val="en-US" w:eastAsia="zh-CN"/>
        </w:rPr>
        <w:t>国家统一法律职业资格考试</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w:t>
      </w:r>
      <w:r>
        <w:rPr>
          <w:rFonts w:hint="eastAsia" w:ascii="仿宋_GB2312" w:hAnsi="Arial" w:eastAsia="仿宋_GB2312" w:cs="Arial"/>
          <w:color w:val="000000"/>
          <w:sz w:val="32"/>
          <w:szCs w:val="32"/>
          <w:shd w:val="clear" w:color="auto" w:fill="FFFFFF"/>
        </w:rPr>
        <w:t>我局按照项目单位自评和主管部门评价相结合的方式，依据资金使用的方向和对象,围绕绩效目标,从项目的实施、管理、效果等方面对</w:t>
      </w:r>
      <w:r>
        <w:rPr>
          <w:rFonts w:hint="default" w:ascii="仿宋_GB2312" w:hAnsi="Arial" w:eastAsia="仿宋_GB2312" w:cs="Arial"/>
          <w:color w:val="000000"/>
          <w:sz w:val="32"/>
          <w:szCs w:val="32"/>
          <w:shd w:val="clear" w:color="auto" w:fill="FFFFFF"/>
          <w:lang w:val="en"/>
        </w:rPr>
        <w:t>202</w:t>
      </w:r>
      <w:r>
        <w:rPr>
          <w:rFonts w:hint="eastAsia" w:ascii="仿宋_GB2312" w:hAnsi="Arial" w:eastAsia="仿宋_GB2312" w:cs="Arial"/>
          <w:color w:val="000000"/>
          <w:sz w:val="32"/>
          <w:szCs w:val="32"/>
          <w:shd w:val="clear" w:color="auto" w:fill="FFFFFF"/>
          <w:lang w:val="en-US" w:eastAsia="zh-CN"/>
        </w:rPr>
        <w:t>2</w:t>
      </w:r>
      <w:r>
        <w:rPr>
          <w:rFonts w:hint="eastAsia" w:ascii="仿宋_GB2312" w:hAnsi="Arial" w:eastAsia="仿宋_GB2312" w:cs="Arial"/>
          <w:color w:val="000000"/>
          <w:sz w:val="32"/>
          <w:szCs w:val="32"/>
          <w:shd w:val="clear" w:color="auto" w:fill="FFFFFF"/>
        </w:rPr>
        <w:t>年度</w:t>
      </w:r>
      <w:r>
        <w:rPr>
          <w:rFonts w:hint="eastAsia" w:ascii="仿宋_GB2312" w:hAnsi="宋体" w:eastAsia="仿宋_GB2312"/>
          <w:color w:val="auto"/>
          <w:sz w:val="32"/>
          <w:szCs w:val="32"/>
          <w:lang w:eastAsia="zh-CN"/>
        </w:rPr>
        <w:t>国家统一法律职业资格考试</w:t>
      </w:r>
      <w:r>
        <w:rPr>
          <w:rFonts w:hint="eastAsia" w:ascii="仿宋_GB2312" w:hAnsi="Arial" w:eastAsia="仿宋_GB2312" w:cs="Arial"/>
          <w:color w:val="000000"/>
          <w:sz w:val="32"/>
          <w:szCs w:val="32"/>
          <w:shd w:val="clear" w:color="auto" w:fill="FFFFFF"/>
        </w:rPr>
        <w:t>专项资金开展了绩效评价工作</w:t>
      </w:r>
      <w:r>
        <w:rPr>
          <w:rFonts w:hint="eastAsia" w:ascii="仿宋_GB2312" w:hAnsi="Arial" w:eastAsia="仿宋_GB2312" w:cs="Arial"/>
          <w:color w:val="000000"/>
          <w:sz w:val="32"/>
          <w:szCs w:val="32"/>
          <w:shd w:val="clear" w:color="auto" w:fill="FFFFFF"/>
          <w:lang w:eastAsia="zh-CN"/>
        </w:rPr>
        <w:t>，</w:t>
      </w:r>
      <w:r>
        <w:rPr>
          <w:rFonts w:hint="eastAsia" w:ascii="仿宋_GB2312" w:hAnsi="仿宋" w:eastAsia="仿宋_GB2312"/>
          <w:color w:val="000000"/>
          <w:sz w:val="32"/>
          <w:szCs w:val="32"/>
        </w:rPr>
        <w:t>资金使用严格按照《司法行政系统财务管理规定》执行，专项资金得到合理合规的分配和利用，主要用于</w:t>
      </w:r>
      <w:r>
        <w:rPr>
          <w:rFonts w:hint="default" w:ascii="仿宋_GB2312" w:hAnsi="仿宋" w:eastAsia="仿宋_GB2312"/>
          <w:color w:val="000000"/>
          <w:sz w:val="32"/>
          <w:szCs w:val="32"/>
          <w:lang w:val="en"/>
        </w:rPr>
        <w:t>202</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val="en-US" w:eastAsia="zh-CN"/>
        </w:rPr>
        <w:t>组织实施全市国家统一法律职业资格考试工作</w:t>
      </w:r>
      <w:r>
        <w:rPr>
          <w:rFonts w:hint="default" w:ascii="仿宋_GB2312" w:hAnsi="仿宋" w:eastAsia="仿宋_GB2312"/>
          <w:color w:val="000000"/>
          <w:sz w:val="32"/>
          <w:szCs w:val="32"/>
          <w:lang w:val="en" w:eastAsia="zh-CN"/>
        </w:rPr>
        <w:t>,</w:t>
      </w:r>
      <w:r>
        <w:rPr>
          <w:rFonts w:hint="eastAsia" w:ascii="仿宋_GB2312" w:eastAsia="仿宋_GB2312"/>
          <w:sz w:val="32"/>
          <w:szCs w:val="32"/>
          <w:highlight w:val="none"/>
        </w:rPr>
        <w:t>组织管理考试费</w:t>
      </w:r>
      <w:r>
        <w:rPr>
          <w:rFonts w:hint="eastAsia" w:ascii="仿宋_GB2312" w:hAnsi="仿宋" w:eastAsia="仿宋_GB2312"/>
          <w:color w:val="000000"/>
          <w:sz w:val="32"/>
          <w:szCs w:val="32"/>
          <w:lang w:val="en" w:eastAsia="zh-CN"/>
        </w:rPr>
        <w:t>、</w:t>
      </w:r>
      <w:r>
        <w:rPr>
          <w:rFonts w:hint="eastAsia" w:ascii="仿宋_GB2312" w:eastAsia="仿宋_GB2312"/>
          <w:sz w:val="32"/>
          <w:szCs w:val="32"/>
          <w:highlight w:val="none"/>
        </w:rPr>
        <w:t>考务费</w:t>
      </w:r>
      <w:r>
        <w:rPr>
          <w:rFonts w:hint="eastAsia" w:ascii="仿宋_GB2312" w:eastAsia="仿宋_GB2312"/>
          <w:sz w:val="32"/>
          <w:szCs w:val="32"/>
          <w:highlight w:val="none"/>
          <w:lang w:eastAsia="zh-CN"/>
        </w:rPr>
        <w:t>、</w:t>
      </w:r>
      <w:r>
        <w:rPr>
          <w:rFonts w:hint="eastAsia" w:ascii="仿宋_GB2312" w:hAnsi="仿宋" w:eastAsia="仿宋_GB2312"/>
          <w:color w:val="000000"/>
          <w:sz w:val="32"/>
          <w:szCs w:val="32"/>
          <w:lang w:val="en" w:eastAsia="zh-CN"/>
        </w:rPr>
        <w:t>场地租赁费</w:t>
      </w:r>
      <w:r>
        <w:rPr>
          <w:rFonts w:hint="eastAsia" w:ascii="仿宋_GB2312" w:hAnsi="仿宋" w:eastAsia="仿宋_GB2312"/>
          <w:color w:val="000000"/>
          <w:sz w:val="32"/>
          <w:szCs w:val="32"/>
        </w:rPr>
        <w:t>等方面</w:t>
      </w:r>
      <w:r>
        <w:rPr>
          <w:rFonts w:hint="eastAsia" w:ascii="仿宋_GB2312" w:hAnsi="Arial" w:eastAsia="仿宋_GB2312" w:cs="Arial"/>
          <w:color w:val="000000"/>
          <w:sz w:val="32"/>
          <w:szCs w:val="32"/>
          <w:shd w:val="clear" w:color="auto" w:fill="FFFFFF"/>
          <w:lang w:eastAsia="zh-CN"/>
        </w:rPr>
        <w:t>；</w:t>
      </w:r>
      <w:r>
        <w:rPr>
          <w:rFonts w:hint="eastAsia" w:ascii="仿宋_GB2312" w:hAnsi="仿宋_GB2312" w:eastAsia="仿宋_GB2312" w:cs="仿宋_GB2312"/>
          <w:color w:val="auto"/>
          <w:sz w:val="32"/>
          <w:szCs w:val="32"/>
          <w:highlight w:val="none"/>
          <w:lang w:val="en-US" w:eastAsia="zh-CN"/>
        </w:rPr>
        <w:t>基层司法业务</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96</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通过广大基层人民调解员和全市各级安置帮教工作人员的努力，有效维护了当地社会稳定。通过人民监督员和人民陪审员现场对相关案件的监督审理，有效维护了我市司法公正；</w:t>
      </w:r>
      <w:r>
        <w:rPr>
          <w:rFonts w:hint="eastAsia" w:ascii="仿宋_GB2312" w:hAnsi="仿宋_GB2312" w:eastAsia="仿宋_GB2312" w:cs="仿宋_GB2312"/>
          <w:color w:val="auto"/>
          <w:sz w:val="32"/>
          <w:szCs w:val="32"/>
          <w:highlight w:val="none"/>
          <w:lang w:val="en-US" w:eastAsia="zh-CN"/>
        </w:rPr>
        <w:t>普法宣传</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w:t>
      </w: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hAnsi="仿宋_GB2312" w:eastAsia="仿宋_GB2312"/>
          <w:color w:val="000000"/>
          <w:sz w:val="32"/>
          <w:szCs w:val="32"/>
        </w:rPr>
        <w:t>我局</w:t>
      </w:r>
      <w:r>
        <w:rPr>
          <w:rFonts w:hint="eastAsia" w:ascii="仿宋_GB2312" w:hAnsi="仿宋_GB2312" w:eastAsia="仿宋_GB2312"/>
          <w:color w:val="000000"/>
          <w:sz w:val="32"/>
          <w:szCs w:val="32"/>
          <w:lang w:eastAsia="zh-CN"/>
        </w:rPr>
        <w:t>推动在全市开展普法宣传教育活动</w:t>
      </w:r>
      <w:r>
        <w:rPr>
          <w:rFonts w:hint="eastAsia" w:ascii="仿宋_GB2312" w:hAnsi="仿宋_GB2312" w:eastAsia="仿宋_GB2312"/>
          <w:color w:val="000000"/>
          <w:sz w:val="32"/>
          <w:szCs w:val="32"/>
          <w:lang w:val="en-US" w:eastAsia="zh-CN"/>
        </w:rPr>
        <w:t>2100场次</w:t>
      </w:r>
      <w:r>
        <w:rPr>
          <w:rFonts w:hint="eastAsia" w:ascii="仿宋_GB2312" w:hAnsi="仿宋_GB2312" w:eastAsia="仿宋_GB2312"/>
          <w:color w:val="000000"/>
          <w:sz w:val="32"/>
          <w:szCs w:val="32"/>
        </w:rPr>
        <w:t>人，</w:t>
      </w:r>
      <w:r>
        <w:rPr>
          <w:rFonts w:hint="eastAsia" w:ascii="仿宋_GB2312" w:hAnsi="仿宋" w:eastAsia="仿宋_GB2312" w:cs="Times New Roman"/>
          <w:color w:val="000000"/>
          <w:sz w:val="32"/>
          <w:szCs w:val="32"/>
        </w:rPr>
        <w:t>集中培训法律明白人3000余人次，打造基层法治示范点125个，</w:t>
      </w:r>
      <w:r>
        <w:rPr>
          <w:rFonts w:hint="eastAsia" w:ascii="仿宋_GB2312" w:hAnsi="仿宋" w:eastAsia="仿宋_GB2312" w:cs="Times New Roman"/>
          <w:color w:val="000000"/>
          <w:sz w:val="32"/>
          <w:szCs w:val="32"/>
          <w:lang w:eastAsia="zh-CN"/>
        </w:rPr>
        <w:t>受教育群众</w:t>
      </w:r>
      <w:r>
        <w:rPr>
          <w:rFonts w:hint="eastAsia" w:ascii="仿宋_GB2312" w:hAnsi="仿宋" w:eastAsia="仿宋_GB2312" w:cs="Times New Roman"/>
          <w:color w:val="000000"/>
          <w:sz w:val="32"/>
          <w:szCs w:val="32"/>
          <w:lang w:val="en-US" w:eastAsia="zh-CN"/>
        </w:rPr>
        <w:t>60余万人次，</w:t>
      </w:r>
      <w:r>
        <w:rPr>
          <w:rFonts w:hint="eastAsia" w:ascii="仿宋_GB2312" w:hAnsi="仿宋_GB2312" w:eastAsia="仿宋_GB2312"/>
          <w:color w:val="000000"/>
          <w:sz w:val="32"/>
          <w:szCs w:val="32"/>
          <w:lang w:eastAsia="zh-CN"/>
        </w:rPr>
        <w:t>人民</w:t>
      </w:r>
      <w:r>
        <w:rPr>
          <w:rFonts w:hint="eastAsia" w:ascii="仿宋_GB2312" w:eastAsia="仿宋_GB2312"/>
          <w:color w:val="000000"/>
          <w:sz w:val="32"/>
          <w:szCs w:val="32"/>
        </w:rPr>
        <w:t>群众</w:t>
      </w:r>
      <w:r>
        <w:rPr>
          <w:rFonts w:hint="eastAsia" w:ascii="仿宋_GB2312" w:eastAsia="仿宋_GB2312"/>
          <w:color w:val="000000"/>
          <w:sz w:val="32"/>
          <w:szCs w:val="32"/>
          <w:lang w:eastAsia="zh-CN"/>
        </w:rPr>
        <w:t>对普法宣传的知晓率达</w:t>
      </w:r>
      <w:r>
        <w:rPr>
          <w:rFonts w:hint="eastAsia" w:ascii="仿宋_GB2312" w:eastAsia="仿宋_GB2312"/>
          <w:color w:val="000000"/>
          <w:sz w:val="32"/>
          <w:szCs w:val="32"/>
          <w:lang w:val="en-US" w:eastAsia="zh-CN"/>
        </w:rPr>
        <w:t>90</w:t>
      </w:r>
      <w:r>
        <w:rPr>
          <w:rFonts w:hint="eastAsia" w:ascii="仿宋_GB2312" w:eastAsia="仿宋_GB2312"/>
          <w:color w:val="000000"/>
          <w:sz w:val="32"/>
          <w:szCs w:val="32"/>
        </w:rPr>
        <w:t xml:space="preserve"> %，有效</w:t>
      </w:r>
      <w:r>
        <w:rPr>
          <w:rFonts w:hint="eastAsia" w:ascii="仿宋_GB2312" w:hAnsi="仿宋_GB2312" w:eastAsia="仿宋_GB2312" w:cs="仿宋_GB2312"/>
          <w:color w:val="000000"/>
          <w:sz w:val="32"/>
          <w:szCs w:val="32"/>
        </w:rPr>
        <w:t>提升</w:t>
      </w:r>
      <w:r>
        <w:rPr>
          <w:rFonts w:hint="eastAsia" w:ascii="仿宋_GB2312" w:hAnsi="仿宋_GB2312" w:eastAsia="仿宋_GB2312" w:cs="仿宋_GB2312"/>
          <w:color w:val="000000"/>
          <w:sz w:val="32"/>
          <w:szCs w:val="32"/>
          <w:lang w:eastAsia="zh-CN"/>
        </w:rPr>
        <w:t>了</w:t>
      </w:r>
      <w:r>
        <w:rPr>
          <w:rFonts w:hint="eastAsia" w:ascii="仿宋_GB2312" w:hAnsi="仿宋_GB2312" w:eastAsia="仿宋_GB2312" w:cs="仿宋_GB2312"/>
          <w:color w:val="000000"/>
          <w:sz w:val="32"/>
          <w:szCs w:val="32"/>
        </w:rPr>
        <w:t>人民群众</w:t>
      </w:r>
      <w:r>
        <w:rPr>
          <w:rFonts w:hint="eastAsia" w:ascii="仿宋_GB2312" w:hAnsi="仿宋" w:eastAsia="仿宋_GB2312" w:cs="Times New Roman"/>
          <w:color w:val="000000"/>
          <w:sz w:val="32"/>
          <w:szCs w:val="32"/>
          <w:lang w:val="en-US" w:eastAsia="zh-CN"/>
        </w:rPr>
        <w:t>的法治意识和法治素养。</w:t>
      </w:r>
      <w:r>
        <w:rPr>
          <w:rFonts w:hint="eastAsia" w:ascii="仿宋_GB2312" w:hAnsi="仿宋_GB2312" w:eastAsia="仿宋_GB2312" w:cs="仿宋_GB2312"/>
          <w:color w:val="auto"/>
          <w:sz w:val="32"/>
          <w:szCs w:val="32"/>
          <w:highlight w:val="none"/>
        </w:rPr>
        <w:t>绩效自评报告详见附件。</w:t>
      </w:r>
    </w:p>
    <w:p>
      <w:pPr>
        <w:numPr>
          <w:ilvl w:val="0"/>
          <w:numId w:val="4"/>
        </w:numPr>
        <w:spacing w:line="600" w:lineRule="exact"/>
        <w:ind w:firstLine="660" w:firstLineChars="150"/>
        <w:jc w:val="center"/>
        <w:outlineLvl w:val="0"/>
        <w:rPr>
          <w:rStyle w:val="29"/>
          <w:rFonts w:ascii="黑体" w:hAnsi="黑体" w:eastAsia="黑体"/>
          <w:b w:val="0"/>
          <w:color w:val="auto"/>
          <w:highlight w:val="none"/>
        </w:rPr>
      </w:pPr>
      <w:bookmarkStart w:id="126" w:name="_Toc1597062351"/>
      <w:bookmarkStart w:id="127" w:name="_Toc969262284"/>
      <w:bookmarkStart w:id="128" w:name="_Toc1445684009"/>
      <w:bookmarkStart w:id="129" w:name="_Toc15377225"/>
      <w:bookmarkStart w:id="130" w:name="_Toc15396613"/>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126"/>
      <w:bookmarkEnd w:id="127"/>
      <w:bookmarkEnd w:id="128"/>
      <w:bookmarkEnd w:id="129"/>
      <w:bookmarkEnd w:id="130"/>
    </w:p>
    <w:p>
      <w:pPr>
        <w:spacing w:line="600" w:lineRule="exact"/>
        <w:jc w:val="left"/>
        <w:rPr>
          <w:rFonts w:ascii="宋体"/>
          <w:b/>
          <w:color w:val="auto"/>
          <w:sz w:val="44"/>
          <w:szCs w:val="44"/>
          <w:highlight w:val="none"/>
        </w:rPr>
      </w:pPr>
    </w:p>
    <w:p>
      <w:pPr>
        <w:pStyle w:val="27"/>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1.财政拨款收入：指单位从同级财政部门取得的财政预算资金。</w:t>
      </w:r>
    </w:p>
    <w:p>
      <w:pPr>
        <w:pStyle w:val="27"/>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.年初结转和结余：指以前年度尚未完成、结转到本年按有关规定继续使用的资金。 </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000000"/>
          <w:sz w:val="32"/>
          <w:szCs w:val="32"/>
        </w:rPr>
        <w:t>公共安全支出（类）司法（款）行政运行（项）：指反映行政单位（包括实行公务员管理的事业单位）的基本支出。</w:t>
      </w:r>
    </w:p>
    <w:p>
      <w:pPr>
        <w:spacing w:line="560" w:lineRule="exact"/>
        <w:ind w:firstLine="640" w:firstLineChars="200"/>
        <w:rPr>
          <w:rStyle w:val="18"/>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公共安全支出（类）司法（款）</w:t>
      </w:r>
      <w:r>
        <w:rPr>
          <w:rStyle w:val="18"/>
          <w:rFonts w:hint="eastAsia" w:ascii="仿宋_GB2312" w:hAnsi="仿宋_GB2312" w:eastAsia="仿宋_GB2312" w:cs="仿宋_GB2312"/>
          <w:b w:val="0"/>
          <w:bCs/>
          <w:color w:val="000000"/>
          <w:sz w:val="32"/>
          <w:szCs w:val="32"/>
        </w:rPr>
        <w:t>基层司法业务（项）：指基层司法业务各项支出，人民调解、安置帮教、司法所经费等。</w:t>
      </w:r>
    </w:p>
    <w:p>
      <w:pPr>
        <w:spacing w:line="560" w:lineRule="exact"/>
        <w:ind w:firstLine="640" w:firstLineChars="200"/>
        <w:rPr>
          <w:rStyle w:val="18"/>
          <w:rFonts w:hint="eastAsia" w:ascii="仿宋_GB2312" w:hAnsi="仿宋_GB2312" w:eastAsia="仿宋_GB2312" w:cs="仿宋_GB2312"/>
          <w:b w:val="0"/>
          <w:bCs/>
          <w:color w:val="000000"/>
          <w:sz w:val="32"/>
          <w:szCs w:val="32"/>
        </w:rPr>
      </w:pPr>
      <w:r>
        <w:rPr>
          <w:rStyle w:val="18"/>
          <w:rFonts w:hint="eastAsia" w:ascii="仿宋_GB2312" w:hAnsi="仿宋_GB2312" w:eastAsia="仿宋_GB2312" w:cs="仿宋_GB2312"/>
          <w:b w:val="0"/>
          <w:bCs/>
          <w:color w:val="000000"/>
          <w:sz w:val="32"/>
          <w:szCs w:val="32"/>
          <w:lang w:val="en-US" w:eastAsia="zh-CN"/>
        </w:rPr>
        <w:t>5</w:t>
      </w:r>
      <w:r>
        <w:rPr>
          <w:rStyle w:val="18"/>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公共安全支出（类）司法（款）</w:t>
      </w:r>
      <w:r>
        <w:rPr>
          <w:rStyle w:val="18"/>
          <w:rFonts w:hint="eastAsia" w:ascii="仿宋_GB2312" w:hAnsi="仿宋_GB2312" w:eastAsia="仿宋_GB2312" w:cs="仿宋_GB2312"/>
          <w:b w:val="0"/>
          <w:bCs/>
          <w:color w:val="000000"/>
          <w:sz w:val="32"/>
          <w:szCs w:val="32"/>
        </w:rPr>
        <w:t>普法宣传（项）：</w:t>
      </w:r>
      <w:r>
        <w:rPr>
          <w:rFonts w:hint="eastAsia" w:ascii="仿宋_GB2312" w:hAnsi="仿宋_GB2312" w:eastAsia="仿宋_GB2312" w:cs="仿宋_GB2312"/>
          <w:color w:val="000000"/>
          <w:sz w:val="32"/>
          <w:szCs w:val="32"/>
        </w:rPr>
        <w:t>指</w:t>
      </w:r>
      <w:r>
        <w:rPr>
          <w:rStyle w:val="18"/>
          <w:rFonts w:hint="eastAsia" w:ascii="仿宋_GB2312" w:hAnsi="仿宋_GB2312" w:eastAsia="仿宋_GB2312" w:cs="仿宋_GB2312"/>
          <w:b w:val="0"/>
          <w:bCs/>
          <w:color w:val="000000"/>
          <w:sz w:val="32"/>
          <w:szCs w:val="32"/>
        </w:rPr>
        <w:t>普法宣传所开支的各项费用，法治宣传教育费、普法栏目制作费、印刷购置等。</w:t>
      </w:r>
    </w:p>
    <w:p>
      <w:pPr>
        <w:pStyle w:val="7"/>
        <w:ind w:left="0" w:leftChars="0" w:firstLine="3168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.公共安全支出（类）司法（款）公共法律服务</w:t>
      </w:r>
      <w:r>
        <w:rPr>
          <w:rStyle w:val="18"/>
          <w:rFonts w:hint="eastAsia" w:ascii="仿宋_GB2312" w:hAnsi="仿宋_GB2312" w:eastAsia="仿宋_GB2312" w:cs="仿宋_GB2312"/>
          <w:b w:val="0"/>
          <w:bCs/>
          <w:color w:val="000000"/>
          <w:sz w:val="32"/>
          <w:szCs w:val="32"/>
        </w:rPr>
        <w:t>（项）：指公共法律服务所开支的各</w:t>
      </w:r>
      <w:r>
        <w:rPr>
          <w:rFonts w:hint="eastAsia" w:ascii="仿宋_GB2312" w:hAnsi="仿宋_GB2312" w:eastAsia="仿宋_GB2312" w:cs="仿宋_GB2312"/>
          <w:color w:val="000000"/>
          <w:sz w:val="32"/>
          <w:szCs w:val="32"/>
        </w:rPr>
        <w:t>项费用，公共法律服务会务费、宣传活动经费、差旅费、文书印制、法律顾问费等。</w:t>
      </w:r>
    </w:p>
    <w:p>
      <w:pPr>
        <w:spacing w:line="560" w:lineRule="exact"/>
        <w:ind w:firstLine="640" w:firstLineChars="200"/>
        <w:rPr>
          <w:rStyle w:val="18"/>
          <w:rFonts w:hint="eastAsia" w:ascii="仿宋_GB2312" w:hAnsi="仿宋_GB2312" w:eastAsia="仿宋_GB2312" w:cs="仿宋_GB2312"/>
          <w:b w:val="0"/>
          <w:bCs/>
          <w:color w:val="000000"/>
          <w:sz w:val="32"/>
          <w:szCs w:val="32"/>
        </w:rPr>
      </w:pPr>
      <w:r>
        <w:rPr>
          <w:rStyle w:val="18"/>
          <w:rFonts w:hint="eastAsia" w:ascii="仿宋_GB2312" w:hAnsi="仿宋_GB2312" w:eastAsia="仿宋_GB2312" w:cs="仿宋_GB2312"/>
          <w:b w:val="0"/>
          <w:bCs/>
          <w:color w:val="000000"/>
          <w:sz w:val="32"/>
          <w:szCs w:val="32"/>
          <w:lang w:val="en-US" w:eastAsia="zh-CN"/>
        </w:rPr>
        <w:t>7</w:t>
      </w:r>
      <w:r>
        <w:rPr>
          <w:rStyle w:val="18"/>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sz w:val="32"/>
          <w:szCs w:val="32"/>
        </w:rPr>
        <w:t>公共安全支出（类）司法（款）</w:t>
      </w:r>
      <w:r>
        <w:rPr>
          <w:rStyle w:val="18"/>
          <w:rFonts w:hint="eastAsia" w:ascii="仿宋_GB2312" w:hAnsi="仿宋_GB2312" w:eastAsia="仿宋_GB2312" w:cs="仿宋_GB2312"/>
          <w:b w:val="0"/>
          <w:bCs/>
          <w:color w:val="000000"/>
          <w:sz w:val="32"/>
          <w:szCs w:val="32"/>
        </w:rPr>
        <w:t>国家统一法律职业资格考试（项）：</w:t>
      </w:r>
      <w:r>
        <w:rPr>
          <w:rStyle w:val="18"/>
          <w:rFonts w:hint="eastAsia" w:ascii="仿宋_GB2312" w:hAnsi="仿宋_GB2312" w:eastAsia="仿宋_GB2312" w:cs="仿宋_GB2312"/>
          <w:b w:val="0"/>
          <w:bCs/>
          <w:sz w:val="32"/>
          <w:szCs w:val="32"/>
        </w:rPr>
        <w:t>指国家统一法律资格考试经费考试费、考务费、考试场地租用费等。</w:t>
      </w:r>
    </w:p>
    <w:p>
      <w:pPr>
        <w:pStyle w:val="27"/>
        <w:spacing w:line="560" w:lineRule="exact"/>
        <w:ind w:firstLine="640" w:firstLineChars="200"/>
        <w:jc w:val="both"/>
        <w:rPr>
          <w:rStyle w:val="18"/>
          <w:rFonts w:hint="eastAsia" w:ascii="仿宋_GB2312" w:hAnsi="仿宋_GB2312" w:eastAsia="仿宋_GB2312" w:cs="仿宋_GB2312"/>
          <w:b w:val="0"/>
          <w:bCs/>
          <w:sz w:val="32"/>
          <w:szCs w:val="32"/>
        </w:rPr>
      </w:pPr>
      <w:r>
        <w:rPr>
          <w:rStyle w:val="18"/>
          <w:rFonts w:hint="eastAsia" w:ascii="仿宋_GB2312" w:hAnsi="仿宋_GB2312" w:eastAsia="仿宋_GB2312" w:cs="仿宋_GB2312"/>
          <w:b w:val="0"/>
          <w:bCs/>
          <w:sz w:val="32"/>
          <w:szCs w:val="32"/>
          <w:lang w:val="en-US" w:eastAsia="zh-CN"/>
        </w:rPr>
        <w:t>8</w:t>
      </w:r>
      <w:r>
        <w:rPr>
          <w:rStyle w:val="18"/>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公共安全支出（类）司法（款）法</w:t>
      </w:r>
      <w:r>
        <w:rPr>
          <w:rFonts w:hint="eastAsia" w:ascii="仿宋_GB2312" w:hAnsi="仿宋_GB2312" w:eastAsia="仿宋_GB2312" w:cs="仿宋_GB2312"/>
          <w:sz w:val="32"/>
          <w:szCs w:val="32"/>
          <w:lang w:val="en-US" w:eastAsia="zh-CN"/>
        </w:rPr>
        <w:t>治</w:t>
      </w:r>
      <w:r>
        <w:rPr>
          <w:rFonts w:hint="eastAsia" w:ascii="仿宋_GB2312" w:hAnsi="仿宋_GB2312" w:eastAsia="仿宋_GB2312" w:cs="仿宋_GB2312"/>
          <w:sz w:val="32"/>
          <w:szCs w:val="32"/>
        </w:rPr>
        <w:t>建设</w:t>
      </w:r>
      <w:r>
        <w:rPr>
          <w:rStyle w:val="18"/>
          <w:rFonts w:hint="eastAsia" w:ascii="仿宋_GB2312" w:hAnsi="仿宋_GB2312" w:eastAsia="仿宋_GB2312" w:cs="仿宋_GB2312"/>
          <w:b w:val="0"/>
          <w:bCs/>
          <w:sz w:val="32"/>
          <w:szCs w:val="32"/>
        </w:rPr>
        <w:t>（项):</w:t>
      </w:r>
      <w:r>
        <w:rPr>
          <w:rFonts w:hint="eastAsia" w:ascii="仿宋_GB2312" w:hAnsi="仿宋_GB2312" w:eastAsia="仿宋_GB2312" w:cs="仿宋_GB2312"/>
          <w:sz w:val="32"/>
          <w:szCs w:val="32"/>
        </w:rPr>
        <w:t>指法制建设工作</w:t>
      </w:r>
      <w:r>
        <w:rPr>
          <w:rStyle w:val="18"/>
          <w:rFonts w:hint="eastAsia" w:ascii="仿宋_GB2312" w:hAnsi="仿宋_GB2312" w:eastAsia="仿宋_GB2312" w:cs="仿宋_GB2312"/>
          <w:b w:val="0"/>
          <w:bCs/>
          <w:sz w:val="32"/>
          <w:szCs w:val="32"/>
        </w:rPr>
        <w:t>所开支的各项费用，包含委托业务费、劳务费、印刷费等。</w:t>
      </w:r>
    </w:p>
    <w:p>
      <w:pPr>
        <w:pStyle w:val="27"/>
        <w:spacing w:line="560" w:lineRule="exact"/>
        <w:ind w:firstLine="640" w:firstLineChars="200"/>
        <w:jc w:val="both"/>
        <w:rPr>
          <w:rStyle w:val="18"/>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.公共安全支出（类）司法（款）事业运行</w:t>
      </w:r>
      <w:r>
        <w:rPr>
          <w:rStyle w:val="18"/>
          <w:rFonts w:hint="eastAsia" w:ascii="仿宋_GB2312" w:hAnsi="仿宋_GB2312" w:eastAsia="仿宋_GB2312" w:cs="仿宋_GB2312"/>
          <w:b w:val="0"/>
          <w:bCs/>
          <w:sz w:val="32"/>
          <w:szCs w:val="32"/>
        </w:rPr>
        <w:t>（项):</w:t>
      </w:r>
      <w:r>
        <w:rPr>
          <w:rFonts w:hint="eastAsia" w:ascii="仿宋_GB2312" w:hAnsi="仿宋_GB2312" w:eastAsia="仿宋_GB2312" w:cs="仿宋_GB2312"/>
          <w:sz w:val="32"/>
          <w:szCs w:val="32"/>
        </w:rPr>
        <w:t>指局机关事业人员</w:t>
      </w:r>
      <w:r>
        <w:rPr>
          <w:rStyle w:val="18"/>
          <w:rFonts w:hint="eastAsia" w:ascii="仿宋_GB2312" w:hAnsi="仿宋_GB2312" w:eastAsia="仿宋_GB2312" w:cs="仿宋_GB2312"/>
          <w:b w:val="0"/>
          <w:bCs/>
          <w:sz w:val="32"/>
          <w:szCs w:val="32"/>
        </w:rPr>
        <w:t>所开支的各项费用，包含事业人员工资、工伤、失业保险费等。</w:t>
      </w:r>
    </w:p>
    <w:p>
      <w:pPr>
        <w:pStyle w:val="27"/>
        <w:spacing w:line="560" w:lineRule="exact"/>
        <w:ind w:firstLine="640" w:firstLineChars="200"/>
        <w:jc w:val="both"/>
        <w:rPr>
          <w:rStyle w:val="18"/>
          <w:rFonts w:hint="eastAsia" w:ascii="仿宋_GB2312" w:hAnsi="仿宋_GB2312" w:eastAsia="仿宋_GB2312" w:cs="仿宋_GB2312"/>
          <w:b w:val="0"/>
          <w:bCs/>
          <w:sz w:val="32"/>
          <w:szCs w:val="32"/>
        </w:rPr>
      </w:pPr>
      <w:r>
        <w:rPr>
          <w:rStyle w:val="18"/>
          <w:rFonts w:hint="eastAsia" w:ascii="仿宋_GB2312" w:hAnsi="仿宋_GB2312" w:eastAsia="仿宋_GB2312" w:cs="仿宋_GB2312"/>
          <w:b w:val="0"/>
          <w:bCs/>
          <w:sz w:val="32"/>
          <w:szCs w:val="32"/>
        </w:rPr>
        <w:t>1</w:t>
      </w:r>
      <w:r>
        <w:rPr>
          <w:rStyle w:val="18"/>
          <w:rFonts w:hint="eastAsia" w:ascii="仿宋_GB2312" w:hAnsi="仿宋_GB2312" w:eastAsia="仿宋_GB2312" w:cs="仿宋_GB2312"/>
          <w:b w:val="0"/>
          <w:bCs/>
          <w:sz w:val="32"/>
          <w:szCs w:val="32"/>
          <w:lang w:val="en-US" w:eastAsia="zh-CN"/>
        </w:rPr>
        <w:t>0</w:t>
      </w:r>
      <w:r>
        <w:rPr>
          <w:rStyle w:val="18"/>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公共安全支出（类）司法（款）</w:t>
      </w:r>
      <w:r>
        <w:rPr>
          <w:rStyle w:val="18"/>
          <w:rFonts w:hint="eastAsia" w:ascii="仿宋_GB2312" w:hAnsi="仿宋_GB2312" w:eastAsia="仿宋_GB2312" w:cs="仿宋_GB2312"/>
          <w:b w:val="0"/>
          <w:bCs/>
          <w:sz w:val="32"/>
          <w:szCs w:val="32"/>
        </w:rPr>
        <w:t>其他司法支出（项）：指人民监督经费、</w:t>
      </w:r>
      <w:r>
        <w:rPr>
          <w:rStyle w:val="18"/>
          <w:rFonts w:hint="eastAsia" w:ascii="仿宋_GB2312" w:hAnsi="仿宋_GB2312" w:eastAsia="仿宋_GB2312" w:cs="仿宋_GB2312"/>
          <w:b w:val="0"/>
          <w:bCs/>
          <w:sz w:val="32"/>
          <w:szCs w:val="32"/>
          <w:lang w:val="en-US" w:eastAsia="zh-CN"/>
        </w:rPr>
        <w:t>乡村振兴工作经</w:t>
      </w:r>
      <w:r>
        <w:rPr>
          <w:rStyle w:val="18"/>
          <w:rFonts w:hint="eastAsia" w:ascii="仿宋_GB2312" w:hAnsi="仿宋_GB2312" w:eastAsia="仿宋_GB2312" w:cs="仿宋_GB2312"/>
          <w:b w:val="0"/>
          <w:bCs/>
          <w:sz w:val="32"/>
          <w:szCs w:val="32"/>
        </w:rPr>
        <w:t>费及未纳入上述开支范围的其他司法业务支出。</w:t>
      </w:r>
    </w:p>
    <w:p>
      <w:pPr>
        <w:pStyle w:val="27"/>
        <w:spacing w:line="560" w:lineRule="exact"/>
        <w:ind w:firstLine="640" w:firstLineChars="200"/>
        <w:jc w:val="both"/>
        <w:rPr>
          <w:rStyle w:val="18"/>
          <w:rFonts w:hint="eastAsia" w:ascii="仿宋_GB2312" w:hAnsi="仿宋_GB2312" w:eastAsia="仿宋_GB2312" w:cs="仿宋_GB2312"/>
          <w:b w:val="0"/>
          <w:bCs/>
          <w:sz w:val="32"/>
          <w:szCs w:val="32"/>
          <w:lang w:val="en-US" w:eastAsia="zh-CN"/>
        </w:rPr>
      </w:pPr>
      <w:r>
        <w:rPr>
          <w:rStyle w:val="18"/>
          <w:rFonts w:hint="eastAsia" w:ascii="仿宋_GB2312" w:hAnsi="仿宋_GB2312" w:eastAsia="仿宋_GB2312" w:cs="仿宋_GB2312"/>
          <w:b w:val="0"/>
          <w:bCs/>
          <w:color w:val="000000"/>
          <w:sz w:val="32"/>
          <w:szCs w:val="32"/>
          <w:lang w:val="en-US" w:eastAsia="zh-CN"/>
        </w:rPr>
        <w:t>11.</w:t>
      </w:r>
      <w:r>
        <w:rPr>
          <w:rStyle w:val="18"/>
          <w:rFonts w:hint="eastAsia" w:ascii="仿宋_GB2312" w:hAnsi="仿宋_GB2312" w:eastAsia="仿宋_GB2312" w:cs="仿宋_GB2312"/>
          <w:b w:val="0"/>
          <w:bCs/>
          <w:color w:val="000000"/>
          <w:sz w:val="32"/>
          <w:szCs w:val="32"/>
        </w:rPr>
        <w:t>社会保障和就业（类）</w:t>
      </w:r>
      <w:r>
        <w:rPr>
          <w:rStyle w:val="18"/>
          <w:rFonts w:hint="eastAsia" w:ascii="仿宋_GB2312" w:hAnsi="仿宋_GB2312" w:eastAsia="仿宋_GB2312" w:cs="仿宋_GB2312"/>
          <w:b w:val="0"/>
          <w:bCs/>
          <w:color w:val="000000"/>
          <w:sz w:val="32"/>
          <w:szCs w:val="32"/>
          <w:lang w:val="en-US" w:eastAsia="zh-CN"/>
        </w:rPr>
        <w:t>人力资源和社会保障管理事务</w:t>
      </w:r>
      <w:r>
        <w:rPr>
          <w:rStyle w:val="18"/>
          <w:rFonts w:hint="eastAsia" w:ascii="仿宋_GB2312" w:hAnsi="仿宋_GB2312" w:eastAsia="仿宋_GB2312" w:cs="仿宋_GB2312"/>
          <w:b w:val="0"/>
          <w:bCs/>
          <w:color w:val="000000"/>
          <w:sz w:val="32"/>
          <w:szCs w:val="32"/>
        </w:rPr>
        <w:t>（款）</w:t>
      </w:r>
      <w:r>
        <w:rPr>
          <w:rStyle w:val="18"/>
          <w:rFonts w:hint="eastAsia" w:ascii="仿宋_GB2312" w:hAnsi="仿宋_GB2312" w:eastAsia="仿宋_GB2312" w:cs="仿宋_GB2312"/>
          <w:b w:val="0"/>
          <w:bCs/>
          <w:color w:val="000000"/>
          <w:sz w:val="32"/>
          <w:szCs w:val="32"/>
          <w:lang w:val="en-US" w:eastAsia="zh-CN"/>
        </w:rPr>
        <w:t>其他人力资源和社会保障管理事务</w:t>
      </w:r>
      <w:r>
        <w:rPr>
          <w:rStyle w:val="18"/>
          <w:rFonts w:hint="eastAsia" w:ascii="仿宋_GB2312" w:hAnsi="仿宋_GB2312" w:eastAsia="仿宋_GB2312" w:cs="仿宋_GB2312"/>
          <w:b w:val="0"/>
          <w:bCs/>
          <w:color w:val="000000"/>
          <w:sz w:val="32"/>
          <w:szCs w:val="32"/>
        </w:rPr>
        <w:t>支出（项）</w:t>
      </w:r>
      <w:r>
        <w:rPr>
          <w:rStyle w:val="18"/>
          <w:rFonts w:hint="eastAsia" w:ascii="仿宋_GB2312" w:hAnsi="仿宋_GB2312" w:eastAsia="仿宋_GB2312" w:cs="仿宋_GB2312"/>
          <w:b w:val="0"/>
          <w:bCs/>
          <w:color w:val="000000"/>
          <w:sz w:val="32"/>
          <w:szCs w:val="32"/>
          <w:lang w:eastAsia="zh-CN"/>
        </w:rPr>
        <w:t>：</w:t>
      </w:r>
      <w:r>
        <w:rPr>
          <w:rStyle w:val="18"/>
          <w:rFonts w:hint="eastAsia" w:ascii="仿宋_GB2312" w:hAnsi="仿宋_GB2312" w:eastAsia="仿宋_GB2312" w:cs="仿宋_GB2312"/>
          <w:b w:val="0"/>
          <w:bCs/>
          <w:color w:val="000000"/>
          <w:sz w:val="32"/>
          <w:szCs w:val="32"/>
          <w:lang w:val="en-US" w:eastAsia="zh-CN"/>
        </w:rPr>
        <w:t>指</w:t>
      </w:r>
      <w:r>
        <w:rPr>
          <w:rFonts w:hint="eastAsia" w:ascii="仿宋_GB2312" w:hAnsi="仿宋_GB2312" w:eastAsia="仿宋_GB2312" w:cs="仿宋_GB2312"/>
          <w:color w:val="000000"/>
          <w:sz w:val="32"/>
          <w:szCs w:val="32"/>
        </w:rPr>
        <w:t>反映机关事业单位</w:t>
      </w:r>
      <w:r>
        <w:rPr>
          <w:rFonts w:hint="eastAsia" w:ascii="仿宋_GB2312" w:hAnsi="仿宋_GB2312" w:eastAsia="仿宋_GB2312" w:cs="仿宋_GB2312"/>
          <w:color w:val="000000"/>
          <w:sz w:val="32"/>
          <w:szCs w:val="32"/>
          <w:lang w:val="en-US" w:eastAsia="zh-CN"/>
        </w:rPr>
        <w:t>用于其他人力资源和社会保障管理事务的支出。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Style w:val="18"/>
          <w:rFonts w:hint="eastAsia" w:ascii="仿宋_GB2312" w:hAnsi="仿宋_GB2312" w:eastAsia="仿宋_GB2312" w:cs="仿宋_GB2312"/>
          <w:b w:val="0"/>
          <w:bCs/>
          <w:color w:val="000000"/>
          <w:sz w:val="32"/>
          <w:szCs w:val="32"/>
        </w:rPr>
        <w:t>社会保障和就业（类）行政事业单位</w:t>
      </w:r>
      <w:r>
        <w:rPr>
          <w:rStyle w:val="18"/>
          <w:rFonts w:hint="eastAsia" w:ascii="仿宋_GB2312" w:hAnsi="仿宋_GB2312" w:eastAsia="仿宋_GB2312" w:cs="仿宋_GB2312"/>
          <w:b w:val="0"/>
          <w:bCs/>
          <w:color w:val="000000"/>
          <w:sz w:val="32"/>
          <w:szCs w:val="32"/>
          <w:lang w:val="en-US" w:eastAsia="zh-CN"/>
        </w:rPr>
        <w:t>养老支出</w:t>
      </w:r>
      <w:r>
        <w:rPr>
          <w:rStyle w:val="18"/>
          <w:rFonts w:hint="eastAsia" w:ascii="仿宋_GB2312" w:hAnsi="仿宋_GB2312" w:eastAsia="仿宋_GB2312" w:cs="仿宋_GB2312"/>
          <w:b w:val="0"/>
          <w:bCs/>
          <w:color w:val="000000"/>
          <w:sz w:val="32"/>
          <w:szCs w:val="32"/>
        </w:rPr>
        <w:t>（款）机关事业单位基本养老保险缴费支出（项）</w:t>
      </w:r>
      <w:r>
        <w:rPr>
          <w:rFonts w:hint="eastAsia" w:ascii="仿宋_GB2312" w:hAnsi="仿宋_GB2312" w:eastAsia="仿宋_GB2312" w:cs="仿宋_GB2312"/>
          <w:color w:val="000000"/>
          <w:sz w:val="32"/>
          <w:szCs w:val="32"/>
        </w:rPr>
        <w:t>：指反映机关事业单位实施养老保险制度由单位缴纳的基本养老保险费支出。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Style w:val="18"/>
          <w:rFonts w:hint="eastAsia" w:ascii="仿宋_GB2312" w:hAnsi="仿宋_GB2312" w:eastAsia="仿宋_GB2312" w:cs="仿宋_GB2312"/>
          <w:b w:val="0"/>
          <w:bCs/>
          <w:color w:val="000000"/>
          <w:sz w:val="32"/>
          <w:szCs w:val="32"/>
        </w:rPr>
        <w:t>社会保障和就业（类）行政事业单位养老支出（款）机关事业单位职业年金缴费支出（项）</w:t>
      </w:r>
      <w:r>
        <w:rPr>
          <w:rFonts w:hint="eastAsia" w:ascii="仿宋_GB2312" w:hAnsi="仿宋_GB2312" w:eastAsia="仿宋_GB2312" w:cs="仿宋_GB2312"/>
          <w:color w:val="000000"/>
          <w:sz w:val="32"/>
          <w:szCs w:val="32"/>
        </w:rPr>
        <w:t>：指反映机关事业单位缴纳的职业年金支出。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Style w:val="18"/>
          <w:rFonts w:hint="eastAsia" w:ascii="仿宋_GB2312" w:hAnsi="仿宋_GB2312" w:eastAsia="仿宋_GB2312" w:cs="仿宋_GB2312"/>
          <w:b w:val="0"/>
          <w:bCs/>
          <w:color w:val="000000"/>
          <w:sz w:val="32"/>
          <w:szCs w:val="32"/>
        </w:rPr>
        <w:t>社会保障和就业（类）抚恤（款）死亡抚恤（项）</w:t>
      </w:r>
      <w:r>
        <w:rPr>
          <w:rFonts w:hint="eastAsia" w:ascii="仿宋_GB2312" w:hAnsi="仿宋_GB2312" w:eastAsia="仿宋_GB2312" w:cs="仿宋_GB2312"/>
          <w:color w:val="000000"/>
          <w:sz w:val="32"/>
          <w:szCs w:val="32"/>
        </w:rPr>
        <w:t>：指反映机关事业单位退休人员的死亡抚恤金支出。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 卫生健康（类）行政事业单位医疗（款）行政单位医疗（项）：指反映财政部门集中安排的行政单位基本医疗保险缴费经费，未参加医疗保险的行政单位的公费医疗经费，按国家规定享受离休人员、红军老战士待遇人员的医疗经费。</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.住房保障支出（类）住房改革支出（款）住房公积金（项）：指反映行政事业单位按人力资源和社会保障部、财政部规定的基本工资和津贴补贴以及规定比例为职工缴纳的住房公积金。</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 xml:space="preserve">.项目支出：指在基本支出之外为完成特定行政任务和事业发展目标所发生的支出。 </w:t>
      </w:r>
    </w:p>
    <w:p>
      <w:pPr>
        <w:pStyle w:val="27"/>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pStyle w:val="7"/>
      </w:pPr>
    </w:p>
    <w:p>
      <w:pPr>
        <w:spacing w:line="600" w:lineRule="exact"/>
        <w:jc w:val="center"/>
        <w:outlineLvl w:val="0"/>
        <w:rPr>
          <w:rStyle w:val="29"/>
          <w:rFonts w:hint="eastAsia" w:ascii="黑体" w:hAnsi="黑体" w:eastAsia="黑体"/>
          <w:b w:val="0"/>
          <w:color w:val="auto"/>
          <w:highlight w:val="none"/>
          <w:lang w:eastAsia="zh-CN"/>
        </w:rPr>
      </w:pPr>
      <w:bookmarkStart w:id="131" w:name="_Toc15377226"/>
      <w:r>
        <w:rPr>
          <w:rFonts w:ascii="宋体"/>
          <w:b/>
          <w:color w:val="auto"/>
          <w:sz w:val="44"/>
          <w:szCs w:val="44"/>
          <w:highlight w:val="none"/>
        </w:rPr>
        <w:br w:type="page"/>
      </w:r>
      <w:bookmarkStart w:id="132" w:name="_Toc1528552175"/>
      <w:bookmarkStart w:id="133" w:name="_Toc568855620"/>
      <w:bookmarkStart w:id="134" w:name="_Toc15396614"/>
      <w:bookmarkStart w:id="135" w:name="_Toc1855132997"/>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132"/>
      <w:bookmarkEnd w:id="133"/>
      <w:bookmarkEnd w:id="134"/>
      <w:bookmarkEnd w:id="135"/>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bookmarkStart w:id="136" w:name="_Toc1129894358"/>
      <w:bookmarkStart w:id="137" w:name="_Toc1878894872"/>
      <w:bookmarkStart w:id="138" w:name="_Toc1909625286"/>
      <w:r>
        <w:rPr>
          <w:rFonts w:hint="eastAsia" w:ascii="黑体" w:hAnsi="黑体" w:eastAsia="黑体" w:cs="黑体"/>
          <w:color w:val="auto"/>
          <w:sz w:val="32"/>
          <w:szCs w:val="32"/>
          <w:highlight w:val="none"/>
        </w:rPr>
        <w:t>附件</w:t>
      </w:r>
      <w:bookmarkEnd w:id="136"/>
      <w:bookmarkEnd w:id="137"/>
      <w:bookmarkEnd w:id="138"/>
    </w:p>
    <w:p>
      <w:pPr>
        <w:keepNext w:val="0"/>
        <w:keepLines w:val="0"/>
        <w:pageBreakBefore w:val="0"/>
        <w:widowControl/>
        <w:kinsoku/>
        <w:wordWrap/>
        <w:overflowPunct/>
        <w:topLinePunct w:val="0"/>
        <w:autoSpaceDE/>
        <w:autoSpaceDN/>
        <w:bidi w:val="0"/>
        <w:spacing w:line="536" w:lineRule="exact"/>
        <w:contextualSpacing/>
        <w:jc w:val="both"/>
        <w:textAlignment w:val="auto"/>
        <w:rPr>
          <w:rFonts w:hint="eastAsia" w:ascii="方正小标宋简体" w:hAnsi="方正小标宋简体" w:eastAsia="方正小标宋简体" w:cs="方正小标宋简体"/>
          <w:b w:val="0"/>
          <w:bCs w:val="0"/>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36" w:lineRule="exact"/>
        <w:contextualSpacing/>
        <w:jc w:val="center"/>
        <w:textAlignment w:val="auto"/>
        <w:rPr>
          <w:rFonts w:hint="eastAsia" w:ascii="方正小标宋简体" w:hAnsi="方正小标宋简体" w:eastAsia="方正小标宋简体" w:cs="方正小标宋简体"/>
          <w:b w:val="0"/>
          <w:bCs w:val="0"/>
          <w:sz w:val="44"/>
          <w:szCs w:val="44"/>
          <w:highlight w:val="none"/>
          <w:shd w:val="clear" w:color="auto" w:fill="FFFFFF"/>
          <w:lang w:eastAsia="zh-CN"/>
        </w:rPr>
      </w:pPr>
      <w:r>
        <w:rPr>
          <w:rFonts w:hint="eastAsia" w:ascii="方正小标宋简体" w:hAnsi="方正小标宋简体" w:eastAsia="方正小标宋简体" w:cs="方正小标宋简体"/>
          <w:b w:val="0"/>
          <w:bCs w:val="0"/>
          <w:sz w:val="44"/>
          <w:szCs w:val="44"/>
          <w:highlight w:val="none"/>
          <w:shd w:val="clear" w:color="auto" w:fill="FFFFFF"/>
        </w:rPr>
        <w:t>20</w:t>
      </w:r>
      <w:r>
        <w:rPr>
          <w:rFonts w:hint="eastAsia" w:ascii="方正小标宋简体" w:hAnsi="方正小标宋简体" w:eastAsia="方正小标宋简体" w:cs="方正小标宋简体"/>
          <w:b w:val="0"/>
          <w:bCs w:val="0"/>
          <w:sz w:val="44"/>
          <w:szCs w:val="44"/>
          <w:highlight w:val="none"/>
          <w:shd w:val="clear" w:color="auto" w:fill="FFFFFF"/>
          <w:lang w:val="en-US" w:eastAsia="zh-CN"/>
        </w:rPr>
        <w:t>23</w:t>
      </w:r>
      <w:r>
        <w:rPr>
          <w:rFonts w:hint="eastAsia" w:ascii="方正小标宋简体" w:hAnsi="方正小标宋简体" w:eastAsia="方正小标宋简体" w:cs="方正小标宋简体"/>
          <w:b w:val="0"/>
          <w:bCs w:val="0"/>
          <w:sz w:val="44"/>
          <w:szCs w:val="44"/>
          <w:highlight w:val="none"/>
          <w:shd w:val="clear" w:color="auto" w:fill="FFFFFF"/>
        </w:rPr>
        <w:t>年</w:t>
      </w:r>
      <w:r>
        <w:rPr>
          <w:rFonts w:hint="eastAsia" w:ascii="方正小标宋简体" w:hAnsi="方正小标宋简体" w:eastAsia="方正小标宋简体" w:cs="方正小标宋简体"/>
          <w:b w:val="0"/>
          <w:bCs w:val="0"/>
          <w:sz w:val="44"/>
          <w:szCs w:val="44"/>
          <w:highlight w:val="none"/>
          <w:shd w:val="clear" w:color="auto" w:fill="FFFFFF"/>
          <w:lang w:eastAsia="zh-CN"/>
        </w:rPr>
        <w:t>广元市司法局</w:t>
      </w:r>
    </w:p>
    <w:p>
      <w:pPr>
        <w:keepNext w:val="0"/>
        <w:keepLines w:val="0"/>
        <w:pageBreakBefore w:val="0"/>
        <w:widowControl/>
        <w:kinsoku/>
        <w:wordWrap/>
        <w:overflowPunct/>
        <w:topLinePunct w:val="0"/>
        <w:autoSpaceDE/>
        <w:autoSpaceDN/>
        <w:bidi w:val="0"/>
        <w:spacing w:line="536" w:lineRule="exact"/>
        <w:contextualSpacing/>
        <w:jc w:val="center"/>
        <w:textAlignment w:val="auto"/>
        <w:rPr>
          <w:rFonts w:hint="eastAsia" w:ascii="方正小标宋简体" w:hAnsi="方正小标宋简体" w:eastAsia="方正小标宋简体" w:cs="方正小标宋简体"/>
          <w:b w:val="0"/>
          <w:bCs w:val="0"/>
          <w:sz w:val="44"/>
          <w:szCs w:val="44"/>
          <w:highlight w:val="none"/>
          <w:shd w:val="clear" w:color="auto" w:fill="FFFFFF"/>
        </w:rPr>
      </w:pPr>
      <w:r>
        <w:rPr>
          <w:rFonts w:hint="eastAsia" w:ascii="方正小标宋简体" w:hAnsi="方正小标宋简体" w:eastAsia="方正小标宋简体" w:cs="方正小标宋简体"/>
          <w:b w:val="0"/>
          <w:bCs w:val="0"/>
          <w:sz w:val="44"/>
          <w:szCs w:val="44"/>
          <w:highlight w:val="none"/>
          <w:shd w:val="clear" w:color="auto" w:fill="FFFFFF"/>
        </w:rPr>
        <w:t>整体</w:t>
      </w:r>
      <w:r>
        <w:rPr>
          <w:rFonts w:hint="eastAsia" w:ascii="方正小标宋简体" w:hAnsi="方正小标宋简体" w:eastAsia="方正小标宋简体" w:cs="方正小标宋简体"/>
          <w:b w:val="0"/>
          <w:bCs w:val="0"/>
          <w:sz w:val="44"/>
          <w:szCs w:val="44"/>
          <w:highlight w:val="none"/>
          <w:shd w:val="clear" w:color="auto" w:fill="FFFFFF"/>
          <w:lang w:eastAsia="zh-CN"/>
        </w:rPr>
        <w:t>支出</w:t>
      </w:r>
      <w:r>
        <w:rPr>
          <w:rFonts w:hint="eastAsia" w:ascii="方正小标宋简体" w:hAnsi="方正小标宋简体" w:eastAsia="方正小标宋简体" w:cs="方正小标宋简体"/>
          <w:b w:val="0"/>
          <w:bCs w:val="0"/>
          <w:sz w:val="44"/>
          <w:szCs w:val="44"/>
          <w:highlight w:val="none"/>
          <w:shd w:val="clear" w:color="auto" w:fill="FFFFFF"/>
        </w:rPr>
        <w:t>绩效</w:t>
      </w:r>
      <w:r>
        <w:rPr>
          <w:rFonts w:hint="eastAsia" w:ascii="方正小标宋简体" w:hAnsi="方正小标宋简体" w:eastAsia="方正小标宋简体" w:cs="方正小标宋简体"/>
          <w:b w:val="0"/>
          <w:bCs w:val="0"/>
          <w:sz w:val="44"/>
          <w:szCs w:val="44"/>
          <w:highlight w:val="none"/>
          <w:shd w:val="clear" w:color="auto" w:fill="FFFFFF"/>
          <w:lang w:eastAsia="zh-CN"/>
        </w:rPr>
        <w:t>自评</w:t>
      </w:r>
      <w:r>
        <w:rPr>
          <w:rFonts w:hint="eastAsia" w:ascii="方正小标宋简体" w:hAnsi="方正小标宋简体" w:eastAsia="方正小标宋简体" w:cs="方正小标宋简体"/>
          <w:b w:val="0"/>
          <w:bCs w:val="0"/>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36" w:lineRule="exact"/>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eastAsia="zh-CN"/>
        </w:rPr>
      </w:pPr>
    </w:p>
    <w:p>
      <w:pPr>
        <w:keepNext w:val="0"/>
        <w:keepLines w:val="0"/>
        <w:pageBreakBefore w:val="0"/>
        <w:widowControl/>
        <w:kinsoku/>
        <w:wordWrap/>
        <w:overflowPunct/>
        <w:topLinePunct w:val="0"/>
        <w:autoSpaceDE/>
        <w:autoSpaceDN/>
        <w:bidi w:val="0"/>
        <w:adjustRightInd w:val="0"/>
        <w:snapToGrid w:val="0"/>
        <w:spacing w:line="536" w:lineRule="exact"/>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eastAsia="zh-CN"/>
        </w:rPr>
      </w:pPr>
      <w:r>
        <w:rPr>
          <w:rFonts w:hint="eastAsia" w:ascii="仿宋_GB2312" w:hAnsi="仿宋_GB2312" w:eastAsia="仿宋_GB2312" w:cs="仿宋_GB2312"/>
          <w:b w:val="0"/>
          <w:bCs w:val="0"/>
          <w:color w:val="000000"/>
          <w:kern w:val="0"/>
          <w:sz w:val="32"/>
          <w:szCs w:val="32"/>
          <w:highlight w:val="none"/>
          <w:shd w:val="clear" w:color="auto" w:fill="FFFFFF"/>
          <w:lang w:eastAsia="zh-CN"/>
        </w:rPr>
        <w:t>广元市财政局：</w:t>
      </w:r>
    </w:p>
    <w:p>
      <w:pPr>
        <w:keepNext w:val="0"/>
        <w:keepLines w:val="0"/>
        <w:pageBreakBefore w:val="0"/>
        <w:widowControl/>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按照《广元市财政局关于开展2022年度市级部门绩效自评工作的通知》（广财绩</w:t>
      </w:r>
      <w:r>
        <w:rPr>
          <w:rFonts w:hint="eastAsia" w:ascii="仿宋_GB2312" w:hAnsi="仿宋_GB2312" w:eastAsia="仿宋_GB2312" w:cs="仿宋_GB2312"/>
          <w:b w:val="0"/>
          <w:bCs w:val="0"/>
          <w:color w:val="000000"/>
          <w:kern w:val="0"/>
          <w:sz w:val="32"/>
          <w:szCs w:val="32"/>
          <w:highlight w:val="none"/>
          <w:shd w:val="clear" w:color="auto" w:fill="FFFFFF"/>
          <w:lang w:eastAsia="zh-CN"/>
        </w:rPr>
        <w:t>〔202</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w:t>
      </w:r>
      <w:r>
        <w:rPr>
          <w:rFonts w:hint="eastAsia" w:ascii="仿宋_GB2312" w:hAnsi="仿宋_GB2312" w:eastAsia="仿宋_GB2312" w:cs="仿宋_GB2312"/>
          <w:b w:val="0"/>
          <w:bCs w:val="0"/>
          <w:color w:val="000000"/>
          <w:kern w:val="0"/>
          <w:sz w:val="32"/>
          <w:szCs w:val="32"/>
          <w:highlight w:val="none"/>
          <w:shd w:val="clear" w:color="auto" w:fill="FFFFFF"/>
          <w:lang w:eastAsia="zh-CN"/>
        </w:rPr>
        <w:t>〕</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5</w:t>
      </w:r>
      <w:r>
        <w:rPr>
          <w:rFonts w:hint="eastAsia" w:ascii="仿宋_GB2312" w:hAnsi="仿宋_GB2312" w:eastAsia="仿宋_GB2312" w:cs="仿宋_GB2312"/>
          <w:b w:val="0"/>
          <w:bCs w:val="0"/>
          <w:color w:val="000000"/>
          <w:kern w:val="0"/>
          <w:sz w:val="32"/>
          <w:szCs w:val="32"/>
          <w:highlight w:val="none"/>
          <w:shd w:val="clear" w:color="auto" w:fill="FFFFFF"/>
          <w:lang w:eastAsia="zh-CN"/>
        </w:rPr>
        <w:t>号</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）要求，现将广元市司法局（含机关和下属单位）整体支出绩效自评报告如下：</w:t>
      </w:r>
    </w:p>
    <w:p>
      <w:pPr>
        <w:pStyle w:val="2"/>
        <w:keepNext w:val="0"/>
        <w:keepLines w:val="0"/>
        <w:pageBreakBefore w:val="0"/>
        <w:widowControl w:val="0"/>
        <w:kinsoku/>
        <w:wordWrap/>
        <w:overflowPunct/>
        <w:topLinePunct w:val="0"/>
        <w:autoSpaceDE/>
        <w:autoSpaceDN/>
        <w:bidi w:val="0"/>
        <w:adjustRightInd/>
        <w:snapToGrid/>
        <w:spacing w:after="0" w:line="536" w:lineRule="exact"/>
        <w:ind w:firstLine="640" w:firstLineChars="200"/>
        <w:textAlignment w:val="auto"/>
        <w:rPr>
          <w:rFonts w:hint="eastAsia" w:ascii="黑体" w:hAnsi="黑体" w:eastAsia="黑体" w:cs="黑体"/>
          <w:b w:val="0"/>
          <w:bCs w:val="0"/>
          <w:color w:val="000000"/>
          <w:kern w:val="0"/>
          <w:szCs w:val="32"/>
          <w:highlight w:val="none"/>
          <w:shd w:val="clear" w:color="auto" w:fill="FFFFFF"/>
          <w:lang w:val="zh-CN"/>
        </w:rPr>
      </w:pPr>
      <w:r>
        <w:rPr>
          <w:rFonts w:hint="eastAsia" w:ascii="黑体" w:hAnsi="黑体" w:eastAsia="黑体" w:cs="黑体"/>
          <w:b w:val="0"/>
          <w:bCs w:val="0"/>
          <w:color w:val="000000"/>
          <w:kern w:val="0"/>
          <w:sz w:val="32"/>
          <w:szCs w:val="32"/>
          <w:highlight w:val="none"/>
          <w:shd w:val="clear" w:color="auto" w:fill="FFFFFF"/>
          <w:lang w:val="en-US" w:eastAsia="zh-CN"/>
        </w:rPr>
        <w:t>一、</w:t>
      </w:r>
      <w:r>
        <w:rPr>
          <w:rFonts w:hint="eastAsia" w:ascii="黑体" w:hAnsi="黑体" w:eastAsia="黑体" w:cs="黑体"/>
          <w:b w:val="0"/>
          <w:bCs w:val="0"/>
          <w:color w:val="000000"/>
          <w:kern w:val="0"/>
          <w:szCs w:val="32"/>
          <w:highlight w:val="none"/>
          <w:shd w:val="clear" w:color="auto" w:fill="FFFFFF"/>
          <w:lang w:val="zh-CN"/>
        </w:rPr>
        <w:t>部门（单位）基本情况</w:t>
      </w:r>
    </w:p>
    <w:p>
      <w:pPr>
        <w:pStyle w:val="2"/>
        <w:keepNext w:val="0"/>
        <w:keepLines w:val="0"/>
        <w:pageBreakBefore w:val="0"/>
        <w:widowControl w:val="0"/>
        <w:kinsoku/>
        <w:wordWrap/>
        <w:overflowPunct/>
        <w:topLinePunct w:val="0"/>
        <w:autoSpaceDE/>
        <w:autoSpaceDN/>
        <w:bidi w:val="0"/>
        <w:spacing w:after="0" w:line="536" w:lineRule="exact"/>
        <w:ind w:firstLine="600" w:firstLineChars="200"/>
        <w:textAlignment w:val="auto"/>
        <w:rPr>
          <w:rFonts w:hint="eastAsia" w:ascii="楷体_GB2312" w:hAnsi="楷体_GB2312" w:eastAsia="楷体_GB2312" w:cs="楷体_GB2312"/>
          <w:b w:val="0"/>
          <w:bCs w:val="0"/>
          <w:color w:val="000000"/>
          <w:kern w:val="0"/>
          <w:szCs w:val="32"/>
          <w:highlight w:val="none"/>
          <w:shd w:val="clear" w:color="auto" w:fill="FFFFFF"/>
          <w:lang w:val="zh-CN"/>
        </w:rPr>
      </w:pPr>
      <w:r>
        <w:rPr>
          <w:rFonts w:hint="eastAsia" w:ascii="楷体_GB2312" w:hAnsi="楷体_GB2312" w:eastAsia="楷体_GB2312" w:cs="楷体_GB2312"/>
          <w:b w:val="0"/>
          <w:bCs w:val="0"/>
          <w:color w:val="000000"/>
          <w:kern w:val="0"/>
          <w:szCs w:val="32"/>
          <w:highlight w:val="none"/>
          <w:shd w:val="clear" w:color="auto" w:fill="FFFFFF"/>
          <w:lang w:val="zh-CN"/>
        </w:rPr>
        <w:t>（一）机构组成</w:t>
      </w:r>
    </w:p>
    <w:p>
      <w:pPr>
        <w:keepNext w:val="0"/>
        <w:keepLines w:val="0"/>
        <w:pageBreakBefore w:val="0"/>
        <w:widowControl w:val="0"/>
        <w:kinsoku/>
        <w:wordWrap/>
        <w:overflowPunct/>
        <w:topLinePunct w:val="0"/>
        <w:autoSpaceDE/>
        <w:autoSpaceDN/>
        <w:bidi w:val="0"/>
        <w:spacing w:line="53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广元市司法局下属事业单位5个，其中行政单位0个，参照公务员法管理的事业单位</w:t>
      </w: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个，其他事业单位4个。</w:t>
      </w:r>
      <w:r>
        <w:rPr>
          <w:rFonts w:hint="eastAsia" w:ascii="仿宋_GB2312" w:hAnsi="仿宋_GB2312" w:eastAsia="仿宋_GB2312" w:cs="仿宋_GB2312"/>
          <w:color w:val="000000"/>
          <w:sz w:val="32"/>
          <w:szCs w:val="32"/>
        </w:rPr>
        <w:t>纳入广元市司法局202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年度部门决算编制范围的二级事业单位包括：</w:t>
      </w:r>
      <w:r>
        <w:rPr>
          <w:rFonts w:hint="eastAsia" w:ascii="仿宋_GB2312" w:hAnsi="仿宋_GB2312" w:eastAsia="仿宋_GB2312" w:cs="仿宋_GB2312"/>
          <w:sz w:val="32"/>
          <w:szCs w:val="32"/>
        </w:rPr>
        <w:t>市法律援助中心、市医患纠纷调解中心、市行政法律服务中心、市恒信公证处、广元仲裁委秘书处。</w:t>
      </w:r>
    </w:p>
    <w:p>
      <w:pPr>
        <w:keepNext w:val="0"/>
        <w:keepLines w:val="0"/>
        <w:pageBreakBefore w:val="0"/>
        <w:widowControl w:val="0"/>
        <w:kinsoku/>
        <w:wordWrap/>
        <w:overflowPunct/>
        <w:topLinePunct w:val="0"/>
        <w:autoSpaceDE/>
        <w:autoSpaceDN/>
        <w:bidi w:val="0"/>
        <w:spacing w:line="536" w:lineRule="exact"/>
        <w:ind w:firstLine="640" w:firstLineChars="200"/>
        <w:textAlignment w:val="auto"/>
        <w:rPr>
          <w:rFonts w:hint="eastAsia" w:ascii="楷体_GB2312" w:hAnsi="楷体_GB2312" w:eastAsia="楷体_GB2312" w:cs="楷体_GB2312"/>
          <w:b w:val="0"/>
          <w:bCs w:val="0"/>
          <w:color w:val="000000"/>
          <w:kern w:val="0"/>
          <w:sz w:val="30"/>
          <w:szCs w:val="32"/>
          <w:highlight w:val="none"/>
          <w:shd w:val="clear" w:color="auto" w:fill="FFFFFF"/>
          <w:lang w:val="zh-CN" w:eastAsia="zh-CN" w:bidi="ar-SA"/>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b w:val="0"/>
          <w:bCs w:val="0"/>
          <w:color w:val="000000"/>
          <w:kern w:val="0"/>
          <w:sz w:val="30"/>
          <w:szCs w:val="32"/>
          <w:highlight w:val="none"/>
          <w:shd w:val="clear" w:color="auto" w:fill="FFFFFF"/>
          <w:lang w:val="zh-CN" w:eastAsia="zh-CN" w:bidi="ar-SA"/>
        </w:rPr>
        <w:t>）机构职能和人员概况</w:t>
      </w:r>
    </w:p>
    <w:p>
      <w:pPr>
        <w:keepNext w:val="0"/>
        <w:keepLines w:val="0"/>
        <w:pageBreakBefore w:val="0"/>
        <w:widowControl w:val="0"/>
        <w:kinsoku/>
        <w:wordWrap/>
        <w:overflowPunct/>
        <w:topLinePunct w:val="0"/>
        <w:autoSpaceDE/>
        <w:autoSpaceDN/>
        <w:bidi w:val="0"/>
        <w:spacing w:line="536"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市司法局的内设机构根据工作需要承担市委依法治市办相关工作，接受市委依法治市办的统筹协调。承担全面依法治国、依法治省和依法治市重大问题的政策研究，协调有关方面提出全面依法治市规划建议，负责有关重大决策部署督察工作</w:t>
      </w:r>
      <w:r>
        <w:rPr>
          <w:rFonts w:hint="eastAsia"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val="en-US" w:eastAsia="zh-CN"/>
        </w:rPr>
        <w:t>承担统筹规划立法工作的责任</w:t>
      </w:r>
      <w:r>
        <w:rPr>
          <w:rFonts w:hint="eastAsia"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val="en-US" w:eastAsia="zh-CN"/>
        </w:rPr>
        <w:t>负责起草或者组织起草地方性法规、市政府规章草案</w:t>
      </w:r>
      <w:r>
        <w:rPr>
          <w:rFonts w:hint="eastAsia"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val="en-US" w:eastAsia="zh-CN"/>
        </w:rPr>
        <w:t>承担市政府规章的解释、立法后评估工作</w:t>
      </w:r>
      <w:r>
        <w:rPr>
          <w:rFonts w:hint="eastAsia"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val="en-US" w:eastAsia="zh-CN"/>
        </w:rPr>
        <w:t>负责市政府规范性文件、重大行政决策发布前的合法性审查</w:t>
      </w:r>
      <w:r>
        <w:rPr>
          <w:rFonts w:hint="eastAsia"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val="en-US" w:eastAsia="zh-CN"/>
        </w:rPr>
        <w:t>承担统筹推进法治政府建设的责任</w:t>
      </w:r>
      <w:r>
        <w:rPr>
          <w:rFonts w:hint="eastAsia"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val="en-US" w:eastAsia="zh-CN"/>
        </w:rPr>
        <w:t>承担统筹规划法治社会建设的责任</w:t>
      </w:r>
      <w:r>
        <w:rPr>
          <w:rFonts w:hint="eastAsia"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val="en-US" w:eastAsia="zh-CN"/>
        </w:rPr>
        <w:t>指导管理社区矫正工作</w:t>
      </w:r>
      <w:r>
        <w:rPr>
          <w:rFonts w:hint="eastAsia"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val="en-US" w:eastAsia="zh-CN"/>
        </w:rPr>
        <w:t>负责全市公共法律服务体系建设</w:t>
      </w:r>
      <w:r>
        <w:rPr>
          <w:rFonts w:hint="eastAsia"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val="en-US" w:eastAsia="zh-CN"/>
        </w:rPr>
        <w:t>负责全市国家统一法律职业资格考试工作</w:t>
      </w:r>
      <w:r>
        <w:rPr>
          <w:rFonts w:hint="eastAsia"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val="en-US" w:eastAsia="zh-CN"/>
        </w:rPr>
        <w:t>负责本系统警车管理工作</w:t>
      </w:r>
      <w:r>
        <w:rPr>
          <w:rFonts w:hint="eastAsia"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val="en-US" w:eastAsia="zh-CN"/>
        </w:rPr>
        <w:t>规划、协调、指导法治人才队伍建设相关工作</w:t>
      </w:r>
      <w:r>
        <w:rPr>
          <w:rFonts w:hint="eastAsia"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val="en-US" w:eastAsia="zh-CN"/>
        </w:rPr>
        <w:t>负责并指导本系统行政审批工作</w:t>
      </w:r>
      <w:r>
        <w:rPr>
          <w:rFonts w:hint="eastAsia"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val="en-US" w:eastAsia="zh-CN"/>
        </w:rPr>
        <w:t>完成市委和市政府交办的其他任务。</w:t>
      </w:r>
    </w:p>
    <w:p>
      <w:pPr>
        <w:keepNext w:val="0"/>
        <w:keepLines w:val="0"/>
        <w:pageBreakBefore w:val="0"/>
        <w:widowControl/>
        <w:kinsoku/>
        <w:wordWrap/>
        <w:overflowPunct/>
        <w:topLinePunct w:val="0"/>
        <w:autoSpaceDE/>
        <w:autoSpaceDN/>
        <w:bidi w:val="0"/>
        <w:adjustRightInd w:val="0"/>
        <w:snapToGrid w:val="0"/>
        <w:spacing w:afterAutospacing="0" w:line="536" w:lineRule="exact"/>
        <w:ind w:firstLine="640" w:firstLineChars="200"/>
        <w:contextualSpacing/>
        <w:textAlignment w:val="auto"/>
        <w:rPr>
          <w:rFonts w:hint="eastAsia" w:eastAsia="仿宋_GB2312"/>
          <w:lang w:val="zh-CN" w:eastAsia="zh-CN"/>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年市司法局编制9</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个（政法专编6</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个，机关工勤编制9个，参公事业编制</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个，事业编制16个），现有在职人数83人，其中：</w:t>
      </w:r>
      <w:r>
        <w:rPr>
          <w:rFonts w:hint="eastAsia" w:ascii="仿宋_GB2312" w:hAnsi="仿宋_GB2312" w:eastAsia="仿宋_GB2312" w:cs="仿宋_GB2312"/>
          <w:color w:val="auto"/>
          <w:sz w:val="32"/>
          <w:szCs w:val="32"/>
        </w:rPr>
        <w:t>在岗局领导班子成员</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名（党委书记</w:t>
      </w:r>
      <w:r>
        <w:rPr>
          <w:rFonts w:hint="eastAsia" w:ascii="仿宋_GB2312" w:hAnsi="仿宋_GB2312" w:cs="仿宋_GB2312"/>
          <w:color w:val="auto"/>
          <w:sz w:val="32"/>
          <w:szCs w:val="32"/>
          <w:lang w:eastAsia="zh-CN"/>
        </w:rPr>
        <w:t>、局长</w:t>
      </w:r>
      <w:r>
        <w:rPr>
          <w:rFonts w:hint="eastAsia" w:ascii="仿宋_GB2312" w:hAnsi="仿宋_GB2312" w:eastAsia="仿宋_GB2312" w:cs="仿宋_GB2312"/>
          <w:color w:val="auto"/>
          <w:sz w:val="32"/>
          <w:szCs w:val="32"/>
        </w:rPr>
        <w:t>1人</w:t>
      </w:r>
      <w:r>
        <w:rPr>
          <w:rFonts w:hint="eastAsia" w:ascii="仿宋_GB2312" w:hAnsi="仿宋_GB2312" w:eastAsia="仿宋_GB2312" w:cs="仿宋_GB2312"/>
          <w:color w:val="auto"/>
          <w:sz w:val="32"/>
          <w:szCs w:val="32"/>
          <w:lang w:val="en-US" w:eastAsia="zh-CN"/>
        </w:rPr>
        <w:t>1名</w:t>
      </w:r>
      <w:r>
        <w:rPr>
          <w:rFonts w:hint="eastAsia" w:ascii="仿宋_GB2312" w:hAnsi="仿宋_GB2312" w:eastAsia="仿宋_GB2312" w:cs="仿宋_GB2312"/>
          <w:color w:val="auto"/>
          <w:sz w:val="32"/>
          <w:szCs w:val="32"/>
        </w:rPr>
        <w:t>，副局长</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人，政治部主任、机关党委书记各1人），</w:t>
      </w:r>
      <w:r>
        <w:rPr>
          <w:rFonts w:hint="eastAsia" w:ascii="仿宋_GB2312" w:hAnsi="仿宋_GB2312" w:cs="仿宋_GB2312"/>
          <w:color w:val="auto"/>
          <w:sz w:val="32"/>
          <w:szCs w:val="32"/>
          <w:lang w:eastAsia="zh-CN"/>
        </w:rPr>
        <w:t>一级调研员</w:t>
      </w:r>
      <w:r>
        <w:rPr>
          <w:rFonts w:hint="eastAsia" w:ascii="仿宋_GB2312" w:hAnsi="仿宋_GB2312" w:cs="仿宋_GB2312"/>
          <w:color w:val="auto"/>
          <w:sz w:val="32"/>
          <w:szCs w:val="32"/>
          <w:lang w:val="en-US" w:eastAsia="zh-CN"/>
        </w:rPr>
        <w:t>1名，</w:t>
      </w:r>
      <w:r>
        <w:rPr>
          <w:rFonts w:hint="eastAsia" w:ascii="仿宋_GB2312" w:hAnsi="仿宋_GB2312" w:eastAsia="仿宋_GB2312" w:cs="仿宋_GB2312"/>
          <w:color w:val="auto"/>
          <w:sz w:val="32"/>
          <w:szCs w:val="32"/>
        </w:rPr>
        <w:t>二级调研员1名，四级调研员</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000000"/>
          <w:sz w:val="32"/>
          <w:szCs w:val="32"/>
        </w:rPr>
        <w:t>名，保留县级干部待遇</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名（正县级1人，副县级</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人），科级干部</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名；局内设市委全面依法治市委员会办公室秘书室、办公室、法治调研科、普法与依法治理科、法治督察科、立法科、合法性审查科、社区矫正管理科、行政复议与应诉</w:t>
      </w:r>
      <w:r>
        <w:rPr>
          <w:rFonts w:hint="eastAsia" w:ascii="仿宋_GB2312" w:hAnsi="仿宋_GB2312" w:cs="仿宋_GB2312"/>
          <w:color w:val="000000"/>
          <w:sz w:val="32"/>
          <w:szCs w:val="32"/>
          <w:lang w:eastAsia="zh-CN"/>
        </w:rPr>
        <w:t>一</w:t>
      </w:r>
      <w:r>
        <w:rPr>
          <w:rFonts w:hint="eastAsia" w:ascii="仿宋_GB2312" w:hAnsi="仿宋_GB2312" w:eastAsia="仿宋_GB2312" w:cs="仿宋_GB2312"/>
          <w:color w:val="000000"/>
          <w:sz w:val="32"/>
          <w:szCs w:val="32"/>
        </w:rPr>
        <w:t>科、</w:t>
      </w:r>
      <w:r>
        <w:rPr>
          <w:rFonts w:hint="eastAsia" w:ascii="仿宋_GB2312" w:hAnsi="仿宋_GB2312" w:cs="仿宋_GB2312"/>
          <w:color w:val="000000"/>
          <w:sz w:val="32"/>
          <w:szCs w:val="32"/>
          <w:lang w:eastAsia="zh-CN"/>
        </w:rPr>
        <w:t>二科、</w:t>
      </w:r>
      <w:r>
        <w:rPr>
          <w:rFonts w:hint="eastAsia" w:ascii="仿宋_GB2312" w:hAnsi="仿宋_GB2312" w:eastAsia="仿宋_GB2312" w:cs="仿宋_GB2312"/>
          <w:color w:val="000000"/>
          <w:sz w:val="32"/>
          <w:szCs w:val="32"/>
        </w:rPr>
        <w:t>行政执法协调监督科、人民参与和促进法治科、公共法律服务管理科、律师工作科、法律职业资格管理科（行政审批科）、科技信息科、财务保障科、政治部、机关党委</w:t>
      </w:r>
      <w:r>
        <w:rPr>
          <w:rFonts w:hint="eastAsia" w:ascii="仿宋_GB2312" w:hAnsi="仿宋_GB2312" w:cs="仿宋_GB2312"/>
          <w:color w:val="000000"/>
          <w:sz w:val="32"/>
          <w:szCs w:val="32"/>
          <w:lang w:eastAsia="zh-CN"/>
        </w:rPr>
        <w:t>、派出机构经开区分局。</w:t>
      </w:r>
    </w:p>
    <w:p>
      <w:pPr>
        <w:keepNext w:val="0"/>
        <w:keepLines w:val="0"/>
        <w:pageBreakBefore w:val="0"/>
        <w:widowControl w:val="0"/>
        <w:kinsoku/>
        <w:wordWrap/>
        <w:overflowPunct/>
        <w:topLinePunct w:val="0"/>
        <w:autoSpaceDE/>
        <w:autoSpaceDN/>
        <w:bidi w:val="0"/>
        <w:spacing w:line="536"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（三）年度主要工作任务</w:t>
      </w:r>
    </w:p>
    <w:p>
      <w:pPr>
        <w:keepNext w:val="0"/>
        <w:keepLines w:val="0"/>
        <w:pageBreakBefore w:val="0"/>
        <w:widowControl w:val="0"/>
        <w:kinsoku/>
        <w:wordWrap/>
        <w:overflowPunct/>
        <w:topLinePunct w:val="0"/>
        <w:autoSpaceDE/>
        <w:autoSpaceDN/>
        <w:bidi w:val="0"/>
        <w:spacing w:line="536" w:lineRule="exact"/>
        <w:ind w:firstLine="640" w:firstLineChars="200"/>
        <w:textAlignment w:val="auto"/>
        <w:rPr>
          <w:rFonts w:hint="eastAsia"/>
        </w:rPr>
      </w:pPr>
      <w:r>
        <w:rPr>
          <w:rFonts w:hint="eastAsia" w:ascii="仿宋_GB2312" w:hAnsi="仿宋_GB2312" w:eastAsia="仿宋_GB2312" w:cs="仿宋_GB2312"/>
          <w:sz w:val="32"/>
          <w:szCs w:val="32"/>
        </w:rPr>
        <w:t>全面领悟习近平法治思想的丰富内涵，担当实干、积极作为，把全面依法治市引向纵深。加强宪法实施和监督。深化重点领域地方立法，着力增强立法工作质效。扎实推进依法行政，巩固拓展全国法治政府建设示范市创建成果，坚持科学民主依法决策，落实基层综合执法体制机制，推进行政执法标准化建设，健全行政执法协调监督体系，严格规范公正文明执法。全面实施“八五”普法规划，增强全民法治观念，认真贯彻《广元市公共法律服务体系建设规划（2021-2025年）》，积极培育环境优、服务优、品质优的公共法律服务中心、站、点，推进建设覆盖城乡的现代公共法律服务体系，持续深化法治化营商环境建设。深化基层法治示范创建，提升社会治理法治化水平。加强“大调解”体系建设，深化矛盾纠纷排查调处。加强社区矫正分析研判，严防社区矫正对象脱漏管和再犯罪的发生。</w:t>
      </w:r>
    </w:p>
    <w:p>
      <w:pPr>
        <w:keepNext w:val="0"/>
        <w:keepLines w:val="0"/>
        <w:pageBreakBefore w:val="0"/>
        <w:widowControl w:val="0"/>
        <w:kinsoku/>
        <w:wordWrap/>
        <w:overflowPunct/>
        <w:topLinePunct w:val="0"/>
        <w:autoSpaceDE/>
        <w:autoSpaceDN/>
        <w:bidi w:val="0"/>
        <w:spacing w:line="536" w:lineRule="exact"/>
        <w:ind w:firstLine="640" w:firstLineChars="200"/>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（四）部门整体支出绩效目标</w:t>
      </w:r>
    </w:p>
    <w:p>
      <w:pPr>
        <w:keepNext w:val="0"/>
        <w:keepLines w:val="0"/>
        <w:pageBreakBefore w:val="0"/>
        <w:widowControl w:val="0"/>
        <w:kinsoku/>
        <w:wordWrap/>
        <w:overflowPunct/>
        <w:topLinePunct w:val="0"/>
        <w:autoSpaceDE/>
        <w:autoSpaceDN/>
        <w:bidi w:val="0"/>
        <w:spacing w:line="53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坚持党的绝对领导，恪守法治公平正义，践行为民服务宗旨。认真贯彻市委、市政府的决策部署，认真履职，严格按照预算编制执行各项经费，使资金落实到位、使用规范透明、政策执行有力、对项目的监督及时准确，达到预期绩效目标。为全面建设社会主义现代化</w:t>
      </w:r>
      <w:r>
        <w:rPr>
          <w:rFonts w:hint="eastAsia" w:ascii="仿宋_GB2312" w:hAnsi="仿宋_GB2312" w:eastAsia="仿宋_GB2312" w:cs="仿宋_GB2312"/>
          <w:sz w:val="32"/>
          <w:szCs w:val="32"/>
          <w:lang w:eastAsia="zh-CN"/>
        </w:rPr>
        <w:t>广元</w:t>
      </w:r>
      <w:r>
        <w:rPr>
          <w:rFonts w:hint="eastAsia" w:ascii="仿宋_GB2312" w:hAnsi="仿宋_GB2312" w:eastAsia="仿宋_GB2312" w:cs="仿宋_GB2312"/>
          <w:sz w:val="32"/>
          <w:szCs w:val="32"/>
        </w:rPr>
        <w:t>提供坚强有力的司法保障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3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部门</w:t>
      </w:r>
      <w:r>
        <w:rPr>
          <w:rFonts w:hint="eastAsia" w:ascii="黑体" w:hAnsi="黑体" w:eastAsia="黑体" w:cs="黑体"/>
          <w:sz w:val="32"/>
          <w:szCs w:val="32"/>
        </w:rPr>
        <w:t>资金收支情况</w:t>
      </w:r>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（一）部门总体收支情况</w:t>
      </w:r>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1.部门总体收入情况</w:t>
      </w:r>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sz w:val="32"/>
          <w:szCs w:val="32"/>
        </w:rPr>
        <w:t>2022</w:t>
      </w: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年收入合计2564.43万元，其中：人员经费1953.17万元，上年结转244.89万元，项目经费118.37万元，转移支付资金248万元。</w:t>
      </w:r>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2.部门总体支出情况</w:t>
      </w:r>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2022年支出合计2212.21万元，其中：人员经费支出1672.1万元，占75.59%；公用经费支出223.16万元，占10.09%；项目支出316.95万元，占14.32%。</w:t>
      </w:r>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3.部门总体结转结余情况</w:t>
      </w:r>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contextualSpacing/>
        <w:jc w:val="left"/>
        <w:textAlignment w:val="auto"/>
        <w:rPr>
          <w:rFonts w:hint="default"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2022年末结转305.62万元，其中待支付人员经费（年底下达）59.15万元，转移支付资金246.47万元。</w:t>
      </w:r>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（二）部门财政拨款收支情况</w:t>
      </w:r>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1.部门财政拨款收入情况</w:t>
      </w:r>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2022年财政拨款收入合计2564.43万元，其中：人员经费1953.17万元，上年结转244.89万元，项目经费118.37万元，转移支付资金248万元。</w:t>
      </w:r>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2.部门财政拨款支出情况</w:t>
      </w:r>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contextualSpacing/>
        <w:jc w:val="left"/>
        <w:textAlignment w:val="auto"/>
        <w:rPr>
          <w:rFonts w:hint="default"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2022年财政拨款支出合计2212.21万元，其中：人员经费支出1672.1万元，占75.59%；公用经费支出223.16万元，占10.09%；项目支出316.95万元，占14.32%。</w:t>
      </w:r>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3.部门财政拨款结转结余情况</w:t>
      </w:r>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contextualSpacing/>
        <w:jc w:val="left"/>
        <w:textAlignment w:val="auto"/>
        <w:rPr>
          <w:rFonts w:hint="default" w:ascii="仿宋_GB2312" w:hAnsi="仿宋_GB2312" w:eastAsia="仿宋_GB2312" w:cs="仿宋_GB2312"/>
          <w:b w:val="0"/>
          <w:bCs w:val="0"/>
          <w:color w:val="000000"/>
          <w:kern w:val="0"/>
          <w:sz w:val="32"/>
          <w:szCs w:val="32"/>
          <w:highlight w:val="none"/>
          <w:shd w:val="clear" w:color="auto" w:fill="FFFFFF"/>
          <w:lang w:val="en-US" w:eastAsia="zh-CN"/>
        </w:rPr>
      </w:pPr>
      <w:r>
        <w:rPr>
          <w:rFonts w:hint="eastAsia" w:ascii="仿宋_GB2312" w:hAnsi="仿宋_GB2312" w:eastAsia="仿宋_GB2312" w:cs="仿宋_GB2312"/>
          <w:b w:val="0"/>
          <w:bCs w:val="0"/>
          <w:color w:val="000000"/>
          <w:kern w:val="0"/>
          <w:sz w:val="32"/>
          <w:szCs w:val="32"/>
          <w:highlight w:val="none"/>
          <w:shd w:val="clear" w:color="auto" w:fill="FFFFFF"/>
          <w:lang w:val="en-US" w:eastAsia="zh-CN"/>
        </w:rPr>
        <w:t>2022年末财政拨款结转305.62万元，其中待支付人员经费（年底下达）59.15万元，转移支付资金246.47万元。</w:t>
      </w:r>
    </w:p>
    <w:p>
      <w:pPr>
        <w:keepNext w:val="0"/>
        <w:keepLines w:val="0"/>
        <w:pageBreakBefore w:val="0"/>
        <w:widowControl w:val="0"/>
        <w:numPr>
          <w:ilvl w:val="0"/>
          <w:numId w:val="2"/>
        </w:numPr>
        <w:kinsoku/>
        <w:wordWrap/>
        <w:overflowPunct/>
        <w:topLinePunct w:val="0"/>
        <w:autoSpaceDE/>
        <w:autoSpaceDN/>
        <w:bidi w:val="0"/>
        <w:adjustRightInd w:val="0"/>
        <w:snapToGrid w:val="0"/>
        <w:spacing w:line="536" w:lineRule="exact"/>
        <w:ind w:left="1360" w:leftChars="0" w:hanging="720" w:firstLineChars="0"/>
        <w:contextualSpacing/>
        <w:jc w:val="left"/>
        <w:textAlignment w:val="auto"/>
        <w:rPr>
          <w:rFonts w:hint="eastAsia" w:ascii="黑体" w:hAnsi="宋体" w:eastAsia="黑体" w:cs="宋体"/>
          <w:b w:val="0"/>
          <w:bCs w:val="0"/>
          <w:color w:val="000000"/>
          <w:kern w:val="0"/>
          <w:sz w:val="32"/>
          <w:szCs w:val="32"/>
          <w:highlight w:val="none"/>
          <w:u w:val="none"/>
          <w:shd w:val="clear" w:color="auto" w:fill="FFFFFF"/>
          <w:lang w:eastAsia="zh-CN"/>
        </w:rPr>
      </w:pPr>
      <w:r>
        <w:rPr>
          <w:rFonts w:hint="eastAsia" w:ascii="黑体" w:hAnsi="宋体" w:eastAsia="黑体" w:cs="宋体"/>
          <w:b w:val="0"/>
          <w:bCs w:val="0"/>
          <w:color w:val="000000"/>
          <w:kern w:val="0"/>
          <w:sz w:val="32"/>
          <w:szCs w:val="32"/>
          <w:highlight w:val="none"/>
          <w:u w:val="none"/>
          <w:shd w:val="clear" w:color="auto" w:fill="FFFFFF"/>
        </w:rPr>
        <w:t>部门整体绩效</w:t>
      </w:r>
      <w:r>
        <w:rPr>
          <w:rFonts w:hint="eastAsia" w:ascii="黑体" w:hAnsi="宋体" w:eastAsia="黑体" w:cs="宋体"/>
          <w:b w:val="0"/>
          <w:bCs w:val="0"/>
          <w:color w:val="000000"/>
          <w:kern w:val="0"/>
          <w:sz w:val="32"/>
          <w:szCs w:val="32"/>
          <w:highlight w:val="none"/>
          <w:u w:val="none"/>
          <w:shd w:val="clear" w:color="auto" w:fill="FFFFFF"/>
          <w:lang w:eastAsia="zh-CN"/>
        </w:rPr>
        <w:t>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36" w:lineRule="exact"/>
        <w:ind w:left="640" w:leftChars="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（一）部门预算项目绩效分析</w:t>
      </w:r>
    </w:p>
    <w:p>
      <w:pPr>
        <w:pStyle w:val="7"/>
        <w:keepNext w:val="0"/>
        <w:keepLines w:val="0"/>
        <w:pageBreakBefore w:val="0"/>
        <w:kinsoku/>
        <w:wordWrap/>
        <w:overflowPunct/>
        <w:topLinePunct w:val="0"/>
        <w:autoSpaceDE/>
        <w:autoSpaceDN/>
        <w:bidi w:val="0"/>
        <w:spacing w:after="0" w:line="536" w:lineRule="exact"/>
        <w:ind w:left="0" w:leftChars="0" w:firstLine="0" w:firstLineChars="0"/>
        <w:textAlignment w:val="auto"/>
        <w:rPr>
          <w:rFonts w:hint="eastAsia" w:ascii="仿宋_GB2312" w:hAnsi="仿宋_GB2312" w:eastAsia="仿宋_GB2312" w:cs="仿宋_GB2312"/>
          <w:lang w:val="en-US" w:eastAsia="zh-CN"/>
        </w:rPr>
      </w:pPr>
      <w:r>
        <w:rPr>
          <w:rFonts w:hint="eastAsia" w:ascii="楷体_GB2312" w:hAnsi="楷体_GB2312" w:eastAsia="楷体_GB2312" w:cs="楷体_GB2312"/>
          <w:b w:val="0"/>
          <w:bCs w:val="0"/>
          <w:color w:val="000000"/>
          <w:kern w:val="0"/>
          <w:szCs w:val="32"/>
          <w:highlight w:val="none"/>
          <w:shd w:val="clear" w:color="auto" w:fill="FFFFFF"/>
          <w:lang w:val="en-US" w:eastAsia="zh-CN"/>
        </w:rPr>
        <w:t xml:space="preserve">    </w:t>
      </w:r>
      <w:r>
        <w:rPr>
          <w:rFonts w:hint="eastAsia" w:ascii="仿宋_GB2312" w:hAnsi="仿宋_GB2312" w:eastAsia="仿宋_GB2312" w:cs="仿宋_GB2312"/>
          <w:color w:val="000000"/>
          <w:kern w:val="0"/>
          <w:sz w:val="32"/>
          <w:szCs w:val="32"/>
          <w:shd w:val="clear" w:color="auto" w:fill="FFFFFF"/>
        </w:rPr>
        <w:t>我</w:t>
      </w:r>
      <w:r>
        <w:rPr>
          <w:rFonts w:hint="eastAsia" w:ascii="仿宋_GB2312" w:hAnsi="仿宋_GB2312" w:eastAsia="仿宋_GB2312" w:cs="仿宋_GB2312"/>
          <w:color w:val="000000"/>
          <w:kern w:val="0"/>
          <w:sz w:val="32"/>
          <w:szCs w:val="32"/>
          <w:shd w:val="clear" w:color="auto" w:fill="FFFFFF"/>
          <w:lang w:eastAsia="zh-CN"/>
        </w:rPr>
        <w:t>局</w:t>
      </w:r>
      <w:r>
        <w:rPr>
          <w:rFonts w:hint="eastAsia" w:ascii="仿宋_GB2312" w:hAnsi="仿宋_GB2312" w:eastAsia="仿宋_GB2312" w:cs="仿宋_GB2312"/>
          <w:color w:val="000000"/>
          <w:kern w:val="0"/>
          <w:sz w:val="32"/>
          <w:szCs w:val="32"/>
          <w:shd w:val="clear" w:color="auto" w:fill="FFFFFF"/>
        </w:rPr>
        <w:t>绩效目标严格依据</w:t>
      </w:r>
      <w:r>
        <w:rPr>
          <w:rFonts w:hint="eastAsia" w:ascii="仿宋_GB2312" w:hAnsi="仿宋_GB2312" w:eastAsia="仿宋_GB2312" w:cs="仿宋_GB2312"/>
          <w:color w:val="000000"/>
          <w:sz w:val="32"/>
          <w:szCs w:val="32"/>
        </w:rPr>
        <w:t>公共安全支出、社会保障和就业支出、医疗卫生与计划生育支出、住房保障支出等各项支出进行制定，预算编制精准，支出控制在预算范围内，期间</w:t>
      </w:r>
      <w:r>
        <w:rPr>
          <w:rFonts w:hint="eastAsia" w:ascii="仿宋_GB2312" w:hAnsi="仿宋_GB2312" w:eastAsia="仿宋_GB2312" w:cs="仿宋_GB2312"/>
          <w:color w:val="000000"/>
          <w:sz w:val="32"/>
          <w:szCs w:val="32"/>
          <w:lang w:eastAsia="zh-CN"/>
        </w:rPr>
        <w:t>未进行</w:t>
      </w:r>
      <w:r>
        <w:rPr>
          <w:rFonts w:hint="eastAsia" w:ascii="仿宋_GB2312" w:hAnsi="仿宋_GB2312" w:eastAsia="仿宋_GB2312" w:cs="仿宋_GB2312"/>
          <w:color w:val="000000"/>
          <w:sz w:val="32"/>
          <w:szCs w:val="32"/>
        </w:rPr>
        <w:t>绩效目标调整，匹配执行进度，到年底目标实现完成率达100%，期间无违规行为和记录</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楷体_GB2312" w:hAnsi="楷体_GB2312" w:eastAsia="楷体_GB2312" w:cs="楷体_GB2312"/>
          <w:b w:val="0"/>
          <w:bCs w:val="0"/>
          <w:color w:val="000000"/>
          <w:kern w:val="0"/>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（二）部门整体履职绩效分析。</w:t>
      </w:r>
    </w:p>
    <w:p>
      <w:pPr>
        <w:pStyle w:val="13"/>
        <w:keepNext w:val="0"/>
        <w:keepLines w:val="0"/>
        <w:pageBreakBefore w:val="0"/>
        <w:kinsoku/>
        <w:wordWrap/>
        <w:overflowPunct/>
        <w:topLinePunct w:val="0"/>
        <w:autoSpaceDE/>
        <w:autoSpaceDN/>
        <w:bidi w:val="0"/>
        <w:spacing w:before="0" w:after="0" w:line="536"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bookmarkStart w:id="139" w:name="_Toc1268715562"/>
      <w:bookmarkStart w:id="140" w:name="_Toc775397857"/>
      <w:bookmarkStart w:id="141" w:name="_Toc1040711197"/>
      <w:r>
        <w:rPr>
          <w:rFonts w:hint="eastAsia" w:ascii="仿宋_GB2312" w:hAnsi="仿宋_GB2312" w:eastAsia="仿宋_GB2312" w:cs="仿宋_GB2312"/>
          <w:b w:val="0"/>
          <w:bCs w:val="0"/>
          <w:color w:val="000000"/>
          <w:kern w:val="2"/>
          <w:sz w:val="32"/>
          <w:szCs w:val="32"/>
          <w:lang w:val="en-US" w:eastAsia="zh-CN" w:bidi="ar-SA"/>
        </w:rPr>
        <w:t>2022年我局财政拨款收入2564.43万元，支出2212.21万元，执行率为86.27%，受疫情影响，全市公证员、司法鉴定政治业务培训、下基层指导、检查等业务未按时开展，个别人员经费于年底下达，预计在2023年上半年完成支付。2022年财政资金保障了我局的日常运转，严格按照预算管理要求在预算编制、资金分配、统筹平衡等方面完成绩效目标填报，内容完整、标准合理。</w:t>
      </w:r>
      <w:bookmarkEnd w:id="139"/>
      <w:bookmarkEnd w:id="140"/>
      <w:bookmarkEnd w:id="141"/>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（三）结果应用情况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我局预算和决算详情均按要求在规定时间内挂网公开，接受社会各界监督。绩效目标均按需预算，遵循规章制度，严格控制各项经费支出，不铺张浪费。所获评价良好。</w:t>
      </w:r>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eastAsia="zh-CN"/>
        </w:rPr>
        <w:t>（四）</w:t>
      </w:r>
      <w:r>
        <w:rPr>
          <w:rFonts w:hint="eastAsia" w:ascii="楷体_GB2312" w:hAnsi="楷体_GB2312" w:eastAsia="楷体_GB2312" w:cs="楷体_GB2312"/>
          <w:b w:val="0"/>
          <w:bCs w:val="0"/>
          <w:color w:val="000000"/>
          <w:kern w:val="0"/>
          <w:sz w:val="32"/>
          <w:szCs w:val="32"/>
          <w:highlight w:val="none"/>
          <w:shd w:val="clear" w:color="auto" w:fill="FFFFFF"/>
          <w:lang w:val="zh-CN"/>
        </w:rPr>
        <w:t>自评质量</w:t>
      </w:r>
    </w:p>
    <w:p>
      <w:pPr>
        <w:pStyle w:val="2"/>
        <w:keepNext w:val="0"/>
        <w:keepLines w:val="0"/>
        <w:pageBreakBefore w:val="0"/>
        <w:kinsoku/>
        <w:wordWrap/>
        <w:overflowPunct/>
        <w:topLinePunct w:val="0"/>
        <w:autoSpaceDE/>
        <w:autoSpaceDN/>
        <w:bidi w:val="0"/>
        <w:spacing w:after="0" w:line="536" w:lineRule="exact"/>
        <w:ind w:firstLine="480" w:firstLineChars="150"/>
        <w:textAlignment w:val="auto"/>
        <w:rPr>
          <w:rFonts w:ascii="仿宋_GB2312" w:hAnsi="宋体" w:eastAsia="仿宋_GB2312" w:cs="宋体"/>
          <w:color w:val="000000"/>
          <w:kern w:val="0"/>
          <w:sz w:val="32"/>
          <w:szCs w:val="32"/>
          <w:shd w:val="clear" w:color="auto" w:fill="FFFFFF"/>
        </w:rPr>
      </w:pPr>
      <w:r>
        <w:rPr>
          <w:rFonts w:ascii="仿宋_GB2312" w:hAnsi="宋体" w:eastAsia="仿宋_GB2312" w:cs="宋体"/>
          <w:color w:val="000000"/>
          <w:kern w:val="0"/>
          <w:sz w:val="32"/>
          <w:szCs w:val="32"/>
          <w:shd w:val="clear" w:color="auto" w:fill="FFFFFF"/>
        </w:rPr>
        <w:t>资金使用符合国家财经法规和财务管理制度规定以及有关专项资金管理办法的规定，拨付有完整的审批程序和手续，项目的重大开支均经过评估论证，符合部门预算批复的用途，不存在截留、挤占、挪用、虚列支出等情况。</w:t>
      </w:r>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contextualSpacing/>
        <w:jc w:val="left"/>
        <w:textAlignment w:val="auto"/>
        <w:rPr>
          <w:rFonts w:ascii="黑体" w:hAnsi="宋体" w:eastAsia="黑体" w:cs="宋体"/>
          <w:b w:val="0"/>
          <w:bCs w:val="0"/>
          <w:color w:val="000000"/>
          <w:kern w:val="0"/>
          <w:sz w:val="32"/>
          <w:szCs w:val="32"/>
          <w:highlight w:val="none"/>
          <w:shd w:val="clear" w:color="auto" w:fill="FFFFFF"/>
        </w:rPr>
      </w:pPr>
      <w:r>
        <w:rPr>
          <w:rFonts w:hint="eastAsia" w:ascii="黑体" w:hAnsi="宋体" w:eastAsia="黑体" w:cs="宋体"/>
          <w:b w:val="0"/>
          <w:bCs w:val="0"/>
          <w:color w:val="000000"/>
          <w:kern w:val="0"/>
          <w:sz w:val="32"/>
          <w:szCs w:val="32"/>
          <w:highlight w:val="none"/>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（一）评价结论</w:t>
      </w:r>
    </w:p>
    <w:p>
      <w:pPr>
        <w:keepNext w:val="0"/>
        <w:keepLines w:val="0"/>
        <w:pageBreakBefore w:val="0"/>
        <w:kinsoku/>
        <w:wordWrap/>
        <w:overflowPunct/>
        <w:topLinePunct w:val="0"/>
        <w:autoSpaceDE/>
        <w:autoSpaceDN/>
        <w:bidi w:val="0"/>
        <w:spacing w:line="536" w:lineRule="exact"/>
        <w:ind w:firstLine="640"/>
        <w:textAlignment w:val="auto"/>
        <w:rPr>
          <w:rFonts w:hint="eastAsia"/>
          <w:lang w:val="zh-CN"/>
        </w:rPr>
      </w:pPr>
      <w:r>
        <w:rPr>
          <w:rFonts w:hint="eastAsia" w:ascii="仿宋_GB2312" w:hAnsi="仿宋_GB2312" w:eastAsia="仿宋_GB2312" w:cs="仿宋_GB2312"/>
          <w:sz w:val="32"/>
          <w:szCs w:val="32"/>
        </w:rPr>
        <w:t>绩效目标是预算编制的前提和基础，2022年</w:t>
      </w:r>
      <w:r>
        <w:rPr>
          <w:rFonts w:hint="eastAsia" w:ascii="仿宋_GB2312" w:hAnsi="仿宋_GB2312" w:cs="仿宋_GB2312"/>
          <w:sz w:val="32"/>
          <w:szCs w:val="32"/>
          <w:lang w:eastAsia="zh-CN"/>
        </w:rPr>
        <w:t>广元市司法局</w:t>
      </w:r>
      <w:r>
        <w:rPr>
          <w:rFonts w:hint="eastAsia" w:ascii="仿宋_GB2312" w:hAnsi="仿宋_GB2312" w:eastAsia="仿宋_GB2312" w:cs="仿宋_GB2312"/>
          <w:sz w:val="32"/>
          <w:szCs w:val="32"/>
        </w:rPr>
        <w:t>项目支出</w:t>
      </w:r>
      <w:r>
        <w:rPr>
          <w:rFonts w:hint="eastAsia" w:ascii="仿宋_GB2312" w:hAnsi="仿宋_GB2312" w:cs="仿宋_GB2312"/>
          <w:sz w:val="32"/>
          <w:szCs w:val="32"/>
          <w:lang w:eastAsia="zh-CN"/>
        </w:rPr>
        <w:t>均</w:t>
      </w:r>
      <w:r>
        <w:rPr>
          <w:rFonts w:hint="eastAsia" w:ascii="仿宋_GB2312" w:hAnsi="仿宋_GB2312" w:eastAsia="仿宋_GB2312" w:cs="仿宋_GB2312"/>
          <w:sz w:val="32"/>
          <w:szCs w:val="32"/>
        </w:rPr>
        <w:t>按要求编制了绩效目标，从项目完成、效益、满意度等方面设置了绩效指标，综合反映出项目预期完成的数量、成本、时效、质量，达到了预期的社会效益、经济效益、生态效益以及服务对象满意度。</w:t>
      </w:r>
    </w:p>
    <w:p>
      <w:pPr>
        <w:keepNext w:val="0"/>
        <w:keepLines w:val="0"/>
        <w:pageBreakBefore w:val="0"/>
        <w:widowControl w:val="0"/>
        <w:numPr>
          <w:ilvl w:val="0"/>
          <w:numId w:val="5"/>
        </w:numPr>
        <w:kinsoku/>
        <w:wordWrap/>
        <w:overflowPunct/>
        <w:topLinePunct w:val="0"/>
        <w:autoSpaceDE/>
        <w:autoSpaceDN/>
        <w:bidi w:val="0"/>
        <w:adjustRightInd w:val="0"/>
        <w:snapToGrid w:val="0"/>
        <w:spacing w:line="536" w:lineRule="exact"/>
        <w:ind w:left="-220" w:leftChars="0" w:firstLine="640" w:firstLineChars="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存在问题</w:t>
      </w:r>
    </w:p>
    <w:p>
      <w:pPr>
        <w:keepNext w:val="0"/>
        <w:keepLines w:val="0"/>
        <w:pageBreakBefore w:val="0"/>
        <w:kinsoku/>
        <w:wordWrap/>
        <w:overflowPunct/>
        <w:topLinePunct w:val="0"/>
        <w:autoSpaceDE/>
        <w:autoSpaceDN/>
        <w:bidi w:val="0"/>
        <w:spacing w:line="536" w:lineRule="exact"/>
        <w:ind w:firstLine="640" w:firstLineChars="200"/>
        <w:textAlignment w:val="auto"/>
        <w:rPr>
          <w:rFonts w:hint="default" w:eastAsia="仿宋_GB2312"/>
          <w:lang w:val="en-US" w:eastAsia="zh-CN"/>
        </w:rPr>
      </w:pPr>
      <w:r>
        <w:rPr>
          <w:rFonts w:hint="eastAsia" w:ascii="仿宋_GB2312" w:hAnsi="仿宋_GB2312" w:eastAsia="仿宋_GB2312" w:cs="仿宋_GB2312"/>
          <w:color w:val="000000"/>
          <w:sz w:val="32"/>
          <w:szCs w:val="32"/>
        </w:rPr>
        <w:t>预算绩效目标编制指标有待</w:t>
      </w:r>
      <w:r>
        <w:rPr>
          <w:rFonts w:hint="eastAsia" w:ascii="仿宋_GB2312" w:hAnsi="仿宋_GB2312" w:eastAsia="仿宋_GB2312" w:cs="仿宋_GB2312"/>
          <w:color w:val="000000"/>
          <w:sz w:val="32"/>
          <w:szCs w:val="32"/>
          <w:lang w:eastAsia="zh"/>
        </w:rPr>
        <w:t>进一步</w:t>
      </w:r>
      <w:r>
        <w:rPr>
          <w:rFonts w:hint="eastAsia" w:ascii="仿宋_GB2312" w:hAnsi="仿宋_GB2312" w:eastAsia="仿宋_GB2312" w:cs="仿宋_GB2312"/>
          <w:color w:val="000000"/>
          <w:sz w:val="32"/>
          <w:szCs w:val="32"/>
        </w:rPr>
        <w:t>细化。部分项目指标有些宏观、笼统，部分科目细化款项实际支出超预算，存在目级科目之间相互调剂，导致预算执行精细化和科学化管理不够。</w:t>
      </w:r>
    </w:p>
    <w:p>
      <w:pPr>
        <w:keepNext w:val="0"/>
        <w:keepLines w:val="0"/>
        <w:pageBreakBefore w:val="0"/>
        <w:widowControl w:val="0"/>
        <w:numPr>
          <w:ilvl w:val="0"/>
          <w:numId w:val="5"/>
        </w:numPr>
        <w:kinsoku/>
        <w:wordWrap/>
        <w:overflowPunct/>
        <w:topLinePunct w:val="0"/>
        <w:autoSpaceDE/>
        <w:autoSpaceDN/>
        <w:bidi w:val="0"/>
        <w:adjustRightInd w:val="0"/>
        <w:snapToGrid w:val="0"/>
        <w:spacing w:line="536" w:lineRule="exact"/>
        <w:ind w:left="-220" w:leftChars="0" w:firstLine="640" w:firstLineChars="0"/>
        <w:contextualSpacing/>
        <w:jc w:val="left"/>
        <w:textAlignment w:val="auto"/>
        <w:rPr>
          <w:rFonts w:hint="eastAsia" w:ascii="楷体_GB2312" w:hAnsi="楷体_GB2312" w:eastAsia="楷体_GB2312" w:cs="楷体_GB2312"/>
          <w:b w:val="0"/>
          <w:bCs w:val="0"/>
          <w:color w:val="000000"/>
          <w:kern w:val="0"/>
          <w:sz w:val="32"/>
          <w:szCs w:val="32"/>
          <w:highlight w:val="none"/>
          <w:shd w:val="clear" w:color="auto" w:fill="FFFFFF"/>
          <w:lang w:val="zh-CN"/>
        </w:rPr>
      </w:pPr>
      <w:r>
        <w:rPr>
          <w:rFonts w:hint="eastAsia" w:ascii="楷体_GB2312" w:hAnsi="楷体_GB2312" w:eastAsia="楷体_GB2312" w:cs="楷体_GB2312"/>
          <w:b w:val="0"/>
          <w:bCs w:val="0"/>
          <w:color w:val="000000"/>
          <w:kern w:val="0"/>
          <w:sz w:val="32"/>
          <w:szCs w:val="32"/>
          <w:highlight w:val="none"/>
          <w:shd w:val="clear" w:color="auto" w:fill="FFFFFF"/>
          <w:lang w:val="zh-CN"/>
        </w:rPr>
        <w:t>改进建议</w:t>
      </w:r>
    </w:p>
    <w:p>
      <w:pPr>
        <w:keepNext w:val="0"/>
        <w:keepLines w:val="0"/>
        <w:pageBreakBefore w:val="0"/>
        <w:kinsoku/>
        <w:wordWrap/>
        <w:overflowPunct/>
        <w:topLinePunct w:val="0"/>
        <w:autoSpaceDE/>
        <w:autoSpaceDN/>
        <w:bidi w:val="0"/>
        <w:spacing w:line="53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一是认真做好预算编制，科学合理编制绩效目标。进一步加强预算绩效管理意识，编制绩效目标时尽可能细化、量化，提高预算编制的科学性、完整性和合理性。</w:t>
      </w:r>
    </w:p>
    <w:p>
      <w:pPr>
        <w:keepNext w:val="0"/>
        <w:keepLines w:val="0"/>
        <w:pageBreakBefore w:val="0"/>
        <w:kinsoku/>
        <w:wordWrap/>
        <w:overflowPunct/>
        <w:topLinePunct w:val="0"/>
        <w:autoSpaceDE/>
        <w:autoSpaceDN/>
        <w:bidi w:val="0"/>
        <w:spacing w:line="536"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是严格执行预算绩效管理进度，定期做好支出财务分析，严格按项目和进度执行预算，加强对绩效管理工作的跟踪督查，做到绩效管理有依据、按程序，实现绩效管理的规范化、常态化，确保项目绩效目标的完成。</w:t>
      </w:r>
    </w:p>
    <w:p>
      <w:pPr>
        <w:pStyle w:val="2"/>
        <w:rPr>
          <w:rFonts w:hint="default"/>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tbl>
      <w:tblPr>
        <w:tblStyle w:val="16"/>
        <w:tblW w:w="12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1860"/>
        <w:gridCol w:w="285"/>
        <w:gridCol w:w="1500"/>
        <w:gridCol w:w="1200"/>
        <w:gridCol w:w="1920"/>
        <w:gridCol w:w="600"/>
        <w:gridCol w:w="1320"/>
        <w:gridCol w:w="1080"/>
        <w:gridCol w:w="97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5" w:hRule="atLeast"/>
        </w:trPr>
        <w:tc>
          <w:tcPr>
            <w:tcW w:w="11535"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部门整体支出绩效目标自评表</w:t>
            </w:r>
          </w:p>
        </w:tc>
        <w:tc>
          <w:tcPr>
            <w:tcW w:w="1080"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1535"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37"/>
                <w:lang w:val="en-US" w:eastAsia="zh-CN" w:bidi="ar"/>
              </w:rPr>
              <w:t>（</w:t>
            </w:r>
            <w:r>
              <w:rPr>
                <w:rStyle w:val="38"/>
                <w:rFonts w:eastAsia="宋体"/>
                <w:lang w:val="en-US" w:eastAsia="zh-CN" w:bidi="ar"/>
              </w:rPr>
              <w:t xml:space="preserve">   2022</w:t>
            </w:r>
            <w:r>
              <w:rPr>
                <w:rStyle w:val="37"/>
                <w:lang w:val="en-US" w:eastAsia="zh-CN" w:bidi="ar"/>
              </w:rPr>
              <w:t>年度）</w:t>
            </w:r>
          </w:p>
        </w:tc>
        <w:tc>
          <w:tcPr>
            <w:tcW w:w="1080"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95" w:type="dxa"/>
            <w:tcBorders>
              <w:top w:val="nil"/>
              <w:left w:val="nil"/>
              <w:bottom w:val="nil"/>
              <w:right w:val="nil"/>
            </w:tcBorders>
            <w:shd w:val="clear" w:color="auto" w:fill="auto"/>
            <w:vAlign w:val="center"/>
          </w:tcPr>
          <w:p>
            <w:pPr>
              <w:rPr>
                <w:rFonts w:hint="eastAsia" w:ascii="宋体" w:hAnsi="宋体" w:eastAsia="宋体" w:cs="宋体"/>
                <w:i w:val="0"/>
                <w:color w:val="000000"/>
                <w:sz w:val="24"/>
                <w:szCs w:val="24"/>
                <w:u w:val="none"/>
              </w:rPr>
            </w:pPr>
          </w:p>
        </w:tc>
        <w:tc>
          <w:tcPr>
            <w:tcW w:w="1860" w:type="dxa"/>
            <w:tcBorders>
              <w:top w:val="nil"/>
              <w:left w:val="nil"/>
              <w:bottom w:val="nil"/>
              <w:right w:val="nil"/>
            </w:tcBorders>
            <w:shd w:val="clear" w:color="auto" w:fill="auto"/>
            <w:vAlign w:val="center"/>
          </w:tcPr>
          <w:p>
            <w:pPr>
              <w:rPr>
                <w:rFonts w:hint="eastAsia" w:ascii="宋体" w:hAnsi="宋体" w:eastAsia="宋体" w:cs="宋体"/>
                <w:i w:val="0"/>
                <w:color w:val="000000"/>
                <w:sz w:val="24"/>
                <w:szCs w:val="24"/>
                <w:u w:val="none"/>
              </w:rPr>
            </w:pPr>
          </w:p>
        </w:tc>
        <w:tc>
          <w:tcPr>
            <w:tcW w:w="285" w:type="dxa"/>
            <w:tcBorders>
              <w:top w:val="nil"/>
              <w:left w:val="nil"/>
              <w:bottom w:val="nil"/>
              <w:right w:val="nil"/>
            </w:tcBorders>
            <w:shd w:val="clear" w:color="auto" w:fill="auto"/>
            <w:vAlign w:val="center"/>
          </w:tcPr>
          <w:p>
            <w:pPr>
              <w:rPr>
                <w:rFonts w:hint="eastAsia" w:ascii="宋体" w:hAnsi="宋体" w:eastAsia="宋体" w:cs="宋体"/>
                <w:i w:val="0"/>
                <w:color w:val="000000"/>
                <w:sz w:val="24"/>
                <w:szCs w:val="24"/>
                <w:u w:val="none"/>
              </w:rPr>
            </w:pPr>
          </w:p>
        </w:tc>
        <w:tc>
          <w:tcPr>
            <w:tcW w:w="1500" w:type="dxa"/>
            <w:tcBorders>
              <w:top w:val="nil"/>
              <w:left w:val="nil"/>
              <w:bottom w:val="nil"/>
              <w:right w:val="nil"/>
            </w:tcBorders>
            <w:shd w:val="clear" w:color="auto" w:fill="auto"/>
            <w:vAlign w:val="center"/>
          </w:tcPr>
          <w:p>
            <w:pPr>
              <w:rPr>
                <w:rFonts w:hint="eastAsia" w:ascii="宋体" w:hAnsi="宋体" w:eastAsia="宋体" w:cs="宋体"/>
                <w:i w:val="0"/>
                <w:color w:val="000000"/>
                <w:sz w:val="24"/>
                <w:szCs w:val="24"/>
                <w:u w:val="none"/>
              </w:rPr>
            </w:pPr>
          </w:p>
        </w:tc>
        <w:tc>
          <w:tcPr>
            <w:tcW w:w="1200" w:type="dxa"/>
            <w:tcBorders>
              <w:top w:val="nil"/>
              <w:left w:val="nil"/>
              <w:bottom w:val="nil"/>
              <w:right w:val="nil"/>
            </w:tcBorders>
            <w:shd w:val="clear" w:color="auto" w:fill="auto"/>
            <w:vAlign w:val="center"/>
          </w:tcPr>
          <w:p>
            <w:pPr>
              <w:rPr>
                <w:rFonts w:hint="eastAsia" w:ascii="宋体" w:hAnsi="宋体" w:eastAsia="宋体" w:cs="宋体"/>
                <w:i w:val="0"/>
                <w:color w:val="000000"/>
                <w:sz w:val="24"/>
                <w:szCs w:val="24"/>
                <w:u w:val="none"/>
              </w:rPr>
            </w:pPr>
          </w:p>
        </w:tc>
        <w:tc>
          <w:tcPr>
            <w:tcW w:w="1920" w:type="dxa"/>
            <w:tcBorders>
              <w:top w:val="nil"/>
              <w:left w:val="nil"/>
              <w:bottom w:val="nil"/>
              <w:right w:val="nil"/>
            </w:tcBorders>
            <w:shd w:val="clear" w:color="auto" w:fill="auto"/>
            <w:vAlign w:val="center"/>
          </w:tcPr>
          <w:p>
            <w:pPr>
              <w:rPr>
                <w:rFonts w:hint="eastAsia" w:ascii="宋体" w:hAnsi="宋体" w:eastAsia="宋体" w:cs="宋体"/>
                <w:i w:val="0"/>
                <w:color w:val="000000"/>
                <w:sz w:val="24"/>
                <w:szCs w:val="24"/>
                <w:u w:val="none"/>
              </w:rPr>
            </w:pPr>
          </w:p>
        </w:tc>
        <w:tc>
          <w:tcPr>
            <w:tcW w:w="600" w:type="dxa"/>
            <w:tcBorders>
              <w:top w:val="nil"/>
              <w:left w:val="nil"/>
              <w:bottom w:val="nil"/>
              <w:right w:val="nil"/>
            </w:tcBorders>
            <w:shd w:val="clear" w:color="auto" w:fill="auto"/>
            <w:vAlign w:val="center"/>
          </w:tcPr>
          <w:p>
            <w:pPr>
              <w:rPr>
                <w:rFonts w:hint="eastAsia" w:ascii="宋体" w:hAnsi="宋体" w:eastAsia="宋体" w:cs="宋体"/>
                <w:i w:val="0"/>
                <w:color w:val="000000"/>
                <w:sz w:val="24"/>
                <w:szCs w:val="24"/>
                <w:u w:val="none"/>
              </w:rPr>
            </w:pPr>
          </w:p>
        </w:tc>
        <w:tc>
          <w:tcPr>
            <w:tcW w:w="1320" w:type="dxa"/>
            <w:tcBorders>
              <w:top w:val="nil"/>
              <w:left w:val="nil"/>
              <w:bottom w:val="nil"/>
              <w:right w:val="nil"/>
            </w:tcBorders>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975"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c>
          <w:tcPr>
            <w:tcW w:w="1080" w:type="dxa"/>
            <w:tcBorders>
              <w:top w:val="nil"/>
              <w:left w:val="nil"/>
              <w:bottom w:val="nil"/>
              <w:right w:val="nil"/>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29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部门名称</w:t>
            </w:r>
          </w:p>
        </w:tc>
        <w:tc>
          <w:tcPr>
            <w:tcW w:w="96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广元市司法局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主要</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任务</w:t>
            </w:r>
          </w:p>
        </w:tc>
        <w:tc>
          <w:tcPr>
            <w:tcW w:w="21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任务名称</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主要内容</w:t>
            </w:r>
          </w:p>
        </w:tc>
        <w:tc>
          <w:tcPr>
            <w:tcW w:w="3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预算金额（万元）</w:t>
            </w:r>
          </w:p>
        </w:tc>
        <w:tc>
          <w:tcPr>
            <w:tcW w:w="4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总额</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1.行政运行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局机关人员经费及日常公用经费（含追加）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1920.47</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1920.47</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1869.73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1869.73</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2.一般行政管理事务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上年结转人员工资、办公楼维修资金、两新组织党建经费等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28.46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17.52</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3.乡村振兴工作经费</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乡村振兴工作支出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7.28</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4.法律援助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全市法律援助工作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5.基层司法业务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人民调解、医调、司法所规范化建设</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5.85</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6.普法宣传</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推进全市普法、宣传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7.公共法律服务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公证律师管理、司法鉴定业务支出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11.62</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8.国家统一法律职业资格考试</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实施2022年法律职业资格考试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4.28</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9.法治建设</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全市法治工作、行政复议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32.29</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29.47</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10.公证处正常运转支出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办理公证业务成本费及公证人员工资、保险等</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11.转移支付</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履行司法行政职能职责，办理司法业务案件开展工作、购买装备（含上年结转）</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464.63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464.63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203.14</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12.两新组织党建</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开展两新组织党建活动，增强党组织的凝聚力和向心力，更好发挥其整治引领和整治核心作用，促进两新党组织发展。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13.利州事务所陈桦、郭前退休人员生活补贴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解决我局原四川利州律师事务所2名退休人员生活补贴共计2.12万元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14.急需紧缺专业选调生安家补助</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解决我局选调生一次性安家补助4万元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15.市直事业单位公开引进高层次人才工作补助资金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解决我局公开引进高层次人才工作补助资金1.8万元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16.辞退人员张科补偿金</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解决我局原四川利州律师事务所辞退人员张科补偿金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金额合计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2564.43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2564.43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2212.21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2212.21</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8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8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总体</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目标</w:t>
            </w:r>
          </w:p>
        </w:tc>
        <w:tc>
          <w:tcPr>
            <w:tcW w:w="48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目标1：完成公证、司法鉴定人员业务培训各1次。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目标2:完成医患纠纷调解案件20件，完成全市人民调解员培训学习2次，基层科下基层调研指导基层司法所业务工作4次，安帮科下基层指导3次。                                                                                       目标3：组织实施2022年法律职业资格考试，组织监考人员培训1次。目标4：办理法律援助案件80件，提供法律援助咨询服务1400人次。                                      目标5：法制建设完成市委市政府重大行政决策听证、行政单位所有行政复议、应诉工作等。                                      目标6：组织开展全面依法治市重大问题调查研究，开展重大法治专项督察和综合性督察，加强全面依法治市教育宣传工作。            目标7：协助村按要求完成上级下达的年度兴村振兴项目建设。    目标8：组织开展“一月一主题”法治宣传教育活动4次，扩大全民普法宣传教育覆盖率，增强全民法治意识。深入县区指导调研检查“八五”普法工作启动、法治文化建设、法治示范政府创建开展情况等。                                    </w:t>
            </w: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我局认真贯彻市委、市政府的决策部署，认真履职，各项经费严格按照预算编制执行，资金落实到位、资金使用规范透明、政策执行有力、对项目的监督及时准确，预期绩效目标全部完成。已完成公证、司法鉴定人员业务培训；医患纠纷调解案件36件，完成全市人民调解员培训学习1次，法治调研科下基层调研指导基层司法所业务工作12次，促进法治科下基层指导3次；完成法律援助案件85件，完成法律援助咨询服务1400人次，按目标完成普法、社矫、法治建设等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效</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标</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预期指标值（包含数字及文字描述）</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实际完成指标值（包含数字及文字描述）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完成指标</w:t>
            </w:r>
          </w:p>
        </w:tc>
        <w:tc>
          <w:tcPr>
            <w:tcW w:w="17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指标1：办理法律援助案件</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80件</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指标2：接待法律援助咨询服务</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1360人次</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1400人次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指标3：指定立法项目数量</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1个</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指标4：开展立法调研、论证会议次数</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3次</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指标5：调解各类纠纷数量</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0件</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指标6：开展普法宣传活动场次</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6场</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指标7：公共法律服务实体平台建成数量</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0个</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指标8：解答法律咨询数量</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指标9：受理外来企业投诉纠纷数量</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0件</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指标10：参与信访接待和处理案件数量</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0件</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指标1：采购装备出现不合格装备的比例</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东文宋体" w:hAnsi="东文宋体" w:eastAsia="东文宋体" w:cs="东文宋体"/>
                <w:i w:val="0"/>
                <w:color w:val="000000"/>
                <w:sz w:val="18"/>
                <w:szCs w:val="18"/>
                <w:u w:val="none"/>
              </w:rPr>
            </w:pPr>
            <w:r>
              <w:rPr>
                <w:rStyle w:val="39"/>
                <w:lang w:val="en-US" w:eastAsia="zh-CN" w:bidi="ar"/>
              </w:rPr>
              <w:t>≤</w:t>
            </w:r>
            <w:r>
              <w:rPr>
                <w:rStyle w:val="40"/>
                <w:lang w:val="en-US" w:eastAsia="zh-CN" w:bidi="ar"/>
              </w:rPr>
              <w:t>1%</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color w:val="000000"/>
                <w:sz w:val="18"/>
                <w:szCs w:val="18"/>
                <w:u w:val="none"/>
              </w:rPr>
            </w:pPr>
            <w:r>
              <w:rPr>
                <w:rStyle w:val="39"/>
                <w:lang w:val="en-US" w:eastAsia="zh-CN" w:bidi="ar"/>
              </w:rPr>
              <w:t>≤</w:t>
            </w:r>
            <w:r>
              <w:rPr>
                <w:rStyle w:val="40"/>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指标2：社区矫正中心建成数量</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5个</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指标3：司法所规范化建设完成数量</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99个司法所</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99个司法所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指标4：法律援助案件质量合格率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color w:val="000000"/>
                <w:sz w:val="18"/>
                <w:szCs w:val="18"/>
                <w:u w:val="none"/>
              </w:rPr>
            </w:pPr>
            <w:r>
              <w:rPr>
                <w:rStyle w:val="39"/>
                <w:lang w:val="en-US" w:eastAsia="zh-CN" w:bidi="ar"/>
              </w:rPr>
              <w:t>≥</w:t>
            </w:r>
            <w:r>
              <w:rPr>
                <w:rStyle w:val="40"/>
                <w:lang w:val="en-US" w:eastAsia="zh-CN" w:bidi="ar"/>
              </w:rPr>
              <w:t>98%</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指标5：行政复议、应诉完成合格率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指标6：公共法律服务站、室职责及服务内容</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内容完备</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公共法律服务工作站服务内容按照3+X设置，能为群众提供包括法律咨询、法律援助、人民调解和其他法律服务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指标1：财政资金到位时间</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2022年6月前</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指标2：按照年初计划完成主要业务工作时间</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2022年12月前</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指标3：各项工作完成及时率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color w:val="000000"/>
                <w:sz w:val="18"/>
                <w:szCs w:val="18"/>
                <w:u w:val="none"/>
              </w:rPr>
            </w:pPr>
            <w:r>
              <w:rPr>
                <w:rStyle w:val="39"/>
                <w:lang w:val="en-US" w:eastAsia="zh-CN" w:bidi="ar"/>
              </w:rPr>
              <w:t>≥</w:t>
            </w:r>
            <w:r>
              <w:rPr>
                <w:rStyle w:val="40"/>
                <w:lang w:val="en-US" w:eastAsia="zh-CN" w:bidi="ar"/>
              </w:rPr>
              <w:t>98%</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2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指标1：法考考生经费保障成本（国家统一法律职业资格考试经费支出/考生人数）</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10万元</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4.28万元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受疫情影响，2022年法考延迟举行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指标2：普法宣传工作保障成本</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16.8万元</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16.8万元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指标3：法律援助工作保障成本</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10万元</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2022年12月底支付失败1万元，2023年重新支付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指标4：公共法律服务支出保障成本</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15万元</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11.62万元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受疫情影响，未开展全市公证员、司法鉴定人员业务培训，2023年实施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指标5：基层司法业务工作保障成本</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15万元</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5.85万元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受疫情影响，下基层指导、检查业务工作次数减少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5"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指标6：法治建设工作保障成本</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32.29万元</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29.47万元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受疫情影响，部分印刷费还未结账，2023年支付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指标7：利州事务所陈桦、郭前退休人员生活补贴</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2.12万元</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7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指标1：为受援人挽回经济损失</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≥80万元</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color w:val="000000"/>
                <w:sz w:val="20"/>
                <w:szCs w:val="20"/>
                <w:u w:val="none"/>
              </w:rPr>
            </w:pPr>
            <w:r>
              <w:rPr>
                <w:rFonts w:hint="default" w:ascii="东文宋体" w:hAnsi="东文宋体" w:eastAsia="东文宋体" w:cs="东文宋体"/>
                <w:i w:val="0"/>
                <w:color w:val="000000"/>
                <w:kern w:val="0"/>
                <w:sz w:val="20"/>
                <w:szCs w:val="20"/>
                <w:u w:val="none"/>
                <w:lang w:val="en-US" w:eastAsia="zh-CN" w:bidi="ar"/>
              </w:rPr>
              <w:t>≥100万元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指标2：为受援人减轻经济负担</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color w:val="000000"/>
                <w:sz w:val="20"/>
                <w:szCs w:val="20"/>
                <w:u w:val="none"/>
              </w:rPr>
            </w:pPr>
            <w:r>
              <w:rPr>
                <w:rFonts w:hint="default" w:ascii="东文宋体" w:hAnsi="东文宋体" w:eastAsia="东文宋体" w:cs="东文宋体"/>
                <w:i w:val="0"/>
                <w:color w:val="000000"/>
                <w:kern w:val="0"/>
                <w:sz w:val="20"/>
                <w:szCs w:val="20"/>
                <w:u w:val="none"/>
                <w:lang w:val="en-US" w:eastAsia="zh-CN" w:bidi="ar"/>
              </w:rPr>
              <w:t>≥35万元</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指标3：帮助农民工讨回薪酬数额</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指标4：化解各类矛盾纠纷挽回经济损失</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指标1：依法治市工作社会效益</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依法治市工作有序开展</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法治理念深入人心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指标2：机关执法普法常态化</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机关执法普法常态化</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严格规范执法，促进学法用法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指标3：维护受援人合法权益</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切实维护受援人合法权益</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促进社会公平正义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指标4：减少社会不安定因素，促进社会稳定</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减少不安定因素</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促进社会和谐稳定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指标5：完成执法人员资格考试</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提高全市行政执法人员业务水平</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进一步规范行政执法行为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4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指标6：提高公共法律服务供给能力</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满足群众需求</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满足群众公共法律服务需求，提升社会法治化治理水平，维护社会和谐，构建基层依法治理新格局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指标7：为全面依法治国选拔法治专业人才</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选拔专业人才</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为党和国家选拔储备高素质法律职业人才，推进社会主义法治工作队伍建设，推进全面依法治国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指标1：化解社会矛盾、服务群众、对社会的促进作用</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构建平安四川一步提升</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平安广元环境进一步提升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指标2：宣传法治建设理念，营造良好的法治环境</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实现全民普法</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营造了良好的法治环境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指标3：化解社区矛盾</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执行刑罚，化解社区矛盾</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有利于维护社会和谐稳定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指标1：帮助维护弱势群体合法权益</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维护社会稳定</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构建和谐社会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指标2：市民法治理念得到提升</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公民法律素养提升</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推动全民尊法学法守法用法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指标3：拓展法律援助覆盖面</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降栏扩面，不断扩大法律援助覆盖范围</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营造良好的法治环境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指标4：提供优质法律服务，服务和改善民生</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服务和改善民生</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社会经济得到可持续发展</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2"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指标5：维护社会长治久安，构建和谐法治社会氛围</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维护社会稳定</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努力建设法治政府，持续营造法治社会氛围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指标</w:t>
            </w:r>
          </w:p>
        </w:tc>
        <w:tc>
          <w:tcPr>
            <w:tcW w:w="17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3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指标1：服务对象对司法行政各项业务工作的满意率</w:t>
            </w:r>
          </w:p>
        </w:tc>
        <w:tc>
          <w:tcPr>
            <w:tcW w:w="1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20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东文宋体" w:hAnsi="东文宋体" w:eastAsia="东文宋体" w:cs="东文宋体"/>
                <w:i w:val="0"/>
                <w:color w:val="000000"/>
                <w:sz w:val="18"/>
                <w:szCs w:val="18"/>
                <w:u w:val="none"/>
              </w:rPr>
            </w:pPr>
            <w:r>
              <w:rPr>
                <w:rStyle w:val="39"/>
                <w:lang w:val="en-US" w:eastAsia="zh-CN" w:bidi="ar"/>
              </w:rPr>
              <w:t>≥</w:t>
            </w:r>
            <w:r>
              <w:rPr>
                <w:rStyle w:val="40"/>
                <w:lang w:val="en-US" w:eastAsia="zh-CN" w:bidi="ar"/>
              </w:rPr>
              <w:t>98%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7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0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东文宋体" w:hAnsi="东文宋体" w:eastAsia="东文宋体" w:cs="东文宋体"/>
                <w:i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部门（单位）自评结论</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总体来看绩效目标明确，资金到位及时并严格按照财政有关规定使用，预算决策、管理、执行等日益规范，全年预算管理执行到位，能较好地满足工作需要。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部门（单位）自评存在问题</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我局项目资金的执行基本达标，其中满意度均达到了年初标准，但仍存在部分项目执行不到位的情况，主要是因为受疫情影响，公共法律服务、基层司法业务等项目未能如期开展技能培训，下基层检查、指导业务工作开展次数减少，未能100%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部门（单位）自评改进措施</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严格执行预算绩效管理进度，定期做好支出财务分析，严格按项目和进度执行预算，加强对绩效管理工作的跟踪督查，做到绩效管理有依据、按程序，实现绩效管理的规范化、常态化，确保项目绩效目标的完成。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财政部门对口科室复评结论及整改要求</w:t>
            </w:r>
          </w:p>
        </w:tc>
        <w:tc>
          <w:tcPr>
            <w:tcW w:w="118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bl>
    <w:p>
      <w:pPr>
        <w:rPr>
          <w:rFonts w:hint="default"/>
          <w:lang w:val="en-US" w:eastAsia="zh-CN"/>
        </w:rPr>
        <w:sectPr>
          <w:pgSz w:w="16838" w:h="11906" w:orient="landscape"/>
          <w:pgMar w:top="1800" w:right="1440" w:bottom="1800" w:left="1440" w:header="851" w:footer="992" w:gutter="0"/>
          <w:pgNumType w:fmt="decimal" w:start="1"/>
          <w:cols w:space="425" w:num="1"/>
          <w:docGrid w:type="lines" w:linePitch="312" w:charSpace="0"/>
        </w:sectPr>
      </w:pPr>
    </w:p>
    <w:p>
      <w:pPr>
        <w:pStyle w:val="2"/>
        <w:rPr>
          <w:rFonts w:hint="eastAsia" w:hAnsi="宋体" w:cs="宋体"/>
          <w:color w:val="auto"/>
          <w:kern w:val="0"/>
          <w:sz w:val="32"/>
          <w:szCs w:val="32"/>
          <w:highlight w:val="none"/>
          <w:shd w:val="clear" w:color="auto" w:fill="FFFFFF"/>
          <w:lang w:val="zh-CN"/>
        </w:rPr>
      </w:pPr>
    </w:p>
    <w:p>
      <w:pPr>
        <w:pStyle w:val="2"/>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spacing w:line="560" w:lineRule="exact"/>
        <w:jc w:val="center"/>
        <w:rPr>
          <w:rFonts w:hint="eastAsia" w:ascii="方正小标宋简体" w:hAnsi="宋体" w:eastAsia="方正小标宋简体"/>
          <w:color w:val="000000"/>
          <w:kern w:val="0"/>
          <w:sz w:val="44"/>
          <w:szCs w:val="44"/>
          <w:lang w:eastAsia="zh-CN"/>
        </w:rPr>
      </w:pPr>
    </w:p>
    <w:p>
      <w:pPr>
        <w:spacing w:line="560" w:lineRule="exact"/>
        <w:jc w:val="center"/>
        <w:rPr>
          <w:rFonts w:hint="eastAsia" w:ascii="方正小标宋简体" w:hAnsi="宋体" w:eastAsia="方正小标宋简体"/>
          <w:color w:val="000000"/>
          <w:kern w:val="0"/>
          <w:sz w:val="44"/>
          <w:szCs w:val="44"/>
          <w:lang w:eastAsia="zh-CN"/>
        </w:rPr>
      </w:pPr>
      <w:r>
        <w:rPr>
          <w:rFonts w:hint="eastAsia" w:ascii="方正小标宋简体" w:hAnsi="宋体" w:eastAsia="方正小标宋简体"/>
          <w:color w:val="000000"/>
          <w:kern w:val="0"/>
          <w:sz w:val="44"/>
          <w:szCs w:val="44"/>
          <w:lang w:eastAsia="zh-CN"/>
        </w:rPr>
        <w:t>广元市司法局</w:t>
      </w:r>
    </w:p>
    <w:p>
      <w:pPr>
        <w:spacing w:line="560" w:lineRule="exact"/>
        <w:jc w:val="center"/>
        <w:rPr>
          <w:rFonts w:hint="eastAsia" w:ascii="方正小标宋简体" w:hAnsi="方正小标宋简体" w:eastAsia="方正小标宋简体"/>
          <w:color w:val="000000"/>
          <w:kern w:val="0"/>
          <w:sz w:val="44"/>
          <w:szCs w:val="44"/>
        </w:rPr>
      </w:pPr>
      <w:r>
        <w:rPr>
          <w:rFonts w:hint="eastAsia" w:ascii="方正小标宋简体" w:hAnsi="宋体" w:eastAsia="方正小标宋简体"/>
          <w:color w:val="000000"/>
          <w:kern w:val="0"/>
          <w:sz w:val="44"/>
          <w:szCs w:val="44"/>
          <w:lang w:eastAsia="zh-CN"/>
        </w:rPr>
        <w:t>关于</w:t>
      </w:r>
      <w:r>
        <w:rPr>
          <w:rFonts w:hint="eastAsia" w:ascii="方正小标宋简体" w:hAnsi="宋体" w:eastAsia="方正小标宋简体"/>
          <w:color w:val="000000"/>
          <w:kern w:val="0"/>
          <w:sz w:val="44"/>
          <w:szCs w:val="44"/>
        </w:rPr>
        <w:t>20</w:t>
      </w:r>
      <w:r>
        <w:rPr>
          <w:rFonts w:hint="eastAsia" w:ascii="方正小标宋简体" w:hAnsi="宋体" w:eastAsia="方正小标宋简体"/>
          <w:color w:val="000000"/>
          <w:kern w:val="0"/>
          <w:sz w:val="44"/>
          <w:szCs w:val="44"/>
          <w:lang w:val="en-US" w:eastAsia="zh-CN"/>
        </w:rPr>
        <w:t>22</w:t>
      </w:r>
      <w:r>
        <w:rPr>
          <w:rFonts w:hint="eastAsia" w:ascii="方正小标宋简体" w:hAnsi="方正小标宋简体" w:eastAsia="方正小标宋简体"/>
          <w:color w:val="000000"/>
          <w:kern w:val="0"/>
          <w:sz w:val="44"/>
          <w:szCs w:val="44"/>
        </w:rPr>
        <w:t>年法律援助项目</w:t>
      </w:r>
      <w:r>
        <w:rPr>
          <w:rFonts w:hint="eastAsia" w:ascii="方正小标宋简体" w:hAnsi="宋体" w:eastAsia="方正小标宋简体"/>
          <w:color w:val="000000"/>
          <w:kern w:val="0"/>
          <w:sz w:val="44"/>
          <w:szCs w:val="44"/>
        </w:rPr>
        <w:t>支出</w:t>
      </w:r>
      <w:r>
        <w:rPr>
          <w:rFonts w:hint="eastAsia" w:ascii="方正小标宋简体" w:hAnsi="方正小标宋简体" w:eastAsia="方正小标宋简体"/>
          <w:color w:val="000000"/>
          <w:kern w:val="0"/>
          <w:sz w:val="44"/>
          <w:szCs w:val="44"/>
        </w:rPr>
        <w:t>绩效</w:t>
      </w:r>
    </w:p>
    <w:p>
      <w:pPr>
        <w:spacing w:line="560" w:lineRule="exact"/>
        <w:jc w:val="center"/>
        <w:rPr>
          <w:rFonts w:hint="eastAsia" w:ascii="方正小标宋简体" w:hAnsi="宋体" w:eastAsia="方正小标宋简体"/>
          <w:color w:val="000000"/>
          <w:kern w:val="0"/>
          <w:sz w:val="44"/>
          <w:szCs w:val="44"/>
        </w:rPr>
      </w:pPr>
      <w:r>
        <w:rPr>
          <w:rFonts w:hint="eastAsia" w:ascii="方正小标宋简体" w:hAnsi="方正小标宋简体" w:eastAsia="方正小标宋简体"/>
          <w:color w:val="000000"/>
          <w:kern w:val="0"/>
          <w:sz w:val="44"/>
          <w:szCs w:val="44"/>
        </w:rPr>
        <w:t>评价</w:t>
      </w:r>
      <w:r>
        <w:rPr>
          <w:rFonts w:hint="eastAsia" w:ascii="方正小标宋简体" w:hAnsi="方正小标宋简体" w:eastAsia="方正小标宋简体"/>
          <w:color w:val="000000"/>
          <w:kern w:val="0"/>
          <w:sz w:val="44"/>
          <w:szCs w:val="44"/>
          <w:lang w:eastAsia="zh-CN"/>
        </w:rPr>
        <w:t>的</w:t>
      </w:r>
      <w:r>
        <w:rPr>
          <w:rFonts w:hint="eastAsia" w:ascii="方正小标宋简体" w:hAnsi="方正小标宋简体" w:eastAsia="方正小标宋简体"/>
          <w:color w:val="000000"/>
          <w:kern w:val="0"/>
          <w:sz w:val="44"/>
          <w:szCs w:val="44"/>
        </w:rPr>
        <w:t>报告</w:t>
      </w:r>
    </w:p>
    <w:p>
      <w:pPr>
        <w:spacing w:line="560" w:lineRule="exact"/>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spacing w:line="540" w:lineRule="exact"/>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市财政局：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现将我局2022年法律援助项目支出绩效评价情况报告如下：</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left="720" w:leftChars="0"/>
        <w:textAlignment w:val="auto"/>
        <w:rPr>
          <w:rFonts w:hint="eastAsia" w:ascii="黑体" w:hAnsi="黑体" w:eastAsia="黑体"/>
          <w:color w:val="000000"/>
          <w:sz w:val="32"/>
          <w:szCs w:val="32"/>
        </w:rPr>
      </w:pPr>
      <w:r>
        <w:rPr>
          <w:rFonts w:hint="eastAsia" w:ascii="黑体" w:hAnsi="黑体" w:eastAsia="黑体"/>
          <w:color w:val="000000"/>
          <w:sz w:val="32"/>
          <w:szCs w:val="32"/>
          <w:lang w:eastAsia="zh-CN"/>
        </w:rPr>
        <w:t>一、</w:t>
      </w:r>
      <w:r>
        <w:rPr>
          <w:rFonts w:hint="eastAsia" w:ascii="黑体" w:hAnsi="黑体" w:eastAsia="黑体"/>
          <w:color w:val="000000"/>
          <w:sz w:val="32"/>
          <w:szCs w:val="32"/>
        </w:rPr>
        <w:t>项目概况</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楷体" w:hAnsi="楷体" w:eastAsia="楷体"/>
          <w:color w:val="000000"/>
          <w:sz w:val="32"/>
          <w:szCs w:val="32"/>
        </w:rPr>
      </w:pPr>
      <w:r>
        <w:rPr>
          <w:rFonts w:hint="eastAsia" w:ascii="楷体" w:hAnsi="楷体" w:eastAsia="楷体"/>
          <w:color w:val="000000"/>
          <w:sz w:val="32"/>
          <w:szCs w:val="32"/>
        </w:rPr>
        <w:t>（一）项目基本情况</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lang w:val="en-US" w:eastAsia="zh-CN"/>
        </w:rPr>
        <w:t>1.</w:t>
      </w:r>
      <w:r>
        <w:rPr>
          <w:rFonts w:hint="eastAsia" w:ascii="仿宋_GB2312" w:hAnsi="仿宋_GB2312" w:eastAsia="仿宋_GB2312"/>
          <w:color w:val="000000"/>
          <w:sz w:val="32"/>
          <w:szCs w:val="32"/>
        </w:rPr>
        <w:t>说明项目主管部门（单位）在该项目管理中的职能</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仿宋_GB2312" w:hAnsi="宋体" w:eastAsia="仿宋_GB2312"/>
          <w:color w:val="000000"/>
          <w:sz w:val="32"/>
          <w:szCs w:val="32"/>
        </w:rPr>
      </w:pPr>
      <w:r>
        <w:rPr>
          <w:rFonts w:hint="eastAsia" w:ascii="仿宋_GB2312" w:hAnsi="仿宋" w:eastAsia="仿宋_GB2312"/>
          <w:color w:val="000000"/>
          <w:sz w:val="32"/>
          <w:szCs w:val="32"/>
        </w:rPr>
        <w:t>我局负责制定本单位法律援助补贴标准，确保相关经费保障政策措施落到实处，督促市法律援助中心严格按照法律法规、政策标准及时、足额支付，不得截留，促进法律援助事业健康发展。</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lang w:val="en-US" w:eastAsia="zh-CN"/>
        </w:rPr>
        <w:t>2.</w:t>
      </w:r>
      <w:r>
        <w:rPr>
          <w:rFonts w:hint="eastAsia" w:ascii="仿宋_GB2312" w:hAnsi="仿宋_GB2312" w:eastAsia="仿宋_GB2312"/>
          <w:color w:val="000000"/>
          <w:sz w:val="32"/>
          <w:szCs w:val="32"/>
        </w:rPr>
        <w:t>项目立项、资金申报的依据</w:t>
      </w:r>
    </w:p>
    <w:p>
      <w:pPr>
        <w:pStyle w:val="15"/>
        <w:keepNext w:val="0"/>
        <w:keepLines w:val="0"/>
        <w:pageBreakBefore w:val="0"/>
        <w:kinsoku/>
        <w:wordWrap/>
        <w:overflowPunct/>
        <w:topLinePunct w:val="0"/>
        <w:autoSpaceDE/>
        <w:autoSpaceDN/>
        <w:bidi w:val="0"/>
        <w:spacing w:before="0" w:beforeAutospacing="0" w:after="0" w:afterAutospacing="0" w:line="540" w:lineRule="exact"/>
        <w:ind w:firstLine="800" w:firstLineChars="250"/>
        <w:textAlignment w:val="auto"/>
        <w:rPr>
          <w:rFonts w:hint="eastAsia" w:ascii="仿宋_GB2312" w:eastAsia="仿宋_GB2312"/>
          <w:color w:val="000000"/>
          <w:sz w:val="32"/>
          <w:szCs w:val="32"/>
        </w:rPr>
      </w:pPr>
      <w:r>
        <w:rPr>
          <w:rFonts w:hint="eastAsia" w:ascii="仿宋_GB2312" w:eastAsia="仿宋_GB2312"/>
          <w:color w:val="000000"/>
          <w:sz w:val="32"/>
          <w:szCs w:val="32"/>
        </w:rPr>
        <w:t>项目立项依据：国务院《法律援助条例》第五条第二款，第六条第一款。</w:t>
      </w:r>
    </w:p>
    <w:p>
      <w:pPr>
        <w:pStyle w:val="15"/>
        <w:keepNext w:val="0"/>
        <w:keepLines w:val="0"/>
        <w:pageBreakBefore w:val="0"/>
        <w:kinsoku/>
        <w:wordWrap/>
        <w:overflowPunct/>
        <w:topLinePunct w:val="0"/>
        <w:autoSpaceDE/>
        <w:autoSpaceDN/>
        <w:bidi w:val="0"/>
        <w:spacing w:before="0" w:beforeAutospacing="0" w:after="0" w:afterAutospacing="0" w:line="540" w:lineRule="exact"/>
        <w:ind w:firstLine="800" w:firstLineChars="250"/>
        <w:textAlignment w:val="auto"/>
        <w:rPr>
          <w:rFonts w:hint="eastAsia" w:ascii="仿宋_GB2312" w:eastAsia="仿宋_GB2312"/>
          <w:color w:val="000000"/>
          <w:sz w:val="32"/>
          <w:szCs w:val="32"/>
        </w:rPr>
      </w:pPr>
      <w:r>
        <w:rPr>
          <w:rFonts w:hint="eastAsia" w:ascii="仿宋_GB2312" w:eastAsia="仿宋_GB2312"/>
          <w:color w:val="000000"/>
          <w:sz w:val="32"/>
          <w:szCs w:val="32"/>
        </w:rPr>
        <w:t>资金申报依据：国务院《法律援助条例》第二十四条第二款。《四川省法律援助条例》第三十七条和第三十八条。</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lang w:val="en-US" w:eastAsia="zh-CN"/>
        </w:rPr>
        <w:t>3.</w:t>
      </w:r>
      <w:r>
        <w:rPr>
          <w:rFonts w:hint="eastAsia" w:ascii="仿宋_GB2312" w:hAnsi="仿宋_GB2312" w:eastAsia="仿宋_GB2312"/>
          <w:color w:val="000000"/>
          <w:sz w:val="32"/>
          <w:szCs w:val="32"/>
        </w:rPr>
        <w:t>资金管理办法制定情况，资金支持具体项目的条件、范围与支持方式概况</w:t>
      </w:r>
    </w:p>
    <w:p>
      <w:pPr>
        <w:keepNext w:val="0"/>
        <w:keepLines w:val="0"/>
        <w:pageBreakBefore w:val="0"/>
        <w:kinsoku/>
        <w:wordWrap/>
        <w:overflowPunct/>
        <w:topLinePunct w:val="0"/>
        <w:autoSpaceDE/>
        <w:autoSpaceDN/>
        <w:bidi w:val="0"/>
        <w:spacing w:line="540" w:lineRule="exact"/>
        <w:jc w:val="center"/>
        <w:textAlignment w:val="auto"/>
        <w:rPr>
          <w:rFonts w:hint="eastAsia" w:ascii="仿宋_GB2312" w:hAnsi="方正小标宋_GBK" w:eastAsia="仿宋_GB2312" w:cs="方正小标宋_GBK"/>
          <w:color w:val="000000"/>
          <w:sz w:val="32"/>
          <w:szCs w:val="32"/>
        </w:rPr>
      </w:pPr>
      <w:r>
        <w:rPr>
          <w:rFonts w:hint="eastAsia" w:ascii="仿宋_GB2312" w:hAnsi="仿宋" w:eastAsia="仿宋_GB2312"/>
          <w:color w:val="000000"/>
          <w:sz w:val="32"/>
          <w:szCs w:val="32"/>
        </w:rPr>
        <w:t xml:space="preserve">    2015年与市财政局联合制定《广元市法律援助经费使用管理办法》</w:t>
      </w:r>
      <w:r>
        <w:rPr>
          <w:rFonts w:hint="eastAsia" w:ascii="仿宋_GB2312" w:hAnsi="仿宋" w:eastAsia="仿宋_GB2312" w:cs="仿宋_GB2312"/>
          <w:color w:val="000000"/>
          <w:sz w:val="32"/>
          <w:szCs w:val="32"/>
        </w:rPr>
        <w:t>（广财行〔2015〕75号），2017年印发</w:t>
      </w:r>
      <w:r>
        <w:rPr>
          <w:rFonts w:hint="eastAsia" w:ascii="仿宋_GB2312" w:hAnsi="方正小标宋_GBK" w:eastAsia="仿宋_GB2312" w:cs="方正小标宋_GBK"/>
          <w:color w:val="000000"/>
          <w:sz w:val="32"/>
          <w:szCs w:val="32"/>
        </w:rPr>
        <w:t>《关于明确市法援中心案件补贴具体标准的通知》（</w:t>
      </w:r>
      <w:r>
        <w:rPr>
          <w:rFonts w:hint="eastAsia" w:ascii="仿宋_GB2312" w:hAnsi="仿宋" w:eastAsia="仿宋_GB2312"/>
          <w:color w:val="000000"/>
          <w:sz w:val="32"/>
          <w:szCs w:val="32"/>
        </w:rPr>
        <w:t>广司发〔2017〕13号</w:t>
      </w:r>
      <w:r>
        <w:rPr>
          <w:rFonts w:hint="eastAsia" w:ascii="仿宋_GB2312" w:hAnsi="方正小标宋_GBK" w:eastAsia="仿宋_GB2312" w:cs="方正小标宋_GBK"/>
          <w:color w:val="000000"/>
          <w:sz w:val="32"/>
          <w:szCs w:val="32"/>
        </w:rPr>
        <w:t>），2018年印发《关于同意法律援助值班补贴标准调整</w:t>
      </w:r>
    </w:p>
    <w:p>
      <w:pPr>
        <w:keepNext w:val="0"/>
        <w:keepLines w:val="0"/>
        <w:pageBreakBefore w:val="0"/>
        <w:kinsoku/>
        <w:wordWrap/>
        <w:overflowPunct/>
        <w:topLinePunct w:val="0"/>
        <w:autoSpaceDE/>
        <w:autoSpaceDN/>
        <w:bidi w:val="0"/>
        <w:spacing w:line="540" w:lineRule="exact"/>
        <w:textAlignment w:val="auto"/>
        <w:rPr>
          <w:rFonts w:hint="eastAsia" w:ascii="仿宋_GB2312" w:hAnsi="宋体" w:eastAsia="仿宋_GB2312"/>
          <w:color w:val="000000"/>
          <w:sz w:val="32"/>
          <w:szCs w:val="32"/>
        </w:rPr>
      </w:pPr>
      <w:r>
        <w:rPr>
          <w:rFonts w:hint="eastAsia" w:ascii="仿宋_GB2312" w:hAnsi="方正小标宋_GBK" w:eastAsia="仿宋_GB2312" w:cs="方正小标宋_GBK"/>
          <w:color w:val="000000"/>
          <w:sz w:val="32"/>
          <w:szCs w:val="32"/>
        </w:rPr>
        <w:t>方案的批复》</w:t>
      </w:r>
      <w:r>
        <w:rPr>
          <w:rFonts w:hint="eastAsia" w:ascii="仿宋_GB2312" w:hAnsi="宋体" w:eastAsia="仿宋_GB2312"/>
          <w:color w:val="000000"/>
          <w:sz w:val="32"/>
          <w:szCs w:val="32"/>
        </w:rPr>
        <w:t>（</w:t>
      </w:r>
      <w:r>
        <w:rPr>
          <w:rFonts w:hint="eastAsia" w:ascii="仿宋_GB2312" w:hAnsi="仿宋" w:eastAsia="仿宋_GB2312"/>
          <w:color w:val="000000"/>
          <w:sz w:val="32"/>
          <w:szCs w:val="32"/>
        </w:rPr>
        <w:t>广司发〔2018〕48号</w:t>
      </w:r>
      <w:r>
        <w:rPr>
          <w:rFonts w:hint="eastAsia" w:ascii="仿宋_GB2312" w:hAnsi="宋体" w:eastAsia="仿宋_GB2312"/>
          <w:color w:val="000000"/>
          <w:sz w:val="32"/>
          <w:szCs w:val="32"/>
        </w:rPr>
        <w:t>）。</w:t>
      </w:r>
    </w:p>
    <w:p>
      <w:pPr>
        <w:keepNext w:val="0"/>
        <w:keepLines w:val="0"/>
        <w:pageBreakBefore w:val="0"/>
        <w:tabs>
          <w:tab w:val="left" w:pos="7920"/>
        </w:tabs>
        <w:kinsoku/>
        <w:wordWrap/>
        <w:overflowPunct/>
        <w:topLinePunct w:val="0"/>
        <w:autoSpaceDE/>
        <w:autoSpaceDN/>
        <w:bidi w:val="0"/>
        <w:spacing w:line="54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法律援助项目资金主要用于支付法律援助人员办案补贴和律师值班补贴，领取办案补贴的卷宗应当符合司法部《办理法律援助案件程序规定》《四川省法律援助业务档案管理办法》等文件的要求。领取律师值班补贴的个人必须经过市法律援助中心的日常考勤，未通过上班考勤不能领取值班补贴。</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lang w:val="en-US" w:eastAsia="zh-CN"/>
        </w:rPr>
        <w:t>4.</w:t>
      </w:r>
      <w:r>
        <w:rPr>
          <w:rFonts w:hint="eastAsia" w:ascii="仿宋_GB2312" w:hAnsi="仿宋_GB2312" w:eastAsia="仿宋_GB2312"/>
          <w:color w:val="000000"/>
          <w:sz w:val="32"/>
          <w:szCs w:val="32"/>
        </w:rPr>
        <w:t>资金分配的原则及考虑因素</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仿宋_GB2312" w:hAnsi="宋体" w:eastAsia="仿宋_GB2312"/>
          <w:color w:val="000000"/>
          <w:sz w:val="32"/>
          <w:szCs w:val="32"/>
        </w:rPr>
      </w:pPr>
      <w:r>
        <w:rPr>
          <w:rFonts w:hint="eastAsia" w:ascii="仿宋_GB2312" w:hAnsi="仿宋" w:eastAsia="仿宋_GB2312"/>
          <w:color w:val="000000"/>
          <w:sz w:val="32"/>
          <w:szCs w:val="32"/>
        </w:rPr>
        <w:t>市级人民政府司法行政部门会同同级财政部门，结合当地经济社会发展水平，根据承办法律援助事项直接费用、基本劳务费用等因素确定。</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楷体" w:hAnsi="楷体" w:eastAsia="楷体"/>
          <w:color w:val="000000"/>
          <w:sz w:val="32"/>
          <w:szCs w:val="32"/>
        </w:rPr>
      </w:pPr>
      <w:r>
        <w:rPr>
          <w:rFonts w:hint="eastAsia" w:ascii="楷体" w:hAnsi="楷体" w:eastAsia="楷体"/>
          <w:color w:val="000000"/>
          <w:sz w:val="32"/>
          <w:szCs w:val="32"/>
        </w:rPr>
        <w:t>（二）项目绩效目标</w:t>
      </w:r>
    </w:p>
    <w:p>
      <w:pPr>
        <w:keepNext w:val="0"/>
        <w:keepLines w:val="0"/>
        <w:pageBreakBefore w:val="0"/>
        <w:kinsoku/>
        <w:wordWrap/>
        <w:overflowPunct/>
        <w:topLinePunct w:val="0"/>
        <w:autoSpaceDE/>
        <w:autoSpaceDN/>
        <w:bidi w:val="0"/>
        <w:spacing w:line="540" w:lineRule="exact"/>
        <w:ind w:left="720"/>
        <w:textAlignment w:val="auto"/>
        <w:rPr>
          <w:rFonts w:hint="eastAsia" w:ascii="仿宋_GB2312" w:hAnsi="仿宋" w:eastAsia="仿宋_GB2312" w:cs="仿宋_GB2312"/>
          <w:color w:val="000000"/>
          <w:sz w:val="32"/>
          <w:szCs w:val="32"/>
        </w:rPr>
      </w:pPr>
      <w:r>
        <w:rPr>
          <w:rFonts w:hint="eastAsia" w:ascii="仿宋_GB2312" w:hAnsi="宋体" w:eastAsia="仿宋_GB2312"/>
          <w:color w:val="000000"/>
          <w:sz w:val="32"/>
          <w:szCs w:val="32"/>
          <w:lang w:val="en-US" w:eastAsia="zh-CN"/>
        </w:rPr>
        <w:t>1.</w:t>
      </w:r>
      <w:r>
        <w:rPr>
          <w:rFonts w:hint="eastAsia" w:ascii="仿宋_GB2312" w:hAnsi="仿宋_GB2312" w:eastAsia="仿宋_GB2312"/>
          <w:color w:val="000000"/>
          <w:sz w:val="32"/>
          <w:szCs w:val="32"/>
        </w:rPr>
        <w:t>项目主要内容</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shd w:val="clear" w:color="auto" w:fill="FFFFFF"/>
        </w:rPr>
        <w:t>法律援助项目用于开展法律援助工作。包括</w:t>
      </w:r>
      <w:r>
        <w:rPr>
          <w:rFonts w:hint="eastAsia" w:ascii="仿宋_GB2312" w:hAnsi="仿宋" w:eastAsia="仿宋_GB2312" w:cs="仿宋_GB2312"/>
          <w:color w:val="000000"/>
          <w:sz w:val="32"/>
          <w:szCs w:val="32"/>
        </w:rPr>
        <w:t>承办法律援助案件、事项，法律咨询补贴，进行法律援助宣传、教育、培训、调研、检查、指导工作、对外学习交流，法律援助卷宗档案管理等一系列法律援助业务工作，通过数量指标、时效指标、质量指标、成本指标进行绩效评价项目评价。</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lang w:val="en-US" w:eastAsia="zh-CN"/>
        </w:rPr>
        <w:t>2.</w:t>
      </w:r>
      <w:r>
        <w:rPr>
          <w:rFonts w:hint="eastAsia" w:ascii="仿宋_GB2312" w:hAnsi="仿宋_GB2312" w:eastAsia="仿宋_GB2312"/>
          <w:color w:val="000000"/>
          <w:sz w:val="32"/>
          <w:szCs w:val="32"/>
        </w:rPr>
        <w:t>项目应实现的具体绩效目标，包括目标的量化、细化情况以及项目实施进度计划等。</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法律援助项目要办理法律援助案件</w:t>
      </w:r>
      <w:r>
        <w:rPr>
          <w:rFonts w:hint="eastAsia" w:ascii="仿宋_GB2312" w:hAnsi="仿宋_GB2312" w:eastAsia="仿宋_GB2312"/>
          <w:color w:val="000000"/>
          <w:sz w:val="32"/>
          <w:szCs w:val="32"/>
          <w:lang w:val="en-US" w:eastAsia="zh-CN"/>
        </w:rPr>
        <w:t>85</w:t>
      </w:r>
      <w:r>
        <w:rPr>
          <w:rFonts w:hint="eastAsia" w:ascii="仿宋_GB2312" w:hAnsi="仿宋_GB2312" w:eastAsia="仿宋_GB2312"/>
          <w:color w:val="000000"/>
          <w:sz w:val="32"/>
          <w:szCs w:val="32"/>
        </w:rPr>
        <w:t>件，</w:t>
      </w:r>
      <w:r>
        <w:rPr>
          <w:rFonts w:hint="eastAsia" w:ascii="仿宋_GB2312" w:hAnsi="仿宋_GB2312" w:eastAsia="仿宋_GB2312"/>
          <w:color w:val="000000"/>
          <w:sz w:val="32"/>
          <w:szCs w:val="32"/>
          <w:lang w:val="en-US" w:eastAsia="zh-CN"/>
        </w:rPr>
        <w:t>提供法律援助1400人次</w:t>
      </w:r>
      <w:r>
        <w:rPr>
          <w:rFonts w:hint="eastAsia" w:ascii="仿宋_GB2312" w:hAnsi="仿宋_GB2312" w:eastAsia="仿宋_GB2312"/>
          <w:color w:val="000000"/>
          <w:sz w:val="32"/>
          <w:szCs w:val="32"/>
        </w:rPr>
        <w:t>，完成法律援助宣传活动</w:t>
      </w:r>
      <w:r>
        <w:rPr>
          <w:rFonts w:hint="eastAsia" w:ascii="仿宋_GB2312" w:hAnsi="仿宋_GB2312" w:eastAsia="仿宋_GB2312"/>
          <w:color w:val="000000"/>
          <w:sz w:val="32"/>
          <w:szCs w:val="32"/>
          <w:lang w:val="en-US" w:eastAsia="zh-CN"/>
        </w:rPr>
        <w:t>6</w:t>
      </w:r>
      <w:r>
        <w:rPr>
          <w:rFonts w:hint="eastAsia" w:ascii="仿宋_GB2312" w:hAnsi="仿宋_GB2312" w:eastAsia="仿宋_GB2312"/>
          <w:color w:val="000000"/>
          <w:sz w:val="32"/>
          <w:szCs w:val="32"/>
        </w:rPr>
        <w:t>次，为未聘请律师的在犯罪嫌疑人和被告人提供刑事辩护、刑事帮助100人次。为受援人挽回经济损失</w:t>
      </w:r>
      <w:r>
        <w:rPr>
          <w:rFonts w:hint="eastAsia" w:ascii="仿宋_GB2312" w:hAnsi="仿宋_GB2312" w:eastAsia="仿宋_GB2312"/>
          <w:color w:val="000000"/>
          <w:sz w:val="32"/>
          <w:szCs w:val="32"/>
          <w:lang w:val="en-US" w:eastAsia="zh-CN"/>
        </w:rPr>
        <w:t>超过100万元，</w:t>
      </w:r>
      <w:r>
        <w:rPr>
          <w:rFonts w:hint="eastAsia" w:ascii="仿宋_GB2312" w:hAnsi="仿宋_GB2312" w:eastAsia="仿宋_GB2312"/>
          <w:color w:val="000000"/>
          <w:sz w:val="32"/>
          <w:szCs w:val="32"/>
        </w:rPr>
        <w:t>开展农民工维权法律援助宣传活动2场次。</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lang w:val="en-US" w:eastAsia="zh-CN"/>
        </w:rPr>
        <w:t>3.</w:t>
      </w:r>
      <w:r>
        <w:rPr>
          <w:rFonts w:hint="eastAsia" w:ascii="仿宋_GB2312" w:hAnsi="仿宋_GB2312" w:eastAsia="仿宋_GB2312"/>
          <w:color w:val="000000"/>
          <w:sz w:val="32"/>
          <w:szCs w:val="32"/>
        </w:rPr>
        <w:t>分析评价申报内容是否与实际相符，申报目标是否</w:t>
      </w:r>
    </w:p>
    <w:p>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合理可行。</w:t>
      </w:r>
    </w:p>
    <w:p>
      <w:pPr>
        <w:keepNext w:val="0"/>
        <w:keepLines w:val="0"/>
        <w:pageBreakBefore w:val="0"/>
        <w:kinsoku/>
        <w:wordWrap/>
        <w:overflowPunct/>
        <w:topLinePunct w:val="0"/>
        <w:autoSpaceDE/>
        <w:autoSpaceDN/>
        <w:bidi w:val="0"/>
        <w:adjustRightInd w:val="0"/>
        <w:snapToGrid w:val="0"/>
        <w:spacing w:line="540" w:lineRule="exact"/>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申报内容符合我局法律援助工作实际，申报目标当年全部完成。</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楷体" w:hAnsi="楷体" w:eastAsia="楷体"/>
          <w:color w:val="000000"/>
          <w:sz w:val="32"/>
          <w:szCs w:val="32"/>
        </w:rPr>
      </w:pPr>
      <w:r>
        <w:rPr>
          <w:rFonts w:hint="eastAsia" w:ascii="楷体" w:hAnsi="楷体" w:eastAsia="楷体"/>
          <w:color w:val="000000"/>
          <w:sz w:val="32"/>
          <w:szCs w:val="32"/>
        </w:rPr>
        <w:t>（三）项目自评步骤及方法</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仿宋_GB2312" w:hAnsi="Arial" w:eastAsia="仿宋_GB2312" w:cs="Arial"/>
          <w:color w:val="000000"/>
          <w:sz w:val="32"/>
          <w:szCs w:val="32"/>
          <w:shd w:val="clear" w:color="auto" w:fill="FFFFFF"/>
        </w:rPr>
      </w:pPr>
      <w:r>
        <w:rPr>
          <w:rFonts w:hint="eastAsia" w:ascii="仿宋_GB2312" w:hAnsi="Arial" w:eastAsia="仿宋_GB2312" w:cs="Arial"/>
          <w:color w:val="000000"/>
          <w:sz w:val="32"/>
          <w:szCs w:val="32"/>
          <w:shd w:val="clear" w:color="auto" w:fill="FFFFFF"/>
        </w:rPr>
        <w:t>我局按照项目单位自评和主管部门评价相结合的方式，依据资金使用的方向和对象,围绕绩效目标,从项目的实施、管理、效果等方面对20</w:t>
      </w:r>
      <w:r>
        <w:rPr>
          <w:rFonts w:hint="eastAsia" w:ascii="仿宋_GB2312" w:hAnsi="Arial" w:eastAsia="仿宋_GB2312" w:cs="Arial"/>
          <w:color w:val="000000"/>
          <w:sz w:val="32"/>
          <w:szCs w:val="32"/>
          <w:shd w:val="clear" w:color="auto" w:fill="FFFFFF"/>
          <w:lang w:val="en-US" w:eastAsia="zh-CN"/>
        </w:rPr>
        <w:t>22</w:t>
      </w:r>
      <w:r>
        <w:rPr>
          <w:rFonts w:hint="eastAsia" w:ascii="仿宋_GB2312" w:hAnsi="Arial" w:eastAsia="仿宋_GB2312" w:cs="Arial"/>
          <w:color w:val="000000"/>
          <w:sz w:val="32"/>
          <w:szCs w:val="32"/>
          <w:shd w:val="clear" w:color="auto" w:fill="FFFFFF"/>
        </w:rPr>
        <w:t>年度法律援助专项资金开展了绩效评价工作。</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黑体" w:hAnsi="黑体" w:eastAsia="黑体"/>
          <w:color w:val="000000"/>
          <w:sz w:val="32"/>
          <w:szCs w:val="32"/>
        </w:rPr>
      </w:pPr>
      <w:r>
        <w:rPr>
          <w:rFonts w:hint="eastAsia" w:ascii="黑体" w:hAnsi="黑体" w:eastAsia="黑体"/>
          <w:color w:val="000000"/>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楷体" w:hAnsi="楷体" w:eastAsia="楷体"/>
          <w:color w:val="000000"/>
          <w:sz w:val="32"/>
          <w:szCs w:val="32"/>
        </w:rPr>
      </w:pPr>
      <w:r>
        <w:rPr>
          <w:rFonts w:hint="eastAsia" w:ascii="楷体" w:hAnsi="楷体" w:eastAsia="楷体"/>
          <w:color w:val="000000"/>
          <w:sz w:val="32"/>
          <w:szCs w:val="32"/>
        </w:rPr>
        <w:t>（一）项目资金申报及批复情况</w:t>
      </w:r>
    </w:p>
    <w:p>
      <w:pPr>
        <w:keepNext w:val="0"/>
        <w:keepLines w:val="0"/>
        <w:pageBreakBefore w:val="0"/>
        <w:kinsoku/>
        <w:wordWrap/>
        <w:overflowPunct/>
        <w:topLinePunct w:val="0"/>
        <w:autoSpaceDE/>
        <w:autoSpaceDN/>
        <w:bidi w:val="0"/>
        <w:adjustRightInd w:val="0"/>
        <w:snapToGrid w:val="0"/>
        <w:spacing w:line="540" w:lineRule="exact"/>
        <w:ind w:firstLine="720"/>
        <w:textAlignment w:val="auto"/>
        <w:rPr>
          <w:rFonts w:hint="eastAsia" w:ascii="仿宋_GB2312" w:hAnsi="宋体" w:eastAsia="仿宋_GB2312"/>
          <w:color w:val="000000"/>
          <w:sz w:val="32"/>
          <w:szCs w:val="32"/>
        </w:rPr>
      </w:pPr>
      <w:r>
        <w:rPr>
          <w:rFonts w:hint="eastAsia" w:ascii="仿宋_GB2312" w:hAnsi="仿宋" w:eastAsia="仿宋_GB2312" w:cs="仿宋_GB2312"/>
          <w:color w:val="000000"/>
          <w:sz w:val="32"/>
          <w:szCs w:val="32"/>
        </w:rPr>
        <w:t>决算执行资金</w:t>
      </w:r>
      <w:r>
        <w:rPr>
          <w:rFonts w:hint="eastAsia" w:ascii="仿宋_GB2312" w:hAnsi="仿宋" w:eastAsia="仿宋_GB2312" w:cs="仿宋_GB2312"/>
          <w:color w:val="000000"/>
          <w:sz w:val="32"/>
          <w:szCs w:val="32"/>
          <w:lang w:val="en-US" w:eastAsia="zh-CN"/>
        </w:rPr>
        <w:t>10</w:t>
      </w:r>
      <w:r>
        <w:rPr>
          <w:rFonts w:hint="eastAsia" w:ascii="仿宋_GB2312" w:hAnsi="仿宋" w:eastAsia="仿宋_GB2312" w:cs="仿宋_GB2312"/>
          <w:color w:val="000000"/>
          <w:sz w:val="32"/>
          <w:szCs w:val="32"/>
        </w:rPr>
        <w:t>万元，年初预算资金</w:t>
      </w:r>
      <w:r>
        <w:rPr>
          <w:rFonts w:hint="eastAsia" w:ascii="仿宋_GB2312" w:hAnsi="仿宋" w:eastAsia="仿宋_GB2312" w:cs="仿宋_GB2312"/>
          <w:color w:val="000000"/>
          <w:sz w:val="32"/>
          <w:szCs w:val="32"/>
          <w:lang w:val="en-US" w:eastAsia="zh-CN"/>
        </w:rPr>
        <w:t>10</w:t>
      </w:r>
      <w:r>
        <w:rPr>
          <w:rFonts w:hint="eastAsia" w:ascii="仿宋_GB2312" w:hAnsi="仿宋" w:eastAsia="仿宋_GB2312" w:cs="仿宋_GB2312"/>
          <w:color w:val="000000"/>
          <w:sz w:val="32"/>
          <w:szCs w:val="32"/>
        </w:rPr>
        <w:t>万元财政资金拨付率100%。</w:t>
      </w:r>
    </w:p>
    <w:p>
      <w:pPr>
        <w:adjustRightInd w:val="0"/>
        <w:snapToGrid w:val="0"/>
        <w:spacing w:line="560" w:lineRule="exact"/>
        <w:ind w:firstLine="720"/>
        <w:rPr>
          <w:rFonts w:hint="eastAsia" w:ascii="楷体" w:hAnsi="楷体" w:eastAsia="楷体"/>
          <w:color w:val="000000"/>
          <w:sz w:val="32"/>
          <w:szCs w:val="32"/>
        </w:rPr>
      </w:pPr>
      <w:r>
        <w:rPr>
          <w:rFonts w:hint="eastAsia" w:ascii="楷体" w:hAnsi="楷体" w:eastAsia="楷体"/>
          <w:color w:val="000000"/>
          <w:sz w:val="32"/>
          <w:szCs w:val="32"/>
        </w:rPr>
        <w:t>（二）资金计划、到位及使用情况</w:t>
      </w:r>
    </w:p>
    <w:tbl>
      <w:tblPr>
        <w:tblStyle w:val="16"/>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1882"/>
        <w:gridCol w:w="1945"/>
        <w:gridCol w:w="1701"/>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noWrap w:val="0"/>
            <w:vAlign w:val="top"/>
          </w:tcPr>
          <w:p>
            <w:pPr>
              <w:adjustRightInd w:val="0"/>
              <w:snapToGrid w:val="0"/>
              <w:spacing w:line="560" w:lineRule="exact"/>
              <w:jc w:val="center"/>
              <w:rPr>
                <w:rFonts w:hint="eastAsia" w:ascii="楷体" w:hAnsi="楷体" w:eastAsia="楷体"/>
                <w:color w:val="000000"/>
                <w:sz w:val="32"/>
                <w:szCs w:val="32"/>
              </w:rPr>
            </w:pPr>
            <w:r>
              <w:rPr>
                <w:rFonts w:hint="eastAsia" w:ascii="楷体" w:hAnsi="楷体" w:eastAsia="楷体"/>
                <w:color w:val="000000"/>
                <w:sz w:val="32"/>
                <w:szCs w:val="32"/>
              </w:rPr>
              <w:t>单位</w:t>
            </w:r>
          </w:p>
        </w:tc>
        <w:tc>
          <w:tcPr>
            <w:tcW w:w="3827" w:type="dxa"/>
            <w:gridSpan w:val="2"/>
            <w:noWrap w:val="0"/>
            <w:vAlign w:val="top"/>
          </w:tcPr>
          <w:p>
            <w:pPr>
              <w:adjustRightInd w:val="0"/>
              <w:snapToGrid w:val="0"/>
              <w:spacing w:line="560" w:lineRule="exact"/>
              <w:jc w:val="center"/>
              <w:rPr>
                <w:rFonts w:hint="eastAsia" w:ascii="楷体" w:hAnsi="楷体" w:eastAsia="楷体"/>
                <w:color w:val="000000"/>
                <w:sz w:val="32"/>
                <w:szCs w:val="32"/>
                <w:lang w:eastAsia="zh-CN"/>
              </w:rPr>
            </w:pPr>
            <w:r>
              <w:rPr>
                <w:rFonts w:hint="eastAsia" w:ascii="楷体" w:hAnsi="楷体" w:eastAsia="楷体"/>
                <w:color w:val="000000"/>
                <w:sz w:val="32"/>
                <w:szCs w:val="32"/>
              </w:rPr>
              <w:t>资金计划</w:t>
            </w:r>
          </w:p>
          <w:p>
            <w:pPr>
              <w:adjustRightInd w:val="0"/>
              <w:snapToGrid w:val="0"/>
              <w:spacing w:line="560" w:lineRule="exact"/>
              <w:jc w:val="center"/>
              <w:rPr>
                <w:rFonts w:hint="eastAsia" w:ascii="楷体" w:hAnsi="楷体" w:eastAsia="楷体"/>
                <w:color w:val="000000"/>
                <w:sz w:val="32"/>
                <w:szCs w:val="32"/>
              </w:rPr>
            </w:pPr>
            <w:r>
              <w:rPr>
                <w:rFonts w:hint="eastAsia" w:ascii="楷体" w:hAnsi="楷体" w:eastAsia="楷体"/>
                <w:color w:val="000000"/>
                <w:sz w:val="32"/>
                <w:szCs w:val="32"/>
              </w:rPr>
              <w:t>（万元）</w:t>
            </w:r>
          </w:p>
        </w:tc>
        <w:tc>
          <w:tcPr>
            <w:tcW w:w="1701" w:type="dxa"/>
            <w:noWrap w:val="0"/>
            <w:vAlign w:val="top"/>
          </w:tcPr>
          <w:p>
            <w:pPr>
              <w:adjustRightInd w:val="0"/>
              <w:snapToGrid w:val="0"/>
              <w:spacing w:line="560" w:lineRule="exact"/>
              <w:jc w:val="center"/>
              <w:rPr>
                <w:rFonts w:hint="eastAsia" w:ascii="楷体" w:hAnsi="楷体" w:eastAsia="楷体"/>
                <w:color w:val="000000"/>
                <w:sz w:val="32"/>
                <w:szCs w:val="32"/>
              </w:rPr>
            </w:pPr>
            <w:r>
              <w:rPr>
                <w:rFonts w:hint="eastAsia" w:ascii="楷体" w:hAnsi="楷体" w:eastAsia="楷体"/>
                <w:color w:val="000000"/>
                <w:sz w:val="32"/>
                <w:szCs w:val="32"/>
              </w:rPr>
              <w:t>资金到位</w:t>
            </w:r>
          </w:p>
          <w:p>
            <w:pPr>
              <w:adjustRightInd w:val="0"/>
              <w:snapToGrid w:val="0"/>
              <w:spacing w:line="560" w:lineRule="exact"/>
              <w:jc w:val="center"/>
              <w:rPr>
                <w:rFonts w:hint="eastAsia" w:ascii="楷体" w:hAnsi="楷体" w:eastAsia="楷体"/>
                <w:color w:val="000000"/>
                <w:sz w:val="32"/>
                <w:szCs w:val="32"/>
              </w:rPr>
            </w:pPr>
            <w:r>
              <w:rPr>
                <w:rFonts w:hint="eastAsia" w:ascii="楷体" w:hAnsi="楷体" w:eastAsia="楷体"/>
                <w:color w:val="000000"/>
                <w:sz w:val="32"/>
                <w:szCs w:val="32"/>
              </w:rPr>
              <w:t>（万元）</w:t>
            </w:r>
          </w:p>
        </w:tc>
        <w:tc>
          <w:tcPr>
            <w:tcW w:w="1701" w:type="dxa"/>
            <w:noWrap w:val="0"/>
            <w:vAlign w:val="top"/>
          </w:tcPr>
          <w:p>
            <w:pPr>
              <w:adjustRightInd w:val="0"/>
              <w:snapToGrid w:val="0"/>
              <w:spacing w:line="560" w:lineRule="exact"/>
              <w:jc w:val="center"/>
              <w:rPr>
                <w:rFonts w:hint="eastAsia" w:ascii="楷体" w:hAnsi="楷体" w:eastAsia="楷体"/>
                <w:color w:val="000000"/>
                <w:sz w:val="32"/>
                <w:szCs w:val="32"/>
              </w:rPr>
            </w:pPr>
            <w:r>
              <w:rPr>
                <w:rFonts w:hint="eastAsia" w:ascii="楷体" w:hAnsi="楷体" w:eastAsia="楷体"/>
                <w:color w:val="000000"/>
                <w:sz w:val="32"/>
                <w:szCs w:val="32"/>
              </w:rPr>
              <w:t>资金使用</w:t>
            </w:r>
          </w:p>
          <w:p>
            <w:pPr>
              <w:adjustRightInd w:val="0"/>
              <w:snapToGrid w:val="0"/>
              <w:spacing w:line="560" w:lineRule="exact"/>
              <w:jc w:val="center"/>
              <w:rPr>
                <w:rFonts w:hint="eastAsia" w:ascii="楷体" w:hAnsi="楷体" w:eastAsia="楷体"/>
                <w:color w:val="000000"/>
                <w:sz w:val="32"/>
                <w:szCs w:val="32"/>
              </w:rPr>
            </w:pPr>
            <w:r>
              <w:rPr>
                <w:rFonts w:hint="eastAsia" w:ascii="楷体" w:hAnsi="楷体" w:eastAsia="楷体"/>
                <w:color w:val="000000"/>
                <w:sz w:val="32"/>
                <w:szCs w:val="3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restart"/>
            <w:noWrap w:val="0"/>
            <w:vAlign w:val="top"/>
          </w:tcPr>
          <w:p>
            <w:pPr>
              <w:adjustRightInd w:val="0"/>
              <w:snapToGrid w:val="0"/>
              <w:spacing w:line="560" w:lineRule="exact"/>
              <w:jc w:val="center"/>
              <w:rPr>
                <w:rFonts w:hint="eastAsia" w:ascii="楷体" w:hAnsi="楷体" w:eastAsia="楷体"/>
                <w:color w:val="000000"/>
                <w:sz w:val="32"/>
                <w:szCs w:val="32"/>
              </w:rPr>
            </w:pPr>
            <w:r>
              <w:rPr>
                <w:rFonts w:hint="eastAsia" w:ascii="楷体" w:hAnsi="楷体" w:eastAsia="楷体"/>
                <w:color w:val="000000"/>
                <w:sz w:val="32"/>
                <w:szCs w:val="32"/>
              </w:rPr>
              <w:t>市司法局</w:t>
            </w:r>
          </w:p>
        </w:tc>
        <w:tc>
          <w:tcPr>
            <w:tcW w:w="1882" w:type="dxa"/>
            <w:noWrap w:val="0"/>
            <w:vAlign w:val="top"/>
          </w:tcPr>
          <w:p>
            <w:pPr>
              <w:adjustRightInd w:val="0"/>
              <w:snapToGrid w:val="0"/>
              <w:spacing w:line="560" w:lineRule="exact"/>
              <w:jc w:val="center"/>
              <w:rPr>
                <w:rFonts w:hint="eastAsia" w:ascii="楷体" w:hAnsi="楷体" w:eastAsia="楷体"/>
                <w:color w:val="000000"/>
                <w:sz w:val="32"/>
                <w:szCs w:val="32"/>
              </w:rPr>
            </w:pPr>
            <w:r>
              <w:rPr>
                <w:rFonts w:hint="eastAsia" w:ascii="楷体" w:hAnsi="楷体" w:eastAsia="楷体"/>
                <w:color w:val="000000"/>
                <w:sz w:val="32"/>
                <w:szCs w:val="32"/>
              </w:rPr>
              <w:t>市本级</w:t>
            </w:r>
          </w:p>
        </w:tc>
        <w:tc>
          <w:tcPr>
            <w:tcW w:w="1945" w:type="dxa"/>
            <w:noWrap w:val="0"/>
            <w:vAlign w:val="top"/>
          </w:tcPr>
          <w:p>
            <w:pPr>
              <w:adjustRightInd w:val="0"/>
              <w:snapToGrid w:val="0"/>
              <w:spacing w:line="560" w:lineRule="exact"/>
              <w:jc w:val="center"/>
              <w:rPr>
                <w:rFonts w:hint="eastAsia" w:ascii="楷体" w:hAnsi="楷体" w:eastAsia="楷体"/>
                <w:color w:val="000000"/>
                <w:sz w:val="32"/>
                <w:szCs w:val="32"/>
              </w:rPr>
            </w:pPr>
            <w:r>
              <w:rPr>
                <w:rFonts w:hint="eastAsia" w:ascii="楷体" w:hAnsi="楷体" w:eastAsia="楷体"/>
                <w:color w:val="000000"/>
                <w:sz w:val="32"/>
                <w:szCs w:val="32"/>
              </w:rPr>
              <w:t>中央法律援助办案专款</w:t>
            </w:r>
          </w:p>
        </w:tc>
        <w:tc>
          <w:tcPr>
            <w:tcW w:w="1701" w:type="dxa"/>
            <w:vMerge w:val="restart"/>
            <w:noWrap w:val="0"/>
            <w:vAlign w:val="top"/>
          </w:tcPr>
          <w:p>
            <w:pPr>
              <w:adjustRightInd w:val="0"/>
              <w:snapToGrid w:val="0"/>
              <w:spacing w:line="560" w:lineRule="exact"/>
              <w:jc w:val="center"/>
              <w:rPr>
                <w:rFonts w:hint="eastAsia" w:ascii="楷体" w:hAnsi="楷体" w:eastAsia="楷体"/>
                <w:color w:val="000000"/>
                <w:sz w:val="32"/>
                <w:szCs w:val="32"/>
              </w:rPr>
            </w:pPr>
          </w:p>
          <w:p>
            <w:pPr>
              <w:adjustRightInd w:val="0"/>
              <w:snapToGrid w:val="0"/>
              <w:spacing w:line="560" w:lineRule="exact"/>
              <w:jc w:val="center"/>
              <w:rPr>
                <w:rFonts w:hint="default" w:ascii="楷体" w:hAnsi="楷体" w:eastAsia="楷体"/>
                <w:color w:val="000000"/>
                <w:sz w:val="32"/>
                <w:szCs w:val="32"/>
                <w:lang w:val="en-US" w:eastAsia="zh-CN"/>
              </w:rPr>
            </w:pPr>
            <w:r>
              <w:rPr>
                <w:rFonts w:hint="eastAsia" w:ascii="楷体" w:hAnsi="楷体" w:eastAsia="楷体"/>
                <w:color w:val="000000"/>
                <w:sz w:val="32"/>
                <w:szCs w:val="32"/>
                <w:lang w:val="en-US" w:eastAsia="zh-CN"/>
              </w:rPr>
              <w:t>10</w:t>
            </w:r>
          </w:p>
        </w:tc>
        <w:tc>
          <w:tcPr>
            <w:tcW w:w="1701" w:type="dxa"/>
            <w:vMerge w:val="restart"/>
            <w:noWrap w:val="0"/>
            <w:vAlign w:val="top"/>
          </w:tcPr>
          <w:p>
            <w:pPr>
              <w:adjustRightInd w:val="0"/>
              <w:snapToGrid w:val="0"/>
              <w:spacing w:line="560" w:lineRule="exact"/>
              <w:jc w:val="center"/>
              <w:rPr>
                <w:rFonts w:hint="eastAsia" w:ascii="楷体" w:hAnsi="楷体" w:eastAsia="楷体"/>
                <w:color w:val="FF0000"/>
                <w:sz w:val="32"/>
                <w:szCs w:val="32"/>
              </w:rPr>
            </w:pPr>
          </w:p>
          <w:p>
            <w:pPr>
              <w:adjustRightInd w:val="0"/>
              <w:snapToGrid w:val="0"/>
              <w:spacing w:line="560" w:lineRule="exact"/>
              <w:jc w:val="center"/>
              <w:rPr>
                <w:rFonts w:hint="default" w:ascii="楷体" w:hAnsi="楷体" w:eastAsia="楷体"/>
                <w:color w:val="FF0000"/>
                <w:sz w:val="32"/>
                <w:szCs w:val="32"/>
                <w:lang w:val="en-US" w:eastAsia="zh-CN"/>
              </w:rPr>
            </w:pPr>
            <w:r>
              <w:rPr>
                <w:rFonts w:hint="eastAsia" w:ascii="楷体" w:hAnsi="楷体" w:eastAsia="楷体"/>
                <w:color w:val="000000"/>
                <w:sz w:val="32"/>
                <w:szCs w:val="32"/>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noWrap w:val="0"/>
            <w:vAlign w:val="top"/>
          </w:tcPr>
          <w:p>
            <w:pPr>
              <w:adjustRightInd w:val="0"/>
              <w:snapToGrid w:val="0"/>
              <w:spacing w:line="560" w:lineRule="exact"/>
              <w:jc w:val="center"/>
              <w:rPr>
                <w:rFonts w:hint="eastAsia" w:ascii="楷体" w:hAnsi="楷体" w:eastAsia="楷体"/>
                <w:color w:val="000000"/>
                <w:sz w:val="32"/>
                <w:szCs w:val="32"/>
              </w:rPr>
            </w:pPr>
          </w:p>
        </w:tc>
        <w:tc>
          <w:tcPr>
            <w:tcW w:w="1882" w:type="dxa"/>
            <w:noWrap w:val="0"/>
            <w:vAlign w:val="top"/>
          </w:tcPr>
          <w:p>
            <w:pPr>
              <w:adjustRightInd w:val="0"/>
              <w:snapToGrid w:val="0"/>
              <w:spacing w:line="560" w:lineRule="exact"/>
              <w:jc w:val="center"/>
              <w:rPr>
                <w:rFonts w:hint="default" w:ascii="楷体" w:hAnsi="楷体" w:eastAsia="楷体"/>
                <w:color w:val="000000"/>
                <w:sz w:val="32"/>
                <w:szCs w:val="32"/>
                <w:lang w:val="en-US" w:eastAsia="zh-CN"/>
              </w:rPr>
            </w:pPr>
            <w:r>
              <w:rPr>
                <w:rFonts w:hint="eastAsia" w:ascii="楷体" w:hAnsi="楷体" w:eastAsia="楷体"/>
                <w:color w:val="000000"/>
                <w:sz w:val="32"/>
                <w:szCs w:val="32"/>
                <w:lang w:val="en-US" w:eastAsia="zh-CN"/>
              </w:rPr>
              <w:t>10</w:t>
            </w:r>
          </w:p>
        </w:tc>
        <w:tc>
          <w:tcPr>
            <w:tcW w:w="1945" w:type="dxa"/>
            <w:noWrap w:val="0"/>
            <w:vAlign w:val="top"/>
          </w:tcPr>
          <w:p>
            <w:pPr>
              <w:adjustRightInd w:val="0"/>
              <w:snapToGrid w:val="0"/>
              <w:spacing w:line="560" w:lineRule="exact"/>
              <w:jc w:val="center"/>
              <w:rPr>
                <w:rFonts w:hint="eastAsia" w:ascii="楷体" w:hAnsi="楷体" w:eastAsia="楷体"/>
                <w:color w:val="000000"/>
                <w:sz w:val="32"/>
                <w:szCs w:val="32"/>
              </w:rPr>
            </w:pPr>
          </w:p>
        </w:tc>
        <w:tc>
          <w:tcPr>
            <w:tcW w:w="1701" w:type="dxa"/>
            <w:vMerge w:val="continue"/>
            <w:noWrap w:val="0"/>
            <w:vAlign w:val="top"/>
          </w:tcPr>
          <w:p>
            <w:pPr>
              <w:adjustRightInd w:val="0"/>
              <w:snapToGrid w:val="0"/>
              <w:spacing w:line="560" w:lineRule="exact"/>
              <w:jc w:val="center"/>
              <w:rPr>
                <w:rFonts w:hint="eastAsia" w:ascii="楷体" w:hAnsi="楷体" w:eastAsia="楷体"/>
                <w:color w:val="000000"/>
                <w:sz w:val="32"/>
                <w:szCs w:val="32"/>
              </w:rPr>
            </w:pPr>
          </w:p>
        </w:tc>
        <w:tc>
          <w:tcPr>
            <w:tcW w:w="1701" w:type="dxa"/>
            <w:vMerge w:val="continue"/>
            <w:noWrap w:val="0"/>
            <w:vAlign w:val="top"/>
          </w:tcPr>
          <w:p>
            <w:pPr>
              <w:adjustRightInd w:val="0"/>
              <w:snapToGrid w:val="0"/>
              <w:spacing w:line="560" w:lineRule="exact"/>
              <w:jc w:val="center"/>
              <w:rPr>
                <w:rFonts w:hint="eastAsia" w:ascii="楷体" w:hAnsi="楷体" w:eastAsia="楷体"/>
                <w:color w:val="000000"/>
                <w:sz w:val="32"/>
                <w:szCs w:val="32"/>
              </w:rPr>
            </w:pPr>
          </w:p>
        </w:tc>
      </w:tr>
    </w:tbl>
    <w:p>
      <w:pPr>
        <w:adjustRightInd w:val="0"/>
        <w:snapToGrid w:val="0"/>
        <w:spacing w:line="560" w:lineRule="exact"/>
        <w:ind w:firstLine="72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我局使用管理法律援助项目经费始终坚持安全规范的原则，有效提升资金的使用效益，确保专款专用。截止评价时点该项目资金支出</w:t>
      </w:r>
      <w:r>
        <w:rPr>
          <w:rFonts w:hint="eastAsia" w:ascii="仿宋_GB2312" w:hAnsi="仿宋_GB2312" w:eastAsia="仿宋_GB2312"/>
          <w:color w:val="000000"/>
          <w:sz w:val="32"/>
          <w:szCs w:val="32"/>
          <w:lang w:val="en-US" w:eastAsia="zh-CN"/>
        </w:rPr>
        <w:t>9</w:t>
      </w:r>
      <w:r>
        <w:rPr>
          <w:rFonts w:hint="eastAsia" w:ascii="仿宋_GB2312" w:hAnsi="仿宋_GB2312" w:eastAsia="仿宋_GB2312"/>
          <w:color w:val="000000"/>
          <w:sz w:val="32"/>
          <w:szCs w:val="32"/>
        </w:rPr>
        <w:t>万元</w:t>
      </w:r>
      <w:r>
        <w:rPr>
          <w:rFonts w:hint="eastAsia" w:ascii="仿宋_GB2312" w:hAnsi="仿宋_GB2312" w:eastAsia="仿宋_GB2312"/>
          <w:color w:val="000000"/>
          <w:sz w:val="32"/>
          <w:szCs w:val="32"/>
          <w:lang w:eastAsia="zh-CN"/>
        </w:rPr>
        <w:t>，另</w:t>
      </w:r>
      <w:r>
        <w:rPr>
          <w:rFonts w:hint="eastAsia" w:ascii="仿宋_GB2312" w:hAnsi="仿宋_GB2312" w:eastAsia="仿宋_GB2312"/>
          <w:color w:val="000000"/>
          <w:sz w:val="32"/>
          <w:szCs w:val="32"/>
          <w:lang w:val="en-US" w:eastAsia="zh-CN"/>
        </w:rPr>
        <w:t>1万元由于2022年12月底支付失败，在2023年重新支付。</w:t>
      </w:r>
      <w:r>
        <w:rPr>
          <w:rFonts w:hint="eastAsia" w:ascii="仿宋_GB2312" w:hAnsi="宋体" w:eastAsia="仿宋_GB2312"/>
          <w:color w:val="000000"/>
          <w:sz w:val="32"/>
          <w:szCs w:val="32"/>
        </w:rPr>
        <w:t>资金支付严格按照法律法规和政策文件的要求执行，无超标准、超进度的情况发生，与年初财政预算相符。</w:t>
      </w:r>
    </w:p>
    <w:p>
      <w:pPr>
        <w:adjustRightInd w:val="0"/>
        <w:snapToGrid w:val="0"/>
        <w:spacing w:line="560" w:lineRule="exact"/>
        <w:ind w:firstLine="72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（三）项目财务管理情况</w:t>
      </w:r>
    </w:p>
    <w:p>
      <w:pPr>
        <w:adjustRightInd w:val="0"/>
        <w:snapToGrid w:val="0"/>
        <w:spacing w:line="560" w:lineRule="exact"/>
        <w:ind w:firstLine="720"/>
        <w:rPr>
          <w:rFonts w:hint="eastAsia" w:ascii="仿宋_GB2312" w:hAnsi="宋体" w:eastAsia="仿宋_GB2312"/>
          <w:color w:val="000000"/>
          <w:sz w:val="32"/>
          <w:szCs w:val="32"/>
        </w:rPr>
      </w:pPr>
      <w:r>
        <w:rPr>
          <w:rFonts w:hint="eastAsia" w:ascii="仿宋_GB2312" w:hAnsi="仿宋_GB2312" w:eastAsia="仿宋_GB2312"/>
          <w:color w:val="000000"/>
          <w:sz w:val="32"/>
          <w:szCs w:val="32"/>
        </w:rPr>
        <w:t>我局财务管理制度健全</w:t>
      </w:r>
      <w:r>
        <w:rPr>
          <w:rFonts w:hint="eastAsia"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rPr>
        <w:t>严格执行</w:t>
      </w:r>
      <w:r>
        <w:rPr>
          <w:rFonts w:hint="eastAsia" w:ascii="仿宋_GB2312" w:hAnsi="仿宋_GB2312" w:eastAsia="仿宋_GB2312"/>
          <w:color w:val="000000"/>
          <w:sz w:val="32"/>
          <w:szCs w:val="32"/>
          <w:lang w:eastAsia="zh-CN"/>
        </w:rPr>
        <w:t>《司法行政系统财务管理制度》及各项</w:t>
      </w:r>
      <w:r>
        <w:rPr>
          <w:rFonts w:hint="eastAsia" w:ascii="仿宋_GB2312" w:hAnsi="仿宋_GB2312" w:eastAsia="仿宋_GB2312"/>
          <w:color w:val="000000"/>
          <w:sz w:val="32"/>
          <w:szCs w:val="32"/>
        </w:rPr>
        <w:t>财务管理制度，账务处理及时，会计核算规范。</w:t>
      </w:r>
    </w:p>
    <w:p>
      <w:pPr>
        <w:adjustRightInd w:val="0"/>
        <w:snapToGrid w:val="0"/>
        <w:spacing w:line="560" w:lineRule="exact"/>
        <w:ind w:firstLine="720"/>
        <w:rPr>
          <w:rFonts w:hint="eastAsia" w:ascii="黑体" w:hAnsi="黑体" w:eastAsia="黑体" w:cs="黑体"/>
          <w:color w:val="000000"/>
          <w:sz w:val="32"/>
          <w:szCs w:val="32"/>
        </w:rPr>
      </w:pPr>
      <w:r>
        <w:rPr>
          <w:rFonts w:hint="eastAsia" w:ascii="黑体" w:hAnsi="黑体" w:eastAsia="黑体" w:cs="黑体"/>
          <w:color w:val="000000"/>
          <w:sz w:val="32"/>
          <w:szCs w:val="32"/>
        </w:rPr>
        <w:t>三、项目实施及管理情况</w:t>
      </w:r>
    </w:p>
    <w:p>
      <w:pPr>
        <w:numPr>
          <w:ilvl w:val="0"/>
          <w:numId w:val="0"/>
        </w:numPr>
        <w:adjustRightInd w:val="0"/>
        <w:snapToGrid w:val="0"/>
        <w:spacing w:line="560" w:lineRule="exact"/>
        <w:ind w:left="720" w:leftChars="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（一）</w:t>
      </w:r>
      <w:r>
        <w:rPr>
          <w:rFonts w:hint="eastAsia" w:ascii="楷体_GB2312" w:hAnsi="楷体_GB2312" w:eastAsia="楷体_GB2312" w:cs="楷体_GB2312"/>
          <w:b w:val="0"/>
          <w:bCs/>
          <w:color w:val="000000"/>
          <w:sz w:val="32"/>
          <w:szCs w:val="32"/>
        </w:rPr>
        <w:t>项目组织架构及实施流程</w:t>
      </w:r>
    </w:p>
    <w:p>
      <w:pPr>
        <w:numPr>
          <w:ilvl w:val="0"/>
          <w:numId w:val="0"/>
        </w:numPr>
        <w:adjustRightInd w:val="0"/>
        <w:snapToGrid w:val="0"/>
        <w:spacing w:line="560" w:lineRule="exact"/>
        <w:ind w:left="720" w:leftChars="0"/>
        <w:rPr>
          <w:rFonts w:hint="eastAsia" w:ascii="仿宋_GB2312" w:hAnsi="宋体" w:eastAsia="仿宋_GB2312"/>
          <w:b w:val="0"/>
          <w:bCs/>
          <w:color w:val="000000"/>
          <w:sz w:val="32"/>
          <w:szCs w:val="32"/>
          <w:lang w:val="en-US" w:eastAsia="zh-CN"/>
        </w:rPr>
      </w:pPr>
      <w:r>
        <w:rPr>
          <w:rFonts w:hint="eastAsia" w:ascii="仿宋_GB2312" w:hAnsi="宋体" w:eastAsia="仿宋_GB2312"/>
          <w:b w:val="0"/>
          <w:bCs/>
          <w:color w:val="000000"/>
          <w:sz w:val="32"/>
          <w:szCs w:val="32"/>
          <w:lang w:eastAsia="zh-CN"/>
        </w:rPr>
        <w:t>制定方案及预算经费</w:t>
      </w:r>
      <w:r>
        <w:rPr>
          <w:rFonts w:hint="eastAsia" w:ascii="仿宋_GB2312" w:hAnsi="宋体" w:eastAsia="仿宋_GB2312"/>
          <w:b w:val="0"/>
          <w:bCs/>
          <w:color w:val="000000"/>
          <w:sz w:val="32"/>
          <w:szCs w:val="32"/>
          <w:lang w:val="en-US" w:eastAsia="zh-CN"/>
        </w:rPr>
        <w:t>--组织实施--结算项目经费。</w:t>
      </w:r>
    </w:p>
    <w:p>
      <w:pPr>
        <w:numPr>
          <w:ilvl w:val="0"/>
          <w:numId w:val="0"/>
        </w:numPr>
        <w:adjustRightInd w:val="0"/>
        <w:snapToGrid w:val="0"/>
        <w:spacing w:line="560" w:lineRule="exact"/>
        <w:ind w:left="720" w:leftChars="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（二）项目管理情况</w:t>
      </w:r>
    </w:p>
    <w:p>
      <w:pPr>
        <w:spacing w:line="560" w:lineRule="exact"/>
        <w:ind w:firstLine="645"/>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20</w:t>
      </w:r>
      <w:r>
        <w:rPr>
          <w:rFonts w:hint="eastAsia" w:ascii="仿宋_GB2312" w:hAnsi="仿宋" w:eastAsia="仿宋_GB2312" w:cs="仿宋_GB2312"/>
          <w:color w:val="000000"/>
          <w:sz w:val="32"/>
          <w:szCs w:val="32"/>
          <w:lang w:val="en-US" w:eastAsia="zh-CN"/>
        </w:rPr>
        <w:t>22</w:t>
      </w:r>
      <w:r>
        <w:rPr>
          <w:rFonts w:hint="eastAsia" w:ascii="仿宋_GB2312" w:hAnsi="仿宋" w:eastAsia="仿宋_GB2312" w:cs="仿宋_GB2312"/>
          <w:color w:val="000000"/>
          <w:sz w:val="32"/>
          <w:szCs w:val="32"/>
        </w:rPr>
        <w:t>年市财政共拨付我局法律援助资金</w:t>
      </w:r>
      <w:r>
        <w:rPr>
          <w:rFonts w:hint="eastAsia" w:ascii="仿宋_GB2312" w:hAnsi="仿宋" w:eastAsia="仿宋_GB2312" w:cs="仿宋_GB2312"/>
          <w:color w:val="000000"/>
          <w:sz w:val="32"/>
          <w:szCs w:val="32"/>
          <w:lang w:val="en-US" w:eastAsia="zh-CN"/>
        </w:rPr>
        <w:t>10</w:t>
      </w:r>
      <w:r>
        <w:rPr>
          <w:rFonts w:hint="eastAsia" w:ascii="仿宋_GB2312" w:hAnsi="仿宋" w:eastAsia="仿宋_GB2312" w:cs="仿宋_GB2312"/>
          <w:color w:val="000000"/>
          <w:sz w:val="32"/>
          <w:szCs w:val="32"/>
        </w:rPr>
        <w:t>万元。</w:t>
      </w:r>
      <w:r>
        <w:rPr>
          <w:rFonts w:hint="eastAsia" w:ascii="仿宋_GB2312" w:hAnsi="仿宋" w:eastAsia="仿宋_GB2312"/>
          <w:color w:val="000000"/>
          <w:sz w:val="32"/>
          <w:szCs w:val="32"/>
        </w:rPr>
        <w:t>资金使用严格按照《司法行政系统财务管理规定》《四川省法律援助经费使用管理办法》《广元市法律援助经费使用管理办法》执行，专项资金得到合理合规的分配和利用，主要用于20</w:t>
      </w:r>
      <w:r>
        <w:rPr>
          <w:rFonts w:hint="eastAsia" w:ascii="仿宋_GB2312" w:hAnsi="仿宋" w:eastAsia="仿宋_GB2312"/>
          <w:color w:val="000000"/>
          <w:sz w:val="32"/>
          <w:szCs w:val="32"/>
          <w:lang w:val="en-US" w:eastAsia="zh-CN"/>
        </w:rPr>
        <w:t>22</w:t>
      </w:r>
      <w:r>
        <w:rPr>
          <w:rFonts w:hint="eastAsia" w:ascii="仿宋_GB2312" w:hAnsi="仿宋" w:eastAsia="仿宋_GB2312"/>
          <w:color w:val="000000"/>
          <w:sz w:val="32"/>
          <w:szCs w:val="32"/>
        </w:rPr>
        <w:t>年法律援助办案补贴、律师值班补贴、办公经费、宣传活动经费、差旅费、文书印制等方面。</w:t>
      </w:r>
    </w:p>
    <w:p>
      <w:pPr>
        <w:numPr>
          <w:ilvl w:val="0"/>
          <w:numId w:val="0"/>
        </w:numPr>
        <w:adjustRightInd w:val="0"/>
        <w:snapToGrid w:val="0"/>
        <w:spacing w:line="560" w:lineRule="exact"/>
        <w:ind w:left="720" w:leftChars="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（三）</w:t>
      </w:r>
      <w:r>
        <w:rPr>
          <w:rFonts w:hint="eastAsia" w:ascii="楷体_GB2312" w:hAnsi="楷体_GB2312" w:eastAsia="楷体_GB2312" w:cs="楷体_GB2312"/>
          <w:b w:val="0"/>
          <w:bCs/>
          <w:color w:val="000000"/>
          <w:sz w:val="32"/>
          <w:szCs w:val="32"/>
        </w:rPr>
        <w:t>项目监管情况</w:t>
      </w:r>
    </w:p>
    <w:p>
      <w:pPr>
        <w:spacing w:line="560" w:lineRule="exact"/>
        <w:ind w:firstLine="640" w:firstLineChars="200"/>
        <w:rPr>
          <w:rFonts w:hint="eastAsia" w:ascii="仿宋_GB2312" w:hAnsi="华文仿宋" w:eastAsia="仿宋_GB2312"/>
          <w:b/>
          <w:bCs/>
          <w:color w:val="000000"/>
          <w:sz w:val="32"/>
          <w:szCs w:val="32"/>
        </w:rPr>
      </w:pPr>
      <w:r>
        <w:rPr>
          <w:rFonts w:hint="eastAsia" w:ascii="仿宋_GB2312" w:hAnsi="华文仿宋" w:eastAsia="仿宋_GB2312" w:cs="华文仿宋"/>
          <w:color w:val="000000"/>
          <w:sz w:val="32"/>
          <w:szCs w:val="32"/>
        </w:rPr>
        <w:t>市司法局统一对法律援助经费收支设立专门账户，单列科目，实行单独核算</w:t>
      </w:r>
      <w:r>
        <w:rPr>
          <w:rFonts w:hint="eastAsia" w:ascii="仿宋_GB2312" w:hAnsi="华文仿宋" w:eastAsia="仿宋_GB2312" w:cs="华文仿宋"/>
          <w:b/>
          <w:bCs/>
          <w:color w:val="000000"/>
          <w:sz w:val="32"/>
          <w:szCs w:val="32"/>
        </w:rPr>
        <w:t>。</w:t>
      </w:r>
      <w:r>
        <w:rPr>
          <w:rFonts w:hint="eastAsia" w:ascii="仿宋_GB2312" w:hAnsi="华文仿宋" w:eastAsia="仿宋_GB2312" w:cs="华文仿宋"/>
          <w:color w:val="000000"/>
          <w:sz w:val="32"/>
          <w:szCs w:val="32"/>
        </w:rPr>
        <w:t>对已办理终结的案件补贴、法律咨询服务补贴，由市法援中心分类造册提交分管副局长审核签字，</w:t>
      </w:r>
      <w:r>
        <w:rPr>
          <w:rFonts w:hint="eastAsia" w:ascii="仿宋_GB2312" w:hAnsi="华文仿宋" w:eastAsia="仿宋_GB2312" w:cs="华文仿宋"/>
          <w:b w:val="0"/>
          <w:bCs w:val="0"/>
          <w:color w:val="000000"/>
          <w:sz w:val="32"/>
          <w:szCs w:val="32"/>
        </w:rPr>
        <w:t>市</w:t>
      </w:r>
      <w:r>
        <w:rPr>
          <w:rFonts w:hint="eastAsia" w:ascii="仿宋_GB2312" w:hAnsi="华文仿宋" w:eastAsia="仿宋_GB2312" w:cs="华文仿宋"/>
          <w:color w:val="000000"/>
          <w:sz w:val="32"/>
          <w:szCs w:val="32"/>
        </w:rPr>
        <w:t>法援中心将已签字的相关报销手续交由市局财务保障科统一复核，复核无误后，按市法援中心提供的单位和个人账户转账报销。局财务统一予以报销。</w:t>
      </w:r>
    </w:p>
    <w:p>
      <w:pPr>
        <w:adjustRightInd w:val="0"/>
        <w:snapToGrid w:val="0"/>
        <w:spacing w:line="560" w:lineRule="exact"/>
        <w:ind w:firstLine="720"/>
        <w:rPr>
          <w:rFonts w:hint="eastAsia" w:ascii="黑体" w:hAnsi="黑体" w:eastAsia="黑体" w:cs="黑体"/>
          <w:color w:val="000000"/>
          <w:sz w:val="32"/>
          <w:szCs w:val="32"/>
        </w:rPr>
      </w:pPr>
      <w:r>
        <w:rPr>
          <w:rFonts w:hint="eastAsia" w:ascii="黑体" w:hAnsi="黑体" w:eastAsia="黑体" w:cs="黑体"/>
          <w:color w:val="000000"/>
          <w:sz w:val="32"/>
          <w:szCs w:val="32"/>
        </w:rPr>
        <w:t>四、项目绩效情况</w:t>
      </w:r>
      <w:r>
        <w:rPr>
          <w:rFonts w:hint="eastAsia" w:ascii="黑体" w:hAnsi="黑体" w:eastAsia="黑体" w:cs="黑体"/>
          <w:color w:val="000000"/>
          <w:sz w:val="32"/>
          <w:szCs w:val="32"/>
        </w:rPr>
        <w:tab/>
      </w:r>
    </w:p>
    <w:p>
      <w:pPr>
        <w:numPr>
          <w:ilvl w:val="0"/>
          <w:numId w:val="0"/>
        </w:numPr>
        <w:adjustRightInd w:val="0"/>
        <w:snapToGrid w:val="0"/>
        <w:spacing w:line="560" w:lineRule="exact"/>
        <w:ind w:left="720" w:leftChars="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（一）项目完成情况</w:t>
      </w:r>
    </w:p>
    <w:p>
      <w:pPr>
        <w:spacing w:line="560" w:lineRule="exact"/>
        <w:ind w:firstLine="640" w:firstLineChars="200"/>
        <w:rPr>
          <w:rFonts w:hint="eastAsia" w:ascii="仿宋_GB2312" w:hAnsi="仿宋" w:eastAsia="仿宋_GB2312" w:cs="仿宋_GB2312"/>
          <w:color w:val="000000"/>
          <w:sz w:val="32"/>
          <w:szCs w:val="32"/>
        </w:rPr>
      </w:pPr>
      <w:r>
        <w:rPr>
          <w:rFonts w:hint="eastAsia" w:ascii="仿宋_GB2312" w:hAnsi="仿宋" w:eastAsia="仿宋_GB2312"/>
          <w:color w:val="000000"/>
          <w:sz w:val="32"/>
          <w:szCs w:val="32"/>
        </w:rPr>
        <w:t>按照省司法厅下达的法律援助工作目标任务，我局</w:t>
      </w:r>
      <w:r>
        <w:rPr>
          <w:rFonts w:hint="eastAsia" w:ascii="仿宋_GB2312" w:hAnsi="仿宋" w:eastAsia="仿宋_GB2312" w:cs="仿宋_GB2312"/>
          <w:color w:val="000000"/>
          <w:sz w:val="32"/>
          <w:szCs w:val="32"/>
        </w:rPr>
        <w:t>法律援助工作稳步推进</w:t>
      </w:r>
      <w:r>
        <w:rPr>
          <w:rFonts w:hint="eastAsia" w:ascii="仿宋_GB2312" w:hAnsi="仿宋" w:eastAsia="仿宋_GB2312" w:cs="仿宋_GB2312"/>
          <w:color w:val="000000"/>
          <w:sz w:val="32"/>
          <w:szCs w:val="32"/>
          <w:lang w:eastAsia="zh-CN"/>
        </w:rPr>
        <w:t>。</w:t>
      </w: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22</w:t>
      </w:r>
      <w:r>
        <w:rPr>
          <w:rFonts w:hint="eastAsia" w:ascii="仿宋_GB2312" w:hAnsi="仿宋" w:eastAsia="仿宋_GB2312"/>
          <w:color w:val="000000"/>
          <w:sz w:val="32"/>
          <w:szCs w:val="32"/>
        </w:rPr>
        <w:t>年，市法律援助中心</w:t>
      </w:r>
      <w:r>
        <w:rPr>
          <w:rFonts w:hint="eastAsia" w:ascii="仿宋_GB2312" w:hAnsi="仿宋" w:eastAsia="仿宋_GB2312" w:cs="仿宋_GB2312"/>
          <w:color w:val="000000"/>
          <w:sz w:val="32"/>
          <w:szCs w:val="32"/>
        </w:rPr>
        <w:t>办理法律援助案件</w:t>
      </w:r>
      <w:r>
        <w:rPr>
          <w:rFonts w:hint="eastAsia" w:ascii="仿宋_GB2312" w:hAnsi="仿宋" w:eastAsia="仿宋_GB2312" w:cs="仿宋_GB2312"/>
          <w:color w:val="000000"/>
          <w:sz w:val="32"/>
          <w:szCs w:val="32"/>
          <w:lang w:val="en-US" w:eastAsia="zh-CN"/>
        </w:rPr>
        <w:t>85</w:t>
      </w:r>
      <w:r>
        <w:rPr>
          <w:rFonts w:hint="eastAsia" w:ascii="仿宋_GB2312" w:hAnsi="仿宋" w:eastAsia="仿宋_GB2312" w:cs="仿宋_GB2312"/>
          <w:color w:val="000000"/>
          <w:sz w:val="32"/>
          <w:szCs w:val="32"/>
        </w:rPr>
        <w:t>件，提供法律</w:t>
      </w:r>
      <w:r>
        <w:rPr>
          <w:rFonts w:hint="eastAsia" w:ascii="仿宋_GB2312" w:hAnsi="仿宋" w:eastAsia="仿宋_GB2312" w:cs="仿宋_GB2312"/>
          <w:color w:val="000000"/>
          <w:sz w:val="32"/>
          <w:szCs w:val="32"/>
          <w:lang w:val="en-US" w:eastAsia="zh-CN"/>
        </w:rPr>
        <w:t>援助1400</w:t>
      </w:r>
      <w:r>
        <w:rPr>
          <w:rFonts w:hint="eastAsia" w:ascii="仿宋_GB2312" w:hAnsi="仿宋" w:eastAsia="仿宋_GB2312" w:cs="仿宋_GB2312"/>
          <w:color w:val="000000"/>
          <w:sz w:val="32"/>
          <w:szCs w:val="32"/>
        </w:rPr>
        <w:t>人次</w:t>
      </w:r>
      <w:r>
        <w:rPr>
          <w:rFonts w:hint="eastAsia" w:ascii="仿宋_GB2312" w:hAnsi="仿宋" w:eastAsia="仿宋_GB2312" w:cs="仿宋_GB2312"/>
          <w:color w:val="000000"/>
          <w:sz w:val="32"/>
          <w:szCs w:val="32"/>
          <w:lang w:eastAsia="zh-CN"/>
        </w:rPr>
        <w:t>，法律援助案件受理及时率</w:t>
      </w:r>
      <w:r>
        <w:rPr>
          <w:rFonts w:hint="eastAsia" w:ascii="仿宋_GB2312" w:hAnsi="仿宋" w:eastAsia="仿宋_GB2312" w:cs="仿宋_GB2312"/>
          <w:color w:val="000000"/>
          <w:sz w:val="32"/>
          <w:szCs w:val="32"/>
          <w:lang w:val="en-US" w:eastAsia="zh-CN"/>
        </w:rPr>
        <w:t>达到100%，</w:t>
      </w:r>
      <w:r>
        <w:rPr>
          <w:rFonts w:hint="eastAsia" w:ascii="仿宋_GB2312" w:hAnsi="仿宋" w:eastAsia="仿宋_GB2312" w:cs="仿宋_GB2312"/>
          <w:color w:val="000000"/>
          <w:sz w:val="32"/>
          <w:szCs w:val="32"/>
        </w:rPr>
        <w:t>全年回访受援人和裁判机关60余次，没有收到受援人有效投诉。</w:t>
      </w:r>
    </w:p>
    <w:p>
      <w:pPr>
        <w:numPr>
          <w:ilvl w:val="0"/>
          <w:numId w:val="0"/>
        </w:numPr>
        <w:adjustRightInd w:val="0"/>
        <w:snapToGrid w:val="0"/>
        <w:spacing w:line="560" w:lineRule="exact"/>
        <w:ind w:left="720" w:leftChars="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（二）项目效益情况</w:t>
      </w:r>
    </w:p>
    <w:p>
      <w:pPr>
        <w:adjustRightInd w:val="0"/>
        <w:snapToGrid w:val="0"/>
        <w:spacing w:line="560" w:lineRule="exact"/>
        <w:ind w:firstLine="720"/>
        <w:rPr>
          <w:rFonts w:hint="eastAsia" w:ascii="仿宋_GB2312" w:hAnsi="仿宋_GB2312" w:eastAsia="仿宋_GB2312"/>
          <w:color w:val="000000"/>
          <w:sz w:val="32"/>
          <w:szCs w:val="32"/>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hAnsi="仿宋_GB2312" w:eastAsia="仿宋_GB2312"/>
          <w:color w:val="000000"/>
          <w:sz w:val="32"/>
          <w:szCs w:val="32"/>
        </w:rPr>
        <w:t>我局法律援助为困难群众提供法律援助151人，帮助受援人挽回经济损失</w:t>
      </w:r>
      <w:r>
        <w:rPr>
          <w:rFonts w:hint="eastAsia" w:ascii="仿宋_GB2312" w:hAnsi="仿宋_GB2312" w:eastAsia="仿宋_GB2312"/>
          <w:color w:val="000000"/>
          <w:sz w:val="32"/>
          <w:szCs w:val="32"/>
          <w:lang w:val="en-US" w:eastAsia="zh-CN"/>
        </w:rPr>
        <w:t>超过100</w:t>
      </w:r>
      <w:r>
        <w:rPr>
          <w:rFonts w:hint="eastAsia" w:ascii="仿宋_GB2312" w:hAnsi="仿宋_GB2312" w:eastAsia="仿宋_GB2312"/>
          <w:color w:val="000000"/>
          <w:sz w:val="32"/>
          <w:szCs w:val="32"/>
        </w:rPr>
        <w:t>万元，为受援人减轻经济负担</w:t>
      </w:r>
      <w:r>
        <w:rPr>
          <w:rFonts w:hint="eastAsia" w:ascii="仿宋_GB2312" w:hAnsi="仿宋_GB2312" w:eastAsia="仿宋_GB2312"/>
          <w:color w:val="000000"/>
          <w:sz w:val="32"/>
          <w:szCs w:val="32"/>
          <w:lang w:val="en-US" w:eastAsia="zh-CN"/>
        </w:rPr>
        <w:t>超过50万元</w:t>
      </w:r>
      <w:r>
        <w:rPr>
          <w:rFonts w:hint="eastAsia" w:ascii="仿宋_GB2312" w:hAnsi="仿宋_GB2312" w:eastAsia="仿宋_GB2312"/>
          <w:color w:val="000000"/>
          <w:sz w:val="32"/>
          <w:szCs w:val="32"/>
        </w:rPr>
        <w:t>。</w:t>
      </w:r>
      <w:r>
        <w:rPr>
          <w:rFonts w:hint="eastAsia" w:ascii="仿宋_GB2312" w:eastAsia="仿宋_GB2312"/>
          <w:color w:val="000000"/>
          <w:sz w:val="32"/>
          <w:szCs w:val="32"/>
        </w:rPr>
        <w:t>我局法律援助窗口接听群众来电来访5000余人次，安排社会律师值班229人次，市政府通报法律咨询服务群众满意率测评达到9</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 xml:space="preserve"> %，有效</w:t>
      </w:r>
      <w:r>
        <w:rPr>
          <w:rFonts w:hint="eastAsia" w:ascii="仿宋_GB2312" w:hAnsi="仿宋_GB2312" w:eastAsia="仿宋_GB2312" w:cs="仿宋_GB2312"/>
          <w:color w:val="000000"/>
          <w:sz w:val="32"/>
          <w:szCs w:val="32"/>
        </w:rPr>
        <w:t>提升人民群众对法律援助的知晓率、首选率、满意率。</w:t>
      </w:r>
    </w:p>
    <w:p>
      <w:pPr>
        <w:adjustRightInd w:val="0"/>
        <w:snapToGrid w:val="0"/>
        <w:spacing w:line="560" w:lineRule="exact"/>
        <w:ind w:firstLine="720"/>
        <w:rPr>
          <w:rFonts w:hint="eastAsia" w:ascii="黑体" w:hAnsi="黑体" w:eastAsia="黑体" w:cs="黑体"/>
          <w:color w:val="000000"/>
          <w:sz w:val="32"/>
          <w:szCs w:val="32"/>
        </w:rPr>
      </w:pPr>
      <w:r>
        <w:rPr>
          <w:rFonts w:hint="eastAsia" w:ascii="黑体" w:hAnsi="黑体" w:eastAsia="黑体" w:cs="黑体"/>
          <w:color w:val="000000"/>
          <w:sz w:val="32"/>
          <w:szCs w:val="32"/>
        </w:rPr>
        <w:t>五、评价结论及建议</w:t>
      </w:r>
    </w:p>
    <w:p>
      <w:pPr>
        <w:numPr>
          <w:ilvl w:val="0"/>
          <w:numId w:val="0"/>
        </w:numPr>
        <w:adjustRightInd w:val="0"/>
        <w:snapToGrid w:val="0"/>
        <w:spacing w:line="560" w:lineRule="exact"/>
        <w:ind w:left="720" w:leftChars="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（一）评价结论</w:t>
      </w:r>
    </w:p>
    <w:p>
      <w:pPr>
        <w:adjustRightInd w:val="0"/>
        <w:snapToGrid w:val="0"/>
        <w:spacing w:line="560" w:lineRule="exact"/>
        <w:ind w:firstLine="640" w:firstLineChars="200"/>
        <w:rPr>
          <w:rFonts w:hint="eastAsia" w:ascii="仿宋_GB2312" w:hAnsi="仿宋_GB2312" w:eastAsia="仿宋_GB2312"/>
          <w:color w:val="000000"/>
          <w:sz w:val="32"/>
          <w:szCs w:val="32"/>
        </w:rPr>
      </w:pPr>
      <w:r>
        <w:rPr>
          <w:rFonts w:hint="eastAsia" w:ascii="仿宋_GB2312" w:hAnsi="仿宋" w:eastAsia="仿宋_GB2312" w:cs="仿宋_GB2312"/>
          <w:color w:val="000000"/>
          <w:sz w:val="32"/>
          <w:szCs w:val="32"/>
        </w:rPr>
        <w:t>依据法律援助项目设置的绩效评价指标体系、标准值、权重（分值）评价标准，经与指标完成值评价打分，综合得分9</w:t>
      </w:r>
      <w:r>
        <w:rPr>
          <w:rFonts w:hint="eastAsia" w:ascii="仿宋_GB2312" w:hAnsi="仿宋" w:eastAsia="仿宋_GB2312" w:cs="仿宋_GB2312"/>
          <w:color w:val="000000"/>
          <w:sz w:val="32"/>
          <w:szCs w:val="32"/>
          <w:lang w:val="en-US" w:eastAsia="zh-CN"/>
        </w:rPr>
        <w:t>8</w:t>
      </w:r>
      <w:r>
        <w:rPr>
          <w:rFonts w:hint="eastAsia" w:ascii="仿宋_GB2312" w:hAnsi="仿宋" w:eastAsia="仿宋_GB2312" w:cs="仿宋_GB2312"/>
          <w:color w:val="000000"/>
          <w:sz w:val="32"/>
          <w:szCs w:val="32"/>
        </w:rPr>
        <w:t>分。</w:t>
      </w:r>
    </w:p>
    <w:p>
      <w:pPr>
        <w:numPr>
          <w:ilvl w:val="0"/>
          <w:numId w:val="0"/>
        </w:numPr>
        <w:adjustRightInd w:val="0"/>
        <w:snapToGrid w:val="0"/>
        <w:spacing w:line="560" w:lineRule="exact"/>
        <w:ind w:left="720" w:leftChars="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（二）存在的问题</w:t>
      </w:r>
    </w:p>
    <w:p>
      <w:pPr>
        <w:spacing w:line="560" w:lineRule="exact"/>
        <w:ind w:firstLine="640" w:firstLineChars="200"/>
        <w:rPr>
          <w:rFonts w:hint="eastAsia"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lang w:val="en-US" w:eastAsia="zh-CN"/>
        </w:rPr>
        <w:t>1.</w:t>
      </w:r>
      <w:r>
        <w:rPr>
          <w:rFonts w:hint="eastAsia" w:ascii="仿宋_GB2312" w:hAnsi="仿宋" w:eastAsia="仿宋_GB2312" w:cs="仿宋_GB2312"/>
          <w:color w:val="000000"/>
          <w:sz w:val="32"/>
          <w:szCs w:val="32"/>
          <w:shd w:val="clear" w:color="auto" w:fill="FFFFFF"/>
        </w:rPr>
        <w:t>法律援助案件办理质量有待提升。在法律援助案件承办方面，个别律师只重视案件办理效果，不重视案件结案归档，需要补正卷宗材料才能达成办案补贴发放要求，一定程度影响了资金使用进度。</w:t>
      </w:r>
    </w:p>
    <w:p>
      <w:pPr>
        <w:spacing w:line="560" w:lineRule="exact"/>
        <w:ind w:firstLine="640" w:firstLineChars="200"/>
        <w:rPr>
          <w:rFonts w:hint="eastAsia"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2.办案力量不足。随着刑事辩护律师全覆盖工作开展，刑事法律援助案件成倍增加，对法律援助律师的需求很大，但我市社会律师数量较少，现有工作力量无法完全满足日益增长的刑事法律援助需求。</w:t>
      </w:r>
    </w:p>
    <w:p>
      <w:pPr>
        <w:spacing w:line="560" w:lineRule="exact"/>
        <w:ind w:firstLine="640" w:firstLineChars="200"/>
        <w:rPr>
          <w:rFonts w:hint="eastAsia"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lang w:val="en-US" w:eastAsia="zh-CN"/>
        </w:rPr>
        <w:t>3.</w:t>
      </w:r>
      <w:r>
        <w:rPr>
          <w:rFonts w:hint="eastAsia" w:ascii="仿宋_GB2312" w:hAnsi="仿宋" w:eastAsia="仿宋_GB2312" w:cs="仿宋_GB2312"/>
          <w:color w:val="000000"/>
          <w:sz w:val="32"/>
          <w:szCs w:val="32"/>
          <w:shd w:val="clear" w:color="auto" w:fill="FFFFFF"/>
        </w:rPr>
        <w:t>部分法律援助值班律师对群众来访登记不规范、信息记录不完整，接待咨询内容记录不详尽，书面答复意见过于简略，在一定程度上影响了群众的法律咨询体验。</w:t>
      </w:r>
    </w:p>
    <w:p>
      <w:pPr>
        <w:numPr>
          <w:ilvl w:val="0"/>
          <w:numId w:val="0"/>
        </w:numPr>
        <w:adjustRightInd w:val="0"/>
        <w:snapToGrid w:val="0"/>
        <w:spacing w:line="560" w:lineRule="exact"/>
        <w:ind w:left="720" w:leftChars="0"/>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（三）相关建议</w:t>
      </w:r>
    </w:p>
    <w:p>
      <w:pPr>
        <w:spacing w:line="560" w:lineRule="exact"/>
        <w:ind w:firstLine="640" w:firstLineChars="200"/>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在今后的工作中，我们将进一步加强管理，强化法律援助案件质量管理，进一步落实《四川省法律援助程序规则》和质量评估标准，</w:t>
      </w:r>
      <w:r>
        <w:rPr>
          <w:rFonts w:hint="eastAsia" w:ascii="仿宋_GB2312" w:hAnsi="仿宋" w:eastAsia="仿宋_GB2312" w:cs="仿宋_GB2312"/>
          <w:color w:val="000000"/>
          <w:sz w:val="32"/>
          <w:szCs w:val="32"/>
          <w:shd w:val="clear" w:color="auto" w:fill="FFFFFF"/>
        </w:rPr>
        <w:t>优化案件指派流程，克服我市法律服务资源分布不均的困难，均衡开展法律援助工作。继续</w:t>
      </w:r>
      <w:r>
        <w:rPr>
          <w:rFonts w:hint="eastAsia" w:ascii="仿宋_GB2312" w:hAnsi="仿宋" w:eastAsia="仿宋_GB2312" w:cs="仿宋_GB2312"/>
          <w:color w:val="000000"/>
          <w:sz w:val="32"/>
          <w:szCs w:val="32"/>
        </w:rPr>
        <w:t>将法律援助案件质量与办案补贴挂钩，确保结案归档案件质量与案件补贴及时准确发放，提高资金使用效益，为全市法律援助事业的持续健康发展提供有利的基础保障。</w:t>
      </w:r>
    </w:p>
    <w:p>
      <w:pPr>
        <w:pStyle w:val="2"/>
        <w:rPr>
          <w:rFonts w:hint="eastAsia" w:ascii="仿宋_GB2312" w:hAnsi="仿宋" w:eastAsia="仿宋_GB2312" w:cs="仿宋_GB2312"/>
          <w:color w:val="000000"/>
          <w:sz w:val="32"/>
          <w:szCs w:val="32"/>
        </w:rPr>
        <w:sectPr>
          <w:pgSz w:w="11906" w:h="16838"/>
          <w:pgMar w:top="1440" w:right="1800" w:bottom="1440" w:left="1800" w:header="851" w:footer="992" w:gutter="0"/>
          <w:pgNumType w:fmt="decimal" w:start="1"/>
          <w:cols w:space="425" w:num="1"/>
          <w:docGrid w:type="lines" w:linePitch="312" w:charSpace="0"/>
        </w:sectPr>
      </w:pPr>
    </w:p>
    <w:tbl>
      <w:tblPr>
        <w:tblStyle w:val="16"/>
        <w:tblW w:w="13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8"/>
        <w:gridCol w:w="960"/>
        <w:gridCol w:w="1214"/>
        <w:gridCol w:w="2953"/>
        <w:gridCol w:w="405"/>
        <w:gridCol w:w="1244"/>
        <w:gridCol w:w="521"/>
        <w:gridCol w:w="1091"/>
        <w:gridCol w:w="780"/>
        <w:gridCol w:w="720"/>
        <w:gridCol w:w="750"/>
        <w:gridCol w:w="1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362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14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21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主管部门（盖章）</w:t>
            </w:r>
          </w:p>
        </w:tc>
        <w:tc>
          <w:tcPr>
            <w:tcW w:w="6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广元市司法局</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 （盖章）</w:t>
            </w:r>
          </w:p>
        </w:tc>
        <w:tc>
          <w:tcPr>
            <w:tcW w:w="40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项目基本情况</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1.项目年度目标完成情况</w:t>
            </w:r>
          </w:p>
        </w:tc>
        <w:tc>
          <w:tcPr>
            <w:tcW w:w="6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项目年度目标</w:t>
            </w:r>
          </w:p>
        </w:tc>
        <w:tc>
          <w:tcPr>
            <w:tcW w:w="5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63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法律援助案件130件，提供法律援助1200人次；组织法律援助12348热线平台值班240人次，派驻法院和看守所工作站律师值班120人次，开展刑事法律援助宣讲活动4次；落实刑事辩护全覆盖，为没有聘请律师的犯罪嫌疑人和被告人提供刑事辩护100人次；组织农民工法律援助宣传2次。</w:t>
            </w:r>
          </w:p>
        </w:tc>
        <w:tc>
          <w:tcPr>
            <w:tcW w:w="51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已完成相关年度目标。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2.项目实施内容及过程概述</w:t>
            </w:r>
          </w:p>
        </w:tc>
        <w:tc>
          <w:tcPr>
            <w:tcW w:w="114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项目用于开展法律援助工作。包括承办法律援助案件、事项，法律咨询补贴，进行法律援助宣传、教育、培训、调研、检查、指导工作、对外学习交流，法律援助卷宗档案管理等一系列法律援助业务工作，通过数量指标、时效指标、质量指标、成本指标进行绩效评价项目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预算执行情况（10分）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年度预算数（万元）</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2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总额</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kern w:val="0"/>
                <w:sz w:val="18"/>
                <w:szCs w:val="18"/>
                <w:u w:val="none"/>
                <w:lang w:val="en"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其中：财政资金</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1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绩效指标（90分）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法律援助案件受理及时率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法律援助咨询电话接听及时率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办理法律援助案件</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提供法律援助人次</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1200人次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办案补贴发放及时率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完成法律援助宣传活动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办案补贴发放准确率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法律援助案件质量合格率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减少援助对象法律诉讼等费用支出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降栏扩面，不断扩大法律援助覆盖范围可持续影响比例</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维护受援人合法权益比例</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群众对法律援助工作满意度</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法律援助劳务费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法律援助印刷费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2.5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法律援助培训费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2.5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办案补贴标准执行率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法律援助资金使用合规率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95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98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部门（单位）自评结论</w:t>
            </w:r>
          </w:p>
        </w:tc>
        <w:tc>
          <w:tcPr>
            <w:tcW w:w="124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据法律援助项目设置的绩效评价指标体系、标准值、权重（分值）评价标准，综合得分98分。我局法律援助为困难群众提供法律援助151人，帮助受援人挽回经济损失超过100万元，为受援人减轻经济负担超过50万元。我局法律援助窗口接听群众来电来访5000余人次，安排社会律师值班229人次，市政府通报法律咨询服务群众满意率测评达到98 %，有效提升人民群众对法律援助的知晓率、首选率、满意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部门（单位）自评存在问题</w:t>
            </w:r>
          </w:p>
        </w:tc>
        <w:tc>
          <w:tcPr>
            <w:tcW w:w="124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法律援助案件办理质量有待提升。在法律援助案件承办方面，个别律师只重视案件办理效果，不重视案件结案归档，需要补正卷宗材料才能达成办案补贴发放要求，一定程度影响了资金使用进度。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部门（单位）自评改进措施</w:t>
            </w:r>
          </w:p>
        </w:tc>
        <w:tc>
          <w:tcPr>
            <w:tcW w:w="124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进一步加强管理，强化法律援助案件质量管理，进一步落实《四川省法律援助程序规则》和质量评估标准，优化案件指派流程，克服我市法律服务资源分布不均的困难，均衡开展法律援助工作。继续将法律援助案件质量与办案补贴挂钩，确保结案归档案件质量与案件补贴及时准确发放，提高资金使用效益，为全市法律援助事业的持续健康发展提供有利的基础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财政部门对口科室复评结论及整改要求</w:t>
            </w:r>
          </w:p>
        </w:tc>
        <w:tc>
          <w:tcPr>
            <w:tcW w:w="124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bl>
    <w:p>
      <w:pPr>
        <w:rPr>
          <w:rFonts w:hint="eastAsia" w:eastAsia="宋体"/>
          <w:lang w:val="en-US" w:eastAsia="zh-CN"/>
        </w:rPr>
        <w:sectPr>
          <w:pgSz w:w="16838" w:h="11906" w:orient="landscape"/>
          <w:pgMar w:top="1800" w:right="1440" w:bottom="1800" w:left="1440" w:header="851" w:footer="992" w:gutter="0"/>
          <w:pgNumType w:fmt="decimal"/>
          <w:cols w:space="425" w:num="1"/>
          <w:titlePg/>
          <w:docGrid w:type="lines" w:linePitch="312" w:charSpace="0"/>
        </w:sectPr>
      </w:pPr>
    </w:p>
    <w:p>
      <w:pPr>
        <w:pStyle w:val="2"/>
        <w:rPr>
          <w:rFonts w:hint="eastAsia"/>
        </w:rPr>
      </w:pPr>
    </w:p>
    <w:p>
      <w:pPr>
        <w:spacing w:line="580" w:lineRule="exact"/>
        <w:rPr>
          <w:rStyle w:val="29"/>
          <w:rFonts w:ascii="黑体" w:hAnsi="黑体" w:eastAsia="黑体"/>
          <w:b w:val="0"/>
          <w:color w:val="auto"/>
          <w:highlight w:val="none"/>
        </w:rPr>
      </w:pPr>
    </w:p>
    <w:p>
      <w:pPr>
        <w:spacing w:line="560" w:lineRule="exact"/>
        <w:jc w:val="center"/>
        <w:rPr>
          <w:rFonts w:hint="eastAsia" w:ascii="方正小标宋简体" w:hAnsi="宋体" w:eastAsia="方正小标宋简体"/>
          <w:color w:val="000000"/>
          <w:kern w:val="0"/>
          <w:sz w:val="44"/>
          <w:szCs w:val="44"/>
          <w:lang w:eastAsia="zh-CN"/>
        </w:rPr>
      </w:pPr>
      <w:r>
        <w:rPr>
          <w:rFonts w:hint="eastAsia" w:ascii="方正小标宋简体" w:hAnsi="宋体" w:eastAsia="方正小标宋简体"/>
          <w:color w:val="000000"/>
          <w:kern w:val="0"/>
          <w:sz w:val="44"/>
          <w:szCs w:val="44"/>
          <w:lang w:eastAsia="zh-CN"/>
        </w:rPr>
        <w:t>广元市司法局</w:t>
      </w:r>
    </w:p>
    <w:p>
      <w:pPr>
        <w:spacing w:line="560" w:lineRule="exact"/>
        <w:jc w:val="center"/>
        <w:rPr>
          <w:rFonts w:hint="eastAsia" w:ascii="方正小标宋简体" w:hAnsi="方正小标宋简体" w:eastAsia="方正小标宋简体"/>
          <w:color w:val="000000"/>
          <w:kern w:val="0"/>
          <w:sz w:val="44"/>
          <w:szCs w:val="44"/>
        </w:rPr>
      </w:pPr>
      <w:r>
        <w:rPr>
          <w:rFonts w:hint="eastAsia" w:ascii="方正小标宋简体" w:hAnsi="宋体" w:eastAsia="方正小标宋简体"/>
          <w:color w:val="000000"/>
          <w:kern w:val="0"/>
          <w:sz w:val="44"/>
          <w:szCs w:val="44"/>
          <w:lang w:eastAsia="zh-CN"/>
        </w:rPr>
        <w:t>关于</w:t>
      </w:r>
      <w:r>
        <w:rPr>
          <w:rFonts w:hint="eastAsia" w:ascii="方正小标宋简体" w:hAnsi="宋体" w:eastAsia="方正小标宋简体"/>
          <w:color w:val="000000"/>
          <w:kern w:val="0"/>
          <w:sz w:val="44"/>
          <w:szCs w:val="44"/>
        </w:rPr>
        <w:t>20</w:t>
      </w:r>
      <w:r>
        <w:rPr>
          <w:rFonts w:hint="eastAsia" w:ascii="方正小标宋简体" w:hAnsi="宋体" w:eastAsia="方正小标宋简体"/>
          <w:color w:val="000000"/>
          <w:kern w:val="0"/>
          <w:sz w:val="44"/>
          <w:szCs w:val="44"/>
          <w:lang w:val="en-US" w:eastAsia="zh-CN"/>
        </w:rPr>
        <w:t>22</w:t>
      </w:r>
      <w:r>
        <w:rPr>
          <w:rFonts w:hint="eastAsia" w:ascii="方正小标宋简体" w:hAnsi="方正小标宋简体" w:eastAsia="方正小标宋简体"/>
          <w:color w:val="000000"/>
          <w:kern w:val="0"/>
          <w:sz w:val="44"/>
          <w:szCs w:val="44"/>
        </w:rPr>
        <w:t>年</w:t>
      </w:r>
      <w:r>
        <w:rPr>
          <w:rFonts w:hint="eastAsia" w:ascii="方正小标宋简体" w:hAnsi="方正小标宋简体" w:eastAsia="方正小标宋简体"/>
          <w:color w:val="000000"/>
          <w:kern w:val="0"/>
          <w:sz w:val="44"/>
          <w:szCs w:val="44"/>
          <w:lang w:eastAsia="zh-CN"/>
        </w:rPr>
        <w:t>法治建设</w:t>
      </w:r>
      <w:r>
        <w:rPr>
          <w:rFonts w:hint="eastAsia" w:ascii="方正小标宋简体" w:hAnsi="方正小标宋简体" w:eastAsia="方正小标宋简体"/>
          <w:color w:val="000000"/>
          <w:kern w:val="0"/>
          <w:sz w:val="44"/>
          <w:szCs w:val="44"/>
        </w:rPr>
        <w:t>项目</w:t>
      </w:r>
      <w:r>
        <w:rPr>
          <w:rFonts w:hint="eastAsia" w:ascii="方正小标宋简体" w:hAnsi="宋体" w:eastAsia="方正小标宋简体"/>
          <w:color w:val="000000"/>
          <w:kern w:val="0"/>
          <w:sz w:val="44"/>
          <w:szCs w:val="44"/>
        </w:rPr>
        <w:t>支出</w:t>
      </w:r>
      <w:r>
        <w:rPr>
          <w:rFonts w:hint="eastAsia" w:ascii="方正小标宋简体" w:hAnsi="方正小标宋简体" w:eastAsia="方正小标宋简体"/>
          <w:color w:val="000000"/>
          <w:kern w:val="0"/>
          <w:sz w:val="44"/>
          <w:szCs w:val="44"/>
        </w:rPr>
        <w:t>绩效</w:t>
      </w:r>
    </w:p>
    <w:p>
      <w:pPr>
        <w:spacing w:line="560" w:lineRule="exact"/>
        <w:jc w:val="center"/>
        <w:rPr>
          <w:rFonts w:hint="eastAsia" w:ascii="方正小标宋简体" w:hAnsi="宋体" w:eastAsia="方正小标宋简体"/>
          <w:color w:val="000000"/>
          <w:kern w:val="0"/>
          <w:sz w:val="44"/>
          <w:szCs w:val="44"/>
        </w:rPr>
      </w:pPr>
      <w:r>
        <w:rPr>
          <w:rFonts w:hint="eastAsia" w:ascii="方正小标宋简体" w:hAnsi="方正小标宋简体" w:eastAsia="方正小标宋简体"/>
          <w:color w:val="000000"/>
          <w:kern w:val="0"/>
          <w:sz w:val="44"/>
          <w:szCs w:val="44"/>
        </w:rPr>
        <w:t>评价</w:t>
      </w:r>
      <w:r>
        <w:rPr>
          <w:rFonts w:hint="eastAsia" w:ascii="方正小标宋简体" w:hAnsi="方正小标宋简体" w:eastAsia="方正小标宋简体"/>
          <w:color w:val="000000"/>
          <w:kern w:val="0"/>
          <w:sz w:val="44"/>
          <w:szCs w:val="44"/>
          <w:lang w:eastAsia="zh-CN"/>
        </w:rPr>
        <w:t>的</w:t>
      </w:r>
      <w:r>
        <w:rPr>
          <w:rFonts w:hint="eastAsia" w:ascii="方正小标宋简体" w:hAnsi="方正小标宋简体" w:eastAsia="方正小标宋简体"/>
          <w:color w:val="000000"/>
          <w:kern w:val="0"/>
          <w:sz w:val="44"/>
          <w:szCs w:val="44"/>
        </w:rPr>
        <w:t>报告</w:t>
      </w:r>
    </w:p>
    <w:p>
      <w:pPr>
        <w:spacing w:line="560" w:lineRule="exact"/>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spacing w:line="540" w:lineRule="exact"/>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市财政局：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现将我局2022年法治建设项目支出绩效评价情况报告如下：</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lang w:eastAsia="zh-CN"/>
        </w:rPr>
        <w:t>一、</w:t>
      </w:r>
      <w:r>
        <w:rPr>
          <w:rFonts w:hint="eastAsia" w:ascii="黑体" w:hAnsi="黑体" w:eastAsia="黑体"/>
          <w:color w:val="000000"/>
          <w:sz w:val="32"/>
          <w:szCs w:val="32"/>
        </w:rPr>
        <w:t>项目概况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1</w:t>
      </w:r>
      <w:r>
        <w:rPr>
          <w:rFonts w:hint="eastAsia" w:ascii="仿宋_GB2312" w:hAnsi="仿宋_GB2312" w:eastAsia="仿宋_GB2312"/>
          <w:color w:val="000000"/>
          <w:sz w:val="32"/>
          <w:szCs w:val="32"/>
        </w:rPr>
        <w:t>.项目主管部门（单位）在该项目管理中的职能</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市委全面依法治市委员会办公室（以下简称市委依法治市办）设在市司法局，接受市委全面依法治市委员会的直接领导，承担委员会具体工作，组织开展全面依法治市重大问题的政策研究，协调督促有关方面落实委员会决定事项、工作部署和要求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2</w:t>
      </w:r>
      <w:r>
        <w:rPr>
          <w:rFonts w:hint="eastAsia" w:ascii="仿宋_GB2312" w:hAnsi="仿宋_GB2312" w:eastAsia="仿宋_GB2312"/>
          <w:color w:val="000000"/>
          <w:sz w:val="32"/>
          <w:szCs w:val="32"/>
        </w:rPr>
        <w:t>.项目立项、资金申报的依据</w:t>
      </w:r>
    </w:p>
    <w:p>
      <w:pPr>
        <w:pStyle w:val="15"/>
        <w:keepNext w:val="0"/>
        <w:keepLines w:val="0"/>
        <w:pageBreakBefore w:val="0"/>
        <w:kinsoku/>
        <w:wordWrap/>
        <w:overflowPunct/>
        <w:topLinePunct w:val="0"/>
        <w:autoSpaceDE/>
        <w:autoSpaceDN/>
        <w:bidi w:val="0"/>
        <w:spacing w:before="0" w:beforeAutospacing="0" w:after="0" w:afterAutospacing="0" w:line="576"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000000"/>
          <w:sz w:val="32"/>
          <w:szCs w:val="32"/>
        </w:rPr>
        <w:t>项目立项依据：</w:t>
      </w:r>
      <w:r>
        <w:rPr>
          <w:rFonts w:hint="eastAsia" w:ascii="仿宋_GB2312" w:eastAsia="仿宋_GB2312"/>
          <w:color w:val="auto"/>
          <w:sz w:val="32"/>
          <w:szCs w:val="32"/>
        </w:rPr>
        <w:t>《四川省依法治省纲要》（川委发</w:t>
      </w:r>
      <w:r>
        <w:rPr>
          <w:rFonts w:hint="eastAsia"/>
          <w:color w:val="auto"/>
          <w:sz w:val="32"/>
          <w:szCs w:val="32"/>
        </w:rPr>
        <w:t>﹝）</w:t>
      </w:r>
      <w:r>
        <w:rPr>
          <w:rFonts w:hint="eastAsia" w:ascii="仿宋_GB2312" w:eastAsia="仿宋_GB2312"/>
          <w:color w:val="auto"/>
          <w:sz w:val="32"/>
          <w:szCs w:val="32"/>
        </w:rPr>
        <w:t>2013</w:t>
      </w:r>
      <w:r>
        <w:rPr>
          <w:rFonts w:hint="eastAsia"/>
          <w:color w:val="auto"/>
          <w:sz w:val="32"/>
          <w:szCs w:val="32"/>
        </w:rPr>
        <w:t>﹞</w:t>
      </w:r>
      <w:r>
        <w:rPr>
          <w:rFonts w:hint="eastAsia" w:ascii="仿宋_GB2312" w:eastAsia="仿宋_GB2312"/>
          <w:color w:val="auto"/>
          <w:sz w:val="32"/>
          <w:szCs w:val="32"/>
        </w:rPr>
        <w:t>25号）。</w:t>
      </w:r>
    </w:p>
    <w:p>
      <w:pPr>
        <w:pStyle w:val="15"/>
        <w:keepNext w:val="0"/>
        <w:keepLines w:val="0"/>
        <w:pageBreakBefore w:val="0"/>
        <w:kinsoku/>
        <w:wordWrap/>
        <w:overflowPunct/>
        <w:topLinePunct w:val="0"/>
        <w:autoSpaceDE/>
        <w:autoSpaceDN/>
        <w:bidi w:val="0"/>
        <w:spacing w:before="0" w:beforeAutospacing="0" w:after="0" w:afterAutospacing="0" w:line="576"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资金申报依据：《四川省依法治省纲要》（川委发﹝）2013﹞25号）。</w:t>
      </w:r>
    </w:p>
    <w:p>
      <w:pPr>
        <w:pStyle w:val="15"/>
        <w:keepNext w:val="0"/>
        <w:keepLines w:val="0"/>
        <w:pageBreakBefore w:val="0"/>
        <w:kinsoku/>
        <w:wordWrap/>
        <w:overflowPunct/>
        <w:topLinePunct w:val="0"/>
        <w:autoSpaceDE/>
        <w:autoSpaceDN/>
        <w:bidi w:val="0"/>
        <w:spacing w:before="0" w:beforeAutospacing="0" w:after="0" w:afterAutospacing="0" w:line="576"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3.资金管理办法制定情况，资金支持具体项目的条件、范围与支持方式概况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法制建设项目资金主要用于全面贯彻中央、省委、市委对法治建设工作的重大决策部署，组织开展全面依法治市重大问题调查研究，开展重大法治专项督察和综合性督察，加强全面依法治市教育宣传工作，开展法治队伍教育培训工作，协调督促各协调小组、各县区和各部门落实委员会议议定事项、工作部署和要求，全面完成依法治市年度目标任务。</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4</w:t>
      </w:r>
      <w:r>
        <w:rPr>
          <w:rFonts w:hint="eastAsia" w:ascii="仿宋_GB2312" w:hAnsi="仿宋_GB2312" w:eastAsia="仿宋_GB2312"/>
          <w:color w:val="000000"/>
          <w:sz w:val="32"/>
          <w:szCs w:val="32"/>
        </w:rPr>
        <w:t>.资金分配的原则及考虑因素</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olor w:val="000000"/>
          <w:sz w:val="32"/>
          <w:szCs w:val="32"/>
        </w:rPr>
      </w:pPr>
      <w:r>
        <w:rPr>
          <w:rFonts w:hint="eastAsia" w:ascii="仿宋_GB2312" w:hAnsi="仿宋" w:eastAsia="仿宋_GB2312"/>
          <w:color w:val="000000"/>
          <w:sz w:val="32"/>
          <w:szCs w:val="32"/>
        </w:rPr>
        <w:t>结合当地经济社会发展水平，根据统筹推进全面依法治市工作需要等因素确定。</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（二）项目绩效目标</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宋体" w:eastAsia="仿宋_GB2312"/>
          <w:color w:val="000000"/>
          <w:sz w:val="32"/>
          <w:szCs w:val="32"/>
        </w:rPr>
        <w:t>1</w:t>
      </w:r>
      <w:r>
        <w:rPr>
          <w:rFonts w:hint="eastAsia" w:ascii="仿宋_GB2312" w:hAnsi="仿宋_GB2312" w:eastAsia="仿宋_GB2312"/>
          <w:color w:val="000000"/>
          <w:sz w:val="32"/>
          <w:szCs w:val="32"/>
        </w:rPr>
        <w:t>.项目主要内容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shd w:val="clear" w:color="auto" w:fill="FFFFFF"/>
          <w:lang w:eastAsia="zh-CN"/>
        </w:rPr>
        <w:t>法治</w:t>
      </w:r>
      <w:r>
        <w:rPr>
          <w:rFonts w:hint="eastAsia" w:ascii="仿宋_GB2312" w:hAnsi="仿宋" w:eastAsia="仿宋_GB2312" w:cs="仿宋_GB2312"/>
          <w:color w:val="000000"/>
          <w:sz w:val="32"/>
          <w:szCs w:val="32"/>
          <w:shd w:val="clear" w:color="auto" w:fill="FFFFFF"/>
        </w:rPr>
        <w:t>建设项目用于统筹推进全面依法治市工作。包括承办市委全面依法治市委员会会议、办公室会议，组织开展法治专题调研，组织开展专项法治督察工作，举办全面依法治市培训班，统筹推进全市“法治扶贫”工作，开展全面依法治市宣传等工作</w:t>
      </w:r>
      <w:r>
        <w:rPr>
          <w:rFonts w:hint="eastAsia" w:ascii="仿宋_GB2312" w:hAnsi="仿宋" w:eastAsia="仿宋_GB2312" w:cs="仿宋_GB2312"/>
          <w:color w:val="000000"/>
          <w:sz w:val="32"/>
          <w:szCs w:val="32"/>
        </w:rPr>
        <w:t>，通过数量指标、时效指标、质量指标、成本指标进行绩效评价项目评价。</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2</w:t>
      </w:r>
      <w:r>
        <w:rPr>
          <w:rFonts w:hint="eastAsia" w:ascii="仿宋_GB2312" w:hAnsi="仿宋_GB2312" w:eastAsia="仿宋_GB2312"/>
          <w:color w:val="000000"/>
          <w:sz w:val="32"/>
          <w:szCs w:val="32"/>
        </w:rPr>
        <w:t>.项目应实现的具体绩效目标，包括目标的量化、细化情况以及项目实施进度计划等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承办委员会会议、办公室全体会议、专题会议，完成委员会及办公室公文处理工作；开展专题法治调研5次；开展专项法治督察、综合督察；力争广元创建成为全国法治政府建设示范城市。组织依法治市对外宣传活动3次，开展全面依法治市工作主题宣传活动5次；巩固提升全市739个贫困村“法治扶贫”工作质效；开展专题培训2次，培训120人次。</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3</w:t>
      </w:r>
      <w:r>
        <w:rPr>
          <w:rFonts w:hint="eastAsia" w:ascii="仿宋_GB2312" w:hAnsi="仿宋_GB2312" w:eastAsia="仿宋_GB2312"/>
          <w:color w:val="000000"/>
          <w:sz w:val="32"/>
          <w:szCs w:val="32"/>
        </w:rPr>
        <w:t>.分析评价申报内容是否与实际相符，申报目标是否合理可行</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auto"/>
          <w:sz w:val="32"/>
          <w:szCs w:val="32"/>
        </w:rPr>
      </w:pPr>
      <w:r>
        <w:rPr>
          <w:rFonts w:hint="eastAsia" w:ascii="仿宋_GB2312" w:hAnsi="宋体" w:eastAsia="仿宋_GB2312"/>
          <w:color w:val="auto"/>
          <w:sz w:val="32"/>
          <w:szCs w:val="32"/>
        </w:rPr>
        <w:t>申报内容符合我局统筹推进法治建设工作实际，申报目标当年全部完成。</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Arial" w:eastAsia="仿宋_GB2312" w:cs="Arial"/>
          <w:color w:val="000000"/>
          <w:sz w:val="32"/>
          <w:szCs w:val="32"/>
          <w:shd w:val="clear" w:color="auto" w:fill="FFFFFF"/>
        </w:rPr>
      </w:pPr>
      <w:r>
        <w:rPr>
          <w:rFonts w:hint="eastAsia" w:ascii="仿宋_GB2312" w:hAnsi="Arial" w:eastAsia="仿宋_GB2312" w:cs="Arial"/>
          <w:color w:val="000000"/>
          <w:sz w:val="32"/>
          <w:szCs w:val="32"/>
          <w:shd w:val="clear" w:color="auto" w:fill="FFFFFF"/>
        </w:rPr>
        <w:t>我局按照项目单位自评和主管部门评价相结合的方式，依据资金使用的方向和对象,围绕绩效目标,从项目的实施、管理、效果等方面对202</w:t>
      </w:r>
      <w:r>
        <w:rPr>
          <w:rFonts w:hint="eastAsia" w:ascii="仿宋_GB2312" w:hAnsi="Arial" w:eastAsia="仿宋_GB2312" w:cs="Arial"/>
          <w:color w:val="000000"/>
          <w:sz w:val="32"/>
          <w:szCs w:val="32"/>
          <w:shd w:val="clear" w:color="auto" w:fill="FFFFFF"/>
          <w:lang w:val="en-US" w:eastAsia="zh-CN"/>
        </w:rPr>
        <w:t>2</w:t>
      </w:r>
      <w:r>
        <w:rPr>
          <w:rFonts w:hint="eastAsia" w:ascii="仿宋_GB2312" w:hAnsi="Arial" w:eastAsia="仿宋_GB2312" w:cs="Arial"/>
          <w:color w:val="000000"/>
          <w:sz w:val="32"/>
          <w:szCs w:val="32"/>
          <w:shd w:val="clear" w:color="auto" w:fill="FFFFFF"/>
        </w:rPr>
        <w:t>年度法</w:t>
      </w:r>
      <w:r>
        <w:rPr>
          <w:rFonts w:hint="eastAsia" w:ascii="仿宋_GB2312" w:hAnsi="Arial" w:eastAsia="仿宋_GB2312" w:cs="Arial"/>
          <w:color w:val="000000"/>
          <w:sz w:val="32"/>
          <w:szCs w:val="32"/>
          <w:shd w:val="clear" w:color="auto" w:fill="FFFFFF"/>
          <w:lang w:eastAsia="zh-CN"/>
        </w:rPr>
        <w:t>治</w:t>
      </w:r>
      <w:r>
        <w:rPr>
          <w:rFonts w:hint="eastAsia" w:ascii="仿宋_GB2312" w:hAnsi="Arial" w:eastAsia="仿宋_GB2312" w:cs="Arial"/>
          <w:color w:val="000000"/>
          <w:sz w:val="32"/>
          <w:szCs w:val="32"/>
          <w:shd w:val="clear" w:color="auto" w:fill="FFFFFF"/>
        </w:rPr>
        <w:t>建设专项资金开展了绩效评价工作。</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（一）项目资金申报及批复情况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olor w:val="000000"/>
          <w:sz w:val="32"/>
          <w:szCs w:val="32"/>
        </w:rPr>
      </w:pPr>
      <w:r>
        <w:rPr>
          <w:rFonts w:hint="eastAsia" w:ascii="仿宋_GB2312" w:hAnsi="仿宋" w:eastAsia="仿宋_GB2312" w:cs="仿宋_GB2312"/>
          <w:color w:val="000000"/>
          <w:sz w:val="32"/>
          <w:szCs w:val="32"/>
        </w:rPr>
        <w:t>决算执行资金</w:t>
      </w:r>
      <w:r>
        <w:rPr>
          <w:rFonts w:hint="eastAsia" w:ascii="仿宋_GB2312" w:hAnsi="仿宋" w:eastAsia="仿宋_GB2312" w:cs="仿宋_GB2312"/>
          <w:color w:val="000000"/>
          <w:sz w:val="32"/>
          <w:szCs w:val="32"/>
          <w:lang w:val="en-US" w:eastAsia="zh-CN"/>
        </w:rPr>
        <w:t>32.29</w:t>
      </w:r>
      <w:r>
        <w:rPr>
          <w:rFonts w:hint="eastAsia" w:ascii="仿宋_GB2312" w:hAnsi="仿宋" w:eastAsia="仿宋_GB2312" w:cs="仿宋_GB2312"/>
          <w:color w:val="000000"/>
          <w:sz w:val="32"/>
          <w:szCs w:val="32"/>
        </w:rPr>
        <w:t>万元，年初预算资金</w:t>
      </w:r>
      <w:r>
        <w:rPr>
          <w:rFonts w:hint="eastAsia" w:ascii="仿宋_GB2312" w:hAnsi="仿宋" w:eastAsia="仿宋_GB2312" w:cs="仿宋_GB2312"/>
          <w:color w:val="000000"/>
          <w:sz w:val="32"/>
          <w:szCs w:val="32"/>
          <w:lang w:val="en-US" w:eastAsia="zh-CN"/>
        </w:rPr>
        <w:t>32.29</w:t>
      </w:r>
      <w:r>
        <w:rPr>
          <w:rFonts w:hint="eastAsia" w:ascii="仿宋_GB2312" w:hAnsi="仿宋" w:eastAsia="仿宋_GB2312" w:cs="仿宋_GB2312"/>
          <w:color w:val="000000"/>
          <w:sz w:val="32"/>
          <w:szCs w:val="32"/>
        </w:rPr>
        <w:t>万元财政资金拨付率100%。</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（二）资金计划、到位及使用情况</w:t>
      </w:r>
    </w:p>
    <w:tbl>
      <w:tblPr>
        <w:tblStyle w:val="16"/>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1882"/>
        <w:gridCol w:w="1945"/>
        <w:gridCol w:w="1701"/>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单位</w:t>
            </w:r>
          </w:p>
        </w:tc>
        <w:tc>
          <w:tcPr>
            <w:tcW w:w="3827" w:type="dxa"/>
            <w:gridSpan w:val="2"/>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lang w:eastAsia="zh-CN"/>
              </w:rPr>
            </w:pPr>
            <w:r>
              <w:rPr>
                <w:rFonts w:hint="eastAsia" w:ascii="楷体" w:hAnsi="楷体" w:eastAsia="楷体"/>
                <w:color w:val="000000"/>
                <w:sz w:val="32"/>
                <w:szCs w:val="32"/>
              </w:rPr>
              <w:t>资金计划</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（万元）</w:t>
            </w:r>
          </w:p>
        </w:tc>
        <w:tc>
          <w:tcPr>
            <w:tcW w:w="1701"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资金到位</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（万元）</w:t>
            </w:r>
          </w:p>
        </w:tc>
        <w:tc>
          <w:tcPr>
            <w:tcW w:w="1701"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资金使用</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restart"/>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市司法局</w:t>
            </w:r>
          </w:p>
        </w:tc>
        <w:tc>
          <w:tcPr>
            <w:tcW w:w="1882"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市本级</w:t>
            </w:r>
          </w:p>
        </w:tc>
        <w:tc>
          <w:tcPr>
            <w:tcW w:w="1945"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tc>
        <w:tc>
          <w:tcPr>
            <w:tcW w:w="1701" w:type="dxa"/>
            <w:vMerge w:val="restart"/>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default" w:ascii="楷体" w:hAnsi="楷体" w:eastAsia="楷体"/>
                <w:color w:val="000000"/>
                <w:sz w:val="32"/>
                <w:szCs w:val="32"/>
                <w:lang w:val="en-US" w:eastAsia="zh-CN"/>
              </w:rPr>
            </w:pPr>
            <w:r>
              <w:rPr>
                <w:rFonts w:hint="eastAsia" w:ascii="楷体" w:hAnsi="楷体" w:eastAsia="楷体"/>
                <w:color w:val="000000"/>
                <w:sz w:val="32"/>
                <w:szCs w:val="32"/>
                <w:lang w:val="en-US" w:eastAsia="zh-CN"/>
              </w:rPr>
              <w:t>32.29</w:t>
            </w:r>
          </w:p>
        </w:tc>
        <w:tc>
          <w:tcPr>
            <w:tcW w:w="1701" w:type="dxa"/>
            <w:vMerge w:val="restart"/>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default" w:ascii="楷体" w:hAnsi="楷体" w:eastAsia="楷体"/>
                <w:color w:val="000000"/>
                <w:sz w:val="32"/>
                <w:szCs w:val="32"/>
                <w:lang w:val="en-US" w:eastAsia="zh-CN"/>
              </w:rPr>
            </w:pPr>
            <w:r>
              <w:rPr>
                <w:rFonts w:hint="eastAsia" w:ascii="楷体" w:hAnsi="楷体" w:eastAsia="楷体"/>
                <w:color w:val="000000"/>
                <w:sz w:val="32"/>
                <w:szCs w:val="32"/>
                <w:lang w:val="en-US" w:eastAsia="zh-CN"/>
              </w:rPr>
              <w:t>29.47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tc>
        <w:tc>
          <w:tcPr>
            <w:tcW w:w="1882"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default" w:ascii="楷体" w:hAnsi="楷体" w:eastAsia="楷体"/>
                <w:color w:val="000000"/>
                <w:sz w:val="32"/>
                <w:szCs w:val="32"/>
                <w:lang w:val="en-US" w:eastAsia="zh-CN"/>
              </w:rPr>
            </w:pPr>
            <w:r>
              <w:rPr>
                <w:rFonts w:hint="eastAsia" w:ascii="楷体" w:hAnsi="楷体" w:eastAsia="楷体"/>
                <w:color w:val="000000"/>
                <w:sz w:val="32"/>
                <w:szCs w:val="32"/>
                <w:lang w:val="en-US" w:eastAsia="zh-CN"/>
              </w:rPr>
              <w:t>32.29</w:t>
            </w:r>
          </w:p>
        </w:tc>
        <w:tc>
          <w:tcPr>
            <w:tcW w:w="1945"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tc>
        <w:tc>
          <w:tcPr>
            <w:tcW w:w="1701" w:type="dxa"/>
            <w:vMerge w:val="continue"/>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tc>
        <w:tc>
          <w:tcPr>
            <w:tcW w:w="1701" w:type="dxa"/>
            <w:vMerge w:val="continue"/>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tc>
      </w:tr>
    </w:tbl>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lang w:eastAsia="zh-CN"/>
        </w:rPr>
      </w:pPr>
      <w:r>
        <w:rPr>
          <w:rFonts w:hint="eastAsia" w:ascii="仿宋_GB2312" w:hAnsi="仿宋_GB2312" w:eastAsia="仿宋_GB2312"/>
          <w:color w:val="000000"/>
          <w:sz w:val="32"/>
          <w:szCs w:val="32"/>
        </w:rPr>
        <w:t>我局使用管理法</w:t>
      </w:r>
      <w:r>
        <w:rPr>
          <w:rFonts w:hint="eastAsia" w:ascii="仿宋_GB2312" w:hAnsi="仿宋_GB2312" w:eastAsia="仿宋_GB2312"/>
          <w:color w:val="000000"/>
          <w:sz w:val="32"/>
          <w:szCs w:val="32"/>
          <w:lang w:eastAsia="zh-CN"/>
        </w:rPr>
        <w:t>治</w:t>
      </w:r>
      <w:r>
        <w:rPr>
          <w:rFonts w:hint="eastAsia" w:ascii="仿宋_GB2312" w:hAnsi="仿宋_GB2312" w:eastAsia="仿宋_GB2312"/>
          <w:color w:val="000000"/>
          <w:sz w:val="32"/>
          <w:szCs w:val="32"/>
        </w:rPr>
        <w:t>建设项目经费始终坚持安全规范的原则，有效提升资金的使用效益，确保专款专用。截止评价时点该项目资金支出</w:t>
      </w:r>
      <w:r>
        <w:rPr>
          <w:rFonts w:hint="eastAsia" w:ascii="仿宋_GB2312" w:hAnsi="仿宋_GB2312" w:eastAsia="仿宋_GB2312"/>
          <w:color w:val="000000"/>
          <w:sz w:val="32"/>
          <w:szCs w:val="32"/>
          <w:lang w:val="en-US" w:eastAsia="zh-CN"/>
        </w:rPr>
        <w:t>29.47</w:t>
      </w:r>
      <w:r>
        <w:rPr>
          <w:rFonts w:hint="eastAsia" w:ascii="仿宋_GB2312" w:hAnsi="仿宋_GB2312" w:eastAsia="仿宋_GB2312"/>
          <w:color w:val="000000"/>
          <w:sz w:val="32"/>
          <w:szCs w:val="32"/>
        </w:rPr>
        <w:t>万元。</w:t>
      </w:r>
      <w:r>
        <w:rPr>
          <w:rFonts w:hint="eastAsia" w:ascii="仿宋_GB2312" w:hAnsi="宋体" w:eastAsia="仿宋_GB2312"/>
          <w:color w:val="000000"/>
          <w:sz w:val="32"/>
          <w:szCs w:val="32"/>
        </w:rPr>
        <w:t>资金支付严格按照法律法规和政策文件的要求执行，无超标准、超进度的情况发生</w:t>
      </w:r>
      <w:r>
        <w:rPr>
          <w:rFonts w:hint="eastAsia" w:ascii="仿宋_GB2312" w:hAnsi="宋体" w:eastAsia="仿宋_GB2312"/>
          <w:color w:val="000000"/>
          <w:sz w:val="32"/>
          <w:szCs w:val="32"/>
          <w:lang w:eastAsia="zh-CN"/>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olor w:val="000000"/>
          <w:sz w:val="32"/>
          <w:szCs w:val="32"/>
        </w:rPr>
      </w:pPr>
      <w:r>
        <w:rPr>
          <w:rFonts w:hint="eastAsia" w:ascii="仿宋_GB2312" w:hAnsi="仿宋_GB2312" w:eastAsia="仿宋_GB2312"/>
          <w:color w:val="000000"/>
          <w:sz w:val="32"/>
          <w:szCs w:val="32"/>
        </w:rPr>
        <w:t>我局财务管理制度健全，出台了《广元市司法局机关财务管理办法》（</w:t>
      </w:r>
      <w:r>
        <w:rPr>
          <w:rFonts w:hint="eastAsia" w:ascii="仿宋_GB2312" w:hAnsi="仿宋" w:eastAsia="仿宋_GB2312"/>
          <w:color w:val="000000"/>
          <w:sz w:val="32"/>
          <w:szCs w:val="32"/>
        </w:rPr>
        <w:t>广司发〔2020〕12号</w:t>
      </w:r>
      <w:r>
        <w:rPr>
          <w:rFonts w:hint="eastAsia" w:ascii="仿宋_GB2312" w:hAnsi="仿宋_GB2312" w:eastAsia="仿宋_GB2312"/>
          <w:color w:val="000000"/>
          <w:sz w:val="32"/>
          <w:szCs w:val="32"/>
        </w:rPr>
        <w:t>），严格执行财务管理制度，账务处理及时，会计核算规范。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三、项目实施及管理情况</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（一）</w:t>
      </w:r>
      <w:r>
        <w:rPr>
          <w:rFonts w:hint="eastAsia" w:ascii="楷体_GB2312" w:hAnsi="楷体_GB2312" w:eastAsia="楷体_GB2312" w:cs="楷体_GB2312"/>
          <w:b w:val="0"/>
          <w:bCs/>
          <w:color w:val="000000"/>
          <w:sz w:val="32"/>
          <w:szCs w:val="32"/>
        </w:rPr>
        <w:t>项目组织架构及实施流程</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color w:val="000000"/>
          <w:sz w:val="32"/>
          <w:szCs w:val="32"/>
          <w:lang w:val="en-US" w:eastAsia="zh-CN"/>
        </w:rPr>
      </w:pPr>
      <w:r>
        <w:rPr>
          <w:rFonts w:hint="eastAsia" w:ascii="仿宋_GB2312" w:hAnsi="宋体" w:eastAsia="仿宋_GB2312"/>
          <w:b w:val="0"/>
          <w:bCs/>
          <w:color w:val="000000"/>
          <w:sz w:val="32"/>
          <w:szCs w:val="32"/>
          <w:lang w:eastAsia="zh-CN"/>
        </w:rPr>
        <w:t>制定方案及预算经费</w:t>
      </w:r>
      <w:r>
        <w:rPr>
          <w:rFonts w:hint="eastAsia" w:ascii="仿宋_GB2312" w:hAnsi="宋体" w:eastAsia="仿宋_GB2312"/>
          <w:b w:val="0"/>
          <w:bCs/>
          <w:color w:val="000000"/>
          <w:sz w:val="32"/>
          <w:szCs w:val="32"/>
          <w:lang w:val="en-US" w:eastAsia="zh-CN"/>
        </w:rPr>
        <w:t>--组织实施--结算项目经费。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（二）</w:t>
      </w:r>
      <w:r>
        <w:rPr>
          <w:rFonts w:hint="eastAsia" w:ascii="楷体_GB2312" w:hAnsi="楷体_GB2312" w:eastAsia="楷体_GB2312" w:cs="楷体_GB2312"/>
          <w:b w:val="0"/>
          <w:bCs/>
          <w:color w:val="000000"/>
          <w:sz w:val="32"/>
          <w:szCs w:val="32"/>
        </w:rPr>
        <w:t>项目管理情况</w:t>
      </w:r>
    </w:p>
    <w:p>
      <w:pPr>
        <w:keepNext w:val="0"/>
        <w:keepLines w:val="0"/>
        <w:pageBreakBefore w:val="0"/>
        <w:kinsoku/>
        <w:wordWrap/>
        <w:overflowPunct/>
        <w:topLinePunct w:val="0"/>
        <w:autoSpaceDE/>
        <w:autoSpaceDN/>
        <w:bidi w:val="0"/>
        <w:spacing w:line="576"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202</w:t>
      </w:r>
      <w:r>
        <w:rPr>
          <w:rFonts w:hint="eastAsia" w:ascii="仿宋_GB2312" w:hAnsi="仿宋" w:eastAsia="仿宋_GB2312" w:cs="仿宋_GB2312"/>
          <w:color w:val="000000"/>
          <w:sz w:val="32"/>
          <w:szCs w:val="32"/>
          <w:lang w:val="en-US" w:eastAsia="zh-CN"/>
        </w:rPr>
        <w:t>2</w:t>
      </w:r>
      <w:r>
        <w:rPr>
          <w:rFonts w:hint="eastAsia" w:ascii="仿宋_GB2312" w:hAnsi="仿宋" w:eastAsia="仿宋_GB2312" w:cs="仿宋_GB2312"/>
          <w:color w:val="000000"/>
          <w:sz w:val="32"/>
          <w:szCs w:val="32"/>
        </w:rPr>
        <w:t>年市财政共拨付我局</w:t>
      </w:r>
      <w:r>
        <w:rPr>
          <w:rFonts w:hint="eastAsia" w:ascii="仿宋_GB2312" w:hAnsi="仿宋" w:eastAsia="仿宋_GB2312" w:cs="仿宋_GB2312"/>
          <w:color w:val="auto"/>
          <w:sz w:val="32"/>
          <w:szCs w:val="32"/>
        </w:rPr>
        <w:t>法制建设资金</w:t>
      </w:r>
      <w:r>
        <w:rPr>
          <w:rFonts w:hint="eastAsia" w:ascii="仿宋_GB2312" w:hAnsi="仿宋" w:eastAsia="仿宋_GB2312" w:cs="仿宋_GB2312"/>
          <w:color w:val="auto"/>
          <w:sz w:val="32"/>
          <w:szCs w:val="32"/>
          <w:lang w:val="en-US" w:eastAsia="zh-CN"/>
        </w:rPr>
        <w:t>32.29</w:t>
      </w:r>
      <w:r>
        <w:rPr>
          <w:rFonts w:hint="eastAsia" w:ascii="仿宋_GB2312" w:hAnsi="仿宋" w:eastAsia="仿宋_GB2312" w:cs="仿宋_GB2312"/>
          <w:color w:val="auto"/>
          <w:sz w:val="32"/>
          <w:szCs w:val="32"/>
        </w:rPr>
        <w:t>万</w:t>
      </w:r>
      <w:r>
        <w:rPr>
          <w:rFonts w:hint="eastAsia" w:ascii="仿宋_GB2312" w:hAnsi="仿宋" w:eastAsia="仿宋_GB2312" w:cs="仿宋_GB2312"/>
          <w:color w:val="000000"/>
          <w:sz w:val="32"/>
          <w:szCs w:val="32"/>
        </w:rPr>
        <w:t>元。</w:t>
      </w:r>
      <w:r>
        <w:rPr>
          <w:rFonts w:hint="eastAsia" w:ascii="仿宋_GB2312" w:hAnsi="仿宋" w:eastAsia="仿宋_GB2312"/>
          <w:color w:val="000000"/>
          <w:sz w:val="32"/>
          <w:szCs w:val="32"/>
        </w:rPr>
        <w:t>资金使用严格按照《司法行政系统财务管理规定》执行，专项资金得到合理合规的分配和利用，主要用于202</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年统筹推进法制建设会务费、宣传活动经费、差旅费、文书印制等方面。</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（三）项</w:t>
      </w:r>
      <w:r>
        <w:rPr>
          <w:rFonts w:hint="eastAsia" w:ascii="楷体_GB2312" w:hAnsi="楷体_GB2312" w:eastAsia="楷体_GB2312" w:cs="楷体_GB2312"/>
          <w:b w:val="0"/>
          <w:bCs/>
          <w:color w:val="000000"/>
          <w:sz w:val="32"/>
          <w:szCs w:val="32"/>
        </w:rPr>
        <w:t>目监管情况</w:t>
      </w:r>
    </w:p>
    <w:p>
      <w:pPr>
        <w:keepNext w:val="0"/>
        <w:keepLines w:val="0"/>
        <w:pageBreakBefore w:val="0"/>
        <w:kinsoku/>
        <w:wordWrap/>
        <w:overflowPunct/>
        <w:topLinePunct w:val="0"/>
        <w:autoSpaceDE/>
        <w:autoSpaceDN/>
        <w:bidi w:val="0"/>
        <w:spacing w:line="576" w:lineRule="exact"/>
        <w:ind w:firstLine="640" w:firstLineChars="200"/>
        <w:jc w:val="left"/>
        <w:textAlignment w:val="auto"/>
        <w:rPr>
          <w:rFonts w:hint="eastAsia" w:ascii="仿宋_GB2312" w:hAnsi="华文仿宋" w:eastAsia="仿宋_GB2312"/>
          <w:b/>
          <w:bCs/>
          <w:color w:val="000000"/>
          <w:sz w:val="32"/>
          <w:szCs w:val="32"/>
        </w:rPr>
      </w:pPr>
      <w:r>
        <w:rPr>
          <w:rFonts w:hint="eastAsia" w:ascii="仿宋_GB2312" w:hAnsi="华文仿宋" w:eastAsia="仿宋_GB2312" w:cs="华文仿宋"/>
          <w:color w:val="000000"/>
          <w:sz w:val="32"/>
          <w:szCs w:val="32"/>
        </w:rPr>
        <w:t>市司法局统一对</w:t>
      </w:r>
      <w:r>
        <w:rPr>
          <w:rFonts w:hint="eastAsia" w:ascii="仿宋_GB2312" w:hAnsi="华文仿宋" w:eastAsia="仿宋_GB2312" w:cs="华文仿宋"/>
          <w:color w:val="000000"/>
          <w:sz w:val="32"/>
          <w:szCs w:val="32"/>
          <w:lang w:eastAsia="zh-CN"/>
        </w:rPr>
        <w:t>法制建设</w:t>
      </w:r>
      <w:r>
        <w:rPr>
          <w:rFonts w:hint="eastAsia" w:ascii="仿宋_GB2312" w:hAnsi="华文仿宋" w:eastAsia="仿宋_GB2312" w:cs="华文仿宋"/>
          <w:color w:val="000000"/>
          <w:sz w:val="32"/>
          <w:szCs w:val="32"/>
        </w:rPr>
        <w:t>经费收支单列科目，实行</w:t>
      </w:r>
      <w:r>
        <w:rPr>
          <w:rFonts w:hint="eastAsia" w:ascii="仿宋_GB2312" w:hAnsi="华文仿宋" w:eastAsia="仿宋_GB2312" w:cs="华文仿宋"/>
          <w:color w:val="000000"/>
          <w:sz w:val="32"/>
          <w:szCs w:val="32"/>
          <w:lang w:eastAsia="zh-CN"/>
        </w:rPr>
        <w:t>专项</w:t>
      </w:r>
      <w:r>
        <w:rPr>
          <w:rFonts w:hint="eastAsia" w:ascii="仿宋_GB2312" w:hAnsi="华文仿宋" w:eastAsia="仿宋_GB2312" w:cs="华文仿宋"/>
          <w:color w:val="000000"/>
          <w:sz w:val="32"/>
          <w:szCs w:val="32"/>
        </w:rPr>
        <w:t>核算</w:t>
      </w:r>
      <w:r>
        <w:rPr>
          <w:rFonts w:hint="eastAsia" w:ascii="仿宋_GB2312" w:hAnsi="华文仿宋" w:eastAsia="仿宋_GB2312" w:cs="华文仿宋"/>
          <w:b/>
          <w:bCs/>
          <w:color w:val="000000"/>
          <w:sz w:val="32"/>
          <w:szCs w:val="32"/>
        </w:rPr>
        <w:t>。</w:t>
      </w:r>
      <w:r>
        <w:rPr>
          <w:rFonts w:hint="eastAsia" w:ascii="仿宋_GB2312" w:hAnsi="华文仿宋" w:eastAsia="仿宋_GB2312" w:cs="华文仿宋"/>
          <w:color w:val="000000"/>
          <w:sz w:val="32"/>
          <w:szCs w:val="32"/>
          <w:lang w:eastAsia="zh-CN"/>
        </w:rPr>
        <w:t>各项支出</w:t>
      </w:r>
      <w:r>
        <w:rPr>
          <w:rFonts w:hint="eastAsia" w:ascii="仿宋_GB2312" w:hAnsi="华文仿宋" w:eastAsia="仿宋_GB2312" w:cs="华文仿宋"/>
          <w:color w:val="000000"/>
          <w:sz w:val="32"/>
          <w:szCs w:val="32"/>
        </w:rPr>
        <w:t>由市</w:t>
      </w:r>
      <w:r>
        <w:rPr>
          <w:rFonts w:hint="eastAsia" w:ascii="仿宋_GB2312" w:hAnsi="华文仿宋" w:eastAsia="仿宋_GB2312" w:cs="华文仿宋"/>
          <w:color w:val="000000"/>
          <w:sz w:val="32"/>
          <w:szCs w:val="32"/>
          <w:lang w:eastAsia="zh-CN"/>
        </w:rPr>
        <w:t>依法治市办</w:t>
      </w:r>
      <w:r>
        <w:rPr>
          <w:rFonts w:hint="eastAsia" w:ascii="仿宋_GB2312" w:hAnsi="华文仿宋" w:eastAsia="仿宋_GB2312" w:cs="华文仿宋"/>
          <w:color w:val="000000"/>
          <w:sz w:val="32"/>
          <w:szCs w:val="32"/>
        </w:rPr>
        <w:t>提交分管副局长审核签字，将已签字的相关报销手续交由财务保障科统一复核，复核无误后，</w:t>
      </w:r>
      <w:r>
        <w:rPr>
          <w:rFonts w:hint="eastAsia" w:ascii="仿宋_GB2312" w:hAnsi="华文仿宋" w:eastAsia="仿宋_GB2312" w:cs="华文仿宋"/>
          <w:color w:val="000000"/>
          <w:sz w:val="32"/>
          <w:szCs w:val="32"/>
          <w:lang w:eastAsia="zh-CN"/>
        </w:rPr>
        <w:t>交由分管财务领导签字后由</w:t>
      </w:r>
      <w:r>
        <w:rPr>
          <w:rFonts w:hint="eastAsia" w:ascii="仿宋_GB2312" w:hAnsi="华文仿宋" w:eastAsia="仿宋_GB2312" w:cs="华文仿宋"/>
          <w:color w:val="000000"/>
          <w:sz w:val="32"/>
          <w:szCs w:val="32"/>
        </w:rPr>
        <w:t>局财务统一予以报销。</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四、项目绩效情况</w:t>
      </w:r>
      <w:r>
        <w:rPr>
          <w:rFonts w:hint="eastAsia" w:ascii="黑体" w:hAnsi="黑体" w:eastAsia="黑体" w:cs="黑体"/>
          <w:color w:val="000000"/>
          <w:sz w:val="32"/>
          <w:szCs w:val="32"/>
        </w:rPr>
        <w:tab/>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（一）项目完成情况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olor w:val="000000"/>
          <w:sz w:val="32"/>
          <w:szCs w:val="32"/>
        </w:rPr>
      </w:pPr>
      <w:r>
        <w:rPr>
          <w:rFonts w:hint="eastAsia" w:ascii="仿宋_GB2312" w:hAnsi="仿宋" w:eastAsia="仿宋_GB2312"/>
          <w:color w:val="000000"/>
          <w:sz w:val="32"/>
          <w:szCs w:val="32"/>
        </w:rPr>
        <w:t>全面完成年度目标任务，</w:t>
      </w:r>
      <w:r>
        <w:rPr>
          <w:rFonts w:hint="eastAsia" w:ascii="仿宋_GB2312" w:hAnsi="仿宋_GB2312" w:eastAsia="仿宋_GB2312"/>
          <w:color w:val="000000"/>
          <w:sz w:val="32"/>
          <w:szCs w:val="32"/>
        </w:rPr>
        <w:t>承办委员会会议1次、办公室全体会议2次、专题会议3次，完成委员会及办公室公文处理工作；开展专题法治调研10次；开展专项法治督察1次、综合督察2次；积极开展法治政府示范创建，</w:t>
      </w:r>
      <w:r>
        <w:rPr>
          <w:rFonts w:hint="eastAsia" w:ascii="仿宋_GB2312" w:hAnsi="仿宋_GB2312" w:eastAsia="仿宋_GB2312"/>
          <w:color w:val="000000"/>
          <w:sz w:val="32"/>
          <w:szCs w:val="32"/>
          <w:lang w:eastAsia="zh-CN"/>
        </w:rPr>
        <w:t>成功创建</w:t>
      </w:r>
      <w:r>
        <w:rPr>
          <w:rFonts w:hint="eastAsia" w:ascii="仿宋_GB2312" w:hAnsi="仿宋_GB2312" w:eastAsia="仿宋_GB2312"/>
          <w:color w:val="000000"/>
          <w:sz w:val="32"/>
          <w:szCs w:val="32"/>
        </w:rPr>
        <w:t>“全国法治政府建设示范市”。组织依法治市对外宣传活动4次，开展全面依法治市工作主题宣传活动6次；全面完成法治扶贫任务；开展专题培训2次，培训140余人次。</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（二）项目效益情况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1.全面完成年度统筹推进依法治市各项目标任务，省委对广元“依法治省”目标考核无扣分项。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2.创建</w:t>
      </w:r>
      <w:r>
        <w:rPr>
          <w:rFonts w:hint="eastAsia" w:ascii="仿宋_GB2312" w:hAnsi="仿宋_GB2312" w:eastAsia="仿宋_GB2312"/>
          <w:color w:val="000000"/>
          <w:sz w:val="32"/>
          <w:szCs w:val="32"/>
          <w:lang w:eastAsia="zh-CN"/>
        </w:rPr>
        <w:t>为第二批</w:t>
      </w:r>
      <w:r>
        <w:rPr>
          <w:rFonts w:hint="eastAsia" w:ascii="仿宋_GB2312" w:hAnsi="仿宋_GB2312" w:eastAsia="仿宋_GB2312"/>
          <w:color w:val="000000"/>
          <w:sz w:val="32"/>
          <w:szCs w:val="32"/>
        </w:rPr>
        <w:t>“全国法治政府示范市”，</w:t>
      </w:r>
      <w:r>
        <w:rPr>
          <w:rFonts w:hint="eastAsia" w:ascii="仿宋_GB2312" w:hAnsi="仿宋_GB2312" w:eastAsia="仿宋_GB2312"/>
          <w:color w:val="000000"/>
          <w:sz w:val="32"/>
          <w:szCs w:val="32"/>
          <w:lang w:eastAsia="zh-CN"/>
        </w:rPr>
        <w:t>为全省唯一地级市</w:t>
      </w:r>
      <w:r>
        <w:rPr>
          <w:rFonts w:hint="eastAsia" w:ascii="仿宋_GB2312" w:hAnsi="仿宋_GB2312" w:eastAsia="仿宋_GB2312"/>
          <w:color w:val="000000"/>
          <w:sz w:val="32"/>
          <w:szCs w:val="32"/>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3.广元市“法治扶贫”工作被评为全省司法行政系统“五年三步走”特色亮点工作、“七五”普法特色工作、法治实践创新课题。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五、评价结论及建议</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（一）评价结论</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 w:eastAsia="仿宋_GB2312" w:cs="仿宋_GB2312"/>
          <w:color w:val="000000"/>
          <w:sz w:val="32"/>
          <w:szCs w:val="32"/>
        </w:rPr>
        <w:t>依据法制建设项目设置的绩效评价指标体系、标准值、权重（分值）评价标准，经与指标完成值评价打分，综合得分</w:t>
      </w:r>
      <w:r>
        <w:rPr>
          <w:rFonts w:hint="eastAsia" w:ascii="仿宋_GB2312" w:hAnsi="仿宋" w:eastAsia="仿宋_GB2312" w:cs="仿宋_GB2312"/>
          <w:color w:val="000000"/>
          <w:sz w:val="32"/>
          <w:szCs w:val="32"/>
          <w:lang w:val="en-US" w:eastAsia="zh-CN"/>
        </w:rPr>
        <w:t>98</w:t>
      </w:r>
      <w:r>
        <w:rPr>
          <w:rFonts w:hint="eastAsia" w:ascii="仿宋_GB2312" w:hAnsi="仿宋" w:eastAsia="仿宋_GB2312" w:cs="仿宋_GB2312"/>
          <w:color w:val="000000"/>
          <w:sz w:val="32"/>
          <w:szCs w:val="32"/>
        </w:rPr>
        <w:t>分。</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（二）存在的问题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1.统筹协调力度还不够大。市委依法治市办在统筹全局、综合协调能力上存在一定的局限性，特别是在统筹协调各协调小组负责推进本领域的法治建设任务上缺乏有效措施，重点工作推进比较缓慢。</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2.基层工作力量还很薄弱。依法治市工作总体呈现出城市强、农村弱，机关强、基层弱的局面，主要体现在依法治理工作机构力量薄弱，业务科室“单人独角戏”的现象很突出，工作人员专业水平和实践经历不够，难以满足新形势下的工作要求。</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（三）相关建议</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eastAsia="仿宋_GB2312"/>
          <w:color w:val="000000"/>
          <w:sz w:val="32"/>
          <w:szCs w:val="32"/>
        </w:rPr>
      </w:pPr>
      <w:r>
        <w:rPr>
          <w:rFonts w:hint="eastAsia" w:ascii="仿宋_GB2312" w:hAnsi="仿宋" w:eastAsia="仿宋_GB2312" w:cs="仿宋_GB2312"/>
          <w:color w:val="000000"/>
          <w:sz w:val="32"/>
          <w:szCs w:val="32"/>
        </w:rPr>
        <w:t>在今后的工作中，我们将进一步加强管理，强化法制建设质量管理，进一步健全完善法治建设统筹推进机制，强化队伍建设，切实推动全面依法治市各项工作发展。</w:t>
      </w:r>
    </w:p>
    <w:p>
      <w:pPr>
        <w:pStyle w:val="2"/>
        <w:sectPr>
          <w:pgSz w:w="11906" w:h="16838"/>
          <w:pgMar w:top="1440" w:right="1800" w:bottom="1440" w:left="1800" w:header="851" w:footer="992" w:gutter="0"/>
          <w:pgNumType w:fmt="decimal"/>
          <w:cols w:space="425" w:num="1"/>
          <w:titlePg/>
          <w:docGrid w:type="lines" w:linePitch="312" w:charSpace="0"/>
        </w:sectPr>
      </w:pPr>
    </w:p>
    <w:tbl>
      <w:tblPr>
        <w:tblStyle w:val="16"/>
        <w:tblW w:w="14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9"/>
        <w:gridCol w:w="1469"/>
        <w:gridCol w:w="1424"/>
        <w:gridCol w:w="2548"/>
        <w:gridCol w:w="521"/>
        <w:gridCol w:w="900"/>
        <w:gridCol w:w="585"/>
        <w:gridCol w:w="1091"/>
        <w:gridCol w:w="780"/>
        <w:gridCol w:w="855"/>
        <w:gridCol w:w="944"/>
        <w:gridCol w:w="2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4317"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18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24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主管部门（盖章）</w:t>
            </w:r>
          </w:p>
        </w:tc>
        <w:tc>
          <w:tcPr>
            <w:tcW w:w="5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广元市司法局</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 （盖章）</w:t>
            </w: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1.项目年度目标完成情况</w:t>
            </w:r>
          </w:p>
        </w:tc>
        <w:tc>
          <w:tcPr>
            <w:tcW w:w="5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项目年度目标</w:t>
            </w:r>
          </w:p>
        </w:tc>
        <w:tc>
          <w:tcPr>
            <w:tcW w:w="5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2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5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市委市政府重大行政决策听证、行政单位所有行政复议、应诉工作、对市本级的行政权力清单进行动态调整，出具全市行政权力清单、指导行政机关开展行政调解工作，参与调解行政工作、对市本级行政执法人员公共法律培训、组织执法人员资格考试等、市委市政府重大决策、招商引资、仲裁案件的评审、提升培训考核能力、完成国家法治政府建设示范市。2、评选一个法治政府建设示范县区、政府立法工作：完成蜀道保护条例、出台红色革命遗迹遗址保护条例。完成依法治市工作及法制政府工作。</w:t>
            </w:r>
          </w:p>
        </w:tc>
        <w:tc>
          <w:tcPr>
            <w:tcW w:w="58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已完成相关年度目标。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2.项目实施内容及过程概述</w:t>
            </w:r>
          </w:p>
        </w:tc>
        <w:tc>
          <w:tcPr>
            <w:tcW w:w="118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建设项目用于统筹推进全面依法治市工作。包括承办市委全面依法治市委员会会议、办公室会议，组织开展法治专题调研，组织开展专项法治督察工作，举办全面依法治市培训班，统筹推进全市“法治扶贫”工作，开展全面依法治市宣传等工作，通过数量指标、时效指标、质量指标、成本指标进行绩效评价项目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年度预算数（万元）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2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总额</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其中：财政资金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32.29</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91.26%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完成市委市政府重大行动决策听证</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开展法治建设专题调研</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kern w:val="0"/>
                <w:sz w:val="18"/>
                <w:szCs w:val="18"/>
                <w:u w:val="none"/>
                <w:lang w:val="en"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kern w:val="0"/>
                <w:sz w:val="18"/>
                <w:szCs w:val="18"/>
                <w:u w:val="none"/>
                <w:lang w:val="en"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完成法治建设工作及时率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法治建设工作投诉率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举办市本级机关干部依法治市专题培训班</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维护社会长治久安，构建和谐法治社会氛围</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公民法治意识增强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群众对法治建设工作满意度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法治建设印刷费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法治建设差旅费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法治建设委托业务费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11.29</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8.47万元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kern w:val="0"/>
                <w:sz w:val="18"/>
                <w:szCs w:val="18"/>
                <w:u w:val="none"/>
                <w:lang w:val="en"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95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98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部门（单位）自评结论</w:t>
            </w:r>
          </w:p>
        </w:tc>
        <w:tc>
          <w:tcPr>
            <w:tcW w:w="132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据法治建设项目设置的绩效评价指标体系、标准值、权重（分值）评价标准，综合得分98分。全面完成年度目标任务，承办委员会会议1次、办公室全体会议2次、专题会议3次，完成委员会及办公室公文处理工作；开展专题法治调研10次；开展专项法治督察1次、综合督察2次；完成法治政府示范市创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部门（单位）自评存在问题</w:t>
            </w:r>
          </w:p>
        </w:tc>
        <w:tc>
          <w:tcPr>
            <w:tcW w:w="132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法治市工作总体呈现出城市强、农村弱，机关强、基层弱的局面，主要体现在依法治理工作机构力量薄弱，业务科室“单人独角戏”的现象很突出，工作人员专业水平和实践经历不够，难以满足新形势下的工作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部门（单位）自评改进措施</w:t>
            </w:r>
          </w:p>
        </w:tc>
        <w:tc>
          <w:tcPr>
            <w:tcW w:w="132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进一步加强管理，强化法制建设质量管理，进一步健全完善法治建设统筹推进机制，强化队伍建设，切实推动全面依法治市各项工作发展。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财政部门对口科室复评结论及整改要求</w:t>
            </w:r>
          </w:p>
        </w:tc>
        <w:tc>
          <w:tcPr>
            <w:tcW w:w="1329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bl>
    <w:p>
      <w:pPr>
        <w:sectPr>
          <w:pgSz w:w="16838" w:h="11906" w:orient="landscape"/>
          <w:pgMar w:top="1800" w:right="1440" w:bottom="1800" w:left="1440" w:header="851" w:footer="992" w:gutter="0"/>
          <w:pgNumType w:fmt="decimal"/>
          <w:cols w:space="425" w:num="1"/>
          <w:titlePg/>
          <w:docGrid w:type="lines" w:linePitch="312" w:charSpace="0"/>
        </w:sectPr>
      </w:pPr>
    </w:p>
    <w:p>
      <w:pPr>
        <w:pStyle w:val="2"/>
      </w:pPr>
    </w:p>
    <w:p>
      <w:pPr>
        <w:spacing w:line="560" w:lineRule="exact"/>
        <w:jc w:val="center"/>
        <w:rPr>
          <w:rFonts w:hint="eastAsia" w:ascii="方正小标宋简体" w:hAnsi="宋体" w:eastAsia="方正小标宋简体"/>
          <w:color w:val="000000"/>
          <w:kern w:val="0"/>
          <w:sz w:val="44"/>
          <w:szCs w:val="44"/>
          <w:lang w:eastAsia="zh-CN"/>
        </w:rPr>
      </w:pPr>
      <w:r>
        <w:rPr>
          <w:rFonts w:hint="eastAsia" w:ascii="方正小标宋简体" w:hAnsi="宋体" w:eastAsia="方正小标宋简体"/>
          <w:color w:val="000000"/>
          <w:kern w:val="0"/>
          <w:sz w:val="44"/>
          <w:szCs w:val="44"/>
          <w:lang w:eastAsia="zh-CN"/>
        </w:rPr>
        <w:t>广元市司法局</w:t>
      </w:r>
    </w:p>
    <w:p>
      <w:pPr>
        <w:spacing w:line="560" w:lineRule="exact"/>
        <w:jc w:val="center"/>
        <w:rPr>
          <w:rFonts w:hint="eastAsia" w:ascii="方正小标宋简体" w:hAnsi="方正小标宋简体" w:eastAsia="方正小标宋简体"/>
          <w:color w:val="000000"/>
          <w:kern w:val="0"/>
          <w:sz w:val="44"/>
          <w:szCs w:val="44"/>
        </w:rPr>
      </w:pPr>
      <w:r>
        <w:rPr>
          <w:rFonts w:hint="eastAsia" w:ascii="方正小标宋简体" w:hAnsi="宋体" w:eastAsia="方正小标宋简体"/>
          <w:color w:val="000000"/>
          <w:kern w:val="0"/>
          <w:sz w:val="44"/>
          <w:szCs w:val="44"/>
          <w:lang w:eastAsia="zh-CN"/>
        </w:rPr>
        <w:t>关于</w:t>
      </w:r>
      <w:r>
        <w:rPr>
          <w:rFonts w:hint="eastAsia" w:ascii="方正小标宋简体" w:hAnsi="宋体" w:eastAsia="方正小标宋简体"/>
          <w:color w:val="000000"/>
          <w:kern w:val="0"/>
          <w:sz w:val="44"/>
          <w:szCs w:val="44"/>
        </w:rPr>
        <w:t>20</w:t>
      </w:r>
      <w:r>
        <w:rPr>
          <w:rFonts w:hint="eastAsia" w:ascii="方正小标宋简体" w:hAnsi="宋体" w:eastAsia="方正小标宋简体"/>
          <w:color w:val="000000"/>
          <w:kern w:val="0"/>
          <w:sz w:val="44"/>
          <w:szCs w:val="44"/>
          <w:lang w:val="en-US" w:eastAsia="zh-CN"/>
        </w:rPr>
        <w:t>22</w:t>
      </w:r>
      <w:r>
        <w:rPr>
          <w:rFonts w:hint="eastAsia" w:ascii="方正小标宋简体" w:hAnsi="方正小标宋简体" w:eastAsia="方正小标宋简体"/>
          <w:color w:val="000000"/>
          <w:kern w:val="0"/>
          <w:sz w:val="44"/>
          <w:szCs w:val="44"/>
        </w:rPr>
        <w:t>年</w:t>
      </w:r>
      <w:r>
        <w:rPr>
          <w:rFonts w:hint="eastAsia" w:ascii="方正小标宋简体" w:hAnsi="方正小标宋简体" w:eastAsia="方正小标宋简体"/>
          <w:color w:val="000000"/>
          <w:kern w:val="0"/>
          <w:sz w:val="44"/>
          <w:szCs w:val="44"/>
          <w:lang w:eastAsia="zh-CN"/>
        </w:rPr>
        <w:t>公共法律服务</w:t>
      </w:r>
      <w:r>
        <w:rPr>
          <w:rFonts w:hint="eastAsia" w:ascii="方正小标宋简体" w:hAnsi="方正小标宋简体" w:eastAsia="方正小标宋简体"/>
          <w:color w:val="000000"/>
          <w:kern w:val="0"/>
          <w:sz w:val="44"/>
          <w:szCs w:val="44"/>
        </w:rPr>
        <w:t>项目</w:t>
      </w:r>
      <w:r>
        <w:rPr>
          <w:rFonts w:hint="eastAsia" w:ascii="方正小标宋简体" w:hAnsi="宋体" w:eastAsia="方正小标宋简体"/>
          <w:color w:val="000000"/>
          <w:kern w:val="0"/>
          <w:sz w:val="44"/>
          <w:szCs w:val="44"/>
        </w:rPr>
        <w:t>支出</w:t>
      </w:r>
      <w:r>
        <w:rPr>
          <w:rFonts w:hint="eastAsia" w:ascii="方正小标宋简体" w:hAnsi="方正小标宋简体" w:eastAsia="方正小标宋简体"/>
          <w:color w:val="000000"/>
          <w:kern w:val="0"/>
          <w:sz w:val="44"/>
          <w:szCs w:val="44"/>
        </w:rPr>
        <w:t>绩效</w:t>
      </w:r>
    </w:p>
    <w:p>
      <w:pPr>
        <w:spacing w:line="560" w:lineRule="exact"/>
        <w:jc w:val="center"/>
        <w:rPr>
          <w:rFonts w:hint="eastAsia" w:ascii="方正小标宋简体" w:hAnsi="宋体" w:eastAsia="方正小标宋简体"/>
          <w:color w:val="000000"/>
          <w:kern w:val="0"/>
          <w:sz w:val="44"/>
          <w:szCs w:val="44"/>
        </w:rPr>
      </w:pPr>
      <w:r>
        <w:rPr>
          <w:rFonts w:hint="eastAsia" w:ascii="方正小标宋简体" w:hAnsi="方正小标宋简体" w:eastAsia="方正小标宋简体"/>
          <w:color w:val="000000"/>
          <w:kern w:val="0"/>
          <w:sz w:val="44"/>
          <w:szCs w:val="44"/>
        </w:rPr>
        <w:t>评价</w:t>
      </w:r>
      <w:r>
        <w:rPr>
          <w:rFonts w:hint="eastAsia" w:ascii="方正小标宋简体" w:hAnsi="方正小标宋简体" w:eastAsia="方正小标宋简体"/>
          <w:color w:val="000000"/>
          <w:kern w:val="0"/>
          <w:sz w:val="44"/>
          <w:szCs w:val="44"/>
          <w:lang w:eastAsia="zh-CN"/>
        </w:rPr>
        <w:t>的</w:t>
      </w:r>
      <w:r>
        <w:rPr>
          <w:rFonts w:hint="eastAsia" w:ascii="方正小标宋简体" w:hAnsi="方正小标宋简体" w:eastAsia="方正小标宋简体"/>
          <w:color w:val="000000"/>
          <w:kern w:val="0"/>
          <w:sz w:val="44"/>
          <w:szCs w:val="44"/>
        </w:rPr>
        <w:t>报告</w:t>
      </w:r>
    </w:p>
    <w:p>
      <w:pPr>
        <w:spacing w:line="560" w:lineRule="exact"/>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spacing w:line="576" w:lineRule="exact"/>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市财政局：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现将我局2022年公共法律服务项目支出绩效评价情况报告如下：</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lang w:eastAsia="zh-CN"/>
        </w:rPr>
        <w:t>一、</w:t>
      </w:r>
      <w:r>
        <w:rPr>
          <w:rFonts w:hint="eastAsia" w:ascii="黑体" w:hAnsi="黑体" w:eastAsia="黑体"/>
          <w:color w:val="000000"/>
          <w:sz w:val="32"/>
          <w:szCs w:val="32"/>
        </w:rPr>
        <w:t>项目概况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w:t>
      </w:r>
      <w:r>
        <w:rPr>
          <w:rFonts w:hint="eastAsia" w:ascii="仿宋_GB2312" w:hAnsi="仿宋_GB2312" w:eastAsia="仿宋_GB2312"/>
          <w:color w:val="000000"/>
          <w:sz w:val="32"/>
          <w:szCs w:val="32"/>
        </w:rPr>
        <w:t>说明项目主管部门（单位）在该项目管理中的职能</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整合资源，全面提升公共法律服务能力和水平，努力建成全业务、全时空的公共法律服务体系，为群众提供覆盖城乡、便捷高效、均等普惠、智能精准的公共法律服务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加强公共法律服务信息化建设，开展群众满意度测评。</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highlight w:val="none"/>
        </w:rPr>
      </w:pPr>
      <w:r>
        <w:rPr>
          <w:rFonts w:hint="eastAsia" w:ascii="仿宋_GB2312" w:hAnsi="宋体" w:eastAsia="仿宋_GB2312"/>
          <w:color w:val="000000"/>
          <w:sz w:val="32"/>
          <w:szCs w:val="32"/>
          <w:highlight w:val="none"/>
        </w:rPr>
        <w:t>2</w:t>
      </w:r>
      <w:r>
        <w:rPr>
          <w:rFonts w:hint="eastAsia" w:ascii="仿宋_GB2312" w:hAnsi="宋体" w:eastAsia="仿宋_GB2312"/>
          <w:color w:val="000000"/>
          <w:sz w:val="32"/>
          <w:szCs w:val="32"/>
          <w:highlight w:val="none"/>
          <w:lang w:val="en-US" w:eastAsia="zh-CN"/>
        </w:rPr>
        <w:t>.</w:t>
      </w:r>
      <w:r>
        <w:rPr>
          <w:rFonts w:hint="eastAsia" w:ascii="仿宋_GB2312" w:hAnsi="仿宋_GB2312" w:eastAsia="仿宋_GB2312"/>
          <w:color w:val="000000"/>
          <w:sz w:val="32"/>
          <w:szCs w:val="32"/>
          <w:highlight w:val="none"/>
        </w:rPr>
        <w:t>项目立项、资金申报的依据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6" w:lineRule="exact"/>
        <w:ind w:right="0" w:firstLine="640" w:firstLineChars="200"/>
        <w:jc w:val="both"/>
        <w:textAlignment w:val="auto"/>
        <w:rPr>
          <w:rFonts w:hint="eastAsia" w:ascii="仿宋_GB2312" w:hAnsi="宋体" w:eastAsia="仿宋_GB2312" w:cs="宋体"/>
          <w:b w:val="0"/>
          <w:bCs w:val="0"/>
          <w:color w:val="000000"/>
          <w:kern w:val="0"/>
          <w:sz w:val="32"/>
          <w:szCs w:val="32"/>
          <w:lang w:val="en-US" w:eastAsia="zh-CN" w:bidi="ar-SA"/>
        </w:rPr>
      </w:pPr>
      <w:bookmarkStart w:id="142" w:name="_Toc1208383822"/>
      <w:bookmarkStart w:id="143" w:name="_Toc952766596"/>
      <w:bookmarkStart w:id="144" w:name="_Toc1164084961"/>
      <w:r>
        <w:rPr>
          <w:rFonts w:hint="eastAsia" w:ascii="仿宋_GB2312" w:hAnsi="宋体" w:eastAsia="仿宋_GB2312" w:cs="宋体"/>
          <w:b w:val="0"/>
          <w:bCs w:val="0"/>
          <w:color w:val="000000"/>
          <w:kern w:val="0"/>
          <w:sz w:val="32"/>
          <w:szCs w:val="32"/>
          <w:lang w:val="en-US" w:eastAsia="zh-CN" w:bidi="ar-SA"/>
        </w:rPr>
        <w:t>项目立项依据：中共中央办公厅、国务院印发</w:t>
      </w:r>
      <w:r>
        <w:rPr>
          <w:rFonts w:hint="eastAsia" w:ascii="仿宋_GB2312" w:eastAsia="仿宋_GB2312" w:cs="宋体"/>
          <w:b w:val="0"/>
          <w:bCs w:val="0"/>
          <w:color w:val="000000"/>
          <w:kern w:val="0"/>
          <w:sz w:val="32"/>
          <w:szCs w:val="32"/>
          <w:lang w:val="en-US" w:eastAsia="zh-CN" w:bidi="ar-SA"/>
        </w:rPr>
        <w:t>《关于加快推进公共法律服务体系建设的意见》。</w:t>
      </w:r>
      <w:bookmarkEnd w:id="142"/>
      <w:bookmarkEnd w:id="143"/>
      <w:bookmarkEnd w:id="144"/>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76" w:lineRule="exact"/>
        <w:ind w:right="0" w:firstLine="640" w:firstLineChars="200"/>
        <w:jc w:val="both"/>
        <w:textAlignment w:val="auto"/>
        <w:rPr>
          <w:rFonts w:hint="eastAsia" w:ascii="仿宋_GB2312" w:eastAsia="仿宋_GB2312"/>
          <w:color w:val="000000"/>
          <w:sz w:val="32"/>
          <w:szCs w:val="32"/>
        </w:rPr>
      </w:pPr>
      <w:bookmarkStart w:id="145" w:name="_Toc493467170"/>
      <w:bookmarkStart w:id="146" w:name="_Toc704763636"/>
      <w:bookmarkStart w:id="147" w:name="_Toc675467604"/>
      <w:r>
        <w:rPr>
          <w:rFonts w:hint="eastAsia" w:ascii="仿宋_GB2312" w:hAnsi="宋体" w:eastAsia="仿宋_GB2312" w:cs="宋体"/>
          <w:b w:val="0"/>
          <w:bCs w:val="0"/>
          <w:color w:val="000000"/>
          <w:kern w:val="0"/>
          <w:sz w:val="32"/>
          <w:szCs w:val="32"/>
          <w:lang w:val="en-US" w:eastAsia="zh-CN" w:bidi="ar-SA"/>
        </w:rPr>
        <w:t>资金申报依据：中共中央办公厅、国务院印发</w:t>
      </w:r>
      <w:r>
        <w:rPr>
          <w:rFonts w:hint="eastAsia" w:ascii="仿宋_GB2312" w:eastAsia="仿宋_GB2312" w:cs="宋体"/>
          <w:b w:val="0"/>
          <w:bCs w:val="0"/>
          <w:color w:val="000000"/>
          <w:kern w:val="0"/>
          <w:sz w:val="32"/>
          <w:szCs w:val="32"/>
          <w:lang w:val="en-US" w:eastAsia="zh-CN" w:bidi="ar-SA"/>
        </w:rPr>
        <w:t>《关于加快推进公共法律服务体系建设的意见》。</w:t>
      </w:r>
      <w:bookmarkEnd w:id="145"/>
      <w:bookmarkEnd w:id="146"/>
      <w:bookmarkEnd w:id="147"/>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3</w:t>
      </w:r>
      <w:r>
        <w:rPr>
          <w:rFonts w:hint="eastAsia" w:ascii="仿宋_GB2312" w:hAnsi="宋体" w:eastAsia="仿宋_GB2312"/>
          <w:color w:val="000000"/>
          <w:sz w:val="32"/>
          <w:szCs w:val="32"/>
          <w:lang w:val="en-US" w:eastAsia="zh-CN"/>
        </w:rPr>
        <w:t>.</w:t>
      </w:r>
      <w:r>
        <w:rPr>
          <w:rFonts w:hint="eastAsia" w:ascii="仿宋_GB2312" w:hAnsi="仿宋_GB2312" w:eastAsia="仿宋_GB2312"/>
          <w:color w:val="000000"/>
          <w:sz w:val="32"/>
          <w:szCs w:val="32"/>
        </w:rPr>
        <w:t>资金管理办法制定情况，资金支持具体项目的条件、范围与支持方式概况</w:t>
      </w:r>
    </w:p>
    <w:p>
      <w:pPr>
        <w:keepNext w:val="0"/>
        <w:keepLines w:val="0"/>
        <w:pageBreakBefore w:val="0"/>
        <w:widowControl/>
        <w:shd w:val="clear" w:color="auto" w:fill="FFFFFF"/>
        <w:kinsoku/>
        <w:wordWrap/>
        <w:overflowPunct/>
        <w:topLinePunct w:val="0"/>
        <w:autoSpaceDE/>
        <w:autoSpaceDN/>
        <w:bidi w:val="0"/>
        <w:spacing w:line="576" w:lineRule="exact"/>
        <w:ind w:firstLine="640" w:firstLineChars="200"/>
        <w:textAlignment w:val="auto"/>
        <w:rPr>
          <w:rFonts w:hint="eastAsia" w:ascii="仿宋_GB2312" w:eastAsia="仿宋_GB2312"/>
          <w:color w:val="000000"/>
          <w:sz w:val="32"/>
          <w:szCs w:val="32"/>
        </w:rPr>
      </w:pPr>
      <w:r>
        <w:rPr>
          <w:rFonts w:hint="eastAsia" w:ascii="仿宋_GB2312" w:hAnsi="仿宋" w:eastAsia="仿宋_GB2312"/>
          <w:color w:val="000000"/>
          <w:sz w:val="32"/>
          <w:szCs w:val="32"/>
          <w:lang w:eastAsia="zh-CN"/>
        </w:rPr>
        <w:t>资金管理按照</w:t>
      </w:r>
      <w:r>
        <w:rPr>
          <w:rFonts w:hint="eastAsia" w:ascii="仿宋_GB2312" w:hAnsi="仿宋_GB2312" w:eastAsia="仿宋_GB2312"/>
          <w:color w:val="000000"/>
          <w:sz w:val="32"/>
          <w:szCs w:val="32"/>
        </w:rPr>
        <w:t>《广元市司法局机关财务管理办法》</w:t>
      </w:r>
      <w:r>
        <w:rPr>
          <w:rFonts w:hint="eastAsia" w:ascii="仿宋_GB2312" w:hAnsi="仿宋" w:eastAsia="仿宋_GB2312"/>
          <w:color w:val="000000"/>
          <w:sz w:val="32"/>
          <w:szCs w:val="32"/>
          <w:lang w:eastAsia="zh-CN"/>
        </w:rPr>
        <w:t>执行。</w:t>
      </w:r>
      <w:r>
        <w:rPr>
          <w:rFonts w:hint="eastAsia" w:ascii="仿宋_GB2312" w:hAnsi="仿宋_GB2312" w:eastAsia="仿宋_GB2312" w:cs="仿宋_GB2312"/>
          <w:color w:val="000000"/>
          <w:sz w:val="32"/>
          <w:szCs w:val="32"/>
          <w:lang w:eastAsia="zh-CN"/>
        </w:rPr>
        <w:t>公共法律服务</w:t>
      </w:r>
      <w:r>
        <w:rPr>
          <w:rFonts w:hint="eastAsia" w:ascii="仿宋_GB2312" w:hAnsi="仿宋_GB2312" w:eastAsia="仿宋_GB2312" w:cs="仿宋_GB2312"/>
          <w:color w:val="000000"/>
          <w:sz w:val="32"/>
          <w:szCs w:val="32"/>
        </w:rPr>
        <w:t>项目资金主要用于</w:t>
      </w:r>
      <w:r>
        <w:rPr>
          <w:rFonts w:hint="eastAsia" w:ascii="仿宋_GB2312" w:hAnsi="仿宋_GB2312" w:eastAsia="仿宋_GB2312" w:cs="仿宋_GB2312"/>
          <w:i w:val="0"/>
          <w:iCs w:val="0"/>
          <w:color w:val="000000"/>
          <w:kern w:val="0"/>
          <w:sz w:val="32"/>
          <w:szCs w:val="32"/>
          <w:u w:val="none"/>
          <w:lang w:val="en-US" w:eastAsia="zh-CN" w:bidi="ar"/>
        </w:rPr>
        <w:t>市公共法律服务中心窗口律师值班咨询补贴、涉法涉诉信访法律服务工作经费、专项法律服务采购费用（民营企业法治体检、1+1重点项目法律服务）、公共法律服务人才培训。</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4</w:t>
      </w:r>
      <w:r>
        <w:rPr>
          <w:rFonts w:hint="eastAsia" w:ascii="仿宋_GB2312" w:hAnsi="宋体" w:eastAsia="仿宋_GB2312"/>
          <w:color w:val="000000"/>
          <w:sz w:val="32"/>
          <w:szCs w:val="32"/>
          <w:lang w:val="en-US" w:eastAsia="zh-CN"/>
        </w:rPr>
        <w:t>.</w:t>
      </w:r>
      <w:r>
        <w:rPr>
          <w:rFonts w:hint="eastAsia" w:ascii="仿宋_GB2312" w:hAnsi="仿宋_GB2312" w:eastAsia="仿宋_GB2312"/>
          <w:color w:val="000000"/>
          <w:sz w:val="32"/>
          <w:szCs w:val="32"/>
        </w:rPr>
        <w:t>资金分配的原则及考虑因素</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olor w:val="000000"/>
          <w:sz w:val="32"/>
          <w:szCs w:val="32"/>
        </w:rPr>
      </w:pPr>
      <w:r>
        <w:rPr>
          <w:rFonts w:hint="eastAsia" w:ascii="仿宋_GB2312" w:hAnsi="仿宋" w:eastAsia="仿宋_GB2312"/>
          <w:color w:val="000000"/>
          <w:sz w:val="32"/>
          <w:szCs w:val="32"/>
        </w:rPr>
        <w:t>市级人民政府司法行政部门会同同级财政部门，结合当地经济社会发展水平，根据承办</w:t>
      </w:r>
      <w:r>
        <w:rPr>
          <w:rFonts w:hint="eastAsia" w:ascii="仿宋_GB2312" w:hAnsi="仿宋" w:eastAsia="仿宋_GB2312"/>
          <w:color w:val="000000"/>
          <w:sz w:val="32"/>
          <w:szCs w:val="32"/>
          <w:lang w:eastAsia="zh-CN"/>
        </w:rPr>
        <w:t>公共法律服务</w:t>
      </w:r>
      <w:r>
        <w:rPr>
          <w:rFonts w:hint="eastAsia" w:ascii="仿宋_GB2312" w:hAnsi="仿宋" w:eastAsia="仿宋_GB2312"/>
          <w:color w:val="000000"/>
          <w:sz w:val="32"/>
          <w:szCs w:val="32"/>
        </w:rPr>
        <w:t>事项直接费用、基本劳务费用等因素确定。</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（二）项目绩效目标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w:t>
      </w:r>
      <w:r>
        <w:rPr>
          <w:rFonts w:hint="eastAsia" w:ascii="仿宋_GB2312" w:hAnsi="仿宋_GB2312" w:eastAsia="仿宋_GB2312"/>
          <w:color w:val="000000"/>
          <w:sz w:val="32"/>
          <w:szCs w:val="32"/>
        </w:rPr>
        <w:t>项目主要内容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我局负责制定本单位</w:t>
      </w:r>
      <w:r>
        <w:rPr>
          <w:rFonts w:hint="eastAsia" w:ascii="仿宋_GB2312" w:hAnsi="仿宋" w:eastAsia="仿宋_GB2312" w:cs="Times New Roman"/>
          <w:color w:val="000000"/>
          <w:sz w:val="32"/>
          <w:szCs w:val="32"/>
          <w:lang w:eastAsia="zh-CN"/>
        </w:rPr>
        <w:t>公共法律服务经费使用范围、</w:t>
      </w:r>
      <w:r>
        <w:rPr>
          <w:rFonts w:hint="eastAsia" w:ascii="仿宋_GB2312" w:hAnsi="仿宋" w:eastAsia="仿宋_GB2312" w:cs="Times New Roman"/>
          <w:color w:val="000000"/>
          <w:sz w:val="32"/>
          <w:szCs w:val="32"/>
        </w:rPr>
        <w:t>补贴标准，确保相关经费保障政策措施落到实处，督促市</w:t>
      </w:r>
      <w:r>
        <w:rPr>
          <w:rFonts w:hint="eastAsia" w:ascii="仿宋_GB2312" w:hAnsi="仿宋" w:eastAsia="仿宋_GB2312" w:cs="Times New Roman"/>
          <w:color w:val="000000"/>
          <w:sz w:val="32"/>
          <w:szCs w:val="32"/>
          <w:lang w:eastAsia="zh-CN"/>
        </w:rPr>
        <w:t>公共法律服务</w:t>
      </w:r>
      <w:r>
        <w:rPr>
          <w:rFonts w:hint="eastAsia" w:ascii="仿宋_GB2312" w:hAnsi="仿宋" w:eastAsia="仿宋_GB2312" w:cs="Times New Roman"/>
          <w:color w:val="000000"/>
          <w:sz w:val="32"/>
          <w:szCs w:val="32"/>
        </w:rPr>
        <w:t>中心严格按照法律法规、政策标准及时、足额支付，不得截留，促进</w:t>
      </w:r>
      <w:r>
        <w:rPr>
          <w:rFonts w:hint="eastAsia" w:ascii="仿宋_GB2312" w:hAnsi="仿宋" w:eastAsia="仿宋_GB2312" w:cs="Times New Roman"/>
          <w:color w:val="000000"/>
          <w:sz w:val="32"/>
          <w:szCs w:val="32"/>
          <w:lang w:eastAsia="zh-CN"/>
        </w:rPr>
        <w:t>公共法律服务</w:t>
      </w:r>
      <w:r>
        <w:rPr>
          <w:rFonts w:hint="eastAsia" w:ascii="仿宋_GB2312" w:hAnsi="仿宋" w:eastAsia="仿宋_GB2312" w:cs="Times New Roman"/>
          <w:color w:val="000000"/>
          <w:sz w:val="32"/>
          <w:szCs w:val="32"/>
        </w:rPr>
        <w:t>事业健康发展。通过数量指标、时效指标、质量指标、成本指标进行绩效评价项目评价。</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w:t>
      </w:r>
      <w:r>
        <w:rPr>
          <w:rFonts w:hint="eastAsia" w:ascii="仿宋_GB2312" w:hAnsi="仿宋_GB2312" w:eastAsia="仿宋_GB2312"/>
          <w:color w:val="000000"/>
          <w:sz w:val="32"/>
          <w:szCs w:val="32"/>
        </w:rPr>
        <w:t>项目应实现的具体绩效目标，包括目标的量化、细化情况以及项目实施进度计划等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eastAsia="zh-CN"/>
        </w:rPr>
        <w:t>公服科下基层调研、指导、检查</w:t>
      </w:r>
      <w:r>
        <w:rPr>
          <w:rFonts w:hint="eastAsia" w:ascii="仿宋_GB2312" w:hAnsi="仿宋_GB2312" w:eastAsia="仿宋_GB2312"/>
          <w:color w:val="000000"/>
          <w:sz w:val="32"/>
          <w:szCs w:val="32"/>
          <w:lang w:val="en-US" w:eastAsia="zh-CN"/>
        </w:rPr>
        <w:t>12次，开展公共法律服务集中业务培训2次，乡镇公共法律服务站建成率达100%，公共法律服务工作规范率达100%，降低群众讼累，提高公证、司法鉴定的社会公信力。</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3</w:t>
      </w:r>
      <w:r>
        <w:rPr>
          <w:rFonts w:hint="eastAsia" w:ascii="仿宋_GB2312" w:hAnsi="宋体" w:eastAsia="仿宋_GB2312"/>
          <w:color w:val="000000"/>
          <w:sz w:val="32"/>
          <w:szCs w:val="32"/>
          <w:lang w:val="en-US" w:eastAsia="zh-CN"/>
        </w:rPr>
        <w:t>.</w:t>
      </w:r>
      <w:r>
        <w:rPr>
          <w:rFonts w:hint="eastAsia" w:ascii="仿宋_GB2312" w:hAnsi="仿宋_GB2312" w:eastAsia="仿宋_GB2312"/>
          <w:color w:val="000000"/>
          <w:sz w:val="32"/>
          <w:szCs w:val="32"/>
        </w:rPr>
        <w:t>分析评价申报内容是否与实际相符，申报目标是否合理可行</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申报内容符合我局</w:t>
      </w:r>
      <w:r>
        <w:rPr>
          <w:rFonts w:hint="eastAsia" w:ascii="仿宋_GB2312" w:hAnsi="宋体" w:eastAsia="仿宋_GB2312"/>
          <w:color w:val="000000"/>
          <w:sz w:val="32"/>
          <w:szCs w:val="32"/>
          <w:lang w:eastAsia="zh-CN"/>
        </w:rPr>
        <w:t>公共法律服务</w:t>
      </w:r>
      <w:r>
        <w:rPr>
          <w:rFonts w:hint="eastAsia" w:ascii="仿宋_GB2312" w:hAnsi="宋体" w:eastAsia="仿宋_GB2312"/>
          <w:color w:val="000000"/>
          <w:sz w:val="32"/>
          <w:szCs w:val="32"/>
        </w:rPr>
        <w:t>工作实际，申报目标当年全部完成。</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Arial" w:eastAsia="仿宋_GB2312" w:cs="Arial"/>
          <w:color w:val="000000"/>
          <w:sz w:val="32"/>
          <w:szCs w:val="32"/>
          <w:shd w:val="clear" w:color="auto" w:fill="FFFFFF"/>
          <w:lang w:val="en-US" w:eastAsia="zh-CN"/>
        </w:rPr>
      </w:pPr>
      <w:r>
        <w:rPr>
          <w:rFonts w:hint="eastAsia" w:ascii="仿宋_GB2312" w:hAnsi="Arial" w:eastAsia="仿宋_GB2312" w:cs="Arial"/>
          <w:color w:val="000000"/>
          <w:sz w:val="32"/>
          <w:szCs w:val="32"/>
          <w:shd w:val="clear" w:color="auto" w:fill="FFFFFF"/>
        </w:rPr>
        <w:t>我局按照项目单位自评和主管部门评价相结合的方式，依据资金使用的方向和对象,围绕绩效目标,从项目的实施、管理、效果等方面对20</w:t>
      </w:r>
      <w:r>
        <w:rPr>
          <w:rFonts w:hint="eastAsia" w:ascii="仿宋_GB2312" w:hAnsi="Arial" w:eastAsia="仿宋_GB2312" w:cs="Arial"/>
          <w:color w:val="000000"/>
          <w:sz w:val="32"/>
          <w:szCs w:val="32"/>
          <w:shd w:val="clear" w:color="auto" w:fill="FFFFFF"/>
          <w:lang w:val="en-US" w:eastAsia="zh-CN"/>
        </w:rPr>
        <w:t>22</w:t>
      </w:r>
      <w:r>
        <w:rPr>
          <w:rFonts w:hint="eastAsia" w:ascii="仿宋_GB2312" w:hAnsi="Arial" w:eastAsia="仿宋_GB2312" w:cs="Arial"/>
          <w:color w:val="000000"/>
          <w:sz w:val="32"/>
          <w:szCs w:val="32"/>
          <w:shd w:val="clear" w:color="auto" w:fill="FFFFFF"/>
        </w:rPr>
        <w:t>年度</w:t>
      </w:r>
      <w:r>
        <w:rPr>
          <w:rFonts w:hint="eastAsia" w:ascii="仿宋_GB2312" w:hAnsi="Arial" w:eastAsia="仿宋_GB2312" w:cs="Arial"/>
          <w:color w:val="000000"/>
          <w:sz w:val="32"/>
          <w:szCs w:val="32"/>
          <w:shd w:val="clear" w:color="auto" w:fill="FFFFFF"/>
          <w:lang w:eastAsia="zh-CN"/>
        </w:rPr>
        <w:t>公共法律服务</w:t>
      </w:r>
      <w:r>
        <w:rPr>
          <w:rFonts w:hint="eastAsia" w:ascii="仿宋_GB2312" w:hAnsi="Arial" w:eastAsia="仿宋_GB2312" w:cs="Arial"/>
          <w:color w:val="000000"/>
          <w:sz w:val="32"/>
          <w:szCs w:val="32"/>
          <w:shd w:val="clear" w:color="auto" w:fill="FFFFFF"/>
        </w:rPr>
        <w:t>专项资金开展了绩效评价工作</w:t>
      </w:r>
      <w:r>
        <w:rPr>
          <w:rFonts w:hint="eastAsia" w:ascii="仿宋_GB2312" w:hAnsi="Arial" w:eastAsia="仿宋_GB2312" w:cs="Arial"/>
          <w:color w:val="000000"/>
          <w:sz w:val="32"/>
          <w:szCs w:val="32"/>
          <w:shd w:val="clear" w:color="auto" w:fill="FFFFFF"/>
          <w:lang w:eastAsia="zh-CN"/>
        </w:rPr>
        <w:t>，得分</w:t>
      </w:r>
      <w:r>
        <w:rPr>
          <w:rFonts w:hint="eastAsia" w:ascii="仿宋_GB2312" w:hAnsi="Arial" w:eastAsia="仿宋_GB2312" w:cs="Arial"/>
          <w:color w:val="000000"/>
          <w:sz w:val="32"/>
          <w:szCs w:val="32"/>
          <w:shd w:val="clear" w:color="auto" w:fill="FFFFFF"/>
          <w:lang w:val="en-US" w:eastAsia="zh-CN"/>
        </w:rPr>
        <w:t>96分。</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（一）项目资金申报及批复情况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olor w:val="000000"/>
          <w:sz w:val="32"/>
          <w:szCs w:val="32"/>
        </w:rPr>
      </w:pPr>
      <w:r>
        <w:rPr>
          <w:rFonts w:hint="eastAsia" w:ascii="仿宋_GB2312" w:hAnsi="仿宋" w:eastAsia="仿宋_GB2312" w:cs="仿宋_GB2312"/>
          <w:color w:val="000000"/>
          <w:sz w:val="32"/>
          <w:szCs w:val="32"/>
        </w:rPr>
        <w:t>决算执行资金</w:t>
      </w:r>
      <w:r>
        <w:rPr>
          <w:rFonts w:hint="eastAsia" w:ascii="仿宋_GB2312" w:hAnsi="仿宋" w:eastAsia="仿宋_GB2312" w:cs="仿宋_GB2312"/>
          <w:color w:val="000000"/>
          <w:sz w:val="32"/>
          <w:szCs w:val="32"/>
          <w:lang w:val="en-US" w:eastAsia="zh-CN"/>
        </w:rPr>
        <w:t>15</w:t>
      </w:r>
      <w:r>
        <w:rPr>
          <w:rFonts w:hint="eastAsia" w:ascii="仿宋_GB2312" w:hAnsi="仿宋" w:eastAsia="仿宋_GB2312" w:cs="仿宋_GB2312"/>
          <w:color w:val="000000"/>
          <w:sz w:val="32"/>
          <w:szCs w:val="32"/>
        </w:rPr>
        <w:t>万元，年初预算资金</w:t>
      </w:r>
      <w:r>
        <w:rPr>
          <w:rFonts w:hint="eastAsia" w:ascii="仿宋_GB2312" w:hAnsi="仿宋" w:eastAsia="仿宋_GB2312" w:cs="仿宋_GB2312"/>
          <w:color w:val="000000"/>
          <w:sz w:val="32"/>
          <w:szCs w:val="32"/>
          <w:lang w:val="en-US" w:eastAsia="zh-CN"/>
        </w:rPr>
        <w:t>15</w:t>
      </w:r>
      <w:r>
        <w:rPr>
          <w:rFonts w:hint="eastAsia" w:ascii="仿宋_GB2312" w:hAnsi="仿宋" w:eastAsia="仿宋_GB2312" w:cs="仿宋_GB2312"/>
          <w:color w:val="000000"/>
          <w:sz w:val="32"/>
          <w:szCs w:val="32"/>
        </w:rPr>
        <w:t>万元财政资金拨付率100%。</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（二）资金计划、到位及使用情况</w:t>
      </w:r>
    </w:p>
    <w:tbl>
      <w:tblPr>
        <w:tblStyle w:val="16"/>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1882"/>
        <w:gridCol w:w="1945"/>
        <w:gridCol w:w="1701"/>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单位</w:t>
            </w:r>
          </w:p>
        </w:tc>
        <w:tc>
          <w:tcPr>
            <w:tcW w:w="3827" w:type="dxa"/>
            <w:gridSpan w:val="2"/>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lang w:eastAsia="zh-CN"/>
              </w:rPr>
            </w:pPr>
            <w:r>
              <w:rPr>
                <w:rFonts w:hint="eastAsia" w:ascii="楷体" w:hAnsi="楷体" w:eastAsia="楷体"/>
                <w:color w:val="000000"/>
                <w:sz w:val="32"/>
                <w:szCs w:val="32"/>
              </w:rPr>
              <w:t>资金计划</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（万元）</w:t>
            </w:r>
          </w:p>
        </w:tc>
        <w:tc>
          <w:tcPr>
            <w:tcW w:w="1701"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资金到位</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（万元）</w:t>
            </w:r>
          </w:p>
        </w:tc>
        <w:tc>
          <w:tcPr>
            <w:tcW w:w="1701"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资金使用</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restart"/>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市司法局</w:t>
            </w:r>
          </w:p>
        </w:tc>
        <w:tc>
          <w:tcPr>
            <w:tcW w:w="1882"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市本级</w:t>
            </w:r>
          </w:p>
        </w:tc>
        <w:tc>
          <w:tcPr>
            <w:tcW w:w="1945"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中央法律援助办案专款</w:t>
            </w:r>
          </w:p>
        </w:tc>
        <w:tc>
          <w:tcPr>
            <w:tcW w:w="1701" w:type="dxa"/>
            <w:vMerge w:val="restart"/>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default" w:ascii="楷体" w:hAnsi="楷体" w:eastAsia="楷体"/>
                <w:color w:val="000000"/>
                <w:sz w:val="32"/>
                <w:szCs w:val="32"/>
                <w:lang w:val="en-US" w:eastAsia="zh-CN"/>
              </w:rPr>
            </w:pPr>
            <w:r>
              <w:rPr>
                <w:rFonts w:hint="eastAsia" w:ascii="楷体" w:hAnsi="楷体" w:eastAsia="楷体"/>
                <w:color w:val="000000"/>
                <w:sz w:val="32"/>
                <w:szCs w:val="32"/>
                <w:lang w:val="en-US" w:eastAsia="zh-CN"/>
              </w:rPr>
              <w:t>15</w:t>
            </w:r>
          </w:p>
        </w:tc>
        <w:tc>
          <w:tcPr>
            <w:tcW w:w="1701" w:type="dxa"/>
            <w:vMerge w:val="restart"/>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FF0000"/>
                <w:sz w:val="32"/>
                <w:szCs w:val="32"/>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default" w:ascii="楷体" w:hAnsi="楷体" w:eastAsia="楷体"/>
                <w:color w:val="FF0000"/>
                <w:sz w:val="32"/>
                <w:szCs w:val="32"/>
                <w:lang w:val="en-US" w:eastAsia="zh-CN"/>
              </w:rPr>
            </w:pPr>
            <w:r>
              <w:rPr>
                <w:rFonts w:hint="eastAsia" w:ascii="楷体" w:hAnsi="楷体" w:eastAsia="楷体"/>
                <w:color w:val="000000"/>
                <w:sz w:val="32"/>
                <w:szCs w:val="32"/>
                <w:lang w:val="en-US" w:eastAsia="zh-CN"/>
              </w:rPr>
              <w:t>11.62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tc>
        <w:tc>
          <w:tcPr>
            <w:tcW w:w="1882"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default" w:ascii="楷体" w:hAnsi="楷体" w:eastAsia="楷体"/>
                <w:color w:val="000000"/>
                <w:sz w:val="32"/>
                <w:szCs w:val="32"/>
                <w:lang w:val="en-US" w:eastAsia="zh-CN"/>
              </w:rPr>
            </w:pPr>
            <w:r>
              <w:rPr>
                <w:rFonts w:hint="eastAsia" w:ascii="楷体" w:hAnsi="楷体" w:eastAsia="楷体"/>
                <w:color w:val="000000"/>
                <w:sz w:val="32"/>
                <w:szCs w:val="32"/>
                <w:lang w:val="en-US" w:eastAsia="zh-CN"/>
              </w:rPr>
              <w:t>15</w:t>
            </w:r>
          </w:p>
        </w:tc>
        <w:tc>
          <w:tcPr>
            <w:tcW w:w="1945"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tc>
        <w:tc>
          <w:tcPr>
            <w:tcW w:w="1701" w:type="dxa"/>
            <w:vMerge w:val="continue"/>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tc>
        <w:tc>
          <w:tcPr>
            <w:tcW w:w="1701" w:type="dxa"/>
            <w:vMerge w:val="continue"/>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tc>
      </w:tr>
    </w:tbl>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我局使用管理</w:t>
      </w:r>
      <w:r>
        <w:rPr>
          <w:rFonts w:hint="eastAsia" w:ascii="仿宋_GB2312" w:hAnsi="仿宋_GB2312" w:eastAsia="仿宋_GB2312"/>
          <w:color w:val="000000"/>
          <w:sz w:val="32"/>
          <w:szCs w:val="32"/>
          <w:lang w:eastAsia="zh-CN"/>
        </w:rPr>
        <w:t>公共法律服务</w:t>
      </w:r>
      <w:r>
        <w:rPr>
          <w:rFonts w:hint="eastAsia" w:ascii="仿宋_GB2312" w:hAnsi="仿宋_GB2312" w:eastAsia="仿宋_GB2312"/>
          <w:color w:val="000000"/>
          <w:sz w:val="32"/>
          <w:szCs w:val="32"/>
        </w:rPr>
        <w:t>项目经费始终坚持安全规范的原则，有效提升资金的使用效益，确保专款专用。截止评价时点该项目资金支出</w:t>
      </w:r>
      <w:r>
        <w:rPr>
          <w:rFonts w:hint="eastAsia" w:ascii="仿宋_GB2312" w:hAnsi="仿宋_GB2312" w:eastAsia="仿宋_GB2312"/>
          <w:color w:val="000000"/>
          <w:sz w:val="32"/>
          <w:szCs w:val="32"/>
          <w:lang w:val="en-US" w:eastAsia="zh-CN"/>
        </w:rPr>
        <w:t>11.62</w:t>
      </w:r>
      <w:r>
        <w:rPr>
          <w:rFonts w:hint="eastAsia" w:ascii="仿宋_GB2312" w:hAnsi="仿宋_GB2312" w:eastAsia="仿宋_GB2312"/>
          <w:color w:val="000000"/>
          <w:sz w:val="32"/>
          <w:szCs w:val="32"/>
        </w:rPr>
        <w:t>万元。</w:t>
      </w:r>
      <w:r>
        <w:rPr>
          <w:rFonts w:hint="eastAsia" w:ascii="仿宋_GB2312" w:hAnsi="仿宋_GB2312" w:eastAsia="仿宋_GB2312"/>
          <w:color w:val="000000"/>
          <w:sz w:val="32"/>
          <w:szCs w:val="32"/>
          <w:lang w:eastAsia="zh-CN"/>
        </w:rPr>
        <w:t>未支付完成原因为：受疫情影响，</w:t>
      </w:r>
      <w:r>
        <w:rPr>
          <w:rFonts w:hint="eastAsia" w:ascii="仿宋_GB2312" w:hAnsi="仿宋_GB2312" w:eastAsia="仿宋_GB2312"/>
          <w:color w:val="000000"/>
          <w:sz w:val="32"/>
          <w:szCs w:val="32"/>
          <w:lang w:val="en-US" w:eastAsia="zh-CN"/>
        </w:rPr>
        <w:t>2022年未开展全市公证、司法助理员培训，预计2023年举行。</w:t>
      </w:r>
      <w:r>
        <w:rPr>
          <w:rFonts w:hint="eastAsia" w:ascii="仿宋_GB2312" w:hAnsi="宋体" w:eastAsia="仿宋_GB2312"/>
          <w:color w:val="000000"/>
          <w:sz w:val="32"/>
          <w:szCs w:val="32"/>
        </w:rPr>
        <w:t>资金支付严格按照法律法规和政策文件的要求执行，无超标准、超进度的情况发生，与年初财政预算相符。</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olor w:val="000000"/>
          <w:sz w:val="32"/>
          <w:szCs w:val="32"/>
        </w:rPr>
      </w:pPr>
      <w:r>
        <w:rPr>
          <w:rFonts w:hint="eastAsia" w:ascii="仿宋_GB2312" w:hAnsi="仿宋_GB2312" w:eastAsia="仿宋_GB2312"/>
          <w:color w:val="000000"/>
          <w:sz w:val="32"/>
          <w:szCs w:val="32"/>
        </w:rPr>
        <w:t>我局财务管理制度健全</w:t>
      </w:r>
      <w:r>
        <w:rPr>
          <w:rFonts w:hint="eastAsia"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rPr>
        <w:t>严格执行</w:t>
      </w:r>
      <w:r>
        <w:rPr>
          <w:rFonts w:hint="eastAsia" w:ascii="仿宋_GB2312" w:hAnsi="仿宋_GB2312" w:eastAsia="仿宋_GB2312"/>
          <w:color w:val="000000"/>
          <w:sz w:val="32"/>
          <w:szCs w:val="32"/>
          <w:lang w:eastAsia="zh-CN"/>
        </w:rPr>
        <w:t>《司法行政系统财务管理制度》及各项</w:t>
      </w:r>
      <w:r>
        <w:rPr>
          <w:rFonts w:hint="eastAsia" w:ascii="仿宋_GB2312" w:hAnsi="仿宋_GB2312" w:eastAsia="仿宋_GB2312"/>
          <w:color w:val="000000"/>
          <w:sz w:val="32"/>
          <w:szCs w:val="32"/>
        </w:rPr>
        <w:t>财务管理制度，账务处理及时，会计核算规范。</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三、项目实施及管理情况</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（一）</w:t>
      </w:r>
      <w:r>
        <w:rPr>
          <w:rFonts w:hint="eastAsia" w:ascii="楷体_GB2312" w:hAnsi="楷体_GB2312" w:eastAsia="楷体_GB2312" w:cs="楷体_GB2312"/>
          <w:b w:val="0"/>
          <w:bCs/>
          <w:color w:val="000000"/>
          <w:sz w:val="32"/>
          <w:szCs w:val="32"/>
        </w:rPr>
        <w:t>项目组织架构及实施流程</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color w:val="000000"/>
          <w:sz w:val="32"/>
          <w:szCs w:val="32"/>
          <w:lang w:val="en-US" w:eastAsia="zh-CN"/>
        </w:rPr>
      </w:pPr>
      <w:r>
        <w:rPr>
          <w:rFonts w:hint="eastAsia" w:ascii="仿宋_GB2312" w:hAnsi="宋体" w:eastAsia="仿宋_GB2312"/>
          <w:b w:val="0"/>
          <w:bCs/>
          <w:color w:val="000000"/>
          <w:sz w:val="32"/>
          <w:szCs w:val="32"/>
          <w:lang w:eastAsia="zh-CN"/>
        </w:rPr>
        <w:t>制定方案及预算经费</w:t>
      </w:r>
      <w:r>
        <w:rPr>
          <w:rFonts w:hint="eastAsia" w:ascii="仿宋_GB2312" w:hAnsi="宋体" w:eastAsia="仿宋_GB2312"/>
          <w:b w:val="0"/>
          <w:bCs/>
          <w:color w:val="000000"/>
          <w:sz w:val="32"/>
          <w:szCs w:val="32"/>
          <w:lang w:val="en-US" w:eastAsia="zh-CN"/>
        </w:rPr>
        <w:t>--组织实施--结算项目经费。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（二）项目管理情况</w:t>
      </w:r>
    </w:p>
    <w:p>
      <w:pPr>
        <w:keepNext w:val="0"/>
        <w:keepLines w:val="0"/>
        <w:pageBreakBefore w:val="0"/>
        <w:kinsoku/>
        <w:wordWrap/>
        <w:overflowPunct/>
        <w:topLinePunct w:val="0"/>
        <w:autoSpaceDE/>
        <w:autoSpaceDN/>
        <w:bidi w:val="0"/>
        <w:spacing w:line="576" w:lineRule="exact"/>
        <w:ind w:left="0" w:leftChars="0" w:firstLine="640" w:firstLineChars="200"/>
        <w:jc w:val="left"/>
        <w:textAlignment w:val="auto"/>
        <w:rPr>
          <w:rFonts w:hint="eastAsia" w:ascii="仿宋_GB2312" w:hAnsi="仿宋" w:eastAsia="仿宋_GB2312"/>
          <w:color w:val="000000"/>
          <w:sz w:val="32"/>
          <w:szCs w:val="32"/>
        </w:rPr>
      </w:pPr>
      <w:r>
        <w:rPr>
          <w:rFonts w:hint="eastAsia" w:ascii="仿宋_GB2312" w:hAnsi="仿宋" w:eastAsia="仿宋_GB2312" w:cs="仿宋_GB2312"/>
          <w:color w:val="000000"/>
          <w:sz w:val="32"/>
          <w:szCs w:val="32"/>
          <w:lang w:eastAsia="zh-CN"/>
        </w:rPr>
        <w:t>202</w:t>
      </w:r>
      <w:r>
        <w:rPr>
          <w:rFonts w:hint="eastAsia" w:ascii="仿宋_GB2312" w:hAnsi="仿宋" w:eastAsia="仿宋_GB2312" w:cs="仿宋_GB2312"/>
          <w:color w:val="000000"/>
          <w:sz w:val="32"/>
          <w:szCs w:val="32"/>
          <w:lang w:val="en-US" w:eastAsia="zh-CN"/>
        </w:rPr>
        <w:t>2</w:t>
      </w:r>
      <w:r>
        <w:rPr>
          <w:rFonts w:hint="eastAsia" w:ascii="仿宋_GB2312" w:hAnsi="仿宋" w:eastAsia="仿宋_GB2312" w:cs="仿宋_GB2312"/>
          <w:color w:val="000000"/>
          <w:sz w:val="32"/>
          <w:szCs w:val="32"/>
        </w:rPr>
        <w:t>年市财政共拨付我局</w:t>
      </w:r>
      <w:r>
        <w:rPr>
          <w:rFonts w:hint="eastAsia" w:ascii="仿宋_GB2312" w:hAnsi="仿宋" w:eastAsia="仿宋_GB2312" w:cs="仿宋_GB2312"/>
          <w:color w:val="auto"/>
          <w:sz w:val="32"/>
          <w:szCs w:val="32"/>
          <w:lang w:eastAsia="zh-CN"/>
        </w:rPr>
        <w:t>公共法律服务项目</w:t>
      </w:r>
      <w:r>
        <w:rPr>
          <w:rFonts w:hint="eastAsia" w:ascii="仿宋_GB2312" w:hAnsi="仿宋" w:eastAsia="仿宋_GB2312" w:cs="仿宋_GB2312"/>
          <w:color w:val="auto"/>
          <w:sz w:val="32"/>
          <w:szCs w:val="32"/>
        </w:rPr>
        <w:t>资金</w:t>
      </w:r>
      <w:r>
        <w:rPr>
          <w:rFonts w:hint="eastAsia" w:ascii="仿宋_GB2312" w:hAnsi="仿宋" w:eastAsia="仿宋_GB2312" w:cs="仿宋_GB2312"/>
          <w:color w:val="auto"/>
          <w:sz w:val="32"/>
          <w:szCs w:val="32"/>
          <w:lang w:val="en-US" w:eastAsia="zh-CN"/>
        </w:rPr>
        <w:t>15</w:t>
      </w:r>
      <w:r>
        <w:rPr>
          <w:rFonts w:hint="eastAsia" w:ascii="仿宋_GB2312" w:hAnsi="仿宋" w:eastAsia="仿宋_GB2312" w:cs="仿宋_GB2312"/>
          <w:color w:val="auto"/>
          <w:sz w:val="32"/>
          <w:szCs w:val="32"/>
        </w:rPr>
        <w:t>万</w:t>
      </w:r>
      <w:r>
        <w:rPr>
          <w:rFonts w:hint="eastAsia" w:ascii="仿宋_GB2312" w:hAnsi="仿宋" w:eastAsia="仿宋_GB2312" w:cs="仿宋_GB2312"/>
          <w:color w:val="000000"/>
          <w:sz w:val="32"/>
          <w:szCs w:val="32"/>
        </w:rPr>
        <w:t>元。</w:t>
      </w:r>
      <w:r>
        <w:rPr>
          <w:rFonts w:hint="eastAsia" w:ascii="仿宋_GB2312" w:hAnsi="仿宋" w:eastAsia="仿宋_GB2312"/>
          <w:color w:val="000000"/>
          <w:sz w:val="32"/>
          <w:szCs w:val="32"/>
        </w:rPr>
        <w:t>资金使用严格按照《司法行政系统财务管理规定》执行，专项资金得到合理合规的分配和利用，主要用于</w:t>
      </w:r>
      <w:r>
        <w:rPr>
          <w:rFonts w:hint="eastAsia" w:ascii="仿宋_GB2312" w:hAnsi="仿宋" w:eastAsia="仿宋_GB2312"/>
          <w:color w:val="000000"/>
          <w:sz w:val="32"/>
          <w:szCs w:val="32"/>
          <w:lang w:eastAsia="zh-CN"/>
        </w:rPr>
        <w:t>202</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年统筹推进</w:t>
      </w:r>
      <w:r>
        <w:rPr>
          <w:rFonts w:hint="eastAsia" w:ascii="仿宋_GB2312" w:hAnsi="仿宋" w:eastAsia="仿宋_GB2312"/>
          <w:color w:val="000000"/>
          <w:sz w:val="32"/>
          <w:szCs w:val="32"/>
          <w:lang w:eastAsia="zh-CN"/>
        </w:rPr>
        <w:t>公共法律服务</w:t>
      </w:r>
      <w:r>
        <w:rPr>
          <w:rFonts w:hint="eastAsia" w:ascii="仿宋_GB2312" w:hAnsi="仿宋" w:eastAsia="仿宋_GB2312"/>
          <w:color w:val="000000"/>
          <w:sz w:val="32"/>
          <w:szCs w:val="32"/>
        </w:rPr>
        <w:t>会务费、宣传活动经费、差旅费、文书印制</w:t>
      </w:r>
      <w:r>
        <w:rPr>
          <w:rFonts w:hint="eastAsia" w:ascii="仿宋_GB2312" w:hAnsi="仿宋" w:eastAsia="仿宋_GB2312"/>
          <w:color w:val="000000"/>
          <w:sz w:val="32"/>
          <w:szCs w:val="32"/>
          <w:lang w:eastAsia="zh-CN"/>
        </w:rPr>
        <w:t>、法律顾问费</w:t>
      </w:r>
      <w:r>
        <w:rPr>
          <w:rFonts w:hint="eastAsia" w:ascii="仿宋_GB2312" w:hAnsi="仿宋" w:eastAsia="仿宋_GB2312"/>
          <w:color w:val="000000"/>
          <w:sz w:val="32"/>
          <w:szCs w:val="32"/>
        </w:rPr>
        <w:t>等方面。</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（三）</w:t>
      </w:r>
      <w:r>
        <w:rPr>
          <w:rFonts w:hint="eastAsia" w:ascii="楷体_GB2312" w:hAnsi="楷体_GB2312" w:eastAsia="楷体_GB2312" w:cs="楷体_GB2312"/>
          <w:b w:val="0"/>
          <w:bCs/>
          <w:color w:val="000000"/>
          <w:sz w:val="32"/>
          <w:szCs w:val="32"/>
        </w:rPr>
        <w:t>项目监管情况</w:t>
      </w:r>
    </w:p>
    <w:p>
      <w:pPr>
        <w:keepNext w:val="0"/>
        <w:keepLines w:val="0"/>
        <w:pageBreakBefore w:val="0"/>
        <w:kinsoku/>
        <w:wordWrap/>
        <w:overflowPunct/>
        <w:topLinePunct w:val="0"/>
        <w:autoSpaceDE/>
        <w:autoSpaceDN/>
        <w:bidi w:val="0"/>
        <w:spacing w:line="576" w:lineRule="exact"/>
        <w:ind w:left="0" w:leftChars="0" w:firstLine="640" w:firstLineChars="200"/>
        <w:jc w:val="left"/>
        <w:textAlignment w:val="auto"/>
        <w:rPr>
          <w:rFonts w:hint="eastAsia" w:ascii="仿宋_GB2312" w:hAnsi="华文仿宋" w:eastAsia="仿宋_GB2312"/>
          <w:b/>
          <w:bCs/>
          <w:color w:val="000000"/>
          <w:sz w:val="32"/>
          <w:szCs w:val="32"/>
        </w:rPr>
      </w:pPr>
      <w:r>
        <w:rPr>
          <w:rFonts w:hint="eastAsia" w:ascii="仿宋_GB2312" w:hAnsi="华文仿宋" w:eastAsia="仿宋_GB2312" w:cs="华文仿宋"/>
          <w:color w:val="000000"/>
          <w:sz w:val="32"/>
          <w:szCs w:val="32"/>
        </w:rPr>
        <w:t>市司法局统一对</w:t>
      </w:r>
      <w:r>
        <w:rPr>
          <w:rFonts w:hint="eastAsia" w:ascii="仿宋_GB2312" w:hAnsi="华文仿宋" w:eastAsia="仿宋_GB2312" w:cs="华文仿宋"/>
          <w:color w:val="000000"/>
          <w:sz w:val="32"/>
          <w:szCs w:val="32"/>
          <w:lang w:eastAsia="zh-CN"/>
        </w:rPr>
        <w:t>公共法律服务</w:t>
      </w:r>
      <w:r>
        <w:rPr>
          <w:rFonts w:hint="eastAsia" w:ascii="仿宋_GB2312" w:hAnsi="华文仿宋" w:eastAsia="仿宋_GB2312" w:cs="华文仿宋"/>
          <w:color w:val="000000"/>
          <w:sz w:val="32"/>
          <w:szCs w:val="32"/>
        </w:rPr>
        <w:t>经费收支单列科目，实行</w:t>
      </w:r>
      <w:r>
        <w:rPr>
          <w:rFonts w:hint="eastAsia" w:ascii="仿宋_GB2312" w:hAnsi="华文仿宋" w:eastAsia="仿宋_GB2312" w:cs="华文仿宋"/>
          <w:color w:val="000000"/>
          <w:sz w:val="32"/>
          <w:szCs w:val="32"/>
          <w:lang w:eastAsia="zh-CN"/>
        </w:rPr>
        <w:t>专项</w:t>
      </w:r>
      <w:r>
        <w:rPr>
          <w:rFonts w:hint="eastAsia" w:ascii="仿宋_GB2312" w:hAnsi="华文仿宋" w:eastAsia="仿宋_GB2312" w:cs="华文仿宋"/>
          <w:color w:val="000000"/>
          <w:sz w:val="32"/>
          <w:szCs w:val="32"/>
        </w:rPr>
        <w:t>核算</w:t>
      </w:r>
      <w:r>
        <w:rPr>
          <w:rFonts w:hint="eastAsia" w:ascii="仿宋_GB2312" w:hAnsi="华文仿宋" w:eastAsia="仿宋_GB2312" w:cs="华文仿宋"/>
          <w:b/>
          <w:bCs/>
          <w:color w:val="000000"/>
          <w:sz w:val="32"/>
          <w:szCs w:val="32"/>
        </w:rPr>
        <w:t>。</w:t>
      </w:r>
      <w:r>
        <w:rPr>
          <w:rFonts w:hint="eastAsia" w:ascii="仿宋_GB2312" w:hAnsi="华文仿宋" w:eastAsia="仿宋_GB2312" w:cs="华文仿宋"/>
          <w:color w:val="000000"/>
          <w:sz w:val="32"/>
          <w:szCs w:val="32"/>
          <w:lang w:eastAsia="zh-CN"/>
        </w:rPr>
        <w:t>各项支出</w:t>
      </w:r>
      <w:r>
        <w:rPr>
          <w:rFonts w:hint="eastAsia" w:ascii="仿宋_GB2312" w:hAnsi="华文仿宋" w:eastAsia="仿宋_GB2312" w:cs="华文仿宋"/>
          <w:color w:val="000000"/>
          <w:sz w:val="32"/>
          <w:szCs w:val="32"/>
        </w:rPr>
        <w:t>由</w:t>
      </w:r>
      <w:r>
        <w:rPr>
          <w:rFonts w:hint="eastAsia" w:ascii="仿宋_GB2312" w:hAnsi="华文仿宋" w:eastAsia="仿宋_GB2312" w:cs="华文仿宋"/>
          <w:color w:val="000000"/>
          <w:sz w:val="32"/>
          <w:szCs w:val="32"/>
          <w:lang w:eastAsia="zh-CN"/>
        </w:rPr>
        <w:t>公服科</w:t>
      </w:r>
      <w:r>
        <w:rPr>
          <w:rFonts w:hint="eastAsia" w:ascii="仿宋_GB2312" w:hAnsi="华文仿宋" w:eastAsia="仿宋_GB2312" w:cs="华文仿宋"/>
          <w:color w:val="000000"/>
          <w:sz w:val="32"/>
          <w:szCs w:val="32"/>
        </w:rPr>
        <w:t>提交分管副局长审核签字，将已签字的相关报销手续交由财务保障科统一复核，复核无误后，</w:t>
      </w:r>
      <w:r>
        <w:rPr>
          <w:rFonts w:hint="eastAsia" w:ascii="仿宋_GB2312" w:hAnsi="华文仿宋" w:eastAsia="仿宋_GB2312" w:cs="华文仿宋"/>
          <w:color w:val="000000"/>
          <w:sz w:val="32"/>
          <w:szCs w:val="32"/>
          <w:lang w:eastAsia="zh-CN"/>
        </w:rPr>
        <w:t>交由分管财务领导签字后由</w:t>
      </w:r>
      <w:r>
        <w:rPr>
          <w:rFonts w:hint="eastAsia" w:ascii="仿宋_GB2312" w:hAnsi="华文仿宋" w:eastAsia="仿宋_GB2312" w:cs="华文仿宋"/>
          <w:color w:val="000000"/>
          <w:sz w:val="32"/>
          <w:szCs w:val="32"/>
        </w:rPr>
        <w:t>局财务统一予以报销。</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四、项目绩效情况</w:t>
      </w:r>
      <w:r>
        <w:rPr>
          <w:rFonts w:hint="eastAsia" w:ascii="黑体" w:hAnsi="黑体" w:eastAsia="黑体" w:cs="黑体"/>
          <w:color w:val="000000"/>
          <w:sz w:val="32"/>
          <w:szCs w:val="32"/>
        </w:rPr>
        <w:tab/>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（一）项目完成情况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lang w:val="en-US" w:eastAsia="zh-CN"/>
        </w:rPr>
      </w:pPr>
      <w:r>
        <w:rPr>
          <w:rFonts w:hint="eastAsia" w:ascii="仿宋_GB2312" w:hAnsi="仿宋" w:eastAsia="仿宋_GB2312"/>
          <w:color w:val="000000"/>
          <w:sz w:val="32"/>
          <w:szCs w:val="32"/>
        </w:rPr>
        <w:t>按照省司法厅下达的法律援助工作目标任务，我局</w:t>
      </w:r>
      <w:r>
        <w:rPr>
          <w:rFonts w:hint="eastAsia" w:ascii="仿宋_GB2312" w:hAnsi="仿宋" w:eastAsia="仿宋_GB2312" w:cs="仿宋_GB2312"/>
          <w:color w:val="000000"/>
          <w:sz w:val="32"/>
          <w:szCs w:val="32"/>
          <w:lang w:eastAsia="zh-CN"/>
        </w:rPr>
        <w:t>公共法律服务</w:t>
      </w:r>
      <w:r>
        <w:rPr>
          <w:rFonts w:hint="eastAsia" w:ascii="仿宋_GB2312" w:hAnsi="仿宋" w:eastAsia="仿宋_GB2312" w:cs="仿宋_GB2312"/>
          <w:color w:val="000000"/>
          <w:sz w:val="32"/>
          <w:szCs w:val="32"/>
        </w:rPr>
        <w:t>工作稳步推进</w:t>
      </w:r>
      <w:r>
        <w:rPr>
          <w:rFonts w:hint="eastAsia" w:ascii="仿宋_GB2312" w:hAnsi="仿宋" w:eastAsia="仿宋_GB2312" w:cs="仿宋_GB2312"/>
          <w:color w:val="000000"/>
          <w:sz w:val="32"/>
          <w:szCs w:val="32"/>
          <w:lang w:eastAsia="zh-CN"/>
        </w:rPr>
        <w:t>。</w:t>
      </w:r>
      <w:r>
        <w:rPr>
          <w:rFonts w:hint="eastAsia" w:ascii="仿宋_GB2312" w:hAnsi="仿宋" w:eastAsia="仿宋_GB2312"/>
          <w:color w:val="000000"/>
          <w:sz w:val="32"/>
          <w:szCs w:val="32"/>
        </w:rPr>
        <w:t>20</w:t>
      </w:r>
      <w:r>
        <w:rPr>
          <w:rFonts w:hint="eastAsia" w:ascii="仿宋_GB2312" w:hAnsi="仿宋" w:eastAsia="仿宋_GB2312"/>
          <w:color w:val="000000"/>
          <w:sz w:val="32"/>
          <w:szCs w:val="32"/>
          <w:lang w:val="en-US" w:eastAsia="zh-CN"/>
        </w:rPr>
        <w:t>22</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eastAsia="zh-CN"/>
        </w:rPr>
        <w:t>公服科</w:t>
      </w:r>
      <w:r>
        <w:rPr>
          <w:rFonts w:hint="eastAsia" w:ascii="仿宋_GB2312" w:hAnsi="仿宋_GB2312" w:eastAsia="仿宋_GB2312"/>
          <w:color w:val="000000"/>
          <w:sz w:val="32"/>
          <w:szCs w:val="32"/>
          <w:lang w:eastAsia="zh-CN"/>
        </w:rPr>
        <w:t>下基层调研、指导、检查</w:t>
      </w:r>
      <w:r>
        <w:rPr>
          <w:rFonts w:hint="eastAsia" w:ascii="仿宋_GB2312" w:hAnsi="仿宋_GB2312" w:eastAsia="仿宋_GB2312"/>
          <w:color w:val="000000"/>
          <w:sz w:val="32"/>
          <w:szCs w:val="32"/>
          <w:lang w:val="en-US" w:eastAsia="zh-CN"/>
        </w:rPr>
        <w:t>12次，开展公共法律服务集中业务培训2次，乡镇公共法律服务站建成率达100%，公共法律服务工作规范率达100%。</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（二）项目效益情况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lang w:eastAsia="zh-CN"/>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hAnsi="仿宋_GB2312" w:eastAsia="仿宋_GB2312"/>
          <w:color w:val="000000"/>
          <w:sz w:val="32"/>
          <w:szCs w:val="32"/>
        </w:rPr>
        <w:t>我局按照年初计划完成</w:t>
      </w:r>
      <w:r>
        <w:rPr>
          <w:rFonts w:hint="eastAsia" w:ascii="仿宋_GB2312" w:hAnsi="仿宋_GB2312" w:eastAsia="仿宋_GB2312"/>
          <w:color w:val="000000"/>
          <w:sz w:val="32"/>
          <w:szCs w:val="32"/>
          <w:lang w:eastAsia="zh-CN"/>
        </w:rPr>
        <w:t>公共法律服务项目。为群众提供了优质法律服务，化解社会矛盾、服务群众，降低群众讼累，提高公证、司法鉴定的社会公信力，提高公共法律服务供给能力，满足群众对法律服务的需求，维护社会长治久安，构建和谐法治社会氛围。</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五、评价结论及建议</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（一）评价结论</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 w:eastAsia="仿宋_GB2312" w:cs="仿宋_GB2312"/>
          <w:color w:val="000000"/>
          <w:sz w:val="32"/>
          <w:szCs w:val="32"/>
        </w:rPr>
        <w:t>依据</w:t>
      </w:r>
      <w:r>
        <w:rPr>
          <w:rFonts w:hint="eastAsia" w:ascii="仿宋_GB2312" w:hAnsi="仿宋" w:eastAsia="仿宋_GB2312" w:cs="仿宋_GB2312"/>
          <w:color w:val="000000"/>
          <w:sz w:val="32"/>
          <w:szCs w:val="32"/>
          <w:lang w:eastAsia="zh-CN"/>
        </w:rPr>
        <w:t>公共法律服务项目</w:t>
      </w:r>
      <w:r>
        <w:rPr>
          <w:rFonts w:hint="eastAsia" w:ascii="仿宋_GB2312" w:hAnsi="仿宋" w:eastAsia="仿宋_GB2312" w:cs="仿宋_GB2312"/>
          <w:color w:val="000000"/>
          <w:sz w:val="32"/>
          <w:szCs w:val="32"/>
        </w:rPr>
        <w:t>设置的绩效评价指标体系、标准值、权重（分值）评价标准，经与指标完成值评价打分，综合得分9</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分。</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（二）存在的问题</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 w:eastAsia="仿宋_GB2312" w:cs="仿宋_GB2312"/>
          <w:color w:val="000000"/>
          <w:sz w:val="32"/>
          <w:szCs w:val="32"/>
          <w:shd w:val="clear" w:color="auto" w:fill="FFFFFF"/>
          <w:lang w:eastAsia="zh-CN"/>
        </w:rPr>
      </w:pPr>
      <w:r>
        <w:rPr>
          <w:rFonts w:hint="eastAsia" w:ascii="仿宋_GB2312" w:hAnsi="仿宋" w:eastAsia="仿宋_GB2312" w:cs="仿宋_GB2312"/>
          <w:color w:val="000000"/>
          <w:sz w:val="32"/>
          <w:szCs w:val="32"/>
          <w:shd w:val="clear" w:color="auto" w:fill="FFFFFF"/>
          <w:lang w:eastAsia="zh-CN"/>
        </w:rPr>
        <w:t>公共法律服务人员业务素质有待进一步提升。人员流动性大，要不断的加强业务培训，提升工作人员业务能力和素质。</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（三）相关建议</w:t>
      </w:r>
    </w:p>
    <w:p>
      <w:pPr>
        <w:keepNext w:val="0"/>
        <w:keepLines w:val="0"/>
        <w:pageBreakBefore w:val="0"/>
        <w:kinsoku/>
        <w:wordWrap/>
        <w:overflowPunct/>
        <w:topLinePunct w:val="0"/>
        <w:autoSpaceDE/>
        <w:autoSpaceDN/>
        <w:bidi w:val="0"/>
        <w:spacing w:line="576" w:lineRule="exact"/>
        <w:ind w:left="0" w:leftChars="0"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在今后的工作中，我们将进一步加强管理，强化</w:t>
      </w:r>
      <w:r>
        <w:rPr>
          <w:rFonts w:hint="eastAsia" w:ascii="仿宋_GB2312" w:hAnsi="仿宋" w:eastAsia="仿宋_GB2312" w:cs="仿宋_GB2312"/>
          <w:color w:val="000000"/>
          <w:sz w:val="32"/>
          <w:szCs w:val="32"/>
          <w:lang w:eastAsia="zh-CN"/>
        </w:rPr>
        <w:t>公共法律服务工作针对性和时效性</w:t>
      </w:r>
      <w:r>
        <w:rPr>
          <w:rFonts w:hint="eastAsia" w:ascii="仿宋_GB2312" w:hAnsi="仿宋" w:eastAsia="仿宋_GB2312" w:cs="仿宋_GB2312"/>
          <w:color w:val="000000"/>
          <w:sz w:val="32"/>
          <w:szCs w:val="32"/>
        </w:rPr>
        <w:t>，进一步落实</w:t>
      </w:r>
      <w:r>
        <w:rPr>
          <w:rFonts w:hint="eastAsia" w:ascii="仿宋_GB2312" w:hAnsi="仿宋" w:eastAsia="仿宋_GB2312" w:cs="仿宋_GB2312"/>
          <w:color w:val="000000"/>
          <w:sz w:val="32"/>
          <w:szCs w:val="32"/>
          <w:lang w:eastAsia="zh-CN"/>
        </w:rPr>
        <w:t>公共法律服务工作</w:t>
      </w:r>
      <w:r>
        <w:rPr>
          <w:rFonts w:hint="eastAsia" w:ascii="仿宋_GB2312" w:hAnsi="仿宋" w:eastAsia="仿宋_GB2312" w:cs="仿宋_GB2312"/>
          <w:color w:val="000000"/>
          <w:sz w:val="32"/>
          <w:szCs w:val="32"/>
        </w:rPr>
        <w:t>质量评估标准，</w:t>
      </w:r>
      <w:r>
        <w:rPr>
          <w:rFonts w:hint="eastAsia" w:ascii="仿宋_GB2312" w:hAnsi="仿宋" w:eastAsia="仿宋_GB2312" w:cs="仿宋_GB2312"/>
          <w:color w:val="000000"/>
          <w:sz w:val="32"/>
          <w:szCs w:val="32"/>
          <w:shd w:val="clear" w:color="auto" w:fill="FFFFFF"/>
        </w:rPr>
        <w:t>优化</w:t>
      </w:r>
      <w:r>
        <w:rPr>
          <w:rFonts w:hint="eastAsia" w:ascii="仿宋_GB2312" w:hAnsi="仿宋" w:eastAsia="仿宋_GB2312" w:cs="仿宋_GB2312"/>
          <w:color w:val="000000"/>
          <w:sz w:val="32"/>
          <w:szCs w:val="32"/>
          <w:shd w:val="clear" w:color="auto" w:fill="FFFFFF"/>
          <w:lang w:eastAsia="zh-CN"/>
        </w:rPr>
        <w:t>工作</w:t>
      </w:r>
      <w:r>
        <w:rPr>
          <w:rFonts w:hint="eastAsia" w:ascii="仿宋_GB2312" w:hAnsi="仿宋" w:eastAsia="仿宋_GB2312" w:cs="仿宋_GB2312"/>
          <w:color w:val="000000"/>
          <w:sz w:val="32"/>
          <w:szCs w:val="32"/>
          <w:shd w:val="clear" w:color="auto" w:fill="FFFFFF"/>
        </w:rPr>
        <w:t>流程，克服我市</w:t>
      </w:r>
      <w:r>
        <w:rPr>
          <w:rFonts w:hint="eastAsia" w:ascii="仿宋_GB2312" w:hAnsi="仿宋" w:eastAsia="仿宋_GB2312" w:cs="仿宋_GB2312"/>
          <w:color w:val="000000"/>
          <w:sz w:val="32"/>
          <w:szCs w:val="32"/>
          <w:shd w:val="clear" w:color="auto" w:fill="FFFFFF"/>
          <w:lang w:eastAsia="zh-CN"/>
        </w:rPr>
        <w:t>公共法律服务</w:t>
      </w:r>
      <w:r>
        <w:rPr>
          <w:rFonts w:hint="eastAsia" w:ascii="仿宋_GB2312" w:hAnsi="仿宋" w:eastAsia="仿宋_GB2312" w:cs="仿宋_GB2312"/>
          <w:color w:val="000000"/>
          <w:sz w:val="32"/>
          <w:szCs w:val="32"/>
          <w:shd w:val="clear" w:color="auto" w:fill="FFFFFF"/>
        </w:rPr>
        <w:t>工作</w:t>
      </w:r>
      <w:r>
        <w:rPr>
          <w:rFonts w:hint="eastAsia" w:ascii="仿宋_GB2312" w:hAnsi="仿宋" w:eastAsia="仿宋_GB2312" w:cs="仿宋_GB2312"/>
          <w:color w:val="000000"/>
          <w:sz w:val="32"/>
          <w:szCs w:val="32"/>
          <w:shd w:val="clear" w:color="auto" w:fill="FFFFFF"/>
          <w:lang w:eastAsia="zh-CN"/>
        </w:rPr>
        <w:t>中的短板和问题，</w:t>
      </w:r>
      <w:r>
        <w:rPr>
          <w:rFonts w:hint="eastAsia" w:ascii="仿宋_GB2312" w:hAnsi="仿宋" w:eastAsia="仿宋_GB2312" w:cs="仿宋_GB2312"/>
          <w:color w:val="000000"/>
          <w:sz w:val="32"/>
          <w:szCs w:val="32"/>
        </w:rPr>
        <w:t>提高资金使用效益，为全市</w:t>
      </w:r>
      <w:r>
        <w:rPr>
          <w:rFonts w:hint="eastAsia" w:ascii="仿宋_GB2312" w:hAnsi="仿宋" w:eastAsia="仿宋_GB2312" w:cs="仿宋_GB2312"/>
          <w:color w:val="000000"/>
          <w:sz w:val="32"/>
          <w:szCs w:val="32"/>
          <w:lang w:eastAsia="zh-CN"/>
        </w:rPr>
        <w:t>公共法律服务</w:t>
      </w:r>
      <w:r>
        <w:rPr>
          <w:rFonts w:hint="eastAsia" w:ascii="仿宋_GB2312" w:hAnsi="仿宋" w:eastAsia="仿宋_GB2312" w:cs="仿宋_GB2312"/>
          <w:color w:val="000000"/>
          <w:sz w:val="32"/>
          <w:szCs w:val="32"/>
        </w:rPr>
        <w:t>事业的持续健康发展提供有利的基础保障。</w:t>
      </w:r>
    </w:p>
    <w:p>
      <w:pPr>
        <w:spacing w:line="560" w:lineRule="exact"/>
        <w:jc w:val="center"/>
        <w:rPr>
          <w:rFonts w:hint="eastAsia" w:ascii="方正小标宋简体" w:hAnsi="宋体" w:eastAsia="方正小标宋简体"/>
          <w:color w:val="000000"/>
          <w:kern w:val="0"/>
          <w:sz w:val="44"/>
          <w:szCs w:val="44"/>
          <w:lang w:eastAsia="zh-CN"/>
        </w:rPr>
        <w:sectPr>
          <w:pgSz w:w="11906" w:h="16838"/>
          <w:pgMar w:top="1440" w:right="1800" w:bottom="1440" w:left="1800" w:header="851" w:footer="992" w:gutter="0"/>
          <w:pgNumType w:fmt="decimal"/>
          <w:cols w:space="425" w:num="1"/>
          <w:titlePg/>
          <w:docGrid w:type="lines" w:linePitch="312" w:charSpace="0"/>
        </w:sectPr>
      </w:pPr>
    </w:p>
    <w:tbl>
      <w:tblPr>
        <w:tblStyle w:val="16"/>
        <w:tblW w:w="142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9"/>
        <w:gridCol w:w="1184"/>
        <w:gridCol w:w="1350"/>
        <w:gridCol w:w="3134"/>
        <w:gridCol w:w="521"/>
        <w:gridCol w:w="795"/>
        <w:gridCol w:w="521"/>
        <w:gridCol w:w="1091"/>
        <w:gridCol w:w="780"/>
        <w:gridCol w:w="960"/>
        <w:gridCol w:w="870"/>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4268"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17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2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主管部门（盖章）</w:t>
            </w:r>
          </w:p>
        </w:tc>
        <w:tc>
          <w:tcPr>
            <w:tcW w:w="6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广元市司法局</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 （盖章）</w:t>
            </w:r>
          </w:p>
        </w:tc>
        <w:tc>
          <w:tcPr>
            <w:tcW w:w="4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项目基本情况</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1.项目年度目标完成情况</w:t>
            </w:r>
          </w:p>
        </w:tc>
        <w:tc>
          <w:tcPr>
            <w:tcW w:w="6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项目年度目标</w:t>
            </w:r>
          </w:p>
        </w:tc>
        <w:tc>
          <w:tcPr>
            <w:tcW w:w="54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6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负责规划和推进公共法律服务体系和平台建设工作，监督管理法律援助、司法鉴定、仲裁工作，指导社会组织和志愿者开展公共法律服务工作，为外来企业、民营企业投资提供法律咨询服务。</w:t>
            </w:r>
          </w:p>
        </w:tc>
        <w:tc>
          <w:tcPr>
            <w:tcW w:w="54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已完成相关年度目标。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2.项目实施内容及过程概述</w:t>
            </w:r>
          </w:p>
        </w:tc>
        <w:tc>
          <w:tcPr>
            <w:tcW w:w="117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定本单位公共法律服务经费使用范围、补贴标准，确保相关经费保障政策措施落到实处，督促市公共法律服务中心严格按照法律法规、政策标准及时、足额支付，不得截留，促进公共法律服务事业健康发展。通过数量指标、时效指标、质量指标、成本指标进行绩效评价项目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预算执行情况（10分）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年度预算数（万元）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总额</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77.47%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2022年受疫情影响，全市公证员、司法鉴定人员业务培训未能开展。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其中：财政资金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77.47%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绩效指标（90分）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完成公共法律服务工作及时率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组织全市公证员、司法鉴定人员、法律援助工作人员开展业务培训</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kern w:val="0"/>
                <w:sz w:val="18"/>
                <w:szCs w:val="18"/>
                <w:u w:val="none"/>
                <w:lang w:val="en"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下基层调研、指导、检查</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公共法律服务工作规范率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维护社会长治久安，构建和谐法治社会可持续完成率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降低群众诉讼率，提高公证、司法鉴定的社会公信力比例</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提高公共法律服务供给能力，满足群众对法律服务的需求率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群众对公共法律服务工作满意度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公共法律服务经费支出规范率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公共法律服务印刷费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kern w:val="0"/>
                <w:sz w:val="18"/>
                <w:szCs w:val="18"/>
                <w:u w:val="none"/>
                <w:lang w:val="en"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公共法律服务劳务费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9</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3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公共法律服务培训费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98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96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部门（单位）自评结论</w:t>
            </w:r>
          </w:p>
        </w:tc>
        <w:tc>
          <w:tcPr>
            <w:tcW w:w="129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据公共法律服务项目设置的绩效评价指标体系、标准值、权重（分值）评价标准，综合得分96分。该项目为群众提供了优质法律服务，化解社会矛盾、服务群众，降低群众讼累，提高公证、司法鉴定的社会公信力，提高公共法律服务供给能力，满足群众对法律服务的需求，维护社会长治久安，构建和谐法治社会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部门（单位）自评存在问题</w:t>
            </w:r>
          </w:p>
        </w:tc>
        <w:tc>
          <w:tcPr>
            <w:tcW w:w="129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公共法律服务人员业务素质有待进一步提升。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6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部门（单位）自评改进措施</w:t>
            </w:r>
          </w:p>
        </w:tc>
        <w:tc>
          <w:tcPr>
            <w:tcW w:w="129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加强业务培训，提升工作人员业务能力和素质，强化公共法律服务工作针对性和时效性，进一步落实公共法律服务工作质量评估标准，优化工作流程，克服我市公共法律服务工作中的短板和问题，提高资金使用效益，为全市公共法律服务事业的持续健康发展提供有利的基础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财政部门对口科室复评结论及整改要求</w:t>
            </w:r>
          </w:p>
        </w:tc>
        <w:tc>
          <w:tcPr>
            <w:tcW w:w="129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bl>
    <w:p>
      <w:pPr>
        <w:pStyle w:val="2"/>
        <w:rPr>
          <w:rFonts w:hint="eastAsia"/>
          <w:lang w:eastAsia="zh-CN"/>
        </w:rPr>
        <w:sectPr>
          <w:pgSz w:w="16838" w:h="11906" w:orient="landscape"/>
          <w:pgMar w:top="1800" w:right="1440" w:bottom="1800" w:left="1440" w:header="851" w:footer="992" w:gutter="0"/>
          <w:pgNumType w:fmt="decimal"/>
          <w:cols w:space="425" w:num="1"/>
          <w:titlePg/>
          <w:docGrid w:type="lines" w:linePitch="312" w:charSpace="0"/>
        </w:sectPr>
      </w:pPr>
    </w:p>
    <w:p>
      <w:pPr>
        <w:rPr>
          <w:rFonts w:hint="eastAsia"/>
          <w:lang w:eastAsia="zh-CN"/>
        </w:rPr>
      </w:pPr>
    </w:p>
    <w:p>
      <w:pPr>
        <w:spacing w:line="560" w:lineRule="exact"/>
        <w:jc w:val="center"/>
        <w:rPr>
          <w:rFonts w:hint="eastAsia" w:ascii="方正小标宋简体" w:hAnsi="宋体" w:eastAsia="方正小标宋简体"/>
          <w:color w:val="000000"/>
          <w:kern w:val="0"/>
          <w:sz w:val="44"/>
          <w:szCs w:val="44"/>
          <w:lang w:eastAsia="zh-CN"/>
        </w:rPr>
      </w:pPr>
      <w:r>
        <w:rPr>
          <w:rFonts w:hint="eastAsia" w:ascii="方正小标宋简体" w:hAnsi="宋体" w:eastAsia="方正小标宋简体"/>
          <w:color w:val="000000"/>
          <w:kern w:val="0"/>
          <w:sz w:val="44"/>
          <w:szCs w:val="44"/>
          <w:lang w:eastAsia="zh-CN"/>
        </w:rPr>
        <w:t>广元市司法局</w:t>
      </w:r>
    </w:p>
    <w:p>
      <w:pPr>
        <w:spacing w:line="560" w:lineRule="exact"/>
        <w:jc w:val="center"/>
        <w:rPr>
          <w:rFonts w:hint="eastAsia" w:ascii="方正小标宋简体" w:hAnsi="方正小标宋简体" w:eastAsia="方正小标宋简体"/>
          <w:color w:val="000000"/>
          <w:kern w:val="0"/>
          <w:sz w:val="44"/>
          <w:szCs w:val="44"/>
        </w:rPr>
      </w:pPr>
      <w:r>
        <w:rPr>
          <w:rFonts w:hint="eastAsia" w:ascii="方正小标宋简体" w:hAnsi="宋体" w:eastAsia="方正小标宋简体"/>
          <w:color w:val="000000"/>
          <w:kern w:val="0"/>
          <w:sz w:val="44"/>
          <w:szCs w:val="44"/>
          <w:lang w:eastAsia="zh-CN"/>
        </w:rPr>
        <w:t>关于</w:t>
      </w:r>
      <w:r>
        <w:rPr>
          <w:rFonts w:hint="eastAsia" w:ascii="方正小标宋简体" w:hAnsi="宋体" w:eastAsia="方正小标宋简体"/>
          <w:color w:val="000000"/>
          <w:kern w:val="0"/>
          <w:sz w:val="44"/>
          <w:szCs w:val="44"/>
        </w:rPr>
        <w:t>20</w:t>
      </w:r>
      <w:r>
        <w:rPr>
          <w:rFonts w:hint="eastAsia" w:ascii="方正小标宋简体" w:hAnsi="宋体" w:eastAsia="方正小标宋简体"/>
          <w:color w:val="000000"/>
          <w:kern w:val="0"/>
          <w:sz w:val="44"/>
          <w:szCs w:val="44"/>
          <w:lang w:val="en-US" w:eastAsia="zh-CN"/>
        </w:rPr>
        <w:t>22</w:t>
      </w:r>
      <w:r>
        <w:rPr>
          <w:rFonts w:hint="eastAsia" w:ascii="方正小标宋简体" w:hAnsi="方正小标宋简体" w:eastAsia="方正小标宋简体"/>
          <w:color w:val="000000"/>
          <w:kern w:val="0"/>
          <w:sz w:val="44"/>
          <w:szCs w:val="44"/>
        </w:rPr>
        <w:t>年</w:t>
      </w:r>
      <w:r>
        <w:rPr>
          <w:rFonts w:hint="eastAsia" w:ascii="方正小标宋简体" w:hAnsi="方正小标宋简体" w:eastAsia="方正小标宋简体"/>
          <w:color w:val="000000"/>
          <w:kern w:val="0"/>
          <w:sz w:val="44"/>
          <w:szCs w:val="44"/>
          <w:lang w:eastAsia="zh-CN"/>
        </w:rPr>
        <w:t>国家统一法律职业资格</w:t>
      </w:r>
      <w:r>
        <w:rPr>
          <w:rFonts w:hint="eastAsia" w:ascii="方正小标宋简体" w:hAnsi="方正小标宋简体" w:eastAsia="方正小标宋简体"/>
          <w:color w:val="000000"/>
          <w:kern w:val="0"/>
          <w:sz w:val="44"/>
          <w:szCs w:val="44"/>
        </w:rPr>
        <w:t>项目</w:t>
      </w:r>
    </w:p>
    <w:p>
      <w:pPr>
        <w:spacing w:line="560" w:lineRule="exact"/>
        <w:jc w:val="center"/>
        <w:rPr>
          <w:rFonts w:hint="eastAsia"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支出</w:t>
      </w:r>
      <w:r>
        <w:rPr>
          <w:rFonts w:hint="eastAsia" w:ascii="方正小标宋简体" w:hAnsi="方正小标宋简体" w:eastAsia="方正小标宋简体"/>
          <w:color w:val="000000"/>
          <w:kern w:val="0"/>
          <w:sz w:val="44"/>
          <w:szCs w:val="44"/>
        </w:rPr>
        <w:t>绩效评价</w:t>
      </w:r>
      <w:r>
        <w:rPr>
          <w:rFonts w:hint="eastAsia" w:ascii="方正小标宋简体" w:hAnsi="方正小标宋简体" w:eastAsia="方正小标宋简体"/>
          <w:color w:val="000000"/>
          <w:kern w:val="0"/>
          <w:sz w:val="44"/>
          <w:szCs w:val="44"/>
          <w:lang w:eastAsia="zh-CN"/>
        </w:rPr>
        <w:t>的</w:t>
      </w:r>
      <w:r>
        <w:rPr>
          <w:rFonts w:hint="eastAsia" w:ascii="方正小标宋简体" w:hAnsi="方正小标宋简体" w:eastAsia="方正小标宋简体"/>
          <w:color w:val="000000"/>
          <w:kern w:val="0"/>
          <w:sz w:val="44"/>
          <w:szCs w:val="44"/>
        </w:rPr>
        <w:t>报告</w:t>
      </w:r>
    </w:p>
    <w:p>
      <w:pPr>
        <w:spacing w:line="560" w:lineRule="exact"/>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spacing w:line="576" w:lineRule="exact"/>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市财政局：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现将我局2022年国家统一法律职业资格项目支出绩效评价情况报告如下：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olor w:val="000000"/>
          <w:sz w:val="32"/>
          <w:szCs w:val="32"/>
        </w:rPr>
      </w:pPr>
      <w:r>
        <w:rPr>
          <w:rFonts w:hint="eastAsia" w:ascii="黑体" w:hAnsi="黑体" w:eastAsia="黑体" w:cs="Times New Roman"/>
          <w:color w:val="000000"/>
          <w:sz w:val="32"/>
          <w:szCs w:val="32"/>
          <w:lang w:eastAsia="zh-CN"/>
        </w:rPr>
        <w:t>一、</w:t>
      </w:r>
      <w:r>
        <w:rPr>
          <w:rFonts w:hint="eastAsia" w:ascii="黑体" w:hAnsi="黑体" w:eastAsia="黑体"/>
          <w:color w:val="000000"/>
          <w:sz w:val="32"/>
          <w:szCs w:val="32"/>
        </w:rPr>
        <w:t>项目概况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1</w:t>
      </w:r>
      <w:r>
        <w:rPr>
          <w:rFonts w:hint="eastAsia" w:ascii="仿宋_GB2312" w:hAnsi="仿宋_GB2312" w:eastAsia="仿宋_GB2312"/>
          <w:color w:val="000000"/>
          <w:sz w:val="32"/>
          <w:szCs w:val="32"/>
        </w:rPr>
        <w:t>.项目主管部门（单位）在该项目管理中的职能</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组织实施全市国家统一法律职业资格考试工作。负责国家统一法律职业资格申请、审核、报批、颁证、档案建立使用、违纪违规处理等管理工作。组织实施法律职业人员入职前培训工作。</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2</w:t>
      </w:r>
      <w:r>
        <w:rPr>
          <w:rFonts w:hint="eastAsia" w:ascii="仿宋_GB2312" w:hAnsi="仿宋_GB2312" w:eastAsia="仿宋_GB2312"/>
          <w:color w:val="000000"/>
          <w:sz w:val="32"/>
          <w:szCs w:val="32"/>
        </w:rPr>
        <w:t>.项目立项、资金申报的依据</w:t>
      </w:r>
    </w:p>
    <w:p>
      <w:pPr>
        <w:pStyle w:val="15"/>
        <w:keepNext w:val="0"/>
        <w:keepLines w:val="0"/>
        <w:pageBreakBefore w:val="0"/>
        <w:kinsoku/>
        <w:wordWrap/>
        <w:overflowPunct/>
        <w:topLinePunct w:val="0"/>
        <w:autoSpaceDE/>
        <w:autoSpaceDN/>
        <w:bidi w:val="0"/>
        <w:spacing w:before="0" w:beforeAutospacing="0" w:after="0" w:afterAutospacing="0" w:line="576"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项目立项依据：</w:t>
      </w:r>
      <w:r>
        <w:rPr>
          <w:rFonts w:hint="eastAsia" w:ascii="仿宋_GB2312" w:eastAsia="仿宋_GB2312"/>
          <w:color w:val="000000"/>
          <w:sz w:val="32"/>
          <w:szCs w:val="32"/>
          <w:lang w:eastAsia="zh-CN"/>
        </w:rPr>
        <w:t>《</w:t>
      </w:r>
      <w:r>
        <w:rPr>
          <w:rFonts w:hint="eastAsia" w:ascii="仿宋_GB2312" w:eastAsia="仿宋_GB2312"/>
          <w:color w:val="000000"/>
          <w:sz w:val="32"/>
          <w:szCs w:val="32"/>
        </w:rPr>
        <w:t>国家统一法律职业资格考试实施办法</w:t>
      </w:r>
      <w:r>
        <w:rPr>
          <w:rFonts w:hint="eastAsia" w:ascii="仿宋_GB2312" w:eastAsia="仿宋_GB2312"/>
          <w:color w:val="000000"/>
          <w:sz w:val="32"/>
          <w:szCs w:val="32"/>
          <w:lang w:eastAsia="zh-CN"/>
        </w:rPr>
        <w:t>》</w:t>
      </w:r>
    </w:p>
    <w:p>
      <w:pPr>
        <w:pStyle w:val="15"/>
        <w:keepNext w:val="0"/>
        <w:keepLines w:val="0"/>
        <w:pageBreakBefore w:val="0"/>
        <w:kinsoku/>
        <w:wordWrap/>
        <w:overflowPunct/>
        <w:topLinePunct w:val="0"/>
        <w:autoSpaceDE/>
        <w:autoSpaceDN/>
        <w:bidi w:val="0"/>
        <w:spacing w:before="0" w:beforeAutospacing="0" w:after="0" w:afterAutospacing="0"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资金申报依据：</w:t>
      </w:r>
      <w:r>
        <w:rPr>
          <w:rFonts w:hint="eastAsia" w:ascii="仿宋_GB2312" w:eastAsia="仿宋_GB2312"/>
          <w:color w:val="000000"/>
          <w:sz w:val="32"/>
          <w:szCs w:val="32"/>
          <w:lang w:eastAsia="zh-CN"/>
        </w:rPr>
        <w:t>《司法部、财政部关于印发〔司法行政机关财务管理办法〕的通知》（财行〔</w:t>
      </w:r>
      <w:r>
        <w:rPr>
          <w:rFonts w:hint="default" w:ascii="仿宋_GB2312" w:eastAsia="仿宋_GB2312"/>
          <w:color w:val="000000"/>
          <w:sz w:val="32"/>
          <w:szCs w:val="32"/>
          <w:lang w:val="en" w:eastAsia="zh-CN"/>
        </w:rPr>
        <w:t>2017</w:t>
      </w:r>
      <w:r>
        <w:rPr>
          <w:rFonts w:hint="eastAsia" w:ascii="仿宋_GB2312" w:eastAsia="仿宋_GB2312"/>
          <w:color w:val="000000"/>
          <w:sz w:val="32"/>
          <w:szCs w:val="32"/>
          <w:lang w:eastAsia="zh-CN"/>
        </w:rPr>
        <w:t>〕</w:t>
      </w:r>
      <w:r>
        <w:rPr>
          <w:rFonts w:hint="default" w:ascii="仿宋_GB2312" w:eastAsia="仿宋_GB2312"/>
          <w:color w:val="000000"/>
          <w:sz w:val="32"/>
          <w:szCs w:val="32"/>
          <w:lang w:val="en" w:eastAsia="zh-CN"/>
        </w:rPr>
        <w:t>515</w:t>
      </w:r>
      <w:r>
        <w:rPr>
          <w:rFonts w:hint="eastAsia" w:ascii="仿宋_GB2312" w:eastAsia="仿宋_GB2312"/>
          <w:color w:val="000000"/>
          <w:sz w:val="32"/>
          <w:szCs w:val="32"/>
          <w:lang w:val="en" w:eastAsia="zh-CN"/>
        </w:rPr>
        <w:t>号</w:t>
      </w:r>
      <w:r>
        <w:rPr>
          <w:rFonts w:hint="eastAsia" w:ascii="仿宋_GB2312" w:eastAsia="仿宋_GB2312"/>
          <w:color w:val="000000"/>
          <w:sz w:val="32"/>
          <w:szCs w:val="32"/>
          <w:lang w:eastAsia="zh-CN"/>
        </w:rPr>
        <w:t>）</w:t>
      </w:r>
    </w:p>
    <w:p>
      <w:pPr>
        <w:pStyle w:val="15"/>
        <w:keepNext w:val="0"/>
        <w:keepLines w:val="0"/>
        <w:pageBreakBefore w:val="0"/>
        <w:numPr>
          <w:ilvl w:val="0"/>
          <w:numId w:val="0"/>
        </w:numPr>
        <w:kinsoku/>
        <w:wordWrap/>
        <w:overflowPunct/>
        <w:topLinePunct w:val="0"/>
        <w:autoSpaceDE/>
        <w:autoSpaceDN/>
        <w:bidi w:val="0"/>
        <w:spacing w:before="0" w:beforeAutospacing="0" w:after="0" w:afterAutospacing="0" w:line="576"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资金管理办法制定情况，资金支持具体项目的条件、范围与支持方式概况</w:t>
      </w:r>
    </w:p>
    <w:p>
      <w:pPr>
        <w:keepNext w:val="0"/>
        <w:keepLines w:val="0"/>
        <w:pageBreakBefore w:val="0"/>
        <w:kinsoku/>
        <w:wordWrap/>
        <w:overflowPunct/>
        <w:topLinePunct w:val="0"/>
        <w:autoSpaceDE/>
        <w:autoSpaceDN/>
        <w:bidi w:val="0"/>
        <w:spacing w:line="576" w:lineRule="exact"/>
        <w:ind w:firstLine="640" w:firstLineChars="200"/>
        <w:jc w:val="left"/>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资金管理办法制定情况</w:t>
      </w:r>
      <w:r>
        <w:rPr>
          <w:rFonts w:hint="eastAsia" w:ascii="仿宋_GB2312" w:eastAsia="仿宋_GB2312"/>
          <w:color w:val="000000"/>
          <w:sz w:val="32"/>
          <w:szCs w:val="32"/>
          <w:lang w:eastAsia="zh-CN"/>
        </w:rPr>
        <w:t>：我局按《司法部、财政部关于印发〔司法行政机关财务管理办法〕的通知》（财行〔</w:t>
      </w:r>
      <w:r>
        <w:rPr>
          <w:rFonts w:hint="default" w:ascii="仿宋_GB2312" w:eastAsia="仿宋_GB2312"/>
          <w:color w:val="000000"/>
          <w:sz w:val="32"/>
          <w:szCs w:val="32"/>
          <w:lang w:val="en" w:eastAsia="zh-CN"/>
        </w:rPr>
        <w:t>2017</w:t>
      </w:r>
      <w:r>
        <w:rPr>
          <w:rFonts w:hint="eastAsia" w:ascii="仿宋_GB2312" w:eastAsia="仿宋_GB2312"/>
          <w:color w:val="000000"/>
          <w:sz w:val="32"/>
          <w:szCs w:val="32"/>
          <w:lang w:eastAsia="zh-CN"/>
        </w:rPr>
        <w:t>〕</w:t>
      </w:r>
      <w:r>
        <w:rPr>
          <w:rFonts w:hint="default" w:ascii="仿宋_GB2312" w:eastAsia="仿宋_GB2312"/>
          <w:color w:val="000000"/>
          <w:sz w:val="32"/>
          <w:szCs w:val="32"/>
          <w:lang w:val="en" w:eastAsia="zh-CN"/>
        </w:rPr>
        <w:t>515</w:t>
      </w:r>
      <w:r>
        <w:rPr>
          <w:rFonts w:hint="eastAsia" w:ascii="仿宋_GB2312" w:eastAsia="仿宋_GB2312"/>
          <w:color w:val="000000"/>
          <w:sz w:val="32"/>
          <w:szCs w:val="32"/>
          <w:lang w:val="en" w:eastAsia="zh-CN"/>
        </w:rPr>
        <w:t>号</w:t>
      </w:r>
      <w:r>
        <w:rPr>
          <w:rFonts w:hint="eastAsia" w:ascii="仿宋_GB2312" w:eastAsia="仿宋_GB2312"/>
          <w:color w:val="000000"/>
          <w:sz w:val="32"/>
          <w:szCs w:val="32"/>
          <w:lang w:eastAsia="zh-CN"/>
        </w:rPr>
        <w:t>）</w:t>
      </w:r>
      <w:r>
        <w:rPr>
          <w:rFonts w:hint="eastAsia" w:ascii="仿宋_GB2312" w:hAnsi="仿宋_GB2312" w:eastAsia="仿宋_GB2312" w:cs="仿宋_GB2312"/>
          <w:color w:val="000000"/>
          <w:sz w:val="32"/>
          <w:szCs w:val="32"/>
          <w:lang w:val="en-US" w:eastAsia="zh-CN"/>
        </w:rPr>
        <w:t>执行。我局也制定了《广元市司法局财务管理规定》</w:t>
      </w: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eastAsia="zh-CN"/>
        </w:rPr>
        <w:t>，并</w:t>
      </w:r>
      <w:r>
        <w:rPr>
          <w:rFonts w:hint="eastAsia" w:ascii="仿宋_GB2312" w:eastAsia="仿宋_GB2312"/>
          <w:sz w:val="32"/>
          <w:szCs w:val="32"/>
          <w:highlight w:val="none"/>
        </w:rPr>
        <w:t>根据《财政部</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司法部关于印发〈司法行政机关财务管理办法》的通知〉（财行〔2017〕515号）文件精神，参照</w:t>
      </w:r>
      <w:r>
        <w:rPr>
          <w:rFonts w:hint="eastAsia" w:ascii="仿宋_GB2312" w:eastAsia="仿宋_GB2312"/>
          <w:sz w:val="32"/>
          <w:szCs w:val="32"/>
        </w:rPr>
        <w:t>省人力资源和社会保障厅、省财政厅《关于印发〈四川省人事考试考务费支出管理暂行办法〉的通知》（川人社办发〔2017〕933号）</w:t>
      </w:r>
      <w:r>
        <w:rPr>
          <w:rFonts w:hint="eastAsia" w:ascii="仿宋_GB2312" w:eastAsia="仿宋_GB2312"/>
          <w:sz w:val="32"/>
          <w:szCs w:val="32"/>
          <w:lang w:eastAsia="zh-CN"/>
        </w:rPr>
        <w:t>《广元市财政局关于解答厉行节约相关制度办法有关问题的通知》（广财行</w:t>
      </w:r>
      <w:r>
        <w:rPr>
          <w:rFonts w:hint="eastAsia" w:ascii="仿宋_GB2312" w:eastAsia="仿宋_GB2312"/>
          <w:sz w:val="32"/>
          <w:szCs w:val="32"/>
          <w:highlight w:val="none"/>
        </w:rPr>
        <w:t>〔201</w:t>
      </w: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5号）</w:t>
      </w:r>
      <w:r>
        <w:rPr>
          <w:rFonts w:hint="eastAsia" w:ascii="仿宋_GB2312" w:eastAsia="仿宋_GB2312"/>
          <w:sz w:val="32"/>
          <w:szCs w:val="32"/>
          <w:lang w:eastAsia="zh-CN"/>
        </w:rPr>
        <w:t>文件</w:t>
      </w:r>
      <w:r>
        <w:rPr>
          <w:rFonts w:hint="eastAsia" w:ascii="仿宋_GB2312" w:eastAsia="仿宋_GB2312"/>
          <w:spacing w:val="4"/>
          <w:sz w:val="32"/>
          <w:szCs w:val="32"/>
          <w:highlight w:val="none"/>
          <w:lang w:eastAsia="zh-CN"/>
        </w:rPr>
        <w:t>相关规定和其他市州法考经费支出标准</w:t>
      </w:r>
      <w:r>
        <w:rPr>
          <w:rFonts w:hint="eastAsia" w:ascii="仿宋_GB2312" w:eastAsia="仿宋_GB2312"/>
          <w:spacing w:val="4"/>
          <w:sz w:val="32"/>
          <w:szCs w:val="32"/>
          <w:highlight w:val="none"/>
        </w:rPr>
        <w:t>等</w:t>
      </w:r>
      <w:r>
        <w:rPr>
          <w:rFonts w:hint="eastAsia" w:ascii="仿宋_GB2312" w:eastAsia="仿宋_GB2312"/>
          <w:spacing w:val="4"/>
          <w:sz w:val="32"/>
          <w:szCs w:val="32"/>
          <w:highlight w:val="none"/>
          <w:lang w:eastAsia="zh-CN"/>
        </w:rPr>
        <w:t>情况</w:t>
      </w:r>
      <w:r>
        <w:rPr>
          <w:rFonts w:hint="eastAsia" w:ascii="仿宋_GB2312" w:eastAsia="仿宋_GB2312"/>
          <w:spacing w:val="4"/>
          <w:sz w:val="32"/>
          <w:szCs w:val="32"/>
          <w:highlight w:val="none"/>
        </w:rPr>
        <w:t>，结合</w:t>
      </w:r>
      <w:r>
        <w:rPr>
          <w:rFonts w:hint="eastAsia" w:ascii="仿宋_GB2312" w:eastAsia="仿宋_GB2312"/>
          <w:spacing w:val="4"/>
          <w:sz w:val="32"/>
          <w:szCs w:val="32"/>
          <w:highlight w:val="none"/>
          <w:lang w:eastAsia="zh-CN"/>
        </w:rPr>
        <w:t>本市工作</w:t>
      </w:r>
      <w:r>
        <w:rPr>
          <w:rFonts w:hint="eastAsia" w:ascii="仿宋_GB2312" w:eastAsia="仿宋_GB2312"/>
          <w:spacing w:val="4"/>
          <w:sz w:val="32"/>
          <w:szCs w:val="32"/>
          <w:highlight w:val="none"/>
        </w:rPr>
        <w:t>实际，制定</w:t>
      </w:r>
      <w:r>
        <w:rPr>
          <w:rFonts w:hint="eastAsia" w:ascii="仿宋_GB2312" w:eastAsia="仿宋_GB2312"/>
          <w:spacing w:val="4"/>
          <w:sz w:val="32"/>
          <w:szCs w:val="32"/>
          <w:highlight w:val="none"/>
          <w:lang w:eastAsia="zh-CN"/>
        </w:rPr>
        <w:t>了《国家统一法律职业资格考试经费支出办法》（</w:t>
      </w:r>
      <w:r>
        <w:rPr>
          <w:rFonts w:hint="eastAsia" w:ascii="仿宋_GB2312" w:eastAsia="仿宋_GB2312"/>
          <w:sz w:val="32"/>
          <w:szCs w:val="32"/>
        </w:rPr>
        <w:t>广司</w:t>
      </w:r>
      <w:r>
        <w:rPr>
          <w:rFonts w:hint="eastAsia" w:ascii="仿宋_GB2312" w:eastAsia="仿宋_GB2312"/>
          <w:sz w:val="32"/>
          <w:szCs w:val="32"/>
          <w:lang w:eastAsia="zh-CN"/>
        </w:rPr>
        <w:t>办</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ascii="仿宋_GB2312" w:eastAsia="仿宋_GB2312"/>
          <w:sz w:val="32"/>
          <w:szCs w:val="32"/>
        </w:rPr>
        <w:t>号</w:t>
      </w:r>
      <w:r>
        <w:rPr>
          <w:rFonts w:hint="eastAsia" w:ascii="仿宋_GB2312" w:eastAsia="仿宋_GB2312"/>
          <w:spacing w:val="4"/>
          <w:sz w:val="32"/>
          <w:szCs w:val="32"/>
          <w:highlight w:val="none"/>
          <w:lang w:eastAsia="zh-CN"/>
        </w:rPr>
        <w:t>）。</w:t>
      </w:r>
      <w:r>
        <w:rPr>
          <w:rFonts w:hint="eastAsia" w:ascii="仿宋_GB2312" w:eastAsia="仿宋_GB2312"/>
          <w:color w:val="000000"/>
          <w:sz w:val="32"/>
          <w:szCs w:val="32"/>
          <w:lang w:eastAsia="zh-CN"/>
        </w:rPr>
        <w:t>国家统一法律职业资格考试是国家统一组织的选拔合格法律职业人才的国家考试。国家统一法律职业资格考试项目资金主要用于贯彻全面依法治国，</w:t>
      </w:r>
      <w:r>
        <w:rPr>
          <w:rFonts w:hint="eastAsia" w:ascii="仿宋_GB2312" w:hAnsi="仿宋_GB2312" w:eastAsia="仿宋_GB2312" w:cs="仿宋_GB2312"/>
          <w:spacing w:val="0"/>
          <w:sz w:val="32"/>
          <w:szCs w:val="32"/>
          <w:lang w:val="en-US" w:eastAsia="zh-CN"/>
        </w:rPr>
        <w:t>落实习近平总书记重要指示精神</w:t>
      </w:r>
      <w:r>
        <w:rPr>
          <w:rFonts w:hint="eastAsia" w:ascii="仿宋_GB2312" w:hAnsi="仿宋_GB2312" w:eastAsia="仿宋_GB2312" w:cs="仿宋_GB2312"/>
          <w:spacing w:val="20"/>
          <w:sz w:val="32"/>
          <w:szCs w:val="32"/>
          <w:lang w:val="en-US" w:eastAsia="zh-CN"/>
        </w:rPr>
        <w:t>，推进</w:t>
      </w:r>
      <w:r>
        <w:rPr>
          <w:rFonts w:hint="eastAsia" w:ascii="仿宋_GB2312" w:eastAsia="仿宋_GB2312"/>
          <w:color w:val="000000"/>
          <w:sz w:val="32"/>
          <w:szCs w:val="32"/>
          <w:lang w:eastAsia="zh-CN"/>
        </w:rPr>
        <w:t>建设革命化、正规化、专业化、职业化社会主义法治工作队伍。按司法部、省司法厅要求组织实施好国家统一法律职业资格考试客观题、主观题考试工作，确保有稳定考试环境、考试场所，充足优质的考试机位，顺利平稳安全完成组考工作。</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4</w:t>
      </w:r>
      <w:r>
        <w:rPr>
          <w:rFonts w:hint="eastAsia" w:ascii="仿宋_GB2312" w:hAnsi="仿宋_GB2312" w:eastAsia="仿宋_GB2312"/>
          <w:color w:val="000000"/>
          <w:sz w:val="32"/>
          <w:szCs w:val="32"/>
        </w:rPr>
        <w:t>.资金分配的原则及考虑因素</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olor w:val="000000"/>
          <w:sz w:val="32"/>
          <w:szCs w:val="32"/>
        </w:rPr>
      </w:pPr>
      <w:r>
        <w:rPr>
          <w:rFonts w:hint="eastAsia" w:ascii="仿宋_GB2312" w:hAnsi="仿宋" w:eastAsia="仿宋_GB2312"/>
          <w:color w:val="000000"/>
          <w:sz w:val="32"/>
          <w:szCs w:val="32"/>
          <w:lang w:eastAsia="zh-CN"/>
        </w:rPr>
        <w:t>按照司法厅、省司法厅要求，结合年度报考国家统一法律职业资格考试人员数量</w:t>
      </w:r>
      <w:r>
        <w:rPr>
          <w:rFonts w:hint="eastAsia" w:ascii="仿宋_GB2312" w:hAnsi="仿宋" w:eastAsia="仿宋_GB2312"/>
          <w:color w:val="000000"/>
          <w:sz w:val="32"/>
          <w:szCs w:val="32"/>
        </w:rPr>
        <w:t>等因素确定。</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（二）项目绩效目标。</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宋体" w:eastAsia="仿宋_GB2312"/>
          <w:color w:val="000000"/>
          <w:sz w:val="32"/>
          <w:szCs w:val="32"/>
        </w:rPr>
        <w:t>1</w:t>
      </w:r>
      <w:r>
        <w:rPr>
          <w:rFonts w:hint="eastAsia" w:ascii="仿宋_GB2312" w:hAnsi="仿宋_GB2312" w:eastAsia="仿宋_GB2312"/>
          <w:color w:val="000000"/>
          <w:sz w:val="32"/>
          <w:szCs w:val="32"/>
        </w:rPr>
        <w:t>.项目主要内容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组织完成实施全市国家统一法律职业资格考试工作。</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rPr>
        <w:t>项目应实现的具体绩效目标，包括目标的量化、细化情况以及项目实施进度计划等</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olor w:val="000000"/>
          <w:sz w:val="32"/>
          <w:szCs w:val="32"/>
          <w:lang w:val="en" w:eastAsia="zh-CN"/>
        </w:rPr>
      </w:pPr>
      <w:r>
        <w:rPr>
          <w:rFonts w:hint="eastAsia" w:ascii="仿宋_GB2312" w:hAnsi="仿宋_GB2312" w:eastAsia="仿宋_GB2312"/>
          <w:color w:val="000000"/>
          <w:sz w:val="32"/>
          <w:szCs w:val="32"/>
          <w:lang w:eastAsia="zh-CN"/>
        </w:rPr>
        <w:t>两个考点学校确定，考试场地租赁、考务人员安排、外围保障人员安排（包括经信、城管、公安、电力、网络、食品安全、教育、卫健人员）、考试设备购买、租赁，考点考场标识标牌布置、文件资料制作等。客观题考试，</w:t>
      </w:r>
      <w:r>
        <w:rPr>
          <w:rFonts w:hint="eastAsia" w:ascii="仿宋_GB2312" w:hAnsi="仿宋_GB2312" w:eastAsia="仿宋_GB2312"/>
          <w:color w:val="000000"/>
          <w:sz w:val="32"/>
          <w:szCs w:val="32"/>
          <w:lang w:val="en" w:eastAsia="zh-CN"/>
        </w:rPr>
        <w:t>应试人员</w:t>
      </w:r>
      <w:r>
        <w:rPr>
          <w:rFonts w:hint="default" w:ascii="仿宋_GB2312" w:hAnsi="仿宋_GB2312" w:eastAsia="仿宋_GB2312"/>
          <w:color w:val="000000"/>
          <w:sz w:val="32"/>
          <w:szCs w:val="32"/>
          <w:lang w:val="en" w:eastAsia="zh-CN"/>
        </w:rPr>
        <w:t>572</w:t>
      </w:r>
      <w:r>
        <w:rPr>
          <w:rFonts w:hint="eastAsia" w:ascii="仿宋_GB2312" w:hAnsi="仿宋_GB2312" w:eastAsia="仿宋_GB2312"/>
          <w:color w:val="000000"/>
          <w:sz w:val="32"/>
          <w:szCs w:val="32"/>
          <w:lang w:val="en" w:eastAsia="zh-CN"/>
        </w:rPr>
        <w:t>人，</w:t>
      </w:r>
      <w:r>
        <w:rPr>
          <w:rFonts w:hint="eastAsia" w:ascii="仿宋_GB2312" w:hAnsi="仿宋_GB2312" w:eastAsia="仿宋_GB2312"/>
          <w:color w:val="000000"/>
          <w:sz w:val="32"/>
          <w:szCs w:val="32"/>
          <w:lang w:eastAsia="zh-CN"/>
        </w:rPr>
        <w:t>设置考点２个，考场</w:t>
      </w:r>
      <w:r>
        <w:rPr>
          <w:rFonts w:hint="default" w:ascii="仿宋_GB2312" w:hAnsi="仿宋_GB2312" w:eastAsia="仿宋_GB2312"/>
          <w:color w:val="000000"/>
          <w:sz w:val="32"/>
          <w:szCs w:val="32"/>
          <w:lang w:val="en" w:eastAsia="zh-CN"/>
        </w:rPr>
        <w:t>18</w:t>
      </w:r>
      <w:r>
        <w:rPr>
          <w:rFonts w:hint="eastAsia" w:ascii="仿宋_GB2312" w:hAnsi="仿宋_GB2312" w:eastAsia="仿宋_GB2312"/>
          <w:color w:val="000000"/>
          <w:sz w:val="32"/>
          <w:szCs w:val="32"/>
          <w:lang w:val="en" w:eastAsia="zh-CN"/>
        </w:rPr>
        <w:t>个。主观题考试，应试人员</w:t>
      </w:r>
      <w:r>
        <w:rPr>
          <w:rFonts w:hint="default" w:ascii="仿宋_GB2312" w:hAnsi="仿宋_GB2312" w:eastAsia="仿宋_GB2312"/>
          <w:color w:val="000000"/>
          <w:sz w:val="32"/>
          <w:szCs w:val="32"/>
          <w:lang w:val="en" w:eastAsia="zh-CN"/>
        </w:rPr>
        <w:t>268</w:t>
      </w:r>
      <w:r>
        <w:rPr>
          <w:rFonts w:hint="eastAsia" w:ascii="仿宋_GB2312" w:hAnsi="仿宋_GB2312" w:eastAsia="仿宋_GB2312"/>
          <w:color w:val="000000"/>
          <w:sz w:val="32"/>
          <w:szCs w:val="32"/>
          <w:lang w:val="en" w:eastAsia="zh-CN"/>
        </w:rPr>
        <w:t>人，设置</w:t>
      </w:r>
      <w:r>
        <w:rPr>
          <w:rFonts w:hint="eastAsia" w:ascii="仿宋_GB2312" w:hAnsi="仿宋_GB2312" w:eastAsia="仿宋_GB2312"/>
          <w:color w:val="000000"/>
          <w:sz w:val="32"/>
          <w:szCs w:val="32"/>
          <w:lang w:eastAsia="zh-CN"/>
        </w:rPr>
        <w:t>考点</w:t>
      </w:r>
      <w:r>
        <w:rPr>
          <w:rFonts w:hint="default" w:ascii="仿宋_GB2312" w:hAnsi="仿宋_GB2312" w:eastAsia="仿宋_GB2312"/>
          <w:color w:val="000000"/>
          <w:sz w:val="32"/>
          <w:szCs w:val="32"/>
          <w:lang w:val="en" w:eastAsia="zh-CN"/>
        </w:rPr>
        <w:t>2</w:t>
      </w:r>
      <w:r>
        <w:rPr>
          <w:rFonts w:hint="eastAsia" w:ascii="仿宋_GB2312" w:hAnsi="仿宋_GB2312" w:eastAsia="仿宋_GB2312"/>
          <w:color w:val="000000"/>
          <w:sz w:val="32"/>
          <w:szCs w:val="32"/>
          <w:lang w:eastAsia="zh-CN"/>
        </w:rPr>
        <w:t>个，考场</w:t>
      </w:r>
      <w:r>
        <w:rPr>
          <w:rFonts w:hint="default" w:ascii="仿宋_GB2312" w:hAnsi="仿宋_GB2312" w:eastAsia="仿宋_GB2312"/>
          <w:color w:val="000000"/>
          <w:sz w:val="32"/>
          <w:szCs w:val="32"/>
          <w:lang w:val="en" w:eastAsia="zh-CN"/>
        </w:rPr>
        <w:t>16</w:t>
      </w:r>
      <w:r>
        <w:rPr>
          <w:rFonts w:hint="eastAsia" w:ascii="仿宋_GB2312" w:hAnsi="仿宋_GB2312" w:eastAsia="仿宋_GB2312"/>
          <w:color w:val="000000"/>
          <w:sz w:val="32"/>
          <w:szCs w:val="32"/>
          <w:lang w:eastAsia="zh-CN"/>
        </w:rPr>
        <w:t>个。</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3</w:t>
      </w:r>
      <w:r>
        <w:rPr>
          <w:rFonts w:hint="eastAsia" w:ascii="仿宋_GB2312" w:hAnsi="仿宋_GB2312" w:eastAsia="仿宋_GB2312"/>
          <w:color w:val="000000"/>
          <w:sz w:val="32"/>
          <w:szCs w:val="32"/>
        </w:rPr>
        <w:t>.分析评价申报内容是否与实际相符，申报目标是否合理可行</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auto"/>
          <w:sz w:val="32"/>
          <w:szCs w:val="32"/>
        </w:rPr>
      </w:pPr>
      <w:r>
        <w:rPr>
          <w:rFonts w:hint="eastAsia" w:ascii="仿宋_GB2312" w:hAnsi="宋体" w:eastAsia="仿宋_GB2312"/>
          <w:color w:val="auto"/>
          <w:sz w:val="32"/>
          <w:szCs w:val="32"/>
        </w:rPr>
        <w:t>申报内容符合我局统筹</w:t>
      </w:r>
      <w:r>
        <w:rPr>
          <w:rFonts w:hint="eastAsia" w:ascii="仿宋_GB2312" w:hAnsi="宋体" w:eastAsia="仿宋_GB2312"/>
          <w:color w:val="auto"/>
          <w:sz w:val="32"/>
          <w:szCs w:val="32"/>
          <w:lang w:eastAsia="zh-CN"/>
        </w:rPr>
        <w:t>国家统一法律职业资格考试</w:t>
      </w:r>
      <w:r>
        <w:rPr>
          <w:rFonts w:hint="eastAsia" w:ascii="仿宋_GB2312" w:hAnsi="宋体" w:eastAsia="仿宋_GB2312"/>
          <w:color w:val="auto"/>
          <w:sz w:val="32"/>
          <w:szCs w:val="32"/>
        </w:rPr>
        <w:t>工作实际，申报目标当年全部完成。</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Arial" w:eastAsia="仿宋_GB2312" w:cs="Arial"/>
          <w:color w:val="000000"/>
          <w:sz w:val="32"/>
          <w:szCs w:val="32"/>
          <w:shd w:val="clear" w:color="auto" w:fill="FFFFFF"/>
        </w:rPr>
      </w:pPr>
      <w:r>
        <w:rPr>
          <w:rFonts w:hint="eastAsia" w:ascii="仿宋_GB2312" w:hAnsi="Arial" w:eastAsia="仿宋_GB2312" w:cs="Arial"/>
          <w:color w:val="000000"/>
          <w:sz w:val="32"/>
          <w:szCs w:val="32"/>
          <w:shd w:val="clear" w:color="auto" w:fill="FFFFFF"/>
        </w:rPr>
        <w:t>我局按照项目单位自评和主管部门评价相结合的方式，依据资金使用的方向和对象,围绕绩效目标,从项目的实施、管理、效果等方面对</w:t>
      </w:r>
      <w:r>
        <w:rPr>
          <w:rFonts w:hint="default" w:ascii="仿宋_GB2312" w:hAnsi="Arial" w:eastAsia="仿宋_GB2312" w:cs="Arial"/>
          <w:color w:val="000000"/>
          <w:sz w:val="32"/>
          <w:szCs w:val="32"/>
          <w:shd w:val="clear" w:color="auto" w:fill="FFFFFF"/>
          <w:lang w:val="en"/>
        </w:rPr>
        <w:t>202</w:t>
      </w:r>
      <w:r>
        <w:rPr>
          <w:rFonts w:hint="eastAsia" w:ascii="仿宋_GB2312" w:hAnsi="Arial" w:eastAsia="仿宋_GB2312" w:cs="Arial"/>
          <w:color w:val="000000"/>
          <w:sz w:val="32"/>
          <w:szCs w:val="32"/>
          <w:shd w:val="clear" w:color="auto" w:fill="FFFFFF"/>
          <w:lang w:val="en-US" w:eastAsia="zh-CN"/>
        </w:rPr>
        <w:t>2</w:t>
      </w:r>
      <w:r>
        <w:rPr>
          <w:rFonts w:hint="eastAsia" w:ascii="仿宋_GB2312" w:hAnsi="Arial" w:eastAsia="仿宋_GB2312" w:cs="Arial"/>
          <w:color w:val="000000"/>
          <w:sz w:val="32"/>
          <w:szCs w:val="32"/>
          <w:shd w:val="clear" w:color="auto" w:fill="FFFFFF"/>
        </w:rPr>
        <w:t>年度</w:t>
      </w:r>
      <w:r>
        <w:rPr>
          <w:rFonts w:hint="eastAsia" w:ascii="仿宋_GB2312" w:hAnsi="宋体" w:eastAsia="仿宋_GB2312"/>
          <w:color w:val="auto"/>
          <w:sz w:val="32"/>
          <w:szCs w:val="32"/>
          <w:lang w:eastAsia="zh-CN"/>
        </w:rPr>
        <w:t>国家统一法律职业资格考试</w:t>
      </w:r>
      <w:r>
        <w:rPr>
          <w:rFonts w:hint="eastAsia" w:ascii="仿宋_GB2312" w:hAnsi="Arial" w:eastAsia="仿宋_GB2312" w:cs="Arial"/>
          <w:color w:val="000000"/>
          <w:sz w:val="32"/>
          <w:szCs w:val="32"/>
          <w:shd w:val="clear" w:color="auto" w:fill="FFFFFF"/>
        </w:rPr>
        <w:t>专项资金开展了绩效评价工作。</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（一）项目资金申报及批复情况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olor w:val="000000"/>
          <w:sz w:val="32"/>
          <w:szCs w:val="32"/>
        </w:rPr>
      </w:pPr>
      <w:r>
        <w:rPr>
          <w:rFonts w:hint="eastAsia" w:ascii="仿宋_GB2312" w:hAnsi="仿宋" w:eastAsia="仿宋_GB2312" w:cs="仿宋_GB2312"/>
          <w:color w:val="000000"/>
          <w:sz w:val="32"/>
          <w:szCs w:val="32"/>
        </w:rPr>
        <w:t>决算执行资金</w:t>
      </w:r>
      <w:r>
        <w:rPr>
          <w:rFonts w:hint="eastAsia" w:ascii="仿宋_GB2312" w:hAnsi="仿宋" w:eastAsia="仿宋_GB2312" w:cs="仿宋_GB2312"/>
          <w:color w:val="000000"/>
          <w:sz w:val="32"/>
          <w:szCs w:val="32"/>
          <w:lang w:val="en-US" w:eastAsia="zh-CN"/>
        </w:rPr>
        <w:t>4.28</w:t>
      </w:r>
      <w:r>
        <w:rPr>
          <w:rFonts w:hint="eastAsia" w:ascii="仿宋_GB2312" w:hAnsi="仿宋" w:eastAsia="仿宋_GB2312" w:cs="仿宋_GB2312"/>
          <w:color w:val="000000"/>
          <w:sz w:val="32"/>
          <w:szCs w:val="32"/>
        </w:rPr>
        <w:t>万元，年初预算资金</w:t>
      </w:r>
      <w:r>
        <w:rPr>
          <w:rFonts w:hint="eastAsia" w:ascii="仿宋_GB2312" w:hAnsi="仿宋" w:eastAsia="仿宋_GB2312" w:cs="仿宋_GB2312"/>
          <w:color w:val="000000"/>
          <w:sz w:val="32"/>
          <w:szCs w:val="32"/>
          <w:lang w:val="en-US" w:eastAsia="zh-CN"/>
        </w:rPr>
        <w:t>10</w:t>
      </w:r>
      <w:r>
        <w:rPr>
          <w:rFonts w:hint="eastAsia" w:ascii="仿宋_GB2312" w:hAnsi="仿宋" w:eastAsia="仿宋_GB2312" w:cs="仿宋_GB2312"/>
          <w:color w:val="000000"/>
          <w:sz w:val="32"/>
          <w:szCs w:val="32"/>
        </w:rPr>
        <w:t>万元</w:t>
      </w:r>
      <w:r>
        <w:rPr>
          <w:rFonts w:hint="eastAsia" w:ascii="仿宋_GB2312" w:hAnsi="仿宋" w:eastAsia="仿宋_GB2312" w:cs="仿宋_GB2312"/>
          <w:color w:val="000000"/>
          <w:sz w:val="32"/>
          <w:szCs w:val="32"/>
          <w:lang w:eastAsia="zh-CN"/>
        </w:rPr>
        <w:t>，</w:t>
      </w:r>
      <w:r>
        <w:rPr>
          <w:rFonts w:hint="eastAsia" w:ascii="仿宋_GB2312" w:hAnsi="仿宋" w:eastAsia="仿宋_GB2312" w:cs="仿宋_GB2312"/>
          <w:color w:val="000000"/>
          <w:sz w:val="32"/>
          <w:szCs w:val="32"/>
        </w:rPr>
        <w:t>财政资金拨付率100%。</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（二）资金计划、到位及使用情况</w:t>
      </w:r>
    </w:p>
    <w:tbl>
      <w:tblPr>
        <w:tblStyle w:val="16"/>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1882"/>
        <w:gridCol w:w="1945"/>
        <w:gridCol w:w="1701"/>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单位</w:t>
            </w:r>
          </w:p>
        </w:tc>
        <w:tc>
          <w:tcPr>
            <w:tcW w:w="3827" w:type="dxa"/>
            <w:gridSpan w:val="2"/>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lang w:eastAsia="zh-CN"/>
              </w:rPr>
            </w:pPr>
            <w:r>
              <w:rPr>
                <w:rFonts w:hint="eastAsia" w:ascii="楷体" w:hAnsi="楷体" w:eastAsia="楷体"/>
                <w:color w:val="000000"/>
                <w:sz w:val="32"/>
                <w:szCs w:val="32"/>
              </w:rPr>
              <w:t>资金计划</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（万元）</w:t>
            </w:r>
          </w:p>
        </w:tc>
        <w:tc>
          <w:tcPr>
            <w:tcW w:w="1701"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资金到位</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（万元）</w:t>
            </w:r>
          </w:p>
        </w:tc>
        <w:tc>
          <w:tcPr>
            <w:tcW w:w="1701"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资金使用</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restart"/>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市司法局</w:t>
            </w:r>
          </w:p>
        </w:tc>
        <w:tc>
          <w:tcPr>
            <w:tcW w:w="1882"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市本级</w:t>
            </w:r>
          </w:p>
        </w:tc>
        <w:tc>
          <w:tcPr>
            <w:tcW w:w="1945"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tc>
        <w:tc>
          <w:tcPr>
            <w:tcW w:w="1701" w:type="dxa"/>
            <w:vMerge w:val="restart"/>
            <w:noWrap w:val="0"/>
            <w:vAlign w:val="center"/>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default" w:ascii="楷体" w:hAnsi="楷体" w:eastAsia="楷体"/>
                <w:color w:val="000000"/>
                <w:sz w:val="32"/>
                <w:szCs w:val="32"/>
                <w:lang w:val="en-US"/>
              </w:rPr>
            </w:pPr>
            <w:r>
              <w:rPr>
                <w:rFonts w:hint="eastAsia" w:ascii="楷体" w:hAnsi="楷体" w:eastAsia="楷体"/>
                <w:color w:val="000000"/>
                <w:sz w:val="32"/>
                <w:szCs w:val="32"/>
                <w:lang w:val="en-US" w:eastAsia="zh-CN"/>
              </w:rPr>
              <w:t>10</w:t>
            </w:r>
          </w:p>
        </w:tc>
        <w:tc>
          <w:tcPr>
            <w:tcW w:w="1701" w:type="dxa"/>
            <w:vMerge w:val="restart"/>
            <w:noWrap w:val="0"/>
            <w:vAlign w:val="center"/>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楷体" w:hAnsi="楷体" w:eastAsia="楷体"/>
                <w:color w:val="000000"/>
                <w:sz w:val="32"/>
                <w:szCs w:val="32"/>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default" w:ascii="楷体" w:hAnsi="楷体" w:eastAsia="楷体"/>
                <w:color w:val="000000"/>
                <w:sz w:val="32"/>
                <w:szCs w:val="32"/>
                <w:lang w:val="en-US" w:eastAsia="zh-CN"/>
              </w:rPr>
            </w:pPr>
            <w:r>
              <w:rPr>
                <w:rFonts w:hint="eastAsia" w:ascii="楷体" w:hAnsi="楷体" w:eastAsia="楷体" w:cs="Times New Roman"/>
                <w:color w:val="000000"/>
                <w:sz w:val="32"/>
                <w:szCs w:val="32"/>
                <w:lang w:val="en-US" w:eastAsia="zh-CN"/>
              </w:rPr>
              <w:t>4.28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tc>
        <w:tc>
          <w:tcPr>
            <w:tcW w:w="1882"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default" w:ascii="楷体" w:hAnsi="楷体" w:eastAsia="楷体"/>
                <w:color w:val="000000"/>
                <w:sz w:val="32"/>
                <w:szCs w:val="32"/>
                <w:lang w:val="en-US" w:eastAsia="zh-CN"/>
              </w:rPr>
            </w:pPr>
            <w:r>
              <w:rPr>
                <w:rFonts w:hint="eastAsia" w:ascii="楷体" w:hAnsi="楷体" w:eastAsia="楷体"/>
                <w:color w:val="000000"/>
                <w:sz w:val="32"/>
                <w:szCs w:val="32"/>
                <w:lang w:val="en-US" w:eastAsia="zh-CN"/>
              </w:rPr>
              <w:t>10</w:t>
            </w:r>
          </w:p>
        </w:tc>
        <w:tc>
          <w:tcPr>
            <w:tcW w:w="1945"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tc>
        <w:tc>
          <w:tcPr>
            <w:tcW w:w="1701" w:type="dxa"/>
            <w:vMerge w:val="continue"/>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tc>
        <w:tc>
          <w:tcPr>
            <w:tcW w:w="1701" w:type="dxa"/>
            <w:vMerge w:val="continue"/>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tc>
      </w:tr>
    </w:tbl>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我局使用管理</w:t>
      </w:r>
      <w:r>
        <w:rPr>
          <w:rFonts w:hint="eastAsia" w:ascii="仿宋_GB2312" w:hAnsi="仿宋_GB2312" w:eastAsia="仿宋_GB2312"/>
          <w:color w:val="000000"/>
          <w:sz w:val="32"/>
          <w:szCs w:val="32"/>
          <w:lang w:eastAsia="zh-CN"/>
        </w:rPr>
        <w:t>国家统一法律职业资格考试</w:t>
      </w:r>
      <w:r>
        <w:rPr>
          <w:rFonts w:hint="eastAsia" w:ascii="仿宋_GB2312" w:hAnsi="仿宋_GB2312" w:eastAsia="仿宋_GB2312"/>
          <w:color w:val="000000"/>
          <w:sz w:val="32"/>
          <w:szCs w:val="32"/>
        </w:rPr>
        <w:t>项目经费始终坚持安全规范的原则，有效提升资金的使用效益，确保专款专用</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eastAsia="zh-CN"/>
        </w:rPr>
        <w:t>受疫情影响，</w:t>
      </w:r>
      <w:r>
        <w:rPr>
          <w:rFonts w:hint="eastAsia" w:ascii="仿宋_GB2312" w:hAnsi="仿宋_GB2312" w:eastAsia="仿宋_GB2312"/>
          <w:color w:val="auto"/>
          <w:sz w:val="32"/>
          <w:szCs w:val="32"/>
          <w:lang w:val="en-US" w:eastAsia="zh-CN"/>
        </w:rPr>
        <w:t>2022年国家统一法律职业资格考试延迟举行，</w:t>
      </w:r>
      <w:r>
        <w:rPr>
          <w:rFonts w:hint="eastAsia" w:ascii="仿宋_GB2312" w:hAnsi="仿宋_GB2312" w:eastAsia="仿宋_GB2312"/>
          <w:color w:val="000000"/>
          <w:sz w:val="32"/>
          <w:szCs w:val="32"/>
        </w:rPr>
        <w:t>截止评价时点该项目资金支出</w:t>
      </w:r>
      <w:r>
        <w:rPr>
          <w:rFonts w:hint="eastAsia" w:ascii="仿宋_GB2312" w:hAnsi="仿宋_GB2312" w:eastAsia="仿宋_GB2312"/>
          <w:color w:val="000000"/>
          <w:sz w:val="32"/>
          <w:szCs w:val="32"/>
          <w:lang w:val="en-US" w:eastAsia="zh-CN"/>
        </w:rPr>
        <w:t>4.28</w:t>
      </w:r>
      <w:r>
        <w:rPr>
          <w:rFonts w:hint="eastAsia" w:ascii="仿宋_GB2312" w:hAnsi="仿宋_GB2312" w:eastAsia="仿宋_GB2312"/>
          <w:color w:val="000000"/>
          <w:sz w:val="32"/>
          <w:szCs w:val="32"/>
        </w:rPr>
        <w:t>万元。</w:t>
      </w:r>
      <w:r>
        <w:rPr>
          <w:rFonts w:hint="eastAsia" w:ascii="仿宋_GB2312" w:hAnsi="宋体" w:eastAsia="仿宋_GB2312"/>
          <w:color w:val="000000"/>
          <w:sz w:val="32"/>
          <w:szCs w:val="32"/>
        </w:rPr>
        <w:t>资金支付严格按照法律法规和政策文件的要求执行，无超标准、超进度的情况发生，与年初财政预算相符。</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olor w:val="000000"/>
          <w:sz w:val="32"/>
          <w:szCs w:val="32"/>
        </w:rPr>
      </w:pPr>
      <w:r>
        <w:rPr>
          <w:rFonts w:hint="eastAsia" w:ascii="仿宋_GB2312" w:hAnsi="仿宋_GB2312" w:eastAsia="仿宋_GB2312"/>
          <w:color w:val="000000"/>
          <w:sz w:val="32"/>
          <w:szCs w:val="32"/>
        </w:rPr>
        <w:t>我局财务管理制度健全，出台了《广元市司法局机关财务管理办法》（</w:t>
      </w:r>
      <w:r>
        <w:rPr>
          <w:rFonts w:hint="eastAsia" w:ascii="仿宋_GB2312" w:hAnsi="仿宋" w:eastAsia="仿宋_GB2312"/>
          <w:color w:val="000000"/>
          <w:sz w:val="32"/>
          <w:szCs w:val="32"/>
        </w:rPr>
        <w:t>广司发〔2020〕12号</w:t>
      </w:r>
      <w:r>
        <w:rPr>
          <w:rFonts w:hint="eastAsia" w:ascii="仿宋_GB2312" w:hAnsi="仿宋_GB2312" w:eastAsia="仿宋_GB2312"/>
          <w:color w:val="000000"/>
          <w:sz w:val="32"/>
          <w:szCs w:val="32"/>
        </w:rPr>
        <w:t>），严格执行财务管理制度，账务处理及时，会计核算规范。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三、项目实施及管理情况</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（一）</w:t>
      </w:r>
      <w:r>
        <w:rPr>
          <w:rFonts w:hint="eastAsia" w:ascii="楷体_GB2312" w:hAnsi="楷体_GB2312" w:eastAsia="楷体_GB2312" w:cs="楷体_GB2312"/>
          <w:b w:val="0"/>
          <w:bCs/>
          <w:color w:val="000000"/>
          <w:sz w:val="32"/>
          <w:szCs w:val="32"/>
        </w:rPr>
        <w:t>项目组织架构及实施流程</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val="0"/>
          <w:bCs/>
          <w:color w:val="000000"/>
          <w:sz w:val="32"/>
          <w:szCs w:val="32"/>
          <w:lang w:val="en-US" w:eastAsia="zh-CN"/>
        </w:rPr>
      </w:pPr>
      <w:r>
        <w:rPr>
          <w:rFonts w:hint="eastAsia" w:ascii="仿宋_GB2312" w:hAnsi="宋体" w:eastAsia="仿宋_GB2312"/>
          <w:b w:val="0"/>
          <w:bCs/>
          <w:color w:val="000000"/>
          <w:sz w:val="32"/>
          <w:szCs w:val="32"/>
          <w:lang w:eastAsia="zh-CN"/>
        </w:rPr>
        <w:t>制定方案及预算经费</w:t>
      </w:r>
      <w:r>
        <w:rPr>
          <w:rFonts w:hint="eastAsia" w:ascii="仿宋_GB2312" w:hAnsi="宋体" w:eastAsia="仿宋_GB2312"/>
          <w:b w:val="0"/>
          <w:bCs/>
          <w:color w:val="000000"/>
          <w:sz w:val="32"/>
          <w:szCs w:val="32"/>
          <w:lang w:val="en-US" w:eastAsia="zh-CN"/>
        </w:rPr>
        <w:t>--组织实施--结算项目经费。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（二）项目管理情况</w:t>
      </w:r>
    </w:p>
    <w:p>
      <w:pPr>
        <w:keepNext w:val="0"/>
        <w:keepLines w:val="0"/>
        <w:pageBreakBefore w:val="0"/>
        <w:kinsoku/>
        <w:wordWrap/>
        <w:overflowPunct/>
        <w:topLinePunct w:val="0"/>
        <w:autoSpaceDE/>
        <w:autoSpaceDN/>
        <w:bidi w:val="0"/>
        <w:spacing w:line="576" w:lineRule="exact"/>
        <w:ind w:firstLine="640" w:firstLineChars="200"/>
        <w:jc w:val="left"/>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20</w:t>
      </w:r>
      <w:r>
        <w:rPr>
          <w:rFonts w:hint="default" w:ascii="仿宋_GB2312" w:hAnsi="仿宋" w:eastAsia="仿宋_GB2312" w:cs="仿宋_GB2312"/>
          <w:color w:val="000000"/>
          <w:sz w:val="32"/>
          <w:szCs w:val="32"/>
          <w:lang w:val="en"/>
        </w:rPr>
        <w:t>2</w:t>
      </w:r>
      <w:r>
        <w:rPr>
          <w:rFonts w:hint="eastAsia" w:ascii="仿宋_GB2312" w:hAnsi="仿宋" w:eastAsia="仿宋_GB2312" w:cs="仿宋_GB2312"/>
          <w:color w:val="000000"/>
          <w:sz w:val="32"/>
          <w:szCs w:val="32"/>
          <w:lang w:val="en-US" w:eastAsia="zh-CN"/>
        </w:rPr>
        <w:t>2</w:t>
      </w:r>
      <w:r>
        <w:rPr>
          <w:rFonts w:hint="eastAsia" w:ascii="仿宋_GB2312" w:hAnsi="仿宋" w:eastAsia="仿宋_GB2312" w:cs="仿宋_GB2312"/>
          <w:color w:val="000000"/>
          <w:sz w:val="32"/>
          <w:szCs w:val="32"/>
        </w:rPr>
        <w:t>年市财政共拨付我局</w:t>
      </w:r>
      <w:r>
        <w:rPr>
          <w:rFonts w:hint="eastAsia" w:ascii="仿宋_GB2312" w:hAnsi="宋体" w:eastAsia="仿宋_GB2312"/>
          <w:color w:val="auto"/>
          <w:sz w:val="32"/>
          <w:szCs w:val="32"/>
          <w:lang w:eastAsia="zh-CN"/>
        </w:rPr>
        <w:t>国家统一法律职业资格考试</w:t>
      </w:r>
      <w:r>
        <w:rPr>
          <w:rFonts w:hint="eastAsia" w:ascii="仿宋_GB2312" w:hAnsi="仿宋" w:eastAsia="仿宋_GB2312" w:cs="仿宋_GB2312"/>
          <w:color w:val="auto"/>
          <w:sz w:val="32"/>
          <w:szCs w:val="32"/>
        </w:rPr>
        <w:t>资金</w:t>
      </w:r>
      <w:r>
        <w:rPr>
          <w:rFonts w:hint="eastAsia" w:ascii="仿宋_GB2312" w:hAnsi="仿宋" w:eastAsia="仿宋_GB2312" w:cs="仿宋_GB2312"/>
          <w:color w:val="auto"/>
          <w:sz w:val="32"/>
          <w:szCs w:val="32"/>
          <w:lang w:val="en-US" w:eastAsia="zh-CN"/>
        </w:rPr>
        <w:t>15</w:t>
      </w:r>
      <w:r>
        <w:rPr>
          <w:rFonts w:hint="eastAsia" w:ascii="仿宋_GB2312" w:hAnsi="仿宋" w:eastAsia="仿宋_GB2312" w:cs="仿宋_GB2312"/>
          <w:color w:val="auto"/>
          <w:sz w:val="32"/>
          <w:szCs w:val="32"/>
        </w:rPr>
        <w:t>万</w:t>
      </w:r>
      <w:r>
        <w:rPr>
          <w:rFonts w:hint="eastAsia" w:ascii="仿宋_GB2312" w:hAnsi="仿宋" w:eastAsia="仿宋_GB2312" w:cs="仿宋_GB2312"/>
          <w:color w:val="000000"/>
          <w:sz w:val="32"/>
          <w:szCs w:val="32"/>
        </w:rPr>
        <w:t>元。</w:t>
      </w:r>
      <w:r>
        <w:rPr>
          <w:rFonts w:hint="eastAsia" w:ascii="仿宋_GB2312" w:hAnsi="仿宋" w:eastAsia="仿宋_GB2312"/>
          <w:color w:val="000000"/>
          <w:sz w:val="32"/>
          <w:szCs w:val="32"/>
        </w:rPr>
        <w:t>资金使用严格按照《司法行政系统财务管理规定》执行，专项资金得到合理合规的分配和利用，主要用于</w:t>
      </w:r>
      <w:r>
        <w:rPr>
          <w:rFonts w:hint="default" w:ascii="仿宋_GB2312" w:hAnsi="仿宋" w:eastAsia="仿宋_GB2312"/>
          <w:color w:val="000000"/>
          <w:sz w:val="32"/>
          <w:szCs w:val="32"/>
          <w:lang w:val="en"/>
        </w:rPr>
        <w:t>202</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val="en-US" w:eastAsia="zh-CN"/>
        </w:rPr>
        <w:t>组织实施全市国家统一法律职业资格考试工作</w:t>
      </w:r>
      <w:r>
        <w:rPr>
          <w:rFonts w:hint="default" w:ascii="仿宋_GB2312" w:hAnsi="仿宋" w:eastAsia="仿宋_GB2312"/>
          <w:color w:val="000000"/>
          <w:sz w:val="32"/>
          <w:szCs w:val="32"/>
          <w:lang w:val="en" w:eastAsia="zh-CN"/>
        </w:rPr>
        <w:t>,</w:t>
      </w:r>
      <w:r>
        <w:rPr>
          <w:rFonts w:hint="eastAsia" w:ascii="仿宋_GB2312" w:eastAsia="仿宋_GB2312"/>
          <w:sz w:val="32"/>
          <w:szCs w:val="32"/>
          <w:highlight w:val="none"/>
        </w:rPr>
        <w:t>组织管理考试费</w:t>
      </w:r>
      <w:r>
        <w:rPr>
          <w:rFonts w:hint="eastAsia" w:ascii="仿宋_GB2312" w:hAnsi="仿宋" w:eastAsia="仿宋_GB2312"/>
          <w:color w:val="000000"/>
          <w:sz w:val="32"/>
          <w:szCs w:val="32"/>
          <w:lang w:val="en" w:eastAsia="zh-CN"/>
        </w:rPr>
        <w:t>、</w:t>
      </w:r>
      <w:r>
        <w:rPr>
          <w:rFonts w:hint="eastAsia" w:ascii="仿宋_GB2312" w:eastAsia="仿宋_GB2312"/>
          <w:sz w:val="32"/>
          <w:szCs w:val="32"/>
          <w:highlight w:val="none"/>
        </w:rPr>
        <w:t>考务费</w:t>
      </w:r>
      <w:r>
        <w:rPr>
          <w:rFonts w:hint="eastAsia" w:ascii="仿宋_GB2312" w:eastAsia="仿宋_GB2312"/>
          <w:sz w:val="32"/>
          <w:szCs w:val="32"/>
          <w:highlight w:val="none"/>
          <w:lang w:eastAsia="zh-CN"/>
        </w:rPr>
        <w:t>、</w:t>
      </w:r>
      <w:r>
        <w:rPr>
          <w:rFonts w:hint="eastAsia" w:ascii="仿宋_GB2312" w:hAnsi="仿宋" w:eastAsia="仿宋_GB2312"/>
          <w:color w:val="000000"/>
          <w:sz w:val="32"/>
          <w:szCs w:val="32"/>
          <w:lang w:val="en" w:eastAsia="zh-CN"/>
        </w:rPr>
        <w:t>场地租赁费</w:t>
      </w:r>
      <w:r>
        <w:rPr>
          <w:rFonts w:hint="eastAsia" w:ascii="仿宋_GB2312" w:hAnsi="仿宋" w:eastAsia="仿宋_GB2312"/>
          <w:color w:val="000000"/>
          <w:sz w:val="32"/>
          <w:szCs w:val="32"/>
        </w:rPr>
        <w:t>等方面。</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jc w:val="left"/>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（三）项</w:t>
      </w:r>
      <w:r>
        <w:rPr>
          <w:rFonts w:hint="eastAsia" w:ascii="楷体_GB2312" w:hAnsi="楷体_GB2312" w:eastAsia="楷体_GB2312" w:cs="楷体_GB2312"/>
          <w:b w:val="0"/>
          <w:bCs/>
          <w:color w:val="000000"/>
          <w:sz w:val="32"/>
          <w:szCs w:val="32"/>
        </w:rPr>
        <w:t>目监管情况</w:t>
      </w:r>
    </w:p>
    <w:p>
      <w:pPr>
        <w:keepNext w:val="0"/>
        <w:keepLines w:val="0"/>
        <w:pageBreakBefore w:val="0"/>
        <w:kinsoku/>
        <w:wordWrap/>
        <w:overflowPunct/>
        <w:topLinePunct w:val="0"/>
        <w:autoSpaceDE/>
        <w:autoSpaceDN/>
        <w:bidi w:val="0"/>
        <w:spacing w:line="576" w:lineRule="exact"/>
        <w:ind w:firstLine="640" w:firstLineChars="200"/>
        <w:jc w:val="left"/>
        <w:textAlignment w:val="auto"/>
        <w:rPr>
          <w:rFonts w:hint="eastAsia" w:ascii="仿宋_GB2312" w:hAnsi="华文仿宋" w:eastAsia="仿宋_GB2312"/>
          <w:b/>
          <w:bCs/>
          <w:color w:val="000000"/>
          <w:sz w:val="32"/>
          <w:szCs w:val="32"/>
        </w:rPr>
      </w:pPr>
      <w:r>
        <w:rPr>
          <w:rFonts w:hint="eastAsia" w:ascii="仿宋_GB2312" w:hAnsi="华文仿宋" w:eastAsia="仿宋_GB2312" w:cs="华文仿宋"/>
          <w:color w:val="000000"/>
          <w:sz w:val="32"/>
          <w:szCs w:val="32"/>
        </w:rPr>
        <w:t>市司法局统一对</w:t>
      </w:r>
      <w:r>
        <w:rPr>
          <w:rFonts w:hint="eastAsia" w:ascii="仿宋_GB2312" w:hAnsi="宋体" w:eastAsia="仿宋_GB2312"/>
          <w:color w:val="auto"/>
          <w:sz w:val="32"/>
          <w:szCs w:val="32"/>
          <w:lang w:eastAsia="zh-CN"/>
        </w:rPr>
        <w:t>国家统一法律职业资格考试</w:t>
      </w:r>
      <w:r>
        <w:rPr>
          <w:rFonts w:hint="eastAsia" w:ascii="仿宋_GB2312" w:hAnsi="华文仿宋" w:eastAsia="仿宋_GB2312" w:cs="华文仿宋"/>
          <w:color w:val="000000"/>
          <w:sz w:val="32"/>
          <w:szCs w:val="32"/>
        </w:rPr>
        <w:t>经费收支单列科目，实行</w:t>
      </w:r>
      <w:r>
        <w:rPr>
          <w:rFonts w:hint="eastAsia" w:ascii="仿宋_GB2312" w:hAnsi="华文仿宋" w:eastAsia="仿宋_GB2312" w:cs="华文仿宋"/>
          <w:color w:val="000000"/>
          <w:sz w:val="32"/>
          <w:szCs w:val="32"/>
          <w:lang w:eastAsia="zh-CN"/>
        </w:rPr>
        <w:t>专项</w:t>
      </w:r>
      <w:r>
        <w:rPr>
          <w:rFonts w:hint="eastAsia" w:ascii="仿宋_GB2312" w:hAnsi="华文仿宋" w:eastAsia="仿宋_GB2312" w:cs="华文仿宋"/>
          <w:color w:val="000000"/>
          <w:sz w:val="32"/>
          <w:szCs w:val="32"/>
        </w:rPr>
        <w:t>核算</w:t>
      </w:r>
      <w:r>
        <w:rPr>
          <w:rFonts w:hint="eastAsia" w:ascii="仿宋_GB2312" w:hAnsi="华文仿宋" w:eastAsia="仿宋_GB2312" w:cs="华文仿宋"/>
          <w:b/>
          <w:bCs/>
          <w:color w:val="000000"/>
          <w:sz w:val="32"/>
          <w:szCs w:val="32"/>
        </w:rPr>
        <w:t>。</w:t>
      </w:r>
      <w:r>
        <w:rPr>
          <w:rFonts w:hint="eastAsia" w:ascii="仿宋_GB2312" w:hAnsi="华文仿宋" w:eastAsia="仿宋_GB2312" w:cs="华文仿宋"/>
          <w:color w:val="000000"/>
          <w:sz w:val="32"/>
          <w:szCs w:val="32"/>
          <w:lang w:eastAsia="zh-CN"/>
        </w:rPr>
        <w:t>各项支出</w:t>
      </w:r>
      <w:r>
        <w:rPr>
          <w:rFonts w:hint="eastAsia" w:ascii="仿宋_GB2312" w:hAnsi="华文仿宋" w:eastAsia="仿宋_GB2312" w:cs="华文仿宋"/>
          <w:color w:val="000000"/>
          <w:sz w:val="32"/>
          <w:szCs w:val="32"/>
        </w:rPr>
        <w:t>由</w:t>
      </w:r>
      <w:r>
        <w:rPr>
          <w:rFonts w:hint="eastAsia" w:ascii="仿宋_GB2312" w:hAnsi="华文仿宋" w:eastAsia="仿宋_GB2312" w:cs="华文仿宋"/>
          <w:color w:val="000000"/>
          <w:sz w:val="32"/>
          <w:szCs w:val="32"/>
          <w:lang w:eastAsia="zh-CN"/>
        </w:rPr>
        <w:t>法律职业资格管理科</w:t>
      </w:r>
      <w:r>
        <w:rPr>
          <w:rFonts w:hint="eastAsia" w:ascii="仿宋_GB2312" w:hAnsi="华文仿宋" w:eastAsia="仿宋_GB2312" w:cs="华文仿宋"/>
          <w:color w:val="000000"/>
          <w:sz w:val="32"/>
          <w:szCs w:val="32"/>
        </w:rPr>
        <w:t>提交分管副局长审核签字，将已签字的相关报销手续交由财务保障科统一复核，复核无误后，</w:t>
      </w:r>
      <w:r>
        <w:rPr>
          <w:rFonts w:hint="eastAsia" w:ascii="仿宋_GB2312" w:hAnsi="华文仿宋" w:eastAsia="仿宋_GB2312" w:cs="华文仿宋"/>
          <w:color w:val="000000"/>
          <w:sz w:val="32"/>
          <w:szCs w:val="32"/>
          <w:lang w:eastAsia="zh-CN"/>
        </w:rPr>
        <w:t>交由分管财务领导签字后由</w:t>
      </w:r>
      <w:r>
        <w:rPr>
          <w:rFonts w:hint="eastAsia" w:ascii="仿宋_GB2312" w:hAnsi="华文仿宋" w:eastAsia="仿宋_GB2312" w:cs="华文仿宋"/>
          <w:color w:val="000000"/>
          <w:sz w:val="32"/>
          <w:szCs w:val="32"/>
        </w:rPr>
        <w:t>局财务统一予以报销。</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四、项目绩效情况</w:t>
      </w:r>
      <w:r>
        <w:rPr>
          <w:rFonts w:hint="eastAsia" w:ascii="黑体" w:hAnsi="黑体" w:eastAsia="黑体" w:cs="黑体"/>
          <w:color w:val="000000"/>
          <w:sz w:val="32"/>
          <w:szCs w:val="32"/>
        </w:rPr>
        <w:tab/>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（一）项目完成情况</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olor w:val="000000"/>
          <w:sz w:val="32"/>
          <w:szCs w:val="32"/>
          <w:lang w:val="en-US" w:eastAsia="zh-CN"/>
        </w:rPr>
      </w:pPr>
      <w:r>
        <w:rPr>
          <w:rFonts w:hint="eastAsia" w:ascii="仿宋_GB2312" w:hAnsi="仿宋_GB2312" w:eastAsia="仿宋_GB2312"/>
          <w:color w:val="auto"/>
          <w:sz w:val="32"/>
          <w:szCs w:val="32"/>
          <w:lang w:eastAsia="zh-CN"/>
        </w:rPr>
        <w:t>受疫情影响，</w:t>
      </w:r>
      <w:r>
        <w:rPr>
          <w:rFonts w:hint="eastAsia" w:ascii="仿宋_GB2312" w:hAnsi="仿宋_GB2312" w:eastAsia="仿宋_GB2312"/>
          <w:color w:val="auto"/>
          <w:sz w:val="32"/>
          <w:szCs w:val="32"/>
          <w:lang w:val="en-US" w:eastAsia="zh-CN"/>
        </w:rPr>
        <w:t>2022年国家统一法律职业资格考试延迟举行，预计在2023年3月完成支付。</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（二）项目效益情况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eastAsia="zh-CN"/>
        </w:rPr>
        <w:t>省司法厅</w:t>
      </w:r>
      <w:r>
        <w:rPr>
          <w:rFonts w:hint="eastAsia" w:ascii="仿宋_GB2312" w:hAnsi="仿宋_GB2312" w:eastAsia="仿宋_GB2312"/>
          <w:color w:val="000000"/>
          <w:sz w:val="32"/>
          <w:szCs w:val="32"/>
        </w:rPr>
        <w:t>对广元</w:t>
      </w:r>
      <w:r>
        <w:rPr>
          <w:rFonts w:hint="eastAsia" w:ascii="仿宋_GB2312" w:hAnsi="仿宋_GB2312" w:eastAsia="仿宋_GB2312"/>
          <w:color w:val="000000"/>
          <w:sz w:val="32"/>
          <w:szCs w:val="32"/>
          <w:lang w:eastAsia="zh-CN"/>
        </w:rPr>
        <w:t>此</w:t>
      </w:r>
      <w:r>
        <w:rPr>
          <w:rFonts w:hint="eastAsia" w:ascii="仿宋_GB2312" w:hAnsi="仿宋_GB2312" w:eastAsia="仿宋_GB2312"/>
          <w:color w:val="000000"/>
          <w:sz w:val="32"/>
          <w:szCs w:val="32"/>
        </w:rPr>
        <w:t>目标考核无扣分项。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五、评价结论及建议</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（一）评价结论</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楷体_GB2312" w:eastAsia="仿宋_GB2312"/>
          <w:b w:val="0"/>
          <w:bCs/>
          <w:color w:val="000000"/>
          <w:sz w:val="32"/>
          <w:szCs w:val="32"/>
          <w:lang w:eastAsia="zh-CN"/>
        </w:rPr>
      </w:pPr>
      <w:r>
        <w:rPr>
          <w:rFonts w:hint="eastAsia" w:ascii="仿宋_GB2312" w:hAnsi="楷体_GB2312" w:eastAsia="仿宋_GB2312"/>
          <w:b w:val="0"/>
          <w:bCs/>
          <w:color w:val="000000"/>
          <w:sz w:val="32"/>
          <w:szCs w:val="32"/>
          <w:lang w:eastAsia="zh-CN"/>
        </w:rPr>
        <w:t>安全顺利完成了</w:t>
      </w:r>
      <w:r>
        <w:rPr>
          <w:rFonts w:hint="eastAsia" w:ascii="仿宋_GB2312" w:hAnsi="宋体" w:eastAsia="仿宋_GB2312"/>
          <w:b w:val="0"/>
          <w:bCs/>
          <w:color w:val="auto"/>
          <w:sz w:val="32"/>
          <w:szCs w:val="32"/>
          <w:lang w:eastAsia="zh-CN"/>
        </w:rPr>
        <w:t>国家统一法律职业资格考试资质审核工作。</w:t>
      </w:r>
      <w:r>
        <w:rPr>
          <w:rFonts w:hint="eastAsia" w:ascii="仿宋_GB2312" w:hAnsi="仿宋" w:eastAsia="仿宋_GB2312" w:cs="仿宋_GB2312"/>
          <w:color w:val="000000"/>
          <w:sz w:val="32"/>
          <w:szCs w:val="32"/>
        </w:rPr>
        <w:t>依据</w:t>
      </w:r>
      <w:r>
        <w:rPr>
          <w:rFonts w:hint="eastAsia" w:ascii="仿宋_GB2312" w:hAnsi="仿宋" w:eastAsia="仿宋_GB2312" w:cs="仿宋_GB2312"/>
          <w:color w:val="000000"/>
          <w:sz w:val="32"/>
          <w:szCs w:val="32"/>
          <w:lang w:eastAsia="zh-CN"/>
        </w:rPr>
        <w:t>国家统一法律职业资格考试</w:t>
      </w:r>
      <w:r>
        <w:rPr>
          <w:rFonts w:hint="eastAsia" w:ascii="仿宋_GB2312" w:hAnsi="仿宋" w:eastAsia="仿宋_GB2312" w:cs="仿宋_GB2312"/>
          <w:color w:val="000000"/>
          <w:sz w:val="32"/>
          <w:szCs w:val="32"/>
        </w:rPr>
        <w:t>项目设置的绩效评价指标体系、标准值、权重（分值）评价标准，经与指标完成值评价打分，综合得分9</w:t>
      </w:r>
      <w:r>
        <w:rPr>
          <w:rFonts w:hint="eastAsia" w:ascii="仿宋_GB2312" w:hAnsi="仿宋" w:eastAsia="仿宋_GB2312" w:cs="仿宋_GB2312"/>
          <w:color w:val="000000"/>
          <w:sz w:val="32"/>
          <w:szCs w:val="32"/>
          <w:lang w:val="en-US" w:eastAsia="zh-CN"/>
        </w:rPr>
        <w:t>8</w:t>
      </w:r>
      <w:r>
        <w:rPr>
          <w:rFonts w:hint="eastAsia" w:ascii="仿宋_GB2312" w:hAnsi="仿宋" w:eastAsia="仿宋_GB2312" w:cs="仿宋_GB2312"/>
          <w:color w:val="000000"/>
          <w:sz w:val="32"/>
          <w:szCs w:val="32"/>
        </w:rPr>
        <w:t>分。</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（二）存在的问题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eastAsia="zh-CN"/>
        </w:rPr>
        <w:t>国家统一法律职业资格考试工作是一项责任重大的政治任务，包含前期的报名阶段审核工作、考点考场考机的确定、考前与学校、各市级保障部门的协调工作，考机测试，考务人员的突发应急情况演练、人员培训，物资采购保障等各项细致的千头万绪的工作。科室同时承担其他业务工作，人员力量较为薄弱。此项工作关系考生利益，责任重、工作量大、细，需与多个保障部门协调，特别是考点学校。还需解决考试工作与教学工作的突出矛盾，既要保障考试能顺利进行，又要保障教学任务按计划顺利实施，存在经费较少，每年预算经费</w:t>
      </w:r>
      <w:r>
        <w:rPr>
          <w:rFonts w:hint="eastAsia" w:ascii="仿宋_GB2312" w:hAnsi="仿宋_GB2312" w:eastAsia="仿宋_GB2312"/>
          <w:color w:val="000000"/>
          <w:sz w:val="32"/>
          <w:szCs w:val="32"/>
          <w:lang w:val="en-US" w:eastAsia="zh-CN"/>
        </w:rPr>
        <w:t>根本不够，不足资金我局均从转移支付办案经费中解决，如取消办案业务经费我局该项工作将无法运转。</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color w:val="000000"/>
          <w:sz w:val="32"/>
          <w:szCs w:val="32"/>
        </w:rPr>
      </w:pPr>
      <w:r>
        <w:rPr>
          <w:rFonts w:hint="eastAsia" w:ascii="楷体_GB2312" w:hAnsi="楷体_GB2312" w:eastAsia="楷体_GB2312" w:cs="楷体_GB2312"/>
          <w:b w:val="0"/>
          <w:bCs/>
          <w:color w:val="000000"/>
          <w:sz w:val="32"/>
          <w:szCs w:val="32"/>
        </w:rPr>
        <w:t>（三）相关建议</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hAnsi="仿宋" w:eastAsia="仿宋_GB2312" w:cs="仿宋_GB2312"/>
          <w:color w:val="000000"/>
          <w:sz w:val="32"/>
          <w:szCs w:val="32"/>
        </w:rPr>
        <w:t>在今后的工作中，</w:t>
      </w:r>
      <w:r>
        <w:rPr>
          <w:rFonts w:hint="eastAsia" w:ascii="仿宋_GB2312" w:hAnsi="仿宋" w:eastAsia="仿宋_GB2312" w:cs="仿宋_GB2312"/>
          <w:color w:val="000000"/>
          <w:sz w:val="32"/>
          <w:szCs w:val="32"/>
          <w:lang w:eastAsia="zh-CN"/>
        </w:rPr>
        <w:t>严格按照司法部、省司法厅的考试工作组织实施要求，保障人员、资金充足到位，确保考试工作万无一失。</w:t>
      </w:r>
    </w:p>
    <w:p>
      <w:pPr>
        <w:spacing w:line="560" w:lineRule="exact"/>
        <w:jc w:val="center"/>
        <w:rPr>
          <w:rFonts w:hint="eastAsia" w:ascii="方正小标宋简体" w:hAnsi="宋体" w:eastAsia="方正小标宋简体"/>
          <w:color w:val="000000"/>
          <w:kern w:val="0"/>
          <w:sz w:val="44"/>
          <w:szCs w:val="44"/>
          <w:lang w:eastAsia="zh-CN"/>
        </w:rPr>
        <w:sectPr>
          <w:pgSz w:w="11906" w:h="16838"/>
          <w:pgMar w:top="1440" w:right="1800" w:bottom="1440" w:left="1800" w:header="851" w:footer="992" w:gutter="0"/>
          <w:pgNumType w:fmt="decimal"/>
          <w:cols w:space="425" w:num="1"/>
          <w:titlePg/>
          <w:docGrid w:type="lines" w:linePitch="312" w:charSpace="0"/>
        </w:sectPr>
      </w:pPr>
    </w:p>
    <w:tbl>
      <w:tblPr>
        <w:tblStyle w:val="16"/>
        <w:tblW w:w="13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4"/>
        <w:gridCol w:w="1468"/>
        <w:gridCol w:w="1424"/>
        <w:gridCol w:w="2653"/>
        <w:gridCol w:w="521"/>
        <w:gridCol w:w="690"/>
        <w:gridCol w:w="521"/>
        <w:gridCol w:w="855"/>
        <w:gridCol w:w="780"/>
        <w:gridCol w:w="840"/>
        <w:gridCol w:w="915"/>
        <w:gridCol w:w="1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3567"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11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国家统一法律职业资格考试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主管部门（盖章）</w:t>
            </w:r>
          </w:p>
        </w:tc>
        <w:tc>
          <w:tcPr>
            <w:tcW w:w="58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广元市司法局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 （盖章）</w:t>
            </w:r>
          </w:p>
        </w:tc>
        <w:tc>
          <w:tcPr>
            <w:tcW w:w="4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1.项目年度目标完成情况</w:t>
            </w:r>
          </w:p>
        </w:tc>
        <w:tc>
          <w:tcPr>
            <w:tcW w:w="58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项目年度目标</w:t>
            </w:r>
          </w:p>
        </w:tc>
        <w:tc>
          <w:tcPr>
            <w:tcW w:w="5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58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完成2022年国家统一法律职业资格考试；完成2022年国家统一法律职业资格考试成绩合格人员法律职业资格初审及材料上报和集中交叉审核；完成审核合格人员的法律职业资格证颁发工作。</w:t>
            </w:r>
          </w:p>
        </w:tc>
        <w:tc>
          <w:tcPr>
            <w:tcW w:w="53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未完成。受疫情影响，2022年国家统一法律职业资格考试推迟到2023年2月举行。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2.项目实施内容及过程概述</w:t>
            </w:r>
          </w:p>
        </w:tc>
        <w:tc>
          <w:tcPr>
            <w:tcW w:w="111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组织实施全市国家统一法律职业资格考试工作。负责国家统一法律职业资格申请、审核、报批、颁证、档案建立使用、违纪违规处理等管理工作。组织实施法律职业人员入职前培训工作。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年度预算数（万元）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1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总额</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受疫情影响，2022年国家统一法律职业资格考试延迟举行，预计在2023年3月完成支付。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其中：财政资金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42.80%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参与全省法律职业资格材料交叉检查</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kern w:val="0"/>
                <w:sz w:val="18"/>
                <w:szCs w:val="18"/>
                <w:u w:val="none"/>
                <w:lang w:val="en"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kern w:val="0"/>
                <w:sz w:val="18"/>
                <w:szCs w:val="18"/>
                <w:u w:val="none"/>
                <w:lang w:val="en"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完成2022年国家统一法律职业资格考试准备工作及时率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国家统一法律职业资格考试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未完成。受疫情影响，2022年国家统一法律职业资格考试推迟到2023年2月举行。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法考工作规范率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到省厅领取法律职业资格证</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为全面依法治国增加法治专业人才</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促进社会公平正义，营造健康良好的法治社会环境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群众对法考工作满意度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国家统一法律职业资格考试劳务费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kern w:val="0"/>
                <w:sz w:val="18"/>
                <w:szCs w:val="18"/>
                <w:u w:val="none"/>
                <w:lang w:val="en"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kern w:val="0"/>
                <w:sz w:val="18"/>
                <w:szCs w:val="18"/>
                <w:u w:val="none"/>
                <w:lang w:val="en"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受疫情影响，2022年国家统一法律职业资格考试推迟到2023年2月举行。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国家统一法律职业资格考试印刷费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国家统一法律职业资格考试租赁费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受疫情影响，2022年国家统一法律职业资格考试推迟到2023年2月举行。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91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98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部门（单位）自评结论</w:t>
            </w:r>
          </w:p>
        </w:tc>
        <w:tc>
          <w:tcPr>
            <w:tcW w:w="125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依据国家统一法律职业资格考试项目设置的绩效评价指标体系、标准值、权重（分值）评价标准，综合得分98分。资金使用严格按照《司法行政系统财务管理规定》执行，专项资金得到合理合规的分配和利用。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部门（单位）自评存在问题</w:t>
            </w:r>
          </w:p>
        </w:tc>
        <w:tc>
          <w:tcPr>
            <w:tcW w:w="125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科室人员力量较为薄弱，且存在经费较少，每年预算经费根本不够。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部门（单位）自评改进措施</w:t>
            </w:r>
          </w:p>
        </w:tc>
        <w:tc>
          <w:tcPr>
            <w:tcW w:w="125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严格按照司法部、省司法厅的考试工作组织实施要求，保障人员、资金充足到位，确保考试工作万无一失。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财政部门对口科室复评结论及整改要求</w:t>
            </w:r>
          </w:p>
        </w:tc>
        <w:tc>
          <w:tcPr>
            <w:tcW w:w="1259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bl>
    <w:p>
      <w:pPr>
        <w:pStyle w:val="2"/>
        <w:rPr>
          <w:rFonts w:hint="eastAsia"/>
          <w:lang w:eastAsia="zh-CN"/>
        </w:rPr>
        <w:sectPr>
          <w:pgSz w:w="16838" w:h="11906" w:orient="landscape"/>
          <w:pgMar w:top="1800" w:right="1440" w:bottom="1800" w:left="1440" w:header="851" w:footer="992" w:gutter="0"/>
          <w:pgNumType w:fmt="decimal"/>
          <w:cols w:space="425" w:num="1"/>
          <w:titlePg/>
          <w:docGrid w:type="lines" w:linePitch="312" w:charSpace="0"/>
        </w:sectPr>
      </w:pPr>
    </w:p>
    <w:p>
      <w:pPr>
        <w:rPr>
          <w:rFonts w:hint="eastAsia"/>
          <w:lang w:eastAsia="zh-CN"/>
        </w:rPr>
      </w:pPr>
    </w:p>
    <w:p>
      <w:pPr>
        <w:spacing w:line="560" w:lineRule="exact"/>
        <w:jc w:val="center"/>
        <w:rPr>
          <w:rFonts w:hint="eastAsia" w:ascii="方正小标宋简体" w:hAnsi="宋体" w:eastAsia="方正小标宋简体"/>
          <w:color w:val="000000"/>
          <w:kern w:val="0"/>
          <w:sz w:val="44"/>
          <w:szCs w:val="44"/>
          <w:lang w:eastAsia="zh-CN"/>
        </w:rPr>
      </w:pPr>
      <w:r>
        <w:rPr>
          <w:rFonts w:hint="eastAsia" w:ascii="方正小标宋简体" w:hAnsi="宋体" w:eastAsia="方正小标宋简体"/>
          <w:color w:val="000000"/>
          <w:kern w:val="0"/>
          <w:sz w:val="44"/>
          <w:szCs w:val="44"/>
          <w:lang w:eastAsia="zh-CN"/>
        </w:rPr>
        <w:t>广元市司法局</w:t>
      </w:r>
    </w:p>
    <w:p>
      <w:pPr>
        <w:spacing w:line="560" w:lineRule="exact"/>
        <w:jc w:val="center"/>
        <w:rPr>
          <w:rFonts w:hint="eastAsia" w:ascii="方正小标宋简体" w:hAnsi="方正小标宋简体" w:eastAsia="方正小标宋简体"/>
          <w:color w:val="000000"/>
          <w:kern w:val="0"/>
          <w:sz w:val="44"/>
          <w:szCs w:val="44"/>
        </w:rPr>
      </w:pPr>
      <w:r>
        <w:rPr>
          <w:rFonts w:hint="eastAsia" w:ascii="方正小标宋简体" w:hAnsi="宋体" w:eastAsia="方正小标宋简体"/>
          <w:color w:val="000000"/>
          <w:kern w:val="0"/>
          <w:sz w:val="44"/>
          <w:szCs w:val="44"/>
          <w:lang w:eastAsia="zh-CN"/>
        </w:rPr>
        <w:t>关于</w:t>
      </w:r>
      <w:r>
        <w:rPr>
          <w:rFonts w:hint="eastAsia" w:ascii="方正小标宋简体" w:hAnsi="宋体" w:eastAsia="方正小标宋简体"/>
          <w:color w:val="000000"/>
          <w:kern w:val="0"/>
          <w:sz w:val="44"/>
          <w:szCs w:val="44"/>
        </w:rPr>
        <w:t>20</w:t>
      </w:r>
      <w:r>
        <w:rPr>
          <w:rFonts w:hint="eastAsia" w:ascii="方正小标宋简体" w:hAnsi="宋体" w:eastAsia="方正小标宋简体"/>
          <w:color w:val="000000"/>
          <w:kern w:val="0"/>
          <w:sz w:val="44"/>
          <w:szCs w:val="44"/>
          <w:lang w:val="en-US" w:eastAsia="zh-CN"/>
        </w:rPr>
        <w:t>22</w:t>
      </w:r>
      <w:r>
        <w:rPr>
          <w:rFonts w:hint="eastAsia" w:ascii="方正小标宋简体" w:hAnsi="方正小标宋简体" w:eastAsia="方正小标宋简体"/>
          <w:color w:val="000000"/>
          <w:kern w:val="0"/>
          <w:sz w:val="44"/>
          <w:szCs w:val="44"/>
        </w:rPr>
        <w:t>年</w:t>
      </w:r>
      <w:r>
        <w:rPr>
          <w:rFonts w:hint="eastAsia" w:ascii="方正小标宋简体" w:hAnsi="方正小标宋简体" w:eastAsia="方正小标宋简体"/>
          <w:color w:val="000000"/>
          <w:kern w:val="0"/>
          <w:sz w:val="44"/>
          <w:szCs w:val="44"/>
          <w:lang w:eastAsia="zh-CN"/>
        </w:rPr>
        <w:t>基层司法业务</w:t>
      </w:r>
      <w:r>
        <w:rPr>
          <w:rFonts w:hint="eastAsia" w:ascii="方正小标宋简体" w:hAnsi="方正小标宋简体" w:eastAsia="方正小标宋简体"/>
          <w:color w:val="000000"/>
          <w:kern w:val="0"/>
          <w:sz w:val="44"/>
          <w:szCs w:val="44"/>
        </w:rPr>
        <w:t>项目</w:t>
      </w:r>
      <w:r>
        <w:rPr>
          <w:rFonts w:hint="eastAsia" w:ascii="方正小标宋简体" w:hAnsi="宋体" w:eastAsia="方正小标宋简体"/>
          <w:color w:val="000000"/>
          <w:kern w:val="0"/>
          <w:sz w:val="44"/>
          <w:szCs w:val="44"/>
        </w:rPr>
        <w:t>支出</w:t>
      </w:r>
      <w:r>
        <w:rPr>
          <w:rFonts w:hint="eastAsia" w:ascii="方正小标宋简体" w:hAnsi="方正小标宋简体" w:eastAsia="方正小标宋简体"/>
          <w:color w:val="000000"/>
          <w:kern w:val="0"/>
          <w:sz w:val="44"/>
          <w:szCs w:val="44"/>
        </w:rPr>
        <w:t>绩效</w:t>
      </w:r>
    </w:p>
    <w:p>
      <w:pPr>
        <w:spacing w:line="560" w:lineRule="exact"/>
        <w:jc w:val="center"/>
        <w:rPr>
          <w:rFonts w:hint="eastAsia" w:ascii="方正小标宋简体" w:hAnsi="宋体" w:eastAsia="方正小标宋简体"/>
          <w:color w:val="000000"/>
          <w:kern w:val="0"/>
          <w:sz w:val="44"/>
          <w:szCs w:val="44"/>
        </w:rPr>
      </w:pPr>
      <w:r>
        <w:rPr>
          <w:rFonts w:hint="eastAsia" w:ascii="方正小标宋简体" w:hAnsi="方正小标宋简体" w:eastAsia="方正小标宋简体"/>
          <w:color w:val="000000"/>
          <w:kern w:val="0"/>
          <w:sz w:val="44"/>
          <w:szCs w:val="44"/>
        </w:rPr>
        <w:t>评价</w:t>
      </w:r>
      <w:r>
        <w:rPr>
          <w:rFonts w:hint="eastAsia" w:ascii="方正小标宋简体" w:hAnsi="方正小标宋简体" w:eastAsia="方正小标宋简体"/>
          <w:color w:val="000000"/>
          <w:kern w:val="0"/>
          <w:sz w:val="44"/>
          <w:szCs w:val="44"/>
          <w:lang w:eastAsia="zh-CN"/>
        </w:rPr>
        <w:t>的</w:t>
      </w:r>
      <w:r>
        <w:rPr>
          <w:rFonts w:hint="eastAsia" w:ascii="方正小标宋简体" w:hAnsi="方正小标宋简体" w:eastAsia="方正小标宋简体"/>
          <w:color w:val="000000"/>
          <w:kern w:val="0"/>
          <w:sz w:val="44"/>
          <w:szCs w:val="44"/>
        </w:rPr>
        <w:t>报告</w:t>
      </w:r>
    </w:p>
    <w:p>
      <w:pPr>
        <w:spacing w:line="560" w:lineRule="exact"/>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spacing w:line="576" w:lineRule="exact"/>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市财政局：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现将我局2022年基层司法业务项目支出绩效评价情况报告如下：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olor w:val="000000"/>
          <w:sz w:val="32"/>
          <w:szCs w:val="32"/>
        </w:rPr>
      </w:pPr>
      <w:r>
        <w:rPr>
          <w:rFonts w:hint="eastAsia" w:ascii="黑体" w:hAnsi="黑体" w:eastAsia="黑体" w:cs="Times New Roman"/>
          <w:color w:val="000000"/>
          <w:sz w:val="32"/>
          <w:szCs w:val="32"/>
          <w:lang w:eastAsia="zh-CN"/>
        </w:rPr>
        <w:t>一、</w:t>
      </w:r>
      <w:r>
        <w:rPr>
          <w:rFonts w:hint="eastAsia" w:ascii="黑体" w:hAnsi="黑体" w:eastAsia="黑体"/>
          <w:color w:val="000000"/>
          <w:sz w:val="32"/>
          <w:szCs w:val="32"/>
        </w:rPr>
        <w:t>项目概况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hint="eastAsia"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楷体_GB2312" w:hAnsi="楷体_GB2312" w:eastAsia="楷体_GB2312" w:cs="楷体_GB2312"/>
          <w:b w:val="0"/>
          <w:bCs w:val="0"/>
          <w:color w:val="000000"/>
          <w:sz w:val="32"/>
          <w:szCs w:val="32"/>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w:t>
      </w:r>
      <w:r>
        <w:rPr>
          <w:rFonts w:hint="eastAsia" w:ascii="仿宋_GB2312" w:hAnsi="仿宋_GB2312" w:eastAsia="仿宋_GB2312"/>
          <w:color w:val="000000"/>
          <w:sz w:val="32"/>
          <w:szCs w:val="32"/>
        </w:rPr>
        <w:t>说明项目主管部门（单位）在该项目管理中的职能</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olor w:val="000000"/>
          <w:sz w:val="32"/>
          <w:szCs w:val="32"/>
        </w:rPr>
      </w:pPr>
      <w:r>
        <w:rPr>
          <w:rFonts w:hint="eastAsia" w:ascii="仿宋_GB2312" w:hAnsi="仿宋" w:eastAsia="仿宋_GB2312"/>
          <w:color w:val="000000"/>
          <w:sz w:val="32"/>
          <w:szCs w:val="32"/>
        </w:rPr>
        <w:t>我局负责制定本单</w:t>
      </w:r>
      <w:r>
        <w:rPr>
          <w:rFonts w:hint="eastAsia" w:ascii="仿宋_GB2312" w:hAnsi="仿宋" w:eastAsia="仿宋_GB2312"/>
          <w:color w:val="000000"/>
          <w:sz w:val="32"/>
          <w:szCs w:val="32"/>
          <w:lang w:eastAsia="zh-CN"/>
        </w:rPr>
        <w:t>位基层司法业务开支用途</w:t>
      </w:r>
      <w:r>
        <w:rPr>
          <w:rFonts w:hint="eastAsia" w:ascii="仿宋_GB2312" w:hAnsi="仿宋" w:eastAsia="仿宋_GB2312"/>
          <w:color w:val="000000"/>
          <w:sz w:val="32"/>
          <w:szCs w:val="32"/>
        </w:rPr>
        <w:t>，确保相关经费保障政策措施落到实处，督促</w:t>
      </w:r>
      <w:r>
        <w:rPr>
          <w:rFonts w:hint="eastAsia" w:ascii="仿宋_GB2312" w:hAnsi="仿宋" w:eastAsia="仿宋_GB2312"/>
          <w:color w:val="000000"/>
          <w:sz w:val="32"/>
          <w:szCs w:val="32"/>
          <w:lang w:eastAsia="zh-CN"/>
        </w:rPr>
        <w:t>促进法治科</w:t>
      </w:r>
      <w:r>
        <w:rPr>
          <w:rFonts w:hint="eastAsia" w:ascii="仿宋_GB2312" w:hAnsi="仿宋" w:eastAsia="仿宋_GB2312"/>
          <w:color w:val="000000"/>
          <w:sz w:val="32"/>
          <w:szCs w:val="32"/>
        </w:rPr>
        <w:t>严格按照法律法规、政策标准及时、足额支付，不得截留，促进</w:t>
      </w:r>
      <w:r>
        <w:rPr>
          <w:rFonts w:hint="eastAsia" w:ascii="仿宋_GB2312" w:hAnsi="仿宋" w:eastAsia="仿宋_GB2312"/>
          <w:color w:val="000000"/>
          <w:sz w:val="32"/>
          <w:szCs w:val="32"/>
          <w:lang w:eastAsia="zh-CN"/>
        </w:rPr>
        <w:t>人民参与和法治建设</w:t>
      </w:r>
      <w:r>
        <w:rPr>
          <w:rFonts w:hint="eastAsia" w:ascii="仿宋_GB2312" w:hAnsi="仿宋" w:eastAsia="仿宋_GB2312"/>
          <w:color w:val="000000"/>
          <w:sz w:val="32"/>
          <w:szCs w:val="32"/>
        </w:rPr>
        <w:t>事业健康发展。</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w:t>
      </w:r>
      <w:r>
        <w:rPr>
          <w:rFonts w:hint="eastAsia" w:ascii="仿宋_GB2312" w:hAnsi="仿宋_GB2312" w:eastAsia="仿宋_GB2312"/>
          <w:color w:val="000000"/>
          <w:sz w:val="32"/>
          <w:szCs w:val="32"/>
        </w:rPr>
        <w:t>项目立项、资金申报的依据</w:t>
      </w:r>
    </w:p>
    <w:p>
      <w:pPr>
        <w:pStyle w:val="15"/>
        <w:keepNext w:val="0"/>
        <w:keepLines w:val="0"/>
        <w:pageBreakBefore w:val="0"/>
        <w:kinsoku/>
        <w:wordWrap/>
        <w:overflowPunct/>
        <w:topLinePunct w:val="0"/>
        <w:autoSpaceDE/>
        <w:autoSpaceDN/>
        <w:bidi w:val="0"/>
        <w:spacing w:before="0" w:beforeAutospacing="0" w:after="0" w:afterAutospacing="0" w:line="576"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项目立项依据：《</w:t>
      </w:r>
      <w:r>
        <w:rPr>
          <w:rFonts w:hint="eastAsia" w:ascii="仿宋_GB2312" w:eastAsia="仿宋_GB2312"/>
          <w:color w:val="000000"/>
          <w:sz w:val="32"/>
          <w:szCs w:val="32"/>
          <w:lang w:eastAsia="zh-CN"/>
        </w:rPr>
        <w:t>中华人民共和国调解法</w:t>
      </w:r>
      <w:r>
        <w:rPr>
          <w:rFonts w:hint="eastAsia" w:ascii="仿宋_GB2312" w:eastAsia="仿宋_GB2312"/>
          <w:color w:val="000000"/>
          <w:sz w:val="32"/>
          <w:szCs w:val="32"/>
        </w:rPr>
        <w:t>》第</w:t>
      </w:r>
      <w:r>
        <w:rPr>
          <w:rFonts w:hint="eastAsia" w:ascii="仿宋_GB2312" w:eastAsia="仿宋_GB2312"/>
          <w:color w:val="000000"/>
          <w:sz w:val="32"/>
          <w:szCs w:val="32"/>
          <w:lang w:eastAsia="zh-CN"/>
        </w:rPr>
        <w:t>六</w:t>
      </w:r>
      <w:r>
        <w:rPr>
          <w:rFonts w:hint="eastAsia" w:ascii="仿宋_GB2312" w:eastAsia="仿宋_GB2312"/>
          <w:color w:val="000000"/>
          <w:sz w:val="32"/>
          <w:szCs w:val="32"/>
        </w:rPr>
        <w:t>条</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r>
        <w:rPr>
          <w:rFonts w:hint="eastAsia" w:ascii="仿宋_GB2312" w:eastAsia="仿宋_GB2312"/>
          <w:color w:val="000000"/>
          <w:sz w:val="32"/>
          <w:szCs w:val="32"/>
          <w:lang w:eastAsia="zh-CN"/>
        </w:rPr>
        <w:t>中华人民共和国陪审员法</w:t>
      </w:r>
      <w:r>
        <w:rPr>
          <w:rFonts w:hint="eastAsia" w:ascii="仿宋_GB2312" w:eastAsia="仿宋_GB2312"/>
          <w:color w:val="000000"/>
          <w:sz w:val="32"/>
          <w:szCs w:val="32"/>
        </w:rPr>
        <w:t>》第</w:t>
      </w:r>
      <w:r>
        <w:rPr>
          <w:rFonts w:hint="eastAsia" w:ascii="仿宋_GB2312" w:eastAsia="仿宋_GB2312"/>
          <w:color w:val="000000"/>
          <w:sz w:val="32"/>
          <w:szCs w:val="32"/>
          <w:lang w:eastAsia="zh-CN"/>
        </w:rPr>
        <w:t>三</w:t>
      </w:r>
      <w:r>
        <w:rPr>
          <w:rFonts w:hint="eastAsia" w:ascii="仿宋_GB2312" w:eastAsia="仿宋_GB2312"/>
          <w:color w:val="000000"/>
          <w:sz w:val="32"/>
          <w:szCs w:val="32"/>
        </w:rPr>
        <w:t>十</w:t>
      </w:r>
      <w:r>
        <w:rPr>
          <w:rFonts w:hint="eastAsia" w:ascii="仿宋_GB2312" w:eastAsia="仿宋_GB2312"/>
          <w:color w:val="000000"/>
          <w:sz w:val="32"/>
          <w:szCs w:val="32"/>
          <w:lang w:eastAsia="zh-CN"/>
        </w:rPr>
        <w:t>一</w:t>
      </w:r>
      <w:r>
        <w:rPr>
          <w:rFonts w:hint="eastAsia" w:ascii="仿宋_GB2312" w:eastAsia="仿宋_GB2312"/>
          <w:color w:val="000000"/>
          <w:sz w:val="32"/>
          <w:szCs w:val="32"/>
        </w:rPr>
        <w:t>条</w:t>
      </w:r>
      <w:r>
        <w:rPr>
          <w:rFonts w:hint="eastAsia" w:ascii="仿宋_GB2312" w:eastAsia="仿宋_GB2312"/>
          <w:color w:val="000000"/>
          <w:sz w:val="32"/>
          <w:szCs w:val="32"/>
          <w:lang w:eastAsia="zh-CN"/>
        </w:rPr>
        <w:t>；中办发〔</w:t>
      </w:r>
      <w:r>
        <w:rPr>
          <w:rFonts w:hint="eastAsia" w:ascii="仿宋_GB2312" w:eastAsia="仿宋_GB2312"/>
          <w:color w:val="000000"/>
          <w:sz w:val="32"/>
          <w:szCs w:val="32"/>
          <w:lang w:val="en-US" w:eastAsia="zh-CN"/>
        </w:rPr>
        <w:t>2010</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5号</w:t>
      </w:r>
      <w:r>
        <w:rPr>
          <w:rFonts w:hint="eastAsia" w:ascii="仿宋_GB2312" w:eastAsia="仿宋_GB2312"/>
          <w:color w:val="000000"/>
          <w:sz w:val="32"/>
          <w:szCs w:val="32"/>
          <w:lang w:eastAsia="zh-CN"/>
        </w:rPr>
        <w:t>《中央社会治安综合治理委员会关于进一步加强刑满释放人员安置帮教工作的意见》；《人民监督员选任管理办法》第</w:t>
      </w:r>
      <w:r>
        <w:rPr>
          <w:rFonts w:hint="eastAsia" w:ascii="仿宋_GB2312" w:eastAsia="仿宋_GB2312"/>
          <w:color w:val="000000"/>
          <w:sz w:val="32"/>
          <w:szCs w:val="32"/>
        </w:rPr>
        <w:t>二十</w:t>
      </w:r>
      <w:r>
        <w:rPr>
          <w:rFonts w:hint="eastAsia" w:ascii="仿宋_GB2312" w:eastAsia="仿宋_GB2312"/>
          <w:color w:val="000000"/>
          <w:sz w:val="32"/>
          <w:szCs w:val="32"/>
          <w:lang w:eastAsia="zh-CN"/>
        </w:rPr>
        <w:t>三</w:t>
      </w:r>
      <w:r>
        <w:rPr>
          <w:rFonts w:hint="eastAsia" w:ascii="仿宋_GB2312" w:eastAsia="仿宋_GB2312"/>
          <w:color w:val="000000"/>
          <w:sz w:val="32"/>
          <w:szCs w:val="32"/>
        </w:rPr>
        <w:t>条。</w:t>
      </w:r>
    </w:p>
    <w:p>
      <w:pPr>
        <w:pStyle w:val="15"/>
        <w:keepNext w:val="0"/>
        <w:keepLines w:val="0"/>
        <w:pageBreakBefore w:val="0"/>
        <w:kinsoku/>
        <w:wordWrap/>
        <w:overflowPunct/>
        <w:topLinePunct w:val="0"/>
        <w:autoSpaceDE/>
        <w:autoSpaceDN/>
        <w:bidi w:val="0"/>
        <w:spacing w:before="0" w:beforeAutospacing="0" w:after="0" w:afterAutospacing="0" w:line="576"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资金申报依据：《</w:t>
      </w:r>
      <w:r>
        <w:rPr>
          <w:rFonts w:hint="eastAsia" w:ascii="仿宋_GB2312" w:eastAsia="仿宋_GB2312"/>
          <w:color w:val="000000"/>
          <w:sz w:val="32"/>
          <w:szCs w:val="32"/>
          <w:lang w:eastAsia="zh-CN"/>
        </w:rPr>
        <w:t>中华人民共和国调解法</w:t>
      </w:r>
      <w:r>
        <w:rPr>
          <w:rFonts w:hint="eastAsia" w:ascii="仿宋_GB2312" w:eastAsia="仿宋_GB2312"/>
          <w:color w:val="000000"/>
          <w:sz w:val="32"/>
          <w:szCs w:val="32"/>
        </w:rPr>
        <w:t>》第</w:t>
      </w:r>
      <w:r>
        <w:rPr>
          <w:rFonts w:hint="eastAsia" w:ascii="仿宋_GB2312" w:eastAsia="仿宋_GB2312"/>
          <w:color w:val="000000"/>
          <w:sz w:val="32"/>
          <w:szCs w:val="32"/>
          <w:lang w:eastAsia="zh-CN"/>
        </w:rPr>
        <w:t>六</w:t>
      </w:r>
      <w:r>
        <w:rPr>
          <w:rFonts w:hint="eastAsia" w:ascii="仿宋_GB2312" w:eastAsia="仿宋_GB2312"/>
          <w:color w:val="000000"/>
          <w:sz w:val="32"/>
          <w:szCs w:val="32"/>
        </w:rPr>
        <w:t>条</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r>
        <w:rPr>
          <w:rFonts w:hint="eastAsia" w:ascii="仿宋_GB2312" w:eastAsia="仿宋_GB2312"/>
          <w:color w:val="000000"/>
          <w:sz w:val="32"/>
          <w:szCs w:val="32"/>
          <w:lang w:eastAsia="zh-CN"/>
        </w:rPr>
        <w:t>中华人民共和国陪审员法</w:t>
      </w:r>
      <w:r>
        <w:rPr>
          <w:rFonts w:hint="eastAsia" w:ascii="仿宋_GB2312" w:eastAsia="仿宋_GB2312"/>
          <w:color w:val="000000"/>
          <w:sz w:val="32"/>
          <w:szCs w:val="32"/>
        </w:rPr>
        <w:t>》第</w:t>
      </w:r>
      <w:r>
        <w:rPr>
          <w:rFonts w:hint="eastAsia" w:ascii="仿宋_GB2312" w:eastAsia="仿宋_GB2312"/>
          <w:color w:val="000000"/>
          <w:sz w:val="32"/>
          <w:szCs w:val="32"/>
          <w:lang w:eastAsia="zh-CN"/>
        </w:rPr>
        <w:t>三</w:t>
      </w:r>
      <w:r>
        <w:rPr>
          <w:rFonts w:hint="eastAsia" w:ascii="仿宋_GB2312" w:eastAsia="仿宋_GB2312"/>
          <w:color w:val="000000"/>
          <w:sz w:val="32"/>
          <w:szCs w:val="32"/>
        </w:rPr>
        <w:t>十</w:t>
      </w:r>
      <w:r>
        <w:rPr>
          <w:rFonts w:hint="eastAsia" w:ascii="仿宋_GB2312" w:eastAsia="仿宋_GB2312"/>
          <w:color w:val="000000"/>
          <w:sz w:val="32"/>
          <w:szCs w:val="32"/>
          <w:lang w:eastAsia="zh-CN"/>
        </w:rPr>
        <w:t>一</w:t>
      </w:r>
      <w:r>
        <w:rPr>
          <w:rFonts w:hint="eastAsia" w:ascii="仿宋_GB2312" w:eastAsia="仿宋_GB2312"/>
          <w:color w:val="000000"/>
          <w:sz w:val="32"/>
          <w:szCs w:val="32"/>
        </w:rPr>
        <w:t>条</w:t>
      </w:r>
      <w:r>
        <w:rPr>
          <w:rFonts w:hint="eastAsia" w:ascii="仿宋_GB2312" w:eastAsia="仿宋_GB2312"/>
          <w:color w:val="000000"/>
          <w:sz w:val="32"/>
          <w:szCs w:val="32"/>
          <w:lang w:eastAsia="zh-CN"/>
        </w:rPr>
        <w:t>；中办发〔</w:t>
      </w:r>
      <w:r>
        <w:rPr>
          <w:rFonts w:hint="eastAsia" w:ascii="仿宋_GB2312" w:eastAsia="仿宋_GB2312"/>
          <w:color w:val="000000"/>
          <w:sz w:val="32"/>
          <w:szCs w:val="32"/>
          <w:lang w:val="en-US" w:eastAsia="zh-CN"/>
        </w:rPr>
        <w:t>2010</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5号</w:t>
      </w:r>
      <w:r>
        <w:rPr>
          <w:rFonts w:hint="eastAsia" w:ascii="仿宋_GB2312" w:eastAsia="仿宋_GB2312"/>
          <w:color w:val="000000"/>
          <w:sz w:val="32"/>
          <w:szCs w:val="32"/>
          <w:lang w:eastAsia="zh-CN"/>
        </w:rPr>
        <w:t>《中央社会治安综合治理委员会关于进一步加强刑满释放人员安置帮教工作的意见》；《人民监督员选任管理办法》第</w:t>
      </w:r>
      <w:r>
        <w:rPr>
          <w:rFonts w:hint="eastAsia" w:ascii="仿宋_GB2312" w:eastAsia="仿宋_GB2312"/>
          <w:color w:val="000000"/>
          <w:sz w:val="32"/>
          <w:szCs w:val="32"/>
        </w:rPr>
        <w:t>二十</w:t>
      </w:r>
      <w:r>
        <w:rPr>
          <w:rFonts w:hint="eastAsia" w:ascii="仿宋_GB2312" w:eastAsia="仿宋_GB2312"/>
          <w:color w:val="000000"/>
          <w:sz w:val="32"/>
          <w:szCs w:val="32"/>
          <w:lang w:eastAsia="zh-CN"/>
        </w:rPr>
        <w:t>三</w:t>
      </w:r>
      <w:r>
        <w:rPr>
          <w:rFonts w:hint="eastAsia" w:ascii="仿宋_GB2312" w:eastAsia="仿宋_GB2312"/>
          <w:color w:val="000000"/>
          <w:sz w:val="32"/>
          <w:szCs w:val="32"/>
        </w:rPr>
        <w:t>条。</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宋体"/>
          <w:color w:val="000000"/>
          <w:kern w:val="0"/>
          <w:sz w:val="32"/>
          <w:szCs w:val="32"/>
          <w:lang w:val="en-US" w:eastAsia="zh-CN" w:bidi="ar-SA"/>
        </w:rPr>
      </w:pPr>
      <w:r>
        <w:rPr>
          <w:rFonts w:hint="eastAsia" w:ascii="仿宋_GB2312" w:hAnsi="宋体" w:eastAsia="仿宋_GB2312" w:cs="宋体"/>
          <w:color w:val="000000"/>
          <w:kern w:val="0"/>
          <w:sz w:val="32"/>
          <w:szCs w:val="32"/>
          <w:lang w:val="en-US" w:eastAsia="zh-CN" w:bidi="ar-SA"/>
        </w:rPr>
        <w:t>3.</w:t>
      </w:r>
      <w:r>
        <w:rPr>
          <w:rFonts w:hint="eastAsia" w:ascii="仿宋_GB2312" w:hAnsi="宋体" w:eastAsia="仿宋_GB2312" w:cs="宋体"/>
          <w:color w:val="000000"/>
          <w:kern w:val="0"/>
          <w:sz w:val="32"/>
          <w:szCs w:val="32"/>
          <w:lang w:val="zh-CN" w:eastAsia="zh-CN" w:bidi="ar-SA"/>
        </w:rPr>
        <w:t>资金管理办法制定情况，资金支持具体项目的条件、范围与支持方式概况</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资金管理办法制定情况，资金支持具体项目的条件、范围与支持方式概况</w:t>
      </w:r>
      <w:r>
        <w:rPr>
          <w:rFonts w:hint="eastAsia" w:ascii="仿宋_GB2312" w:hAnsi="仿宋_GB2312" w:eastAsia="仿宋_GB2312"/>
          <w:color w:val="000000"/>
          <w:sz w:val="32"/>
          <w:szCs w:val="32"/>
          <w:lang w:eastAsia="zh-CN"/>
        </w:rPr>
        <w:t>根据实际情况而定</w:t>
      </w:r>
      <w:r>
        <w:rPr>
          <w:rFonts w:hint="eastAsia" w:ascii="仿宋_GB2312" w:hAnsi="仿宋_GB2312" w:eastAsia="仿宋_GB2312"/>
          <w:color w:val="000000"/>
          <w:sz w:val="32"/>
          <w:szCs w:val="32"/>
        </w:rPr>
        <w:t>。</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4.资金分配的原则及考虑因素</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000000"/>
          <w:sz w:val="32"/>
          <w:szCs w:val="32"/>
        </w:rPr>
      </w:pPr>
      <w:r>
        <w:rPr>
          <w:rFonts w:hint="eastAsia" w:ascii="仿宋_GB2312" w:hAnsi="仿宋_GB2312" w:eastAsia="仿宋_GB2312" w:cs="Times New Roman"/>
          <w:color w:val="000000"/>
          <w:sz w:val="32"/>
          <w:szCs w:val="32"/>
          <w:lang w:val="en-US" w:eastAsia="zh-CN"/>
        </w:rPr>
        <w:t>基层司法业务资金采用</w:t>
      </w:r>
      <w:r>
        <w:rPr>
          <w:rFonts w:hint="eastAsia" w:ascii="仿宋_GB2312" w:hAnsi="仿宋_GB2312" w:eastAsia="仿宋_GB2312" w:cs="Times New Roman"/>
          <w:color w:val="000000"/>
          <w:sz w:val="32"/>
          <w:szCs w:val="32"/>
        </w:rPr>
        <w:t>突出重点</w:t>
      </w:r>
      <w:r>
        <w:rPr>
          <w:rFonts w:hint="eastAsia" w:ascii="仿宋_GB2312" w:hAnsi="仿宋_GB2312" w:eastAsia="仿宋_GB2312" w:cs="Times New Roman"/>
          <w:color w:val="000000"/>
          <w:sz w:val="32"/>
          <w:szCs w:val="32"/>
          <w:lang w:eastAsia="zh-CN"/>
        </w:rPr>
        <w:t>、</w:t>
      </w:r>
      <w:r>
        <w:rPr>
          <w:rFonts w:hint="eastAsia" w:ascii="仿宋_GB2312" w:hAnsi="仿宋_GB2312" w:eastAsia="仿宋_GB2312" w:cs="Times New Roman"/>
          <w:color w:val="000000"/>
          <w:sz w:val="32"/>
          <w:szCs w:val="32"/>
        </w:rPr>
        <w:t>确保基本需要的</w:t>
      </w:r>
      <w:r>
        <w:rPr>
          <w:rFonts w:hint="default" w:ascii="仿宋_GB2312" w:hAnsi="仿宋_GB2312" w:eastAsia="仿宋_GB2312" w:cs="Times New Roman"/>
          <w:color w:val="000000"/>
          <w:sz w:val="32"/>
          <w:szCs w:val="32"/>
        </w:rPr>
        <w:t>原则。基层司法行政机关所需公用经费,特别是业务经费等要作为重点予以保障</w:t>
      </w:r>
      <w:r>
        <w:rPr>
          <w:rFonts w:hint="eastAsia" w:ascii="仿宋_GB2312" w:hAnsi="仿宋_GB2312" w:eastAsia="仿宋_GB2312" w:cs="Times New Roman"/>
          <w:color w:val="000000"/>
          <w:sz w:val="32"/>
          <w:szCs w:val="32"/>
          <w:lang w:eastAsia="zh-CN"/>
        </w:rPr>
        <w:t>，</w:t>
      </w:r>
      <w:r>
        <w:rPr>
          <w:rFonts w:hint="default" w:ascii="仿宋_GB2312" w:hAnsi="仿宋_GB2312" w:eastAsia="仿宋_GB2312" w:cs="Times New Roman"/>
          <w:color w:val="000000"/>
          <w:sz w:val="32"/>
          <w:szCs w:val="32"/>
        </w:rPr>
        <w:t>履行职责、开展工作所必需的日常开支要足额给予保障</w:t>
      </w:r>
      <w:r>
        <w:rPr>
          <w:rFonts w:hint="eastAsia" w:ascii="仿宋_GB2312" w:hAnsi="仿宋_GB2312" w:eastAsia="仿宋_GB2312" w:cs="Times New Roman"/>
          <w:color w:val="000000"/>
          <w:sz w:val="32"/>
          <w:szCs w:val="32"/>
          <w:lang w:eastAsia="zh-CN"/>
        </w:rPr>
        <w:t>。</w:t>
      </w:r>
      <w:r>
        <w:rPr>
          <w:rFonts w:hint="eastAsia" w:ascii="仿宋_GB2312" w:hAnsi="仿宋" w:eastAsia="仿宋_GB2312"/>
          <w:color w:val="000000"/>
          <w:sz w:val="32"/>
          <w:szCs w:val="32"/>
        </w:rPr>
        <w:t xml:space="preserve"> </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lang w:eastAsia="zh-CN"/>
        </w:rPr>
        <w:t>（二）</w:t>
      </w:r>
      <w:r>
        <w:rPr>
          <w:rFonts w:hint="eastAsia" w:ascii="楷体_GB2312" w:hAnsi="楷体_GB2312" w:eastAsia="楷体_GB2312" w:cs="楷体_GB2312"/>
          <w:b w:val="0"/>
          <w:bCs w:val="0"/>
          <w:color w:val="000000"/>
          <w:sz w:val="32"/>
          <w:szCs w:val="32"/>
        </w:rPr>
        <w:t>项目绩效目标</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1.项目主要内容</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olor w:val="000000"/>
          <w:sz w:val="32"/>
          <w:szCs w:val="32"/>
          <w:lang w:val="en-US" w:eastAsia="zh-CN"/>
        </w:rPr>
      </w:pPr>
      <w:r>
        <w:rPr>
          <w:rFonts w:hint="eastAsia" w:ascii="仿宋_GB2312" w:hAnsi="仿宋_GB2312" w:eastAsia="仿宋_GB2312"/>
          <w:color w:val="000000"/>
          <w:sz w:val="32"/>
          <w:szCs w:val="32"/>
          <w:lang w:val="en-US" w:eastAsia="zh-CN"/>
        </w:rPr>
        <w:t>调解医疗纠纷案件；安置帮教；完成全市人民调解工作现场培训；完成全市司法助理员培训；下基层调研指导基层司法所规范化建设；完成人民监督员业务培训等。</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2.</w:t>
      </w:r>
      <w:r>
        <w:rPr>
          <w:rFonts w:hint="eastAsia" w:ascii="仿宋_GB2312" w:hAnsi="仿宋_GB2312" w:eastAsia="仿宋_GB2312"/>
          <w:color w:val="000000"/>
          <w:sz w:val="32"/>
          <w:szCs w:val="32"/>
        </w:rPr>
        <w:t>项目应实现的具体绩效目标，包括目标的量化、细化情况以及项目实施进度计划等</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rPr>
        <w:t>基层司法业务项目全年预算数</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5.85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%。开支范围：基层司法业务支出、人民调解费、安置帮教、人民陪审员</w:t>
      </w:r>
      <w:r>
        <w:rPr>
          <w:rFonts w:hint="eastAsia" w:ascii="仿宋_GB2312" w:hAnsi="仿宋_GB2312" w:eastAsia="仿宋_GB2312" w:cs="仿宋_GB2312"/>
          <w:sz w:val="32"/>
          <w:szCs w:val="32"/>
          <w:lang w:eastAsia="zh-CN"/>
        </w:rPr>
        <w:t>、人民监督员</w:t>
      </w:r>
      <w:r>
        <w:rPr>
          <w:rFonts w:hint="eastAsia" w:ascii="仿宋_GB2312" w:hAnsi="仿宋_GB2312" w:eastAsia="仿宋_GB2312" w:cs="仿宋_GB2312"/>
          <w:sz w:val="32"/>
          <w:szCs w:val="32"/>
        </w:rPr>
        <w:t>经费等。通过项目实施，基层司法业务项目经费得到保障，人民调解工作通过说服、疏导等方法，促使当事人在平等协商基础上自愿达成调解协议，解决民间纠纷的活动。查明事实、分清责任的基础上，根据当事人的认识态度、纠纷性质、难易程度的情况，采取灵活多样的方式方法，具体讲解有关法律法规、政策和社会公德，开展说服、疏导和教育工作，促使双方当事人统一认识，消除隔阂，引导、帮助当事人达成调解协议。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人民调解组织调解矛盾纠纷</w:t>
      </w:r>
      <w:r>
        <w:rPr>
          <w:rFonts w:hint="eastAsia" w:ascii="仿宋_GB2312" w:hAnsi="仿宋_GB2312" w:eastAsia="仿宋_GB2312" w:cs="仿宋_GB2312"/>
          <w:sz w:val="32"/>
          <w:szCs w:val="32"/>
          <w:lang w:val="en-US" w:eastAsia="zh-CN"/>
        </w:rPr>
        <w:t>320</w:t>
      </w:r>
      <w:r>
        <w:rPr>
          <w:rFonts w:hint="eastAsia" w:ascii="仿宋_GB2312" w:hAnsi="仿宋_GB2312" w:eastAsia="仿宋_GB2312" w:cs="仿宋_GB2312"/>
          <w:sz w:val="32"/>
          <w:szCs w:val="32"/>
        </w:rPr>
        <w:t>件，调解成功</w:t>
      </w:r>
      <w:r>
        <w:rPr>
          <w:rFonts w:hint="eastAsia" w:ascii="仿宋_GB2312" w:hAnsi="仿宋_GB2312" w:eastAsia="仿宋_GB2312" w:cs="仿宋_GB2312"/>
          <w:sz w:val="32"/>
          <w:szCs w:val="32"/>
          <w:lang w:val="en-US" w:eastAsia="zh-CN"/>
        </w:rPr>
        <w:t>312</w:t>
      </w:r>
      <w:r>
        <w:rPr>
          <w:rFonts w:hint="eastAsia" w:ascii="仿宋_GB2312" w:hAnsi="仿宋_GB2312" w:eastAsia="仿宋_GB2312" w:cs="仿宋_GB2312"/>
          <w:sz w:val="32"/>
          <w:szCs w:val="32"/>
        </w:rPr>
        <w:t>件，成功率</w:t>
      </w:r>
      <w:r>
        <w:rPr>
          <w:rFonts w:hint="eastAsia" w:ascii="仿宋_GB2312" w:hAnsi="仿宋_GB2312" w:eastAsia="仿宋_GB2312" w:cs="仿宋_GB2312"/>
          <w:sz w:val="32"/>
          <w:szCs w:val="32"/>
          <w:lang w:val="en-US" w:eastAsia="zh-CN"/>
        </w:rPr>
        <w:t>97.5</w:t>
      </w:r>
      <w:r>
        <w:rPr>
          <w:rFonts w:hint="eastAsia" w:ascii="仿宋_GB2312" w:hAnsi="仿宋_GB2312" w:eastAsia="仿宋_GB2312" w:cs="仿宋_GB2312"/>
          <w:sz w:val="32"/>
          <w:szCs w:val="32"/>
        </w:rPr>
        <w:t>%。市医调中心登记受理医疗纠纷32件，结案29件，调解成功25件，协议履行率达100%</w:t>
      </w:r>
      <w:r>
        <w:rPr>
          <w:rFonts w:hint="eastAsia" w:ascii="仿宋_GB2312" w:hAnsi="仿宋_GB2312" w:eastAsia="仿宋_GB2312" w:cs="仿宋_GB2312"/>
          <w:sz w:val="32"/>
          <w:szCs w:val="32"/>
          <w:lang w:val="en-US" w:eastAsia="zh-CN"/>
        </w:rPr>
        <w:t xml:space="preserve">,抽选人民监督员参与案件评议监督和检务活动30次以上。 </w:t>
      </w:r>
      <w:r>
        <w:rPr>
          <w:rFonts w:hint="eastAsia" w:ascii="仿宋_GB2312" w:hAnsi="仿宋_GB2312" w:eastAsia="仿宋_GB2312" w:cs="仿宋_GB2312"/>
          <w:sz w:val="28"/>
          <w:szCs w:val="28"/>
          <w:lang w:val="en-US" w:eastAsia="zh-CN"/>
        </w:rPr>
        <w:t xml:space="preserve"> </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lang w:val="en-US" w:eastAsia="zh-CN"/>
        </w:rPr>
        <w:t>3.</w:t>
      </w:r>
      <w:r>
        <w:rPr>
          <w:rFonts w:hint="eastAsia" w:ascii="仿宋_GB2312" w:hAnsi="仿宋_GB2312" w:eastAsia="仿宋_GB2312"/>
          <w:color w:val="000000"/>
          <w:sz w:val="32"/>
          <w:szCs w:val="32"/>
        </w:rPr>
        <w:t>分析评价申报内容是否与实际相符，申报目标是否合理可行</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申报内容符合我局</w:t>
      </w:r>
      <w:r>
        <w:rPr>
          <w:rFonts w:hint="eastAsia" w:ascii="仿宋_GB2312" w:hAnsi="宋体" w:eastAsia="仿宋_GB2312"/>
          <w:color w:val="000000"/>
          <w:sz w:val="32"/>
          <w:szCs w:val="32"/>
          <w:lang w:eastAsia="zh-CN"/>
        </w:rPr>
        <w:t>基层司法</w:t>
      </w:r>
      <w:r>
        <w:rPr>
          <w:rFonts w:hint="eastAsia" w:ascii="仿宋_GB2312" w:hAnsi="宋体" w:eastAsia="仿宋_GB2312"/>
          <w:color w:val="000000"/>
          <w:sz w:val="32"/>
          <w:szCs w:val="32"/>
        </w:rPr>
        <w:t>工作实际，申报目标</w:t>
      </w:r>
      <w:r>
        <w:rPr>
          <w:rFonts w:hint="eastAsia" w:ascii="仿宋_GB2312" w:hAnsi="宋体" w:eastAsia="仿宋_GB2312"/>
          <w:color w:val="000000"/>
          <w:sz w:val="32"/>
          <w:szCs w:val="32"/>
          <w:lang w:eastAsia="zh-CN"/>
        </w:rPr>
        <w:t>合理可行。</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Arial" w:eastAsia="仿宋_GB2312" w:cs="Arial"/>
          <w:color w:val="000000"/>
          <w:sz w:val="32"/>
          <w:szCs w:val="32"/>
          <w:shd w:val="clear" w:color="auto" w:fill="FFFFFF"/>
        </w:rPr>
      </w:pPr>
      <w:r>
        <w:rPr>
          <w:rFonts w:hint="eastAsia" w:ascii="仿宋_GB2312" w:hAnsi="Arial" w:eastAsia="仿宋_GB2312" w:cs="Arial"/>
          <w:color w:val="000000"/>
          <w:sz w:val="32"/>
          <w:szCs w:val="32"/>
          <w:shd w:val="clear" w:color="auto" w:fill="FFFFFF"/>
        </w:rPr>
        <w:t>我局按照项目单位自评和主管部门评价相结合的方式，依据资金使用的方向和对象,围绕绩效目标,从项目的实施、管理、效果等方面对202</w:t>
      </w:r>
      <w:r>
        <w:rPr>
          <w:rFonts w:hint="eastAsia" w:ascii="仿宋_GB2312" w:hAnsi="Arial" w:eastAsia="仿宋_GB2312" w:cs="Arial"/>
          <w:color w:val="000000"/>
          <w:sz w:val="32"/>
          <w:szCs w:val="32"/>
          <w:shd w:val="clear" w:color="auto" w:fill="FFFFFF"/>
          <w:lang w:val="en-US" w:eastAsia="zh-CN"/>
        </w:rPr>
        <w:t>2</w:t>
      </w:r>
      <w:r>
        <w:rPr>
          <w:rFonts w:hint="eastAsia" w:ascii="仿宋_GB2312" w:hAnsi="Arial" w:eastAsia="仿宋_GB2312" w:cs="Arial"/>
          <w:color w:val="000000"/>
          <w:sz w:val="32"/>
          <w:szCs w:val="32"/>
          <w:shd w:val="clear" w:color="auto" w:fill="FFFFFF"/>
        </w:rPr>
        <w:t>年度</w:t>
      </w:r>
      <w:r>
        <w:rPr>
          <w:rFonts w:hint="eastAsia" w:ascii="仿宋_GB2312" w:hAnsi="Arial" w:eastAsia="仿宋_GB2312" w:cs="Arial"/>
          <w:color w:val="000000"/>
          <w:sz w:val="32"/>
          <w:szCs w:val="32"/>
          <w:shd w:val="clear" w:color="auto" w:fill="FFFFFF"/>
          <w:lang w:eastAsia="zh-CN"/>
        </w:rPr>
        <w:t>基层司法</w:t>
      </w:r>
      <w:r>
        <w:rPr>
          <w:rFonts w:hint="eastAsia" w:ascii="仿宋_GB2312" w:hAnsi="Arial" w:eastAsia="仿宋_GB2312" w:cs="Arial"/>
          <w:color w:val="000000"/>
          <w:sz w:val="32"/>
          <w:szCs w:val="32"/>
          <w:shd w:val="clear" w:color="auto" w:fill="FFFFFF"/>
        </w:rPr>
        <w:t>专项资金开展了绩效评价工作。</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（一）项目资金申报及批复情况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olor w:val="000000"/>
          <w:sz w:val="32"/>
          <w:szCs w:val="32"/>
        </w:rPr>
      </w:pPr>
      <w:r>
        <w:rPr>
          <w:rFonts w:hint="eastAsia" w:ascii="仿宋_GB2312" w:hAnsi="仿宋" w:eastAsia="仿宋_GB2312" w:cs="仿宋_GB2312"/>
          <w:color w:val="000000"/>
          <w:sz w:val="32"/>
          <w:szCs w:val="32"/>
        </w:rPr>
        <w:t>决算执行资金</w:t>
      </w:r>
      <w:r>
        <w:rPr>
          <w:rFonts w:hint="eastAsia" w:ascii="仿宋_GB2312" w:hAnsi="仿宋" w:eastAsia="仿宋_GB2312" w:cs="仿宋_GB2312"/>
          <w:color w:val="000000"/>
          <w:sz w:val="32"/>
          <w:szCs w:val="32"/>
          <w:lang w:val="en-US" w:eastAsia="zh-CN"/>
        </w:rPr>
        <w:t>5.85</w:t>
      </w:r>
      <w:r>
        <w:rPr>
          <w:rFonts w:hint="eastAsia" w:ascii="仿宋_GB2312" w:hAnsi="仿宋" w:eastAsia="仿宋_GB2312" w:cs="仿宋_GB2312"/>
          <w:color w:val="000000"/>
          <w:sz w:val="32"/>
          <w:szCs w:val="32"/>
        </w:rPr>
        <w:t>万元，年初预算资金</w:t>
      </w:r>
      <w:r>
        <w:rPr>
          <w:rFonts w:hint="eastAsia" w:ascii="仿宋_GB2312" w:hAnsi="仿宋" w:eastAsia="仿宋_GB2312" w:cs="仿宋_GB2312"/>
          <w:color w:val="000000"/>
          <w:sz w:val="32"/>
          <w:szCs w:val="32"/>
          <w:lang w:val="en-US" w:eastAsia="zh-CN"/>
        </w:rPr>
        <w:t>15</w:t>
      </w:r>
      <w:r>
        <w:rPr>
          <w:rFonts w:hint="eastAsia" w:ascii="仿宋_GB2312" w:hAnsi="仿宋" w:eastAsia="仿宋_GB2312" w:cs="仿宋_GB2312"/>
          <w:color w:val="000000"/>
          <w:sz w:val="32"/>
          <w:szCs w:val="32"/>
        </w:rPr>
        <w:t>万元财政资金拨付率100%。</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（二）资金计划、到位及使用情况</w:t>
      </w:r>
    </w:p>
    <w:tbl>
      <w:tblPr>
        <w:tblStyle w:val="16"/>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3827"/>
        <w:gridCol w:w="1701"/>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单位</w:t>
            </w:r>
          </w:p>
        </w:tc>
        <w:tc>
          <w:tcPr>
            <w:tcW w:w="3827"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lang w:eastAsia="zh-CN"/>
              </w:rPr>
            </w:pPr>
            <w:r>
              <w:rPr>
                <w:rFonts w:hint="eastAsia" w:ascii="楷体" w:hAnsi="楷体" w:eastAsia="楷体"/>
                <w:color w:val="000000"/>
                <w:sz w:val="32"/>
                <w:szCs w:val="32"/>
              </w:rPr>
              <w:t>资金计划</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（万元）</w:t>
            </w:r>
          </w:p>
        </w:tc>
        <w:tc>
          <w:tcPr>
            <w:tcW w:w="1701"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资金到位</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（万元）</w:t>
            </w:r>
          </w:p>
        </w:tc>
        <w:tc>
          <w:tcPr>
            <w:tcW w:w="1701"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资金使用</w:t>
            </w: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restart"/>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市司法局</w:t>
            </w:r>
          </w:p>
        </w:tc>
        <w:tc>
          <w:tcPr>
            <w:tcW w:w="3827"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市本级</w:t>
            </w:r>
          </w:p>
        </w:tc>
        <w:tc>
          <w:tcPr>
            <w:tcW w:w="1701" w:type="dxa"/>
            <w:vMerge w:val="restart"/>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default" w:ascii="楷体" w:hAnsi="楷体" w:eastAsia="楷体"/>
                <w:color w:val="000000"/>
                <w:sz w:val="32"/>
                <w:szCs w:val="32"/>
                <w:lang w:val="en-US" w:eastAsia="zh-CN"/>
              </w:rPr>
            </w:pPr>
            <w:r>
              <w:rPr>
                <w:rFonts w:hint="eastAsia" w:ascii="楷体" w:hAnsi="楷体" w:eastAsia="楷体"/>
                <w:color w:val="000000"/>
                <w:sz w:val="32"/>
                <w:szCs w:val="32"/>
                <w:lang w:val="en-US" w:eastAsia="zh-CN"/>
              </w:rPr>
              <w:t>15</w:t>
            </w:r>
          </w:p>
        </w:tc>
        <w:tc>
          <w:tcPr>
            <w:tcW w:w="1701" w:type="dxa"/>
            <w:vMerge w:val="restart"/>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default" w:ascii="楷体" w:hAnsi="楷体" w:eastAsia="楷体"/>
                <w:color w:val="000000"/>
                <w:sz w:val="32"/>
                <w:szCs w:val="32"/>
                <w:lang w:val="en-US" w:eastAsia="zh-CN"/>
              </w:rPr>
            </w:pPr>
            <w:r>
              <w:rPr>
                <w:rFonts w:hint="eastAsia" w:ascii="楷体" w:hAnsi="楷体" w:eastAsia="楷体"/>
                <w:color w:val="000000"/>
                <w:sz w:val="32"/>
                <w:szCs w:val="32"/>
                <w:lang w:val="en-US" w:eastAsia="zh-CN"/>
              </w:rPr>
              <w:t>5.85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tc>
        <w:tc>
          <w:tcPr>
            <w:tcW w:w="3827" w:type="dxa"/>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default" w:ascii="楷体" w:hAnsi="楷体" w:eastAsia="楷体"/>
                <w:color w:val="000000"/>
                <w:sz w:val="32"/>
                <w:szCs w:val="32"/>
                <w:lang w:val="en-US" w:eastAsia="zh-CN"/>
              </w:rPr>
            </w:pPr>
            <w:r>
              <w:rPr>
                <w:rFonts w:hint="eastAsia" w:ascii="楷体" w:hAnsi="楷体" w:eastAsia="楷体"/>
                <w:color w:val="000000"/>
                <w:sz w:val="32"/>
                <w:szCs w:val="32"/>
                <w:lang w:val="en-US" w:eastAsia="zh-CN"/>
              </w:rPr>
              <w:t>15</w:t>
            </w:r>
          </w:p>
        </w:tc>
        <w:tc>
          <w:tcPr>
            <w:tcW w:w="1701" w:type="dxa"/>
            <w:vMerge w:val="continue"/>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tc>
        <w:tc>
          <w:tcPr>
            <w:tcW w:w="1701" w:type="dxa"/>
            <w:vMerge w:val="continue"/>
            <w:noWrap w:val="0"/>
            <w:vAlign w:val="top"/>
          </w:tcPr>
          <w:p>
            <w:pPr>
              <w:keepNext w:val="0"/>
              <w:keepLines w:val="0"/>
              <w:pageBreakBefore w:val="0"/>
              <w:kinsoku/>
              <w:wordWrap/>
              <w:overflowPunct/>
              <w:topLinePunct w:val="0"/>
              <w:autoSpaceDE/>
              <w:autoSpaceDN/>
              <w:bidi w:val="0"/>
              <w:adjustRightInd w:val="0"/>
              <w:snapToGrid w:val="0"/>
              <w:spacing w:line="576" w:lineRule="exact"/>
              <w:ind w:firstLine="640" w:firstLineChars="200"/>
              <w:jc w:val="center"/>
              <w:textAlignment w:val="auto"/>
              <w:rPr>
                <w:rFonts w:hint="eastAsia" w:ascii="楷体" w:hAnsi="楷体" w:eastAsia="楷体"/>
                <w:color w:val="000000"/>
                <w:sz w:val="32"/>
                <w:szCs w:val="32"/>
              </w:rPr>
            </w:pPr>
          </w:p>
        </w:tc>
      </w:tr>
    </w:tbl>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我局使用管理</w:t>
      </w:r>
      <w:r>
        <w:rPr>
          <w:rFonts w:hint="eastAsia" w:ascii="仿宋_GB2312" w:hAnsi="仿宋_GB2312" w:eastAsia="仿宋_GB2312"/>
          <w:color w:val="000000"/>
          <w:sz w:val="32"/>
          <w:szCs w:val="32"/>
          <w:lang w:eastAsia="zh-CN"/>
        </w:rPr>
        <w:t>基层司法业务</w:t>
      </w:r>
      <w:r>
        <w:rPr>
          <w:rFonts w:hint="eastAsia" w:ascii="仿宋_GB2312" w:hAnsi="仿宋_GB2312" w:eastAsia="仿宋_GB2312"/>
          <w:color w:val="000000"/>
          <w:sz w:val="32"/>
          <w:szCs w:val="32"/>
        </w:rPr>
        <w:t>经费始终坚持安全规范的原则，有效提升资金的使用效益，确保专款专用。截止评价时点该项目资金</w:t>
      </w:r>
      <w:r>
        <w:rPr>
          <w:rFonts w:hint="eastAsia" w:ascii="仿宋_GB2312" w:hAnsi="仿宋_GB2312" w:eastAsia="仿宋_GB2312"/>
          <w:color w:val="auto"/>
          <w:sz w:val="32"/>
          <w:szCs w:val="32"/>
        </w:rPr>
        <w:t>支出</w:t>
      </w:r>
      <w:r>
        <w:rPr>
          <w:rFonts w:hint="eastAsia" w:ascii="仿宋_GB2312" w:hAnsi="仿宋_GB2312" w:eastAsia="仿宋_GB2312"/>
          <w:color w:val="auto"/>
          <w:sz w:val="32"/>
          <w:szCs w:val="32"/>
          <w:lang w:val="en-US" w:eastAsia="zh-CN"/>
        </w:rPr>
        <w:t>5.85</w:t>
      </w:r>
      <w:r>
        <w:rPr>
          <w:rFonts w:hint="eastAsia" w:ascii="仿宋_GB2312" w:hAnsi="仿宋_GB2312" w:eastAsia="仿宋_GB2312"/>
          <w:color w:val="auto"/>
          <w:sz w:val="32"/>
          <w:szCs w:val="32"/>
        </w:rPr>
        <w:t>万元。</w:t>
      </w:r>
      <w:r>
        <w:rPr>
          <w:rFonts w:hint="eastAsia" w:ascii="仿宋_GB2312" w:hAnsi="仿宋_GB2312" w:eastAsia="仿宋_GB2312"/>
          <w:color w:val="auto"/>
          <w:sz w:val="32"/>
          <w:szCs w:val="32"/>
          <w:lang w:eastAsia="zh-CN"/>
        </w:rPr>
        <w:t>未支付完成的原因为：受疫情影响，下基层指导和检查基层司法业务次数减少，人民监督员培训在</w:t>
      </w:r>
      <w:r>
        <w:rPr>
          <w:rFonts w:hint="eastAsia" w:ascii="仿宋_GB2312" w:hAnsi="仿宋_GB2312" w:eastAsia="仿宋_GB2312"/>
          <w:color w:val="auto"/>
          <w:sz w:val="32"/>
          <w:szCs w:val="32"/>
          <w:lang w:val="en-US" w:eastAsia="zh-CN"/>
        </w:rPr>
        <w:t>2022年末开展，于2023年完成培训支出。</w:t>
      </w:r>
      <w:r>
        <w:rPr>
          <w:rFonts w:hint="eastAsia" w:ascii="仿宋_GB2312" w:hAnsi="宋体" w:eastAsia="仿宋_GB2312"/>
          <w:color w:val="000000"/>
          <w:sz w:val="32"/>
          <w:szCs w:val="32"/>
        </w:rPr>
        <w:t>资金支付严格按照法律法规和政策文件的要求执行，无超标准、超进度的情况发生，与年初财政预算相符。</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olor w:val="000000"/>
          <w:sz w:val="32"/>
          <w:szCs w:val="32"/>
        </w:rPr>
      </w:pPr>
      <w:r>
        <w:rPr>
          <w:rFonts w:hint="eastAsia" w:ascii="仿宋_GB2312" w:hAnsi="仿宋_GB2312" w:eastAsia="仿宋_GB2312"/>
          <w:color w:val="000000"/>
          <w:sz w:val="32"/>
          <w:szCs w:val="32"/>
        </w:rPr>
        <w:t>我局财务管理制度健全，出台了《广元市司法局机关财务管理办法》（</w:t>
      </w:r>
      <w:r>
        <w:rPr>
          <w:rFonts w:hint="eastAsia" w:ascii="仿宋_GB2312" w:hAnsi="仿宋" w:eastAsia="仿宋_GB2312"/>
          <w:color w:val="000000"/>
          <w:sz w:val="32"/>
          <w:szCs w:val="32"/>
        </w:rPr>
        <w:t>广司发〔2020〕12号</w:t>
      </w:r>
      <w:r>
        <w:rPr>
          <w:rFonts w:hint="eastAsia" w:ascii="仿宋_GB2312" w:hAnsi="仿宋_GB2312" w:eastAsia="仿宋_GB2312"/>
          <w:color w:val="000000"/>
          <w:sz w:val="32"/>
          <w:szCs w:val="32"/>
        </w:rPr>
        <w:t>），严格执行财务管理制度，账务处理及时，会计核算规范。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三、项目实施及管理情况</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（一）</w:t>
      </w:r>
      <w:r>
        <w:rPr>
          <w:rFonts w:hint="eastAsia" w:ascii="楷体_GB2312" w:hAnsi="楷体_GB2312" w:eastAsia="楷体_GB2312" w:cs="楷体_GB2312"/>
          <w:b w:val="0"/>
          <w:bCs/>
          <w:color w:val="000000"/>
          <w:sz w:val="32"/>
          <w:szCs w:val="32"/>
        </w:rPr>
        <w:t>项目组织架构及实施流程</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楷体_GB2312" w:eastAsia="仿宋_GB2312"/>
          <w:b/>
          <w:color w:val="000000"/>
          <w:sz w:val="32"/>
          <w:szCs w:val="32"/>
        </w:rPr>
      </w:pPr>
      <w:r>
        <w:rPr>
          <w:rFonts w:hint="eastAsia" w:ascii="仿宋_GB2312" w:hAnsi="宋体" w:eastAsia="仿宋_GB2312"/>
          <w:b w:val="0"/>
          <w:bCs/>
          <w:color w:val="000000"/>
          <w:sz w:val="32"/>
          <w:szCs w:val="32"/>
          <w:lang w:eastAsia="zh-CN"/>
        </w:rPr>
        <w:t>制定方案及预算经费</w:t>
      </w:r>
      <w:r>
        <w:rPr>
          <w:rFonts w:hint="eastAsia" w:ascii="仿宋_GB2312" w:hAnsi="宋体" w:eastAsia="仿宋_GB2312"/>
          <w:b w:val="0"/>
          <w:bCs/>
          <w:color w:val="000000"/>
          <w:sz w:val="32"/>
          <w:szCs w:val="32"/>
          <w:lang w:val="en-US" w:eastAsia="zh-CN"/>
        </w:rPr>
        <w:t>--组织实施--结算项目经费。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（二）项目管理情况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202</w:t>
      </w:r>
      <w:r>
        <w:rPr>
          <w:rFonts w:hint="eastAsia" w:ascii="仿宋_GB2312" w:hAnsi="仿宋" w:eastAsia="仿宋_GB2312" w:cs="仿宋_GB2312"/>
          <w:color w:val="000000"/>
          <w:sz w:val="32"/>
          <w:szCs w:val="32"/>
          <w:lang w:val="en-US" w:eastAsia="zh-CN"/>
        </w:rPr>
        <w:t>2</w:t>
      </w:r>
      <w:r>
        <w:rPr>
          <w:rFonts w:hint="eastAsia" w:ascii="仿宋_GB2312" w:hAnsi="仿宋" w:eastAsia="仿宋_GB2312" w:cs="仿宋_GB2312"/>
          <w:color w:val="000000"/>
          <w:sz w:val="32"/>
          <w:szCs w:val="32"/>
        </w:rPr>
        <w:t>年市财政共拨付我局</w:t>
      </w:r>
      <w:r>
        <w:rPr>
          <w:rFonts w:hint="eastAsia" w:ascii="仿宋_GB2312" w:hAnsi="仿宋" w:eastAsia="仿宋_GB2312" w:cs="仿宋_GB2312"/>
          <w:color w:val="000000"/>
          <w:sz w:val="32"/>
          <w:szCs w:val="32"/>
          <w:lang w:eastAsia="zh-CN"/>
        </w:rPr>
        <w:t>基层司法业务</w:t>
      </w:r>
      <w:r>
        <w:rPr>
          <w:rFonts w:hint="eastAsia" w:ascii="仿宋_GB2312" w:hAnsi="仿宋" w:eastAsia="仿宋_GB2312" w:cs="仿宋_GB2312"/>
          <w:color w:val="000000"/>
          <w:sz w:val="32"/>
          <w:szCs w:val="32"/>
        </w:rPr>
        <w:t>资金</w:t>
      </w:r>
      <w:r>
        <w:rPr>
          <w:rFonts w:hint="eastAsia" w:ascii="仿宋_GB2312" w:hAnsi="仿宋" w:eastAsia="仿宋_GB2312" w:cs="仿宋_GB2312"/>
          <w:color w:val="000000"/>
          <w:sz w:val="32"/>
          <w:szCs w:val="32"/>
          <w:lang w:val="en-US" w:eastAsia="zh-CN"/>
        </w:rPr>
        <w:t>15</w:t>
      </w:r>
      <w:r>
        <w:rPr>
          <w:rFonts w:hint="eastAsia" w:ascii="仿宋_GB2312" w:hAnsi="仿宋" w:eastAsia="仿宋_GB2312" w:cs="仿宋_GB2312"/>
          <w:color w:val="000000"/>
          <w:sz w:val="32"/>
          <w:szCs w:val="32"/>
        </w:rPr>
        <w:t>万元。</w:t>
      </w:r>
      <w:r>
        <w:rPr>
          <w:rFonts w:hint="eastAsia" w:ascii="仿宋_GB2312" w:hAnsi="仿宋" w:eastAsia="仿宋_GB2312"/>
          <w:color w:val="000000"/>
          <w:sz w:val="32"/>
          <w:szCs w:val="32"/>
        </w:rPr>
        <w:t>资金使用严格按照《司法行政系统财务管理规定》《四川省法律援助经费使用管理办法》执行，专项资金得到合理合规的分配和利用，主要用于202</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eastAsia="zh-CN"/>
        </w:rPr>
        <w:t>基层司法业务</w:t>
      </w:r>
      <w:r>
        <w:rPr>
          <w:rFonts w:hint="eastAsia" w:ascii="仿宋_GB2312" w:hAnsi="仿宋" w:eastAsia="仿宋_GB2312"/>
          <w:color w:val="000000"/>
          <w:sz w:val="32"/>
          <w:szCs w:val="32"/>
        </w:rPr>
        <w:t>补贴、</w:t>
      </w:r>
      <w:r>
        <w:rPr>
          <w:rFonts w:hint="eastAsia" w:ascii="仿宋_GB2312" w:hAnsi="仿宋" w:eastAsia="仿宋_GB2312"/>
          <w:color w:val="000000"/>
          <w:sz w:val="32"/>
          <w:szCs w:val="32"/>
          <w:lang w:eastAsia="zh-CN"/>
        </w:rPr>
        <w:t>业务培训</w:t>
      </w:r>
      <w:r>
        <w:rPr>
          <w:rFonts w:hint="eastAsia" w:ascii="仿宋_GB2312" w:hAnsi="仿宋" w:eastAsia="仿宋_GB2312"/>
          <w:color w:val="000000"/>
          <w:sz w:val="32"/>
          <w:szCs w:val="32"/>
        </w:rPr>
        <w:t>办公经费、</w:t>
      </w:r>
      <w:r>
        <w:rPr>
          <w:rFonts w:hint="eastAsia" w:ascii="仿宋_GB2312" w:hAnsi="仿宋" w:eastAsia="仿宋_GB2312"/>
          <w:color w:val="000000"/>
          <w:sz w:val="32"/>
          <w:szCs w:val="32"/>
          <w:lang w:eastAsia="zh-CN"/>
        </w:rPr>
        <w:t>专项</w:t>
      </w:r>
      <w:r>
        <w:rPr>
          <w:rFonts w:hint="eastAsia" w:ascii="仿宋_GB2312" w:hAnsi="仿宋" w:eastAsia="仿宋_GB2312"/>
          <w:color w:val="000000"/>
          <w:sz w:val="32"/>
          <w:szCs w:val="32"/>
        </w:rPr>
        <w:t>活动经费、差旅费、文书印制等方面。</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（三）</w:t>
      </w:r>
      <w:r>
        <w:rPr>
          <w:rFonts w:hint="eastAsia" w:ascii="楷体_GB2312" w:hAnsi="楷体_GB2312" w:eastAsia="楷体_GB2312" w:cs="楷体_GB2312"/>
          <w:b w:val="0"/>
          <w:bCs/>
          <w:color w:val="000000"/>
          <w:sz w:val="32"/>
          <w:szCs w:val="32"/>
        </w:rPr>
        <w:t>项目监管情况</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cs="华文仿宋"/>
          <w:color w:val="000000"/>
          <w:sz w:val="32"/>
          <w:szCs w:val="32"/>
        </w:rPr>
        <w:t>市司法局统一对</w:t>
      </w:r>
      <w:r>
        <w:rPr>
          <w:rFonts w:hint="eastAsia" w:ascii="仿宋_GB2312" w:hAnsi="华文仿宋" w:eastAsia="仿宋_GB2312" w:cs="华文仿宋"/>
          <w:color w:val="000000"/>
          <w:sz w:val="32"/>
          <w:szCs w:val="32"/>
          <w:lang w:eastAsia="zh-CN"/>
        </w:rPr>
        <w:t>基层司法业务</w:t>
      </w:r>
      <w:r>
        <w:rPr>
          <w:rFonts w:hint="eastAsia" w:ascii="仿宋_GB2312" w:hAnsi="华文仿宋" w:eastAsia="仿宋_GB2312" w:cs="华文仿宋"/>
          <w:color w:val="000000"/>
          <w:sz w:val="32"/>
          <w:szCs w:val="32"/>
        </w:rPr>
        <w:t>经费单列科目，实行单独核算</w:t>
      </w:r>
      <w:r>
        <w:rPr>
          <w:rFonts w:hint="eastAsia" w:ascii="仿宋_GB2312" w:hAnsi="华文仿宋" w:eastAsia="仿宋_GB2312" w:cs="华文仿宋"/>
          <w:b/>
          <w:bCs/>
          <w:color w:val="000000"/>
          <w:sz w:val="32"/>
          <w:szCs w:val="32"/>
        </w:rPr>
        <w:t>。</w:t>
      </w:r>
      <w:r>
        <w:rPr>
          <w:rFonts w:hint="eastAsia" w:ascii="仿宋_GB2312" w:hAnsi="华文仿宋" w:eastAsia="仿宋_GB2312" w:cs="华文仿宋"/>
          <w:color w:val="000000"/>
          <w:sz w:val="32"/>
          <w:szCs w:val="32"/>
        </w:rPr>
        <w:t>对已</w:t>
      </w:r>
      <w:r>
        <w:rPr>
          <w:rFonts w:hint="eastAsia" w:ascii="仿宋_GB2312" w:hAnsi="华文仿宋" w:eastAsia="仿宋_GB2312" w:cs="华文仿宋"/>
          <w:color w:val="000000"/>
          <w:sz w:val="32"/>
          <w:szCs w:val="32"/>
          <w:lang w:eastAsia="zh-CN"/>
        </w:rPr>
        <w:t>支付的业务经费</w:t>
      </w:r>
      <w:r>
        <w:rPr>
          <w:rFonts w:hint="eastAsia" w:ascii="仿宋_GB2312" w:hAnsi="华文仿宋" w:eastAsia="仿宋_GB2312" w:cs="华文仿宋"/>
          <w:color w:val="000000"/>
          <w:sz w:val="32"/>
          <w:szCs w:val="32"/>
        </w:rPr>
        <w:t>，由</w:t>
      </w:r>
      <w:r>
        <w:rPr>
          <w:rFonts w:hint="eastAsia" w:ascii="仿宋_GB2312" w:hAnsi="华文仿宋" w:eastAsia="仿宋_GB2312" w:cs="华文仿宋"/>
          <w:color w:val="000000"/>
          <w:sz w:val="32"/>
          <w:szCs w:val="32"/>
          <w:lang w:eastAsia="zh-CN"/>
        </w:rPr>
        <w:t>经办人签字、财务审核、科室</w:t>
      </w:r>
      <w:r>
        <w:rPr>
          <w:rFonts w:hint="eastAsia" w:ascii="仿宋_GB2312" w:hAnsi="华文仿宋" w:eastAsia="仿宋_GB2312" w:cs="华文仿宋"/>
          <w:color w:val="000000"/>
          <w:sz w:val="32"/>
          <w:szCs w:val="32"/>
        </w:rPr>
        <w:t>复核无误后交分管</w:t>
      </w:r>
      <w:r>
        <w:rPr>
          <w:rFonts w:hint="eastAsia" w:ascii="仿宋_GB2312" w:hAnsi="华文仿宋" w:eastAsia="仿宋_GB2312" w:cs="华文仿宋"/>
          <w:color w:val="000000"/>
          <w:sz w:val="32"/>
          <w:szCs w:val="32"/>
          <w:lang w:val="en-US" w:eastAsia="zh-CN"/>
        </w:rPr>
        <w:t>领导</w:t>
      </w:r>
      <w:r>
        <w:rPr>
          <w:rFonts w:hint="eastAsia" w:ascii="仿宋_GB2312" w:hAnsi="华文仿宋" w:eastAsia="仿宋_GB2312" w:cs="华文仿宋"/>
          <w:color w:val="000000"/>
          <w:sz w:val="32"/>
          <w:szCs w:val="32"/>
        </w:rPr>
        <w:t>审核签字</w:t>
      </w:r>
      <w:r>
        <w:rPr>
          <w:rFonts w:hint="eastAsia" w:ascii="仿宋_GB2312" w:hAnsi="华文仿宋" w:eastAsia="仿宋_GB2312" w:cs="华文仿宋"/>
          <w:color w:val="000000"/>
          <w:sz w:val="32"/>
          <w:szCs w:val="32"/>
          <w:lang w:eastAsia="zh-CN"/>
        </w:rPr>
        <w:t>，</w:t>
      </w:r>
      <w:r>
        <w:rPr>
          <w:rFonts w:hint="eastAsia" w:ascii="仿宋_GB2312" w:hAnsi="华文仿宋" w:eastAsia="仿宋_GB2312" w:cs="华文仿宋"/>
          <w:color w:val="000000"/>
          <w:sz w:val="32"/>
          <w:szCs w:val="32"/>
        </w:rPr>
        <w:t>局财务统一予以转账报销。</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四、项目绩效情况</w:t>
      </w:r>
      <w:r>
        <w:rPr>
          <w:rFonts w:hint="eastAsia" w:ascii="黑体" w:hAnsi="黑体" w:eastAsia="黑体" w:cs="黑体"/>
          <w:b w:val="0"/>
          <w:bCs w:val="0"/>
          <w:color w:val="000000"/>
          <w:sz w:val="32"/>
          <w:szCs w:val="32"/>
        </w:rPr>
        <w:tab/>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（一）项目完成情况</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人民调解组织调解矛盾纠纷</w:t>
      </w:r>
      <w:r>
        <w:rPr>
          <w:rFonts w:hint="eastAsia" w:ascii="仿宋_GB2312" w:hAnsi="仿宋_GB2312" w:eastAsia="仿宋_GB2312" w:cs="仿宋_GB2312"/>
          <w:sz w:val="32"/>
          <w:szCs w:val="32"/>
          <w:lang w:val="en-US" w:eastAsia="zh-CN"/>
        </w:rPr>
        <w:t>320</w:t>
      </w:r>
      <w:r>
        <w:rPr>
          <w:rFonts w:hint="eastAsia" w:ascii="仿宋_GB2312" w:hAnsi="仿宋_GB2312" w:eastAsia="仿宋_GB2312" w:cs="仿宋_GB2312"/>
          <w:sz w:val="32"/>
          <w:szCs w:val="32"/>
        </w:rPr>
        <w:t>件，调解成功</w:t>
      </w:r>
      <w:r>
        <w:rPr>
          <w:rFonts w:hint="eastAsia" w:ascii="仿宋_GB2312" w:hAnsi="仿宋_GB2312" w:eastAsia="仿宋_GB2312" w:cs="仿宋_GB2312"/>
          <w:sz w:val="32"/>
          <w:szCs w:val="32"/>
          <w:lang w:val="en-US" w:eastAsia="zh-CN"/>
        </w:rPr>
        <w:t>312</w:t>
      </w:r>
      <w:r>
        <w:rPr>
          <w:rFonts w:hint="eastAsia" w:ascii="仿宋_GB2312" w:hAnsi="仿宋_GB2312" w:eastAsia="仿宋_GB2312" w:cs="仿宋_GB2312"/>
          <w:sz w:val="32"/>
          <w:szCs w:val="32"/>
        </w:rPr>
        <w:t>件，成功率</w:t>
      </w:r>
      <w:r>
        <w:rPr>
          <w:rFonts w:hint="eastAsia" w:ascii="仿宋_GB2312" w:hAnsi="仿宋_GB2312" w:eastAsia="仿宋_GB2312" w:cs="仿宋_GB2312"/>
          <w:sz w:val="32"/>
          <w:szCs w:val="32"/>
          <w:lang w:val="en-US" w:eastAsia="zh-CN"/>
        </w:rPr>
        <w:t>97.5</w:t>
      </w:r>
      <w:r>
        <w:rPr>
          <w:rFonts w:hint="eastAsia" w:ascii="仿宋_GB2312" w:hAnsi="仿宋_GB2312" w:eastAsia="仿宋_GB2312" w:cs="仿宋_GB2312"/>
          <w:sz w:val="32"/>
          <w:szCs w:val="32"/>
        </w:rPr>
        <w:t>%。市医调中心登记受理医疗纠纷32件，结案29件，调解成功25件，协议履行率达100%。</w:t>
      </w:r>
      <w:r>
        <w:rPr>
          <w:rFonts w:hint="eastAsia" w:ascii="仿宋_GB2312" w:hAnsi="仿宋_GB2312" w:eastAsia="仿宋_GB2312" w:cs="仿宋_GB2312"/>
          <w:sz w:val="32"/>
          <w:szCs w:val="32"/>
          <w:lang w:val="en-US" w:eastAsia="zh-CN"/>
        </w:rPr>
        <w:t>抽选人民监督员参与案件评议监督和检务活动30次以上。</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（二）项目效益情况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通过广大基层人民调解员和全市各级安置帮教工作人员的努力，有效维护了当地社会稳定。通过人民监督员和人民陪审员现场对相关案件的监督审理，有效维护了我市司法公正。</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eastAsia="zh-CN"/>
        </w:rPr>
        <w:t>五、</w:t>
      </w:r>
      <w:r>
        <w:rPr>
          <w:rFonts w:hint="eastAsia" w:ascii="黑体" w:hAnsi="黑体" w:eastAsia="黑体" w:cs="黑体"/>
          <w:b w:val="0"/>
          <w:bCs/>
          <w:color w:val="000000"/>
          <w:sz w:val="32"/>
          <w:szCs w:val="32"/>
        </w:rPr>
        <w:t>评价结论</w:t>
      </w:r>
      <w:r>
        <w:rPr>
          <w:rFonts w:hint="eastAsia" w:ascii="黑体" w:hAnsi="黑体" w:eastAsia="黑体" w:cs="黑体"/>
          <w:b w:val="0"/>
          <w:bCs/>
          <w:color w:val="000000"/>
          <w:sz w:val="32"/>
          <w:szCs w:val="32"/>
          <w:lang w:eastAsia="zh-CN"/>
        </w:rPr>
        <w:t>及建议</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val="0"/>
          <w:color w:val="000000"/>
          <w:sz w:val="32"/>
          <w:szCs w:val="32"/>
          <w:lang w:eastAsia="zh-CN"/>
        </w:rPr>
      </w:pPr>
      <w:r>
        <w:rPr>
          <w:rFonts w:hint="eastAsia" w:ascii="楷体_GB2312" w:hAnsi="楷体_GB2312" w:eastAsia="楷体_GB2312" w:cs="楷体_GB2312"/>
          <w:b w:val="0"/>
          <w:bCs w:val="0"/>
          <w:color w:val="000000"/>
          <w:sz w:val="32"/>
          <w:szCs w:val="32"/>
          <w:lang w:eastAsia="zh-CN"/>
        </w:rPr>
        <w:t>（一）评价结论</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 w:eastAsia="仿宋_GB2312" w:cs="仿宋_GB2312"/>
          <w:color w:val="000000"/>
          <w:sz w:val="32"/>
          <w:szCs w:val="32"/>
        </w:rPr>
        <w:t>依据</w:t>
      </w:r>
      <w:r>
        <w:rPr>
          <w:rFonts w:hint="eastAsia" w:ascii="仿宋_GB2312" w:hAnsi="仿宋" w:eastAsia="仿宋_GB2312" w:cs="仿宋_GB2312"/>
          <w:color w:val="000000"/>
          <w:sz w:val="32"/>
          <w:szCs w:val="32"/>
          <w:lang w:eastAsia="zh-CN"/>
        </w:rPr>
        <w:t>基层司法业务</w:t>
      </w:r>
      <w:r>
        <w:rPr>
          <w:rFonts w:hint="eastAsia" w:ascii="仿宋_GB2312" w:hAnsi="仿宋" w:eastAsia="仿宋_GB2312" w:cs="仿宋_GB2312"/>
          <w:color w:val="000000"/>
          <w:sz w:val="32"/>
          <w:szCs w:val="32"/>
        </w:rPr>
        <w:t>项目设置的绩效评价指标体系、标准值、权重（分值）评价标准，经与指标完成值评价打分，综合得分9</w:t>
      </w:r>
      <w:r>
        <w:rPr>
          <w:rFonts w:hint="eastAsia" w:ascii="仿宋_GB2312" w:hAnsi="仿宋" w:eastAsia="仿宋_GB2312" w:cs="仿宋_GB2312"/>
          <w:color w:val="000000"/>
          <w:sz w:val="32"/>
          <w:szCs w:val="32"/>
          <w:lang w:val="en-US" w:eastAsia="zh-CN"/>
        </w:rPr>
        <w:t>6</w:t>
      </w:r>
      <w:r>
        <w:rPr>
          <w:rFonts w:hint="eastAsia" w:ascii="仿宋_GB2312" w:hAnsi="仿宋" w:eastAsia="仿宋_GB2312" w:cs="仿宋_GB2312"/>
          <w:color w:val="000000"/>
          <w:sz w:val="32"/>
          <w:szCs w:val="32"/>
        </w:rPr>
        <w:t>分。</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（二）存在的问题</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 w:eastAsia="仿宋_GB2312" w:cs="仿宋_GB2312"/>
          <w:color w:val="000000"/>
          <w:sz w:val="32"/>
          <w:szCs w:val="32"/>
          <w:shd w:val="clear" w:color="auto" w:fill="FFFFFF"/>
          <w:lang w:eastAsia="zh-CN"/>
        </w:rPr>
      </w:pPr>
      <w:r>
        <w:rPr>
          <w:rFonts w:hint="eastAsia" w:ascii="仿宋_GB2312" w:hAnsi="仿宋" w:eastAsia="仿宋_GB2312" w:cs="仿宋_GB2312"/>
          <w:color w:val="000000"/>
          <w:sz w:val="32"/>
          <w:szCs w:val="32"/>
          <w:shd w:val="clear" w:color="auto" w:fill="FFFFFF"/>
          <w:lang w:val="en-US" w:eastAsia="zh-CN"/>
        </w:rPr>
        <w:t>1.</w:t>
      </w:r>
      <w:r>
        <w:rPr>
          <w:rFonts w:hint="eastAsia" w:ascii="仿宋_GB2312" w:hAnsi="仿宋" w:eastAsia="仿宋_GB2312" w:cs="仿宋_GB2312"/>
          <w:color w:val="000000"/>
          <w:sz w:val="32"/>
          <w:szCs w:val="32"/>
          <w:shd w:val="clear" w:color="auto" w:fill="FFFFFF"/>
          <w:lang w:eastAsia="zh-CN"/>
        </w:rPr>
        <w:t>刑满释放人员安置帮教工作</w:t>
      </w:r>
      <w:r>
        <w:rPr>
          <w:rFonts w:hint="eastAsia" w:ascii="仿宋_GB2312" w:hAnsi="仿宋" w:eastAsia="仿宋_GB2312" w:cs="仿宋_GB2312"/>
          <w:color w:val="000000"/>
          <w:sz w:val="32"/>
          <w:szCs w:val="32"/>
          <w:shd w:val="clear" w:color="auto" w:fill="FFFFFF"/>
        </w:rPr>
        <w:t>有待提升。</w:t>
      </w:r>
      <w:r>
        <w:rPr>
          <w:rFonts w:hint="eastAsia" w:ascii="仿宋_GB2312" w:hAnsi="仿宋" w:eastAsia="仿宋_GB2312" w:cs="仿宋_GB2312"/>
          <w:color w:val="000000"/>
          <w:sz w:val="32"/>
          <w:szCs w:val="32"/>
          <w:shd w:val="clear" w:color="auto" w:fill="FFFFFF"/>
          <w:lang w:eastAsia="zh-CN"/>
        </w:rPr>
        <w:t>相关部门在安置帮教中缺乏具体的措施和办法，存在应付了事，大部分县区没有建立过度安置帮教基地。</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lang w:val="en-US" w:eastAsia="zh-CN"/>
        </w:rPr>
        <w:t>2.</w:t>
      </w:r>
      <w:r>
        <w:rPr>
          <w:rFonts w:hint="eastAsia" w:ascii="仿宋_GB2312" w:hAnsi="仿宋" w:eastAsia="仿宋_GB2312" w:cs="仿宋_GB2312"/>
          <w:color w:val="000000"/>
          <w:sz w:val="32"/>
          <w:szCs w:val="32"/>
          <w:shd w:val="clear" w:color="auto" w:fill="FFFFFF"/>
          <w:lang w:eastAsia="zh-CN"/>
        </w:rPr>
        <w:t>全市专职人民调解员的招聘人员严重不足，保障工作还有待提升</w:t>
      </w:r>
      <w:r>
        <w:rPr>
          <w:rFonts w:hint="eastAsia" w:ascii="仿宋_GB2312" w:hAnsi="仿宋" w:eastAsia="仿宋_GB2312" w:cs="仿宋_GB2312"/>
          <w:color w:val="000000"/>
          <w:sz w:val="32"/>
          <w:szCs w:val="32"/>
          <w:shd w:val="clear" w:color="auto" w:fill="FFFFFF"/>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b/>
          <w:color w:val="000000"/>
          <w:sz w:val="32"/>
          <w:szCs w:val="32"/>
        </w:rPr>
      </w:pPr>
      <w:r>
        <w:rPr>
          <w:rFonts w:hint="eastAsia" w:ascii="仿宋_GB2312" w:hAnsi="仿宋" w:eastAsia="仿宋_GB2312" w:cs="仿宋_GB2312"/>
          <w:color w:val="000000"/>
          <w:sz w:val="32"/>
          <w:szCs w:val="32"/>
          <w:shd w:val="clear" w:color="auto" w:fill="FFFFFF"/>
        </w:rPr>
        <w:t>3</w:t>
      </w:r>
      <w:r>
        <w:rPr>
          <w:rFonts w:hint="eastAsia" w:ascii="仿宋_GB2312" w:hAnsi="仿宋" w:eastAsia="仿宋_GB2312" w:cs="仿宋_GB2312"/>
          <w:color w:val="000000"/>
          <w:sz w:val="32"/>
          <w:szCs w:val="32"/>
          <w:shd w:val="clear" w:color="auto" w:fill="FFFFFF"/>
          <w:lang w:val="en-US" w:eastAsia="zh-CN"/>
        </w:rPr>
        <w:t>.</w:t>
      </w:r>
      <w:r>
        <w:rPr>
          <w:rFonts w:hint="eastAsia" w:ascii="仿宋_GB2312" w:hAnsi="仿宋" w:eastAsia="仿宋_GB2312" w:cs="仿宋_GB2312"/>
          <w:color w:val="000000"/>
          <w:sz w:val="32"/>
          <w:szCs w:val="32"/>
          <w:shd w:val="clear" w:color="auto" w:fill="FFFFFF"/>
        </w:rPr>
        <w:t>部分</w:t>
      </w:r>
      <w:r>
        <w:rPr>
          <w:rFonts w:hint="eastAsia" w:ascii="仿宋_GB2312" w:hAnsi="仿宋" w:eastAsia="仿宋_GB2312" w:cs="仿宋_GB2312"/>
          <w:color w:val="000000"/>
          <w:sz w:val="32"/>
          <w:szCs w:val="32"/>
          <w:shd w:val="clear" w:color="auto" w:fill="FFFFFF"/>
          <w:lang w:eastAsia="zh-CN"/>
        </w:rPr>
        <w:t>司法所人手不足，基层司法所业务开展缓慢。</w:t>
      </w:r>
      <w:r>
        <w:rPr>
          <w:rFonts w:hint="eastAsia" w:ascii="仿宋_GB2312" w:hAnsi="宋体" w:eastAsia="仿宋_GB2312"/>
          <w:color w:val="000000"/>
          <w:sz w:val="32"/>
          <w:szCs w:val="32"/>
        </w:rPr>
        <w:tab/>
      </w:r>
      <w:r>
        <w:rPr>
          <w:rFonts w:hint="eastAsia" w:ascii="楷体_GB2312" w:hAnsi="楷体_GB2312" w:eastAsia="楷体_GB2312" w:cs="楷体_GB2312"/>
          <w:b w:val="0"/>
          <w:bCs/>
          <w:color w:val="000000"/>
          <w:sz w:val="32"/>
          <w:szCs w:val="32"/>
        </w:rPr>
        <w:t>（三）相关建议</w:t>
      </w:r>
    </w:p>
    <w:p>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 w:eastAsia="仿宋_GB2312" w:cs="仿宋_GB2312"/>
          <w:color w:val="000000"/>
          <w:sz w:val="32"/>
          <w:szCs w:val="32"/>
        </w:rPr>
        <w:t>在今后的工作中，我们将进一步加强</w:t>
      </w:r>
      <w:r>
        <w:rPr>
          <w:rFonts w:hint="eastAsia" w:ascii="仿宋_GB2312" w:hAnsi="仿宋" w:eastAsia="仿宋_GB2312" w:cs="仿宋_GB2312"/>
          <w:color w:val="000000"/>
          <w:sz w:val="32"/>
          <w:szCs w:val="32"/>
          <w:lang w:eastAsia="zh-CN"/>
        </w:rPr>
        <w:t>业务指导</w:t>
      </w:r>
      <w:r>
        <w:rPr>
          <w:rFonts w:hint="eastAsia" w:ascii="仿宋_GB2312" w:hAnsi="仿宋" w:eastAsia="仿宋_GB2312" w:cs="仿宋_GB2312"/>
          <w:color w:val="000000"/>
          <w:sz w:val="32"/>
          <w:szCs w:val="32"/>
        </w:rPr>
        <w:t>，</w:t>
      </w:r>
      <w:r>
        <w:rPr>
          <w:rFonts w:hint="eastAsia" w:ascii="仿宋_GB2312" w:hAnsi="仿宋" w:eastAsia="仿宋_GB2312" w:cs="仿宋_GB2312"/>
          <w:color w:val="000000"/>
          <w:sz w:val="32"/>
          <w:szCs w:val="32"/>
          <w:lang w:eastAsia="zh-CN"/>
        </w:rPr>
        <w:t>加强规范化司法所建设，大力加强“枫桥司法所创建”</w:t>
      </w:r>
      <w:r>
        <w:rPr>
          <w:rFonts w:hint="eastAsia" w:ascii="仿宋_GB2312" w:hAnsi="仿宋" w:eastAsia="仿宋_GB2312" w:cs="仿宋_GB2312"/>
          <w:color w:val="000000"/>
          <w:sz w:val="32"/>
          <w:szCs w:val="32"/>
        </w:rPr>
        <w:t>，</w:t>
      </w:r>
      <w:r>
        <w:rPr>
          <w:rFonts w:hint="eastAsia" w:ascii="仿宋_GB2312" w:hAnsi="仿宋" w:eastAsia="仿宋_GB2312" w:cs="仿宋_GB2312"/>
          <w:color w:val="000000"/>
          <w:sz w:val="32"/>
          <w:szCs w:val="32"/>
          <w:lang w:eastAsia="zh-CN"/>
        </w:rPr>
        <w:t>督促县区政府购买专职人民调解员服务。</w:t>
      </w:r>
    </w:p>
    <w:p>
      <w:pPr>
        <w:spacing w:line="560" w:lineRule="exact"/>
        <w:jc w:val="center"/>
        <w:rPr>
          <w:rFonts w:hint="eastAsia" w:ascii="方正小标宋简体" w:hAnsi="宋体" w:eastAsia="方正小标宋简体"/>
          <w:color w:val="000000"/>
          <w:kern w:val="0"/>
          <w:sz w:val="44"/>
          <w:szCs w:val="44"/>
          <w:lang w:eastAsia="zh-CN"/>
        </w:rPr>
        <w:sectPr>
          <w:pgSz w:w="11906" w:h="16838"/>
          <w:pgMar w:top="1440" w:right="1800" w:bottom="1440" w:left="1800" w:header="851" w:footer="992" w:gutter="0"/>
          <w:pgNumType w:fmt="decimal"/>
          <w:cols w:space="425" w:num="1"/>
          <w:titlePg/>
          <w:docGrid w:type="lines" w:linePitch="312" w:charSpace="0"/>
        </w:sectPr>
      </w:pPr>
    </w:p>
    <w:tbl>
      <w:tblPr>
        <w:tblStyle w:val="16"/>
        <w:tblW w:w="141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9"/>
        <w:gridCol w:w="1139"/>
        <w:gridCol w:w="1425"/>
        <w:gridCol w:w="2639"/>
        <w:gridCol w:w="521"/>
        <w:gridCol w:w="1245"/>
        <w:gridCol w:w="521"/>
        <w:gridCol w:w="1091"/>
        <w:gridCol w:w="780"/>
        <w:gridCol w:w="960"/>
        <w:gridCol w:w="1035"/>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4148"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17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基层司法业务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主管部门（盖章）</w:t>
            </w:r>
          </w:p>
        </w:tc>
        <w:tc>
          <w:tcPr>
            <w:tcW w:w="6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广元市司法局</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 （盖章）</w:t>
            </w:r>
          </w:p>
        </w:tc>
        <w:tc>
          <w:tcPr>
            <w:tcW w:w="43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项目基本情况</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1.项目年度目标完成情况</w:t>
            </w:r>
          </w:p>
        </w:tc>
        <w:tc>
          <w:tcPr>
            <w:tcW w:w="6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项目年度目标</w:t>
            </w:r>
          </w:p>
        </w:tc>
        <w:tc>
          <w:tcPr>
            <w:tcW w:w="54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63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下基层指导基层司法所规范化建设工作；基层司法业务工作人员外出学习培训；抽选人民监督员参与案件评议监督和检务活动100人次以上。</w:t>
            </w:r>
          </w:p>
        </w:tc>
        <w:tc>
          <w:tcPr>
            <w:tcW w:w="54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已完成相关年度目标。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2.项目实施内容及过程概述</w:t>
            </w:r>
          </w:p>
        </w:tc>
        <w:tc>
          <w:tcPr>
            <w:tcW w:w="1177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调解医疗纠纷案件；安置帮教；完成全市人民调解工作现场培训；完成全市司法助理员培训；下基层调研指导基层司法所规范化建设；完成人民监督员业务培训等。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预算执行情况（10分）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年度预算数（万元）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2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总额</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r>
              <w:rPr>
                <w:rFonts w:hint="eastAsia"/>
                <w:lang w:val="en-US" w:eastAsia="zh-CN"/>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lang w:val="en"/>
              </w:rPr>
            </w:pPr>
            <w:r>
              <w:rPr>
                <w:rFonts w:hint="default"/>
                <w:lang w:val="en" w:eastAsia="zh-CN"/>
              </w:rPr>
              <w:t>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rPr>
            </w:pP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2022年受疫情影响，下基层指导、检查基层司法业务工作次数减少，且人民监督员培训在12月底开展，培训支出在2023年才完成支付。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其中：财政资金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绩效指标（90分）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矛盾纠纷调解成功率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案件完成及时率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司法所规范化建设数量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99个</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案件评议监督和检务活动人数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100人次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促进法治科下基层调研次数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公民法治意识增强</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帮助维护弱势群体合法权益</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群众对基层司法业务工作满意度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基层司法业务差旅费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基层司法业务劳务费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基层司法业务印刷费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0.85万元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基层司法业务委托业务费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98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96</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部门（单位）自评结论</w:t>
            </w:r>
          </w:p>
        </w:tc>
        <w:tc>
          <w:tcPr>
            <w:tcW w:w="129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依据基层司法业务项目设置的绩效评价指标体系、标准值、权重（分值）评价标准，综合得分96分。通过项目实施，基层司法业务项目经费得到保障，人民调解工作通过说服、疏导等方法，促使当事人在平等协商基础上自愿达成调解协议，解决民间纠纷的活动。查明事实、分清责任的基础上，根据当事人的认识态度、纠纷性质、难易程度的情况，采取灵活多样的方式方法，具体讲解有关法律法规、政策和社会公德，开展说服、疏导和教育工作，促使双方当事人统一认识，消除隔阂，引导、帮助当事人达成调解协议。2022年我局人民调解组织调解矛盾纠纷320件，调解成功312件，成功率97.5%。市医调中心登记受理医疗纠纷32件，结案29件，调解成功25件，协议履行率达100%,抽选人民监督员参与案件评议监督和检务活动30次以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部门（单位）自评存在问题</w:t>
            </w:r>
          </w:p>
        </w:tc>
        <w:tc>
          <w:tcPr>
            <w:tcW w:w="129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刑满释放人员安置帮教工作有待提升。相关部门在安置帮教中缺乏具体的措施和办法，存在应付了事，大部分县区没有建立过度安置帮教基地。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部门（单位）自评改进措施</w:t>
            </w:r>
          </w:p>
        </w:tc>
        <w:tc>
          <w:tcPr>
            <w:tcW w:w="129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进一步加强业务指导，加强规范化司法所建设，大力加强“枫桥司法所创建”，督促县区政府购买专职人民调解员服务。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财政部门对口科室复评结论及整改要求</w:t>
            </w:r>
          </w:p>
        </w:tc>
        <w:tc>
          <w:tcPr>
            <w:tcW w:w="1291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bl>
    <w:p>
      <w:pPr>
        <w:pStyle w:val="2"/>
        <w:rPr>
          <w:rFonts w:hint="eastAsia"/>
          <w:lang w:eastAsia="zh-CN"/>
        </w:rPr>
        <w:sectPr>
          <w:pgSz w:w="16838" w:h="11906" w:orient="landscape"/>
          <w:pgMar w:top="1800" w:right="1440" w:bottom="1800" w:left="1440" w:header="851" w:footer="992" w:gutter="0"/>
          <w:pgNumType w:fmt="decimal"/>
          <w:cols w:space="425" w:num="1"/>
          <w:titlePg/>
          <w:docGrid w:type="lines" w:linePitch="312" w:charSpace="0"/>
        </w:sectPr>
      </w:pPr>
    </w:p>
    <w:p>
      <w:pPr>
        <w:rPr>
          <w:rFonts w:hint="eastAsia"/>
          <w:lang w:eastAsia="zh-CN"/>
        </w:rPr>
      </w:pPr>
    </w:p>
    <w:p>
      <w:pPr>
        <w:spacing w:line="560" w:lineRule="exact"/>
        <w:jc w:val="center"/>
        <w:rPr>
          <w:rFonts w:hint="eastAsia" w:ascii="方正小标宋简体" w:hAnsi="宋体" w:eastAsia="方正小标宋简体"/>
          <w:color w:val="000000"/>
          <w:kern w:val="0"/>
          <w:sz w:val="44"/>
          <w:szCs w:val="44"/>
          <w:lang w:eastAsia="zh-CN"/>
        </w:rPr>
      </w:pPr>
      <w:r>
        <w:rPr>
          <w:rFonts w:hint="eastAsia" w:ascii="方正小标宋简体" w:hAnsi="宋体" w:eastAsia="方正小标宋简体"/>
          <w:color w:val="000000"/>
          <w:kern w:val="0"/>
          <w:sz w:val="44"/>
          <w:szCs w:val="44"/>
          <w:lang w:eastAsia="zh-CN"/>
        </w:rPr>
        <w:t>广元市司法局</w:t>
      </w:r>
    </w:p>
    <w:p>
      <w:pPr>
        <w:spacing w:line="560" w:lineRule="exact"/>
        <w:jc w:val="center"/>
        <w:rPr>
          <w:rFonts w:hint="eastAsia" w:ascii="方正小标宋简体" w:hAnsi="方正小标宋简体" w:eastAsia="方正小标宋简体"/>
          <w:color w:val="000000"/>
          <w:kern w:val="0"/>
          <w:sz w:val="44"/>
          <w:szCs w:val="44"/>
        </w:rPr>
      </w:pPr>
      <w:r>
        <w:rPr>
          <w:rFonts w:hint="eastAsia" w:ascii="方正小标宋简体" w:hAnsi="宋体" w:eastAsia="方正小标宋简体"/>
          <w:color w:val="000000"/>
          <w:kern w:val="0"/>
          <w:sz w:val="44"/>
          <w:szCs w:val="44"/>
          <w:lang w:eastAsia="zh-CN"/>
        </w:rPr>
        <w:t>关于</w:t>
      </w:r>
      <w:r>
        <w:rPr>
          <w:rFonts w:hint="eastAsia" w:ascii="方正小标宋简体" w:hAnsi="宋体" w:eastAsia="方正小标宋简体"/>
          <w:color w:val="000000"/>
          <w:kern w:val="0"/>
          <w:sz w:val="44"/>
          <w:szCs w:val="44"/>
        </w:rPr>
        <w:t>20</w:t>
      </w:r>
      <w:r>
        <w:rPr>
          <w:rFonts w:hint="eastAsia" w:ascii="方正小标宋简体" w:hAnsi="宋体" w:eastAsia="方正小标宋简体"/>
          <w:color w:val="000000"/>
          <w:kern w:val="0"/>
          <w:sz w:val="44"/>
          <w:szCs w:val="44"/>
          <w:lang w:val="en-US" w:eastAsia="zh-CN"/>
        </w:rPr>
        <w:t>22</w:t>
      </w:r>
      <w:r>
        <w:rPr>
          <w:rFonts w:hint="eastAsia" w:ascii="方正小标宋简体" w:hAnsi="方正小标宋简体" w:eastAsia="方正小标宋简体"/>
          <w:color w:val="000000"/>
          <w:kern w:val="0"/>
          <w:sz w:val="44"/>
          <w:szCs w:val="44"/>
        </w:rPr>
        <w:t>年</w:t>
      </w:r>
      <w:r>
        <w:rPr>
          <w:rFonts w:hint="eastAsia" w:ascii="方正小标宋简体" w:hAnsi="方正小标宋简体" w:eastAsia="方正小标宋简体"/>
          <w:color w:val="000000"/>
          <w:kern w:val="0"/>
          <w:sz w:val="44"/>
          <w:szCs w:val="44"/>
          <w:lang w:eastAsia="zh-CN"/>
        </w:rPr>
        <w:t>普法宣传</w:t>
      </w:r>
      <w:r>
        <w:rPr>
          <w:rFonts w:hint="eastAsia" w:ascii="方正小标宋简体" w:hAnsi="方正小标宋简体" w:eastAsia="方正小标宋简体"/>
          <w:color w:val="000000"/>
          <w:kern w:val="0"/>
          <w:sz w:val="44"/>
          <w:szCs w:val="44"/>
        </w:rPr>
        <w:t>项目</w:t>
      </w:r>
      <w:r>
        <w:rPr>
          <w:rFonts w:hint="eastAsia" w:ascii="方正小标宋简体" w:hAnsi="宋体" w:eastAsia="方正小标宋简体"/>
          <w:color w:val="000000"/>
          <w:kern w:val="0"/>
          <w:sz w:val="44"/>
          <w:szCs w:val="44"/>
        </w:rPr>
        <w:t>支出</w:t>
      </w:r>
      <w:r>
        <w:rPr>
          <w:rFonts w:hint="eastAsia" w:ascii="方正小标宋简体" w:hAnsi="方正小标宋简体" w:eastAsia="方正小标宋简体"/>
          <w:color w:val="000000"/>
          <w:kern w:val="0"/>
          <w:sz w:val="44"/>
          <w:szCs w:val="44"/>
        </w:rPr>
        <w:t>绩效</w:t>
      </w:r>
    </w:p>
    <w:p>
      <w:pPr>
        <w:spacing w:line="560" w:lineRule="exact"/>
        <w:jc w:val="center"/>
        <w:rPr>
          <w:rFonts w:hint="eastAsia" w:ascii="方正小标宋简体" w:hAnsi="宋体" w:eastAsia="方正小标宋简体"/>
          <w:color w:val="000000"/>
          <w:kern w:val="0"/>
          <w:sz w:val="44"/>
          <w:szCs w:val="44"/>
        </w:rPr>
      </w:pPr>
      <w:r>
        <w:rPr>
          <w:rFonts w:hint="eastAsia" w:ascii="方正小标宋简体" w:hAnsi="方正小标宋简体" w:eastAsia="方正小标宋简体"/>
          <w:color w:val="000000"/>
          <w:kern w:val="0"/>
          <w:sz w:val="44"/>
          <w:szCs w:val="44"/>
        </w:rPr>
        <w:t>评价</w:t>
      </w:r>
      <w:r>
        <w:rPr>
          <w:rFonts w:hint="eastAsia" w:ascii="方正小标宋简体" w:hAnsi="方正小标宋简体" w:eastAsia="方正小标宋简体"/>
          <w:color w:val="000000"/>
          <w:kern w:val="0"/>
          <w:sz w:val="44"/>
          <w:szCs w:val="44"/>
          <w:lang w:eastAsia="zh-CN"/>
        </w:rPr>
        <w:t>的</w:t>
      </w:r>
      <w:r>
        <w:rPr>
          <w:rFonts w:hint="eastAsia" w:ascii="方正小标宋简体" w:hAnsi="方正小标宋简体" w:eastAsia="方正小标宋简体"/>
          <w:color w:val="000000"/>
          <w:kern w:val="0"/>
          <w:sz w:val="44"/>
          <w:szCs w:val="44"/>
        </w:rPr>
        <w:t>报告</w:t>
      </w:r>
    </w:p>
    <w:p>
      <w:pPr>
        <w:spacing w:line="560" w:lineRule="exact"/>
        <w:rPr>
          <w:rFonts w:hint="eastAsia" w:ascii="仿宋_GB2312" w:eastAsia="仿宋_GB2312"/>
          <w:color w:val="000000"/>
          <w:sz w:val="32"/>
          <w:szCs w:val="32"/>
        </w:rPr>
      </w:pPr>
    </w:p>
    <w:p>
      <w:pPr>
        <w:keepNext w:val="0"/>
        <w:keepLines w:val="0"/>
        <w:pageBreakBefore w:val="0"/>
        <w:kinsoku/>
        <w:wordWrap/>
        <w:overflowPunct/>
        <w:topLinePunct w:val="0"/>
        <w:autoSpaceDE/>
        <w:autoSpaceDN/>
        <w:bidi w:val="0"/>
        <w:spacing w:line="576" w:lineRule="exact"/>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市财政局：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现将我局2022年普法宣传项目支出绩效评价情况报告如下：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olor w:val="000000"/>
          <w:sz w:val="32"/>
          <w:szCs w:val="32"/>
        </w:rPr>
      </w:pPr>
      <w:r>
        <w:rPr>
          <w:rFonts w:hint="eastAsia" w:ascii="黑体" w:hAnsi="黑体" w:eastAsia="黑体" w:cs="Times New Roman"/>
          <w:color w:val="000000"/>
          <w:sz w:val="32"/>
          <w:szCs w:val="32"/>
          <w:lang w:eastAsia="zh-CN"/>
        </w:rPr>
        <w:t>一、</w:t>
      </w:r>
      <w:r>
        <w:rPr>
          <w:rFonts w:hint="eastAsia" w:ascii="黑体" w:hAnsi="黑体" w:eastAsia="黑体"/>
          <w:color w:val="000000"/>
          <w:sz w:val="32"/>
          <w:szCs w:val="32"/>
        </w:rPr>
        <w:t>项目概况</w:t>
      </w:r>
    </w:p>
    <w:p>
      <w:pPr>
        <w:keepNext w:val="0"/>
        <w:keepLines w:val="0"/>
        <w:pageBreakBefore w:val="0"/>
        <w:numPr>
          <w:ilvl w:val="0"/>
          <w:numId w:val="0"/>
        </w:numPr>
        <w:kinsoku/>
        <w:wordWrap/>
        <w:overflowPunct/>
        <w:topLinePunct w:val="0"/>
        <w:autoSpaceDN/>
        <w:bidi w:val="0"/>
        <w:adjustRightInd w:val="0"/>
        <w:snapToGrid w:val="0"/>
        <w:spacing w:line="576" w:lineRule="exact"/>
        <w:ind w:left="0" w:leftChars="0"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lang w:eastAsia="zh-CN"/>
        </w:rPr>
        <w:t>（一）</w:t>
      </w:r>
      <w:r>
        <w:rPr>
          <w:rFonts w:hint="eastAsia" w:ascii="楷体" w:hAnsi="楷体" w:eastAsia="楷体"/>
          <w:color w:val="000000"/>
          <w:sz w:val="32"/>
          <w:szCs w:val="32"/>
        </w:rPr>
        <w:t>项目基本情况</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w:t>
      </w:r>
      <w:r>
        <w:rPr>
          <w:rFonts w:hint="eastAsia" w:ascii="仿宋_GB2312" w:hAnsi="仿宋_GB2312" w:eastAsia="仿宋_GB2312"/>
          <w:color w:val="000000"/>
          <w:sz w:val="32"/>
          <w:szCs w:val="32"/>
        </w:rPr>
        <w:t>说明项目主管部门（单位）在该项目管理中的职能</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仿宋_GB2312" w:hAnsi="宋体" w:eastAsia="仿宋_GB2312"/>
          <w:color w:val="000000"/>
          <w:sz w:val="32"/>
          <w:szCs w:val="32"/>
        </w:rPr>
      </w:pPr>
      <w:r>
        <w:rPr>
          <w:rFonts w:hint="eastAsia" w:ascii="仿宋_GB2312" w:hAnsi="仿宋" w:eastAsia="仿宋_GB2312"/>
          <w:color w:val="000000"/>
          <w:sz w:val="32"/>
          <w:szCs w:val="32"/>
        </w:rPr>
        <w:t>我局负责制定本单位</w:t>
      </w:r>
      <w:r>
        <w:rPr>
          <w:rFonts w:hint="eastAsia" w:ascii="仿宋_GB2312" w:hAnsi="仿宋" w:eastAsia="仿宋_GB2312"/>
          <w:color w:val="000000"/>
          <w:sz w:val="32"/>
          <w:szCs w:val="32"/>
          <w:lang w:eastAsia="zh-CN"/>
        </w:rPr>
        <w:t>普法宣传工作经费的支付标准及计划</w:t>
      </w:r>
      <w:r>
        <w:rPr>
          <w:rFonts w:hint="eastAsia" w:ascii="仿宋_GB2312" w:hAnsi="仿宋" w:eastAsia="仿宋_GB2312"/>
          <w:color w:val="000000"/>
          <w:sz w:val="32"/>
          <w:szCs w:val="32"/>
        </w:rPr>
        <w:t>，确保相关经费保障</w:t>
      </w:r>
      <w:r>
        <w:rPr>
          <w:rFonts w:hint="eastAsia" w:ascii="仿宋_GB2312" w:hAnsi="仿宋" w:eastAsia="仿宋_GB2312"/>
          <w:color w:val="000000"/>
          <w:sz w:val="32"/>
          <w:szCs w:val="32"/>
          <w:lang w:eastAsia="zh-CN"/>
        </w:rPr>
        <w:t>全民普法宣传教育工作</w:t>
      </w:r>
      <w:r>
        <w:rPr>
          <w:rFonts w:hint="eastAsia" w:ascii="仿宋_GB2312" w:hAnsi="仿宋" w:eastAsia="仿宋_GB2312"/>
          <w:color w:val="000000"/>
          <w:sz w:val="32"/>
          <w:szCs w:val="32"/>
        </w:rPr>
        <w:t>措施落到实处，督促</w:t>
      </w:r>
      <w:r>
        <w:rPr>
          <w:rFonts w:hint="eastAsia" w:ascii="仿宋_GB2312" w:hAnsi="仿宋" w:eastAsia="仿宋_GB2312"/>
          <w:color w:val="000000"/>
          <w:sz w:val="32"/>
          <w:szCs w:val="32"/>
          <w:lang w:eastAsia="zh-CN"/>
        </w:rPr>
        <w:t>普法与依法治理科</w:t>
      </w:r>
      <w:r>
        <w:rPr>
          <w:rFonts w:hint="eastAsia" w:ascii="仿宋_GB2312" w:hAnsi="仿宋" w:eastAsia="仿宋_GB2312"/>
          <w:color w:val="000000"/>
          <w:sz w:val="32"/>
          <w:szCs w:val="32"/>
        </w:rPr>
        <w:t>严格按照法律法规、政策标准及时、足额支付，不得截留，促进</w:t>
      </w:r>
      <w:r>
        <w:rPr>
          <w:rFonts w:hint="eastAsia" w:ascii="仿宋_GB2312" w:hAnsi="仿宋" w:eastAsia="仿宋_GB2312"/>
          <w:color w:val="000000"/>
          <w:sz w:val="32"/>
          <w:szCs w:val="32"/>
          <w:lang w:eastAsia="zh-CN"/>
        </w:rPr>
        <w:t>全民法治宣传教育</w:t>
      </w:r>
      <w:r>
        <w:rPr>
          <w:rFonts w:hint="eastAsia" w:ascii="仿宋_GB2312" w:hAnsi="仿宋" w:eastAsia="仿宋_GB2312"/>
          <w:color w:val="000000"/>
          <w:sz w:val="32"/>
          <w:szCs w:val="32"/>
        </w:rPr>
        <w:t>事业健康发展。</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w:t>
      </w:r>
      <w:r>
        <w:rPr>
          <w:rFonts w:hint="eastAsia" w:ascii="仿宋_GB2312" w:hAnsi="仿宋_GB2312" w:eastAsia="仿宋_GB2312"/>
          <w:color w:val="000000"/>
          <w:sz w:val="32"/>
          <w:szCs w:val="32"/>
        </w:rPr>
        <w:t>项目立项、资金申报的依据</w:t>
      </w:r>
    </w:p>
    <w:p>
      <w:pPr>
        <w:pStyle w:val="15"/>
        <w:keepNext w:val="0"/>
        <w:keepLines w:val="0"/>
        <w:pageBreakBefore w:val="0"/>
        <w:kinsoku/>
        <w:wordWrap/>
        <w:overflowPunct/>
        <w:topLinePunct w:val="0"/>
        <w:autoSpaceDN/>
        <w:bidi w:val="0"/>
        <w:spacing w:before="0" w:beforeAutospacing="0" w:after="0" w:afterAutospacing="0" w:line="576" w:lineRule="exact"/>
        <w:ind w:left="0" w:leftChars="0" w:firstLine="640" w:firstLineChars="200"/>
        <w:textAlignment w:val="auto"/>
        <w:rPr>
          <w:rFonts w:hint="eastAsia" w:ascii="仿宋_GB2312" w:eastAsia="仿宋_GB2312"/>
          <w:color w:val="000000"/>
          <w:sz w:val="32"/>
          <w:szCs w:val="32"/>
        </w:rPr>
      </w:pPr>
      <w:r>
        <w:rPr>
          <w:rFonts w:hint="eastAsia" w:ascii="仿宋_GB2312" w:hAnsi="宋体" w:eastAsia="仿宋_GB2312" w:cs="宋体"/>
          <w:color w:val="000000"/>
          <w:kern w:val="0"/>
          <w:sz w:val="32"/>
          <w:szCs w:val="32"/>
          <w:lang w:val="en-US" w:eastAsia="zh-CN" w:bidi="ar-SA"/>
        </w:rPr>
        <w:t>项目立项依据：市委、市政府印发</w:t>
      </w:r>
      <w:r>
        <w:rPr>
          <w:rFonts w:hint="eastAsia" w:ascii="仿宋_GB2312" w:hAnsi="仿宋" w:eastAsia="仿宋_GB2312" w:cs="Times New Roman"/>
          <w:color w:val="000000"/>
          <w:sz w:val="32"/>
          <w:szCs w:val="32"/>
          <w:lang w:val="en-US" w:eastAsia="zh-CN"/>
        </w:rPr>
        <w:t>《广元市法治宣传教育第七个五年规划（2016-2020年）</w:t>
      </w:r>
      <w:r>
        <w:rPr>
          <w:rFonts w:hint="eastAsia" w:ascii="仿宋_GB2312" w:hAnsi="仿宋" w:eastAsia="仿宋_GB2312" w:cs="Times New Roman"/>
          <w:color w:val="000000"/>
          <w:sz w:val="32"/>
          <w:szCs w:val="32"/>
        </w:rPr>
        <w:t>》加强经费保障</w:t>
      </w:r>
      <w:r>
        <w:rPr>
          <w:rFonts w:hint="eastAsia" w:ascii="仿宋_GB2312" w:hAnsi="仿宋" w:eastAsia="仿宋_GB2312" w:cs="Times New Roman"/>
          <w:color w:val="000000"/>
          <w:sz w:val="32"/>
          <w:szCs w:val="32"/>
          <w:lang w:eastAsia="zh-CN"/>
        </w:rPr>
        <w:t>中规定，</w:t>
      </w:r>
      <w:r>
        <w:rPr>
          <w:rFonts w:hint="eastAsia" w:ascii="仿宋_GB2312" w:hAnsi="仿宋" w:eastAsia="仿宋_GB2312" w:cs="Times New Roman"/>
          <w:color w:val="000000"/>
          <w:sz w:val="32"/>
          <w:szCs w:val="32"/>
          <w:lang w:val="zh-CN"/>
        </w:rPr>
        <w:t>各级要把法治宣传教育工作经费纳入本级财政预算，建立动态调整机制，市本级按人均不低于0.1元、县区按人均不低于0.5元标准切实予以保障。</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3</w:t>
      </w:r>
      <w:r>
        <w:rPr>
          <w:rFonts w:hint="eastAsia" w:ascii="仿宋_GB2312" w:hAnsi="宋体" w:eastAsia="仿宋_GB2312"/>
          <w:color w:val="000000"/>
          <w:sz w:val="32"/>
          <w:szCs w:val="32"/>
          <w:lang w:val="en-US" w:eastAsia="zh-CN"/>
        </w:rPr>
        <w:t>.</w:t>
      </w:r>
      <w:r>
        <w:rPr>
          <w:rFonts w:hint="eastAsia" w:ascii="仿宋_GB2312" w:hAnsi="仿宋_GB2312" w:eastAsia="仿宋_GB2312"/>
          <w:color w:val="000000"/>
          <w:sz w:val="32"/>
          <w:szCs w:val="32"/>
        </w:rPr>
        <w:t>资金管理办法制定情况，资金支持具体项目的条件、范围与支持方式概况</w:t>
      </w:r>
    </w:p>
    <w:p>
      <w:pPr>
        <w:keepNext w:val="0"/>
        <w:keepLines w:val="0"/>
        <w:pageBreakBefore w:val="0"/>
        <w:kinsoku/>
        <w:wordWrap/>
        <w:overflowPunct/>
        <w:topLinePunct w:val="0"/>
        <w:autoSpaceDN/>
        <w:bidi w:val="0"/>
        <w:spacing w:line="576" w:lineRule="exact"/>
        <w:ind w:left="0" w:leftChars="0" w:firstLine="640" w:firstLineChars="200"/>
        <w:textAlignment w:val="auto"/>
        <w:rPr>
          <w:rFonts w:hint="eastAsia" w:ascii="仿宋_GB2312" w:eastAsia="仿宋_GB2312"/>
          <w:color w:val="000000"/>
          <w:sz w:val="32"/>
          <w:szCs w:val="32"/>
          <w:lang w:eastAsia="zh-CN"/>
        </w:rPr>
      </w:pPr>
      <w:r>
        <w:rPr>
          <w:rFonts w:hint="eastAsia" w:ascii="仿宋_GB2312" w:hAnsi="仿宋" w:eastAsia="仿宋_GB2312"/>
          <w:color w:val="000000"/>
          <w:sz w:val="32"/>
          <w:szCs w:val="32"/>
          <w:lang w:eastAsia="zh-CN"/>
        </w:rPr>
        <w:t>资金管理按照</w:t>
      </w:r>
      <w:r>
        <w:rPr>
          <w:rFonts w:hint="eastAsia" w:ascii="仿宋_GB2312" w:hAnsi="仿宋_GB2312" w:eastAsia="仿宋_GB2312"/>
          <w:color w:val="000000"/>
          <w:sz w:val="32"/>
          <w:szCs w:val="32"/>
        </w:rPr>
        <w:t>《广元市司法局机关财务管理办法》</w:t>
      </w:r>
      <w:r>
        <w:rPr>
          <w:rFonts w:hint="eastAsia" w:ascii="仿宋_GB2312" w:hAnsi="仿宋" w:eastAsia="仿宋_GB2312"/>
          <w:color w:val="000000"/>
          <w:sz w:val="32"/>
          <w:szCs w:val="32"/>
          <w:lang w:eastAsia="zh-CN"/>
        </w:rPr>
        <w:t>执行。</w:t>
      </w:r>
      <w:r>
        <w:rPr>
          <w:rFonts w:hint="eastAsia" w:ascii="仿宋_GB2312" w:eastAsia="仿宋_GB2312"/>
          <w:color w:val="000000"/>
          <w:sz w:val="32"/>
          <w:szCs w:val="32"/>
          <w:lang w:eastAsia="zh-CN"/>
        </w:rPr>
        <w:t>普法宣传</w:t>
      </w:r>
      <w:r>
        <w:rPr>
          <w:rFonts w:hint="eastAsia" w:ascii="仿宋_GB2312" w:eastAsia="仿宋_GB2312"/>
          <w:color w:val="000000"/>
          <w:sz w:val="32"/>
          <w:szCs w:val="32"/>
        </w:rPr>
        <w:t>项目资金主要用于</w:t>
      </w:r>
      <w:r>
        <w:rPr>
          <w:rFonts w:hint="eastAsia" w:ascii="仿宋_GB2312" w:eastAsia="仿宋_GB2312"/>
          <w:color w:val="000000"/>
          <w:sz w:val="32"/>
          <w:szCs w:val="32"/>
          <w:lang w:eastAsia="zh-CN"/>
        </w:rPr>
        <w:t>普法宣传活动开展</w:t>
      </w:r>
      <w:r>
        <w:rPr>
          <w:rFonts w:hint="eastAsia" w:ascii="仿宋_GB2312" w:eastAsia="仿宋_GB2312"/>
          <w:color w:val="000000"/>
          <w:sz w:val="32"/>
          <w:szCs w:val="32"/>
        </w:rPr>
        <w:t>，</w:t>
      </w:r>
      <w:r>
        <w:rPr>
          <w:rFonts w:hint="eastAsia" w:ascii="仿宋_GB2312" w:eastAsia="仿宋_GB2312"/>
          <w:color w:val="000000"/>
          <w:sz w:val="32"/>
          <w:szCs w:val="32"/>
          <w:lang w:eastAsia="zh-CN"/>
        </w:rPr>
        <w:t>法治文艺节目创作及演出，法治文化阵地建设，普法宣传产品的开发与制作，普法依法治理工作的督促指导等工作经费开支。</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4</w:t>
      </w:r>
      <w:r>
        <w:rPr>
          <w:rFonts w:hint="eastAsia" w:ascii="仿宋_GB2312" w:hAnsi="宋体" w:eastAsia="仿宋_GB2312"/>
          <w:color w:val="000000"/>
          <w:sz w:val="32"/>
          <w:szCs w:val="32"/>
          <w:lang w:val="en-US" w:eastAsia="zh-CN"/>
        </w:rPr>
        <w:t>.</w:t>
      </w:r>
      <w:r>
        <w:rPr>
          <w:rFonts w:hint="eastAsia" w:ascii="仿宋_GB2312" w:hAnsi="仿宋_GB2312" w:eastAsia="仿宋_GB2312"/>
          <w:color w:val="000000"/>
          <w:sz w:val="32"/>
          <w:szCs w:val="32"/>
        </w:rPr>
        <w:t>资金分配的原则及考虑因素</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仿宋_GB2312" w:hAnsi="宋体" w:eastAsia="仿宋_GB2312"/>
          <w:color w:val="000000"/>
          <w:sz w:val="32"/>
          <w:szCs w:val="32"/>
        </w:rPr>
      </w:pPr>
      <w:r>
        <w:rPr>
          <w:rFonts w:hint="eastAsia" w:ascii="仿宋_GB2312" w:hAnsi="仿宋" w:eastAsia="仿宋_GB2312"/>
          <w:color w:val="000000"/>
          <w:sz w:val="32"/>
          <w:szCs w:val="32"/>
        </w:rPr>
        <w:t>市、县级人民政府司法行政部门会同同级财政部门，结合当地经济社会发展水平，根据</w:t>
      </w:r>
      <w:r>
        <w:rPr>
          <w:rFonts w:hint="eastAsia" w:ascii="仿宋_GB2312" w:hAnsi="仿宋" w:eastAsia="仿宋_GB2312"/>
          <w:color w:val="000000"/>
          <w:sz w:val="32"/>
          <w:szCs w:val="32"/>
          <w:lang w:eastAsia="zh-CN"/>
        </w:rPr>
        <w:t>开展普法宣传教育工作</w:t>
      </w:r>
      <w:r>
        <w:rPr>
          <w:rFonts w:hint="eastAsia" w:ascii="仿宋_GB2312" w:hAnsi="仿宋" w:eastAsia="仿宋_GB2312"/>
          <w:color w:val="000000"/>
          <w:sz w:val="32"/>
          <w:szCs w:val="32"/>
        </w:rPr>
        <w:t>直接费用等因素确定。</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（二）项目绩效目标</w:t>
      </w:r>
    </w:p>
    <w:p>
      <w:pPr>
        <w:keepNext w:val="0"/>
        <w:keepLines w:val="0"/>
        <w:pageBreakBefore w:val="0"/>
        <w:kinsoku/>
        <w:wordWrap/>
        <w:overflowPunct/>
        <w:topLinePunct w:val="0"/>
        <w:autoSpaceDN/>
        <w:bidi w:val="0"/>
        <w:spacing w:line="576" w:lineRule="exact"/>
        <w:ind w:left="0" w:leftChars="0" w:firstLine="640" w:firstLineChars="200"/>
        <w:textAlignment w:val="auto"/>
        <w:rPr>
          <w:rFonts w:hint="eastAsia" w:ascii="仿宋_GB2312" w:hAnsi="仿宋" w:eastAsia="仿宋_GB2312" w:cs="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w:t>
      </w:r>
      <w:r>
        <w:rPr>
          <w:rFonts w:hint="eastAsia" w:ascii="仿宋_GB2312" w:hAnsi="仿宋_GB2312" w:eastAsia="仿宋_GB2312"/>
          <w:color w:val="000000"/>
          <w:sz w:val="32"/>
          <w:szCs w:val="32"/>
        </w:rPr>
        <w:t>项目主要内容</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shd w:val="clear" w:color="auto" w:fill="FFFFFF"/>
          <w:lang w:eastAsia="zh-CN"/>
        </w:rPr>
        <w:t>普法宣传</w:t>
      </w:r>
      <w:r>
        <w:rPr>
          <w:rFonts w:hint="eastAsia" w:ascii="仿宋_GB2312" w:hAnsi="仿宋" w:eastAsia="仿宋_GB2312" w:cs="仿宋_GB2312"/>
          <w:color w:val="000000"/>
          <w:sz w:val="32"/>
          <w:szCs w:val="32"/>
          <w:shd w:val="clear" w:color="auto" w:fill="FFFFFF"/>
        </w:rPr>
        <w:t>项目用于开展</w:t>
      </w:r>
      <w:r>
        <w:rPr>
          <w:rFonts w:hint="eastAsia" w:ascii="仿宋_GB2312" w:hAnsi="仿宋" w:eastAsia="仿宋_GB2312" w:cs="仿宋_GB2312"/>
          <w:color w:val="000000"/>
          <w:sz w:val="32"/>
          <w:szCs w:val="32"/>
          <w:shd w:val="clear" w:color="auto" w:fill="FFFFFF"/>
          <w:lang w:eastAsia="zh-CN"/>
        </w:rPr>
        <w:t>全民普法宣传教育</w:t>
      </w:r>
      <w:r>
        <w:rPr>
          <w:rFonts w:hint="eastAsia" w:ascii="仿宋_GB2312" w:hAnsi="仿宋" w:eastAsia="仿宋_GB2312" w:cs="仿宋_GB2312"/>
          <w:color w:val="000000"/>
          <w:sz w:val="32"/>
          <w:szCs w:val="32"/>
          <w:shd w:val="clear" w:color="auto" w:fill="FFFFFF"/>
        </w:rPr>
        <w:t>工作。包括</w:t>
      </w:r>
      <w:r>
        <w:rPr>
          <w:rFonts w:hint="eastAsia" w:ascii="仿宋_GB2312" w:hAnsi="仿宋" w:eastAsia="仿宋_GB2312" w:cs="仿宋_GB2312"/>
          <w:color w:val="000000"/>
          <w:sz w:val="32"/>
          <w:szCs w:val="32"/>
          <w:shd w:val="clear" w:color="auto" w:fill="FFFFFF"/>
          <w:lang w:eastAsia="zh-CN"/>
        </w:rPr>
        <w:t>：</w:t>
      </w:r>
      <w:r>
        <w:rPr>
          <w:rFonts w:hint="eastAsia" w:ascii="仿宋_GB2312" w:hAnsi="仿宋" w:eastAsia="仿宋_GB2312" w:cs="仿宋_GB2312"/>
          <w:color w:val="000000"/>
          <w:sz w:val="32"/>
          <w:szCs w:val="32"/>
        </w:rPr>
        <w:t>拟订法治宣传教育规划并组织实施;指导监督各地、各部门“谁执法谁普法”的普法责任制落实工作;指导监督国家工作人员学法用法工作，推进全民普法;指导各地</w:t>
      </w:r>
      <w:r>
        <w:rPr>
          <w:rFonts w:hint="eastAsia" w:ascii="仿宋_GB2312" w:hAnsi="仿宋" w:eastAsia="仿宋_GB2312" w:cs="仿宋_GB2312"/>
          <w:color w:val="000000"/>
          <w:sz w:val="32"/>
          <w:szCs w:val="32"/>
          <w:lang w:eastAsia="zh-CN"/>
        </w:rPr>
        <w:t>、</w:t>
      </w:r>
      <w:r>
        <w:rPr>
          <w:rFonts w:hint="eastAsia" w:ascii="仿宋_GB2312" w:hAnsi="仿宋" w:eastAsia="仿宋_GB2312" w:cs="仿宋_GB2312"/>
          <w:color w:val="000000"/>
          <w:sz w:val="32"/>
          <w:szCs w:val="32"/>
        </w:rPr>
        <w:t>各部门</w:t>
      </w:r>
      <w:r>
        <w:rPr>
          <w:rFonts w:hint="eastAsia" w:ascii="仿宋_GB2312" w:hAnsi="仿宋" w:eastAsia="仿宋_GB2312" w:cs="仿宋_GB2312"/>
          <w:color w:val="000000"/>
          <w:sz w:val="32"/>
          <w:szCs w:val="32"/>
          <w:lang w:eastAsia="zh-CN"/>
        </w:rPr>
        <w:t>、</w:t>
      </w:r>
      <w:r>
        <w:rPr>
          <w:rFonts w:hint="eastAsia" w:ascii="仿宋_GB2312" w:hAnsi="仿宋" w:eastAsia="仿宋_GB2312" w:cs="仿宋_GB2312"/>
          <w:color w:val="000000"/>
          <w:sz w:val="32"/>
          <w:szCs w:val="32"/>
        </w:rPr>
        <w:t>各行业依法治理和法治创建工作;组织对外法治宣传;指导社会主义法治文化建设。</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w:t>
      </w:r>
      <w:r>
        <w:rPr>
          <w:rFonts w:hint="eastAsia" w:ascii="仿宋_GB2312" w:hAnsi="仿宋_GB2312" w:eastAsia="仿宋_GB2312"/>
          <w:color w:val="000000"/>
          <w:sz w:val="32"/>
          <w:szCs w:val="32"/>
        </w:rPr>
        <w:t>项目应实现的具体绩效目标，包括目标的量化、细化情况以及项目实施进度计划等</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lang w:eastAsia="zh-CN"/>
        </w:rPr>
        <w:t>202</w:t>
      </w:r>
      <w:r>
        <w:rPr>
          <w:rFonts w:hint="eastAsia" w:ascii="仿宋_GB2312" w:hAnsi="仿宋" w:eastAsia="仿宋_GB2312" w:cs="仿宋_GB2312"/>
          <w:color w:val="000000"/>
          <w:sz w:val="32"/>
          <w:szCs w:val="32"/>
          <w:lang w:val="en-US" w:eastAsia="zh-CN"/>
        </w:rPr>
        <w:t>2</w:t>
      </w:r>
      <w:r>
        <w:rPr>
          <w:rFonts w:hint="eastAsia" w:ascii="仿宋_GB2312" w:hAnsi="仿宋" w:eastAsia="仿宋_GB2312" w:cs="仿宋_GB2312"/>
          <w:color w:val="000000"/>
          <w:sz w:val="32"/>
          <w:szCs w:val="32"/>
        </w:rPr>
        <w:t>年度，以《宪法》《民法典》为重点，深入开展普法宣传。一是全方位大力度开展《宪法》《民法典》宣传。及时制发《宪法宣传周方案》《&lt;民法典&gt;学习宣传贯彻实施方案》，承办市委理论学习中心组专题组织集中学习《民法典》，开展“百名律师百场《民法典》宣讲”活动，组织参与全国、全省宣传《民法典》微视频、微电影大赛和文化作品征集。组织开展百场法治文艺下乡演出，“与法同行·助力振兴”法治文艺节目在全省司法所服务乡村振兴现场推进会上演出，其中我市独创的宣传民法典特色节目被全省“宪法宣传周”活动调演。法治文艺演出进基层工作在全省交流发言。二是深入开展“法律七进”。扎实开展“一月一主题”法治宣传教育活动，组织“以案释法”宣讲2100场次。创新开展法治宣传“三百”活动，</w:t>
      </w:r>
      <w:r>
        <w:rPr>
          <w:rFonts w:hint="eastAsia" w:ascii="仿宋_GB2312" w:hAnsi="仿宋" w:eastAsia="仿宋_GB2312" w:cs="仿宋_GB2312"/>
          <w:color w:val="000000"/>
          <w:sz w:val="32"/>
          <w:szCs w:val="32"/>
          <w:lang w:eastAsia="zh-CN"/>
        </w:rPr>
        <w:t>全市</w:t>
      </w:r>
      <w:r>
        <w:rPr>
          <w:rFonts w:hint="eastAsia" w:ascii="仿宋_GB2312" w:hAnsi="仿宋" w:eastAsia="仿宋_GB2312" w:cs="仿宋_GB2312"/>
          <w:color w:val="000000"/>
          <w:sz w:val="32"/>
          <w:szCs w:val="32"/>
        </w:rPr>
        <w:t>集中培训法律明白人3000余人次，打造基层法治示范点125个，入选全省“法律七进”特色亮点3个。</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仿宋_GB2312" w:hAnsi="仿宋_GB2312" w:eastAsia="仿宋_GB2312"/>
          <w:color w:val="000000"/>
          <w:sz w:val="32"/>
          <w:szCs w:val="32"/>
        </w:rPr>
      </w:pPr>
      <w:r>
        <w:rPr>
          <w:rFonts w:hint="eastAsia" w:ascii="仿宋_GB2312" w:hAnsi="宋体" w:eastAsia="仿宋_GB2312"/>
          <w:color w:val="000000"/>
          <w:sz w:val="32"/>
          <w:szCs w:val="32"/>
        </w:rPr>
        <w:t>3</w:t>
      </w:r>
      <w:r>
        <w:rPr>
          <w:rFonts w:hint="eastAsia" w:ascii="仿宋_GB2312" w:hAnsi="宋体" w:eastAsia="仿宋_GB2312"/>
          <w:color w:val="000000"/>
          <w:sz w:val="32"/>
          <w:szCs w:val="32"/>
          <w:lang w:val="en-US" w:eastAsia="zh-CN"/>
        </w:rPr>
        <w:t>.</w:t>
      </w:r>
      <w:r>
        <w:rPr>
          <w:rFonts w:hint="eastAsia" w:ascii="仿宋_GB2312" w:hAnsi="仿宋_GB2312" w:eastAsia="仿宋_GB2312"/>
          <w:color w:val="000000"/>
          <w:sz w:val="32"/>
          <w:szCs w:val="32"/>
        </w:rPr>
        <w:t>分析评价申报内容是否与实际相符，申报目标是否合理可行</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申报内容符合我局</w:t>
      </w:r>
      <w:r>
        <w:rPr>
          <w:rFonts w:hint="eastAsia" w:ascii="仿宋_GB2312" w:hAnsi="宋体" w:eastAsia="仿宋_GB2312"/>
          <w:color w:val="000000"/>
          <w:sz w:val="32"/>
          <w:szCs w:val="32"/>
          <w:lang w:eastAsia="zh-CN"/>
        </w:rPr>
        <w:t>普法宣传</w:t>
      </w:r>
      <w:r>
        <w:rPr>
          <w:rFonts w:hint="eastAsia" w:ascii="仿宋_GB2312" w:hAnsi="宋体" w:eastAsia="仿宋_GB2312"/>
          <w:color w:val="000000"/>
          <w:sz w:val="32"/>
          <w:szCs w:val="32"/>
        </w:rPr>
        <w:t>工作实际，申报目标当年全部完成。</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（三）项目自评步骤及方法</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仿宋_GB2312" w:hAnsi="Arial" w:eastAsia="仿宋_GB2312" w:cs="Arial"/>
          <w:color w:val="000000"/>
          <w:sz w:val="32"/>
          <w:szCs w:val="32"/>
          <w:shd w:val="clear" w:color="auto" w:fill="FFFFFF"/>
        </w:rPr>
      </w:pPr>
      <w:r>
        <w:rPr>
          <w:rFonts w:hint="eastAsia" w:ascii="仿宋_GB2312" w:hAnsi="Arial" w:eastAsia="仿宋_GB2312" w:cs="Arial"/>
          <w:color w:val="000000"/>
          <w:sz w:val="32"/>
          <w:szCs w:val="32"/>
          <w:shd w:val="clear" w:color="auto" w:fill="FFFFFF"/>
        </w:rPr>
        <w:t>我局按照项目单位自评和主管部门评价相结合的方式，依据资金使用的方向和对象,围绕绩效目标,从项目的实施、管理、效果等方面对</w:t>
      </w:r>
      <w:r>
        <w:rPr>
          <w:rFonts w:hint="eastAsia" w:ascii="仿宋_GB2312" w:hAnsi="Arial" w:eastAsia="仿宋_GB2312" w:cs="Arial"/>
          <w:color w:val="000000"/>
          <w:sz w:val="32"/>
          <w:szCs w:val="32"/>
          <w:shd w:val="clear" w:color="auto" w:fill="FFFFFF"/>
          <w:lang w:eastAsia="zh-CN"/>
        </w:rPr>
        <w:t>2021</w:t>
      </w:r>
      <w:r>
        <w:rPr>
          <w:rFonts w:hint="eastAsia" w:ascii="仿宋_GB2312" w:hAnsi="Arial" w:eastAsia="仿宋_GB2312" w:cs="Arial"/>
          <w:color w:val="000000"/>
          <w:sz w:val="32"/>
          <w:szCs w:val="32"/>
          <w:shd w:val="clear" w:color="auto" w:fill="FFFFFF"/>
        </w:rPr>
        <w:t>年度</w:t>
      </w:r>
      <w:r>
        <w:rPr>
          <w:rFonts w:hint="eastAsia" w:ascii="仿宋_GB2312" w:hAnsi="宋体" w:eastAsia="仿宋_GB2312"/>
          <w:color w:val="000000"/>
          <w:sz w:val="32"/>
          <w:szCs w:val="32"/>
          <w:lang w:eastAsia="zh-CN"/>
        </w:rPr>
        <w:t>普法宣传</w:t>
      </w:r>
      <w:r>
        <w:rPr>
          <w:rFonts w:hint="eastAsia" w:ascii="仿宋_GB2312" w:hAnsi="Arial" w:eastAsia="仿宋_GB2312" w:cs="Arial"/>
          <w:color w:val="000000"/>
          <w:sz w:val="32"/>
          <w:szCs w:val="32"/>
          <w:shd w:val="clear" w:color="auto" w:fill="FFFFFF"/>
        </w:rPr>
        <w:t>专项资金开展了绩效评价工作。</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二、项目资金申报及使用情况</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（一）项目资金申报及批复情况</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仿宋_GB2312" w:hAnsi="宋体" w:eastAsia="仿宋_GB2312"/>
          <w:color w:val="000000"/>
          <w:sz w:val="32"/>
          <w:szCs w:val="32"/>
        </w:rPr>
      </w:pPr>
      <w:r>
        <w:rPr>
          <w:rFonts w:hint="eastAsia" w:ascii="仿宋_GB2312" w:hAnsi="仿宋" w:eastAsia="仿宋_GB2312" w:cs="仿宋_GB2312"/>
          <w:color w:val="000000"/>
          <w:sz w:val="32"/>
          <w:szCs w:val="32"/>
        </w:rPr>
        <w:t>决算执行资金</w:t>
      </w:r>
      <w:r>
        <w:rPr>
          <w:rFonts w:hint="eastAsia" w:ascii="仿宋_GB2312" w:hAnsi="仿宋" w:eastAsia="仿宋_GB2312" w:cs="仿宋_GB2312"/>
          <w:color w:val="000000"/>
          <w:sz w:val="32"/>
          <w:szCs w:val="32"/>
          <w:lang w:val="en-US" w:eastAsia="zh-CN"/>
        </w:rPr>
        <w:t>16.8</w:t>
      </w:r>
      <w:r>
        <w:rPr>
          <w:rFonts w:hint="eastAsia" w:ascii="仿宋_GB2312" w:hAnsi="仿宋" w:eastAsia="仿宋_GB2312" w:cs="仿宋_GB2312"/>
          <w:color w:val="000000"/>
          <w:sz w:val="32"/>
          <w:szCs w:val="32"/>
        </w:rPr>
        <w:t>万元，年初预算资金</w:t>
      </w:r>
      <w:r>
        <w:rPr>
          <w:rFonts w:hint="eastAsia" w:ascii="仿宋_GB2312" w:hAnsi="仿宋" w:eastAsia="仿宋_GB2312" w:cs="仿宋_GB2312"/>
          <w:color w:val="000000"/>
          <w:sz w:val="32"/>
          <w:szCs w:val="32"/>
          <w:lang w:val="en-US" w:eastAsia="zh-CN"/>
        </w:rPr>
        <w:t>16.8</w:t>
      </w:r>
      <w:r>
        <w:rPr>
          <w:rFonts w:hint="eastAsia" w:ascii="仿宋_GB2312" w:hAnsi="仿宋" w:eastAsia="仿宋_GB2312" w:cs="仿宋_GB2312"/>
          <w:color w:val="000000"/>
          <w:sz w:val="32"/>
          <w:szCs w:val="32"/>
        </w:rPr>
        <w:t>万元财政资金拨付率100%。</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楷体" w:hAnsi="楷体" w:eastAsia="楷体"/>
          <w:color w:val="000000"/>
          <w:sz w:val="32"/>
          <w:szCs w:val="32"/>
        </w:rPr>
      </w:pPr>
      <w:r>
        <w:rPr>
          <w:rFonts w:hint="eastAsia" w:ascii="楷体" w:hAnsi="楷体" w:eastAsia="楷体"/>
          <w:color w:val="000000"/>
          <w:sz w:val="32"/>
          <w:szCs w:val="32"/>
        </w:rPr>
        <w:t>（二）资金计划、到位及使用情况。</w:t>
      </w:r>
    </w:p>
    <w:tbl>
      <w:tblPr>
        <w:tblStyle w:val="16"/>
        <w:tblW w:w="87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1882"/>
        <w:gridCol w:w="1945"/>
        <w:gridCol w:w="1701"/>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noWrap w:val="0"/>
            <w:vAlign w:val="top"/>
          </w:tcPr>
          <w:p>
            <w:pPr>
              <w:keepNext w:val="0"/>
              <w:keepLines w:val="0"/>
              <w:pageBreakBefore w:val="0"/>
              <w:kinsoku/>
              <w:wordWrap/>
              <w:overflowPunct/>
              <w:topLinePunct w:val="0"/>
              <w:autoSpaceDN/>
              <w:bidi w:val="0"/>
              <w:adjustRightInd w:val="0"/>
              <w:snapToGrid w:val="0"/>
              <w:spacing w:line="576" w:lineRule="exact"/>
              <w:ind w:left="0" w:leftChars="0"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单位</w:t>
            </w:r>
          </w:p>
        </w:tc>
        <w:tc>
          <w:tcPr>
            <w:tcW w:w="3827" w:type="dxa"/>
            <w:gridSpan w:val="2"/>
            <w:noWrap w:val="0"/>
            <w:vAlign w:val="top"/>
          </w:tcPr>
          <w:p>
            <w:pPr>
              <w:keepNext w:val="0"/>
              <w:keepLines w:val="0"/>
              <w:pageBreakBefore w:val="0"/>
              <w:kinsoku/>
              <w:wordWrap/>
              <w:overflowPunct/>
              <w:topLinePunct w:val="0"/>
              <w:autoSpaceDN/>
              <w:bidi w:val="0"/>
              <w:adjustRightInd w:val="0"/>
              <w:snapToGrid w:val="0"/>
              <w:spacing w:line="576" w:lineRule="exact"/>
              <w:ind w:left="0" w:leftChars="0" w:firstLine="640" w:firstLineChars="200"/>
              <w:jc w:val="center"/>
              <w:textAlignment w:val="auto"/>
              <w:rPr>
                <w:rFonts w:hint="eastAsia" w:ascii="楷体" w:hAnsi="楷体" w:eastAsia="楷体"/>
                <w:color w:val="000000"/>
                <w:sz w:val="32"/>
                <w:szCs w:val="32"/>
                <w:lang w:eastAsia="zh-CN"/>
              </w:rPr>
            </w:pPr>
            <w:r>
              <w:rPr>
                <w:rFonts w:hint="eastAsia" w:ascii="楷体" w:hAnsi="楷体" w:eastAsia="楷体"/>
                <w:color w:val="000000"/>
                <w:sz w:val="32"/>
                <w:szCs w:val="32"/>
              </w:rPr>
              <w:t>资金计划</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（万元）</w:t>
            </w:r>
          </w:p>
        </w:tc>
        <w:tc>
          <w:tcPr>
            <w:tcW w:w="1701" w:type="dxa"/>
            <w:noWrap w:val="0"/>
            <w:vAlign w:val="top"/>
          </w:tcPr>
          <w:p>
            <w:pPr>
              <w:keepNext w:val="0"/>
              <w:keepLines w:val="0"/>
              <w:pageBreakBefore w:val="0"/>
              <w:kinsoku/>
              <w:wordWrap/>
              <w:overflowPunct/>
              <w:topLinePunct w:val="0"/>
              <w:autoSpaceDN/>
              <w:bidi w:val="0"/>
              <w:adjustRightInd w:val="0"/>
              <w:snapToGrid w:val="0"/>
              <w:spacing w:line="576" w:lineRule="exact"/>
              <w:ind w:left="0" w:leftChars="0"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资金到位</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（万元）</w:t>
            </w:r>
          </w:p>
        </w:tc>
        <w:tc>
          <w:tcPr>
            <w:tcW w:w="1701" w:type="dxa"/>
            <w:noWrap w:val="0"/>
            <w:vAlign w:val="top"/>
          </w:tcPr>
          <w:p>
            <w:pPr>
              <w:keepNext w:val="0"/>
              <w:keepLines w:val="0"/>
              <w:pageBreakBefore w:val="0"/>
              <w:kinsoku/>
              <w:wordWrap/>
              <w:overflowPunct/>
              <w:topLinePunct w:val="0"/>
              <w:autoSpaceDN/>
              <w:bidi w:val="0"/>
              <w:adjustRightInd w:val="0"/>
              <w:snapToGrid w:val="0"/>
              <w:spacing w:line="576" w:lineRule="exact"/>
              <w:ind w:left="0" w:leftChars="0"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资金使用</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restart"/>
            <w:noWrap w:val="0"/>
            <w:vAlign w:val="center"/>
          </w:tcPr>
          <w:p>
            <w:pPr>
              <w:keepNext w:val="0"/>
              <w:keepLines w:val="0"/>
              <w:pageBreakBefore w:val="0"/>
              <w:kinsoku/>
              <w:wordWrap/>
              <w:overflowPunct/>
              <w:topLinePunct w:val="0"/>
              <w:autoSpaceDN/>
              <w:bidi w:val="0"/>
              <w:adjustRightInd w:val="0"/>
              <w:snapToGrid w:val="0"/>
              <w:spacing w:line="576" w:lineRule="exact"/>
              <w:jc w:val="center"/>
              <w:textAlignment w:val="auto"/>
              <w:rPr>
                <w:rFonts w:hint="eastAsia" w:ascii="楷体" w:hAnsi="楷体" w:eastAsia="楷体"/>
                <w:color w:val="000000"/>
                <w:sz w:val="32"/>
                <w:szCs w:val="32"/>
              </w:rPr>
            </w:pPr>
            <w:r>
              <w:rPr>
                <w:rFonts w:hint="eastAsia" w:ascii="楷体" w:hAnsi="楷体" w:eastAsia="楷体"/>
                <w:color w:val="000000"/>
                <w:sz w:val="32"/>
                <w:szCs w:val="32"/>
              </w:rPr>
              <w:t>市司法局</w:t>
            </w:r>
          </w:p>
        </w:tc>
        <w:tc>
          <w:tcPr>
            <w:tcW w:w="1882" w:type="dxa"/>
            <w:noWrap w:val="0"/>
            <w:vAlign w:val="center"/>
          </w:tcPr>
          <w:p>
            <w:pPr>
              <w:keepNext w:val="0"/>
              <w:keepLines w:val="0"/>
              <w:pageBreakBefore w:val="0"/>
              <w:kinsoku/>
              <w:wordWrap/>
              <w:overflowPunct/>
              <w:topLinePunct w:val="0"/>
              <w:autoSpaceDN/>
              <w:bidi w:val="0"/>
              <w:adjustRightInd w:val="0"/>
              <w:snapToGrid w:val="0"/>
              <w:spacing w:line="576" w:lineRule="exact"/>
              <w:ind w:firstLine="320" w:firstLineChars="100"/>
              <w:jc w:val="both"/>
              <w:textAlignment w:val="auto"/>
              <w:rPr>
                <w:rFonts w:hint="eastAsia" w:ascii="楷体" w:hAnsi="楷体" w:eastAsia="楷体"/>
                <w:color w:val="000000"/>
                <w:sz w:val="32"/>
                <w:szCs w:val="32"/>
              </w:rPr>
            </w:pPr>
            <w:r>
              <w:rPr>
                <w:rFonts w:hint="eastAsia" w:ascii="楷体" w:hAnsi="楷体" w:eastAsia="楷体"/>
                <w:color w:val="000000"/>
                <w:sz w:val="32"/>
                <w:szCs w:val="32"/>
              </w:rPr>
              <w:t>市本级</w:t>
            </w:r>
          </w:p>
        </w:tc>
        <w:tc>
          <w:tcPr>
            <w:tcW w:w="1945" w:type="dxa"/>
            <w:noWrap w:val="0"/>
            <w:vAlign w:val="center"/>
          </w:tcPr>
          <w:p>
            <w:pPr>
              <w:keepNext w:val="0"/>
              <w:keepLines w:val="0"/>
              <w:pageBreakBefore w:val="0"/>
              <w:kinsoku/>
              <w:wordWrap/>
              <w:overflowPunct/>
              <w:topLinePunct w:val="0"/>
              <w:autoSpaceDN/>
              <w:bidi w:val="0"/>
              <w:adjustRightInd w:val="0"/>
              <w:snapToGrid w:val="0"/>
              <w:spacing w:line="576" w:lineRule="exact"/>
              <w:jc w:val="both"/>
              <w:textAlignment w:val="auto"/>
              <w:rPr>
                <w:rFonts w:hint="eastAsia" w:ascii="楷体" w:hAnsi="楷体" w:eastAsia="楷体"/>
                <w:color w:val="000000"/>
                <w:sz w:val="32"/>
                <w:szCs w:val="32"/>
              </w:rPr>
            </w:pPr>
            <w:r>
              <w:rPr>
                <w:rFonts w:hint="eastAsia" w:ascii="楷体" w:hAnsi="楷体" w:eastAsia="楷体"/>
                <w:color w:val="000000"/>
                <w:sz w:val="32"/>
                <w:szCs w:val="32"/>
              </w:rPr>
              <w:t>中央法律援助办案专款</w:t>
            </w:r>
          </w:p>
        </w:tc>
        <w:tc>
          <w:tcPr>
            <w:tcW w:w="1701" w:type="dxa"/>
            <w:vMerge w:val="restart"/>
            <w:noWrap w:val="0"/>
            <w:vAlign w:val="center"/>
          </w:tcPr>
          <w:p>
            <w:pPr>
              <w:keepNext w:val="0"/>
              <w:keepLines w:val="0"/>
              <w:pageBreakBefore w:val="0"/>
              <w:kinsoku/>
              <w:wordWrap/>
              <w:overflowPunct/>
              <w:topLinePunct w:val="0"/>
              <w:autoSpaceDN/>
              <w:bidi w:val="0"/>
              <w:adjustRightInd w:val="0"/>
              <w:snapToGrid w:val="0"/>
              <w:spacing w:line="576" w:lineRule="exact"/>
              <w:ind w:left="0" w:leftChars="0" w:firstLine="640" w:firstLineChars="200"/>
              <w:jc w:val="center"/>
              <w:textAlignment w:val="auto"/>
              <w:rPr>
                <w:rFonts w:hint="eastAsia" w:ascii="楷体" w:hAnsi="楷体" w:eastAsia="楷体"/>
                <w:color w:val="000000"/>
                <w:sz w:val="32"/>
                <w:szCs w:val="32"/>
              </w:rPr>
            </w:pPr>
          </w:p>
          <w:p>
            <w:pPr>
              <w:keepNext w:val="0"/>
              <w:keepLines w:val="0"/>
              <w:pageBreakBefore w:val="0"/>
              <w:kinsoku/>
              <w:wordWrap/>
              <w:overflowPunct/>
              <w:topLinePunct w:val="0"/>
              <w:autoSpaceDN/>
              <w:bidi w:val="0"/>
              <w:adjustRightInd w:val="0"/>
              <w:snapToGrid w:val="0"/>
              <w:spacing w:line="576" w:lineRule="exact"/>
              <w:ind w:firstLine="320" w:firstLineChars="100"/>
              <w:jc w:val="both"/>
              <w:textAlignment w:val="auto"/>
              <w:rPr>
                <w:rFonts w:hint="default" w:ascii="楷体" w:hAnsi="楷体" w:eastAsia="楷体"/>
                <w:color w:val="000000"/>
                <w:sz w:val="32"/>
                <w:szCs w:val="32"/>
                <w:lang w:val="en-US" w:eastAsia="zh-CN"/>
              </w:rPr>
            </w:pPr>
            <w:r>
              <w:rPr>
                <w:rFonts w:hint="eastAsia" w:ascii="楷体" w:hAnsi="楷体" w:eastAsia="楷体"/>
                <w:color w:val="000000"/>
                <w:sz w:val="32"/>
                <w:szCs w:val="32"/>
                <w:lang w:val="en-US" w:eastAsia="zh-CN"/>
              </w:rPr>
              <w:t>16.8</w:t>
            </w:r>
          </w:p>
        </w:tc>
        <w:tc>
          <w:tcPr>
            <w:tcW w:w="1701" w:type="dxa"/>
            <w:vMerge w:val="restart"/>
            <w:noWrap w:val="0"/>
            <w:vAlign w:val="center"/>
          </w:tcPr>
          <w:p>
            <w:pPr>
              <w:keepNext w:val="0"/>
              <w:keepLines w:val="0"/>
              <w:pageBreakBefore w:val="0"/>
              <w:kinsoku/>
              <w:wordWrap/>
              <w:overflowPunct/>
              <w:topLinePunct w:val="0"/>
              <w:autoSpaceDN/>
              <w:bidi w:val="0"/>
              <w:adjustRightInd w:val="0"/>
              <w:snapToGrid w:val="0"/>
              <w:spacing w:line="576" w:lineRule="exact"/>
              <w:ind w:left="0" w:leftChars="0" w:firstLine="640" w:firstLineChars="200"/>
              <w:jc w:val="center"/>
              <w:textAlignment w:val="auto"/>
              <w:rPr>
                <w:rFonts w:hint="eastAsia" w:ascii="楷体" w:hAnsi="楷体" w:eastAsia="楷体"/>
                <w:color w:val="000000"/>
                <w:sz w:val="32"/>
                <w:szCs w:val="32"/>
              </w:rPr>
            </w:pPr>
          </w:p>
          <w:p>
            <w:pPr>
              <w:keepNext w:val="0"/>
              <w:keepLines w:val="0"/>
              <w:pageBreakBefore w:val="0"/>
              <w:kinsoku/>
              <w:wordWrap/>
              <w:overflowPunct/>
              <w:topLinePunct w:val="0"/>
              <w:autoSpaceDN/>
              <w:bidi w:val="0"/>
              <w:adjustRightInd w:val="0"/>
              <w:snapToGrid w:val="0"/>
              <w:spacing w:line="576" w:lineRule="exact"/>
              <w:ind w:firstLine="320" w:firstLineChars="100"/>
              <w:jc w:val="both"/>
              <w:textAlignment w:val="auto"/>
              <w:rPr>
                <w:rFonts w:hint="default" w:ascii="楷体" w:hAnsi="楷体" w:eastAsia="楷体"/>
                <w:color w:val="000000"/>
                <w:sz w:val="32"/>
                <w:szCs w:val="32"/>
                <w:lang w:val="en-US" w:eastAsia="zh-CN"/>
              </w:rPr>
            </w:pPr>
            <w:r>
              <w:rPr>
                <w:rFonts w:hint="eastAsia" w:ascii="楷体" w:hAnsi="楷体" w:eastAsia="楷体"/>
                <w:color w:val="000000"/>
                <w:sz w:val="32"/>
                <w:szCs w:val="32"/>
                <w:lang w:val="en-US" w:eastAsia="zh-CN"/>
              </w:rPr>
              <w:t>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26" w:type="dxa"/>
            <w:vMerge w:val="continue"/>
            <w:noWrap w:val="0"/>
            <w:vAlign w:val="top"/>
          </w:tcPr>
          <w:p>
            <w:pPr>
              <w:keepNext w:val="0"/>
              <w:keepLines w:val="0"/>
              <w:pageBreakBefore w:val="0"/>
              <w:kinsoku/>
              <w:wordWrap/>
              <w:overflowPunct/>
              <w:topLinePunct w:val="0"/>
              <w:autoSpaceDN/>
              <w:bidi w:val="0"/>
              <w:adjustRightInd w:val="0"/>
              <w:snapToGrid w:val="0"/>
              <w:spacing w:line="576" w:lineRule="exact"/>
              <w:ind w:left="0" w:leftChars="0" w:firstLine="640" w:firstLineChars="200"/>
              <w:jc w:val="center"/>
              <w:textAlignment w:val="auto"/>
              <w:rPr>
                <w:rFonts w:hint="eastAsia" w:ascii="楷体" w:hAnsi="楷体" w:eastAsia="楷体"/>
                <w:color w:val="000000"/>
                <w:sz w:val="32"/>
                <w:szCs w:val="32"/>
              </w:rPr>
            </w:pPr>
          </w:p>
        </w:tc>
        <w:tc>
          <w:tcPr>
            <w:tcW w:w="1882" w:type="dxa"/>
            <w:noWrap w:val="0"/>
            <w:vAlign w:val="top"/>
          </w:tcPr>
          <w:p>
            <w:pPr>
              <w:keepNext w:val="0"/>
              <w:keepLines w:val="0"/>
              <w:pageBreakBefore w:val="0"/>
              <w:kinsoku/>
              <w:wordWrap/>
              <w:overflowPunct/>
              <w:topLinePunct w:val="0"/>
              <w:autoSpaceDN/>
              <w:bidi w:val="0"/>
              <w:adjustRightInd w:val="0"/>
              <w:snapToGrid w:val="0"/>
              <w:spacing w:line="576" w:lineRule="exact"/>
              <w:ind w:left="0" w:leftChars="0" w:firstLine="640" w:firstLineChars="200"/>
              <w:jc w:val="center"/>
              <w:textAlignment w:val="auto"/>
              <w:rPr>
                <w:rFonts w:hint="default" w:ascii="楷体" w:hAnsi="楷体" w:eastAsia="楷体"/>
                <w:color w:val="000000"/>
                <w:sz w:val="32"/>
                <w:szCs w:val="32"/>
                <w:lang w:val="en-US" w:eastAsia="zh-CN"/>
              </w:rPr>
            </w:pPr>
            <w:r>
              <w:rPr>
                <w:rFonts w:hint="eastAsia" w:ascii="楷体" w:hAnsi="楷体" w:eastAsia="楷体"/>
                <w:color w:val="000000"/>
                <w:sz w:val="32"/>
                <w:szCs w:val="32"/>
                <w:lang w:val="en-US" w:eastAsia="zh-CN"/>
              </w:rPr>
              <w:t>16.8</w:t>
            </w:r>
          </w:p>
        </w:tc>
        <w:tc>
          <w:tcPr>
            <w:tcW w:w="1945" w:type="dxa"/>
            <w:noWrap w:val="0"/>
            <w:vAlign w:val="top"/>
          </w:tcPr>
          <w:p>
            <w:pPr>
              <w:keepNext w:val="0"/>
              <w:keepLines w:val="0"/>
              <w:pageBreakBefore w:val="0"/>
              <w:kinsoku/>
              <w:wordWrap/>
              <w:overflowPunct/>
              <w:topLinePunct w:val="0"/>
              <w:autoSpaceDN/>
              <w:bidi w:val="0"/>
              <w:adjustRightInd w:val="0"/>
              <w:snapToGrid w:val="0"/>
              <w:spacing w:line="576" w:lineRule="exact"/>
              <w:ind w:left="0" w:leftChars="0" w:firstLine="640" w:firstLineChars="200"/>
              <w:jc w:val="center"/>
              <w:textAlignment w:val="auto"/>
              <w:rPr>
                <w:rFonts w:hint="eastAsia" w:ascii="楷体" w:hAnsi="楷体" w:eastAsia="楷体"/>
                <w:color w:val="000000"/>
                <w:sz w:val="32"/>
                <w:szCs w:val="32"/>
              </w:rPr>
            </w:pPr>
          </w:p>
        </w:tc>
        <w:tc>
          <w:tcPr>
            <w:tcW w:w="1701" w:type="dxa"/>
            <w:vMerge w:val="continue"/>
            <w:noWrap w:val="0"/>
            <w:vAlign w:val="top"/>
          </w:tcPr>
          <w:p>
            <w:pPr>
              <w:keepNext w:val="0"/>
              <w:keepLines w:val="0"/>
              <w:pageBreakBefore w:val="0"/>
              <w:kinsoku/>
              <w:wordWrap/>
              <w:overflowPunct/>
              <w:topLinePunct w:val="0"/>
              <w:autoSpaceDN/>
              <w:bidi w:val="0"/>
              <w:adjustRightInd w:val="0"/>
              <w:snapToGrid w:val="0"/>
              <w:spacing w:line="576" w:lineRule="exact"/>
              <w:ind w:left="0" w:leftChars="0" w:firstLine="640" w:firstLineChars="200"/>
              <w:jc w:val="center"/>
              <w:textAlignment w:val="auto"/>
              <w:rPr>
                <w:rFonts w:hint="eastAsia" w:ascii="楷体" w:hAnsi="楷体" w:eastAsia="楷体"/>
                <w:color w:val="000000"/>
                <w:sz w:val="32"/>
                <w:szCs w:val="32"/>
              </w:rPr>
            </w:pPr>
          </w:p>
        </w:tc>
        <w:tc>
          <w:tcPr>
            <w:tcW w:w="1701" w:type="dxa"/>
            <w:vMerge w:val="continue"/>
            <w:noWrap w:val="0"/>
            <w:vAlign w:val="top"/>
          </w:tcPr>
          <w:p>
            <w:pPr>
              <w:keepNext w:val="0"/>
              <w:keepLines w:val="0"/>
              <w:pageBreakBefore w:val="0"/>
              <w:kinsoku/>
              <w:wordWrap/>
              <w:overflowPunct/>
              <w:topLinePunct w:val="0"/>
              <w:autoSpaceDN/>
              <w:bidi w:val="0"/>
              <w:adjustRightInd w:val="0"/>
              <w:snapToGrid w:val="0"/>
              <w:spacing w:line="576" w:lineRule="exact"/>
              <w:ind w:left="0" w:leftChars="0" w:firstLine="640" w:firstLineChars="200"/>
              <w:jc w:val="center"/>
              <w:textAlignment w:val="auto"/>
              <w:rPr>
                <w:rFonts w:hint="eastAsia" w:ascii="楷体" w:hAnsi="楷体" w:eastAsia="楷体"/>
                <w:color w:val="000000"/>
                <w:sz w:val="32"/>
                <w:szCs w:val="32"/>
              </w:rPr>
            </w:pPr>
          </w:p>
        </w:tc>
      </w:tr>
    </w:tbl>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我局使用管理</w:t>
      </w:r>
      <w:r>
        <w:rPr>
          <w:rFonts w:hint="eastAsia" w:ascii="仿宋_GB2312" w:hAnsi="宋体" w:eastAsia="仿宋_GB2312"/>
          <w:color w:val="000000"/>
          <w:sz w:val="32"/>
          <w:szCs w:val="32"/>
          <w:lang w:eastAsia="zh-CN"/>
        </w:rPr>
        <w:t>普法宣传</w:t>
      </w:r>
      <w:r>
        <w:rPr>
          <w:rFonts w:hint="eastAsia" w:ascii="仿宋_GB2312" w:hAnsi="仿宋_GB2312" w:eastAsia="仿宋_GB2312"/>
          <w:color w:val="000000"/>
          <w:sz w:val="32"/>
          <w:szCs w:val="32"/>
        </w:rPr>
        <w:t>项目经费始终坚持安全规范的原则，有效提升资金的使用效益，确保专款专用。截止评价时点该项目资金支出</w:t>
      </w:r>
      <w:r>
        <w:rPr>
          <w:rFonts w:hint="eastAsia" w:ascii="仿宋_GB2312" w:hAnsi="仿宋_GB2312" w:eastAsia="仿宋_GB2312" w:cs="仿宋_GB2312"/>
          <w:color w:val="000000"/>
          <w:sz w:val="32"/>
          <w:szCs w:val="32"/>
          <w:lang w:val="en-US" w:eastAsia="zh-CN"/>
        </w:rPr>
        <w:t>16.8</w:t>
      </w:r>
      <w:r>
        <w:rPr>
          <w:rFonts w:hint="eastAsia" w:ascii="仿宋_GB2312" w:hAnsi="仿宋_GB2312" w:eastAsia="仿宋_GB2312"/>
          <w:color w:val="000000"/>
          <w:sz w:val="32"/>
          <w:szCs w:val="32"/>
        </w:rPr>
        <w:t>万元。</w:t>
      </w:r>
      <w:r>
        <w:rPr>
          <w:rFonts w:hint="eastAsia" w:ascii="仿宋_GB2312" w:hAnsi="宋体" w:eastAsia="仿宋_GB2312"/>
          <w:color w:val="000000"/>
          <w:sz w:val="32"/>
          <w:szCs w:val="32"/>
        </w:rPr>
        <w:t>资金支付严格按照法律法规和政策文件的要求执行，无超标准、超进度的情况发生，与年初财政预算相符。</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楷体_GB2312" w:hAnsi="楷体_GB2312" w:eastAsia="楷体_GB2312" w:cs="楷体_GB2312"/>
          <w:b w:val="0"/>
          <w:bCs/>
          <w:color w:val="000000"/>
          <w:sz w:val="32"/>
          <w:szCs w:val="32"/>
        </w:rPr>
      </w:pPr>
      <w:r>
        <w:rPr>
          <w:rFonts w:hint="eastAsia" w:ascii="仿宋_GB2312" w:hAnsi="楷体_GB2312" w:eastAsia="仿宋_GB2312"/>
          <w:b w:val="0"/>
          <w:bCs/>
          <w:color w:val="000000"/>
          <w:sz w:val="32"/>
          <w:szCs w:val="32"/>
        </w:rPr>
        <w:t>（</w:t>
      </w:r>
      <w:r>
        <w:rPr>
          <w:rFonts w:hint="eastAsia" w:ascii="楷体_GB2312" w:hAnsi="楷体_GB2312" w:eastAsia="楷体_GB2312" w:cs="楷体_GB2312"/>
          <w:b w:val="0"/>
          <w:bCs/>
          <w:color w:val="000000"/>
          <w:sz w:val="32"/>
          <w:szCs w:val="32"/>
        </w:rPr>
        <w:t>三）项目财务管理情况</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仿宋_GB2312" w:hAnsi="宋体" w:eastAsia="仿宋_GB2312"/>
          <w:color w:val="000000"/>
          <w:sz w:val="32"/>
          <w:szCs w:val="32"/>
        </w:rPr>
      </w:pPr>
      <w:r>
        <w:rPr>
          <w:rFonts w:hint="eastAsia" w:ascii="仿宋_GB2312" w:hAnsi="仿宋_GB2312" w:eastAsia="仿宋_GB2312"/>
          <w:color w:val="000000"/>
          <w:sz w:val="32"/>
          <w:szCs w:val="32"/>
        </w:rPr>
        <w:t>我局财务管理制度健全，出台了《广元市司法局机关财务管理办法》（</w:t>
      </w:r>
      <w:r>
        <w:rPr>
          <w:rFonts w:hint="eastAsia" w:ascii="仿宋_GB2312" w:hAnsi="仿宋" w:eastAsia="仿宋_GB2312"/>
          <w:color w:val="000000"/>
          <w:sz w:val="32"/>
          <w:szCs w:val="32"/>
        </w:rPr>
        <w:t>广司发〔</w:t>
      </w:r>
      <w:r>
        <w:rPr>
          <w:rFonts w:hint="eastAsia" w:ascii="仿宋_GB2312" w:hAnsi="仿宋" w:eastAsia="仿宋_GB2312"/>
          <w:color w:val="000000"/>
          <w:sz w:val="32"/>
          <w:szCs w:val="32"/>
          <w:lang w:eastAsia="zh-CN"/>
        </w:rPr>
        <w:t>202</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〕12号</w:t>
      </w:r>
      <w:r>
        <w:rPr>
          <w:rFonts w:hint="eastAsia" w:ascii="仿宋_GB2312" w:hAnsi="仿宋_GB2312" w:eastAsia="仿宋_GB2312"/>
          <w:color w:val="000000"/>
          <w:sz w:val="32"/>
          <w:szCs w:val="32"/>
        </w:rPr>
        <w:t>），严格执行财务管理制度，账务处理及时，会计核算规范。</w:t>
      </w:r>
    </w:p>
    <w:p>
      <w:pPr>
        <w:keepNext w:val="0"/>
        <w:keepLines w:val="0"/>
        <w:pageBreakBefore w:val="0"/>
        <w:numPr>
          <w:ilvl w:val="0"/>
          <w:numId w:val="0"/>
        </w:numPr>
        <w:kinsoku/>
        <w:wordWrap/>
        <w:overflowPunct/>
        <w:topLinePunct w:val="0"/>
        <w:autoSpaceDN/>
        <w:bidi w:val="0"/>
        <w:adjustRightInd w:val="0"/>
        <w:snapToGrid w:val="0"/>
        <w:spacing w:line="576" w:lineRule="exact"/>
        <w:ind w:left="0" w:leftChars="0" w:firstLine="640" w:firstLineChars="200"/>
        <w:textAlignment w:val="auto"/>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三、项目实施及管理情况</w:t>
      </w:r>
    </w:p>
    <w:p>
      <w:pPr>
        <w:keepNext w:val="0"/>
        <w:keepLines w:val="0"/>
        <w:pageBreakBefore w:val="0"/>
        <w:numPr>
          <w:ilvl w:val="0"/>
          <w:numId w:val="0"/>
        </w:numPr>
        <w:kinsoku/>
        <w:wordWrap/>
        <w:overflowPunct/>
        <w:topLinePunct w:val="0"/>
        <w:autoSpaceDN/>
        <w:bidi w:val="0"/>
        <w:adjustRightInd w:val="0"/>
        <w:snapToGrid w:val="0"/>
        <w:spacing w:line="576" w:lineRule="exact"/>
        <w:ind w:left="0" w:leftChars="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w:t>
      </w:r>
      <w:r>
        <w:rPr>
          <w:rFonts w:hint="eastAsia" w:ascii="楷体_GB2312" w:hAnsi="楷体_GB2312" w:eastAsia="楷体_GB2312" w:cs="楷体_GB2312"/>
          <w:b w:val="0"/>
          <w:bCs/>
          <w:color w:val="000000"/>
          <w:sz w:val="32"/>
          <w:szCs w:val="32"/>
          <w:lang w:val="en-US" w:eastAsia="zh-CN"/>
        </w:rPr>
        <w:t>一</w:t>
      </w:r>
      <w:r>
        <w:rPr>
          <w:rFonts w:hint="eastAsia" w:ascii="楷体_GB2312" w:hAnsi="楷体_GB2312" w:eastAsia="楷体_GB2312" w:cs="楷体_GB2312"/>
          <w:b w:val="0"/>
          <w:bCs/>
          <w:color w:val="000000"/>
          <w:sz w:val="32"/>
          <w:szCs w:val="32"/>
          <w:lang w:eastAsia="zh-CN"/>
        </w:rPr>
        <w:t>）</w:t>
      </w:r>
      <w:r>
        <w:rPr>
          <w:rFonts w:hint="eastAsia" w:ascii="楷体_GB2312" w:hAnsi="楷体_GB2312" w:eastAsia="楷体_GB2312" w:cs="楷体_GB2312"/>
          <w:b w:val="0"/>
          <w:bCs/>
          <w:color w:val="000000"/>
          <w:sz w:val="32"/>
          <w:szCs w:val="32"/>
        </w:rPr>
        <w:t>项目组织架构及实施流程</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仿宋_GB2312" w:hAnsi="宋体" w:eastAsia="仿宋_GB2312"/>
          <w:b/>
          <w:color w:val="000000"/>
          <w:sz w:val="32"/>
          <w:szCs w:val="32"/>
        </w:rPr>
      </w:pPr>
      <w:r>
        <w:rPr>
          <w:rFonts w:hint="eastAsia" w:ascii="仿宋_GB2312" w:hAnsi="宋体" w:eastAsia="仿宋_GB2312"/>
          <w:b w:val="0"/>
          <w:bCs/>
          <w:color w:val="000000"/>
          <w:sz w:val="32"/>
          <w:szCs w:val="32"/>
          <w:lang w:eastAsia="zh-CN"/>
        </w:rPr>
        <w:t>制定方案及预算经费</w:t>
      </w:r>
      <w:r>
        <w:rPr>
          <w:rFonts w:hint="eastAsia" w:ascii="仿宋_GB2312" w:hAnsi="宋体" w:eastAsia="仿宋_GB2312"/>
          <w:b w:val="0"/>
          <w:bCs/>
          <w:color w:val="000000"/>
          <w:sz w:val="32"/>
          <w:szCs w:val="32"/>
          <w:lang w:val="en-US" w:eastAsia="zh-CN"/>
        </w:rPr>
        <w:t>--组织实施--结算项目经费。</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（二）项目管理情况</w:t>
      </w:r>
    </w:p>
    <w:p>
      <w:pPr>
        <w:keepNext w:val="0"/>
        <w:keepLines w:val="0"/>
        <w:pageBreakBefore w:val="0"/>
        <w:kinsoku/>
        <w:wordWrap/>
        <w:overflowPunct/>
        <w:topLinePunct w:val="0"/>
        <w:autoSpaceDN/>
        <w:bidi w:val="0"/>
        <w:spacing w:line="576" w:lineRule="exact"/>
        <w:ind w:left="0" w:leftChars="0" w:firstLine="640" w:firstLineChars="200"/>
        <w:textAlignment w:val="auto"/>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lang w:eastAsia="zh-CN"/>
        </w:rPr>
        <w:t>202</w:t>
      </w:r>
      <w:r>
        <w:rPr>
          <w:rFonts w:hint="eastAsia" w:ascii="仿宋_GB2312" w:hAnsi="仿宋" w:eastAsia="仿宋_GB2312" w:cs="仿宋_GB2312"/>
          <w:color w:val="000000"/>
          <w:sz w:val="32"/>
          <w:szCs w:val="32"/>
          <w:lang w:val="en-US" w:eastAsia="zh-CN"/>
        </w:rPr>
        <w:t>2</w:t>
      </w:r>
      <w:r>
        <w:rPr>
          <w:rFonts w:hint="eastAsia" w:ascii="仿宋_GB2312" w:hAnsi="仿宋" w:eastAsia="仿宋_GB2312" w:cs="仿宋_GB2312"/>
          <w:color w:val="000000"/>
          <w:sz w:val="32"/>
          <w:szCs w:val="32"/>
        </w:rPr>
        <w:t>年市财政共拨付我局</w:t>
      </w:r>
      <w:r>
        <w:rPr>
          <w:rFonts w:hint="eastAsia" w:ascii="仿宋_GB2312" w:hAnsi="仿宋" w:eastAsia="仿宋_GB2312" w:cs="仿宋_GB2312"/>
          <w:color w:val="000000"/>
          <w:sz w:val="32"/>
          <w:szCs w:val="32"/>
          <w:lang w:eastAsia="zh-CN"/>
        </w:rPr>
        <w:t>普法宣传</w:t>
      </w:r>
      <w:r>
        <w:rPr>
          <w:rFonts w:hint="eastAsia" w:ascii="仿宋_GB2312" w:hAnsi="仿宋" w:eastAsia="仿宋_GB2312" w:cs="仿宋_GB2312"/>
          <w:color w:val="000000"/>
          <w:sz w:val="32"/>
          <w:szCs w:val="32"/>
        </w:rPr>
        <w:t>资金</w:t>
      </w:r>
      <w:r>
        <w:rPr>
          <w:rFonts w:hint="eastAsia" w:ascii="仿宋_GB2312" w:hAnsi="仿宋" w:eastAsia="仿宋_GB2312" w:cs="仿宋_GB2312"/>
          <w:color w:val="000000"/>
          <w:sz w:val="32"/>
          <w:szCs w:val="32"/>
          <w:lang w:val="en-US" w:eastAsia="zh-CN"/>
        </w:rPr>
        <w:t>16.8</w:t>
      </w:r>
      <w:r>
        <w:rPr>
          <w:rFonts w:hint="eastAsia" w:ascii="仿宋_GB2312" w:hAnsi="仿宋" w:eastAsia="仿宋_GB2312" w:cs="仿宋_GB2312"/>
          <w:color w:val="000000"/>
          <w:sz w:val="32"/>
          <w:szCs w:val="32"/>
        </w:rPr>
        <w:t>万元。</w:t>
      </w:r>
      <w:r>
        <w:rPr>
          <w:rFonts w:hint="eastAsia" w:ascii="仿宋_GB2312" w:hAnsi="仿宋" w:eastAsia="仿宋_GB2312"/>
          <w:color w:val="000000"/>
          <w:sz w:val="32"/>
          <w:szCs w:val="32"/>
        </w:rPr>
        <w:t>资金使用严格按照《司法行政系统财务管理规定》</w:t>
      </w:r>
      <w:r>
        <w:rPr>
          <w:rFonts w:hint="eastAsia" w:ascii="仿宋_GB2312" w:hAnsi="仿宋_GB2312" w:eastAsia="仿宋_GB2312"/>
          <w:color w:val="000000"/>
          <w:sz w:val="32"/>
          <w:szCs w:val="32"/>
        </w:rPr>
        <w:t>《广元市司法局机关财务管理办法》</w:t>
      </w:r>
      <w:r>
        <w:rPr>
          <w:rFonts w:hint="eastAsia" w:ascii="仿宋_GB2312" w:hAnsi="仿宋" w:eastAsia="仿宋_GB2312"/>
          <w:color w:val="000000"/>
          <w:sz w:val="32"/>
          <w:szCs w:val="32"/>
        </w:rPr>
        <w:t>执行，专项资金得到合理合规的分配和利用，主要用于</w:t>
      </w:r>
      <w:r>
        <w:rPr>
          <w:rFonts w:hint="eastAsia" w:ascii="仿宋_GB2312" w:hAnsi="仿宋" w:eastAsia="仿宋_GB2312"/>
          <w:color w:val="000000"/>
          <w:sz w:val="32"/>
          <w:szCs w:val="32"/>
          <w:lang w:eastAsia="zh-CN"/>
        </w:rPr>
        <w:t>202</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年</w:t>
      </w:r>
      <w:r>
        <w:rPr>
          <w:rFonts w:hint="eastAsia" w:ascii="仿宋_GB2312" w:eastAsia="仿宋_GB2312"/>
          <w:color w:val="000000"/>
          <w:sz w:val="32"/>
          <w:szCs w:val="32"/>
          <w:lang w:eastAsia="zh-CN"/>
        </w:rPr>
        <w:t>普法宣传活动开展</w:t>
      </w:r>
      <w:r>
        <w:rPr>
          <w:rFonts w:hint="eastAsia" w:ascii="仿宋_GB2312" w:eastAsia="仿宋_GB2312"/>
          <w:color w:val="000000"/>
          <w:sz w:val="32"/>
          <w:szCs w:val="32"/>
        </w:rPr>
        <w:t>，</w:t>
      </w:r>
      <w:r>
        <w:rPr>
          <w:rFonts w:hint="eastAsia" w:ascii="仿宋_GB2312" w:eastAsia="仿宋_GB2312"/>
          <w:color w:val="000000"/>
          <w:sz w:val="32"/>
          <w:szCs w:val="32"/>
          <w:lang w:eastAsia="zh-CN"/>
        </w:rPr>
        <w:t>法治文艺节目创作及演出，法治文化阵地建设，普法宣传产品的开发与制作，普法依法治理工作的督促指导等</w:t>
      </w:r>
      <w:r>
        <w:rPr>
          <w:rFonts w:hint="eastAsia" w:ascii="仿宋_GB2312" w:hAnsi="仿宋" w:eastAsia="仿宋_GB2312"/>
          <w:color w:val="000000"/>
          <w:sz w:val="32"/>
          <w:szCs w:val="32"/>
        </w:rPr>
        <w:t>方面。</w:t>
      </w:r>
    </w:p>
    <w:p>
      <w:pPr>
        <w:keepNext w:val="0"/>
        <w:keepLines w:val="0"/>
        <w:pageBreakBefore w:val="0"/>
        <w:numPr>
          <w:ilvl w:val="0"/>
          <w:numId w:val="0"/>
        </w:numPr>
        <w:kinsoku/>
        <w:wordWrap/>
        <w:overflowPunct/>
        <w:topLinePunct w:val="0"/>
        <w:autoSpaceDN/>
        <w:bidi w:val="0"/>
        <w:adjustRightInd w:val="0"/>
        <w:snapToGrid w:val="0"/>
        <w:spacing w:line="576" w:lineRule="exact"/>
        <w:ind w:left="0" w:leftChars="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lang w:eastAsia="zh-CN"/>
        </w:rPr>
        <w:t>（三）</w:t>
      </w:r>
      <w:r>
        <w:rPr>
          <w:rFonts w:hint="eastAsia" w:ascii="楷体_GB2312" w:hAnsi="楷体_GB2312" w:eastAsia="楷体_GB2312" w:cs="楷体_GB2312"/>
          <w:b w:val="0"/>
          <w:bCs/>
          <w:color w:val="000000"/>
          <w:sz w:val="32"/>
          <w:szCs w:val="32"/>
        </w:rPr>
        <w:t>项目监管情况</w:t>
      </w:r>
    </w:p>
    <w:p>
      <w:pPr>
        <w:keepNext w:val="0"/>
        <w:keepLines w:val="0"/>
        <w:pageBreakBefore w:val="0"/>
        <w:kinsoku/>
        <w:wordWrap/>
        <w:overflowPunct/>
        <w:topLinePunct w:val="0"/>
        <w:autoSpaceDN/>
        <w:bidi w:val="0"/>
        <w:spacing w:line="576" w:lineRule="exact"/>
        <w:ind w:left="0" w:leftChars="0" w:firstLine="640" w:firstLineChars="200"/>
        <w:textAlignment w:val="auto"/>
        <w:rPr>
          <w:rFonts w:hint="eastAsia" w:ascii="仿宋_GB2312" w:hAnsi="华文仿宋" w:eastAsia="仿宋_GB2312"/>
          <w:b/>
          <w:bCs/>
          <w:color w:val="000000"/>
          <w:sz w:val="32"/>
          <w:szCs w:val="32"/>
        </w:rPr>
      </w:pPr>
      <w:r>
        <w:rPr>
          <w:rFonts w:hint="eastAsia" w:ascii="仿宋_GB2312" w:hAnsi="华文仿宋" w:eastAsia="仿宋_GB2312" w:cs="华文仿宋"/>
          <w:color w:val="000000"/>
          <w:sz w:val="32"/>
          <w:szCs w:val="32"/>
        </w:rPr>
        <w:t>市司法局统一对</w:t>
      </w:r>
      <w:r>
        <w:rPr>
          <w:rFonts w:hint="eastAsia" w:ascii="仿宋_GB2312" w:eastAsia="仿宋_GB2312"/>
          <w:color w:val="000000"/>
          <w:sz w:val="32"/>
          <w:szCs w:val="32"/>
          <w:lang w:eastAsia="zh-CN"/>
        </w:rPr>
        <w:t>普法宣传</w:t>
      </w:r>
      <w:r>
        <w:rPr>
          <w:rFonts w:hint="eastAsia" w:ascii="仿宋_GB2312" w:hAnsi="华文仿宋" w:eastAsia="仿宋_GB2312" w:cs="华文仿宋"/>
          <w:color w:val="000000"/>
          <w:sz w:val="32"/>
          <w:szCs w:val="32"/>
        </w:rPr>
        <w:t>经费收支设立专门账户，单列科目，实行单独核算</w:t>
      </w:r>
      <w:r>
        <w:rPr>
          <w:rFonts w:hint="eastAsia" w:ascii="仿宋_GB2312" w:hAnsi="华文仿宋" w:eastAsia="仿宋_GB2312" w:cs="华文仿宋"/>
          <w:b/>
          <w:bCs/>
          <w:color w:val="000000"/>
          <w:sz w:val="32"/>
          <w:szCs w:val="32"/>
        </w:rPr>
        <w:t>。</w:t>
      </w:r>
      <w:r>
        <w:rPr>
          <w:rFonts w:hint="eastAsia" w:ascii="仿宋_GB2312" w:hAnsi="华文仿宋" w:eastAsia="仿宋_GB2312" w:cs="华文仿宋"/>
          <w:color w:val="000000"/>
          <w:sz w:val="32"/>
          <w:szCs w:val="32"/>
        </w:rPr>
        <w:t>对已</w:t>
      </w:r>
      <w:r>
        <w:rPr>
          <w:rFonts w:hint="eastAsia" w:ascii="仿宋_GB2312" w:hAnsi="华文仿宋" w:eastAsia="仿宋_GB2312" w:cs="华文仿宋"/>
          <w:color w:val="000000"/>
          <w:sz w:val="32"/>
          <w:szCs w:val="32"/>
          <w:lang w:eastAsia="zh-CN"/>
        </w:rPr>
        <w:t>开展的</w:t>
      </w:r>
      <w:r>
        <w:rPr>
          <w:rFonts w:hint="eastAsia" w:ascii="仿宋_GB2312" w:eastAsia="仿宋_GB2312"/>
          <w:color w:val="000000"/>
          <w:sz w:val="32"/>
          <w:szCs w:val="32"/>
          <w:lang w:eastAsia="zh-CN"/>
        </w:rPr>
        <w:t>普法宣传</w:t>
      </w:r>
      <w:r>
        <w:rPr>
          <w:rFonts w:hint="eastAsia" w:ascii="仿宋_GB2312" w:hAnsi="华文仿宋" w:eastAsia="仿宋_GB2312" w:cs="华文仿宋"/>
          <w:color w:val="000000"/>
          <w:sz w:val="32"/>
          <w:szCs w:val="32"/>
          <w:lang w:eastAsia="zh-CN"/>
        </w:rPr>
        <w:t>工作经费支出</w:t>
      </w:r>
      <w:r>
        <w:rPr>
          <w:rFonts w:hint="eastAsia" w:ascii="仿宋_GB2312" w:hAnsi="华文仿宋" w:eastAsia="仿宋_GB2312" w:cs="华文仿宋"/>
          <w:color w:val="000000"/>
          <w:sz w:val="32"/>
          <w:szCs w:val="32"/>
        </w:rPr>
        <w:t>，由</w:t>
      </w:r>
      <w:r>
        <w:rPr>
          <w:rFonts w:hint="eastAsia" w:ascii="仿宋_GB2312" w:hAnsi="华文仿宋" w:eastAsia="仿宋_GB2312" w:cs="华文仿宋"/>
          <w:color w:val="000000"/>
          <w:sz w:val="32"/>
          <w:szCs w:val="32"/>
          <w:lang w:eastAsia="zh-CN"/>
        </w:rPr>
        <w:t>局普法与依法治理科</w:t>
      </w:r>
      <w:r>
        <w:rPr>
          <w:rFonts w:hint="eastAsia" w:ascii="仿宋_GB2312" w:hAnsi="华文仿宋" w:eastAsia="仿宋_GB2312" w:cs="华文仿宋"/>
          <w:color w:val="000000"/>
          <w:sz w:val="32"/>
          <w:szCs w:val="32"/>
        </w:rPr>
        <w:t>提交分管副局长审核签字，</w:t>
      </w:r>
      <w:r>
        <w:rPr>
          <w:rFonts w:hint="eastAsia" w:ascii="仿宋_GB2312" w:hAnsi="Times New Roman" w:eastAsia="仿宋_GB2312" w:cs="Times New Roman"/>
          <w:color w:val="000000"/>
          <w:sz w:val="32"/>
          <w:szCs w:val="32"/>
          <w:lang w:eastAsia="zh-CN"/>
        </w:rPr>
        <w:t>普法与依法治理科将已签字的相关报销手续交由市局财务保障科统一</w:t>
      </w:r>
      <w:r>
        <w:rPr>
          <w:rFonts w:hint="eastAsia" w:ascii="仿宋_GB2312" w:hAnsi="华文仿宋" w:eastAsia="仿宋_GB2312" w:cs="华文仿宋"/>
          <w:color w:val="000000"/>
          <w:sz w:val="32"/>
          <w:szCs w:val="32"/>
        </w:rPr>
        <w:t>复核，复核无误后，按</w:t>
      </w:r>
      <w:r>
        <w:rPr>
          <w:rFonts w:hint="eastAsia" w:ascii="仿宋_GB2312" w:hAnsi="华文仿宋" w:eastAsia="仿宋_GB2312" w:cs="华文仿宋"/>
          <w:color w:val="000000"/>
          <w:sz w:val="32"/>
          <w:szCs w:val="32"/>
          <w:lang w:eastAsia="zh-CN"/>
        </w:rPr>
        <w:t>普法与依法治理科</w:t>
      </w:r>
      <w:r>
        <w:rPr>
          <w:rFonts w:hint="eastAsia" w:ascii="仿宋_GB2312" w:hAnsi="华文仿宋" w:eastAsia="仿宋_GB2312" w:cs="华文仿宋"/>
          <w:color w:val="000000"/>
          <w:sz w:val="32"/>
          <w:szCs w:val="32"/>
        </w:rPr>
        <w:t>提供的单位和个人账户转账报销。局财务统一予以报销。</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四、项目绩效情况</w:t>
      </w:r>
      <w:r>
        <w:rPr>
          <w:rFonts w:hint="eastAsia" w:ascii="黑体" w:hAnsi="黑体" w:eastAsia="黑体" w:cs="黑体"/>
          <w:color w:val="000000"/>
          <w:sz w:val="32"/>
          <w:szCs w:val="32"/>
        </w:rPr>
        <w:tab/>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（一）项目完成情况</w:t>
      </w:r>
    </w:p>
    <w:p>
      <w:pPr>
        <w:keepNext w:val="0"/>
        <w:keepLines w:val="0"/>
        <w:pageBreakBefore w:val="0"/>
        <w:kinsoku/>
        <w:wordWrap/>
        <w:overflowPunct/>
        <w:topLinePunct w:val="0"/>
        <w:autoSpaceDE w:val="0"/>
        <w:autoSpaceDN/>
        <w:bidi w:val="0"/>
        <w:spacing w:line="576" w:lineRule="exact"/>
        <w:ind w:left="0" w:leftChars="0" w:firstLine="640" w:firstLineChars="200"/>
        <w:textAlignment w:val="auto"/>
        <w:rPr>
          <w:rFonts w:hint="eastAsia" w:ascii="仿宋_GB2312" w:hAnsi="仿宋" w:eastAsia="仿宋_GB2312" w:cs="Times New Roman"/>
          <w:color w:val="000000"/>
          <w:sz w:val="32"/>
          <w:szCs w:val="32"/>
        </w:rPr>
      </w:pPr>
      <w:r>
        <w:rPr>
          <w:rFonts w:hint="eastAsia" w:ascii="仿宋_GB2312" w:hAnsi="仿宋" w:eastAsia="仿宋_GB2312"/>
          <w:color w:val="000000"/>
          <w:sz w:val="32"/>
          <w:szCs w:val="32"/>
        </w:rPr>
        <w:t>按照省司法厅下达的</w:t>
      </w:r>
      <w:r>
        <w:rPr>
          <w:rFonts w:hint="eastAsia" w:ascii="仿宋_GB2312" w:hAnsi="仿宋" w:eastAsia="仿宋_GB2312"/>
          <w:color w:val="000000"/>
          <w:sz w:val="32"/>
          <w:szCs w:val="32"/>
          <w:lang w:eastAsia="zh-CN"/>
        </w:rPr>
        <w:t>普法宣传</w:t>
      </w:r>
      <w:r>
        <w:rPr>
          <w:rFonts w:hint="eastAsia" w:ascii="仿宋_GB2312" w:hAnsi="仿宋" w:eastAsia="仿宋_GB2312"/>
          <w:color w:val="000000"/>
          <w:sz w:val="32"/>
          <w:szCs w:val="32"/>
        </w:rPr>
        <w:t>工作目标任务，</w:t>
      </w:r>
      <w:r>
        <w:rPr>
          <w:rFonts w:hint="eastAsia" w:ascii="仿宋_GB2312" w:hAnsi="仿宋" w:eastAsia="仿宋_GB2312" w:cs="Times New Roman"/>
          <w:color w:val="000000"/>
          <w:sz w:val="32"/>
          <w:szCs w:val="32"/>
        </w:rPr>
        <w:t>我局</w:t>
      </w:r>
      <w:r>
        <w:rPr>
          <w:rFonts w:hint="eastAsia" w:ascii="仿宋_GB2312" w:hAnsi="仿宋" w:eastAsia="仿宋_GB2312" w:cs="Times New Roman"/>
          <w:color w:val="000000"/>
          <w:sz w:val="32"/>
          <w:szCs w:val="32"/>
          <w:lang w:eastAsia="zh-CN"/>
        </w:rPr>
        <w:t>普法宣传</w:t>
      </w:r>
      <w:r>
        <w:rPr>
          <w:rFonts w:hint="eastAsia" w:ascii="仿宋_GB2312" w:hAnsi="仿宋" w:eastAsia="仿宋_GB2312" w:cs="Times New Roman"/>
          <w:color w:val="000000"/>
          <w:sz w:val="32"/>
          <w:szCs w:val="32"/>
        </w:rPr>
        <w:t>工作稳步推进，</w:t>
      </w:r>
      <w:r>
        <w:rPr>
          <w:rFonts w:hint="eastAsia" w:ascii="仿宋_GB2312" w:hAnsi="仿宋" w:eastAsia="仿宋_GB2312" w:cs="Times New Roman"/>
          <w:color w:val="000000"/>
          <w:sz w:val="32"/>
          <w:szCs w:val="32"/>
          <w:lang w:eastAsia="zh-CN"/>
        </w:rPr>
        <w:t>202</w:t>
      </w:r>
      <w:r>
        <w:rPr>
          <w:rFonts w:hint="eastAsia" w:ascii="仿宋_GB2312" w:hAnsi="仿宋" w:eastAsia="仿宋_GB2312" w:cs="Times New Roman"/>
          <w:color w:val="000000"/>
          <w:sz w:val="32"/>
          <w:szCs w:val="32"/>
          <w:lang w:val="en-US" w:eastAsia="zh-CN"/>
        </w:rPr>
        <w:t>2</w:t>
      </w:r>
      <w:r>
        <w:rPr>
          <w:rFonts w:hint="eastAsia" w:ascii="仿宋_GB2312" w:hAnsi="仿宋" w:eastAsia="仿宋_GB2312" w:cs="Times New Roman"/>
          <w:color w:val="000000"/>
          <w:sz w:val="32"/>
          <w:szCs w:val="32"/>
        </w:rPr>
        <w:t>年，以《宪法》《民法典》为重点，及时制发《宪法宣传周方案》《&lt;民法典&gt;学习宣传贯彻实施方案》，承办市委理论学习中心组专题组织集中学习《民法典》，开展“百名律师百场《民法典》宣讲”活动，组织参与全国、全省宣传《民法典》微视频、微电影大赛和文化作品征集。组织开展百场法治文艺下乡演出，“与法同行·助力振兴”法治文艺节目在全省司法所服务乡村振兴现场推进会上演出后受到一致好评，其中我市独创的宣传民法典特色节目被全省“宪法宣传周”活动调演，在全省引起良好反响。法治文艺演出进基层工作在全省交流发言。深入开展“法律七进”。扎实开展“一月一主题”法治宣传教育活动，组织“以案释法”宣讲2100场次。创新开展法治宣传“三百”活动，集中培训法律明白人3000余人次，打造基层法治示范点125个，入选全省“法律七进”特色亮点3个。</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（二）项目效益情况</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仿宋_GB2312" w:hAnsi="仿宋_GB2312" w:eastAsia="仿宋_GB2312"/>
          <w:color w:val="000000"/>
          <w:sz w:val="32"/>
          <w:szCs w:val="32"/>
        </w:rPr>
      </w:pP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w:t>
      </w:r>
      <w:r>
        <w:rPr>
          <w:rFonts w:hint="eastAsia" w:ascii="仿宋_GB2312" w:hAnsi="仿宋_GB2312" w:eastAsia="仿宋_GB2312"/>
          <w:color w:val="000000"/>
          <w:sz w:val="32"/>
          <w:szCs w:val="32"/>
        </w:rPr>
        <w:t>我局</w:t>
      </w:r>
      <w:r>
        <w:rPr>
          <w:rFonts w:hint="eastAsia" w:ascii="仿宋_GB2312" w:hAnsi="仿宋_GB2312" w:eastAsia="仿宋_GB2312"/>
          <w:color w:val="000000"/>
          <w:sz w:val="32"/>
          <w:szCs w:val="32"/>
          <w:lang w:eastAsia="zh-CN"/>
        </w:rPr>
        <w:t>推动在全市开展普法宣传教育活动</w:t>
      </w:r>
      <w:r>
        <w:rPr>
          <w:rFonts w:hint="eastAsia" w:ascii="仿宋_GB2312" w:hAnsi="仿宋_GB2312" w:eastAsia="仿宋_GB2312"/>
          <w:color w:val="000000"/>
          <w:sz w:val="32"/>
          <w:szCs w:val="32"/>
          <w:lang w:val="en-US" w:eastAsia="zh-CN"/>
        </w:rPr>
        <w:t>2100场次</w:t>
      </w:r>
      <w:r>
        <w:rPr>
          <w:rFonts w:hint="eastAsia" w:ascii="仿宋_GB2312" w:hAnsi="仿宋_GB2312" w:eastAsia="仿宋_GB2312"/>
          <w:color w:val="000000"/>
          <w:sz w:val="32"/>
          <w:szCs w:val="32"/>
        </w:rPr>
        <w:t>人，</w:t>
      </w:r>
      <w:r>
        <w:rPr>
          <w:rFonts w:hint="eastAsia" w:ascii="仿宋_GB2312" w:hAnsi="仿宋" w:eastAsia="仿宋_GB2312" w:cs="Times New Roman"/>
          <w:color w:val="000000"/>
          <w:sz w:val="32"/>
          <w:szCs w:val="32"/>
        </w:rPr>
        <w:t>集中培训法律明白人3000余人次，打造基层法治示范点125个，</w:t>
      </w:r>
      <w:r>
        <w:rPr>
          <w:rFonts w:hint="eastAsia" w:ascii="仿宋_GB2312" w:hAnsi="仿宋" w:eastAsia="仿宋_GB2312" w:cs="Times New Roman"/>
          <w:color w:val="000000"/>
          <w:sz w:val="32"/>
          <w:szCs w:val="32"/>
          <w:lang w:eastAsia="zh-CN"/>
        </w:rPr>
        <w:t>受教育群众</w:t>
      </w:r>
      <w:r>
        <w:rPr>
          <w:rFonts w:hint="eastAsia" w:ascii="仿宋_GB2312" w:hAnsi="仿宋" w:eastAsia="仿宋_GB2312" w:cs="Times New Roman"/>
          <w:color w:val="000000"/>
          <w:sz w:val="32"/>
          <w:szCs w:val="32"/>
          <w:lang w:val="en-US" w:eastAsia="zh-CN"/>
        </w:rPr>
        <w:t>60余万人次，</w:t>
      </w:r>
      <w:r>
        <w:rPr>
          <w:rFonts w:hint="eastAsia" w:ascii="仿宋_GB2312" w:hAnsi="仿宋_GB2312" w:eastAsia="仿宋_GB2312"/>
          <w:color w:val="000000"/>
          <w:sz w:val="32"/>
          <w:szCs w:val="32"/>
          <w:lang w:eastAsia="zh-CN"/>
        </w:rPr>
        <w:t>人民</w:t>
      </w:r>
      <w:r>
        <w:rPr>
          <w:rFonts w:hint="eastAsia" w:ascii="仿宋_GB2312" w:eastAsia="仿宋_GB2312"/>
          <w:color w:val="000000"/>
          <w:sz w:val="32"/>
          <w:szCs w:val="32"/>
        </w:rPr>
        <w:t>群众</w:t>
      </w:r>
      <w:r>
        <w:rPr>
          <w:rFonts w:hint="eastAsia" w:ascii="仿宋_GB2312" w:eastAsia="仿宋_GB2312"/>
          <w:color w:val="000000"/>
          <w:sz w:val="32"/>
          <w:szCs w:val="32"/>
          <w:lang w:eastAsia="zh-CN"/>
        </w:rPr>
        <w:t>对普法宣传的知晓率达</w:t>
      </w:r>
      <w:r>
        <w:rPr>
          <w:rFonts w:hint="eastAsia" w:ascii="仿宋_GB2312" w:eastAsia="仿宋_GB2312"/>
          <w:color w:val="000000"/>
          <w:sz w:val="32"/>
          <w:szCs w:val="32"/>
          <w:lang w:val="en-US" w:eastAsia="zh-CN"/>
        </w:rPr>
        <w:t>90</w:t>
      </w:r>
      <w:r>
        <w:rPr>
          <w:rFonts w:hint="eastAsia" w:ascii="仿宋_GB2312" w:eastAsia="仿宋_GB2312"/>
          <w:color w:val="000000"/>
          <w:sz w:val="32"/>
          <w:szCs w:val="32"/>
        </w:rPr>
        <w:t xml:space="preserve"> %，有效</w:t>
      </w:r>
      <w:r>
        <w:rPr>
          <w:rFonts w:hint="eastAsia" w:ascii="仿宋_GB2312" w:hAnsi="仿宋_GB2312" w:eastAsia="仿宋_GB2312" w:cs="仿宋_GB2312"/>
          <w:color w:val="000000"/>
          <w:sz w:val="32"/>
          <w:szCs w:val="32"/>
        </w:rPr>
        <w:t>提升</w:t>
      </w:r>
      <w:r>
        <w:rPr>
          <w:rFonts w:hint="eastAsia" w:ascii="仿宋_GB2312" w:hAnsi="仿宋_GB2312" w:eastAsia="仿宋_GB2312" w:cs="仿宋_GB2312"/>
          <w:color w:val="000000"/>
          <w:sz w:val="32"/>
          <w:szCs w:val="32"/>
          <w:lang w:eastAsia="zh-CN"/>
        </w:rPr>
        <w:t>了</w:t>
      </w:r>
      <w:r>
        <w:rPr>
          <w:rFonts w:hint="eastAsia" w:ascii="仿宋_GB2312" w:hAnsi="仿宋_GB2312" w:eastAsia="仿宋_GB2312" w:cs="仿宋_GB2312"/>
          <w:color w:val="000000"/>
          <w:sz w:val="32"/>
          <w:szCs w:val="32"/>
        </w:rPr>
        <w:t>人民群众</w:t>
      </w:r>
      <w:r>
        <w:rPr>
          <w:rFonts w:hint="eastAsia" w:ascii="仿宋_GB2312" w:hAnsi="仿宋" w:eastAsia="仿宋_GB2312" w:cs="Times New Roman"/>
          <w:color w:val="000000"/>
          <w:sz w:val="32"/>
          <w:szCs w:val="32"/>
          <w:lang w:val="en-US" w:eastAsia="zh-CN"/>
        </w:rPr>
        <w:t>的法治意识和法治素养</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五、评价结论及建议</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（一）评价结论</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仿宋_GB2312" w:hAnsi="仿宋_GB2312" w:eastAsia="仿宋_GB2312"/>
          <w:color w:val="000000"/>
          <w:sz w:val="32"/>
          <w:szCs w:val="32"/>
        </w:rPr>
      </w:pPr>
      <w:r>
        <w:rPr>
          <w:rFonts w:hint="eastAsia" w:ascii="仿宋_GB2312" w:hAnsi="仿宋" w:eastAsia="仿宋_GB2312" w:cs="仿宋_GB2312"/>
          <w:color w:val="000000"/>
          <w:sz w:val="32"/>
          <w:szCs w:val="32"/>
        </w:rPr>
        <w:t>依据</w:t>
      </w:r>
      <w:r>
        <w:rPr>
          <w:rFonts w:hint="eastAsia" w:ascii="仿宋_GB2312" w:hAnsi="仿宋" w:eastAsia="仿宋_GB2312" w:cs="仿宋_GB2312"/>
          <w:color w:val="000000"/>
          <w:sz w:val="32"/>
          <w:szCs w:val="32"/>
          <w:lang w:eastAsia="zh-CN"/>
        </w:rPr>
        <w:t>普法宣传</w:t>
      </w:r>
      <w:r>
        <w:rPr>
          <w:rFonts w:hint="eastAsia" w:ascii="仿宋_GB2312" w:hAnsi="仿宋" w:eastAsia="仿宋_GB2312" w:cs="仿宋_GB2312"/>
          <w:color w:val="000000"/>
          <w:sz w:val="32"/>
          <w:szCs w:val="32"/>
        </w:rPr>
        <w:t>项目设置的绩效评价指标体系、标准值、权重（分值）评价标准，经与指标完成值评价打分，综合得分</w:t>
      </w:r>
      <w:r>
        <w:rPr>
          <w:rFonts w:hint="eastAsia" w:ascii="仿宋_GB2312" w:hAnsi="仿宋" w:eastAsia="仿宋_GB2312" w:cs="仿宋_GB2312"/>
          <w:color w:val="000000"/>
          <w:sz w:val="32"/>
          <w:szCs w:val="32"/>
          <w:lang w:val="en-US" w:eastAsia="zh-CN"/>
        </w:rPr>
        <w:t>98</w:t>
      </w:r>
      <w:r>
        <w:rPr>
          <w:rFonts w:hint="eastAsia" w:ascii="仿宋_GB2312" w:hAnsi="仿宋" w:eastAsia="仿宋_GB2312" w:cs="仿宋_GB2312"/>
          <w:color w:val="000000"/>
          <w:sz w:val="32"/>
          <w:szCs w:val="32"/>
        </w:rPr>
        <w:t>分。</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（二）存在的问题</w:t>
      </w:r>
    </w:p>
    <w:p>
      <w:pPr>
        <w:keepNext w:val="0"/>
        <w:keepLines w:val="0"/>
        <w:pageBreakBefore w:val="0"/>
        <w:kinsoku/>
        <w:wordWrap/>
        <w:overflowPunct/>
        <w:topLinePunct w:val="0"/>
        <w:autoSpaceDN/>
        <w:bidi w:val="0"/>
        <w:spacing w:line="576" w:lineRule="exact"/>
        <w:ind w:left="0" w:leftChars="0" w:firstLine="640" w:firstLineChars="200"/>
        <w:textAlignment w:val="auto"/>
        <w:rPr>
          <w:rFonts w:hint="eastAsia" w:ascii="仿宋_GB2312" w:hAnsi="仿宋" w:eastAsia="仿宋_GB2312" w:cs="仿宋_GB2312"/>
          <w:color w:val="000000"/>
          <w:sz w:val="32"/>
          <w:szCs w:val="32"/>
          <w:shd w:val="clear" w:color="auto" w:fill="FFFFFF"/>
          <w:lang w:eastAsia="zh-CN"/>
        </w:rPr>
      </w:pPr>
      <w:r>
        <w:rPr>
          <w:rFonts w:hint="eastAsia" w:ascii="仿宋_GB2312" w:hAnsi="仿宋" w:eastAsia="仿宋_GB2312" w:cs="仿宋_GB2312"/>
          <w:color w:val="000000"/>
          <w:sz w:val="32"/>
          <w:szCs w:val="32"/>
          <w:shd w:val="clear" w:color="auto" w:fill="FFFFFF"/>
        </w:rPr>
        <w:t>1</w:t>
      </w:r>
      <w:r>
        <w:rPr>
          <w:rFonts w:hint="eastAsia" w:ascii="仿宋_GB2312" w:hAnsi="仿宋" w:eastAsia="仿宋_GB2312" w:cs="仿宋_GB2312"/>
          <w:color w:val="000000"/>
          <w:sz w:val="32"/>
          <w:szCs w:val="32"/>
          <w:shd w:val="clear" w:color="auto" w:fill="FFFFFF"/>
          <w:lang w:val="en-US" w:eastAsia="zh-CN"/>
        </w:rPr>
        <w:t>.普法宣传的针对性有待加强</w:t>
      </w:r>
      <w:r>
        <w:rPr>
          <w:rFonts w:hint="eastAsia" w:ascii="仿宋_GB2312" w:hAnsi="仿宋" w:eastAsia="仿宋_GB2312" w:cs="仿宋_GB2312"/>
          <w:color w:val="000000"/>
          <w:sz w:val="32"/>
          <w:szCs w:val="32"/>
          <w:shd w:val="clear" w:color="auto" w:fill="FFFFFF"/>
        </w:rPr>
        <w:t>。在</w:t>
      </w:r>
      <w:r>
        <w:rPr>
          <w:rFonts w:hint="eastAsia" w:ascii="仿宋_GB2312" w:hAnsi="仿宋" w:eastAsia="仿宋_GB2312" w:cs="仿宋_GB2312"/>
          <w:color w:val="000000"/>
          <w:sz w:val="32"/>
          <w:szCs w:val="32"/>
          <w:shd w:val="clear" w:color="auto" w:fill="FFFFFF"/>
          <w:lang w:eastAsia="zh-CN"/>
        </w:rPr>
        <w:t>普法宣传活动中，只重视大众的普法教育，对个别特别是老年人的普法教育没有具体的针对性，没有分类别开展普法宣传教育活动。</w:t>
      </w:r>
    </w:p>
    <w:p>
      <w:pPr>
        <w:keepNext w:val="0"/>
        <w:keepLines w:val="0"/>
        <w:pageBreakBefore w:val="0"/>
        <w:kinsoku/>
        <w:wordWrap/>
        <w:overflowPunct/>
        <w:topLinePunct w:val="0"/>
        <w:autoSpaceDN/>
        <w:bidi w:val="0"/>
        <w:spacing w:line="576" w:lineRule="exact"/>
        <w:ind w:left="0" w:leftChars="0" w:firstLine="640" w:firstLineChars="200"/>
        <w:textAlignment w:val="auto"/>
        <w:rPr>
          <w:rFonts w:hint="eastAsia"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2.</w:t>
      </w:r>
      <w:r>
        <w:rPr>
          <w:rFonts w:hint="eastAsia" w:ascii="仿宋_GB2312" w:hAnsi="仿宋" w:eastAsia="仿宋_GB2312" w:cs="仿宋_GB2312"/>
          <w:color w:val="000000"/>
          <w:sz w:val="32"/>
          <w:szCs w:val="32"/>
          <w:shd w:val="clear" w:color="auto" w:fill="FFFFFF"/>
          <w:lang w:eastAsia="zh-CN"/>
        </w:rPr>
        <w:t>新媒体普法教育还有欠缺</w:t>
      </w:r>
      <w:r>
        <w:rPr>
          <w:rFonts w:hint="eastAsia" w:ascii="仿宋_GB2312" w:hAnsi="仿宋" w:eastAsia="仿宋_GB2312" w:cs="仿宋_GB2312"/>
          <w:color w:val="000000"/>
          <w:sz w:val="32"/>
          <w:szCs w:val="32"/>
          <w:shd w:val="clear" w:color="auto" w:fill="FFFFFF"/>
        </w:rPr>
        <w:t>。随着</w:t>
      </w:r>
      <w:r>
        <w:rPr>
          <w:rFonts w:hint="eastAsia" w:ascii="仿宋_GB2312" w:hAnsi="仿宋" w:eastAsia="仿宋_GB2312" w:cs="仿宋_GB2312"/>
          <w:color w:val="000000"/>
          <w:sz w:val="32"/>
          <w:szCs w:val="32"/>
          <w:shd w:val="clear" w:color="auto" w:fill="FFFFFF"/>
          <w:lang w:eastAsia="zh-CN"/>
        </w:rPr>
        <w:t>信息化的快速发展</w:t>
      </w:r>
      <w:r>
        <w:rPr>
          <w:rFonts w:hint="eastAsia" w:ascii="仿宋_GB2312" w:hAnsi="仿宋" w:eastAsia="仿宋_GB2312" w:cs="仿宋_GB2312"/>
          <w:color w:val="000000"/>
          <w:sz w:val="32"/>
          <w:szCs w:val="32"/>
          <w:shd w:val="clear" w:color="auto" w:fill="FFFFFF"/>
        </w:rPr>
        <w:t>，</w:t>
      </w:r>
      <w:r>
        <w:rPr>
          <w:rFonts w:hint="eastAsia" w:ascii="仿宋_GB2312" w:hAnsi="仿宋" w:eastAsia="仿宋_GB2312" w:cs="仿宋_GB2312"/>
          <w:color w:val="000000"/>
          <w:sz w:val="32"/>
          <w:szCs w:val="32"/>
          <w:shd w:val="clear" w:color="auto" w:fill="FFFFFF"/>
          <w:lang w:eastAsia="zh-CN"/>
        </w:rPr>
        <w:t>人民群众通过微信、抖音等媒体平台获得信息较为容易，但我市由于相关经费和专业人才到不足，现有工作力量无法较高质量、较高水平推进</w:t>
      </w:r>
      <w:r>
        <w:rPr>
          <w:rFonts w:hint="eastAsia" w:ascii="仿宋_GB2312" w:hAnsi="仿宋" w:eastAsia="仿宋_GB2312" w:cs="仿宋_GB2312"/>
          <w:color w:val="000000"/>
          <w:sz w:val="32"/>
          <w:szCs w:val="32"/>
          <w:shd w:val="clear" w:color="auto" w:fill="FFFFFF"/>
        </w:rPr>
        <w:t>。</w:t>
      </w:r>
    </w:p>
    <w:p>
      <w:pPr>
        <w:keepNext w:val="0"/>
        <w:keepLines w:val="0"/>
        <w:pageBreakBefore w:val="0"/>
        <w:kinsoku/>
        <w:wordWrap/>
        <w:overflowPunct/>
        <w:topLinePunct w:val="0"/>
        <w:autoSpaceDN/>
        <w:bidi w:val="0"/>
        <w:adjustRightInd w:val="0"/>
        <w:snapToGrid w:val="0"/>
        <w:spacing w:line="576" w:lineRule="exact"/>
        <w:ind w:left="0" w:leftChars="0" w:firstLine="640" w:firstLineChars="200"/>
        <w:textAlignment w:val="auto"/>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（三）相关建议</w:t>
      </w:r>
    </w:p>
    <w:p>
      <w:pPr>
        <w:keepNext w:val="0"/>
        <w:keepLines w:val="0"/>
        <w:pageBreakBefore w:val="0"/>
        <w:kinsoku/>
        <w:wordWrap/>
        <w:overflowPunct/>
        <w:topLinePunct w:val="0"/>
        <w:autoSpaceDN/>
        <w:bidi w:val="0"/>
        <w:spacing w:line="576" w:lineRule="exact"/>
        <w:ind w:left="0" w:leftChars="0" w:firstLine="640" w:firstLineChars="200"/>
        <w:textAlignment w:val="auto"/>
        <w:rPr>
          <w:rFonts w:hint="eastAsia" w:ascii="仿宋_GB2312" w:hAnsi="仿宋_GB2312" w:eastAsia="仿宋_GB2312"/>
          <w:color w:val="000000"/>
          <w:sz w:val="32"/>
          <w:szCs w:val="32"/>
        </w:rPr>
      </w:pPr>
      <w:r>
        <w:rPr>
          <w:rFonts w:hint="eastAsia" w:ascii="仿宋_GB2312" w:hAnsi="仿宋" w:eastAsia="仿宋_GB2312" w:cs="仿宋_GB2312"/>
          <w:color w:val="000000"/>
          <w:sz w:val="32"/>
          <w:szCs w:val="32"/>
        </w:rPr>
        <w:t>在今后的工作中，我们将进一步加强管理，强化</w:t>
      </w:r>
      <w:r>
        <w:rPr>
          <w:rFonts w:hint="eastAsia" w:ascii="仿宋_GB2312" w:hAnsi="仿宋" w:eastAsia="仿宋_GB2312" w:cs="仿宋_GB2312"/>
          <w:color w:val="000000"/>
          <w:sz w:val="32"/>
          <w:szCs w:val="32"/>
          <w:lang w:eastAsia="zh-CN"/>
        </w:rPr>
        <w:t>普法宣传教育工作针对性和时效性</w:t>
      </w:r>
      <w:r>
        <w:rPr>
          <w:rFonts w:hint="eastAsia" w:ascii="仿宋_GB2312" w:hAnsi="仿宋" w:eastAsia="仿宋_GB2312" w:cs="仿宋_GB2312"/>
          <w:color w:val="000000"/>
          <w:sz w:val="32"/>
          <w:szCs w:val="32"/>
        </w:rPr>
        <w:t>，进一步落实</w:t>
      </w:r>
      <w:r>
        <w:rPr>
          <w:rFonts w:hint="eastAsia" w:ascii="仿宋_GB2312" w:hAnsi="仿宋" w:eastAsia="仿宋_GB2312" w:cs="仿宋_GB2312"/>
          <w:color w:val="000000"/>
          <w:sz w:val="32"/>
          <w:szCs w:val="32"/>
          <w:lang w:eastAsia="zh-CN"/>
        </w:rPr>
        <w:t>普法宣传教育工作</w:t>
      </w:r>
      <w:r>
        <w:rPr>
          <w:rFonts w:hint="eastAsia" w:ascii="仿宋_GB2312" w:hAnsi="仿宋" w:eastAsia="仿宋_GB2312" w:cs="仿宋_GB2312"/>
          <w:color w:val="000000"/>
          <w:sz w:val="32"/>
          <w:szCs w:val="32"/>
        </w:rPr>
        <w:t>质量评估标准，</w:t>
      </w:r>
      <w:r>
        <w:rPr>
          <w:rFonts w:hint="eastAsia" w:ascii="仿宋_GB2312" w:hAnsi="仿宋" w:eastAsia="仿宋_GB2312" w:cs="仿宋_GB2312"/>
          <w:color w:val="000000"/>
          <w:sz w:val="32"/>
          <w:szCs w:val="32"/>
          <w:shd w:val="clear" w:color="auto" w:fill="FFFFFF"/>
        </w:rPr>
        <w:t>优化</w:t>
      </w:r>
      <w:r>
        <w:rPr>
          <w:rFonts w:hint="eastAsia" w:ascii="仿宋_GB2312" w:hAnsi="仿宋" w:eastAsia="仿宋_GB2312" w:cs="仿宋_GB2312"/>
          <w:color w:val="000000"/>
          <w:sz w:val="32"/>
          <w:szCs w:val="32"/>
          <w:shd w:val="clear" w:color="auto" w:fill="FFFFFF"/>
          <w:lang w:eastAsia="zh-CN"/>
        </w:rPr>
        <w:t>工作</w:t>
      </w:r>
      <w:r>
        <w:rPr>
          <w:rFonts w:hint="eastAsia" w:ascii="仿宋_GB2312" w:hAnsi="仿宋" w:eastAsia="仿宋_GB2312" w:cs="仿宋_GB2312"/>
          <w:color w:val="000000"/>
          <w:sz w:val="32"/>
          <w:szCs w:val="32"/>
          <w:shd w:val="clear" w:color="auto" w:fill="FFFFFF"/>
        </w:rPr>
        <w:t>流程，克服我市</w:t>
      </w:r>
      <w:r>
        <w:rPr>
          <w:rFonts w:hint="eastAsia" w:ascii="仿宋_GB2312" w:hAnsi="仿宋" w:eastAsia="仿宋_GB2312" w:cs="仿宋_GB2312"/>
          <w:color w:val="000000"/>
          <w:sz w:val="32"/>
          <w:szCs w:val="32"/>
          <w:shd w:val="clear" w:color="auto" w:fill="FFFFFF"/>
          <w:lang w:eastAsia="zh-CN"/>
        </w:rPr>
        <w:t>普法</w:t>
      </w:r>
      <w:r>
        <w:rPr>
          <w:rFonts w:hint="eastAsia" w:ascii="仿宋_GB2312" w:hAnsi="仿宋" w:eastAsia="仿宋_GB2312" w:cs="仿宋_GB2312"/>
          <w:color w:val="000000"/>
          <w:sz w:val="32"/>
          <w:szCs w:val="32"/>
          <w:shd w:val="clear" w:color="auto" w:fill="FFFFFF"/>
        </w:rPr>
        <w:t>工作</w:t>
      </w:r>
      <w:r>
        <w:rPr>
          <w:rFonts w:hint="eastAsia" w:ascii="仿宋_GB2312" w:hAnsi="仿宋" w:eastAsia="仿宋_GB2312" w:cs="仿宋_GB2312"/>
          <w:color w:val="000000"/>
          <w:sz w:val="32"/>
          <w:szCs w:val="32"/>
          <w:shd w:val="clear" w:color="auto" w:fill="FFFFFF"/>
          <w:lang w:eastAsia="zh-CN"/>
        </w:rPr>
        <w:t>中的短板和问题</w:t>
      </w:r>
      <w:r>
        <w:rPr>
          <w:rFonts w:hint="eastAsia" w:ascii="仿宋_GB2312" w:hAnsi="仿宋" w:eastAsia="仿宋_GB2312" w:cs="仿宋_GB2312"/>
          <w:color w:val="000000"/>
          <w:sz w:val="32"/>
          <w:szCs w:val="32"/>
          <w:shd w:val="clear" w:color="auto" w:fill="FFFFFF"/>
        </w:rPr>
        <w:t>。继续</w:t>
      </w:r>
      <w:r>
        <w:rPr>
          <w:rFonts w:hint="eastAsia" w:ascii="仿宋_GB2312" w:hAnsi="仿宋" w:eastAsia="仿宋_GB2312" w:cs="仿宋_GB2312"/>
          <w:color w:val="000000"/>
          <w:sz w:val="32"/>
          <w:szCs w:val="32"/>
        </w:rPr>
        <w:t>将</w:t>
      </w:r>
      <w:r>
        <w:rPr>
          <w:rFonts w:hint="eastAsia" w:ascii="仿宋_GB2312" w:hAnsi="仿宋" w:eastAsia="仿宋_GB2312" w:cs="仿宋_GB2312"/>
          <w:color w:val="000000"/>
          <w:sz w:val="32"/>
          <w:szCs w:val="32"/>
          <w:lang w:eastAsia="zh-CN"/>
        </w:rPr>
        <w:t>“法律七进”、法治文化建设、普法活动等作为推动工作的重要载体和抓手，在新媒体普法上下功夫，</w:t>
      </w:r>
      <w:r>
        <w:rPr>
          <w:rFonts w:hint="eastAsia" w:ascii="仿宋_GB2312" w:hAnsi="仿宋" w:eastAsia="仿宋_GB2312" w:cs="仿宋_GB2312"/>
          <w:color w:val="000000"/>
          <w:sz w:val="32"/>
          <w:szCs w:val="32"/>
        </w:rPr>
        <w:t>提高资金使用效益，为全市</w:t>
      </w:r>
      <w:r>
        <w:rPr>
          <w:rFonts w:hint="eastAsia" w:ascii="仿宋_GB2312" w:hAnsi="仿宋" w:eastAsia="仿宋_GB2312" w:cs="仿宋_GB2312"/>
          <w:color w:val="000000"/>
          <w:sz w:val="32"/>
          <w:szCs w:val="32"/>
          <w:lang w:eastAsia="zh-CN"/>
        </w:rPr>
        <w:t>普法宣传</w:t>
      </w:r>
      <w:r>
        <w:rPr>
          <w:rFonts w:hint="eastAsia" w:ascii="仿宋_GB2312" w:hAnsi="仿宋" w:eastAsia="仿宋_GB2312" w:cs="仿宋_GB2312"/>
          <w:color w:val="000000"/>
          <w:sz w:val="32"/>
          <w:szCs w:val="32"/>
        </w:rPr>
        <w:t>事业的持续健康发展提供有利的基础保障。</w:t>
      </w:r>
    </w:p>
    <w:p>
      <w:pPr>
        <w:pStyle w:val="13"/>
        <w:sectPr>
          <w:pgSz w:w="11906" w:h="16838"/>
          <w:pgMar w:top="1440" w:right="1800" w:bottom="1440" w:left="1800" w:header="851" w:footer="992" w:gutter="0"/>
          <w:pgNumType w:fmt="decimal"/>
          <w:cols w:space="425" w:num="1"/>
          <w:titlePg/>
          <w:docGrid w:type="lines" w:linePitch="312" w:charSpace="0"/>
        </w:sectPr>
      </w:pPr>
    </w:p>
    <w:tbl>
      <w:tblPr>
        <w:tblStyle w:val="16"/>
        <w:tblW w:w="143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4"/>
        <w:gridCol w:w="1469"/>
        <w:gridCol w:w="1425"/>
        <w:gridCol w:w="2834"/>
        <w:gridCol w:w="521"/>
        <w:gridCol w:w="780"/>
        <w:gridCol w:w="521"/>
        <w:gridCol w:w="1091"/>
        <w:gridCol w:w="780"/>
        <w:gridCol w:w="960"/>
        <w:gridCol w:w="855"/>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4313"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部门预算、专项资金预算项目支出绩效目标自评表（2022年度）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18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2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主管部门（盖章）</w:t>
            </w:r>
          </w:p>
        </w:tc>
        <w:tc>
          <w:tcPr>
            <w:tcW w:w="60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广元市司法局</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实施单位 （盖章）</w:t>
            </w:r>
          </w:p>
        </w:tc>
        <w:tc>
          <w:tcPr>
            <w:tcW w:w="46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项目基本情况</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1.项目年度目标完成情况</w:t>
            </w:r>
          </w:p>
        </w:tc>
        <w:tc>
          <w:tcPr>
            <w:tcW w:w="60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项目年度目标</w:t>
            </w:r>
          </w:p>
        </w:tc>
        <w:tc>
          <w:tcPr>
            <w:tcW w:w="57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608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开展法治宣传活动；深入学习宣传宪法，加强在全社会普遍开展宪法宣传教育；在全市深入开展“尊崇宪法、学习宪法、遵守宪法、维护宪法、运用宪法”宣传教育活动；定期有规划的安排法治相关的专题培训。</w:t>
            </w:r>
          </w:p>
        </w:tc>
        <w:tc>
          <w:tcPr>
            <w:tcW w:w="57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已完成相关年度目标。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2.项目实施内容及过程概述</w:t>
            </w:r>
          </w:p>
        </w:tc>
        <w:tc>
          <w:tcPr>
            <w:tcW w:w="118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宣传项目用于开展全民普法宣传教育工作。包括：拟订法治宣传教育规划并组织实施;指导监督各地、各部门“谁执法谁普法”的普法责任制落实工作;指导监督国家工作人员学法用法工作，推进全民普法;指导各地、各部门、各行业依法治理和法治创建工作;组织对外法治宣传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4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预算执行情况（10分）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年度预算数（万元）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调整后预算数</w:t>
            </w:r>
          </w:p>
        </w:tc>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总额</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kern w:val="0"/>
                <w:sz w:val="18"/>
                <w:szCs w:val="18"/>
                <w:u w:val="none"/>
                <w:lang w:val="en"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其中：财政资金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其他资金</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绩效指标（90分）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部门自评得分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财政部门科室复评得分</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定期开展法治宣传活动</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单位普法宣传工作人员学习培训</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开展普法宣传相关培训</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2000人次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完成普法工作及时率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普法活动举办率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kern w:val="0"/>
                <w:sz w:val="18"/>
                <w:szCs w:val="18"/>
                <w:u w:val="none"/>
                <w:lang w:val="en"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机关执法普法常态化，提高法治普及率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宣传法治建设理念，营造良好的法治环境</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群众对普法宣传工作满意度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普法宣传业务劳务费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kern w:val="0"/>
                <w:sz w:val="18"/>
                <w:szCs w:val="18"/>
                <w:u w:val="none"/>
                <w:lang w:val="en"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普法宣传业务印刷费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13.8万元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96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
              </w:rPr>
            </w:pPr>
            <w:r>
              <w:rPr>
                <w:rFonts w:hint="default" w:ascii="宋体" w:hAnsi="宋体" w:cs="宋体"/>
                <w:i w:val="0"/>
                <w:iCs w:val="0"/>
                <w:color w:val="000000"/>
                <w:sz w:val="18"/>
                <w:szCs w:val="18"/>
                <w:u w:val="none"/>
                <w:lang w:val="en"/>
              </w:rPr>
              <w:t>98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部门（单位）自评结论</w:t>
            </w:r>
          </w:p>
        </w:tc>
        <w:tc>
          <w:tcPr>
            <w:tcW w:w="132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依据普法宣传项目设置的绩效评价指标体系、标准值、权重（分值）评价标准，经与指标完成值评价打分，综合得分98分</w:t>
            </w:r>
            <w:r>
              <w:rPr>
                <w:rFonts w:hint="default" w:ascii="宋体" w:hAnsi="宋体" w:cs="宋体"/>
                <w:i w:val="0"/>
                <w:iCs w:val="0"/>
                <w:color w:val="000000"/>
                <w:kern w:val="0"/>
                <w:sz w:val="16"/>
                <w:szCs w:val="16"/>
                <w:u w:val="none"/>
                <w:lang w:val="en" w:eastAsia="zh-CN" w:bidi="ar"/>
              </w:rPr>
              <w:t>.</w:t>
            </w:r>
            <w:r>
              <w:rPr>
                <w:rFonts w:hint="eastAsia" w:ascii="宋体" w:hAnsi="宋体" w:eastAsia="宋体" w:cs="宋体"/>
                <w:i w:val="0"/>
                <w:iCs w:val="0"/>
                <w:color w:val="000000"/>
                <w:kern w:val="0"/>
                <w:sz w:val="16"/>
                <w:szCs w:val="16"/>
                <w:u w:val="none"/>
                <w:lang w:val="en-US" w:eastAsia="zh-CN" w:bidi="ar"/>
              </w:rPr>
              <w:t>普法宣传项目用于开展全民普法宣传教育工作。包括：拟订法治宣传教育规划并组织实施;指导监督各地、各部门“谁执法谁普法”的普法责任制落实工作;指导监督国家工作人员学法用法工作，推进全民普法;指导各地、各部门、各行业依法治理和法治创建工作;组织对外法治宣传;指导社会主义法治文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部门（单位）自评存在问题</w:t>
            </w:r>
          </w:p>
        </w:tc>
        <w:tc>
          <w:tcPr>
            <w:tcW w:w="132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普法宣传的针对性有待加强。在普法宣传活动中，只重视大众的普法教育，对个别特别是老年人的普法教育没有具体的针对性，没有分类别开展普法宣传教育活动。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部门（单位）自评改进措施</w:t>
            </w:r>
          </w:p>
        </w:tc>
        <w:tc>
          <w:tcPr>
            <w:tcW w:w="132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今后的工作中，我们将进一步加强管理，强化普法宣传教育工作针对性和时效性，进一步落实普法宣传教育工作质量评估标准，优化工作流程，克服我市普法工作中的短板和问题。继续将“法律七进”、法治文化建设、普法活动等作为推动工作的重要载体和抓手，在新媒体普法上下功夫，提高资金使用效益，为全市普法宣传事业的持续健康发展提供有利的基础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财政部门对口科室复评结论及整改要求</w:t>
            </w:r>
          </w:p>
        </w:tc>
        <w:tc>
          <w:tcPr>
            <w:tcW w:w="132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bl>
    <w:p>
      <w:pPr>
        <w:sectPr>
          <w:pgSz w:w="16838" w:h="11906" w:orient="landscape"/>
          <w:pgMar w:top="1800" w:right="1440" w:bottom="1800" w:left="1440" w:header="851" w:footer="992" w:gutter="0"/>
          <w:pgNumType w:fmt="decimal"/>
          <w:cols w:space="425" w:num="1"/>
          <w:titlePg/>
          <w:docGrid w:type="lines" w:linePitch="312" w:charSpace="0"/>
        </w:sectPr>
      </w:pPr>
    </w:p>
    <w:p>
      <w:pPr>
        <w:spacing w:line="600" w:lineRule="exact"/>
        <w:jc w:val="center"/>
        <w:outlineLvl w:val="0"/>
        <w:rPr>
          <w:rFonts w:hint="eastAsia" w:ascii="仿宋" w:hAnsi="仿宋" w:eastAsia="仿宋"/>
          <w:b w:val="0"/>
          <w:color w:val="auto"/>
          <w:highlight w:val="none"/>
        </w:rPr>
      </w:pPr>
      <w:bookmarkStart w:id="148" w:name="_Toc1810523652"/>
      <w:bookmarkStart w:id="149" w:name="_Toc1707033187"/>
      <w:bookmarkStart w:id="150" w:name="_Toc612764810"/>
      <w:bookmarkStart w:id="151" w:name="_Toc15396618"/>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131"/>
      <w:bookmarkEnd w:id="148"/>
      <w:bookmarkEnd w:id="149"/>
      <w:bookmarkEnd w:id="150"/>
      <w:bookmarkEnd w:id="151"/>
      <w:bookmarkStart w:id="152" w:name="_Toc15396619"/>
    </w:p>
    <w:p>
      <w:pPr>
        <w:pStyle w:val="4"/>
        <w:rPr>
          <w:rFonts w:ascii="仿宋" w:hAnsi="仿宋" w:eastAsia="仿宋"/>
          <w:color w:val="auto"/>
          <w:highlight w:val="none"/>
        </w:rPr>
      </w:pPr>
      <w:bookmarkStart w:id="153" w:name="_Toc1302947772"/>
      <w:bookmarkStart w:id="154" w:name="_Toc1820281508"/>
      <w:bookmarkStart w:id="155" w:name="_Toc1944657979"/>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152"/>
      <w:bookmarkEnd w:id="153"/>
      <w:bookmarkEnd w:id="154"/>
      <w:bookmarkEnd w:id="155"/>
    </w:p>
    <w:p>
      <w:pPr>
        <w:pStyle w:val="4"/>
        <w:rPr>
          <w:rFonts w:ascii="仿宋" w:hAnsi="仿宋" w:eastAsia="仿宋"/>
          <w:color w:val="auto"/>
          <w:highlight w:val="none"/>
        </w:rPr>
      </w:pPr>
      <w:bookmarkStart w:id="156" w:name="_Toc712925470"/>
      <w:bookmarkStart w:id="157" w:name="_Toc1800292442"/>
      <w:bookmarkStart w:id="158" w:name="_Toc15396620"/>
      <w:bookmarkStart w:id="159" w:name="_Toc344519592"/>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156"/>
      <w:bookmarkEnd w:id="157"/>
      <w:bookmarkEnd w:id="158"/>
      <w:bookmarkEnd w:id="159"/>
    </w:p>
    <w:p>
      <w:pPr>
        <w:pStyle w:val="4"/>
        <w:rPr>
          <w:rFonts w:ascii="仿宋" w:hAnsi="仿宋" w:eastAsia="仿宋"/>
          <w:color w:val="auto"/>
          <w:highlight w:val="none"/>
        </w:rPr>
      </w:pPr>
      <w:bookmarkStart w:id="160" w:name="_Toc532572746"/>
      <w:bookmarkStart w:id="161" w:name="_Toc15396621"/>
      <w:bookmarkStart w:id="162" w:name="_Toc872823441"/>
      <w:bookmarkStart w:id="163" w:name="_Toc1449806705"/>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160"/>
      <w:bookmarkEnd w:id="161"/>
      <w:bookmarkEnd w:id="162"/>
      <w:bookmarkEnd w:id="163"/>
    </w:p>
    <w:p>
      <w:pPr>
        <w:pStyle w:val="4"/>
        <w:rPr>
          <w:rFonts w:ascii="仿宋" w:hAnsi="仿宋" w:eastAsia="仿宋"/>
          <w:b w:val="0"/>
          <w:color w:val="auto"/>
          <w:highlight w:val="none"/>
        </w:rPr>
      </w:pPr>
      <w:bookmarkStart w:id="164" w:name="_Toc781141281"/>
      <w:bookmarkStart w:id="165" w:name="_Toc900004845"/>
      <w:bookmarkStart w:id="166" w:name="_Toc1853478815"/>
      <w:bookmarkStart w:id="167" w:name="_Toc15396622"/>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164"/>
      <w:bookmarkEnd w:id="165"/>
      <w:bookmarkEnd w:id="166"/>
      <w:bookmarkEnd w:id="167"/>
    </w:p>
    <w:p>
      <w:pPr>
        <w:pStyle w:val="4"/>
        <w:rPr>
          <w:rStyle w:val="30"/>
          <w:rFonts w:ascii="仿宋" w:hAnsi="仿宋" w:eastAsia="仿宋"/>
          <w:b w:val="0"/>
          <w:bCs w:val="0"/>
          <w:color w:val="auto"/>
          <w:highlight w:val="none"/>
        </w:rPr>
      </w:pPr>
      <w:bookmarkStart w:id="168" w:name="_Toc762385794"/>
      <w:bookmarkStart w:id="169" w:name="_Toc15396623"/>
      <w:bookmarkStart w:id="170" w:name="_Toc2128932086"/>
      <w:bookmarkStart w:id="171" w:name="_Toc6780079"/>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168"/>
      <w:bookmarkEnd w:id="169"/>
      <w:bookmarkEnd w:id="170"/>
      <w:bookmarkEnd w:id="171"/>
      <w:bookmarkStart w:id="172" w:name="_Toc15396624"/>
    </w:p>
    <w:p>
      <w:pPr>
        <w:pStyle w:val="4"/>
        <w:rPr>
          <w:rFonts w:ascii="仿宋" w:hAnsi="仿宋" w:eastAsia="仿宋"/>
          <w:color w:val="auto"/>
          <w:highlight w:val="none"/>
        </w:rPr>
      </w:pPr>
      <w:bookmarkStart w:id="173" w:name="_Toc534649966"/>
      <w:bookmarkStart w:id="174" w:name="_Toc2046193068"/>
      <w:bookmarkStart w:id="175" w:name="_Toc1169822758"/>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172"/>
      <w:bookmarkEnd w:id="173"/>
      <w:bookmarkEnd w:id="174"/>
      <w:bookmarkEnd w:id="175"/>
    </w:p>
    <w:p>
      <w:pPr>
        <w:pStyle w:val="4"/>
        <w:rPr>
          <w:rFonts w:ascii="仿宋" w:hAnsi="仿宋" w:eastAsia="仿宋"/>
          <w:color w:val="auto"/>
          <w:highlight w:val="none"/>
        </w:rPr>
      </w:pPr>
      <w:bookmarkStart w:id="176" w:name="_Toc15396625"/>
      <w:bookmarkStart w:id="177" w:name="_Toc1831215448"/>
      <w:bookmarkStart w:id="178" w:name="_Toc1476523179"/>
      <w:bookmarkStart w:id="179" w:name="_Toc1598973755"/>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176"/>
      <w:bookmarkEnd w:id="177"/>
      <w:bookmarkEnd w:id="178"/>
      <w:bookmarkEnd w:id="179"/>
    </w:p>
    <w:p>
      <w:pPr>
        <w:pStyle w:val="4"/>
        <w:rPr>
          <w:rFonts w:ascii="仿宋" w:hAnsi="仿宋" w:eastAsia="仿宋"/>
          <w:color w:val="auto"/>
          <w:highlight w:val="none"/>
        </w:rPr>
      </w:pPr>
      <w:bookmarkStart w:id="180" w:name="_Toc15396626"/>
      <w:bookmarkStart w:id="181" w:name="_Toc1432881837"/>
      <w:bookmarkStart w:id="182" w:name="_Toc1400972131"/>
      <w:bookmarkStart w:id="183" w:name="_Toc1561114907"/>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180"/>
      <w:bookmarkEnd w:id="181"/>
      <w:bookmarkEnd w:id="182"/>
      <w:bookmarkEnd w:id="183"/>
    </w:p>
    <w:p>
      <w:pPr>
        <w:pStyle w:val="4"/>
        <w:rPr>
          <w:rFonts w:ascii="仿宋" w:hAnsi="仿宋" w:eastAsia="仿宋"/>
          <w:color w:val="auto"/>
          <w:highlight w:val="none"/>
        </w:rPr>
      </w:pPr>
      <w:bookmarkStart w:id="184" w:name="_Toc527328035"/>
      <w:bookmarkStart w:id="185" w:name="_Toc1562607098"/>
      <w:bookmarkStart w:id="186" w:name="_Toc15396627"/>
      <w:bookmarkStart w:id="187" w:name="_Toc1021692066"/>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184"/>
      <w:bookmarkEnd w:id="185"/>
      <w:bookmarkEnd w:id="186"/>
      <w:bookmarkEnd w:id="187"/>
    </w:p>
    <w:p>
      <w:pPr>
        <w:pStyle w:val="4"/>
        <w:rPr>
          <w:rFonts w:ascii="仿宋" w:hAnsi="仿宋" w:eastAsia="仿宋"/>
          <w:color w:val="auto"/>
          <w:highlight w:val="none"/>
        </w:rPr>
      </w:pPr>
      <w:bookmarkStart w:id="188" w:name="_Toc15396628"/>
      <w:bookmarkStart w:id="189" w:name="_Toc1445187137"/>
      <w:bookmarkStart w:id="190" w:name="_Toc1086770201"/>
      <w:bookmarkStart w:id="191" w:name="_Toc1937461426"/>
      <w:r>
        <w:rPr>
          <w:rStyle w:val="30"/>
          <w:rFonts w:hint="eastAsia" w:ascii="仿宋" w:hAnsi="仿宋" w:eastAsia="仿宋"/>
          <w:b w:val="0"/>
          <w:bCs w:val="0"/>
          <w:color w:val="auto"/>
          <w:highlight w:val="none"/>
        </w:rPr>
        <w:t>十、</w:t>
      </w:r>
      <w:bookmarkEnd w:id="188"/>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189"/>
      <w:bookmarkEnd w:id="190"/>
      <w:bookmarkEnd w:id="191"/>
    </w:p>
    <w:p>
      <w:pPr>
        <w:pStyle w:val="4"/>
        <w:rPr>
          <w:rFonts w:ascii="仿宋" w:hAnsi="仿宋" w:eastAsia="仿宋"/>
          <w:color w:val="auto"/>
          <w:highlight w:val="none"/>
        </w:rPr>
      </w:pPr>
      <w:bookmarkStart w:id="192" w:name="_Toc15396629"/>
      <w:bookmarkStart w:id="193" w:name="_Toc1353412922"/>
      <w:bookmarkStart w:id="194" w:name="_Toc2100878319"/>
      <w:bookmarkStart w:id="195" w:name="_Toc1368779306"/>
      <w:r>
        <w:rPr>
          <w:rStyle w:val="30"/>
          <w:rFonts w:hint="eastAsia" w:ascii="仿宋" w:hAnsi="仿宋" w:eastAsia="仿宋"/>
          <w:b w:val="0"/>
          <w:bCs w:val="0"/>
          <w:color w:val="auto"/>
          <w:highlight w:val="none"/>
        </w:rPr>
        <w:t>十一、</w:t>
      </w:r>
      <w:bookmarkEnd w:id="192"/>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193"/>
      <w:bookmarkEnd w:id="194"/>
      <w:bookmarkEnd w:id="195"/>
    </w:p>
    <w:p>
      <w:pPr>
        <w:pStyle w:val="4"/>
        <w:rPr>
          <w:rFonts w:ascii="仿宋" w:hAnsi="仿宋" w:eastAsia="仿宋"/>
          <w:color w:val="auto"/>
          <w:highlight w:val="none"/>
        </w:rPr>
      </w:pPr>
      <w:bookmarkStart w:id="196" w:name="_Toc15396630"/>
      <w:bookmarkStart w:id="197" w:name="_Toc600317222"/>
      <w:bookmarkStart w:id="198" w:name="_Toc1665757178"/>
      <w:bookmarkStart w:id="199" w:name="_Toc493262762"/>
      <w:r>
        <w:rPr>
          <w:rStyle w:val="30"/>
          <w:rFonts w:hint="eastAsia" w:ascii="仿宋" w:hAnsi="仿宋" w:eastAsia="仿宋"/>
          <w:b w:val="0"/>
          <w:bCs w:val="0"/>
          <w:color w:val="auto"/>
          <w:highlight w:val="none"/>
        </w:rPr>
        <w:t>十二、</w:t>
      </w:r>
      <w:bookmarkEnd w:id="196"/>
      <w:r>
        <w:rPr>
          <w:rStyle w:val="30"/>
          <w:rFonts w:hint="eastAsia" w:ascii="仿宋" w:hAnsi="仿宋" w:eastAsia="仿宋"/>
          <w:b w:val="0"/>
          <w:bCs w:val="0"/>
          <w:color w:val="auto"/>
          <w:highlight w:val="none"/>
          <w:lang w:eastAsia="zh-CN"/>
        </w:rPr>
        <w:t>国有资本经营预算财政拨款支出决算表</w:t>
      </w:r>
      <w:bookmarkEnd w:id="197"/>
      <w:bookmarkEnd w:id="198"/>
      <w:bookmarkEnd w:id="199"/>
    </w:p>
    <w:p>
      <w:pPr>
        <w:pStyle w:val="4"/>
        <w:rPr>
          <w:rStyle w:val="30"/>
          <w:rFonts w:hint="eastAsia" w:ascii="仿宋" w:hAnsi="仿宋" w:eastAsia="仿宋"/>
          <w:b w:val="0"/>
          <w:bCs w:val="0"/>
          <w:color w:val="auto"/>
          <w:highlight w:val="none"/>
          <w:lang w:eastAsia="zh-CN"/>
        </w:rPr>
      </w:pPr>
      <w:bookmarkStart w:id="200" w:name="_Toc15396631"/>
      <w:bookmarkStart w:id="201" w:name="_Toc1971565577"/>
      <w:bookmarkStart w:id="202" w:name="_Toc1566766795"/>
      <w:bookmarkStart w:id="203" w:name="_Toc726883627"/>
      <w:r>
        <w:rPr>
          <w:rStyle w:val="30"/>
          <w:rFonts w:hint="eastAsia" w:ascii="仿宋" w:hAnsi="仿宋" w:eastAsia="仿宋"/>
          <w:b w:val="0"/>
          <w:bCs w:val="0"/>
          <w:color w:val="auto"/>
          <w:highlight w:val="none"/>
        </w:rPr>
        <w:t>十三、</w:t>
      </w:r>
      <w:bookmarkEnd w:id="200"/>
      <w:r>
        <w:rPr>
          <w:rStyle w:val="30"/>
          <w:rFonts w:hint="eastAsia" w:ascii="仿宋" w:hAnsi="仿宋" w:eastAsia="仿宋"/>
          <w:b w:val="0"/>
          <w:bCs w:val="0"/>
          <w:color w:val="auto"/>
          <w:highlight w:val="none"/>
          <w:lang w:eastAsia="zh-CN"/>
        </w:rPr>
        <w:t>财政拨款“三公”经费</w:t>
      </w:r>
      <w:bookmarkEnd w:id="201"/>
      <w:bookmarkEnd w:id="202"/>
      <w:bookmarkEnd w:id="203"/>
    </w:p>
    <w:p>
      <w:pPr>
        <w:pStyle w:val="4"/>
        <w:rPr>
          <w:rFonts w:hint="eastAsia" w:eastAsia="仿宋"/>
          <w:color w:val="auto"/>
          <w:highlight w:val="none"/>
          <w:lang w:eastAsia="zh-CN"/>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东文宋体">
    <w:altName w:val="方正书宋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Georgia">
    <w:panose1 w:val="02040502050405020303"/>
    <w:charset w:val="00"/>
    <w:family w:val="auto"/>
    <w:pitch w:val="default"/>
    <w:sig w:usb0="00000287"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67295029"/>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sdt>
                    <w:sdtPr>
                      <w:id w:val="667295029"/>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4746139"/>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sdt>
                    <w:sdtPr>
                      <w:id w:val="194746139"/>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F1379"/>
    <w:multiLevelType w:val="singleLevel"/>
    <w:tmpl w:val="BB3F1379"/>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EFE0D0F"/>
    <w:multiLevelType w:val="singleLevel"/>
    <w:tmpl w:val="6EFE0D0F"/>
    <w:lvl w:ilvl="0" w:tentative="0">
      <w:start w:val="2"/>
      <w:numFmt w:val="chineseCounting"/>
      <w:suff w:val="nothing"/>
      <w:lvlText w:val="（%1）"/>
      <w:lvlJc w:val="left"/>
      <w:pPr>
        <w:ind w:left="-220"/>
      </w:pPr>
      <w:rPr>
        <w:rFonts w:hint="eastAsia"/>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5NGU4ODE1Y2RmOGUzOThlMmViYTNjYjZlNjgyMm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B22B0"/>
    <w:rsid w:val="015975B8"/>
    <w:rsid w:val="01EB0908"/>
    <w:rsid w:val="02143E91"/>
    <w:rsid w:val="032103F6"/>
    <w:rsid w:val="06526AC1"/>
    <w:rsid w:val="066E0107"/>
    <w:rsid w:val="07996F6E"/>
    <w:rsid w:val="0A1648F3"/>
    <w:rsid w:val="0A2032A3"/>
    <w:rsid w:val="0F98263C"/>
    <w:rsid w:val="101860EC"/>
    <w:rsid w:val="108F5D13"/>
    <w:rsid w:val="10BB15FD"/>
    <w:rsid w:val="10C055FF"/>
    <w:rsid w:val="118107EC"/>
    <w:rsid w:val="13D50BC4"/>
    <w:rsid w:val="16BB723D"/>
    <w:rsid w:val="17DF9C3B"/>
    <w:rsid w:val="1B280B18"/>
    <w:rsid w:val="1BE8440E"/>
    <w:rsid w:val="1D155CEE"/>
    <w:rsid w:val="1FF35744"/>
    <w:rsid w:val="20541166"/>
    <w:rsid w:val="23860B96"/>
    <w:rsid w:val="240371BF"/>
    <w:rsid w:val="26C26CF7"/>
    <w:rsid w:val="29FD04D3"/>
    <w:rsid w:val="2ACC558F"/>
    <w:rsid w:val="2C8A61B5"/>
    <w:rsid w:val="2DB256DE"/>
    <w:rsid w:val="2DF04E50"/>
    <w:rsid w:val="2F040D46"/>
    <w:rsid w:val="306D4B10"/>
    <w:rsid w:val="319F7F4E"/>
    <w:rsid w:val="31F669A1"/>
    <w:rsid w:val="32A9493D"/>
    <w:rsid w:val="3304709D"/>
    <w:rsid w:val="35CB7788"/>
    <w:rsid w:val="36AA5135"/>
    <w:rsid w:val="376D39B2"/>
    <w:rsid w:val="37E16F03"/>
    <w:rsid w:val="37FE5C32"/>
    <w:rsid w:val="38D469F0"/>
    <w:rsid w:val="3BDD7D44"/>
    <w:rsid w:val="3BF63D0E"/>
    <w:rsid w:val="3D7552CD"/>
    <w:rsid w:val="3D98207C"/>
    <w:rsid w:val="3DF3721D"/>
    <w:rsid w:val="3E78745D"/>
    <w:rsid w:val="44E268DA"/>
    <w:rsid w:val="4A627F82"/>
    <w:rsid w:val="4B0E749A"/>
    <w:rsid w:val="4B4F25DA"/>
    <w:rsid w:val="4BE068DB"/>
    <w:rsid w:val="4D577224"/>
    <w:rsid w:val="4DCF5CDB"/>
    <w:rsid w:val="4EAB630A"/>
    <w:rsid w:val="4ECE2238"/>
    <w:rsid w:val="4FFFA6AC"/>
    <w:rsid w:val="537E6D0A"/>
    <w:rsid w:val="55F10894"/>
    <w:rsid w:val="5AF92295"/>
    <w:rsid w:val="5BDBA84F"/>
    <w:rsid w:val="5BFF56C5"/>
    <w:rsid w:val="5CD71FC4"/>
    <w:rsid w:val="657F2F3E"/>
    <w:rsid w:val="6A0A7688"/>
    <w:rsid w:val="6A5E1865"/>
    <w:rsid w:val="6C4A05C8"/>
    <w:rsid w:val="6D502923"/>
    <w:rsid w:val="6E7E3605"/>
    <w:rsid w:val="6FF5CC65"/>
    <w:rsid w:val="6FFED179"/>
    <w:rsid w:val="715C0E4B"/>
    <w:rsid w:val="72734D90"/>
    <w:rsid w:val="72BDB756"/>
    <w:rsid w:val="72C232B3"/>
    <w:rsid w:val="73AD73D5"/>
    <w:rsid w:val="73B6EB34"/>
    <w:rsid w:val="744731E5"/>
    <w:rsid w:val="76E3355F"/>
    <w:rsid w:val="76FBA189"/>
    <w:rsid w:val="778769C8"/>
    <w:rsid w:val="77F6A266"/>
    <w:rsid w:val="79EE5BA4"/>
    <w:rsid w:val="7A894339"/>
    <w:rsid w:val="7AA7FCEC"/>
    <w:rsid w:val="7B5FB809"/>
    <w:rsid w:val="7BF31CD7"/>
    <w:rsid w:val="7DEE7639"/>
    <w:rsid w:val="7E9A7637"/>
    <w:rsid w:val="7EEF11D3"/>
    <w:rsid w:val="7F7F8070"/>
    <w:rsid w:val="7FA30C79"/>
    <w:rsid w:val="7FB7269E"/>
    <w:rsid w:val="7FBBA166"/>
    <w:rsid w:val="7FC96657"/>
    <w:rsid w:val="7FD522DA"/>
    <w:rsid w:val="8FFBCE04"/>
    <w:rsid w:val="B79E9701"/>
    <w:rsid w:val="BB7F429F"/>
    <w:rsid w:val="BBF7EF73"/>
    <w:rsid w:val="BDFB57B5"/>
    <w:rsid w:val="BFABE726"/>
    <w:rsid w:val="BFEBA10B"/>
    <w:rsid w:val="C9DFADCD"/>
    <w:rsid w:val="CBCB4B79"/>
    <w:rsid w:val="D779923F"/>
    <w:rsid w:val="D8D6DB89"/>
    <w:rsid w:val="DB6F4CAB"/>
    <w:rsid w:val="DBEECB64"/>
    <w:rsid w:val="DDEA55E4"/>
    <w:rsid w:val="DF6F9789"/>
    <w:rsid w:val="DFFB14E0"/>
    <w:rsid w:val="E3E21D7C"/>
    <w:rsid w:val="E7D1FC3B"/>
    <w:rsid w:val="EFDEDCAE"/>
    <w:rsid w:val="FDFF336A"/>
    <w:rsid w:val="FEB77D2E"/>
    <w:rsid w:val="FFD1E478"/>
    <w:rsid w:val="FFFEBA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next w:val="1"/>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NormalCharacter"/>
    <w:semiHidden/>
    <w:qFormat/>
    <w:uiPriority w:val="0"/>
  </w:style>
  <w:style w:type="character" w:customStyle="1" w:styleId="37">
    <w:name w:val="font81"/>
    <w:basedOn w:val="17"/>
    <w:qFormat/>
    <w:uiPriority w:val="0"/>
    <w:rPr>
      <w:rFonts w:hint="eastAsia" w:ascii="宋体" w:hAnsi="宋体" w:eastAsia="宋体" w:cs="宋体"/>
      <w:color w:val="000000"/>
      <w:sz w:val="24"/>
      <w:szCs w:val="24"/>
      <w:u w:val="none"/>
    </w:rPr>
  </w:style>
  <w:style w:type="character" w:customStyle="1" w:styleId="38">
    <w:name w:val="font21"/>
    <w:basedOn w:val="17"/>
    <w:qFormat/>
    <w:uiPriority w:val="0"/>
    <w:rPr>
      <w:rFonts w:hint="default" w:ascii="Times New Roman" w:hAnsi="Times New Roman" w:cs="Times New Roman"/>
      <w:color w:val="000000"/>
      <w:sz w:val="24"/>
      <w:szCs w:val="24"/>
      <w:u w:val="none"/>
    </w:rPr>
  </w:style>
  <w:style w:type="character" w:customStyle="1" w:styleId="39">
    <w:name w:val="font31"/>
    <w:basedOn w:val="17"/>
    <w:qFormat/>
    <w:uiPriority w:val="0"/>
    <w:rPr>
      <w:rFonts w:hint="default" w:ascii="东文宋体" w:hAnsi="东文宋体" w:eastAsia="东文宋体" w:cs="东文宋体"/>
      <w:color w:val="000000"/>
      <w:sz w:val="18"/>
      <w:szCs w:val="18"/>
      <w:u w:val="none"/>
    </w:rPr>
  </w:style>
  <w:style w:type="character" w:customStyle="1" w:styleId="40">
    <w:name w:val="font9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69</Pages>
  <Words>28082</Words>
  <Characters>29688</Characters>
  <Lines>61</Lines>
  <Paragraphs>17</Paragraphs>
  <TotalTime>13</TotalTime>
  <ScaleCrop>false</ScaleCrop>
  <LinksUpToDate>false</LinksUpToDate>
  <CharactersWithSpaces>29796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2020-08-08T09:49:00Z</dcterms:created>
  <dc:creator>曹颖</dc:creator>
  <cp:lastModifiedBy> </cp:lastModifiedBy>
  <cp:lastPrinted>2023-08-03T10:35:00Z</cp:lastPrinted>
  <dcterms:modified xsi:type="dcterms:W3CDTF">2023-10-12T09:07:09Z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1BF328E4FCBC46E183310AF8D9815CC9</vt:lpwstr>
  </property>
</Properties>
</file>