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600" w:lineRule="exact"/>
        <w:jc w:val="both"/>
        <w:outlineLvl w:val="9"/>
        <w:rPr>
          <w:rFonts w:ascii="方正小标宋简体" w:hAnsi="宋体" w:eastAsia="方正小标宋简体"/>
          <w:color w:val="auto"/>
          <w:sz w:val="72"/>
          <w:szCs w:val="72"/>
          <w:highlight w:val="none"/>
        </w:rPr>
      </w:pPr>
      <w:bookmarkStart w:id="0" w:name="_Toc15377193"/>
      <w:bookmarkStart w:id="1" w:name="_Toc15377425"/>
      <w:bookmarkStart w:id="2" w:name="_Toc15396597"/>
      <w:bookmarkStart w:id="3" w:name="_Toc15306267"/>
      <w:bookmarkStart w:id="4" w:name="_Toc15378441"/>
      <w:bookmarkStart w:id="5" w:name="_Toc15396475"/>
    </w:p>
    <w:p>
      <w:pPr>
        <w:pStyle w:val="2"/>
        <w:keepNext w:val="0"/>
        <w:keepLines w:val="0"/>
        <w:pageBreakBefore w:val="0"/>
        <w:shd w:val="clear"/>
        <w:kinsoku/>
        <w:wordWrap/>
        <w:overflowPunct/>
        <w:topLinePunct w:val="0"/>
        <w:autoSpaceDE/>
        <w:autoSpaceDN/>
        <w:bidi w:val="0"/>
        <w:outlineLvl w:val="9"/>
        <w:rPr>
          <w:color w:val="auto"/>
          <w:highlight w:val="none"/>
        </w:rPr>
      </w:pPr>
    </w:p>
    <w:bookmarkEnd w:id="0"/>
    <w:bookmarkEnd w:id="1"/>
    <w:bookmarkEnd w:id="2"/>
    <w:bookmarkEnd w:id="3"/>
    <w:bookmarkEnd w:id="4"/>
    <w:bookmarkEnd w:id="5"/>
    <w:p>
      <w:pPr>
        <w:keepNext w:val="0"/>
        <w:keepLines w:val="0"/>
        <w:pageBreakBefore w:val="0"/>
        <w:shd w:val="clear"/>
        <w:kinsoku/>
        <w:wordWrap/>
        <w:overflowPunct/>
        <w:topLinePunct w:val="0"/>
        <w:autoSpaceDE/>
        <w:autoSpaceDN/>
        <w:bidi w:val="0"/>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6" w:name="_Toc413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6"/>
    </w:p>
    <w:p>
      <w:pPr>
        <w:keepNext w:val="0"/>
        <w:keepLines w:val="0"/>
        <w:pageBreakBefore w:val="0"/>
        <w:shd w:val="clear"/>
        <w:kinsoku/>
        <w:wordWrap/>
        <w:overflowPunct/>
        <w:topLinePunct w:val="0"/>
        <w:autoSpaceDE/>
        <w:autoSpaceDN/>
        <w:bidi w:val="0"/>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lang w:val="en-US" w:eastAsia="zh-CN"/>
        </w:rPr>
      </w:pPr>
      <w:bookmarkStart w:id="7" w:name="_Toc15396476"/>
      <w:bookmarkStart w:id="8" w:name="_Toc15378442"/>
      <w:bookmarkStart w:id="9" w:name="_Toc15396598"/>
      <w:bookmarkStart w:id="10" w:name="_Toc15377426"/>
      <w:bookmarkStart w:id="11" w:name="_Toc7033"/>
      <w:bookmarkStart w:id="12"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Start w:id="13" w:name="_Toc15306268"/>
      <w:r>
        <w:rPr>
          <w:rFonts w:hint="eastAsia" w:ascii="方正小标宋简体" w:hAnsi="方正小标宋简体" w:eastAsia="方正小标宋简体" w:cs="方正小标宋简体"/>
          <w:color w:val="auto"/>
          <w:sz w:val="72"/>
          <w:szCs w:val="72"/>
          <w:highlight w:val="none"/>
          <w:lang w:val="en-US" w:eastAsia="zh-CN"/>
        </w:rPr>
        <w:t>经济合作和外事局</w:t>
      </w:r>
    </w:p>
    <w:p>
      <w:pPr>
        <w:keepNext w:val="0"/>
        <w:keepLines w:val="0"/>
        <w:pageBreakBefore w:val="0"/>
        <w:shd w:val="clear"/>
        <w:kinsoku/>
        <w:wordWrap/>
        <w:overflowPunct/>
        <w:topLinePunct w:val="0"/>
        <w:autoSpaceDE/>
        <w:autoSpaceDN/>
        <w:bidi w:val="0"/>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w:t>
      </w:r>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rPr>
        <w:t>门</w:t>
      </w:r>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rPr>
        <w:t>决</w:t>
      </w:r>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rPr>
        <w:t>算</w:t>
      </w:r>
      <w:bookmarkEnd w:id="7"/>
      <w:bookmarkEnd w:id="8"/>
      <w:bookmarkEnd w:id="9"/>
      <w:bookmarkEnd w:id="10"/>
      <w:bookmarkEnd w:id="11"/>
      <w:bookmarkEnd w:id="12"/>
      <w:bookmarkEnd w:id="13"/>
    </w:p>
    <w:p>
      <w:pPr>
        <w:shd w:val="clear"/>
        <w:rPr>
          <w:rFonts w:ascii="方正小标宋简体" w:hAnsi="宋体" w:eastAsia="方正小标宋简体"/>
          <w:color w:val="auto"/>
          <w:sz w:val="36"/>
          <w:szCs w:val="36"/>
          <w:highlight w:val="none"/>
        </w:rPr>
        <w:sectPr>
          <w:headerReference r:id="rId3" w:type="default"/>
          <w:footerReference r:id="rId4" w:type="default"/>
          <w:pgSz w:w="11906" w:h="16838"/>
          <w:pgMar w:top="2098" w:right="1474" w:bottom="1984" w:left="1587" w:header="851" w:footer="1587" w:gutter="0"/>
          <w:pgNumType w:start="1"/>
          <w:cols w:space="0" w:num="1"/>
          <w:titlePg/>
          <w:rtlGutter w:val="0"/>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line="576" w:lineRule="exact"/>
        <w:jc w:val="both"/>
        <w:textAlignment w:val="auto"/>
        <w:outlineLvl w:val="9"/>
        <w:rPr>
          <w:rFonts w:hint="eastAsia" w:ascii="黑体" w:hAnsi="黑体" w:eastAsia="黑体"/>
          <w:color w:val="auto"/>
          <w:sz w:val="48"/>
          <w:szCs w:val="48"/>
          <w:highlight w:val="none"/>
        </w:rPr>
      </w:pPr>
    </w:p>
    <w:p>
      <w:pPr>
        <w:keepNext w:val="0"/>
        <w:keepLines w:val="0"/>
        <w:pageBreakBefore w:val="0"/>
        <w:widowControl/>
        <w:shd w:val="clear"/>
        <w:kinsoku/>
        <w:wordWrap/>
        <w:overflowPunct/>
        <w:topLinePunct w:val="0"/>
        <w:autoSpaceDE/>
        <w:autoSpaceDN/>
        <w:bidi w:val="0"/>
        <w:adjustRightInd/>
        <w:snapToGrid/>
        <w:spacing w:line="576" w:lineRule="exact"/>
        <w:jc w:val="center"/>
        <w:textAlignment w:val="auto"/>
        <w:rPr>
          <w:rFonts w:ascii="黑体" w:hAnsi="黑体" w:eastAsia="黑体" w:cstheme="minorBidi"/>
          <w:color w:val="auto"/>
          <w:sz w:val="28"/>
          <w:szCs w:val="28"/>
          <w:highlight w:val="none"/>
        </w:rPr>
      </w:pPr>
      <w:bookmarkStart w:id="14" w:name="_Toc15396599"/>
      <w:bookmarkStart w:id="15" w:name="_Toc15377196"/>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pStyle w:val="13"/>
        <w:keepNext w:val="0"/>
        <w:keepLines w:val="0"/>
        <w:pageBreakBefore w:val="0"/>
        <w:shd w:val="clear"/>
        <w:kinsoku/>
        <w:wordWrap/>
        <w:overflowPunct/>
        <w:topLinePunct w:val="0"/>
        <w:autoSpaceDE/>
        <w:autoSpaceDN/>
        <w:bidi w:val="0"/>
        <w:adjustRightInd/>
        <w:snapToGrid/>
        <w:spacing w:before="0" w:line="576" w:lineRule="exact"/>
        <w:textAlignment w:val="auto"/>
        <w:rPr>
          <w:rFonts w:hint="eastAsia"/>
          <w:color w:val="auto"/>
          <w:highlight w:val="none"/>
        </w:rPr>
      </w:pPr>
      <w:r>
        <w:rPr>
          <w:rFonts w:hint="eastAsia" w:ascii="方正楷体简体" w:hAnsi="方正楷体简体" w:eastAsia="方正楷体简体" w:cs="方正楷体简体"/>
          <w:color w:val="auto"/>
          <w:sz w:val="32"/>
          <w:szCs w:val="32"/>
          <w:highlight w:val="none"/>
        </w:rPr>
        <w:t>公开时间：20</w:t>
      </w:r>
      <w:r>
        <w:rPr>
          <w:rFonts w:hint="eastAsia" w:ascii="方正楷体简体" w:hAnsi="方正楷体简体" w:eastAsia="方正楷体简体" w:cs="方正楷体简体"/>
          <w:color w:val="auto"/>
          <w:sz w:val="32"/>
          <w:szCs w:val="32"/>
          <w:highlight w:val="none"/>
          <w:lang w:val="en-US" w:eastAsia="zh-CN"/>
        </w:rPr>
        <w:t>23</w:t>
      </w:r>
      <w:r>
        <w:rPr>
          <w:rFonts w:hint="eastAsia" w:ascii="方正楷体简体" w:hAnsi="方正楷体简体" w:eastAsia="方正楷体简体" w:cs="方正楷体简体"/>
          <w:color w:val="auto"/>
          <w:sz w:val="32"/>
          <w:szCs w:val="32"/>
          <w:highlight w:val="none"/>
        </w:rPr>
        <w:t>年</w:t>
      </w:r>
      <w:r>
        <w:rPr>
          <w:rFonts w:hint="eastAsia" w:ascii="方正楷体简体" w:hAnsi="方正楷体简体" w:eastAsia="方正楷体简体" w:cs="方正楷体简体"/>
          <w:color w:val="auto"/>
          <w:sz w:val="32"/>
          <w:szCs w:val="32"/>
          <w:highlight w:val="none"/>
          <w:lang w:val="en-US" w:eastAsia="zh-CN"/>
        </w:rPr>
        <w:t>10</w:t>
      </w:r>
      <w:r>
        <w:rPr>
          <w:rFonts w:hint="eastAsia" w:ascii="方正楷体简体" w:hAnsi="方正楷体简体" w:eastAsia="方正楷体简体" w:cs="方正楷体简体"/>
          <w:color w:val="auto"/>
          <w:sz w:val="32"/>
          <w:szCs w:val="32"/>
          <w:highlight w:val="none"/>
        </w:rPr>
        <w:t>月</w:t>
      </w:r>
      <w:r>
        <w:rPr>
          <w:rFonts w:hint="eastAsia" w:ascii="方正楷体简体" w:hAnsi="方正楷体简体" w:eastAsia="方正楷体简体" w:cs="方正楷体简体"/>
          <w:color w:val="auto"/>
          <w:sz w:val="32"/>
          <w:szCs w:val="32"/>
          <w:highlight w:val="none"/>
          <w:lang w:val="en-US" w:eastAsia="zh-CN"/>
        </w:rPr>
        <w:t>7</w:t>
      </w:r>
      <w:r>
        <w:rPr>
          <w:rFonts w:hint="eastAsia" w:ascii="方正楷体简体" w:hAnsi="方正楷体简体" w:eastAsia="方正楷体简体" w:cs="方正楷体简体"/>
          <w:color w:val="auto"/>
          <w:sz w:val="32"/>
          <w:szCs w:val="32"/>
          <w:highlight w:val="none"/>
        </w:rPr>
        <w:t>日</w:t>
      </w:r>
    </w:p>
    <w:p>
      <w:pPr>
        <w:pStyle w:val="13"/>
        <w:keepNext w:val="0"/>
        <w:keepLines w:val="0"/>
        <w:pageBreakBefore w:val="0"/>
        <w:shd w:val="clear"/>
        <w:tabs>
          <w:tab w:val="right" w:leader="dot" w:pos="8845"/>
          <w:tab w:val="clear" w:pos="8296"/>
        </w:tabs>
        <w:kinsoku/>
        <w:wordWrap/>
        <w:overflowPunct/>
        <w:topLinePunct w:val="0"/>
        <w:autoSpaceDE/>
        <w:autoSpaceDN/>
        <w:bidi w:val="0"/>
        <w:adjustRightInd/>
        <w:snapToGrid/>
        <w:spacing w:before="0"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"1-2"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_Toc18077 </w:instrText>
      </w:r>
      <w:r>
        <w:rPr>
          <w:color w:val="auto"/>
          <w:sz w:val="32"/>
          <w:szCs w:val="32"/>
          <w:highlight w:val="none"/>
        </w:rPr>
        <w:fldChar w:fldCharType="separate"/>
      </w:r>
      <w:r>
        <w:rPr>
          <w:rFonts w:hint="eastAsia" w:ascii="方正小标宋简体" w:hAnsi="方正小标宋简体" w:eastAsia="方正小标宋简体" w:cs="方正小标宋简体"/>
          <w:color w:val="auto"/>
          <w:sz w:val="32"/>
          <w:szCs w:val="32"/>
          <w:highlight w:val="none"/>
        </w:rPr>
        <w:t xml:space="preserve">第一部分 </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bCs w:val="0"/>
          <w:color w:val="auto"/>
          <w:sz w:val="32"/>
          <w:szCs w:val="32"/>
          <w:highlight w:val="none"/>
        </w:rPr>
        <w:t>部门概况</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_Toc18077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_Toc26771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一、部门职责</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_Toc26771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_Toc26478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二、机构设置</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_Toc26478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pPr>
        <w:pStyle w:val="13"/>
        <w:keepNext w:val="0"/>
        <w:keepLines w:val="0"/>
        <w:pageBreakBefore w:val="0"/>
        <w:shd w:val="clear"/>
        <w:tabs>
          <w:tab w:val="right" w:leader="dot" w:pos="8845"/>
          <w:tab w:val="clear" w:pos="8296"/>
        </w:tabs>
        <w:kinsoku/>
        <w:wordWrap/>
        <w:overflowPunct/>
        <w:topLinePunct w:val="0"/>
        <w:autoSpaceDE/>
        <w:autoSpaceDN/>
        <w:bidi w:val="0"/>
        <w:adjustRightInd/>
        <w:snapToGrid/>
        <w:spacing w:before="0"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_Toc18777 </w:instrText>
      </w:r>
      <w:r>
        <w:rPr>
          <w:color w:val="auto"/>
          <w:sz w:val="32"/>
          <w:szCs w:val="32"/>
          <w:highlight w:val="none"/>
        </w:rPr>
        <w:fldChar w:fldCharType="separate"/>
      </w:r>
      <w:r>
        <w:rPr>
          <w:rFonts w:hint="eastAsia" w:ascii="方正小标宋简体" w:hAnsi="方正小标宋简体" w:eastAsia="方正小标宋简体" w:cs="方正小标宋简体"/>
          <w:color w:val="auto"/>
          <w:sz w:val="32"/>
          <w:szCs w:val="32"/>
          <w:highlight w:val="none"/>
          <w:lang w:eastAsia="zh-CN"/>
        </w:rPr>
        <w:t xml:space="preserve">第二部分 </w:t>
      </w:r>
      <w:r>
        <w:rPr>
          <w:rFonts w:hint="eastAsia" w:ascii="方正小标宋简体" w:hAnsi="方正小标宋简体" w:eastAsia="方正小标宋简体" w:cs="方正小标宋简体"/>
          <w:color w:val="auto"/>
          <w:sz w:val="32"/>
          <w:szCs w:val="32"/>
          <w:highlight w:val="none"/>
          <w:lang w:val="en-US" w:eastAsia="zh-CN"/>
        </w:rPr>
        <w:t xml:space="preserve"> 2022年度</w:t>
      </w:r>
      <w:r>
        <w:rPr>
          <w:rFonts w:hint="eastAsia" w:ascii="方正小标宋简体" w:hAnsi="方正小标宋简体" w:eastAsia="方正小标宋简体" w:cs="方正小标宋简体"/>
          <w:color w:val="auto"/>
          <w:sz w:val="32"/>
          <w:szCs w:val="32"/>
          <w:highlight w:val="none"/>
          <w:lang w:eastAsia="zh-CN"/>
        </w:rPr>
        <w:t>部门决算情况说明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_Toc18777 \h </w:instrText>
      </w:r>
      <w:r>
        <w:rPr>
          <w:color w:val="auto"/>
          <w:sz w:val="32"/>
          <w:szCs w:val="32"/>
          <w:highlight w:val="none"/>
        </w:rPr>
        <w:fldChar w:fldCharType="separate"/>
      </w:r>
      <w:r>
        <w:rPr>
          <w:color w:val="auto"/>
          <w:sz w:val="32"/>
          <w:szCs w:val="32"/>
          <w:highlight w:val="none"/>
        </w:rPr>
        <w:t>4</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_Toc8720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一、收入支出决算总体情况说明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_Toc8720 \h </w:instrText>
      </w:r>
      <w:r>
        <w:rPr>
          <w:color w:val="auto"/>
          <w:sz w:val="32"/>
          <w:szCs w:val="32"/>
          <w:highlight w:val="none"/>
        </w:rPr>
        <w:fldChar w:fldCharType="separate"/>
      </w:r>
      <w:r>
        <w:rPr>
          <w:color w:val="auto"/>
          <w:sz w:val="32"/>
          <w:szCs w:val="32"/>
          <w:highlight w:val="none"/>
        </w:rPr>
        <w:t>4</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_Toc3767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二、收入决算情况说明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_Toc3767 \h </w:instrText>
      </w:r>
      <w:r>
        <w:rPr>
          <w:color w:val="auto"/>
          <w:sz w:val="32"/>
          <w:szCs w:val="32"/>
          <w:highlight w:val="none"/>
        </w:rPr>
        <w:fldChar w:fldCharType="separate"/>
      </w:r>
      <w:r>
        <w:rPr>
          <w:color w:val="auto"/>
          <w:sz w:val="32"/>
          <w:szCs w:val="32"/>
          <w:highlight w:val="none"/>
        </w:rPr>
        <w:t>4</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_Toc19918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三、支出决算情况说明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_Toc19918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_Toc1299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四、财政拨款收入支出决算总体情况说明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_Toc1299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_Toc13976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五、一般公共预算财政拨款支出决算情况说明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_Toc13976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_Toc15670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六、一般公共预算财政拨款基本支出决算情况说明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_Toc15670 \h </w:instrText>
      </w:r>
      <w:r>
        <w:rPr>
          <w:color w:val="auto"/>
          <w:sz w:val="32"/>
          <w:szCs w:val="32"/>
          <w:highlight w:val="none"/>
        </w:rPr>
        <w:fldChar w:fldCharType="separate"/>
      </w:r>
      <w:r>
        <w:rPr>
          <w:color w:val="auto"/>
          <w:sz w:val="32"/>
          <w:szCs w:val="32"/>
          <w:highlight w:val="none"/>
        </w:rPr>
        <w:t>9</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_Toc13383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七、财政拨款“三公”经费支出决算情况说明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_Toc13383 \h </w:instrText>
      </w:r>
      <w:r>
        <w:rPr>
          <w:color w:val="auto"/>
          <w:sz w:val="32"/>
          <w:szCs w:val="32"/>
          <w:highlight w:val="none"/>
        </w:rPr>
        <w:fldChar w:fldCharType="separate"/>
      </w:r>
      <w:r>
        <w:rPr>
          <w:color w:val="auto"/>
          <w:sz w:val="32"/>
          <w:szCs w:val="32"/>
          <w:highlight w:val="none"/>
        </w:rPr>
        <w:t>9</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_Toc22788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八、政府性基金预算支出决算情况说明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_Toc22788 \h </w:instrText>
      </w:r>
      <w:r>
        <w:rPr>
          <w:color w:val="auto"/>
          <w:sz w:val="32"/>
          <w:szCs w:val="32"/>
          <w:highlight w:val="none"/>
        </w:rPr>
        <w:fldChar w:fldCharType="separate"/>
      </w:r>
      <w:r>
        <w:rPr>
          <w:color w:val="auto"/>
          <w:sz w:val="32"/>
          <w:szCs w:val="32"/>
          <w:highlight w:val="none"/>
        </w:rPr>
        <w:t>11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_Toc3312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九、国有资本经营预算支出决算情况说明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_Toc3312 \h </w:instrText>
      </w:r>
      <w:r>
        <w:rPr>
          <w:color w:val="auto"/>
          <w:sz w:val="32"/>
          <w:szCs w:val="32"/>
          <w:highlight w:val="none"/>
        </w:rPr>
        <w:fldChar w:fldCharType="separate"/>
      </w:r>
      <w:r>
        <w:rPr>
          <w:color w:val="auto"/>
          <w:sz w:val="32"/>
          <w:szCs w:val="32"/>
          <w:highlight w:val="none"/>
        </w:rPr>
        <w:t>11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_Toc2804 </w:instrText>
      </w:r>
      <w:r>
        <w:rPr>
          <w:color w:val="auto"/>
          <w:sz w:val="32"/>
          <w:szCs w:val="32"/>
          <w:highlight w:val="none"/>
        </w:rPr>
        <w:fldChar w:fldCharType="separate"/>
      </w:r>
      <w:r>
        <w:rPr>
          <w:rFonts w:hint="eastAsia" w:ascii="黑体" w:hAnsi="黑体" w:eastAsia="黑体" w:cs="黑体"/>
          <w:color w:val="auto"/>
          <w:sz w:val="32"/>
          <w:szCs w:val="32"/>
          <w:highlight w:val="none"/>
          <w:lang w:eastAsia="zh-CN"/>
        </w:rPr>
        <w:t>十、其他重要事项的情况说明</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_Toc2804 \h </w:instrText>
      </w:r>
      <w:r>
        <w:rPr>
          <w:color w:val="auto"/>
          <w:sz w:val="32"/>
          <w:szCs w:val="32"/>
          <w:highlight w:val="none"/>
        </w:rPr>
        <w:fldChar w:fldCharType="separate"/>
      </w:r>
      <w:r>
        <w:rPr>
          <w:color w:val="auto"/>
          <w:sz w:val="32"/>
          <w:szCs w:val="32"/>
          <w:highlight w:val="none"/>
        </w:rPr>
        <w:t>11</w:t>
      </w:r>
      <w:r>
        <w:rPr>
          <w:color w:val="auto"/>
          <w:sz w:val="32"/>
          <w:szCs w:val="32"/>
          <w:highlight w:val="none"/>
        </w:rPr>
        <w:fldChar w:fldCharType="end"/>
      </w:r>
      <w:r>
        <w:rPr>
          <w:color w:val="auto"/>
          <w:sz w:val="32"/>
          <w:szCs w:val="32"/>
          <w:highlight w:val="none"/>
        </w:rPr>
        <w:fldChar w:fldCharType="end"/>
      </w:r>
    </w:p>
    <w:p>
      <w:pPr>
        <w:pStyle w:val="13"/>
        <w:keepNext w:val="0"/>
        <w:keepLines w:val="0"/>
        <w:pageBreakBefore w:val="0"/>
        <w:shd w:val="clear"/>
        <w:tabs>
          <w:tab w:val="right" w:leader="dot" w:pos="8845"/>
          <w:tab w:val="clear" w:pos="8296"/>
        </w:tabs>
        <w:kinsoku/>
        <w:wordWrap/>
        <w:overflowPunct/>
        <w:topLinePunct w:val="0"/>
        <w:autoSpaceDE/>
        <w:autoSpaceDN/>
        <w:bidi w:val="0"/>
        <w:adjustRightInd/>
        <w:snapToGrid/>
        <w:spacing w:before="0"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_Toc764 </w:instrText>
      </w:r>
      <w:r>
        <w:rPr>
          <w:color w:val="auto"/>
          <w:sz w:val="32"/>
          <w:szCs w:val="32"/>
          <w:highlight w:val="none"/>
        </w:rPr>
        <w:fldChar w:fldCharType="separate"/>
      </w:r>
      <w:r>
        <w:rPr>
          <w:rFonts w:hint="eastAsia" w:ascii="方正小标宋简体" w:hAnsi="方正小标宋简体" w:eastAsia="方正小标宋简体" w:cs="方正小标宋简体"/>
          <w:color w:val="auto"/>
          <w:sz w:val="32"/>
          <w:szCs w:val="32"/>
          <w:highlight w:val="none"/>
          <w:lang w:eastAsia="zh-CN"/>
        </w:rPr>
        <w:t>第三部分</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名词解释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_Toc764 \h </w:instrText>
      </w:r>
      <w:r>
        <w:rPr>
          <w:color w:val="auto"/>
          <w:sz w:val="32"/>
          <w:szCs w:val="32"/>
          <w:highlight w:val="none"/>
        </w:rPr>
        <w:fldChar w:fldCharType="separate"/>
      </w:r>
      <w:r>
        <w:rPr>
          <w:color w:val="auto"/>
          <w:sz w:val="32"/>
          <w:szCs w:val="32"/>
          <w:highlight w:val="none"/>
        </w:rPr>
        <w:t>14</w:t>
      </w:r>
      <w:r>
        <w:rPr>
          <w:color w:val="auto"/>
          <w:sz w:val="32"/>
          <w:szCs w:val="32"/>
          <w:highlight w:val="none"/>
        </w:rPr>
        <w:fldChar w:fldCharType="end"/>
      </w:r>
      <w:r>
        <w:rPr>
          <w:color w:val="auto"/>
          <w:sz w:val="32"/>
          <w:szCs w:val="32"/>
          <w:highlight w:val="none"/>
        </w:rPr>
        <w:fldChar w:fldCharType="end"/>
      </w:r>
    </w:p>
    <w:p>
      <w:pPr>
        <w:pStyle w:val="13"/>
        <w:keepNext w:val="0"/>
        <w:keepLines w:val="0"/>
        <w:pageBreakBefore w:val="0"/>
        <w:shd w:val="clear"/>
        <w:tabs>
          <w:tab w:val="right" w:leader="dot" w:pos="8845"/>
          <w:tab w:val="clear" w:pos="8296"/>
        </w:tabs>
        <w:kinsoku/>
        <w:wordWrap/>
        <w:overflowPunct/>
        <w:topLinePunct w:val="0"/>
        <w:autoSpaceDE/>
        <w:autoSpaceDN/>
        <w:bidi w:val="0"/>
        <w:adjustRightInd/>
        <w:snapToGrid/>
        <w:spacing w:before="0"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_Toc18007 </w:instrText>
      </w:r>
      <w:r>
        <w:rPr>
          <w:color w:val="auto"/>
          <w:sz w:val="32"/>
          <w:szCs w:val="32"/>
          <w:highlight w:val="none"/>
        </w:rPr>
        <w:fldChar w:fldCharType="separate"/>
      </w:r>
      <w:r>
        <w:rPr>
          <w:rFonts w:hint="eastAsia" w:ascii="方正小标宋简体" w:hAnsi="方正小标宋简体" w:eastAsia="方正小标宋简体" w:cs="方正小标宋简体"/>
          <w:color w:val="auto"/>
          <w:sz w:val="32"/>
          <w:szCs w:val="32"/>
          <w:highlight w:val="none"/>
        </w:rPr>
        <w:t xml:space="preserve">第四部分 </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附件</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_Toc18007 \h </w:instrText>
      </w:r>
      <w:r>
        <w:rPr>
          <w:color w:val="auto"/>
          <w:sz w:val="32"/>
          <w:szCs w:val="32"/>
          <w:highlight w:val="none"/>
        </w:rPr>
        <w:fldChar w:fldCharType="separate"/>
      </w:r>
      <w:r>
        <w:rPr>
          <w:color w:val="auto"/>
          <w:sz w:val="32"/>
          <w:szCs w:val="32"/>
          <w:highlight w:val="none"/>
        </w:rPr>
        <w:t>17</w:t>
      </w:r>
      <w:r>
        <w:rPr>
          <w:color w:val="auto"/>
          <w:sz w:val="32"/>
          <w:szCs w:val="32"/>
          <w:highlight w:val="none"/>
        </w:rPr>
        <w:fldChar w:fldCharType="end"/>
      </w:r>
      <w:r>
        <w:rPr>
          <w:color w:val="auto"/>
          <w:sz w:val="32"/>
          <w:szCs w:val="32"/>
          <w:highlight w:val="none"/>
        </w:rPr>
        <w:fldChar w:fldCharType="end"/>
      </w:r>
    </w:p>
    <w:p>
      <w:pPr>
        <w:pStyle w:val="13"/>
        <w:keepNext w:val="0"/>
        <w:keepLines w:val="0"/>
        <w:pageBreakBefore w:val="0"/>
        <w:shd w:val="clear"/>
        <w:tabs>
          <w:tab w:val="right" w:leader="dot" w:pos="8845"/>
          <w:tab w:val="clear" w:pos="8296"/>
        </w:tabs>
        <w:kinsoku/>
        <w:wordWrap/>
        <w:overflowPunct/>
        <w:topLinePunct w:val="0"/>
        <w:autoSpaceDE/>
        <w:autoSpaceDN/>
        <w:bidi w:val="0"/>
        <w:adjustRightInd/>
        <w:snapToGrid/>
        <w:spacing w:before="0"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_Toc13537 </w:instrText>
      </w:r>
      <w:r>
        <w:rPr>
          <w:color w:val="auto"/>
          <w:sz w:val="32"/>
          <w:szCs w:val="32"/>
          <w:highlight w:val="none"/>
        </w:rPr>
        <w:fldChar w:fldCharType="separate"/>
      </w:r>
      <w:r>
        <w:rPr>
          <w:rFonts w:hint="eastAsia" w:ascii="方正小标宋简体" w:hAnsi="方正小标宋简体" w:eastAsia="方正小标宋简体" w:cs="方正小标宋简体"/>
          <w:color w:val="auto"/>
          <w:sz w:val="32"/>
          <w:szCs w:val="32"/>
          <w:highlight w:val="none"/>
        </w:rPr>
        <w:t>第五部分</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 xml:space="preserve"> 附表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_Toc13537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_Toc20131 </w:instrText>
      </w:r>
      <w:r>
        <w:rPr>
          <w:color w:val="auto"/>
          <w:sz w:val="32"/>
          <w:szCs w:val="32"/>
          <w:highlight w:val="none"/>
        </w:rPr>
        <w:fldChar w:fldCharType="separate"/>
      </w:r>
      <w:r>
        <w:rPr>
          <w:rFonts w:hint="eastAsia" w:ascii="黑体" w:hAnsi="黑体" w:eastAsia="黑体" w:cs="黑体"/>
          <w:color w:val="auto"/>
          <w:sz w:val="32"/>
          <w:szCs w:val="32"/>
          <w:highlight w:val="none"/>
        </w:rPr>
        <w:t>一、收</w:t>
      </w:r>
      <w:r>
        <w:rPr>
          <w:rFonts w:hint="eastAsia" w:ascii="黑体" w:hAnsi="黑体" w:eastAsia="黑体" w:cs="黑体"/>
          <w:bCs w:val="0"/>
          <w:color w:val="auto"/>
          <w:sz w:val="32"/>
          <w:szCs w:val="32"/>
          <w:highlight w:val="none"/>
        </w:rPr>
        <w:t>入支出决算总表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_Toc20131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_Toc25513 </w:instrText>
      </w:r>
      <w:r>
        <w:rPr>
          <w:color w:val="auto"/>
          <w:sz w:val="32"/>
          <w:szCs w:val="32"/>
          <w:highlight w:val="none"/>
        </w:rPr>
        <w:fldChar w:fldCharType="separate"/>
      </w:r>
      <w:r>
        <w:rPr>
          <w:rFonts w:hint="eastAsia" w:ascii="黑体" w:hAnsi="黑体" w:eastAsia="黑体" w:cs="黑体"/>
          <w:color w:val="auto"/>
          <w:sz w:val="32"/>
          <w:szCs w:val="32"/>
          <w:highlight w:val="none"/>
        </w:rPr>
        <w:t>二、收</w:t>
      </w:r>
      <w:r>
        <w:rPr>
          <w:rFonts w:hint="eastAsia" w:ascii="黑体" w:hAnsi="黑体" w:eastAsia="黑体" w:cs="黑体"/>
          <w:bCs w:val="0"/>
          <w:color w:val="auto"/>
          <w:sz w:val="32"/>
          <w:szCs w:val="32"/>
          <w:highlight w:val="none"/>
        </w:rPr>
        <w:t>入决算表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_Toc25513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_Toc1639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三、</w:t>
      </w:r>
      <w:r>
        <w:rPr>
          <w:rFonts w:hint="eastAsia" w:ascii="黑体" w:hAnsi="黑体" w:eastAsia="黑体" w:cs="黑体"/>
          <w:color w:val="auto"/>
          <w:sz w:val="32"/>
          <w:szCs w:val="32"/>
          <w:highlight w:val="none"/>
        </w:rPr>
        <w:t>支</w:t>
      </w:r>
      <w:r>
        <w:rPr>
          <w:rFonts w:hint="eastAsia" w:ascii="黑体" w:hAnsi="黑体" w:eastAsia="黑体" w:cs="黑体"/>
          <w:bCs w:val="0"/>
          <w:color w:val="auto"/>
          <w:sz w:val="32"/>
          <w:szCs w:val="32"/>
          <w:highlight w:val="none"/>
        </w:rPr>
        <w:t>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_Toc1639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_Toc7852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四、</w:t>
      </w:r>
      <w:r>
        <w:rPr>
          <w:rFonts w:hint="eastAsia" w:ascii="黑体" w:hAnsi="黑体" w:eastAsia="黑体" w:cs="黑体"/>
          <w:color w:val="auto"/>
          <w:sz w:val="32"/>
          <w:szCs w:val="32"/>
          <w:highlight w:val="none"/>
        </w:rPr>
        <w:t>财</w:t>
      </w:r>
      <w:r>
        <w:rPr>
          <w:rFonts w:hint="eastAsia" w:ascii="黑体" w:hAnsi="黑体" w:eastAsia="黑体" w:cs="黑体"/>
          <w:bCs w:val="0"/>
          <w:color w:val="auto"/>
          <w:sz w:val="32"/>
          <w:szCs w:val="32"/>
          <w:highlight w:val="none"/>
        </w:rPr>
        <w:t>政拨款收入支出决算总表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_Toc7852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_Toc8851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五、</w:t>
      </w:r>
      <w:r>
        <w:rPr>
          <w:rFonts w:hint="eastAsia" w:ascii="黑体" w:hAnsi="黑体" w:eastAsia="黑体" w:cs="黑体"/>
          <w:color w:val="auto"/>
          <w:sz w:val="32"/>
          <w:szCs w:val="32"/>
          <w:highlight w:val="none"/>
        </w:rPr>
        <w:t>财</w:t>
      </w:r>
      <w:r>
        <w:rPr>
          <w:rFonts w:hint="eastAsia" w:ascii="黑体" w:hAnsi="黑体" w:eastAsia="黑体" w:cs="黑体"/>
          <w:bCs w:val="0"/>
          <w:color w:val="auto"/>
          <w:sz w:val="32"/>
          <w:szCs w:val="32"/>
          <w:highlight w:val="none"/>
        </w:rPr>
        <w:t>政拨款支出决算明细表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_Toc8851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_Toc1578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六、</w:t>
      </w:r>
      <w:r>
        <w:rPr>
          <w:rFonts w:hint="eastAsia" w:ascii="黑体" w:hAnsi="黑体" w:eastAsia="黑体" w:cs="黑体"/>
          <w:color w:val="auto"/>
          <w:sz w:val="32"/>
          <w:szCs w:val="32"/>
          <w:highlight w:val="none"/>
        </w:rPr>
        <w:t>一</w:t>
      </w:r>
      <w:r>
        <w:rPr>
          <w:rFonts w:hint="eastAsia" w:ascii="黑体" w:hAnsi="黑体" w:eastAsia="黑体" w:cs="黑体"/>
          <w:bCs w:val="0"/>
          <w:color w:val="auto"/>
          <w:sz w:val="32"/>
          <w:szCs w:val="32"/>
          <w:highlight w:val="none"/>
        </w:rPr>
        <w:t>般公共预算财政拨款支出决算表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_Toc1578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_Toc19761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七、</w:t>
      </w:r>
      <w:r>
        <w:rPr>
          <w:rFonts w:hint="eastAsia" w:ascii="黑体" w:hAnsi="黑体" w:eastAsia="黑体" w:cs="黑体"/>
          <w:color w:val="auto"/>
          <w:sz w:val="32"/>
          <w:szCs w:val="32"/>
          <w:highlight w:val="none"/>
        </w:rPr>
        <w:t>一</w:t>
      </w:r>
      <w:r>
        <w:rPr>
          <w:rFonts w:hint="eastAsia" w:ascii="黑体" w:hAnsi="黑体" w:eastAsia="黑体" w:cs="黑体"/>
          <w:bCs w:val="0"/>
          <w:color w:val="auto"/>
          <w:sz w:val="32"/>
          <w:szCs w:val="32"/>
          <w:highlight w:val="none"/>
        </w:rPr>
        <w:t>般公共预算财政拨款支出决算明细表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_Toc19761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_Toc9128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八、</w:t>
      </w:r>
      <w:r>
        <w:rPr>
          <w:rFonts w:hint="eastAsia" w:ascii="黑体" w:hAnsi="黑体" w:eastAsia="黑体" w:cs="黑体"/>
          <w:color w:val="auto"/>
          <w:sz w:val="32"/>
          <w:szCs w:val="32"/>
          <w:highlight w:val="none"/>
        </w:rPr>
        <w:t>一</w:t>
      </w:r>
      <w:r>
        <w:rPr>
          <w:rFonts w:hint="eastAsia" w:ascii="黑体" w:hAnsi="黑体" w:eastAsia="黑体" w:cs="黑体"/>
          <w:bCs w:val="0"/>
          <w:color w:val="auto"/>
          <w:sz w:val="32"/>
          <w:szCs w:val="32"/>
          <w:highlight w:val="none"/>
        </w:rPr>
        <w:t>般公共预算财政拨款基本支出决算表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_Toc9128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_Toc23243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九、</w:t>
      </w:r>
      <w:r>
        <w:rPr>
          <w:rFonts w:hint="eastAsia" w:ascii="黑体" w:hAnsi="黑体" w:eastAsia="黑体" w:cs="黑体"/>
          <w:color w:val="auto"/>
          <w:sz w:val="32"/>
          <w:szCs w:val="32"/>
          <w:highlight w:val="none"/>
        </w:rPr>
        <w:t>一</w:t>
      </w:r>
      <w:r>
        <w:rPr>
          <w:rFonts w:hint="eastAsia" w:ascii="黑体" w:hAnsi="黑体" w:eastAsia="黑体" w:cs="黑体"/>
          <w:bCs w:val="0"/>
          <w:color w:val="auto"/>
          <w:sz w:val="32"/>
          <w:szCs w:val="32"/>
          <w:highlight w:val="none"/>
        </w:rPr>
        <w:t>般公共预算财政拨款项目支出决算表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_Toc23243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_Toc3645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十、</w:t>
      </w:r>
      <w:r>
        <w:rPr>
          <w:rFonts w:hint="eastAsia" w:ascii="黑体" w:hAnsi="黑体" w:eastAsia="黑体" w:cs="黑体"/>
          <w:color w:val="auto"/>
          <w:sz w:val="32"/>
          <w:szCs w:val="32"/>
          <w:highlight w:val="none"/>
        </w:rPr>
        <w:t>政</w:t>
      </w:r>
      <w:r>
        <w:rPr>
          <w:rFonts w:hint="eastAsia" w:ascii="黑体" w:hAnsi="黑体" w:eastAsia="黑体" w:cs="黑体"/>
          <w:bCs w:val="0"/>
          <w:color w:val="auto"/>
          <w:sz w:val="32"/>
          <w:szCs w:val="32"/>
          <w:highlight w:val="none"/>
        </w:rPr>
        <w:t>府性基金预算财政拨款收入支出决算表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_Toc3645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_Toc4106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十一、</w:t>
      </w:r>
      <w:r>
        <w:rPr>
          <w:rFonts w:hint="eastAsia" w:ascii="黑体" w:hAnsi="黑体" w:eastAsia="黑体" w:cs="黑体"/>
          <w:color w:val="auto"/>
          <w:sz w:val="32"/>
          <w:szCs w:val="32"/>
          <w:highlight w:val="none"/>
        </w:rPr>
        <w:t>国</w:t>
      </w:r>
      <w:r>
        <w:rPr>
          <w:rFonts w:hint="eastAsia" w:ascii="黑体" w:hAnsi="黑体" w:eastAsia="黑体" w:cs="黑体"/>
          <w:bCs w:val="0"/>
          <w:color w:val="auto"/>
          <w:sz w:val="32"/>
          <w:szCs w:val="32"/>
          <w:highlight w:val="none"/>
        </w:rPr>
        <w:t>有资本经营预算</w:t>
      </w:r>
      <w:r>
        <w:rPr>
          <w:rFonts w:hint="eastAsia" w:ascii="黑体" w:hAnsi="黑体" w:eastAsia="黑体" w:cs="黑体"/>
          <w:bCs w:val="0"/>
          <w:color w:val="auto"/>
          <w:sz w:val="32"/>
          <w:szCs w:val="32"/>
          <w:highlight w:val="none"/>
          <w:lang w:eastAsia="zh-CN"/>
        </w:rPr>
        <w:t>财政拨款收入</w:t>
      </w:r>
      <w:r>
        <w:rPr>
          <w:rFonts w:hint="eastAsia" w:ascii="黑体" w:hAnsi="黑体" w:eastAsia="黑体" w:cs="黑体"/>
          <w:bCs w:val="0"/>
          <w:color w:val="auto"/>
          <w:sz w:val="32"/>
          <w:szCs w:val="32"/>
          <w:highlight w:val="none"/>
        </w:rPr>
        <w:t>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_Toc4106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_Toc556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十二、</w:t>
      </w:r>
      <w:r>
        <w:rPr>
          <w:rFonts w:hint="eastAsia" w:ascii="黑体" w:hAnsi="黑体" w:eastAsia="黑体" w:cs="黑体"/>
          <w:bCs w:val="0"/>
          <w:color w:val="auto"/>
          <w:sz w:val="32"/>
          <w:szCs w:val="32"/>
          <w:highlight w:val="none"/>
          <w:lang w:eastAsia="zh-CN"/>
        </w:rPr>
        <w:t>国有资本经营预算财政拨款支出决算表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_Toc556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pStyle w:val="15"/>
        <w:keepNext w:val="0"/>
        <w:keepLines w:val="0"/>
        <w:pageBreakBefore w:val="0"/>
        <w:shd w:val="clear"/>
        <w:tabs>
          <w:tab w:val="right" w:leader="dot" w:pos="8845"/>
          <w:tab w:val="clear" w:pos="8296"/>
        </w:tabs>
        <w:kinsoku/>
        <w:wordWrap/>
        <w:overflowPunct/>
        <w:topLinePunct w:val="0"/>
        <w:autoSpaceDE/>
        <w:autoSpaceDN/>
        <w:bidi w:val="0"/>
        <w:adjustRightInd/>
        <w:snapToGrid/>
        <w:spacing w:line="576" w:lineRule="exact"/>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_Toc8536 </w:instrText>
      </w:r>
      <w:r>
        <w:rPr>
          <w:color w:val="auto"/>
          <w:sz w:val="32"/>
          <w:szCs w:val="32"/>
          <w:highlight w:val="none"/>
        </w:rPr>
        <w:fldChar w:fldCharType="separate"/>
      </w:r>
      <w:r>
        <w:rPr>
          <w:rFonts w:hint="eastAsia" w:ascii="黑体" w:hAnsi="黑体" w:eastAsia="黑体" w:cs="黑体"/>
          <w:bCs w:val="0"/>
          <w:color w:val="auto"/>
          <w:sz w:val="32"/>
          <w:szCs w:val="32"/>
          <w:highlight w:val="none"/>
        </w:rPr>
        <w:t>十三、</w:t>
      </w:r>
      <w:r>
        <w:rPr>
          <w:rFonts w:hint="eastAsia" w:ascii="黑体" w:hAnsi="黑体" w:eastAsia="黑体" w:cs="黑体"/>
          <w:bCs w:val="0"/>
          <w:color w:val="auto"/>
          <w:sz w:val="32"/>
          <w:szCs w:val="32"/>
          <w:highlight w:val="none"/>
          <w:lang w:eastAsia="zh-CN"/>
        </w:rPr>
        <w:t>财政拨款“三公”经费支出决算表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_Toc8536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pPr>
        <w:keepNext w:val="0"/>
        <w:keepLines w:val="0"/>
        <w:pageBreakBefore w:val="0"/>
        <w:shd w:val="clear"/>
        <w:kinsoku/>
        <w:wordWrap/>
        <w:overflowPunct/>
        <w:topLinePunct w:val="0"/>
        <w:autoSpaceDE/>
        <w:autoSpaceDN/>
        <w:bidi w:val="0"/>
        <w:adjustRightInd/>
        <w:snapToGrid/>
        <w:spacing w:line="576" w:lineRule="exact"/>
        <w:textAlignment w:val="auto"/>
        <w:rPr>
          <w:color w:val="auto"/>
          <w:highlight w:val="none"/>
        </w:rPr>
      </w:pPr>
      <w:r>
        <w:rPr>
          <w:color w:val="auto"/>
          <w:sz w:val="32"/>
          <w:szCs w:val="32"/>
          <w:highlight w:val="none"/>
        </w:rPr>
        <w:fldChar w:fldCharType="end"/>
      </w:r>
    </w:p>
    <w:p>
      <w:pPr>
        <w:shd w:val="clear"/>
        <w:rPr>
          <w:rFonts w:hint="eastAsia"/>
          <w:color w:val="auto"/>
          <w:sz w:val="24"/>
          <w:highlight w:val="none"/>
        </w:rPr>
      </w:pPr>
    </w:p>
    <w:p>
      <w:pPr>
        <w:pStyle w:val="2"/>
        <w:shd w:val="clear"/>
        <w:rPr>
          <w:rFonts w:hint="eastAsia"/>
          <w:color w:val="auto"/>
          <w:sz w:val="24"/>
          <w:highlight w:val="none"/>
        </w:rPr>
        <w:sectPr>
          <w:footerReference r:id="rId6" w:type="first"/>
          <w:footerReference r:id="rId5" w:type="default"/>
          <w:pgSz w:w="11906" w:h="16838"/>
          <w:pgMar w:top="2098" w:right="1474" w:bottom="1984" w:left="1587" w:header="851" w:footer="1587" w:gutter="0"/>
          <w:pgNumType w:fmt="decimal" w:start="1"/>
          <w:cols w:space="0" w:num="1"/>
          <w:rtlGutter w:val="0"/>
          <w:docGrid w:type="lines" w:linePitch="312" w:charSpace="0"/>
        </w:sectPr>
      </w:pPr>
    </w:p>
    <w:p>
      <w:pPr>
        <w:pStyle w:val="2"/>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color w:val="auto"/>
          <w:highlight w:val="none"/>
        </w:rPr>
      </w:pP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0" w:firstLineChars="0"/>
        <w:jc w:val="center"/>
        <w:textAlignment w:val="auto"/>
        <w:outlineLvl w:val="0"/>
        <w:rPr>
          <w:rStyle w:val="22"/>
          <w:rFonts w:hint="eastAsia" w:ascii="方正小标宋简体" w:hAnsi="方正小标宋简体" w:eastAsia="方正小标宋简体" w:cs="方正小标宋简体"/>
          <w:b/>
          <w:bCs w:val="0"/>
          <w:color w:val="auto"/>
          <w:sz w:val="44"/>
          <w:szCs w:val="44"/>
          <w:highlight w:val="none"/>
        </w:rPr>
      </w:pPr>
      <w:bookmarkStart w:id="16" w:name="_Toc15473"/>
      <w:bookmarkStart w:id="17" w:name="_Toc18301"/>
      <w:bookmarkStart w:id="18" w:name="_Toc18077"/>
      <w:r>
        <w:rPr>
          <w:rFonts w:hint="eastAsia" w:ascii="方正小标宋简体" w:hAnsi="方正小标宋简体" w:eastAsia="方正小标宋简体" w:cs="方正小标宋简体"/>
          <w:b w:val="0"/>
          <w:color w:val="auto"/>
          <w:sz w:val="44"/>
          <w:szCs w:val="44"/>
          <w:highlight w:val="none"/>
        </w:rPr>
        <w:t xml:space="preserve">第一部分 </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Style w:val="22"/>
          <w:rFonts w:hint="eastAsia" w:ascii="方正小标宋简体" w:hAnsi="方正小标宋简体" w:eastAsia="方正小标宋简体" w:cs="方正小标宋简体"/>
          <w:b w:val="0"/>
          <w:bCs w:val="0"/>
          <w:color w:val="auto"/>
          <w:sz w:val="44"/>
          <w:szCs w:val="44"/>
          <w:highlight w:val="none"/>
        </w:rPr>
        <w:t>部门概况</w:t>
      </w:r>
      <w:bookmarkEnd w:id="14"/>
      <w:bookmarkEnd w:id="15"/>
      <w:bookmarkEnd w:id="16"/>
      <w:bookmarkEnd w:id="17"/>
      <w:bookmarkEnd w:id="18"/>
    </w:p>
    <w:p>
      <w:pPr>
        <w:keepNext w:val="0"/>
        <w:keepLines w:val="0"/>
        <w:pageBreakBefore w:val="0"/>
        <w:widowControl w:val="0"/>
        <w:shd w:val="clear"/>
        <w:kinsoku/>
        <w:wordWrap/>
        <w:overflowPunct/>
        <w:topLinePunct w:val="0"/>
        <w:autoSpaceDE/>
        <w:autoSpaceDN/>
        <w:bidi w:val="0"/>
        <w:spacing w:line="576"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19" w:name="_Toc32392"/>
      <w:bookmarkStart w:id="20" w:name="_Toc26771"/>
      <w:r>
        <w:rPr>
          <w:rFonts w:hint="eastAsia" w:ascii="黑体" w:hAnsi="黑体" w:eastAsia="黑体" w:cs="黑体"/>
          <w:b w:val="0"/>
          <w:color w:val="auto"/>
          <w:sz w:val="32"/>
          <w:szCs w:val="32"/>
          <w:highlight w:val="none"/>
          <w:lang w:eastAsia="zh-CN"/>
        </w:rPr>
        <w:t>一、部门职责</w:t>
      </w:r>
      <w:bookmarkEnd w:id="19"/>
      <w:bookmarkEnd w:id="20"/>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（一）</w:t>
      </w:r>
      <w:r>
        <w:rPr>
          <w:rFonts w:hint="default" w:ascii="Times New Roman" w:hAnsi="Times New Roman" w:eastAsia="仿宋_GB2312" w:cs="Times New Roman"/>
          <w:bCs/>
          <w:color w:val="auto"/>
          <w:sz w:val="32"/>
          <w:szCs w:val="32"/>
          <w:highlight w:val="none"/>
        </w:rPr>
        <w:t>负责推进投资促进等有关领域的经济合作（以下简称经济合作）。参与起草有关经济合作的地方性法规和规章草案。参与拟订全市经济合作的中长期规划和年度计划并组织实施。</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（二）</w:t>
      </w:r>
      <w:r>
        <w:rPr>
          <w:rFonts w:hint="default" w:ascii="Times New Roman" w:hAnsi="Times New Roman" w:eastAsia="仿宋_GB2312" w:cs="Times New Roman"/>
          <w:bCs/>
          <w:color w:val="auto"/>
          <w:sz w:val="32"/>
          <w:szCs w:val="32"/>
          <w:highlight w:val="none"/>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（三）</w:t>
      </w:r>
      <w:r>
        <w:rPr>
          <w:rFonts w:hint="default" w:ascii="Times New Roman" w:hAnsi="Times New Roman" w:eastAsia="仿宋_GB2312" w:cs="Times New Roman"/>
          <w:bCs/>
          <w:color w:val="auto"/>
          <w:sz w:val="32"/>
          <w:szCs w:val="32"/>
          <w:highlight w:val="none"/>
        </w:rPr>
        <w:t>指导外商投资促进和管理工作。参与拟订外商投资政策和改革方案并组织实施。统计分析全市外商投资情况。依法监督检查外商投资企业执行有关法律法规规章、合同章程的情况并协调解决有关问题。</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（四）</w:t>
      </w:r>
      <w:r>
        <w:rPr>
          <w:rFonts w:hint="default" w:ascii="Times New Roman" w:hAnsi="Times New Roman" w:eastAsia="仿宋_GB2312" w:cs="Times New Roman"/>
          <w:bCs/>
          <w:color w:val="auto"/>
          <w:sz w:val="32"/>
          <w:szCs w:val="32"/>
          <w:highlight w:val="none"/>
        </w:rPr>
        <w:t>参与推进我市与国（境）内外相关区域合作。承担我市与国（境）内外相关区域经济合作活动的有关具体工作。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（五）</w:t>
      </w:r>
      <w:r>
        <w:rPr>
          <w:rFonts w:hint="default" w:ascii="Times New Roman" w:hAnsi="Times New Roman" w:eastAsia="仿宋_GB2312" w:cs="Times New Roman"/>
          <w:bCs/>
          <w:color w:val="auto"/>
          <w:sz w:val="32"/>
          <w:szCs w:val="32"/>
          <w:highlight w:val="none"/>
        </w:rPr>
        <w:t>承担推动我市与港澳台地区经贸合作有关工作。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（六）</w:t>
      </w:r>
      <w:r>
        <w:rPr>
          <w:rFonts w:hint="default" w:ascii="Times New Roman" w:hAnsi="Times New Roman" w:eastAsia="仿宋_GB2312" w:cs="Times New Roman"/>
          <w:bCs/>
          <w:color w:val="auto"/>
          <w:sz w:val="32"/>
          <w:szCs w:val="32"/>
          <w:highlight w:val="none"/>
        </w:rPr>
        <w:t>受市政府委托，负责管理市政府各驻外机构（不含市政府驻北京联络处、驻成都办事处、驻新疆办事处，下同）。推动全市博览发展促进工作，参与拟订全市会展业发展规划和相关政策。</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（七）</w:t>
      </w:r>
      <w:r>
        <w:rPr>
          <w:rFonts w:hint="default" w:ascii="Times New Roman" w:hAnsi="Times New Roman" w:eastAsia="仿宋_GB2312" w:cs="Times New Roman"/>
          <w:bCs/>
          <w:color w:val="auto"/>
          <w:sz w:val="32"/>
          <w:szCs w:val="32"/>
          <w:highlight w:val="none"/>
        </w:rPr>
        <w:t>负责职责范围内的安全生产和职业健康、生态环境保护、审批服务便民化等工作。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（八）</w:t>
      </w:r>
      <w:r>
        <w:rPr>
          <w:rFonts w:hint="default" w:ascii="Times New Roman" w:hAnsi="Times New Roman" w:eastAsia="仿宋_GB2312" w:cs="Times New Roman"/>
          <w:bCs/>
          <w:color w:val="auto"/>
          <w:sz w:val="32"/>
          <w:szCs w:val="32"/>
          <w:highlight w:val="none"/>
        </w:rPr>
        <w:t>完成市委、市政府交办的其他工作。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（九）</w:t>
      </w:r>
      <w:r>
        <w:rPr>
          <w:rFonts w:hint="default" w:ascii="Times New Roman" w:hAnsi="Times New Roman" w:eastAsia="仿宋_GB2312" w:cs="Times New Roman"/>
          <w:bCs/>
          <w:color w:val="auto"/>
          <w:sz w:val="32"/>
          <w:szCs w:val="32"/>
          <w:highlight w:val="none"/>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（十）</w:t>
      </w:r>
      <w:r>
        <w:rPr>
          <w:rFonts w:hint="default" w:ascii="Times New Roman" w:hAnsi="Times New Roman" w:eastAsia="仿宋_GB2312" w:cs="Times New Roman"/>
          <w:bCs/>
          <w:color w:val="auto"/>
          <w:sz w:val="32"/>
          <w:szCs w:val="32"/>
          <w:highlight w:val="none"/>
        </w:rPr>
        <w:t>有关职责分工。</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外商投资管理。</w:t>
      </w:r>
      <w:r>
        <w:rPr>
          <w:rFonts w:hint="default" w:ascii="Times New Roman" w:hAnsi="Times New Roman" w:eastAsia="仿宋_GB2312" w:cs="Times New Roman"/>
          <w:bCs/>
          <w:color w:val="auto"/>
          <w:sz w:val="32"/>
          <w:szCs w:val="32"/>
          <w:highlight w:val="none"/>
        </w:rPr>
        <w:t>会同</w:t>
      </w:r>
      <w:r>
        <w:rPr>
          <w:rFonts w:hint="eastAsia" w:ascii="Times New Roman" w:cs="Times New Roman"/>
          <w:bCs/>
          <w:color w:val="auto"/>
          <w:sz w:val="32"/>
          <w:szCs w:val="32"/>
          <w:highlight w:val="none"/>
          <w:lang w:eastAsia="zh-CN"/>
        </w:rPr>
        <w:t>相关</w:t>
      </w:r>
      <w:r>
        <w:rPr>
          <w:rFonts w:hint="default" w:ascii="Times New Roman" w:hAnsi="Times New Roman" w:eastAsia="仿宋_GB2312" w:cs="Times New Roman"/>
          <w:bCs/>
          <w:color w:val="auto"/>
          <w:sz w:val="32"/>
          <w:szCs w:val="32"/>
          <w:highlight w:val="none"/>
        </w:rPr>
        <w:t>部门拟订上报《外商投资产业指导目录》和《中西部地区外商投资优势产业目录》的调整意见。市发展改革委按规定权限负责对外商投资企业投资项目进行核准、备案。市商务局按规定权限对广元经济开发区涉及国家规定实施准入特别管理措施的外商投资企业审批工作进行协调指导</w:t>
      </w:r>
      <w:r>
        <w:rPr>
          <w:rFonts w:hint="eastAsia" w:ascii="Times New Roman" w:cs="Times New Roman"/>
          <w:bCs/>
          <w:color w:val="auto"/>
          <w:sz w:val="32"/>
          <w:szCs w:val="32"/>
          <w:highlight w:val="none"/>
          <w:lang w:eastAsia="zh-CN"/>
        </w:rPr>
        <w:t>。</w:t>
      </w:r>
      <w:r>
        <w:rPr>
          <w:rFonts w:hint="eastAsia" w:ascii="Times New Roman" w:cs="Times New Roman"/>
          <w:bCs/>
          <w:color w:val="auto"/>
          <w:sz w:val="32"/>
          <w:szCs w:val="32"/>
          <w:highlight w:val="none"/>
          <w:lang w:val="en-US" w:eastAsia="zh-CN"/>
        </w:rPr>
        <w:t>我</w:t>
      </w:r>
      <w:r>
        <w:rPr>
          <w:rFonts w:hint="default" w:ascii="Times New Roman" w:hAnsi="Times New Roman" w:eastAsia="仿宋_GB2312" w:cs="Times New Roman"/>
          <w:bCs/>
          <w:color w:val="auto"/>
          <w:sz w:val="32"/>
          <w:szCs w:val="32"/>
          <w:highlight w:val="none"/>
        </w:rPr>
        <w:t>局按规定权限负责对外商投资企业设立及变更备案。</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eastAsia"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并购安全审查。</w:t>
      </w:r>
      <w:r>
        <w:rPr>
          <w:rFonts w:hint="default" w:ascii="Times New Roman" w:hAnsi="Times New Roman" w:eastAsia="仿宋_GB2312" w:cs="Times New Roman"/>
          <w:bCs/>
          <w:color w:val="auto"/>
          <w:sz w:val="32"/>
          <w:szCs w:val="32"/>
          <w:highlight w:val="none"/>
        </w:rPr>
        <w:t>市发展改革委、市商务局、市经济合作</w:t>
      </w:r>
      <w:r>
        <w:rPr>
          <w:rFonts w:hint="default" w:ascii="Times New Roman" w:hAnsi="Times New Roman" w:eastAsia="仿宋_GB2312" w:cs="Times New Roman"/>
          <w:bCs/>
          <w:color w:val="auto"/>
          <w:sz w:val="32"/>
          <w:szCs w:val="32"/>
          <w:highlight w:val="none"/>
          <w:lang w:eastAsia="zh-CN"/>
        </w:rPr>
        <w:t>和外事</w:t>
      </w:r>
      <w:r>
        <w:rPr>
          <w:rFonts w:hint="default" w:ascii="Times New Roman" w:hAnsi="Times New Roman" w:eastAsia="仿宋_GB2312" w:cs="Times New Roman"/>
          <w:bCs/>
          <w:color w:val="auto"/>
          <w:sz w:val="32"/>
          <w:szCs w:val="32"/>
          <w:highlight w:val="none"/>
        </w:rPr>
        <w:t>局按照各自职责，分别配合省发展改革委、省商委厅、省经济合作局开展外国投资者并购市内企业安全审查的相关工作。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21" w:name="_Toc26478"/>
      <w:bookmarkStart w:id="22" w:name="_Toc15377200"/>
      <w:bookmarkStart w:id="23" w:name="_Toc15396601"/>
      <w:bookmarkStart w:id="24" w:name="_Toc10509"/>
      <w:r>
        <w:rPr>
          <w:rFonts w:hint="eastAsia" w:ascii="黑体" w:hAnsi="黑体" w:eastAsia="黑体" w:cs="黑体"/>
          <w:b w:val="0"/>
          <w:color w:val="auto"/>
          <w:sz w:val="32"/>
          <w:szCs w:val="32"/>
          <w:highlight w:val="none"/>
          <w:lang w:eastAsia="zh-CN"/>
        </w:rPr>
        <w:t>二、机构设置</w:t>
      </w:r>
      <w:bookmarkEnd w:id="21"/>
      <w:bookmarkEnd w:id="22"/>
      <w:bookmarkEnd w:id="23"/>
      <w:bookmarkEnd w:id="24"/>
      <w:bookmarkStart w:id="133" w:name="_GoBack"/>
      <w:bookmarkEnd w:id="133"/>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广元市经济合作和外事局</w:t>
      </w:r>
      <w:r>
        <w:rPr>
          <w:rFonts w:hint="default" w:ascii="Times New Roman" w:hAnsi="Times New Roman" w:eastAsia="仿宋_GB2312" w:cs="Times New Roman"/>
          <w:color w:val="auto"/>
          <w:sz w:val="32"/>
          <w:szCs w:val="32"/>
          <w:highlight w:val="none"/>
        </w:rPr>
        <w:t>下属二级单位</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auto"/>
          <w:sz w:val="32"/>
          <w:szCs w:val="32"/>
          <w:highlight w:val="none"/>
          <w:lang w:eastAsia="zh-CN"/>
        </w:rPr>
        <w:t>，我单位无二级预算单位，由局机关统一核算。</w:t>
      </w:r>
    </w:p>
    <w:p>
      <w:pPr>
        <w:keepNext w:val="0"/>
        <w:keepLines w:val="0"/>
        <w:pageBreakBefore w:val="0"/>
        <w:widowControl/>
        <w:shd w:val="clear"/>
        <w:kinsoku/>
        <w:wordWrap/>
        <w:overflowPunct/>
        <w:topLinePunct w:val="0"/>
        <w:autoSpaceDE/>
        <w:autoSpaceDN/>
        <w:bidi w:val="0"/>
        <w:jc w:val="left"/>
        <w:outlineLvl w:val="9"/>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880" w:firstLineChars="20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bookmarkStart w:id="25" w:name="_Toc15396602"/>
      <w:bookmarkStart w:id="26" w:name="_Toc15377204"/>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0" w:firstLineChars="0"/>
        <w:jc w:val="center"/>
        <w:textAlignment w:val="auto"/>
        <w:outlineLvl w:val="0"/>
        <w:rPr>
          <w:rFonts w:hint="eastAsia" w:ascii="方正小标宋简体" w:hAnsi="方正小标宋简体" w:eastAsia="方正小标宋简体" w:cs="方正小标宋简体"/>
          <w:b w:val="0"/>
          <w:color w:val="auto"/>
          <w:sz w:val="44"/>
          <w:szCs w:val="44"/>
          <w:highlight w:val="none"/>
          <w:lang w:eastAsia="zh-CN"/>
        </w:rPr>
      </w:pPr>
      <w:bookmarkStart w:id="27" w:name="_Toc2517"/>
      <w:bookmarkStart w:id="28" w:name="_Toc18777"/>
      <w:bookmarkStart w:id="29" w:name="_Toc31886"/>
      <w:r>
        <w:rPr>
          <w:rFonts w:hint="eastAsia" w:ascii="方正小标宋简体" w:hAnsi="方正小标宋简体" w:eastAsia="方正小标宋简体" w:cs="方正小标宋简体"/>
          <w:b w:val="0"/>
          <w:color w:val="auto"/>
          <w:sz w:val="44"/>
          <w:szCs w:val="44"/>
          <w:highlight w:val="none"/>
          <w:lang w:eastAsia="zh-CN"/>
        </w:rPr>
        <w:t xml:space="preserve">第二部分 </w:t>
      </w:r>
      <w:r>
        <w:rPr>
          <w:rFonts w:hint="eastAsia" w:ascii="方正小标宋简体" w:hAnsi="方正小标宋简体" w:eastAsia="方正小标宋简体" w:cs="方正小标宋简体"/>
          <w:b w:val="0"/>
          <w:color w:val="auto"/>
          <w:sz w:val="44"/>
          <w:szCs w:val="44"/>
          <w:highlight w:val="none"/>
          <w:lang w:val="en-US" w:eastAsia="zh-CN"/>
        </w:rPr>
        <w:t xml:space="preserve"> 2022年度</w:t>
      </w:r>
      <w:r>
        <w:rPr>
          <w:rFonts w:hint="eastAsia" w:ascii="方正小标宋简体" w:hAnsi="方正小标宋简体" w:eastAsia="方正小标宋简体" w:cs="方正小标宋简体"/>
          <w:b w:val="0"/>
          <w:color w:val="auto"/>
          <w:sz w:val="44"/>
          <w:szCs w:val="44"/>
          <w:highlight w:val="none"/>
          <w:lang w:eastAsia="zh-CN"/>
        </w:rPr>
        <w:t>部门决算情况说明</w:t>
      </w:r>
      <w:bookmarkEnd w:id="25"/>
      <w:bookmarkEnd w:id="26"/>
      <w:bookmarkEnd w:id="27"/>
      <w:bookmarkEnd w:id="28"/>
      <w:bookmarkEnd w:id="29"/>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30" w:name="_Toc15377205"/>
      <w:bookmarkStart w:id="31" w:name="_Toc8720"/>
      <w:bookmarkStart w:id="32" w:name="_Toc15396603"/>
      <w:bookmarkStart w:id="33" w:name="_Toc22668"/>
      <w:r>
        <w:rPr>
          <w:rFonts w:hint="eastAsia" w:ascii="黑体" w:hAnsi="黑体" w:eastAsia="黑体" w:cs="黑体"/>
          <w:b w:val="0"/>
          <w:color w:val="auto"/>
          <w:sz w:val="32"/>
          <w:szCs w:val="32"/>
          <w:highlight w:val="none"/>
          <w:lang w:eastAsia="zh-CN"/>
        </w:rPr>
        <w:t>一、收入支出决算总体情况说明</w:t>
      </w:r>
      <w:bookmarkEnd w:id="30"/>
      <w:bookmarkEnd w:id="31"/>
      <w:bookmarkEnd w:id="32"/>
      <w:bookmarkEnd w:id="33"/>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年度收、支总</w:t>
      </w:r>
      <w:r>
        <w:rPr>
          <w:rFonts w:hint="eastAsia" w:eastAsia="仿宋_GB2312" w:cs="Times New Roman"/>
          <w:color w:val="auto"/>
          <w:sz w:val="32"/>
          <w:szCs w:val="32"/>
          <w:highlight w:val="none"/>
          <w:lang w:val="en-US" w:eastAsia="zh-CN"/>
        </w:rPr>
        <w:t>计</w:t>
      </w:r>
      <w:r>
        <w:rPr>
          <w:rFonts w:hint="eastAsia" w:ascii="Times New Roman" w:hAnsi="Times New Roman" w:eastAsia="仿宋_GB2312" w:cs="Times New Roman"/>
          <w:color w:val="auto"/>
          <w:sz w:val="32"/>
          <w:szCs w:val="32"/>
          <w:highlight w:val="none"/>
          <w:lang w:val="en-US" w:eastAsia="zh-CN"/>
        </w:rPr>
        <w:t>1588.71万元</w:t>
      </w:r>
      <w:r>
        <w:rPr>
          <w:rFonts w:hint="eastAsia" w:ascii="Times New Roman" w:hAnsi="Times New Roman" w:eastAsia="仿宋_GB2312" w:cs="Times New Roman"/>
          <w:color w:val="auto"/>
          <w:sz w:val="32"/>
          <w:szCs w:val="32"/>
          <w:highlight w:val="none"/>
          <w:lang w:eastAsia="zh-CN"/>
        </w:rPr>
        <w:t>。与20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年相比，收、支总计各减少</w:t>
      </w:r>
      <w:r>
        <w:rPr>
          <w:rFonts w:hint="eastAsia" w:ascii="Times New Roman" w:hAnsi="Times New Roman" w:eastAsia="仿宋_GB2312" w:cs="Times New Roman"/>
          <w:color w:val="auto"/>
          <w:sz w:val="32"/>
          <w:szCs w:val="32"/>
          <w:highlight w:val="none"/>
          <w:lang w:val="en-US" w:eastAsia="zh-CN"/>
        </w:rPr>
        <w:t>226.92</w:t>
      </w:r>
      <w:r>
        <w:rPr>
          <w:rFonts w:hint="eastAsia"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12.5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。主要变动原因是</w:t>
      </w:r>
      <w:r>
        <w:rPr>
          <w:rFonts w:hint="eastAsia" w:ascii="Times New Roman" w:hAnsi="Times New Roman" w:eastAsia="仿宋_GB2312" w:cs="Times New Roman"/>
          <w:color w:val="auto"/>
          <w:sz w:val="32"/>
          <w:szCs w:val="32"/>
          <w:highlight w:val="none"/>
          <w:lang w:val="en-US" w:eastAsia="zh-CN"/>
        </w:rPr>
        <w:t>2022年疫情严重，对全年招商活动造成影响，外出减少，导致费用支出减少</w:t>
      </w:r>
      <w:r>
        <w:rPr>
          <w:rFonts w:hint="eastAsia" w:ascii="Times New Roman" w:hAnsi="Times New Roman" w:eastAsia="仿宋_GB2312" w:cs="Times New Roman"/>
          <w:color w:val="auto"/>
          <w:sz w:val="32"/>
          <w:szCs w:val="32"/>
          <w:highlight w:val="none"/>
          <w:lang w:eastAsia="zh-CN"/>
        </w:rPr>
        <w:t>。</w:t>
      </w:r>
    </w:p>
    <w:p>
      <w:pPr>
        <w:pStyle w:val="14"/>
        <w:keepNext w:val="0"/>
        <w:keepLines w:val="0"/>
        <w:pageBreakBefore w:val="0"/>
        <w:shd w:val="clear"/>
        <w:kinsoku/>
        <w:wordWrap/>
        <w:overflowPunct/>
        <w:topLinePunct w:val="0"/>
        <w:autoSpaceDE/>
        <w:autoSpaceDN/>
        <w:bidi w:val="0"/>
        <w:ind w:left="1470" w:hanging="1050" w:hangingChars="500"/>
        <w:outlineLvl w:val="9"/>
        <w:rPr>
          <w:rFonts w:hint="eastAsia"/>
          <w:color w:val="auto"/>
          <w:highlight w:val="none"/>
          <w:lang w:val="en-US" w:eastAsia="zh-CN"/>
        </w:rPr>
      </w:pPr>
      <w:r>
        <w:rPr>
          <w:rFonts w:hint="eastAsia"/>
          <w:color w:val="auto"/>
          <w:highlight w:val="none"/>
          <w:lang w:val="en-US" w:eastAsia="zh-CN"/>
        </w:rPr>
        <w:t xml:space="preserve">           </w:t>
      </w:r>
      <w:r>
        <w:rPr>
          <w:color w:val="auto"/>
          <w:highlight w:val="none"/>
        </w:rPr>
        <w:drawing>
          <wp:inline distT="0" distB="0" distL="114300" distR="114300">
            <wp:extent cx="3751580" cy="2741930"/>
            <wp:effectExtent l="4445" t="4445" r="1587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color w:val="auto"/>
          <w:highlight w:val="non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center"/>
        <w:textAlignment w:val="auto"/>
        <w:outlineLvl w:val="9"/>
        <w:rPr>
          <w:rFonts w:hint="eastAsia" w:ascii="黑体" w:hAnsi="黑体" w:eastAsia="黑体" w:cs="黑体"/>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（图1：收、支决算总计变动情况图）</w:t>
      </w:r>
      <w:bookmarkStart w:id="34" w:name="_Toc15377206"/>
      <w:bookmarkStart w:id="35" w:name="_Toc15396604"/>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default" w:ascii="黑体" w:hAnsi="黑体" w:eastAsia="黑体" w:cs="黑体"/>
          <w:b w:val="0"/>
          <w:color w:val="auto"/>
          <w:sz w:val="32"/>
          <w:szCs w:val="32"/>
          <w:highlight w:val="none"/>
          <w:lang w:eastAsia="zh-CN"/>
        </w:rPr>
      </w:pPr>
      <w:bookmarkStart w:id="36" w:name="_Toc4610"/>
      <w:bookmarkStart w:id="37" w:name="_Toc3767"/>
      <w:r>
        <w:rPr>
          <w:rFonts w:hint="eastAsia" w:ascii="黑体" w:hAnsi="黑体" w:eastAsia="黑体" w:cs="黑体"/>
          <w:b w:val="0"/>
          <w:color w:val="auto"/>
          <w:sz w:val="32"/>
          <w:szCs w:val="32"/>
          <w:highlight w:val="none"/>
          <w:lang w:eastAsia="zh-CN"/>
        </w:rPr>
        <w:t>二、收入决算情况说明</w:t>
      </w:r>
      <w:bookmarkEnd w:id="34"/>
      <w:bookmarkEnd w:id="35"/>
      <w:bookmarkEnd w:id="36"/>
      <w:bookmarkEnd w:id="37"/>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仿宋" w:hAnsi="仿宋" w:eastAsia="仿宋"/>
          <w:color w:val="auto"/>
          <w:sz w:val="32"/>
          <w:szCs w:val="32"/>
          <w:highlight w:val="none"/>
        </w:rPr>
      </w:pPr>
      <w:bookmarkStart w:id="38" w:name="_Toc24385"/>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年本年收入合计</w:t>
      </w:r>
      <w:r>
        <w:rPr>
          <w:rFonts w:hint="eastAsia" w:ascii="Times New Roman" w:hAnsi="Times New Roman" w:eastAsia="仿宋_GB2312" w:cs="Times New Roman"/>
          <w:color w:val="auto"/>
          <w:sz w:val="32"/>
          <w:szCs w:val="32"/>
          <w:highlight w:val="none"/>
          <w:lang w:val="en-US" w:eastAsia="zh-CN"/>
        </w:rPr>
        <w:t>1565.01</w:t>
      </w:r>
      <w:r>
        <w:rPr>
          <w:rFonts w:hint="eastAsia" w:ascii="Times New Roman" w:hAnsi="Times New Roman" w:eastAsia="仿宋_GB2312" w:cs="Times New Roman"/>
          <w:color w:val="auto"/>
          <w:sz w:val="32"/>
          <w:szCs w:val="32"/>
          <w:highlight w:val="none"/>
          <w:lang w:eastAsia="zh-CN"/>
        </w:rPr>
        <w:t>万元，其中：一般公共预算财政拨款收入</w:t>
      </w:r>
      <w:r>
        <w:rPr>
          <w:rFonts w:hint="eastAsia" w:ascii="Times New Roman" w:hAnsi="Times New Roman" w:eastAsia="仿宋_GB2312" w:cs="Times New Roman"/>
          <w:color w:val="auto"/>
          <w:sz w:val="32"/>
          <w:szCs w:val="32"/>
          <w:highlight w:val="none"/>
          <w:lang w:val="en-US" w:eastAsia="zh-CN"/>
        </w:rPr>
        <w:t>1565.01</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bookmarkEnd w:id="38"/>
      <w:r>
        <w:rPr>
          <w:rFonts w:hint="eastAsia" w:ascii="Times New Roman" w:hAnsi="Times New Roman" w:eastAsia="仿宋_GB2312" w:cs="Times New Roman"/>
          <w:color w:val="auto"/>
          <w:sz w:val="32"/>
          <w:szCs w:val="32"/>
          <w:highlight w:val="none"/>
          <w:lang w:eastAsia="zh-CN"/>
        </w:rPr>
        <w:t>。</w:t>
      </w:r>
    </w:p>
    <w:p>
      <w:pPr>
        <w:pStyle w:val="14"/>
        <w:keepNext w:val="0"/>
        <w:keepLines w:val="0"/>
        <w:pageBreakBefore w:val="0"/>
        <w:shd w:val="clear"/>
        <w:kinsoku/>
        <w:wordWrap/>
        <w:overflowPunct/>
        <w:topLinePunct w:val="0"/>
        <w:autoSpaceDE/>
        <w:autoSpaceDN/>
        <w:bidi w:val="0"/>
        <w:outlineLvl w:val="9"/>
        <w:rPr>
          <w:rFonts w:hint="eastAsia"/>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650615" cy="2510155"/>
            <wp:effectExtent l="4445" t="4445" r="1397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（图2：收入决算结构图）</w:t>
      </w:r>
    </w:p>
    <w:p>
      <w:pPr>
        <w:keepNext w:val="0"/>
        <w:keepLines w:val="0"/>
        <w:pageBreakBefore w:val="0"/>
        <w:shd w:val="clear"/>
        <w:kinsoku/>
        <w:wordWrap/>
        <w:overflowPunct/>
        <w:topLinePunct w:val="0"/>
        <w:autoSpaceDE/>
        <w:autoSpaceDN/>
        <w:bidi w:val="0"/>
        <w:spacing w:line="600" w:lineRule="exact"/>
        <w:ind w:firstLine="640" w:firstLineChars="200"/>
        <w:outlineLvl w:val="9"/>
        <w:rPr>
          <w:rFonts w:ascii="仿宋_GB2312" w:eastAsia="仿宋_GB2312"/>
          <w:color w:val="auto"/>
          <w:sz w:val="32"/>
          <w:szCs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39" w:name="_Toc15396605"/>
      <w:bookmarkStart w:id="40" w:name="_Toc19918"/>
      <w:bookmarkStart w:id="41" w:name="_Toc15377207"/>
      <w:bookmarkStart w:id="42" w:name="_Toc19069"/>
      <w:r>
        <w:rPr>
          <w:rFonts w:hint="eastAsia" w:ascii="黑体" w:hAnsi="黑体" w:eastAsia="黑体" w:cs="黑体"/>
          <w:b w:val="0"/>
          <w:color w:val="auto"/>
          <w:sz w:val="32"/>
          <w:szCs w:val="32"/>
          <w:highlight w:val="none"/>
          <w:lang w:eastAsia="zh-CN"/>
        </w:rPr>
        <w:t>三、支出决算情况说明</w:t>
      </w:r>
      <w:bookmarkEnd w:id="39"/>
      <w:bookmarkEnd w:id="40"/>
      <w:bookmarkEnd w:id="41"/>
      <w:bookmarkEnd w:id="42"/>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ascii="仿宋" w:hAnsi="仿宋" w:eastAsia="仿宋"/>
          <w:color w:val="auto"/>
          <w:sz w:val="32"/>
          <w:szCs w:val="32"/>
          <w:highlight w:val="none"/>
        </w:rPr>
      </w:pPr>
      <w:bookmarkStart w:id="43" w:name="_Toc8452"/>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年本年支出合计</w:t>
      </w:r>
      <w:r>
        <w:rPr>
          <w:rFonts w:hint="eastAsia" w:ascii="Times New Roman" w:hAnsi="Times New Roman" w:eastAsia="仿宋_GB2312" w:cs="Times New Roman"/>
          <w:color w:val="auto"/>
          <w:sz w:val="32"/>
          <w:szCs w:val="32"/>
          <w:highlight w:val="none"/>
          <w:lang w:val="en-US" w:eastAsia="zh-CN"/>
        </w:rPr>
        <w:t>1526.78</w:t>
      </w:r>
      <w:r>
        <w:rPr>
          <w:rFonts w:hint="eastAsia" w:ascii="Times New Roman" w:hAnsi="Times New Roman" w:eastAsia="仿宋_GB2312" w:cs="Times New Roman"/>
          <w:color w:val="auto"/>
          <w:sz w:val="32"/>
          <w:szCs w:val="32"/>
          <w:highlight w:val="none"/>
          <w:lang w:eastAsia="zh-CN"/>
        </w:rPr>
        <w:t>万元，其中：基本支出</w:t>
      </w:r>
      <w:r>
        <w:rPr>
          <w:rFonts w:hint="eastAsia" w:ascii="Times New Roman" w:hAnsi="Times New Roman" w:eastAsia="仿宋_GB2312" w:cs="Times New Roman"/>
          <w:color w:val="auto"/>
          <w:sz w:val="32"/>
          <w:szCs w:val="32"/>
          <w:highlight w:val="none"/>
          <w:lang w:val="en-US" w:eastAsia="zh-CN"/>
        </w:rPr>
        <w:t>977.81</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64.04</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；项目支出</w:t>
      </w:r>
      <w:r>
        <w:rPr>
          <w:rFonts w:hint="eastAsia" w:ascii="Times New Roman" w:hAnsi="Times New Roman" w:eastAsia="仿宋_GB2312" w:cs="Times New Roman"/>
          <w:color w:val="auto"/>
          <w:sz w:val="32"/>
          <w:szCs w:val="32"/>
          <w:highlight w:val="none"/>
          <w:lang w:val="en-US" w:eastAsia="zh-CN"/>
        </w:rPr>
        <w:t>548.98</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35.96</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bookmarkEnd w:id="43"/>
    </w:p>
    <w:p>
      <w:pPr>
        <w:pStyle w:val="14"/>
        <w:keepNext w:val="0"/>
        <w:keepLines w:val="0"/>
        <w:pageBreakBefore w:val="0"/>
        <w:shd w:val="clear"/>
        <w:kinsoku/>
        <w:wordWrap/>
        <w:overflowPunct/>
        <w:topLinePunct w:val="0"/>
        <w:autoSpaceDE/>
        <w:autoSpaceDN/>
        <w:bidi w:val="0"/>
        <w:outlineLvl w:val="9"/>
        <w:rPr>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653790" cy="2456180"/>
            <wp:effectExtent l="4445" t="4445" r="10795"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（图3：支出决算结构图）</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44" w:name="_Toc15377208"/>
      <w:bookmarkStart w:id="45" w:name="_Toc15396606"/>
      <w:bookmarkStart w:id="46" w:name="_Toc1299"/>
      <w:bookmarkStart w:id="47" w:name="_Toc19177"/>
      <w:r>
        <w:rPr>
          <w:rFonts w:hint="eastAsia" w:ascii="黑体" w:hAnsi="黑体" w:eastAsia="黑体" w:cs="黑体"/>
          <w:b w:val="0"/>
          <w:color w:val="auto"/>
          <w:sz w:val="32"/>
          <w:szCs w:val="32"/>
          <w:highlight w:val="none"/>
          <w:lang w:eastAsia="zh-CN"/>
        </w:rPr>
        <w:t>四、财政拨款收入支出决算总体情况说明</w:t>
      </w:r>
      <w:bookmarkEnd w:id="44"/>
      <w:bookmarkEnd w:id="45"/>
      <w:bookmarkEnd w:id="46"/>
      <w:bookmarkEnd w:id="47"/>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ascii="仿宋" w:hAnsi="仿宋" w:eastAsia="仿宋"/>
          <w:color w:val="auto"/>
          <w:sz w:val="32"/>
          <w:szCs w:val="32"/>
          <w:highlight w:val="none"/>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年财政拨款收、支总计</w:t>
      </w:r>
      <w:r>
        <w:rPr>
          <w:rFonts w:hint="eastAsia" w:ascii="Times New Roman" w:hAnsi="Times New Roman" w:eastAsia="仿宋_GB2312" w:cs="Times New Roman"/>
          <w:color w:val="auto"/>
          <w:sz w:val="32"/>
          <w:szCs w:val="32"/>
          <w:highlight w:val="none"/>
          <w:lang w:val="en-US" w:eastAsia="zh-CN"/>
        </w:rPr>
        <w:t>1588.71，</w:t>
      </w:r>
      <w:r>
        <w:rPr>
          <w:rFonts w:hint="eastAsia"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年相比，财政拨款收、支总计各减少</w:t>
      </w:r>
      <w:r>
        <w:rPr>
          <w:rFonts w:hint="eastAsia" w:ascii="Times New Roman" w:hAnsi="Times New Roman" w:eastAsia="仿宋_GB2312" w:cs="Times New Roman"/>
          <w:color w:val="auto"/>
          <w:sz w:val="32"/>
          <w:szCs w:val="32"/>
          <w:highlight w:val="none"/>
          <w:lang w:val="en-US" w:eastAsia="zh-CN"/>
        </w:rPr>
        <w:t>226.92</w:t>
      </w:r>
      <w:r>
        <w:rPr>
          <w:rFonts w:hint="eastAsia"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12.5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。要变动原因是</w:t>
      </w:r>
      <w:r>
        <w:rPr>
          <w:rFonts w:hint="eastAsia" w:ascii="Times New Roman" w:hAnsi="Times New Roman" w:eastAsia="仿宋_GB2312" w:cs="Times New Roman"/>
          <w:color w:val="auto"/>
          <w:sz w:val="32"/>
          <w:szCs w:val="32"/>
          <w:highlight w:val="none"/>
          <w:lang w:val="en-US" w:eastAsia="zh-CN"/>
        </w:rPr>
        <w:t>2022年疫情严重，对全年招商活动造成影响，外出减少，导致费用支出减少。</w:t>
      </w:r>
    </w:p>
    <w:p>
      <w:pPr>
        <w:pStyle w:val="14"/>
        <w:keepNext w:val="0"/>
        <w:keepLines w:val="0"/>
        <w:pageBreakBefore w:val="0"/>
        <w:shd w:val="clear"/>
        <w:kinsoku/>
        <w:wordWrap/>
        <w:overflowPunct/>
        <w:topLinePunct w:val="0"/>
        <w:autoSpaceDE/>
        <w:autoSpaceDN/>
        <w:bidi w:val="0"/>
        <w:outlineLvl w:val="9"/>
        <w:rPr>
          <w:rFonts w:ascii="仿宋" w:hAnsi="仿宋" w:eastAsia="仿宋"/>
          <w:color w:val="auto"/>
          <w:sz w:val="32"/>
          <w:szCs w:val="32"/>
          <w:highlight w:val="none"/>
        </w:rPr>
      </w:pPr>
      <w:r>
        <w:rPr>
          <w:rFonts w:hint="eastAsia"/>
          <w:color w:val="auto"/>
          <w:highlight w:val="none"/>
          <w:lang w:val="en-US" w:eastAsia="zh-CN"/>
        </w:rPr>
        <w:t xml:space="preserve">           </w:t>
      </w:r>
      <w:r>
        <w:rPr>
          <w:color w:val="auto"/>
          <w:highlight w:val="none"/>
        </w:rPr>
        <w:drawing>
          <wp:inline distT="0" distB="0" distL="114300" distR="114300">
            <wp:extent cx="3636645" cy="2626360"/>
            <wp:effectExtent l="4445" t="4445" r="1079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（图4：财政拨款收、支决算总计变动情况）</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48" w:name="_Toc698"/>
      <w:bookmarkStart w:id="49" w:name="_Toc15377209"/>
      <w:bookmarkStart w:id="50" w:name="_Toc13976"/>
      <w:bookmarkStart w:id="51" w:name="_Toc15396607"/>
      <w:r>
        <w:rPr>
          <w:rFonts w:hint="eastAsia" w:ascii="黑体" w:hAnsi="黑体" w:eastAsia="黑体" w:cs="黑体"/>
          <w:b w:val="0"/>
          <w:color w:val="auto"/>
          <w:sz w:val="32"/>
          <w:szCs w:val="32"/>
          <w:highlight w:val="none"/>
          <w:lang w:eastAsia="zh-CN"/>
        </w:rPr>
        <w:t>五、一般公共预算财政拨款支出决算情况说明</w:t>
      </w:r>
      <w:bookmarkEnd w:id="48"/>
      <w:bookmarkEnd w:id="49"/>
      <w:bookmarkEnd w:id="50"/>
      <w:bookmarkEnd w:id="51"/>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bookmarkStart w:id="52" w:name="_Toc15377210"/>
      <w:r>
        <w:rPr>
          <w:rFonts w:hint="eastAsia" w:ascii="楷体_GB2312" w:hAnsi="楷体_GB2312" w:eastAsia="楷体_GB2312" w:cs="楷体_GB2312"/>
          <w:color w:val="auto"/>
          <w:sz w:val="32"/>
          <w:szCs w:val="32"/>
          <w:highlight w:val="none"/>
          <w:lang w:eastAsia="zh-CN"/>
        </w:rPr>
        <w:t>（一）一般公共预算财政拨款支出决算总体情况</w:t>
      </w:r>
      <w:bookmarkEnd w:id="52"/>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年一般公共预算财政拨款支出</w:t>
      </w:r>
      <w:r>
        <w:rPr>
          <w:rFonts w:hint="eastAsia" w:ascii="Times New Roman" w:hAnsi="Times New Roman" w:eastAsia="仿宋_GB2312" w:cs="Times New Roman"/>
          <w:color w:val="auto"/>
          <w:sz w:val="32"/>
          <w:szCs w:val="32"/>
          <w:highlight w:val="none"/>
          <w:lang w:val="en-US" w:eastAsia="zh-CN"/>
        </w:rPr>
        <w:t>1526.78万元，</w:t>
      </w:r>
      <w:r>
        <w:rPr>
          <w:rFonts w:hint="eastAsia" w:ascii="Times New Roman" w:hAnsi="Times New Roman" w:eastAsia="仿宋_GB2312" w:cs="Times New Roman"/>
          <w:color w:val="auto"/>
          <w:sz w:val="32"/>
          <w:szCs w:val="32"/>
          <w:highlight w:val="none"/>
          <w:lang w:eastAsia="zh-CN"/>
        </w:rPr>
        <w:t>占本年支出合计的</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年相比，一般公共预算财政拨款支出减少</w:t>
      </w:r>
      <w:r>
        <w:rPr>
          <w:rFonts w:hint="eastAsia" w:ascii="Times New Roman" w:hAnsi="Times New Roman" w:eastAsia="仿宋_GB2312" w:cs="Times New Roman"/>
          <w:color w:val="auto"/>
          <w:sz w:val="32"/>
          <w:szCs w:val="32"/>
          <w:highlight w:val="none"/>
          <w:lang w:val="en-US" w:eastAsia="zh-CN"/>
        </w:rPr>
        <w:t>231.22</w:t>
      </w:r>
      <w:r>
        <w:rPr>
          <w:rFonts w:hint="eastAsia"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13.15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。主要变动原因是</w:t>
      </w:r>
      <w:r>
        <w:rPr>
          <w:rFonts w:hint="eastAsia" w:ascii="Times New Roman" w:hAnsi="Times New Roman" w:eastAsia="仿宋_GB2312" w:cs="Times New Roman"/>
          <w:color w:val="auto"/>
          <w:sz w:val="32"/>
          <w:szCs w:val="32"/>
          <w:highlight w:val="none"/>
          <w:lang w:val="en-US" w:eastAsia="zh-CN"/>
        </w:rPr>
        <w:t>2022年疫情严重，对全年招商活动造成影响，外出减少，导致费用支出减少。</w:t>
      </w:r>
    </w:p>
    <w:p>
      <w:pPr>
        <w:pStyle w:val="14"/>
        <w:keepNext w:val="0"/>
        <w:keepLines w:val="0"/>
        <w:pageBreakBefore w:val="0"/>
        <w:shd w:val="clear"/>
        <w:kinsoku/>
        <w:wordWrap/>
        <w:overflowPunct/>
        <w:topLinePunct w:val="0"/>
        <w:autoSpaceDE/>
        <w:autoSpaceDN/>
        <w:bidi w:val="0"/>
        <w:outlineLvl w:val="9"/>
        <w:rPr>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897630" cy="2134235"/>
            <wp:effectExtent l="4445" t="4445" r="6985" b="2159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（图5：一般公共预算财政拨款支出决算变动情况）</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bookmarkStart w:id="53" w:name="_Toc15377211"/>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（二）一般公共预算财政拨款支出决算结构情况</w:t>
      </w:r>
      <w:bookmarkEnd w:id="53"/>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年一般公共预算财政拨款支出</w:t>
      </w:r>
      <w:r>
        <w:rPr>
          <w:rFonts w:hint="eastAsia" w:ascii="Times New Roman" w:hAnsi="Times New Roman" w:eastAsia="仿宋_GB2312" w:cs="Times New Roman"/>
          <w:color w:val="auto"/>
          <w:sz w:val="32"/>
          <w:szCs w:val="32"/>
          <w:highlight w:val="none"/>
          <w:lang w:val="en-US" w:eastAsia="zh-CN"/>
        </w:rPr>
        <w:t>1526.78</w:t>
      </w:r>
      <w:r>
        <w:rPr>
          <w:rFonts w:hint="eastAsia" w:ascii="Times New Roman" w:hAnsi="Times New Roman" w:eastAsia="仿宋_GB2312" w:cs="Times New Roman"/>
          <w:color w:val="auto"/>
          <w:sz w:val="32"/>
          <w:szCs w:val="32"/>
          <w:highlight w:val="none"/>
          <w:lang w:eastAsia="zh-CN"/>
        </w:rPr>
        <w:t>万元，主要用于以下方面</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一般公共服务（类）支出</w:t>
      </w:r>
      <w:r>
        <w:rPr>
          <w:rFonts w:hint="eastAsia" w:ascii="Times New Roman" w:hAnsi="Times New Roman" w:eastAsia="仿宋_GB2312" w:cs="Times New Roman"/>
          <w:color w:val="auto"/>
          <w:sz w:val="32"/>
          <w:szCs w:val="32"/>
          <w:highlight w:val="none"/>
          <w:lang w:val="en-US" w:eastAsia="zh-CN"/>
        </w:rPr>
        <w:t>1353.7</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88.67</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；社会保障和就业（类）支出</w:t>
      </w:r>
      <w:r>
        <w:rPr>
          <w:rFonts w:hint="eastAsia" w:ascii="Times New Roman" w:hAnsi="Times New Roman" w:eastAsia="仿宋_GB2312" w:cs="Times New Roman"/>
          <w:color w:val="auto"/>
          <w:sz w:val="32"/>
          <w:szCs w:val="32"/>
          <w:highlight w:val="none"/>
          <w:lang w:val="en-US" w:eastAsia="zh-CN"/>
        </w:rPr>
        <w:t>87.84</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5.75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；卫生健康（类）支出</w:t>
      </w:r>
      <w:r>
        <w:rPr>
          <w:rFonts w:hint="eastAsia" w:ascii="Times New Roman" w:hAnsi="Times New Roman" w:eastAsia="仿宋_GB2312" w:cs="Times New Roman"/>
          <w:color w:val="auto"/>
          <w:sz w:val="32"/>
          <w:szCs w:val="32"/>
          <w:highlight w:val="none"/>
          <w:lang w:val="en-US" w:eastAsia="zh-CN"/>
        </w:rPr>
        <w:t>22.52</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1.47</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；住房保障（类）支出</w:t>
      </w:r>
      <w:r>
        <w:rPr>
          <w:rFonts w:hint="eastAsia" w:ascii="Times New Roman" w:hAnsi="Times New Roman" w:eastAsia="仿宋_GB2312" w:cs="Times New Roman"/>
          <w:color w:val="auto"/>
          <w:sz w:val="32"/>
          <w:szCs w:val="32"/>
          <w:highlight w:val="none"/>
          <w:lang w:val="en-US" w:eastAsia="zh-CN"/>
        </w:rPr>
        <w:t>62.72</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4.11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pStyle w:val="2"/>
        <w:keepNext w:val="0"/>
        <w:keepLines w:val="0"/>
        <w:pageBreakBefore w:val="0"/>
        <w:shd w:val="clear"/>
        <w:kinsoku/>
        <w:wordWrap/>
        <w:overflowPunct/>
        <w:topLinePunct w:val="0"/>
        <w:autoSpaceDE/>
        <w:autoSpaceDN/>
        <w:bidi w:val="0"/>
        <w:outlineLvl w:val="9"/>
        <w:rPr>
          <w:rFonts w:hint="eastAsia"/>
          <w:color w:val="auto"/>
          <w:highlight w:val="none"/>
          <w:lang w:eastAsia="zh-CN"/>
        </w:rPr>
      </w:pPr>
      <w:r>
        <w:rPr>
          <w:rFonts w:hint="eastAsia"/>
          <w:color w:val="auto"/>
          <w:highlight w:val="none"/>
          <w:lang w:val="en-US" w:eastAsia="zh-CN"/>
        </w:rPr>
        <w:t xml:space="preserve">             </w:t>
      </w:r>
      <w:r>
        <w:rPr>
          <w:color w:val="auto"/>
          <w:highlight w:val="none"/>
        </w:rPr>
        <w:drawing>
          <wp:inline distT="0" distB="0" distL="114300" distR="114300">
            <wp:extent cx="3686175" cy="2146300"/>
            <wp:effectExtent l="4445" t="4445" r="12700" b="952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shd w:val="clear"/>
        <w:kinsoku/>
        <w:wordWrap/>
        <w:overflowPunct/>
        <w:topLinePunct w:val="0"/>
        <w:autoSpaceDE/>
        <w:autoSpaceDN/>
        <w:bidi w:val="0"/>
        <w:outlineLvl w:val="9"/>
        <w:rPr>
          <w:color w:val="auto"/>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（图6：一般公共预算财政拨款支出决算结构）</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bookmarkStart w:id="54" w:name="_Toc15377212"/>
      <w:r>
        <w:rPr>
          <w:rFonts w:hint="eastAsia" w:ascii="楷体_GB2312" w:hAnsi="楷体_GB2312" w:eastAsia="楷体_GB2312" w:cs="楷体_GB2312"/>
          <w:color w:val="auto"/>
          <w:sz w:val="32"/>
          <w:szCs w:val="32"/>
          <w:highlight w:val="none"/>
          <w:lang w:eastAsia="zh-CN"/>
        </w:rPr>
        <w:t>（三）一般公共预算财政拨款支出决算具体情况</w:t>
      </w:r>
      <w:bookmarkEnd w:id="54"/>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年一般公共预算支出决算数为</w:t>
      </w:r>
      <w:r>
        <w:rPr>
          <w:rFonts w:hint="eastAsia" w:ascii="Times New Roman" w:hAnsi="Times New Roman" w:eastAsia="仿宋_GB2312" w:cs="Times New Roman"/>
          <w:color w:val="auto"/>
          <w:sz w:val="32"/>
          <w:szCs w:val="32"/>
          <w:highlight w:val="none"/>
          <w:lang w:val="en-US" w:eastAsia="zh-CN"/>
        </w:rPr>
        <w:t>1526.78万元</w:t>
      </w:r>
      <w:r>
        <w:rPr>
          <w:rFonts w:hint="eastAsia" w:ascii="Times New Roman" w:hAnsi="Times New Roman" w:eastAsia="仿宋_GB2312" w:cs="Times New Roman"/>
          <w:color w:val="auto"/>
          <w:sz w:val="32"/>
          <w:szCs w:val="32"/>
          <w:highlight w:val="none"/>
          <w:lang w:eastAsia="zh-CN"/>
        </w:rPr>
        <w:t>，完成预算</w:t>
      </w:r>
      <w:r>
        <w:rPr>
          <w:rFonts w:hint="eastAsia" w:ascii="Times New Roman" w:hAnsi="Times New Roman" w:eastAsia="仿宋_GB2312" w:cs="Times New Roman"/>
          <w:color w:val="auto"/>
          <w:sz w:val="32"/>
          <w:szCs w:val="32"/>
          <w:highlight w:val="none"/>
          <w:lang w:val="en-US" w:eastAsia="zh-CN"/>
        </w:rPr>
        <w:t>96.83</w:t>
      </w:r>
      <w:r>
        <w:rPr>
          <w:rFonts w:hint="eastAsia" w:ascii="Times New Roman" w:hAnsi="Times New Roman" w:eastAsia="仿宋_GB2312" w:cs="Times New Roman"/>
          <w:color w:val="auto"/>
          <w:sz w:val="32"/>
          <w:szCs w:val="32"/>
          <w:highlight w:val="none"/>
          <w:lang w:eastAsia="zh-CN"/>
        </w:rPr>
        <w:t>%。其中：</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1.一般公共服务（类）政府办公厅（室）及相关机构事务（款）行政运行（项）：支出决算为86.02万元，完成预算100%。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一般公共服务（类）商贸事务（款）行政运行（项）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支出决算为</w:t>
      </w:r>
      <w:r>
        <w:rPr>
          <w:rFonts w:hint="eastAsia" w:ascii="Times New Roman" w:hAnsi="Times New Roman" w:eastAsia="仿宋_GB2312" w:cs="Times New Roman"/>
          <w:color w:val="auto"/>
          <w:sz w:val="32"/>
          <w:szCs w:val="32"/>
          <w:highlight w:val="none"/>
          <w:lang w:val="en-US" w:eastAsia="zh-CN"/>
        </w:rPr>
        <w:t>658.91</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一般公共服务（类）商贸事务（款）招商引资（项）支出决算为</w:t>
      </w:r>
      <w:r>
        <w:rPr>
          <w:rFonts w:hint="eastAsia" w:ascii="Times New Roman" w:hAnsi="Times New Roman" w:eastAsia="仿宋_GB2312" w:cs="Times New Roman"/>
          <w:color w:val="auto"/>
          <w:sz w:val="32"/>
          <w:szCs w:val="32"/>
          <w:highlight w:val="none"/>
          <w:lang w:val="en-US" w:eastAsia="zh-CN"/>
        </w:rPr>
        <w:t>541.4</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93.25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，决算数小于预算数的主要</w:t>
      </w:r>
      <w:r>
        <w:rPr>
          <w:rFonts w:hint="eastAsia" w:eastAsia="仿宋_GB2312" w:cs="Times New Roman"/>
          <w:color w:val="auto"/>
          <w:sz w:val="32"/>
          <w:szCs w:val="32"/>
          <w:highlight w:val="none"/>
          <w:lang w:eastAsia="zh-CN"/>
        </w:rPr>
        <w:t>原因是</w:t>
      </w:r>
      <w:r>
        <w:rPr>
          <w:rFonts w:hint="eastAsia" w:ascii="Times New Roman" w:hAnsi="Times New Roman" w:eastAsia="仿宋_GB2312" w:cs="Times New Roman"/>
          <w:color w:val="auto"/>
          <w:sz w:val="32"/>
          <w:szCs w:val="32"/>
          <w:highlight w:val="none"/>
          <w:lang w:eastAsia="zh-CN"/>
        </w:rPr>
        <w:t>疫情原因外出招商活动减少，资金支出减少。</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一般公共服务（类）商贸事务（款）事业运行（项）：支出决算为</w:t>
      </w:r>
      <w:r>
        <w:rPr>
          <w:rFonts w:hint="eastAsia" w:ascii="Times New Roman" w:hAnsi="Times New Roman" w:eastAsia="仿宋_GB2312" w:cs="Times New Roman"/>
          <w:color w:val="auto"/>
          <w:sz w:val="32"/>
          <w:szCs w:val="32"/>
          <w:highlight w:val="none"/>
          <w:lang w:val="en-US" w:eastAsia="zh-CN"/>
        </w:rPr>
        <w:t>59.79万元，完成预算100%。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5.一般公共服务（类）其他一般公共服务支出（款）其他一般公共服务支出（项）：支出决算为7.58万元，完成预算100%。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社会保障和就业（类）行政事业单位养老支出（款）机关事业单位基本养老保险缴费支出（项）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支出决算为</w:t>
      </w:r>
      <w:r>
        <w:rPr>
          <w:rFonts w:hint="eastAsia" w:ascii="Times New Roman" w:hAnsi="Times New Roman" w:eastAsia="仿宋_GB2312" w:cs="Times New Roman"/>
          <w:color w:val="auto"/>
          <w:sz w:val="32"/>
          <w:szCs w:val="32"/>
          <w:highlight w:val="none"/>
          <w:lang w:val="en-US" w:eastAsia="zh-CN"/>
        </w:rPr>
        <w:t>47.48</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67.61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，主要原因为基础绩效奖计入养老保险基础缴费，年末未调整基数补缴费用。</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社会保障和就业（类）行政事业单位养老支出（款）机关事业单位职业年金缴费支出（项）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支出决算为</w:t>
      </w:r>
      <w:r>
        <w:rPr>
          <w:rFonts w:hint="eastAsia" w:ascii="Times New Roman" w:hAnsi="Times New Roman" w:eastAsia="仿宋_GB2312" w:cs="Times New Roman"/>
          <w:color w:val="auto"/>
          <w:sz w:val="32"/>
          <w:szCs w:val="32"/>
          <w:highlight w:val="none"/>
          <w:lang w:val="en-US" w:eastAsia="zh-CN"/>
        </w:rPr>
        <w:t>14.21万元，完成预算100%。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8.社会保障和就业（类）抚恤（款）死亡抚恤（项）：支出决算为23.9万元，完成预算100%。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eastAsia="zh-CN"/>
        </w:rPr>
        <w:t>社会保障和就业（类）其他社会保障和就业支出（款）其他社会保障和就业支出（项）：支出决算为</w:t>
      </w:r>
      <w:r>
        <w:rPr>
          <w:rFonts w:hint="eastAsia" w:ascii="Times New Roman" w:hAnsi="Times New Roman" w:eastAsia="仿宋_GB2312" w:cs="Times New Roman"/>
          <w:color w:val="auto"/>
          <w:sz w:val="32"/>
          <w:szCs w:val="32"/>
          <w:highlight w:val="none"/>
          <w:lang w:val="en-US" w:eastAsia="zh-CN"/>
        </w:rPr>
        <w:t>2.26万元，完成预算100%。</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卫生健康（类）行政事业单位医疗（款）行政单位医疗（项）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支出决算为</w:t>
      </w:r>
      <w:r>
        <w:rPr>
          <w:rFonts w:hint="eastAsia" w:ascii="Times New Roman" w:hAnsi="Times New Roman" w:eastAsia="仿宋_GB2312" w:cs="Times New Roman"/>
          <w:color w:val="auto"/>
          <w:sz w:val="32"/>
          <w:szCs w:val="32"/>
          <w:highlight w:val="none"/>
          <w:lang w:val="en-US" w:eastAsia="zh-CN"/>
        </w:rPr>
        <w:t>22.52</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eastAsia="zh-CN"/>
        </w:rPr>
        <w:t>住房保障支出（类）住房改革支出（款）住房公积金（项）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支出决算为</w:t>
      </w:r>
      <w:r>
        <w:rPr>
          <w:rFonts w:hint="eastAsia" w:ascii="Times New Roman" w:hAnsi="Times New Roman" w:eastAsia="仿宋_GB2312" w:cs="Times New Roman"/>
          <w:color w:val="auto"/>
          <w:sz w:val="32"/>
          <w:szCs w:val="32"/>
          <w:highlight w:val="none"/>
          <w:lang w:val="en-US" w:eastAsia="zh-CN"/>
        </w:rPr>
        <w:t>62.72</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55" w:name="_Toc15396608"/>
      <w:bookmarkStart w:id="56" w:name="_Toc15670"/>
      <w:bookmarkStart w:id="57" w:name="_Toc15377214"/>
      <w:bookmarkStart w:id="58" w:name="_Toc19445"/>
      <w:r>
        <w:rPr>
          <w:rFonts w:hint="eastAsia" w:ascii="黑体" w:hAnsi="黑体" w:eastAsia="黑体" w:cs="黑体"/>
          <w:b w:val="0"/>
          <w:color w:val="auto"/>
          <w:sz w:val="32"/>
          <w:szCs w:val="32"/>
          <w:highlight w:val="none"/>
          <w:lang w:eastAsia="zh-CN"/>
        </w:rPr>
        <w:t>六、一般公共预算财政拨款基本支出决算情况说明</w:t>
      </w:r>
      <w:bookmarkEnd w:id="55"/>
      <w:bookmarkEnd w:id="56"/>
      <w:bookmarkEnd w:id="57"/>
      <w:bookmarkEnd w:id="58"/>
      <w:r>
        <w:rPr>
          <w:rFonts w:hint="eastAsia" w:ascii="黑体" w:hAnsi="黑体" w:eastAsia="黑体" w:cs="黑体"/>
          <w:b w:val="0"/>
          <w:color w:val="auto"/>
          <w:sz w:val="32"/>
          <w:szCs w:val="32"/>
          <w:highlight w:val="none"/>
          <w:lang w:eastAsia="zh-CN"/>
        </w:rPr>
        <w:tab/>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年一般公共预算财政拨款基本支出</w:t>
      </w:r>
      <w:r>
        <w:rPr>
          <w:rFonts w:hint="eastAsia" w:ascii="Times New Roman" w:hAnsi="Times New Roman" w:eastAsia="仿宋_GB2312" w:cs="Times New Roman"/>
          <w:color w:val="auto"/>
          <w:sz w:val="32"/>
          <w:szCs w:val="32"/>
          <w:highlight w:val="none"/>
          <w:lang w:val="en-US" w:eastAsia="zh-CN"/>
        </w:rPr>
        <w:t>977.81</w:t>
      </w:r>
      <w:r>
        <w:rPr>
          <w:rFonts w:hint="eastAsia" w:ascii="Times New Roman" w:hAnsi="Times New Roman" w:eastAsia="仿宋_GB2312" w:cs="Times New Roman"/>
          <w:color w:val="auto"/>
          <w:sz w:val="32"/>
          <w:szCs w:val="32"/>
          <w:highlight w:val="none"/>
          <w:lang w:eastAsia="zh-CN"/>
        </w:rPr>
        <w:t>万元，其中：人员经费</w:t>
      </w:r>
      <w:r>
        <w:rPr>
          <w:rFonts w:hint="eastAsia" w:ascii="Times New Roman" w:hAnsi="Times New Roman" w:eastAsia="仿宋_GB2312" w:cs="Times New Roman"/>
          <w:color w:val="auto"/>
          <w:sz w:val="32"/>
          <w:szCs w:val="32"/>
          <w:highlight w:val="none"/>
          <w:lang w:val="en-US" w:eastAsia="zh-CN"/>
        </w:rPr>
        <w:t>834.76</w:t>
      </w:r>
      <w:r>
        <w:rPr>
          <w:rFonts w:hint="eastAsia" w:ascii="Times New Roman" w:hAnsi="Times New Roman" w:eastAsia="仿宋_GB2312" w:cs="Times New Roman"/>
          <w:color w:val="auto"/>
          <w:sz w:val="32"/>
          <w:szCs w:val="32"/>
          <w:highlight w:val="none"/>
          <w:lang w:eastAsia="zh-CN"/>
        </w:rPr>
        <w:t>万元，主要包括：基本工资、津贴补贴、奖金、绩效工资、机关事业单位基本养老保险缴费、职业年金缴费、  职工基本医疗保险缴费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其他社会保障缴费、住房公积金</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抚恤金、生活补助、奖励金。</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公用经费</w:t>
      </w:r>
      <w:r>
        <w:rPr>
          <w:rFonts w:hint="eastAsia" w:ascii="Times New Roman" w:hAnsi="Times New Roman" w:eastAsia="仿宋_GB2312" w:cs="Times New Roman"/>
          <w:color w:val="auto"/>
          <w:sz w:val="32"/>
          <w:szCs w:val="32"/>
          <w:highlight w:val="none"/>
          <w:lang w:val="en-US" w:eastAsia="zh-CN"/>
        </w:rPr>
        <w:t>143.05</w:t>
      </w:r>
      <w:r>
        <w:rPr>
          <w:rFonts w:hint="eastAsia" w:ascii="Times New Roman" w:hAnsi="Times New Roman" w:eastAsia="仿宋_GB2312" w:cs="Times New Roman"/>
          <w:color w:val="auto"/>
          <w:sz w:val="32"/>
          <w:szCs w:val="32"/>
          <w:highlight w:val="none"/>
          <w:lang w:eastAsia="zh-CN"/>
        </w:rPr>
        <w:t>万元，主要包括：办公费、印刷费、手续费、水费、电费、邮电费、差旅费、维修（护）费、租赁费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培训费、公务接待费、工会经费、福利费、公务用车运行维护费、其他交通费</w:t>
      </w:r>
      <w:r>
        <w:rPr>
          <w:rFonts w:hint="eastAsia" w:eastAsia="仿宋_GB2312" w:cs="Times New Roman"/>
          <w:color w:val="auto"/>
          <w:sz w:val="32"/>
          <w:szCs w:val="32"/>
          <w:highlight w:val="none"/>
          <w:lang w:val="en-US" w:eastAsia="zh-CN"/>
        </w:rPr>
        <w:t>用</w:t>
      </w:r>
      <w:r>
        <w:rPr>
          <w:rFonts w:hint="eastAsia" w:ascii="Times New Roman" w:hAnsi="Times New Roman" w:eastAsia="仿宋_GB2312" w:cs="Times New Roman"/>
          <w:color w:val="auto"/>
          <w:sz w:val="32"/>
          <w:szCs w:val="32"/>
          <w:highlight w:val="none"/>
          <w:lang w:eastAsia="zh-CN"/>
        </w:rPr>
        <w:t>、其他商品和服务支出。</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59" w:name="_Toc13383"/>
      <w:bookmarkStart w:id="60" w:name="_Toc15396609"/>
      <w:bookmarkStart w:id="61" w:name="_Toc15377215"/>
      <w:bookmarkStart w:id="62" w:name="_Toc2669"/>
      <w:r>
        <w:rPr>
          <w:rFonts w:hint="eastAsia" w:ascii="黑体" w:hAnsi="黑体" w:eastAsia="黑体" w:cs="黑体"/>
          <w:b w:val="0"/>
          <w:color w:val="auto"/>
          <w:sz w:val="32"/>
          <w:szCs w:val="32"/>
          <w:highlight w:val="none"/>
          <w:lang w:eastAsia="zh-CN"/>
        </w:rPr>
        <w:t>七、财政拨款“三公”经费支出决算情况说明</w:t>
      </w:r>
      <w:bookmarkEnd w:id="59"/>
      <w:bookmarkEnd w:id="60"/>
      <w:bookmarkEnd w:id="61"/>
      <w:bookmarkEnd w:id="62"/>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bookmarkStart w:id="63" w:name="_Toc15377216"/>
      <w:r>
        <w:rPr>
          <w:rFonts w:hint="eastAsia" w:ascii="楷体_GB2312" w:hAnsi="楷体_GB2312" w:eastAsia="楷体_GB2312" w:cs="楷体_GB2312"/>
          <w:color w:val="auto"/>
          <w:sz w:val="32"/>
          <w:szCs w:val="32"/>
          <w:highlight w:val="none"/>
          <w:lang w:eastAsia="zh-CN"/>
        </w:rPr>
        <w:t>（一）“三公”经费财政拨款支出决算总体情况说明</w:t>
      </w:r>
      <w:bookmarkEnd w:id="63"/>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年“三公”经费财政拨款支出决算为</w:t>
      </w:r>
      <w:r>
        <w:rPr>
          <w:rFonts w:hint="eastAsia" w:ascii="Times New Roman" w:hAnsi="Times New Roman" w:eastAsia="仿宋_GB2312" w:cs="Times New Roman"/>
          <w:color w:val="auto"/>
          <w:sz w:val="32"/>
          <w:szCs w:val="32"/>
          <w:highlight w:val="none"/>
          <w:lang w:val="en-US" w:eastAsia="zh-CN"/>
        </w:rPr>
        <w:t>3.18</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31.8</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，较上年</w:t>
      </w:r>
      <w:r>
        <w:rPr>
          <w:rFonts w:hint="eastAsia" w:ascii="Times New Roman" w:hAnsi="Times New Roman" w:eastAsia="仿宋_GB2312" w:cs="Times New Roman"/>
          <w:color w:val="auto"/>
          <w:sz w:val="32"/>
          <w:szCs w:val="32"/>
          <w:highlight w:val="none"/>
          <w:lang w:val="en-US" w:eastAsia="zh-CN"/>
        </w:rPr>
        <w:t>减少16.53万元，下降83.87%。</w:t>
      </w:r>
      <w:r>
        <w:rPr>
          <w:rFonts w:hint="eastAsia" w:ascii="Times New Roman" w:hAnsi="Times New Roman" w:eastAsia="仿宋_GB2312" w:cs="Times New Roman"/>
          <w:color w:val="auto"/>
          <w:sz w:val="32"/>
          <w:szCs w:val="32"/>
          <w:highlight w:val="none"/>
          <w:lang w:eastAsia="zh-CN"/>
        </w:rPr>
        <w:t>决算数小于预算数的主要原因是厉行节约，同时受疫情影响，公务外出次数减少。</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楷体_GB2312" w:hAnsi="楷体_GB2312" w:eastAsia="楷体_GB2312" w:cs="楷体_GB2312"/>
          <w:color w:val="auto"/>
          <w:sz w:val="32"/>
          <w:szCs w:val="32"/>
          <w:highlight w:val="none"/>
          <w:lang w:eastAsia="zh-CN"/>
        </w:rPr>
      </w:pPr>
      <w:bookmarkStart w:id="64" w:name="_Toc15377217"/>
      <w:r>
        <w:rPr>
          <w:rFonts w:hint="eastAsia" w:ascii="楷体_GB2312" w:hAnsi="楷体_GB2312" w:eastAsia="楷体_GB2312" w:cs="楷体_GB2312"/>
          <w:color w:val="auto"/>
          <w:sz w:val="32"/>
          <w:szCs w:val="32"/>
          <w:highlight w:val="none"/>
          <w:lang w:eastAsia="zh-CN"/>
        </w:rPr>
        <w:t>（二）“三公”经费财政拨款支出决算具体情况说明</w:t>
      </w:r>
      <w:bookmarkEnd w:id="64"/>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年“三公”经费财政拨款支出决算中，因公出国（境）费支出决算</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；公务用车购置及运行维护费支出决算</w:t>
      </w:r>
      <w:r>
        <w:rPr>
          <w:rFonts w:hint="eastAsia" w:ascii="Times New Roman" w:hAnsi="Times New Roman" w:eastAsia="仿宋_GB2312" w:cs="Times New Roman"/>
          <w:color w:val="auto"/>
          <w:sz w:val="32"/>
          <w:szCs w:val="32"/>
          <w:highlight w:val="none"/>
          <w:lang w:val="en-US" w:eastAsia="zh-CN"/>
        </w:rPr>
        <w:t>2.94</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92.45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；公务接待费支出决算</w:t>
      </w:r>
      <w:r>
        <w:rPr>
          <w:rFonts w:hint="eastAsia" w:ascii="Times New Roman" w:hAnsi="Times New Roman" w:eastAsia="仿宋_GB2312" w:cs="Times New Roman"/>
          <w:color w:val="auto"/>
          <w:sz w:val="32"/>
          <w:szCs w:val="32"/>
          <w:highlight w:val="none"/>
          <w:lang w:val="en-US" w:eastAsia="zh-CN"/>
        </w:rPr>
        <w:t>0.24</w:t>
      </w:r>
      <w:r>
        <w:rPr>
          <w:rFonts w:hint="eastAsia" w:ascii="Times New Roman" w:hAnsi="Times New Roman" w:eastAsia="仿宋_GB2312" w:cs="Times New Roman"/>
          <w:color w:val="auto"/>
          <w:sz w:val="32"/>
          <w:szCs w:val="32"/>
          <w:highlight w:val="none"/>
          <w:lang w:eastAsia="zh-CN"/>
        </w:rPr>
        <w:t>万元，占</w:t>
      </w:r>
      <w:r>
        <w:rPr>
          <w:rFonts w:hint="eastAsia" w:ascii="Times New Roman" w:hAnsi="Times New Roman" w:eastAsia="仿宋_GB2312" w:cs="Times New Roman"/>
          <w:color w:val="auto"/>
          <w:sz w:val="32"/>
          <w:szCs w:val="32"/>
          <w:highlight w:val="none"/>
          <w:lang w:val="en-US" w:eastAsia="zh-CN"/>
        </w:rPr>
        <w:t>7.55</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。具体情况如下：</w:t>
      </w:r>
    </w:p>
    <w:p>
      <w:pPr>
        <w:pStyle w:val="14"/>
        <w:keepNext w:val="0"/>
        <w:keepLines w:val="0"/>
        <w:pageBreakBefore w:val="0"/>
        <w:shd w:val="clear"/>
        <w:kinsoku/>
        <w:wordWrap/>
        <w:overflowPunct/>
        <w:topLinePunct w:val="0"/>
        <w:autoSpaceDE/>
        <w:autoSpaceDN/>
        <w:bidi w:val="0"/>
        <w:outlineLvl w:val="9"/>
        <w:rPr>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799205" cy="2451100"/>
            <wp:effectExtent l="4445" t="4445" r="6350" b="209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0" w:firstLineChars="0"/>
        <w:jc w:val="center"/>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（图7：“三公”经费财政拨款支出结构）</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eastAsia="zh-CN"/>
        </w:rPr>
        <w:t>因公出国（境）经费支出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万元，年初未安排预算。</w:t>
      </w:r>
      <w:r>
        <w:rPr>
          <w:rFonts w:hint="eastAsia" w:ascii="Times New Roman" w:hAnsi="Times New Roman" w:eastAsia="仿宋_GB2312" w:cs="Times New Roman"/>
          <w:color w:val="auto"/>
          <w:sz w:val="32"/>
          <w:szCs w:val="32"/>
          <w:highlight w:val="none"/>
          <w:lang w:val="en-US" w:eastAsia="zh-CN"/>
        </w:rPr>
        <w:t>因公出国</w:t>
      </w:r>
      <w:r>
        <w:rPr>
          <w:rFonts w:hint="eastAsia" w:ascii="Times New Roman" w:hAnsi="Times New Roman" w:eastAsia="仿宋_GB2312" w:cs="Times New Roman"/>
          <w:color w:val="auto"/>
          <w:sz w:val="32"/>
          <w:szCs w:val="32"/>
          <w:highlight w:val="none"/>
          <w:lang w:eastAsia="zh-CN"/>
        </w:rPr>
        <w:t>（境）</w:t>
      </w:r>
      <w:r>
        <w:rPr>
          <w:rFonts w:hint="eastAsia" w:ascii="Times New Roman" w:hAnsi="Times New Roman" w:eastAsia="仿宋_GB2312" w:cs="Times New Roman"/>
          <w:color w:val="auto"/>
          <w:sz w:val="32"/>
          <w:szCs w:val="32"/>
          <w:highlight w:val="none"/>
          <w:lang w:val="en-US" w:eastAsia="zh-CN"/>
        </w:rPr>
        <w:t>支出决算较2020年无变化</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eastAsia="zh-CN"/>
        </w:rPr>
        <w:t>公务用车购置及运行维护费支出</w:t>
      </w:r>
      <w:r>
        <w:rPr>
          <w:rFonts w:hint="eastAsia" w:ascii="Times New Roman" w:hAnsi="Times New Roman" w:eastAsia="仿宋_GB2312" w:cs="Times New Roman"/>
          <w:color w:val="auto"/>
          <w:sz w:val="32"/>
          <w:szCs w:val="32"/>
          <w:highlight w:val="none"/>
          <w:lang w:val="en-US" w:eastAsia="zh-CN"/>
        </w:rPr>
        <w:t>2.94</w:t>
      </w:r>
      <w:r>
        <w:rPr>
          <w:rFonts w:hint="eastAsia" w:ascii="Times New Roman" w:hAnsi="Times New Roman" w:eastAsia="仿宋_GB2312" w:cs="Times New Roman"/>
          <w:color w:val="auto"/>
          <w:sz w:val="32"/>
          <w:szCs w:val="32"/>
          <w:highlight w:val="none"/>
          <w:lang w:eastAsia="zh-CN"/>
        </w:rPr>
        <w:t>万元,完成预算</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。公务用车购置及运行维护费支出决算比</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年减少</w:t>
      </w:r>
      <w:r>
        <w:rPr>
          <w:rFonts w:hint="eastAsia" w:ascii="Times New Roman" w:hAnsi="Times New Roman" w:eastAsia="仿宋_GB2312" w:cs="Times New Roman"/>
          <w:color w:val="auto"/>
          <w:sz w:val="32"/>
          <w:szCs w:val="32"/>
          <w:highlight w:val="none"/>
          <w:lang w:val="en-US" w:eastAsia="zh-CN"/>
        </w:rPr>
        <w:t>2.67</w:t>
      </w:r>
      <w:r>
        <w:rPr>
          <w:rFonts w:hint="eastAsia"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47.59</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。主要原因是厉行节约，同时</w:t>
      </w:r>
      <w:r>
        <w:rPr>
          <w:rFonts w:hint="eastAsia" w:eastAsia="仿宋_GB2312" w:cs="Times New Roman"/>
          <w:color w:val="auto"/>
          <w:sz w:val="32"/>
          <w:szCs w:val="32"/>
          <w:highlight w:val="none"/>
          <w:lang w:eastAsia="zh-CN"/>
        </w:rPr>
        <w:t>由于疫情影响，公务外出减少</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其中：公务用车购置支出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万元。为响应上级要求，厉行节约，严格控制“三公”经费支出，全年未新购置公务用车。截至</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12</w:t>
      </w:r>
      <w:r>
        <w:rPr>
          <w:rFonts w:hint="eastAsia" w:ascii="Times New Roman" w:hAnsi="Times New Roman" w:eastAsia="仿宋_GB2312" w:cs="Times New Roman"/>
          <w:color w:val="auto"/>
          <w:sz w:val="32"/>
          <w:szCs w:val="32"/>
          <w:highlight w:val="none"/>
          <w:lang w:eastAsia="zh-CN"/>
        </w:rPr>
        <w:t>月底，单位共有公务用车</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辆，其中：轿车</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辆。</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公务用车运行维护费支出</w:t>
      </w:r>
      <w:r>
        <w:rPr>
          <w:rFonts w:hint="eastAsia" w:ascii="Times New Roman" w:hAnsi="Times New Roman" w:eastAsia="仿宋_GB2312" w:cs="Times New Roman"/>
          <w:color w:val="auto"/>
          <w:sz w:val="32"/>
          <w:szCs w:val="32"/>
          <w:highlight w:val="none"/>
          <w:lang w:val="en-US" w:eastAsia="zh-CN"/>
        </w:rPr>
        <w:t>2.94</w:t>
      </w:r>
      <w:r>
        <w:rPr>
          <w:rFonts w:hint="eastAsia" w:ascii="Times New Roman" w:hAnsi="Times New Roman" w:eastAsia="仿宋_GB2312" w:cs="Times New Roman"/>
          <w:color w:val="auto"/>
          <w:sz w:val="32"/>
          <w:szCs w:val="32"/>
          <w:highlight w:val="none"/>
          <w:lang w:eastAsia="zh-CN"/>
        </w:rPr>
        <w:t>万元。主要用于外出考察项目、接送客商等所需的公务用车燃料费、维修费、过路过桥费、保险费等支出。</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eastAsia" w:ascii="Times New Roman" w:hAnsi="Times New Roman" w:eastAsia="仿宋_GB2312" w:cs="Times New Roman"/>
          <w:color w:val="auto"/>
          <w:sz w:val="32"/>
          <w:szCs w:val="32"/>
          <w:highlight w:val="none"/>
          <w:lang w:eastAsia="zh-CN"/>
        </w:rPr>
        <w:t>公务接待费支出</w:t>
      </w:r>
      <w:r>
        <w:rPr>
          <w:rFonts w:hint="eastAsia" w:ascii="Times New Roman" w:hAnsi="Times New Roman" w:eastAsia="仿宋_GB2312" w:cs="Times New Roman"/>
          <w:color w:val="auto"/>
          <w:sz w:val="32"/>
          <w:szCs w:val="32"/>
          <w:highlight w:val="none"/>
          <w:lang w:val="en-US" w:eastAsia="zh-CN"/>
        </w:rPr>
        <w:t>0.24</w:t>
      </w:r>
      <w:r>
        <w:rPr>
          <w:rFonts w:hint="eastAsia" w:ascii="Times New Roman" w:hAnsi="Times New Roman" w:eastAsia="仿宋_GB2312" w:cs="Times New Roman"/>
          <w:color w:val="auto"/>
          <w:sz w:val="32"/>
          <w:szCs w:val="32"/>
          <w:highlight w:val="none"/>
          <w:lang w:eastAsia="zh-CN"/>
        </w:rPr>
        <w:t>万元，完成预算</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。公务接待费支出决算比</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年减少</w:t>
      </w:r>
      <w:r>
        <w:rPr>
          <w:rFonts w:hint="eastAsia" w:ascii="Times New Roman" w:hAnsi="Times New Roman" w:eastAsia="仿宋_GB2312" w:cs="Times New Roman"/>
          <w:color w:val="auto"/>
          <w:sz w:val="32"/>
          <w:szCs w:val="32"/>
          <w:highlight w:val="none"/>
          <w:lang w:val="en-US" w:eastAsia="zh-CN"/>
        </w:rPr>
        <w:t>13.87</w:t>
      </w:r>
      <w:r>
        <w:rPr>
          <w:rFonts w:hint="eastAsia"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98.3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。主要原因是厉行节约，同时由于疫情影响，各单位外出公务活动相对减少。其中：</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国内公务接待支出</w:t>
      </w:r>
      <w:r>
        <w:rPr>
          <w:rFonts w:hint="eastAsia" w:ascii="Times New Roman" w:hAnsi="Times New Roman" w:eastAsia="仿宋_GB2312" w:cs="Times New Roman"/>
          <w:color w:val="auto"/>
          <w:sz w:val="32"/>
          <w:szCs w:val="32"/>
          <w:highlight w:val="none"/>
          <w:lang w:val="en-US" w:eastAsia="zh-CN"/>
        </w:rPr>
        <w:t>0.24</w:t>
      </w:r>
      <w:r>
        <w:rPr>
          <w:rFonts w:hint="eastAsia" w:ascii="Times New Roman" w:hAnsi="Times New Roman" w:eastAsia="仿宋_GB2312" w:cs="Times New Roman"/>
          <w:color w:val="auto"/>
          <w:sz w:val="32"/>
          <w:szCs w:val="32"/>
          <w:highlight w:val="none"/>
          <w:lang w:eastAsia="zh-CN"/>
        </w:rPr>
        <w:t>万元，主要用于执行公务、开展业务活动开支的交通费、住宿费、用餐费等。国内公务接待</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批次，</w:t>
      </w:r>
      <w:r>
        <w:rPr>
          <w:rFonts w:hint="eastAsia" w:ascii="Times New Roman" w:hAnsi="Times New Roman" w:eastAsia="仿宋_GB2312" w:cs="Times New Roman"/>
          <w:color w:val="auto"/>
          <w:sz w:val="32"/>
          <w:szCs w:val="32"/>
          <w:highlight w:val="none"/>
          <w:lang w:val="en-US" w:eastAsia="zh-CN"/>
        </w:rPr>
        <w:t>24</w:t>
      </w:r>
      <w:r>
        <w:rPr>
          <w:rFonts w:hint="eastAsia" w:ascii="Times New Roman" w:hAnsi="Times New Roman" w:eastAsia="仿宋_GB2312" w:cs="Times New Roman"/>
          <w:color w:val="auto"/>
          <w:sz w:val="32"/>
          <w:szCs w:val="32"/>
          <w:highlight w:val="none"/>
          <w:lang w:eastAsia="zh-CN"/>
        </w:rPr>
        <w:t>人次（不包括陪同人员），共计支出</w:t>
      </w:r>
      <w:r>
        <w:rPr>
          <w:rFonts w:hint="eastAsia" w:ascii="Times New Roman" w:hAnsi="Times New Roman" w:eastAsia="仿宋_GB2312" w:cs="Times New Roman"/>
          <w:color w:val="auto"/>
          <w:sz w:val="32"/>
          <w:szCs w:val="32"/>
          <w:highlight w:val="none"/>
          <w:lang w:val="en-US" w:eastAsia="zh-CN"/>
        </w:rPr>
        <w:t>0.24</w:t>
      </w:r>
      <w:r>
        <w:rPr>
          <w:rFonts w:hint="eastAsia" w:ascii="Times New Roman" w:hAnsi="Times New Roman" w:eastAsia="仿宋_GB2312" w:cs="Times New Roman"/>
          <w:color w:val="auto"/>
          <w:sz w:val="32"/>
          <w:szCs w:val="32"/>
          <w:highlight w:val="none"/>
          <w:lang w:eastAsia="zh-CN"/>
        </w:rPr>
        <w:t>万元，具体内容包括：省经合局来广调研、经联会成员方来我市衔接工作、央企国企来广考察、其他市州招商系统来广走访考察等。</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外事接待支出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w:t>
      </w:r>
      <w:bookmarkStart w:id="65" w:name="_Toc15377218"/>
      <w:bookmarkStart w:id="66" w:name="_Toc15396610"/>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67" w:name="_Toc31741"/>
      <w:bookmarkStart w:id="68" w:name="_Toc22788"/>
      <w:r>
        <w:rPr>
          <w:rFonts w:hint="eastAsia" w:ascii="黑体" w:hAnsi="黑体" w:eastAsia="黑体" w:cs="黑体"/>
          <w:b w:val="0"/>
          <w:color w:val="auto"/>
          <w:sz w:val="32"/>
          <w:szCs w:val="32"/>
          <w:highlight w:val="none"/>
          <w:lang w:eastAsia="zh-CN"/>
        </w:rPr>
        <w:t>八、政府性基金预算支出决算情况说明</w:t>
      </w:r>
      <w:bookmarkEnd w:id="65"/>
      <w:bookmarkEnd w:id="66"/>
      <w:bookmarkEnd w:id="67"/>
      <w:bookmarkEnd w:id="68"/>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年政府性基金预算财政拨款支出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default" w:ascii="黑体" w:hAnsi="黑体" w:eastAsia="黑体" w:cs="黑体"/>
          <w:b w:val="0"/>
          <w:color w:val="auto"/>
          <w:sz w:val="32"/>
          <w:szCs w:val="32"/>
          <w:highlight w:val="none"/>
          <w:lang w:eastAsia="zh-CN"/>
        </w:rPr>
      </w:pPr>
      <w:bookmarkStart w:id="69" w:name="_Toc15377219"/>
      <w:bookmarkStart w:id="70" w:name="_Toc3312"/>
      <w:bookmarkStart w:id="71" w:name="_Toc28180"/>
      <w:bookmarkStart w:id="72" w:name="_Toc15396611"/>
      <w:r>
        <w:rPr>
          <w:rFonts w:hint="eastAsia" w:ascii="黑体" w:hAnsi="黑体" w:eastAsia="黑体" w:cs="黑体"/>
          <w:b w:val="0"/>
          <w:color w:val="auto"/>
          <w:sz w:val="32"/>
          <w:szCs w:val="32"/>
          <w:highlight w:val="none"/>
          <w:lang w:eastAsia="zh-CN"/>
        </w:rPr>
        <w:t>九、国有资本经营预算支出决算情况说明</w:t>
      </w:r>
      <w:bookmarkEnd w:id="69"/>
      <w:bookmarkEnd w:id="70"/>
      <w:bookmarkEnd w:id="71"/>
      <w:bookmarkEnd w:id="72"/>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年国有资本经营预算财政拨款支出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黑体" w:hAnsi="黑体" w:eastAsia="黑体" w:cs="黑体"/>
          <w:b w:val="0"/>
          <w:color w:val="auto"/>
          <w:sz w:val="32"/>
          <w:szCs w:val="32"/>
          <w:highlight w:val="none"/>
          <w:lang w:eastAsia="zh-CN"/>
        </w:rPr>
      </w:pPr>
      <w:bookmarkStart w:id="73" w:name="_Toc15377221"/>
      <w:bookmarkStart w:id="74" w:name="_Toc6757"/>
      <w:bookmarkStart w:id="75" w:name="_Toc15396612"/>
      <w:bookmarkStart w:id="76" w:name="_Toc2804"/>
      <w:r>
        <w:rPr>
          <w:rFonts w:hint="eastAsia" w:ascii="黑体" w:hAnsi="黑体" w:eastAsia="黑体" w:cs="黑体"/>
          <w:b w:val="0"/>
          <w:color w:val="auto"/>
          <w:sz w:val="32"/>
          <w:szCs w:val="32"/>
          <w:highlight w:val="none"/>
          <w:lang w:eastAsia="zh-CN"/>
        </w:rPr>
        <w:t>十、其他重要事项的情况说明</w:t>
      </w:r>
      <w:bookmarkEnd w:id="73"/>
      <w:bookmarkEnd w:id="74"/>
      <w:bookmarkEnd w:id="75"/>
      <w:bookmarkEnd w:id="76"/>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bookmarkStart w:id="77" w:name="_Toc15377222"/>
      <w:r>
        <w:rPr>
          <w:rFonts w:hint="eastAsia" w:ascii="楷体_GB2312" w:hAnsi="楷体_GB2312" w:eastAsia="楷体_GB2312" w:cs="楷体_GB2312"/>
          <w:color w:val="auto"/>
          <w:sz w:val="32"/>
          <w:szCs w:val="32"/>
          <w:highlight w:val="none"/>
          <w:lang w:eastAsia="zh-CN"/>
        </w:rPr>
        <w:t>（一）机关运行经费支出情况</w:t>
      </w:r>
      <w:bookmarkEnd w:id="77"/>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年，市经济合作和外事局机关运行经费支出</w:t>
      </w:r>
      <w:r>
        <w:rPr>
          <w:rFonts w:hint="eastAsia" w:ascii="Times New Roman" w:hAnsi="Times New Roman" w:eastAsia="仿宋_GB2312" w:cs="Times New Roman"/>
          <w:color w:val="auto"/>
          <w:sz w:val="32"/>
          <w:szCs w:val="32"/>
          <w:highlight w:val="none"/>
          <w:lang w:val="en-US" w:eastAsia="zh-CN"/>
        </w:rPr>
        <w:t>143.05</w:t>
      </w:r>
      <w:r>
        <w:rPr>
          <w:rFonts w:hint="eastAsia" w:ascii="Times New Roman" w:hAnsi="Times New Roman" w:eastAsia="仿宋_GB2312" w:cs="Times New Roman"/>
          <w:color w:val="auto"/>
          <w:sz w:val="32"/>
          <w:szCs w:val="32"/>
          <w:highlight w:val="none"/>
          <w:lang w:eastAsia="zh-CN"/>
        </w:rPr>
        <w:t>万元，比</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年增加</w:t>
      </w:r>
      <w:r>
        <w:rPr>
          <w:rFonts w:hint="eastAsia" w:ascii="Times New Roman" w:hAnsi="Times New Roman" w:eastAsia="仿宋_GB2312" w:cs="Times New Roman"/>
          <w:color w:val="auto"/>
          <w:sz w:val="32"/>
          <w:szCs w:val="32"/>
          <w:highlight w:val="none"/>
          <w:lang w:val="en-US" w:eastAsia="zh-CN"/>
        </w:rPr>
        <w:t>28.45</w:t>
      </w:r>
      <w:r>
        <w:rPr>
          <w:rFonts w:hint="eastAsia" w:ascii="Times New Roman" w:hAnsi="Times New Roman" w:eastAsia="仿宋_GB2312" w:cs="Times New Roman"/>
          <w:color w:val="auto"/>
          <w:sz w:val="32"/>
          <w:szCs w:val="32"/>
          <w:highlight w:val="none"/>
          <w:lang w:eastAsia="zh-CN"/>
        </w:rPr>
        <w:t>万元，增长</w:t>
      </w:r>
      <w:r>
        <w:rPr>
          <w:rFonts w:hint="eastAsia" w:ascii="Times New Roman" w:hAnsi="Times New Roman" w:eastAsia="仿宋_GB2312" w:cs="Times New Roman"/>
          <w:color w:val="auto"/>
          <w:sz w:val="32"/>
          <w:szCs w:val="32"/>
          <w:highlight w:val="none"/>
          <w:lang w:val="en-US" w:eastAsia="zh-CN"/>
        </w:rPr>
        <w:t>24.83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。主要原因是单位人员增加，运行成本增加。</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楷体_GB2312" w:hAnsi="楷体_GB2312" w:eastAsia="楷体_GB2312" w:cs="楷体_GB2312"/>
          <w:color w:val="auto"/>
          <w:sz w:val="32"/>
          <w:szCs w:val="32"/>
          <w:highlight w:val="none"/>
          <w:lang w:eastAsia="zh-CN"/>
        </w:rPr>
      </w:pPr>
      <w:bookmarkStart w:id="78" w:name="_Toc15377223"/>
      <w:r>
        <w:rPr>
          <w:rFonts w:hint="eastAsia" w:ascii="楷体_GB2312" w:hAnsi="楷体_GB2312" w:eastAsia="楷体_GB2312" w:cs="楷体_GB2312"/>
          <w:color w:val="auto"/>
          <w:sz w:val="32"/>
          <w:szCs w:val="32"/>
          <w:highlight w:val="none"/>
          <w:lang w:eastAsia="zh-CN"/>
        </w:rPr>
        <w:t>（二）政府采购支出情况</w:t>
      </w:r>
      <w:bookmarkEnd w:id="78"/>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年，市经济合作和外事局政府采购支出总额</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楷体_GB2312" w:hAnsi="楷体_GB2312" w:eastAsia="楷体_GB2312" w:cs="楷体_GB2312"/>
          <w:color w:val="auto"/>
          <w:sz w:val="32"/>
          <w:szCs w:val="32"/>
          <w:highlight w:val="none"/>
          <w:lang w:eastAsia="zh-CN"/>
        </w:rPr>
      </w:pPr>
      <w:bookmarkStart w:id="79" w:name="_Toc15377224"/>
      <w:r>
        <w:rPr>
          <w:rFonts w:hint="eastAsia" w:ascii="楷体_GB2312" w:hAnsi="楷体_GB2312" w:eastAsia="楷体_GB2312" w:cs="楷体_GB2312"/>
          <w:color w:val="auto"/>
          <w:sz w:val="32"/>
          <w:szCs w:val="32"/>
          <w:highlight w:val="none"/>
          <w:lang w:eastAsia="zh-CN"/>
        </w:rPr>
        <w:t>（三）国有资产占有使用情况</w:t>
      </w:r>
      <w:bookmarkEnd w:id="79"/>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截至</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12</w:t>
      </w:r>
      <w:r>
        <w:rPr>
          <w:rFonts w:hint="eastAsia"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eastAsia="zh-CN"/>
        </w:rPr>
        <w:t>31</w:t>
      </w:r>
      <w:r>
        <w:rPr>
          <w:rFonts w:hint="eastAsia" w:ascii="Times New Roman" w:hAnsi="Times New Roman" w:eastAsia="仿宋_GB2312" w:cs="Times New Roman"/>
          <w:color w:val="auto"/>
          <w:sz w:val="32"/>
          <w:szCs w:val="32"/>
          <w:highlight w:val="none"/>
          <w:lang w:eastAsia="zh-CN"/>
        </w:rPr>
        <w:t>日，市经济合作和外事局共有车辆</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辆，其中：其他用车</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辆。其他用车主要是用于接待来广考察对接洽谈项目的客商，陪同客商赴各地考察项目基本要素等所需的公务用车燃料费、维修费、过路过桥费、保险费等支出。单价</w:t>
      </w:r>
      <w:r>
        <w:rPr>
          <w:rFonts w:hint="default" w:ascii="Times New Roman" w:hAnsi="Times New Roman" w:eastAsia="仿宋_GB2312" w:cs="Times New Roman"/>
          <w:color w:val="auto"/>
          <w:sz w:val="32"/>
          <w:szCs w:val="32"/>
          <w:highlight w:val="none"/>
          <w:lang w:eastAsia="zh-CN"/>
        </w:rPr>
        <w:t>50</w:t>
      </w:r>
      <w:r>
        <w:rPr>
          <w:rFonts w:hint="eastAsia" w:ascii="Times New Roman" w:hAnsi="Times New Roman" w:eastAsia="仿宋_GB2312" w:cs="Times New Roman"/>
          <w:color w:val="auto"/>
          <w:sz w:val="32"/>
          <w:szCs w:val="32"/>
          <w:highlight w:val="none"/>
          <w:lang w:eastAsia="zh-CN"/>
        </w:rPr>
        <w:t>万元以上通用设备</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台，单价</w:t>
      </w:r>
      <w:r>
        <w:rPr>
          <w:rFonts w:hint="default" w:ascii="Times New Roman" w:hAnsi="Times New Roman" w:eastAsia="仿宋_GB2312" w:cs="Times New Roman"/>
          <w:color w:val="auto"/>
          <w:sz w:val="32"/>
          <w:szCs w:val="32"/>
          <w:highlight w:val="none"/>
          <w:lang w:eastAsia="zh-CN"/>
        </w:rPr>
        <w:t>100</w:t>
      </w:r>
      <w:r>
        <w:rPr>
          <w:rFonts w:hint="eastAsia" w:ascii="Times New Roman" w:hAnsi="Times New Roman" w:eastAsia="仿宋_GB2312" w:cs="Times New Roman"/>
          <w:color w:val="auto"/>
          <w:sz w:val="32"/>
          <w:szCs w:val="32"/>
          <w:highlight w:val="none"/>
          <w:lang w:eastAsia="zh-CN"/>
        </w:rPr>
        <w:t>万元以上专用设备</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台。</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（四）预算绩效管理情况</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ascii="仿宋_GB2312" w:eastAsia="仿宋_GB2312"/>
          <w:b/>
          <w:color w:val="auto"/>
          <w:sz w:val="32"/>
          <w:szCs w:val="32"/>
          <w:highlight w:val="none"/>
        </w:rPr>
      </w:pPr>
      <w:r>
        <w:rPr>
          <w:rFonts w:hint="eastAsia" w:ascii="Times New Roman" w:hAnsi="Times New Roman" w:eastAsia="仿宋_GB2312" w:cs="Times New Roman"/>
          <w:color w:val="auto"/>
          <w:sz w:val="32"/>
          <w:szCs w:val="32"/>
          <w:highlight w:val="none"/>
          <w:lang w:eastAsia="zh-CN"/>
        </w:rPr>
        <w:t>根据预算绩效管理要求，本部门在</w:t>
      </w:r>
      <w:r>
        <w:rPr>
          <w:rFonts w:hint="eastAsia" w:ascii="Times New Roman" w:hAnsi="Times New Roman" w:eastAsia="仿宋_GB2312" w:cs="Times New Roman"/>
          <w:color w:val="auto"/>
          <w:sz w:val="32"/>
          <w:szCs w:val="32"/>
          <w:highlight w:val="none"/>
          <w:lang w:val="en-US" w:eastAsia="zh-CN"/>
        </w:rPr>
        <w:t>2022年度</w:t>
      </w:r>
      <w:r>
        <w:rPr>
          <w:rFonts w:hint="eastAsia" w:ascii="Times New Roman" w:hAnsi="Times New Roman" w:eastAsia="仿宋_GB2312" w:cs="Times New Roman"/>
          <w:color w:val="auto"/>
          <w:sz w:val="32"/>
          <w:szCs w:val="32"/>
          <w:highlight w:val="none"/>
          <w:lang w:eastAsia="zh-CN"/>
        </w:rPr>
        <w:t>预算编制阶段，组织对驻外分局工作经费和房租项目等</w:t>
      </w:r>
      <w:r>
        <w:rPr>
          <w:rFonts w:hint="eastAsia" w:ascii="Times New Roman" w:hAnsi="Times New Roman" w:eastAsia="仿宋_GB2312" w:cs="Times New Roman"/>
          <w:color w:val="auto"/>
          <w:sz w:val="32"/>
          <w:szCs w:val="32"/>
          <w:highlight w:val="none"/>
          <w:lang w:val="en-US" w:eastAsia="zh-CN"/>
        </w:rPr>
        <w:t>2个项目</w:t>
      </w:r>
      <w:r>
        <w:rPr>
          <w:rFonts w:hint="eastAsia" w:ascii="Times New Roman" w:hAnsi="Times New Roman" w:eastAsia="仿宋_GB2312" w:cs="Times New Roman"/>
          <w:color w:val="auto"/>
          <w:sz w:val="32"/>
          <w:szCs w:val="32"/>
          <w:highlight w:val="none"/>
          <w:lang w:eastAsia="zh-CN"/>
        </w:rPr>
        <w:t>开展了预算事前绩效评估，对</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个项目编制了绩效目标，预算执行过程中，选取</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个项目开展绩效监控。同时，年终执行完毕后，组织对2022年度一般公共预算全面开展绩效自评，形成市经济合作和外事局部门整体（含部门预算项目）绩效自评报告、乡村振兴等专项预算项目绩效自评报告，其中，市经济合作和外事局部门整体（含部门预算项目）绩效自评得分为</w:t>
      </w:r>
      <w:r>
        <w:rPr>
          <w:rFonts w:hint="eastAsia" w:ascii="Times New Roman" w:hAnsi="Times New Roman" w:eastAsia="仿宋_GB2312" w:cs="Times New Roman"/>
          <w:color w:val="auto"/>
          <w:sz w:val="32"/>
          <w:szCs w:val="32"/>
          <w:highlight w:val="none"/>
          <w:lang w:val="en-US" w:eastAsia="zh-CN"/>
        </w:rPr>
        <w:t>97.6</w:t>
      </w:r>
      <w:r>
        <w:rPr>
          <w:rFonts w:hint="eastAsia" w:ascii="Times New Roman" w:hAnsi="Times New Roman" w:eastAsia="仿宋_GB2312" w:cs="Times New Roman"/>
          <w:color w:val="auto"/>
          <w:sz w:val="32"/>
          <w:szCs w:val="32"/>
          <w:highlight w:val="none"/>
          <w:lang w:eastAsia="zh-CN"/>
        </w:rPr>
        <w:t>分，绩效自评综述：</w:t>
      </w:r>
      <w:r>
        <w:rPr>
          <w:rFonts w:hint="eastAsia" w:ascii="Times New Roman" w:hAnsi="Times New Roman" w:eastAsia="仿宋_GB2312" w:cs="Times New Roman"/>
          <w:color w:val="auto"/>
          <w:sz w:val="32"/>
          <w:szCs w:val="32"/>
          <w:highlight w:val="none"/>
          <w:lang w:val="zh-CN" w:eastAsia="zh-CN"/>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zh-CN" w:eastAsia="zh-CN"/>
        </w:rPr>
        <w:t>年我单位整体支出绩效自查自评结果良好，全年基本支出保证了单位的正常运转，项目支出保障了重点专项工作的开展，按照 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zh-CN" w:eastAsia="zh-CN"/>
        </w:rPr>
        <w:t>年度部门整体支出绩效评价指标体系对我单位预算编制、预算执行、完成结果、信息公开、整改反馈等方面进行了自评，最终得分</w:t>
      </w:r>
      <w:r>
        <w:rPr>
          <w:rFonts w:hint="eastAsia" w:ascii="Times New Roman" w:hAnsi="Times New Roman" w:eastAsia="仿宋_GB2312" w:cs="Times New Roman"/>
          <w:color w:val="auto"/>
          <w:sz w:val="32"/>
          <w:szCs w:val="32"/>
          <w:highlight w:val="none"/>
          <w:lang w:val="en-US" w:eastAsia="zh-CN"/>
        </w:rPr>
        <w:t>97.6</w:t>
      </w:r>
      <w:r>
        <w:rPr>
          <w:rFonts w:hint="eastAsia" w:ascii="Times New Roman" w:hAnsi="Times New Roman" w:eastAsia="仿宋_GB2312" w:cs="Times New Roman"/>
          <w:color w:val="auto"/>
          <w:sz w:val="32"/>
          <w:szCs w:val="32"/>
          <w:highlight w:val="none"/>
          <w:lang w:val="zh-CN" w:eastAsia="zh-CN"/>
        </w:rPr>
        <w:t>分</w:t>
      </w:r>
      <w:r>
        <w:rPr>
          <w:rFonts w:hint="eastAsia" w:ascii="Times New Roman" w:hAnsi="Times New Roman" w:eastAsia="仿宋_GB2312" w:cs="Times New Roman"/>
          <w:color w:val="auto"/>
          <w:sz w:val="32"/>
          <w:szCs w:val="32"/>
          <w:highlight w:val="none"/>
          <w:lang w:eastAsia="zh-CN"/>
        </w:rPr>
        <w:t>；乡村振兴专项预算项目绩效自评得分为</w:t>
      </w:r>
      <w:r>
        <w:rPr>
          <w:rFonts w:hint="eastAsia" w:ascii="Times New Roman" w:hAnsi="Times New Roman" w:eastAsia="仿宋_GB2312" w:cs="Times New Roman"/>
          <w:color w:val="auto"/>
          <w:sz w:val="32"/>
          <w:szCs w:val="32"/>
          <w:highlight w:val="none"/>
          <w:lang w:val="en-US" w:eastAsia="zh-CN"/>
        </w:rPr>
        <w:t>98.5</w:t>
      </w:r>
      <w:r>
        <w:rPr>
          <w:rFonts w:hint="eastAsia" w:ascii="Times New Roman" w:hAnsi="Times New Roman" w:eastAsia="仿宋_GB2312" w:cs="Times New Roman"/>
          <w:color w:val="auto"/>
          <w:sz w:val="32"/>
          <w:szCs w:val="32"/>
          <w:highlight w:val="none"/>
          <w:lang w:eastAsia="zh-CN"/>
        </w:rPr>
        <w:t>分，绩效自评综述：</w:t>
      </w:r>
      <w:r>
        <w:rPr>
          <w:rFonts w:hint="eastAsia" w:ascii="Times New Roman" w:hAnsi="Times New Roman" w:eastAsia="仿宋_GB2312" w:cs="Times New Roman"/>
          <w:color w:val="auto"/>
          <w:sz w:val="32"/>
          <w:szCs w:val="32"/>
          <w:highlight w:val="none"/>
          <w:lang w:val="zh-CN" w:eastAsia="zh-CN"/>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zh-CN" w:eastAsia="zh-CN"/>
        </w:rPr>
        <w:t>年我单位乡村振兴支出绩效自查自评结果良好，全年基本支出保证了乡村振兴工作的正常运转，按照 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zh-CN" w:eastAsia="zh-CN"/>
        </w:rPr>
        <w:t>年度部门</w:t>
      </w:r>
      <w:r>
        <w:rPr>
          <w:rFonts w:hint="eastAsia" w:ascii="Times New Roman" w:hAnsi="Times New Roman" w:eastAsia="仿宋_GB2312" w:cs="Times New Roman"/>
          <w:color w:val="auto"/>
          <w:sz w:val="32"/>
          <w:szCs w:val="32"/>
          <w:highlight w:val="none"/>
          <w:lang w:val="en-US" w:eastAsia="zh-CN"/>
        </w:rPr>
        <w:t xml:space="preserve"> 脱贫攻坚专项资金</w:t>
      </w:r>
      <w:r>
        <w:rPr>
          <w:rFonts w:hint="eastAsia" w:ascii="Times New Roman" w:hAnsi="Times New Roman" w:eastAsia="仿宋_GB2312" w:cs="Times New Roman"/>
          <w:color w:val="auto"/>
          <w:sz w:val="32"/>
          <w:szCs w:val="32"/>
          <w:highlight w:val="none"/>
          <w:lang w:val="zh-CN" w:eastAsia="zh-CN"/>
        </w:rPr>
        <w:t>支出绩效评价指标体系对我单位预算编制、预算执行、完成结果、信息公开、整改反馈等方面进行了自评，最终得分</w:t>
      </w:r>
      <w:r>
        <w:rPr>
          <w:rFonts w:hint="eastAsia" w:ascii="Times New Roman" w:hAnsi="Times New Roman" w:eastAsia="仿宋_GB2312" w:cs="Times New Roman"/>
          <w:color w:val="auto"/>
          <w:sz w:val="32"/>
          <w:szCs w:val="32"/>
          <w:highlight w:val="none"/>
          <w:lang w:val="en-US" w:eastAsia="zh-CN"/>
        </w:rPr>
        <w:t>98.5</w:t>
      </w:r>
      <w:r>
        <w:rPr>
          <w:rFonts w:hint="eastAsia" w:ascii="Times New Roman" w:hAnsi="Times New Roman" w:eastAsia="仿宋_GB2312" w:cs="Times New Roman"/>
          <w:color w:val="auto"/>
          <w:sz w:val="32"/>
          <w:szCs w:val="32"/>
          <w:highlight w:val="none"/>
          <w:lang w:val="zh-CN" w:eastAsia="zh-CN"/>
        </w:rPr>
        <w:t>分</w:t>
      </w:r>
      <w:r>
        <w:rPr>
          <w:rFonts w:hint="eastAsia" w:ascii="Times New Roman" w:hAnsi="Times New Roman" w:eastAsia="仿宋_GB2312" w:cs="Times New Roman"/>
          <w:color w:val="auto"/>
          <w:sz w:val="32"/>
          <w:szCs w:val="32"/>
          <w:highlight w:val="none"/>
          <w:lang w:eastAsia="zh-CN"/>
        </w:rPr>
        <w:t>。绩效自评报告详见附件。</w:t>
      </w:r>
      <w:r>
        <w:rPr>
          <w:rFonts w:ascii="仿宋_GB2312" w:eastAsia="仿宋_GB2312"/>
          <w:b/>
          <w:color w:val="auto"/>
          <w:sz w:val="32"/>
          <w:szCs w:val="32"/>
          <w:highlight w:val="none"/>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bookmarkStart w:id="80" w:name="_Toc15396613"/>
      <w:bookmarkStart w:id="81" w:name="_Toc15377225"/>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0" w:firstLineChars="0"/>
        <w:jc w:val="center"/>
        <w:textAlignment w:val="auto"/>
        <w:outlineLvl w:val="0"/>
        <w:rPr>
          <w:rFonts w:hint="eastAsia" w:ascii="方正小标宋简体" w:hAnsi="方正小标宋简体" w:eastAsia="方正小标宋简体" w:cs="方正小标宋简体"/>
          <w:b w:val="0"/>
          <w:color w:val="auto"/>
          <w:sz w:val="44"/>
          <w:szCs w:val="44"/>
          <w:highlight w:val="none"/>
        </w:rPr>
      </w:pPr>
      <w:bookmarkStart w:id="82" w:name="_Toc764"/>
      <w:bookmarkStart w:id="83" w:name="_Toc10852"/>
      <w:bookmarkStart w:id="84" w:name="_Toc18659"/>
      <w:r>
        <w:rPr>
          <w:rFonts w:hint="eastAsia" w:ascii="方正小标宋简体" w:hAnsi="方正小标宋简体" w:eastAsia="方正小标宋简体" w:cs="方正小标宋简体"/>
          <w:b w:val="0"/>
          <w:color w:val="auto"/>
          <w:sz w:val="44"/>
          <w:szCs w:val="44"/>
          <w:highlight w:val="none"/>
          <w:lang w:eastAsia="zh-CN"/>
        </w:rPr>
        <w:t>第三部分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名词解释</w:t>
      </w:r>
      <w:bookmarkEnd w:id="80"/>
      <w:bookmarkEnd w:id="81"/>
      <w:bookmarkEnd w:id="82"/>
      <w:bookmarkEnd w:id="83"/>
      <w:bookmarkEnd w:id="84"/>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zh-CN" w:eastAsia="zh-CN"/>
        </w:rPr>
      </w:pP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bookmarkStart w:id="85" w:name="_Toc15377226"/>
      <w:r>
        <w:rPr>
          <w:rFonts w:hint="eastAsia" w:ascii="Times New Roman" w:hAnsi="Times New Roman" w:eastAsia="仿宋_GB2312" w:cs="Times New Roman"/>
          <w:color w:val="auto"/>
          <w:sz w:val="32"/>
          <w:szCs w:val="32"/>
          <w:highlight w:val="none"/>
          <w:lang w:val="zh-CN" w:eastAsia="zh-CN"/>
        </w:rPr>
        <w:t xml:space="preserve">财政拨款收入：指单位从同级财政部门取得的财政预算资金。 </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 xml:space="preserve">年初结转和结余：指以前年度尚未完成、结转到本年按有关规定继续使用的资金。 </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年末结转和结余：指单位按有关规定结转到下年或以后年度继续使用的资金。</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一般公共服务（类）</w:t>
      </w:r>
      <w:r>
        <w:rPr>
          <w:rFonts w:hint="eastAsia" w:eastAsia="仿宋_GB2312" w:cs="Times New Roman"/>
          <w:color w:val="auto"/>
          <w:sz w:val="32"/>
          <w:szCs w:val="32"/>
          <w:highlight w:val="none"/>
          <w:lang w:val="zh-CN" w:eastAsia="zh-CN"/>
        </w:rPr>
        <w:t>政府办公厅（室）及相关机构事务</w:t>
      </w:r>
      <w:r>
        <w:rPr>
          <w:rFonts w:hint="eastAsia" w:ascii="Times New Roman" w:hAnsi="Times New Roman" w:eastAsia="仿宋_GB2312" w:cs="Times New Roman"/>
          <w:color w:val="auto"/>
          <w:sz w:val="32"/>
          <w:szCs w:val="32"/>
          <w:highlight w:val="none"/>
          <w:lang w:val="zh-CN" w:eastAsia="zh-CN"/>
        </w:rPr>
        <w:t>（款）  行政运行（项）：指行政单位未单独设置</w:t>
      </w:r>
      <w:r>
        <w:rPr>
          <w:rFonts w:hint="eastAsia" w:eastAsia="仿宋_GB2312" w:cs="Times New Roman"/>
          <w:color w:val="auto"/>
          <w:sz w:val="32"/>
          <w:szCs w:val="32"/>
          <w:highlight w:val="none"/>
          <w:lang w:val="zh-CN" w:eastAsia="zh-CN"/>
        </w:rPr>
        <w:t>的</w:t>
      </w:r>
      <w:r>
        <w:rPr>
          <w:rFonts w:hint="eastAsia" w:ascii="Times New Roman" w:hAnsi="Times New Roman" w:eastAsia="仿宋_GB2312" w:cs="Times New Roman"/>
          <w:color w:val="auto"/>
          <w:sz w:val="32"/>
          <w:szCs w:val="32"/>
          <w:highlight w:val="none"/>
          <w:lang w:val="zh-CN" w:eastAsia="zh-CN"/>
        </w:rPr>
        <w:t>其他</w:t>
      </w:r>
      <w:r>
        <w:rPr>
          <w:rFonts w:hint="eastAsia" w:eastAsia="仿宋_GB2312" w:cs="Times New Roman"/>
          <w:color w:val="auto"/>
          <w:sz w:val="32"/>
          <w:szCs w:val="32"/>
          <w:highlight w:val="none"/>
          <w:lang w:val="zh-CN" w:eastAsia="zh-CN"/>
        </w:rPr>
        <w:t>项目支出</w:t>
      </w:r>
      <w:r>
        <w:rPr>
          <w:rFonts w:hint="eastAsia" w:ascii="Times New Roman" w:hAnsi="Times New Roman" w:eastAsia="仿宋_GB2312" w:cs="Times New Roman"/>
          <w:color w:val="auto"/>
          <w:sz w:val="32"/>
          <w:szCs w:val="32"/>
          <w:highlight w:val="none"/>
          <w:lang w:val="zh-CN" w:eastAsia="zh-CN"/>
        </w:rPr>
        <w:t>。</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一般公共服务（类）商贸事务（款）行政运行（项）：</w:t>
      </w:r>
      <w:r>
        <w:rPr>
          <w:rFonts w:hint="eastAsia" w:ascii="Times New Roman" w:hAnsi="Times New Roman" w:eastAsia="仿宋_GB2312" w:cs="Times New Roman"/>
          <w:color w:val="auto"/>
          <w:sz w:val="32"/>
          <w:szCs w:val="32"/>
          <w:highlight w:val="none"/>
          <w:lang w:val="en-US" w:eastAsia="zh-CN"/>
        </w:rPr>
        <w:t>指行政单位基本支出。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一般公共服务（类）商贸事务（款）招商引资（项）：指财政部门用于招商引资方面的支出。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一般公共服务（类）商贸事务（款）  事业运行（项）：</w:t>
      </w:r>
      <w:r>
        <w:rPr>
          <w:rFonts w:hint="eastAsia" w:ascii="Times New Roman" w:hAnsi="Times New Roman" w:eastAsia="仿宋_GB2312" w:cs="Times New Roman"/>
          <w:color w:val="auto"/>
          <w:sz w:val="32"/>
          <w:szCs w:val="32"/>
          <w:highlight w:val="none"/>
          <w:lang w:val="en-US" w:eastAsia="zh-CN"/>
        </w:rPr>
        <w:t>指</w:t>
      </w:r>
      <w:r>
        <w:rPr>
          <w:rFonts w:hint="eastAsia" w:eastAsia="仿宋_GB2312" w:cs="Times New Roman"/>
          <w:color w:val="auto"/>
          <w:sz w:val="32"/>
          <w:szCs w:val="32"/>
          <w:highlight w:val="none"/>
          <w:lang w:val="en-US" w:eastAsia="zh-CN"/>
        </w:rPr>
        <w:t>事业</w:t>
      </w:r>
      <w:r>
        <w:rPr>
          <w:rFonts w:hint="eastAsia" w:ascii="Times New Roman" w:hAnsi="Times New Roman" w:eastAsia="仿宋_GB2312" w:cs="Times New Roman"/>
          <w:color w:val="auto"/>
          <w:sz w:val="32"/>
          <w:szCs w:val="32"/>
          <w:highlight w:val="none"/>
          <w:lang w:val="en-US" w:eastAsia="zh-CN"/>
        </w:rPr>
        <w:t>单位基本支出。</w:t>
      </w:r>
    </w:p>
    <w:p>
      <w:pPr>
        <w:pStyle w:val="2"/>
        <w:numPr>
          <w:ilvl w:val="0"/>
          <w:numId w:val="1"/>
        </w:numPr>
        <w:shd w:val="clear"/>
        <w:ind w:left="0" w:leftChars="0" w:firstLine="400" w:firstLineChars="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一般公共服务（类）其他一般公共服务支出（款）其他一般公共服务支出（项）：指单位其他一般招商引资费用支出。</w:t>
      </w:r>
    </w:p>
    <w:p>
      <w:pPr>
        <w:pStyle w:val="2"/>
        <w:numPr>
          <w:ilvl w:val="0"/>
          <w:numId w:val="1"/>
        </w:numPr>
        <w:shd w:val="clear"/>
        <w:ind w:left="0" w:leftChars="0" w:firstLine="400" w:firstLineChars="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社会保障和就业（类）行政事业单位养老支出（款）机关事业单位基本养老保险缴费支出（项）：指机关事业单位实施养老制度由单位缴纳的基本养老保险费用支出。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社会保障和就业（类）行政事业单位养老支出（款）机关事业单位职业年金缴费支出（项）</w:t>
      </w:r>
      <w:r>
        <w:rPr>
          <w:rFonts w:hint="eastAsia"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zh-CN" w:eastAsia="zh-CN"/>
        </w:rPr>
        <w:t xml:space="preserve"> 指机关事业单位用于缴纳职工职业年金的支出。</w:t>
      </w:r>
    </w:p>
    <w:p>
      <w:pPr>
        <w:pStyle w:val="2"/>
        <w:numPr>
          <w:ilvl w:val="0"/>
          <w:numId w:val="1"/>
        </w:numPr>
        <w:shd w:val="clear"/>
        <w:ind w:left="0" w:leftChars="0" w:firstLine="400" w:firstLineChars="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社会保障和就业（类）抚恤（款）死亡抚恤（项）：指用于发放去世职工丧葬和抚恤费用的支出。</w:t>
      </w:r>
    </w:p>
    <w:p>
      <w:pPr>
        <w:pStyle w:val="2"/>
        <w:numPr>
          <w:ilvl w:val="0"/>
          <w:numId w:val="1"/>
        </w:numPr>
        <w:shd w:val="clear"/>
        <w:ind w:left="0" w:leftChars="0" w:firstLine="400" w:firstLineChars="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社会保障和就业（类）其他社会保障和就业支出（款）其他社会保障和就业支出（项）：指行政事业单位用于其他方面的社会保障支出。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卫生健康（类）行政事业单位医疗（款）行政单位医疗（项）：指财政部门集中安排的行政单位基本医疗保险缴费经费。</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住房保障支出（类）住房改革支出（款）住房公积金（项）：指行政事业单位按人力资源和社会保障部、财政部规定的基本工资和津补贴以及规定比例为职工缴纳的住房公积金。</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基本支出：指为保障机构正常运转、完成日常工作任务而发生的人员支出和公用支出。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 xml:space="preserve">项目支出：指在基本支出之外为完成特定行政任务和事业发展目标所发生的支出。 </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1"/>
        </w:numPr>
        <w:shd w:val="clear"/>
        <w:kinsoku/>
        <w:wordWrap/>
        <w:overflowPunct/>
        <w:topLinePunct w:val="0"/>
        <w:autoSpaceDE/>
        <w:autoSpaceDN/>
        <w:bidi w:val="0"/>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shd w:val="clear"/>
        <w:kinsoku/>
        <w:wordWrap/>
        <w:overflowPunct/>
        <w:topLinePunct w:val="0"/>
        <w:autoSpaceDE/>
        <w:autoSpaceDN/>
        <w:bidi w:val="0"/>
        <w:spacing w:line="600" w:lineRule="exact"/>
        <w:jc w:val="both"/>
        <w:outlineLvl w:val="9"/>
        <w:rPr>
          <w:rFonts w:ascii="宋体"/>
          <w:b/>
          <w:color w:val="auto"/>
          <w:sz w:val="44"/>
          <w:szCs w:val="44"/>
          <w:highlight w:val="none"/>
        </w:rPr>
      </w:pPr>
      <w:r>
        <w:rPr>
          <w:rFonts w:ascii="宋体"/>
          <w:b/>
          <w:color w:val="auto"/>
          <w:sz w:val="44"/>
          <w:szCs w:val="44"/>
          <w:highlight w:val="none"/>
        </w:rPr>
        <w:br w:type="page"/>
      </w:r>
      <w:bookmarkStart w:id="86" w:name="_Toc15396614"/>
    </w:p>
    <w:p>
      <w:pPr>
        <w:keepNext w:val="0"/>
        <w:keepLines w:val="0"/>
        <w:pageBreakBefore w:val="0"/>
        <w:shd w:val="clear"/>
        <w:kinsoku/>
        <w:wordWrap/>
        <w:overflowPunct/>
        <w:topLinePunct w:val="0"/>
        <w:autoSpaceDE/>
        <w:autoSpaceDN/>
        <w:bidi w:val="0"/>
        <w:spacing w:line="600" w:lineRule="exact"/>
        <w:jc w:val="both"/>
        <w:outlineLvl w:val="9"/>
        <w:rPr>
          <w:rFonts w:ascii="宋体"/>
          <w:b/>
          <w:color w:val="auto"/>
          <w:sz w:val="44"/>
          <w:szCs w:val="44"/>
          <w:highlight w:val="none"/>
        </w:rPr>
      </w:pP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0" w:firstLineChars="0"/>
        <w:jc w:val="center"/>
        <w:textAlignment w:val="auto"/>
        <w:outlineLvl w:val="0"/>
        <w:rPr>
          <w:rFonts w:hint="eastAsia" w:ascii="方正小标宋简体" w:hAnsi="方正小标宋简体" w:eastAsia="方正小标宋简体" w:cs="方正小标宋简体"/>
          <w:b w:val="0"/>
          <w:color w:val="auto"/>
          <w:sz w:val="44"/>
          <w:szCs w:val="44"/>
          <w:highlight w:val="none"/>
        </w:rPr>
      </w:pPr>
      <w:bookmarkStart w:id="87" w:name="_Toc21794"/>
      <w:bookmarkStart w:id="88" w:name="_Toc18007"/>
      <w:bookmarkStart w:id="89" w:name="_Toc12679"/>
      <w:r>
        <w:rPr>
          <w:rFonts w:hint="eastAsia" w:ascii="方正小标宋简体" w:hAnsi="方正小标宋简体" w:eastAsia="方正小标宋简体" w:cs="方正小标宋简体"/>
          <w:b w:val="0"/>
          <w:color w:val="auto"/>
          <w:sz w:val="44"/>
          <w:szCs w:val="44"/>
          <w:highlight w:val="none"/>
        </w:rPr>
        <w:t xml:space="preserve">第四部分 </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附件</w:t>
      </w:r>
      <w:bookmarkEnd w:id="86"/>
      <w:bookmarkEnd w:id="87"/>
      <w:bookmarkEnd w:id="88"/>
      <w:bookmarkEnd w:id="89"/>
    </w:p>
    <w:p>
      <w:pPr>
        <w:pStyle w:val="2"/>
        <w:keepNext w:val="0"/>
        <w:keepLines w:val="0"/>
        <w:pageBreakBefore w:val="0"/>
        <w:shd w:val="clear"/>
        <w:kinsoku/>
        <w:wordWrap/>
        <w:overflowPunct/>
        <w:topLinePunct w:val="0"/>
        <w:autoSpaceDE/>
        <w:autoSpaceDN/>
        <w:bidi w:val="0"/>
        <w:outlineLvl w:val="9"/>
        <w:rPr>
          <w:color w:val="auto"/>
          <w:highlight w:val="none"/>
        </w:rPr>
      </w:pPr>
    </w:p>
    <w:p>
      <w:pPr>
        <w:keepNext w:val="0"/>
        <w:keepLines w:val="0"/>
        <w:pageBreakBefore w:val="0"/>
        <w:widowControl/>
        <w:shd w:val="clear"/>
        <w:kinsoku/>
        <w:wordWrap/>
        <w:overflowPunct/>
        <w:topLinePunct w:val="0"/>
        <w:autoSpaceDE/>
        <w:autoSpaceDN/>
        <w:bidi w:val="0"/>
        <w:adjustRightInd/>
        <w:snapToGrid/>
        <w:spacing w:line="700" w:lineRule="exact"/>
        <w:contextualSpacing/>
        <w:jc w:val="center"/>
        <w:textAlignment w:val="auto"/>
        <w:outlineLvl w:val="9"/>
        <w:rPr>
          <w:rFonts w:hint="eastAsia" w:ascii="宋体" w:hAnsi="宋体" w:eastAsia="方正小标宋简体" w:cs="方正小标宋简体"/>
          <w:b w:val="0"/>
          <w:bCs w:val="0"/>
          <w:color w:val="auto"/>
          <w:sz w:val="44"/>
          <w:szCs w:val="44"/>
          <w:highlight w:val="none"/>
          <w:shd w:val="clear" w:color="auto" w:fill="FFFFFF"/>
          <w:lang w:eastAsia="zh-CN"/>
        </w:rPr>
      </w:pPr>
      <w:r>
        <w:rPr>
          <w:rFonts w:hint="eastAsia" w:ascii="宋体" w:hAnsi="宋体" w:eastAsia="方正小标宋简体" w:cs="方正小标宋简体"/>
          <w:b w:val="0"/>
          <w:bCs w:val="0"/>
          <w:color w:val="auto"/>
          <w:sz w:val="44"/>
          <w:szCs w:val="44"/>
          <w:highlight w:val="none"/>
          <w:shd w:val="clear" w:color="auto" w:fill="FFFFFF"/>
          <w:lang w:eastAsia="zh-CN"/>
        </w:rPr>
        <w:t>广元市经济合作和外事局</w:t>
      </w:r>
    </w:p>
    <w:p>
      <w:pPr>
        <w:keepNext w:val="0"/>
        <w:keepLines w:val="0"/>
        <w:pageBreakBefore w:val="0"/>
        <w:widowControl/>
        <w:shd w:val="clear"/>
        <w:kinsoku/>
        <w:wordWrap/>
        <w:overflowPunct/>
        <w:topLinePunct w:val="0"/>
        <w:autoSpaceDE/>
        <w:autoSpaceDN/>
        <w:bidi w:val="0"/>
        <w:adjustRightInd/>
        <w:snapToGrid/>
        <w:spacing w:line="700" w:lineRule="exact"/>
        <w:contextualSpacing/>
        <w:jc w:val="center"/>
        <w:textAlignment w:val="auto"/>
        <w:outlineLvl w:val="9"/>
        <w:rPr>
          <w:rFonts w:hint="eastAsia" w:ascii="宋体" w:hAnsi="宋体" w:eastAsia="方正小标宋简体" w:cs="方正小标宋简体"/>
          <w:b w:val="0"/>
          <w:bCs w:val="0"/>
          <w:color w:val="auto"/>
          <w:sz w:val="44"/>
          <w:szCs w:val="44"/>
          <w:highlight w:val="none"/>
          <w:shd w:val="clear" w:color="auto" w:fill="FFFFFF"/>
          <w:lang w:val="en-US" w:eastAsia="zh-CN"/>
        </w:rPr>
      </w:pPr>
      <w:r>
        <w:rPr>
          <w:rFonts w:hint="eastAsia" w:ascii="宋体" w:hAnsi="宋体" w:eastAsia="方正小标宋简体" w:cs="方正小标宋简体"/>
          <w:b w:val="0"/>
          <w:bCs w:val="0"/>
          <w:color w:val="auto"/>
          <w:sz w:val="44"/>
          <w:szCs w:val="44"/>
          <w:highlight w:val="none"/>
          <w:shd w:val="clear" w:color="auto" w:fill="FFFFFF"/>
          <w:lang w:eastAsia="zh-CN"/>
        </w:rPr>
        <w:t>关于</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2022</w:t>
      </w:r>
      <w:r>
        <w:rPr>
          <w:rFonts w:hint="eastAsia" w:ascii="宋体" w:hAnsi="宋体" w:eastAsia="方正小标宋简体" w:cs="方正小标宋简体"/>
          <w:b w:val="0"/>
          <w:bCs w:val="0"/>
          <w:color w:val="auto"/>
          <w:sz w:val="44"/>
          <w:szCs w:val="44"/>
          <w:highlight w:val="none"/>
          <w:shd w:val="clear" w:color="auto" w:fill="FFFFFF"/>
          <w:lang w:val="en-US" w:eastAsia="zh-CN"/>
        </w:rPr>
        <w:t>年部门整体支出绩效自评的报告</w:t>
      </w: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outlineLvl w:val="9"/>
        <w:rPr>
          <w:rFonts w:hint="default" w:ascii="宋体" w:hAnsi="宋体" w:eastAsia="方正小标宋简体" w:cs="方正小标宋简体"/>
          <w:b w:val="0"/>
          <w:bCs w:val="0"/>
          <w:color w:val="auto"/>
          <w:sz w:val="44"/>
          <w:szCs w:val="44"/>
          <w:highlight w:val="none"/>
          <w:shd w:val="clear" w:color="auto" w:fill="FFFFFF"/>
          <w:lang w:val="en-US" w:eastAsia="zh-CN"/>
        </w:rPr>
      </w:pPr>
    </w:p>
    <w:p>
      <w:pPr>
        <w:pStyle w:val="37"/>
        <w:keepNext w:val="0"/>
        <w:keepLines w:val="0"/>
        <w:pageBreakBefore w:val="0"/>
        <w:widowControl/>
        <w:shd w:val="clear"/>
        <w:kinsoku/>
        <w:wordWrap/>
        <w:overflowPunct/>
        <w:topLinePunct w:val="0"/>
        <w:autoSpaceDE/>
        <w:autoSpaceDN/>
        <w:bidi w:val="0"/>
        <w:spacing w:line="576" w:lineRule="exact"/>
        <w:ind w:firstLine="640" w:firstLineChars="200"/>
        <w:jc w:val="left"/>
        <w:textAlignment w:val="auto"/>
        <w:outlineLvl w:val="9"/>
        <w:rPr>
          <w:rFonts w:ascii="宋体" w:hAnsi="宋体" w:eastAsia="黑体" w:cs="宋体"/>
          <w:b w:val="0"/>
          <w:bCs w:val="0"/>
          <w:color w:val="auto"/>
          <w:kern w:val="0"/>
          <w:sz w:val="24"/>
          <w:szCs w:val="32"/>
          <w:highlight w:val="none"/>
          <w:shd w:val="clear" w:color="auto" w:fill="FFFFFF"/>
        </w:rPr>
      </w:pPr>
      <w:r>
        <w:rPr>
          <w:rFonts w:hint="eastAsia" w:ascii="宋体" w:hAnsi="宋体" w:eastAsia="仿宋_GB2312" w:cs="仿宋_GB2312"/>
          <w:color w:val="auto"/>
          <w:kern w:val="0"/>
          <w:sz w:val="32"/>
          <w:szCs w:val="32"/>
          <w:highlight w:val="none"/>
          <w:lang w:val="en-US" w:eastAsia="zh-CN" w:bidi="ar-SA"/>
        </w:rPr>
        <w:t>按照市财政局《关于开展2022年市级部门绩效自评工作的通知》（广财绩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）文件精神和要求，我局结合单位财务管理实际，认真开展了2022年市级部门专项支出绩效评价工作，现将我单位整体支出绩效自评工作报告如下：</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zh-CN" w:eastAsia="zh-CN" w:bidi="ar-SA"/>
        </w:rPr>
        <w:t>一、部门（单位）基本情况</w:t>
      </w:r>
    </w:p>
    <w:p>
      <w:pPr>
        <w:keepNext w:val="0"/>
        <w:keepLines w:val="0"/>
        <w:pageBreakBefore w:val="0"/>
        <w:widowControl/>
        <w:numPr>
          <w:ilvl w:val="0"/>
          <w:numId w:val="2"/>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楷体_GB2312" w:cs="楷体_GB2312"/>
          <w:b w:val="0"/>
          <w:bCs w:val="0"/>
          <w:color w:val="auto"/>
          <w:kern w:val="0"/>
          <w:sz w:val="32"/>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机构组成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Times New Roman"/>
          <w:bCs/>
          <w:color w:val="auto"/>
          <w:kern w:val="0"/>
          <w:sz w:val="32"/>
          <w:szCs w:val="32"/>
          <w:highlight w:val="none"/>
          <w:lang w:val="zh-CN" w:eastAsia="zh-CN" w:bidi="ar-SA"/>
        </w:rPr>
      </w:pPr>
      <w:r>
        <w:rPr>
          <w:rFonts w:hint="eastAsia" w:ascii="宋体" w:hAnsi="宋体" w:eastAsia="仿宋_GB2312" w:cs="Times New Roman"/>
          <w:bCs/>
          <w:color w:val="auto"/>
          <w:kern w:val="0"/>
          <w:sz w:val="32"/>
          <w:szCs w:val="32"/>
          <w:highlight w:val="none"/>
          <w:lang w:val="zh-CN" w:eastAsia="zh-CN" w:bidi="ar-SA"/>
        </w:rPr>
        <w:t>我单位为市政府组成部门，挂市港澳事务办公室牌子，代管市人民对外友好协会机关。市委外事工作委员会办公室、市投资促进委员会办公室（无编制）设在我局。局机关设办公室、投资促进一科、投资促进二科、投资促进三科、区域合作科、国际合作科（外资管理科）、项目管理科、外事和港澳科、人事科</w:t>
      </w:r>
      <w:r>
        <w:rPr>
          <w:rFonts w:hint="eastAsia" w:ascii="宋体" w:hAnsi="宋体" w:eastAsia="仿宋_GB2312" w:cs="Times New Roman"/>
          <w:bCs/>
          <w:color w:val="auto"/>
          <w:kern w:val="0"/>
          <w:sz w:val="32"/>
          <w:szCs w:val="32"/>
          <w:highlight w:val="none"/>
          <w:lang w:val="en-US" w:eastAsia="zh-CN" w:bidi="ar-SA"/>
        </w:rPr>
        <w:t>9个科室；下设其他事业单位4个，分别是市经济合作服务中心、市招商中心、市外事和港澳服务中心、市人民对外友好协会机关；驻外机构8个，分别是成都分局、北京分局、浙江分局、江苏分局、广东分局、福建分局、山东分局、直属（重庆）分局。</w:t>
      </w:r>
    </w:p>
    <w:p>
      <w:pPr>
        <w:keepNext w:val="0"/>
        <w:keepLines w:val="0"/>
        <w:pageBreakBefore w:val="0"/>
        <w:widowControl/>
        <w:numPr>
          <w:ilvl w:val="0"/>
          <w:numId w:val="2"/>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楷体_GB2312" w:cs="楷体_GB2312"/>
          <w:b w:val="0"/>
          <w:bCs w:val="0"/>
          <w:color w:val="auto"/>
          <w:kern w:val="0"/>
          <w:sz w:val="32"/>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机构职能和人员概况</w:t>
      </w:r>
    </w:p>
    <w:p>
      <w:pPr>
        <w:pStyle w:val="7"/>
        <w:keepNext w:val="0"/>
        <w:keepLines w:val="0"/>
        <w:pageBreakBefore w:val="0"/>
        <w:widowControl w:val="0"/>
        <w:numPr>
          <w:ilvl w:val="0"/>
          <w:numId w:val="3"/>
        </w:numPr>
        <w:shd w:val="clear"/>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default" w:ascii="宋体" w:hAnsi="宋体" w:eastAsia="仿宋_GB2312" w:cs="Times New Roman"/>
          <w:bCs/>
          <w:color w:val="auto"/>
          <w:sz w:val="32"/>
          <w:szCs w:val="32"/>
          <w:highlight w:val="none"/>
          <w:lang w:val="en-US" w:eastAsia="zh-CN"/>
        </w:rPr>
      </w:pPr>
      <w:r>
        <w:rPr>
          <w:rFonts w:hint="eastAsia" w:ascii="宋体" w:hAnsi="宋体" w:cs="Times New Roman"/>
          <w:bCs/>
          <w:color w:val="auto"/>
          <w:sz w:val="32"/>
          <w:szCs w:val="32"/>
          <w:highlight w:val="none"/>
          <w:lang w:val="en-US" w:eastAsia="zh-CN"/>
        </w:rPr>
        <w:t>机构职能</w:t>
      </w:r>
    </w:p>
    <w:p>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1</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负责推进投资促进等有关领域的经济合作（以下简称经济合作）。参与起草有关经济合作的地方性法规和规章草案。参与拟订全市经济合作的中长期规划和年度计划并组织实施。</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2</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3</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指导外商投资促进和管理工作。参与拟订外商投资政策和改革方案并组织实施。统计分析全市外商投资情况。依法监督检查外商投资企业执行有关法律法规规章、合同章程的情况并协调解决有关问题。</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4</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参与推进我市与国（境）内外相关区域合作。承担我市与国（境）内外相关区域经济合作活动的有关具体工作。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5</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承担推动我市与港澳台地区经贸合作有关工作。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6</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受市政府委托，负责管理市政府各驻外机构（不含市政府驻北京联络处、驻成都办事处、驻新疆办事处，下同）。推动全市博览发展促进工作，参与拟订全市会展业发展规划和相关政策。</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7</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负责职责范围内的安全生产和职业健康、生态环境保护、审批服务便民化等工作。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8</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完成市委、市政府交办的其他工作。</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宋体" w:hAnsi="宋体" w:eastAsia="仿宋_GB2312" w:cs="Times New Roman"/>
          <w:bCs/>
          <w:color w:val="auto"/>
          <w:sz w:val="32"/>
          <w:szCs w:val="32"/>
          <w:highlight w:val="none"/>
        </w:rPr>
      </w:pPr>
      <w:r>
        <w:rPr>
          <w:rFonts w:hint="eastAsia" w:ascii="宋体" w:hAnsi="宋体" w:cs="Times New Roman"/>
          <w:bCs/>
          <w:color w:val="auto"/>
          <w:sz w:val="32"/>
          <w:szCs w:val="32"/>
          <w:highlight w:val="none"/>
          <w:lang w:eastAsia="zh-CN"/>
        </w:rPr>
        <w:t>（</w:t>
      </w:r>
      <w:r>
        <w:rPr>
          <w:rFonts w:hint="eastAsia" w:ascii="宋体" w:hAnsi="宋体" w:cs="Times New Roman"/>
          <w:bCs/>
          <w:color w:val="auto"/>
          <w:sz w:val="32"/>
          <w:szCs w:val="32"/>
          <w:highlight w:val="none"/>
          <w:lang w:val="en-US" w:eastAsia="zh-CN"/>
        </w:rPr>
        <w:t>9</w:t>
      </w:r>
      <w:r>
        <w:rPr>
          <w:rFonts w:hint="eastAsia" w:ascii="宋体" w:hAnsi="宋体" w:cs="Times New Roman"/>
          <w:bCs/>
          <w:color w:val="auto"/>
          <w:sz w:val="32"/>
          <w:szCs w:val="32"/>
          <w:highlight w:val="none"/>
          <w:lang w:eastAsia="zh-CN"/>
        </w:rPr>
        <w:t>）</w:t>
      </w:r>
      <w:r>
        <w:rPr>
          <w:rFonts w:hint="default" w:ascii="宋体" w:hAnsi="宋体" w:eastAsia="仿宋_GB2312" w:cs="Times New Roman"/>
          <w:bCs/>
          <w:color w:val="auto"/>
          <w:sz w:val="32"/>
          <w:szCs w:val="32"/>
          <w:highlight w:val="none"/>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cs="宋体"/>
          <w:color w:val="auto"/>
          <w:kern w:val="0"/>
          <w:szCs w:val="32"/>
          <w:highlight w:val="none"/>
          <w:shd w:val="clear" w:color="auto" w:fill="FFFFFF"/>
          <w:lang w:val="zh-CN"/>
        </w:rPr>
      </w:pPr>
      <w:r>
        <w:rPr>
          <w:rFonts w:hint="eastAsia" w:ascii="宋体" w:hAnsi="宋体" w:eastAsia="仿宋_GB2312" w:cs="Times New Roman"/>
          <w:bCs/>
          <w:color w:val="auto"/>
          <w:kern w:val="0"/>
          <w:sz w:val="32"/>
          <w:szCs w:val="32"/>
          <w:highlight w:val="none"/>
          <w:lang w:val="en-US" w:eastAsia="zh-CN" w:bidi="ar-SA"/>
        </w:rPr>
        <w:t xml:space="preserve">2. </w:t>
      </w:r>
      <w:r>
        <w:rPr>
          <w:rFonts w:hint="eastAsia" w:ascii="宋体" w:hAnsi="宋体" w:eastAsia="仿宋_GB2312" w:cs="Times New Roman"/>
          <w:bCs/>
          <w:color w:val="auto"/>
          <w:kern w:val="0"/>
          <w:sz w:val="32"/>
          <w:szCs w:val="32"/>
          <w:highlight w:val="none"/>
          <w:lang w:val="zh-CN" w:eastAsia="zh-CN" w:bidi="ar-SA"/>
        </w:rPr>
        <w:t>人员概况</w:t>
      </w:r>
      <w:r>
        <w:rPr>
          <w:rFonts w:hint="eastAsia" w:ascii="宋体" w:hAnsi="宋体" w:cs="宋体"/>
          <w:color w:val="auto"/>
          <w:kern w:val="0"/>
          <w:szCs w:val="32"/>
          <w:highlight w:val="none"/>
          <w:shd w:val="clear" w:color="auto" w:fill="FFFFFF"/>
          <w:lang w:val="zh-CN"/>
        </w:rPr>
        <w:t>。</w:t>
      </w:r>
    </w:p>
    <w:p>
      <w:pPr>
        <w:pStyle w:val="38"/>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outlineLvl w:val="9"/>
        <w:rPr>
          <w:rFonts w:hint="eastAsia" w:ascii="宋体" w:hAnsi="宋体" w:eastAsia="仿宋_GB2312" w:cs="Times New Roman"/>
          <w:bCs/>
          <w:color w:val="auto"/>
          <w:kern w:val="0"/>
          <w:sz w:val="32"/>
          <w:szCs w:val="32"/>
          <w:highlight w:val="none"/>
          <w:lang w:val="zh-CN" w:eastAsia="zh-CN" w:bidi="ar-SA"/>
        </w:rPr>
      </w:pPr>
      <w:r>
        <w:rPr>
          <w:rFonts w:hint="eastAsia" w:ascii="宋体" w:hAnsi="宋体" w:eastAsia="仿宋_GB2312" w:cs="Times New Roman"/>
          <w:bCs/>
          <w:color w:val="auto"/>
          <w:kern w:val="0"/>
          <w:sz w:val="32"/>
          <w:szCs w:val="32"/>
          <w:highlight w:val="none"/>
          <w:lang w:val="zh-CN" w:eastAsia="zh-CN" w:bidi="ar-SA"/>
        </w:rPr>
        <w:t>我局核定编制</w:t>
      </w:r>
      <w:r>
        <w:rPr>
          <w:rFonts w:hint="eastAsia" w:ascii="宋体" w:hAnsi="宋体" w:eastAsia="仿宋_GB2312" w:cs="Times New Roman"/>
          <w:bCs/>
          <w:color w:val="auto"/>
          <w:kern w:val="0"/>
          <w:sz w:val="32"/>
          <w:szCs w:val="32"/>
          <w:highlight w:val="none"/>
          <w:lang w:val="en-US" w:eastAsia="zh-CN" w:bidi="ar-SA"/>
        </w:rPr>
        <w:t>60名，其中行政编制27名（含机关工勤3名），事业编制33名（含3个分局3个编制），在职在编45人，其中行政编制21人（含机关工勤1名），事业编制24人。</w:t>
      </w:r>
    </w:p>
    <w:p>
      <w:pPr>
        <w:pStyle w:val="6"/>
        <w:keepNext w:val="0"/>
        <w:keepLines w:val="0"/>
        <w:pageBreakBefore w:val="0"/>
        <w:widowControl w:val="0"/>
        <w:numPr>
          <w:ilvl w:val="0"/>
          <w:numId w:val="2"/>
        </w:numPr>
        <w:shd w:val="clear"/>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宋体" w:hAnsi="宋体" w:eastAsia="楷体_GB2312" w:cs="楷体_GB2312"/>
          <w:b w:val="0"/>
          <w:bCs w:val="0"/>
          <w:color w:val="auto"/>
          <w:kern w:val="0"/>
          <w:sz w:val="32"/>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年度主要工作任务</w:t>
      </w:r>
    </w:p>
    <w:p>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宋体" w:hAnsi="宋体" w:eastAsia="仿宋_GB2312" w:cs="Times New Roman"/>
          <w:bCs/>
          <w:color w:val="auto"/>
          <w:kern w:val="0"/>
          <w:sz w:val="32"/>
          <w:szCs w:val="32"/>
          <w:highlight w:val="none"/>
          <w:lang w:val="en-US" w:eastAsia="zh-CN" w:bidi="ar-SA"/>
        </w:rPr>
      </w:pPr>
      <w:r>
        <w:rPr>
          <w:rFonts w:hint="eastAsia" w:ascii="宋体" w:hAnsi="宋体" w:eastAsia="仿宋_GB2312" w:cs="Times New Roman"/>
          <w:bCs/>
          <w:color w:val="auto"/>
          <w:kern w:val="0"/>
          <w:sz w:val="32"/>
          <w:szCs w:val="32"/>
          <w:highlight w:val="none"/>
          <w:lang w:val="en-US" w:eastAsia="zh-CN" w:bidi="ar-SA"/>
        </w:rPr>
        <w:t>2022年度，我局坚持以习近平新时代中国特色社会主义思想和习近平总书记对四川工作重要指示精神为指导，全面贯彻党的教育方针，进一步切实加强和改进党的思想、组织、作风、制度建设和反腐倡廉工作，为不断深化我单位各方面的改革、全面为全局招商引资工作提供坚实的政治思想基础。</w:t>
      </w:r>
    </w:p>
    <w:p>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宋体" w:hAnsi="宋体" w:eastAsia="仿宋_GB2312" w:cs="Times New Roman"/>
          <w:bCs/>
          <w:color w:val="auto"/>
          <w:kern w:val="0"/>
          <w:sz w:val="32"/>
          <w:szCs w:val="32"/>
          <w:highlight w:val="none"/>
          <w:lang w:val="zh-CN" w:eastAsia="zh-CN" w:bidi="ar-SA"/>
        </w:rPr>
      </w:pPr>
      <w:r>
        <w:rPr>
          <w:rFonts w:hint="eastAsia" w:ascii="宋体" w:hAnsi="宋体" w:eastAsia="仿宋_GB2312" w:cs="Times New Roman"/>
          <w:bCs/>
          <w:color w:val="auto"/>
          <w:kern w:val="0"/>
          <w:sz w:val="32"/>
          <w:szCs w:val="32"/>
          <w:highlight w:val="none"/>
          <w:lang w:val="en-US" w:eastAsia="zh-CN" w:bidi="ar-SA"/>
        </w:rPr>
        <w:t>认真贯彻落实市委市政府关于全年经济合作和外事工作的统筹安排，着力创新招商引资工作方式与工作机制，以引进大项目、好项目为目标，切实提高我市的经济社会发展水平，确保全面完成我局2022年省下目标任务以及市下目标任务。</w:t>
      </w:r>
    </w:p>
    <w:p>
      <w:pPr>
        <w:pStyle w:val="6"/>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宋体" w:hAnsi="宋体" w:eastAsia="楷体_GB2312" w:cs="楷体_GB2312"/>
          <w:b w:val="0"/>
          <w:bCs w:val="0"/>
          <w:color w:val="auto"/>
          <w:kern w:val="0"/>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（四）部门整体支出绩效目标。</w:t>
      </w:r>
      <w:r>
        <w:rPr>
          <w:rFonts w:hint="eastAsia" w:ascii="宋体" w:hAnsi="宋体" w:eastAsia="仿宋_GB2312" w:cs="仿宋_GB2312"/>
          <w:color w:val="auto"/>
          <w:sz w:val="32"/>
          <w:szCs w:val="32"/>
          <w:highlight w:val="none"/>
          <w:lang w:val="zh-CN" w:eastAsia="zh-CN"/>
        </w:rPr>
        <w:t>引进到位国</w:t>
      </w:r>
      <w:r>
        <w:rPr>
          <w:rFonts w:hint="eastAsia" w:ascii="宋体" w:hAnsi="宋体" w:eastAsia="仿宋_GB2312" w:cs="宋体"/>
          <w:color w:val="auto"/>
          <w:kern w:val="0"/>
          <w:sz w:val="32"/>
          <w:szCs w:val="32"/>
          <w:highlight w:val="none"/>
          <w:shd w:val="clear" w:color="auto" w:fill="FFFFFF"/>
          <w:lang w:val="zh-CN" w:eastAsia="zh-CN" w:bidi="ar-SA"/>
        </w:rPr>
        <w:t>内市外资金850亿元、同比增长25%；牵头做好中外知名企业四川行等省市重大投资促进平台活动，签约项目30个，签约资金150亿元；积极融入成渝地区双城经济圈建设，落实与成都天府新区、重庆渝北区和合川区签订的协同招商机制，签约成渝地区项目30个、签约资金100亿元；新签约投资额亿元以上项目100个，其中新签约50亿元及以上项目1个；新开工亿元以上项目100个；省级重大平台活动签约项目履约率90%、开工率80%、资金到位率30%。</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二、部门资金收支情况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楷体_GB2312" w:cs="楷体_GB2312"/>
          <w:b w:val="0"/>
          <w:bCs w:val="0"/>
          <w:color w:val="auto"/>
          <w:kern w:val="0"/>
          <w:sz w:val="32"/>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 部门总体收入情况。2022年我单位收入合计1588.71万元，其中一般公共预算财政拨款1565.01万元，年初结转结余23.7万元。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 xml:space="preserve">2. 部门总体支出情况。2022年我单位支出合计1588.71万元，其中基本支出977.81万元，项目支出548.98万元，年末结转结余61.92万元。   </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3. 部门总体结转结余情况。2022年末我单位结转结余资金合计61.92万元，其中招商引资项目资金结转结余39.17万元，行政事业单位养老保险缴费结转结余22.75万元。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楷体_GB2312" w:cs="楷体_GB2312"/>
          <w:b w:val="0"/>
          <w:bCs w:val="0"/>
          <w:color w:val="auto"/>
          <w:kern w:val="0"/>
          <w:sz w:val="32"/>
          <w:szCs w:val="32"/>
          <w:highlight w:val="none"/>
          <w:shd w:val="clear" w:color="auto" w:fill="FFFFFF"/>
          <w:lang w:val="zh-CN"/>
        </w:rPr>
      </w:pPr>
      <w:r>
        <w:rPr>
          <w:rFonts w:hint="eastAsia" w:ascii="宋体" w:hAnsi="宋体"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 部门财政拨款收入情况。2022年我单位财政拨款收入合计1588.71万元，其中一般公共预算财政拨款1565.01万元，年初结转结余23.7万元。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 部门财政拨款支出情况。2022年我单位财政拨款支出合计1588.71万元，其中基本支出977.81万元，项目支出548.98万元，年末结转结余61.92万元。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3. 部门财政拨款结转结余情况。2022年我单位财政拨款结转结余资金61.92万元，其中招商引资项目资金结转结余39.71万元，行政事业单位养老保险缴费结转结余22.75万元。</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三、部门整体绩效分析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 人员类项目绩效分析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2022年我单位人员类拨款567.88万元，主要用于工资福利支出、社会保障缴费、社会福利与救助、离退休费支出。保障全局职工工资、离退休职工生活补助等及时发放，社会保险、公积金等应交尽交，严格按照财政及主管部门要求的时间节点完成工作任务，资金支付率100%。无违规使用资金的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2.运转类项目绩效分析</w:t>
      </w:r>
    </w:p>
    <w:p>
      <w:pPr>
        <w:pStyle w:val="6"/>
        <w:keepNext w:val="0"/>
        <w:keepLines w:val="0"/>
        <w:pageBreakBefore w:val="0"/>
        <w:widowControl w:val="0"/>
        <w:numPr>
          <w:ilvl w:val="0"/>
          <w:numId w:val="0"/>
        </w:numPr>
        <w:shd w:val="clear"/>
        <w:kinsoku/>
        <w:wordWrap/>
        <w:overflowPunct/>
        <w:topLinePunct w:val="0"/>
        <w:autoSpaceDE/>
        <w:autoSpaceDN/>
        <w:bidi w:val="0"/>
        <w:spacing w:line="576" w:lineRule="exact"/>
        <w:ind w:firstLine="640" w:firstLineChars="200"/>
        <w:textAlignment w:val="auto"/>
        <w:outlineLvl w:val="9"/>
        <w:rPr>
          <w:rFonts w:hint="default" w:ascii="宋体" w:hAnsi="宋体" w:eastAsia="仿宋_GB2312" w:cs="宋体"/>
          <w:b w:val="0"/>
          <w:bCs w:val="0"/>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2022年运转类拨款119.16万元，主要用于办公费、水电费、物业管理费、退休人员活动经费、福利费、工会经费等商品服务支出。维持单位正常运转，为全局经济合作和外事工作提供坚实的保障。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3.特定目标类项目绩效分析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按照2022年部门预算编制要求，结合我局</w:t>
      </w:r>
      <w:r>
        <w:rPr>
          <w:rFonts w:hint="default" w:ascii="宋体" w:hAnsi="宋体" w:eastAsia="仿宋_GB2312" w:cs="宋体"/>
          <w:color w:val="auto"/>
          <w:kern w:val="0"/>
          <w:sz w:val="32"/>
          <w:szCs w:val="32"/>
          <w:highlight w:val="none"/>
          <w:shd w:val="clear" w:color="auto" w:fill="FFFFFF"/>
          <w:lang w:val="en-US" w:eastAsia="zh-CN" w:bidi="ar-SA"/>
        </w:rPr>
        <w:t>年度工作计划，认真编</w:t>
      </w:r>
      <w:r>
        <w:rPr>
          <w:rFonts w:hint="eastAsia" w:ascii="宋体" w:hAnsi="宋体" w:eastAsia="仿宋_GB2312" w:cs="宋体"/>
          <w:color w:val="auto"/>
          <w:kern w:val="0"/>
          <w:sz w:val="32"/>
          <w:szCs w:val="32"/>
          <w:highlight w:val="none"/>
          <w:shd w:val="clear" w:color="auto" w:fill="FFFFFF"/>
          <w:lang w:val="en-US" w:eastAsia="zh-CN" w:bidi="ar-SA"/>
        </w:rPr>
        <w:t>制</w:t>
      </w:r>
      <w:r>
        <w:rPr>
          <w:rFonts w:hint="default" w:ascii="宋体" w:hAnsi="宋体" w:eastAsia="仿宋_GB2312" w:cs="宋体"/>
          <w:color w:val="auto"/>
          <w:kern w:val="0"/>
          <w:sz w:val="32"/>
          <w:szCs w:val="32"/>
          <w:highlight w:val="none"/>
          <w:shd w:val="clear" w:color="auto" w:fill="FFFFFF"/>
          <w:lang w:val="en-US" w:eastAsia="zh-CN" w:bidi="ar-SA"/>
        </w:rPr>
        <w:t>我</w:t>
      </w:r>
      <w:r>
        <w:rPr>
          <w:rFonts w:hint="eastAsia" w:ascii="宋体" w:hAnsi="宋体" w:eastAsia="仿宋_GB2312" w:cs="宋体"/>
          <w:color w:val="auto"/>
          <w:kern w:val="0"/>
          <w:sz w:val="32"/>
          <w:szCs w:val="32"/>
          <w:highlight w:val="none"/>
          <w:shd w:val="clear" w:color="auto" w:fill="FFFFFF"/>
          <w:lang w:val="en-US" w:eastAsia="zh-CN" w:bidi="ar-SA"/>
        </w:rPr>
        <w:t>局</w:t>
      </w:r>
      <w:r>
        <w:rPr>
          <w:rFonts w:hint="default" w:ascii="宋体" w:hAnsi="宋体" w:eastAsia="仿宋_GB2312" w:cs="宋体"/>
          <w:color w:val="auto"/>
          <w:kern w:val="0"/>
          <w:sz w:val="32"/>
          <w:szCs w:val="32"/>
          <w:highlight w:val="none"/>
          <w:shd w:val="clear" w:color="auto" w:fill="FFFFFF"/>
          <w:lang w:val="en-US" w:eastAsia="zh-CN" w:bidi="ar-SA"/>
        </w:rPr>
        <w:t>部门预算项目</w:t>
      </w:r>
      <w:r>
        <w:rPr>
          <w:rFonts w:hint="eastAsia" w:ascii="宋体" w:hAnsi="宋体" w:eastAsia="仿宋_GB2312" w:cs="宋体"/>
          <w:color w:val="auto"/>
          <w:kern w:val="0"/>
          <w:sz w:val="32"/>
          <w:szCs w:val="32"/>
          <w:highlight w:val="none"/>
          <w:shd w:val="clear" w:color="auto" w:fill="FFFFFF"/>
          <w:lang w:val="en-US" w:eastAsia="zh-CN" w:bidi="ar-SA"/>
        </w:rPr>
        <w:t>。</w:t>
      </w:r>
      <w:r>
        <w:rPr>
          <w:rFonts w:hint="default" w:ascii="宋体" w:hAnsi="宋体" w:eastAsia="仿宋_GB2312" w:cs="宋体"/>
          <w:color w:val="auto"/>
          <w:kern w:val="0"/>
          <w:sz w:val="32"/>
          <w:szCs w:val="32"/>
          <w:highlight w:val="none"/>
          <w:shd w:val="clear" w:color="auto" w:fill="FFFFFF"/>
          <w:lang w:val="en-US" w:eastAsia="zh-CN" w:bidi="ar-SA"/>
        </w:rPr>
        <w:t>其中对“</w:t>
      </w:r>
      <w:r>
        <w:rPr>
          <w:rFonts w:hint="eastAsia" w:ascii="宋体" w:hAnsi="宋体" w:eastAsia="仿宋_GB2312" w:cs="宋体"/>
          <w:color w:val="auto"/>
          <w:kern w:val="0"/>
          <w:sz w:val="32"/>
          <w:szCs w:val="32"/>
          <w:highlight w:val="none"/>
          <w:shd w:val="clear" w:color="auto" w:fill="FFFFFF"/>
          <w:lang w:val="en-US" w:eastAsia="zh-CN" w:bidi="ar-SA"/>
        </w:rPr>
        <w:t>驻外分局工作经费及房租”、</w:t>
      </w:r>
      <w:r>
        <w:rPr>
          <w:rFonts w:hint="default" w:ascii="宋体" w:hAnsi="宋体" w:eastAsia="仿宋_GB2312" w:cs="宋体"/>
          <w:color w:val="auto"/>
          <w:kern w:val="0"/>
          <w:sz w:val="32"/>
          <w:szCs w:val="32"/>
          <w:highlight w:val="none"/>
          <w:shd w:val="clear" w:color="auto" w:fill="FFFFFF"/>
          <w:lang w:val="en-US" w:eastAsia="zh-CN" w:bidi="ar-SA"/>
        </w:rPr>
        <w:t>“</w:t>
      </w:r>
      <w:r>
        <w:rPr>
          <w:rFonts w:hint="eastAsia" w:ascii="宋体" w:hAnsi="宋体" w:eastAsia="仿宋_GB2312" w:cs="宋体"/>
          <w:color w:val="auto"/>
          <w:kern w:val="0"/>
          <w:sz w:val="32"/>
          <w:szCs w:val="32"/>
          <w:highlight w:val="none"/>
          <w:shd w:val="clear" w:color="auto" w:fill="FFFFFF"/>
          <w:lang w:val="en-US" w:eastAsia="zh-CN" w:bidi="ar-SA"/>
        </w:rPr>
        <w:t>乡村振兴</w:t>
      </w:r>
      <w:r>
        <w:rPr>
          <w:rFonts w:hint="default" w:ascii="宋体" w:hAnsi="宋体" w:eastAsia="仿宋_GB2312" w:cs="宋体"/>
          <w:color w:val="auto"/>
          <w:kern w:val="0"/>
          <w:sz w:val="32"/>
          <w:szCs w:val="32"/>
          <w:highlight w:val="none"/>
          <w:shd w:val="clear" w:color="auto" w:fill="FFFFFF"/>
          <w:lang w:val="en-US" w:eastAsia="zh-CN" w:bidi="ar-SA"/>
        </w:rPr>
        <w:t>”、“</w:t>
      </w:r>
      <w:r>
        <w:rPr>
          <w:rFonts w:hint="eastAsia" w:ascii="宋体" w:hAnsi="宋体" w:eastAsia="仿宋_GB2312" w:cs="宋体"/>
          <w:color w:val="auto"/>
          <w:kern w:val="0"/>
          <w:sz w:val="32"/>
          <w:szCs w:val="32"/>
          <w:highlight w:val="none"/>
          <w:shd w:val="clear" w:color="auto" w:fill="FFFFFF"/>
          <w:lang w:val="en-US" w:eastAsia="zh-CN" w:bidi="ar-SA"/>
        </w:rPr>
        <w:t>招商引资</w:t>
      </w:r>
      <w:r>
        <w:rPr>
          <w:rFonts w:hint="default" w:ascii="宋体" w:hAnsi="宋体" w:eastAsia="仿宋_GB2312" w:cs="宋体"/>
          <w:color w:val="auto"/>
          <w:kern w:val="0"/>
          <w:sz w:val="32"/>
          <w:szCs w:val="32"/>
          <w:highlight w:val="none"/>
          <w:shd w:val="clear" w:color="auto" w:fill="FFFFFF"/>
          <w:lang w:val="en-US" w:eastAsia="zh-CN" w:bidi="ar-SA"/>
        </w:rPr>
        <w:t>”</w:t>
      </w:r>
      <w:r>
        <w:rPr>
          <w:rFonts w:hint="eastAsia" w:ascii="宋体" w:hAnsi="宋体" w:eastAsia="仿宋_GB2312" w:cs="宋体"/>
          <w:color w:val="auto"/>
          <w:kern w:val="0"/>
          <w:sz w:val="32"/>
          <w:szCs w:val="32"/>
          <w:highlight w:val="none"/>
          <w:shd w:val="clear" w:color="auto" w:fill="FFFFFF"/>
          <w:lang w:val="en-US" w:eastAsia="zh-CN" w:bidi="ar-SA"/>
        </w:rPr>
        <w:t>3个</w:t>
      </w:r>
      <w:r>
        <w:rPr>
          <w:rFonts w:hint="default" w:ascii="宋体" w:hAnsi="宋体" w:eastAsia="仿宋_GB2312" w:cs="宋体"/>
          <w:color w:val="auto"/>
          <w:kern w:val="0"/>
          <w:sz w:val="32"/>
          <w:szCs w:val="32"/>
          <w:highlight w:val="none"/>
          <w:shd w:val="clear" w:color="auto" w:fill="FFFFFF"/>
          <w:lang w:val="en-US" w:eastAsia="zh-CN" w:bidi="ar-SA"/>
        </w:rPr>
        <w:t>项目，同步编制了绩效目标，细化量化数量指标、成本指标、效益指标等，详细反映了相应项目工作任务达成的效果</w:t>
      </w:r>
      <w:r>
        <w:rPr>
          <w:rFonts w:hint="eastAsia" w:ascii="宋体" w:hAnsi="宋体" w:eastAsia="仿宋_GB2312" w:cs="宋体"/>
          <w:color w:val="auto"/>
          <w:kern w:val="0"/>
          <w:sz w:val="32"/>
          <w:szCs w:val="32"/>
          <w:highlight w:val="none"/>
          <w:shd w:val="clear" w:color="auto" w:fill="FFFFFF"/>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zh-CN" w:eastAsia="zh-CN" w:bidi="ar-SA"/>
        </w:rPr>
        <w:t>1．预算编审管理情况分析</w:t>
      </w:r>
    </w:p>
    <w:p>
      <w:pPr>
        <w:pStyle w:val="6"/>
        <w:keepNext w:val="0"/>
        <w:keepLines w:val="0"/>
        <w:pageBreakBefore w:val="0"/>
        <w:widowControl/>
        <w:shd w:val="clear"/>
        <w:kinsoku/>
        <w:wordWrap/>
        <w:overflowPunct/>
        <w:topLinePunct w:val="0"/>
        <w:autoSpaceDE/>
        <w:autoSpaceDN/>
        <w:bidi w:val="0"/>
        <w:adjustRightInd/>
        <w:snapToGrid/>
        <w:spacing w:line="576" w:lineRule="exact"/>
        <w:ind w:firstLine="573"/>
        <w:textAlignment w:val="auto"/>
        <w:outlineLvl w:val="9"/>
        <w:rPr>
          <w:rFonts w:hint="eastAsia" w:ascii="宋体" w:hAnsi="宋体" w:eastAsia="仿宋_GB2312" w:cs="宋体"/>
          <w:b w:val="0"/>
          <w:bCs w:val="0"/>
          <w:color w:val="auto"/>
          <w:kern w:val="0"/>
          <w:sz w:val="32"/>
          <w:szCs w:val="32"/>
          <w:highlight w:val="none"/>
          <w:shd w:val="clear" w:color="auto" w:fill="FFFFFF"/>
          <w:lang w:val="zh-CN" w:eastAsia="zh-CN" w:bidi="ar-SA"/>
        </w:rPr>
      </w:pPr>
      <w:r>
        <w:rPr>
          <w:rFonts w:hint="eastAsia" w:ascii="宋体" w:hAnsi="宋体" w:eastAsia="仿宋_GB2312" w:cs="宋体"/>
          <w:b w:val="0"/>
          <w:bCs w:val="0"/>
          <w:color w:val="auto"/>
          <w:kern w:val="0"/>
          <w:sz w:val="32"/>
          <w:szCs w:val="32"/>
          <w:highlight w:val="none"/>
          <w:shd w:val="clear" w:color="auto" w:fill="FFFFFF"/>
          <w:lang w:val="zh-CN" w:eastAsia="zh-CN" w:bidi="ar-SA"/>
        </w:rPr>
        <w:t>我</w:t>
      </w:r>
      <w:r>
        <w:rPr>
          <w:rFonts w:hint="eastAsia" w:ascii="宋体" w:hAnsi="宋体" w:cs="宋体"/>
          <w:b w:val="0"/>
          <w:bCs w:val="0"/>
          <w:color w:val="auto"/>
          <w:kern w:val="0"/>
          <w:sz w:val="32"/>
          <w:szCs w:val="32"/>
          <w:highlight w:val="none"/>
          <w:shd w:val="clear" w:color="auto" w:fill="FFFFFF"/>
          <w:lang w:val="zh-CN" w:eastAsia="zh-CN" w:bidi="ar-SA"/>
        </w:rPr>
        <w:t>局</w:t>
      </w:r>
      <w:r>
        <w:rPr>
          <w:rFonts w:hint="eastAsia" w:ascii="宋体" w:hAnsi="宋体" w:eastAsia="仿宋_GB2312" w:cs="宋体"/>
          <w:b w:val="0"/>
          <w:bCs w:val="0"/>
          <w:color w:val="auto"/>
          <w:kern w:val="0"/>
          <w:sz w:val="32"/>
          <w:szCs w:val="32"/>
          <w:highlight w:val="none"/>
          <w:shd w:val="clear" w:color="auto" w:fill="FFFFFF"/>
          <w:lang w:val="zh-CN" w:eastAsia="zh-CN" w:bidi="ar-SA"/>
        </w:rPr>
        <w:t>严格按照《中华人民共和国预算法》等财政预算管理办法编制部门预算，各项收入应编尽编，全口径纳入预算管理，编制完整无漏项。基本支出严格按照实际人员编制编报，无虚报、冒领人员经费、公用经费现象；项目支出按照上级和市委、市政府下达的工作目标任务，并结合我</w:t>
      </w:r>
      <w:r>
        <w:rPr>
          <w:rFonts w:hint="eastAsia" w:ascii="宋体" w:hAnsi="宋体" w:cs="宋体"/>
          <w:b w:val="0"/>
          <w:bCs w:val="0"/>
          <w:color w:val="auto"/>
          <w:kern w:val="0"/>
          <w:sz w:val="32"/>
          <w:szCs w:val="32"/>
          <w:highlight w:val="none"/>
          <w:shd w:val="clear" w:color="auto" w:fill="FFFFFF"/>
          <w:lang w:val="zh-CN" w:eastAsia="zh-CN" w:bidi="ar-SA"/>
        </w:rPr>
        <w:t>单位</w:t>
      </w:r>
      <w:r>
        <w:rPr>
          <w:rFonts w:hint="eastAsia" w:ascii="宋体" w:hAnsi="宋体" w:eastAsia="仿宋_GB2312" w:cs="宋体"/>
          <w:b w:val="0"/>
          <w:bCs w:val="0"/>
          <w:color w:val="auto"/>
          <w:kern w:val="0"/>
          <w:sz w:val="32"/>
          <w:szCs w:val="32"/>
          <w:highlight w:val="none"/>
          <w:shd w:val="clear" w:color="auto" w:fill="FFFFFF"/>
          <w:lang w:val="zh-CN" w:eastAsia="zh-CN" w:bidi="ar-SA"/>
        </w:rPr>
        <w:t>职能职责进行编制，做到资料完整、依据充分。部门预算编列预算科目合理，但预算支出明细科目编制不够</w:t>
      </w:r>
      <w:r>
        <w:rPr>
          <w:rFonts w:hint="eastAsia" w:ascii="宋体" w:hAnsi="宋体" w:cs="宋体"/>
          <w:b w:val="0"/>
          <w:bCs w:val="0"/>
          <w:color w:val="auto"/>
          <w:kern w:val="0"/>
          <w:sz w:val="32"/>
          <w:szCs w:val="32"/>
          <w:highlight w:val="none"/>
          <w:shd w:val="clear" w:color="auto" w:fill="FFFFFF"/>
          <w:lang w:val="en-US" w:eastAsia="zh-CN" w:bidi="ar-SA"/>
        </w:rPr>
        <w:t>精准</w:t>
      </w:r>
      <w:r>
        <w:rPr>
          <w:rFonts w:hint="eastAsia" w:ascii="宋体" w:hAnsi="宋体" w:eastAsia="仿宋_GB2312" w:cs="宋体"/>
          <w:b w:val="0"/>
          <w:bCs w:val="0"/>
          <w:color w:val="auto"/>
          <w:kern w:val="0"/>
          <w:sz w:val="32"/>
          <w:szCs w:val="32"/>
          <w:highlight w:val="none"/>
          <w:shd w:val="clear" w:color="auto" w:fill="FFFFFF"/>
          <w:lang w:val="zh-CN" w:eastAsia="zh-CN" w:bidi="ar-SA"/>
        </w:rPr>
        <w:t>，预算实际使用过程中容易产生偏差，无法准确预计全年经济活动。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2．2022年</w:t>
      </w:r>
      <w:r>
        <w:rPr>
          <w:rFonts w:hint="eastAsia" w:ascii="宋体" w:hAnsi="宋体" w:eastAsia="仿宋_GB2312" w:cs="宋体"/>
          <w:color w:val="auto"/>
          <w:kern w:val="0"/>
          <w:sz w:val="32"/>
          <w:szCs w:val="32"/>
          <w:highlight w:val="none"/>
          <w:shd w:val="clear" w:color="auto" w:fill="FFFFFF"/>
          <w:lang w:val="zh-CN" w:eastAsia="zh-CN" w:bidi="ar-SA"/>
        </w:rPr>
        <w:t>年初预算</w:t>
      </w:r>
      <w:r>
        <w:rPr>
          <w:rFonts w:hint="eastAsia" w:ascii="宋体" w:hAnsi="宋体" w:eastAsia="仿宋_GB2312" w:cs="宋体"/>
          <w:color w:val="auto"/>
          <w:kern w:val="0"/>
          <w:sz w:val="32"/>
          <w:szCs w:val="32"/>
          <w:highlight w:val="none"/>
          <w:shd w:val="clear" w:color="auto" w:fill="FFFFFF"/>
          <w:lang w:val="en-US" w:eastAsia="zh-CN" w:bidi="ar-SA"/>
        </w:rPr>
        <w:t>1066.13万元</w:t>
      </w:r>
      <w:r>
        <w:rPr>
          <w:rFonts w:hint="eastAsia" w:ascii="宋体" w:hAnsi="宋体" w:eastAsia="仿宋_GB2312" w:cs="宋体"/>
          <w:color w:val="auto"/>
          <w:kern w:val="0"/>
          <w:sz w:val="32"/>
          <w:szCs w:val="32"/>
          <w:highlight w:val="none"/>
          <w:shd w:val="clear" w:color="auto" w:fill="FFFFFF"/>
          <w:lang w:val="zh-CN" w:eastAsia="zh-CN" w:bidi="ar-SA"/>
        </w:rPr>
        <w:t>，</w:t>
      </w:r>
      <w:r>
        <w:rPr>
          <w:rFonts w:hint="eastAsia" w:ascii="宋体" w:hAnsi="宋体" w:eastAsia="仿宋_GB2312" w:cs="宋体"/>
          <w:color w:val="auto"/>
          <w:kern w:val="0"/>
          <w:sz w:val="32"/>
          <w:szCs w:val="32"/>
          <w:highlight w:val="none"/>
          <w:shd w:val="clear" w:color="auto" w:fill="FFFFFF"/>
          <w:lang w:val="en-US" w:eastAsia="zh-CN" w:bidi="ar-SA"/>
        </w:rPr>
        <w:t>年中追加预算693.37万元，全年预算共计1759.5万元，全年实际执行金额1588.71万元，全年预算执行率90.29%，主要原因为2022年期间疫情影响，外出招商活动较少，招商项目资金支付结余较大，导致预算执行率较低。</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3．预决算信息公开性</w:t>
      </w:r>
    </w:p>
    <w:p>
      <w:pPr>
        <w:keepNext w:val="0"/>
        <w:keepLines w:val="0"/>
        <w:pageBreakBefore w:val="0"/>
        <w:numPr>
          <w:ilvl w:val="0"/>
          <w:numId w:val="0"/>
        </w:numPr>
        <w:shd w:val="clear"/>
        <w:kinsoku/>
        <w:wordWrap/>
        <w:overflowPunct/>
        <w:topLinePunct w:val="0"/>
        <w:autoSpaceDE/>
        <w:autoSpaceDN/>
        <w:bidi w:val="0"/>
        <w:spacing w:line="576" w:lineRule="exact"/>
        <w:ind w:firstLine="640" w:firstLineChars="200"/>
        <w:textAlignment w:val="auto"/>
        <w:outlineLvl w:val="9"/>
        <w:rPr>
          <w:rFonts w:hint="eastAsia" w:ascii="宋体" w:hAnsi="宋体" w:cs="宋体"/>
          <w:b w:val="0"/>
          <w:bCs w:val="0"/>
          <w:color w:val="auto"/>
          <w:kern w:val="0"/>
          <w:sz w:val="32"/>
          <w:szCs w:val="32"/>
          <w:highlight w:val="none"/>
          <w:shd w:val="clear" w:color="auto" w:fill="FFFFFF"/>
          <w:lang w:val="zh-CN" w:eastAsia="zh-CN" w:bidi="ar-SA"/>
        </w:rPr>
      </w:pPr>
      <w:r>
        <w:rPr>
          <w:rFonts w:hint="eastAsia" w:ascii="宋体" w:hAnsi="宋体" w:eastAsia="仿宋_GB2312" w:cs="宋体"/>
          <w:b w:val="0"/>
          <w:bCs w:val="0"/>
          <w:color w:val="auto"/>
          <w:kern w:val="0"/>
          <w:sz w:val="32"/>
          <w:szCs w:val="32"/>
          <w:highlight w:val="none"/>
          <w:shd w:val="clear" w:color="auto" w:fill="FFFFFF"/>
          <w:lang w:val="zh-CN" w:eastAsia="zh-CN" w:bidi="ar-SA"/>
        </w:rPr>
        <w:t>我</w:t>
      </w:r>
      <w:r>
        <w:rPr>
          <w:rFonts w:hint="eastAsia" w:ascii="宋体" w:hAnsi="宋体" w:cs="宋体"/>
          <w:b w:val="0"/>
          <w:bCs w:val="0"/>
          <w:color w:val="auto"/>
          <w:kern w:val="0"/>
          <w:sz w:val="32"/>
          <w:szCs w:val="32"/>
          <w:highlight w:val="none"/>
          <w:shd w:val="clear" w:color="auto" w:fill="FFFFFF"/>
          <w:lang w:val="zh-CN" w:eastAsia="zh-CN" w:bidi="ar-SA"/>
        </w:rPr>
        <w:t>局</w:t>
      </w:r>
      <w:r>
        <w:rPr>
          <w:rFonts w:hint="eastAsia" w:ascii="宋体" w:hAnsi="宋体" w:eastAsia="仿宋_GB2312" w:cs="宋体"/>
          <w:b w:val="0"/>
          <w:bCs w:val="0"/>
          <w:color w:val="auto"/>
          <w:kern w:val="0"/>
          <w:sz w:val="32"/>
          <w:szCs w:val="32"/>
          <w:highlight w:val="none"/>
          <w:shd w:val="clear" w:color="auto" w:fill="FFFFFF"/>
          <w:lang w:val="zh-CN" w:eastAsia="zh-CN" w:bidi="ar-SA"/>
        </w:rPr>
        <w:t>已按规定内容</w:t>
      </w:r>
      <w:r>
        <w:rPr>
          <w:rFonts w:hint="eastAsia" w:ascii="宋体" w:hAnsi="宋体" w:cs="宋体"/>
          <w:b w:val="0"/>
          <w:bCs w:val="0"/>
          <w:color w:val="auto"/>
          <w:kern w:val="0"/>
          <w:sz w:val="32"/>
          <w:szCs w:val="32"/>
          <w:highlight w:val="none"/>
          <w:shd w:val="clear" w:color="auto" w:fill="FFFFFF"/>
          <w:lang w:val="zh-CN" w:eastAsia="zh-CN" w:bidi="ar-SA"/>
        </w:rPr>
        <w:t>、</w:t>
      </w:r>
      <w:r>
        <w:rPr>
          <w:rFonts w:hint="eastAsia" w:ascii="宋体" w:hAnsi="宋体" w:eastAsia="仿宋_GB2312" w:cs="宋体"/>
          <w:b w:val="0"/>
          <w:bCs w:val="0"/>
          <w:color w:val="auto"/>
          <w:kern w:val="0"/>
          <w:sz w:val="32"/>
          <w:szCs w:val="32"/>
          <w:highlight w:val="none"/>
          <w:shd w:val="clear" w:color="auto" w:fill="FFFFFF"/>
          <w:lang w:val="zh-CN" w:eastAsia="zh-CN" w:bidi="ar-SA"/>
        </w:rPr>
        <w:t>规定时限公开预决算信息，提供的基础数据信息和会计信息资料真实、完整、准确</w:t>
      </w:r>
      <w:r>
        <w:rPr>
          <w:rFonts w:hint="eastAsia" w:ascii="宋体" w:hAnsi="宋体" w:cs="宋体"/>
          <w:b w:val="0"/>
          <w:bCs w:val="0"/>
          <w:color w:val="auto"/>
          <w:kern w:val="0"/>
          <w:sz w:val="32"/>
          <w:szCs w:val="32"/>
          <w:highlight w:val="none"/>
          <w:shd w:val="clear" w:color="auto" w:fill="FFFFFF"/>
          <w:lang w:val="zh-CN"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4．部门预算管理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zh-CN" w:eastAsia="zh-CN" w:bidi="ar-SA"/>
        </w:rPr>
        <w:t>我局</w:t>
      </w:r>
      <w:r>
        <w:rPr>
          <w:rFonts w:hint="eastAsia" w:ascii="宋体" w:hAnsi="宋体" w:eastAsia="仿宋_GB2312" w:cs="宋体"/>
          <w:color w:val="auto"/>
          <w:kern w:val="0"/>
          <w:sz w:val="32"/>
          <w:szCs w:val="32"/>
          <w:highlight w:val="none"/>
          <w:shd w:val="clear" w:color="auto" w:fill="FFFFFF"/>
          <w:lang w:val="en-US" w:eastAsia="zh-CN" w:bidi="ar-SA"/>
        </w:rPr>
        <w:t>2022年末</w:t>
      </w:r>
      <w:r>
        <w:rPr>
          <w:rFonts w:hint="eastAsia" w:ascii="宋体" w:hAnsi="宋体" w:eastAsia="仿宋_GB2312" w:cs="宋体"/>
          <w:color w:val="auto"/>
          <w:kern w:val="0"/>
          <w:sz w:val="32"/>
          <w:szCs w:val="32"/>
          <w:highlight w:val="none"/>
          <w:shd w:val="clear" w:color="auto" w:fill="FFFFFF"/>
          <w:lang w:val="zh-CN" w:eastAsia="zh-CN" w:bidi="ar-SA"/>
        </w:rPr>
        <w:t>实有在职人员</w:t>
      </w:r>
      <w:r>
        <w:rPr>
          <w:rFonts w:hint="eastAsia" w:ascii="宋体" w:hAnsi="宋体" w:eastAsia="仿宋_GB2312" w:cs="宋体"/>
          <w:color w:val="auto"/>
          <w:kern w:val="0"/>
          <w:sz w:val="32"/>
          <w:szCs w:val="32"/>
          <w:highlight w:val="none"/>
          <w:shd w:val="clear" w:color="auto" w:fill="FFFFFF"/>
          <w:lang w:val="en-US" w:eastAsia="zh-CN" w:bidi="ar-SA"/>
        </w:rPr>
        <w:t>45</w:t>
      </w:r>
      <w:r>
        <w:rPr>
          <w:rFonts w:hint="eastAsia" w:ascii="宋体" w:hAnsi="宋体" w:eastAsia="仿宋_GB2312" w:cs="宋体"/>
          <w:color w:val="auto"/>
          <w:kern w:val="0"/>
          <w:sz w:val="32"/>
          <w:szCs w:val="32"/>
          <w:highlight w:val="none"/>
          <w:shd w:val="clear" w:color="auto" w:fill="FFFFFF"/>
          <w:lang w:val="zh-CN" w:eastAsia="zh-CN" w:bidi="ar-SA"/>
        </w:rPr>
        <w:t>人，退休人员</w:t>
      </w:r>
      <w:r>
        <w:rPr>
          <w:rFonts w:hint="eastAsia" w:ascii="宋体" w:hAnsi="宋体" w:eastAsia="仿宋_GB2312" w:cs="宋体"/>
          <w:color w:val="auto"/>
          <w:kern w:val="0"/>
          <w:sz w:val="32"/>
          <w:szCs w:val="32"/>
          <w:highlight w:val="none"/>
          <w:shd w:val="clear" w:color="auto" w:fill="FFFFFF"/>
          <w:lang w:val="en-US" w:eastAsia="zh-CN" w:bidi="ar-SA"/>
        </w:rPr>
        <w:t>29人</w:t>
      </w:r>
      <w:r>
        <w:rPr>
          <w:rFonts w:hint="eastAsia" w:ascii="宋体" w:hAnsi="宋体" w:eastAsia="仿宋_GB2312" w:cs="宋体"/>
          <w:color w:val="auto"/>
          <w:kern w:val="0"/>
          <w:sz w:val="32"/>
          <w:szCs w:val="32"/>
          <w:highlight w:val="none"/>
          <w:shd w:val="clear" w:color="auto" w:fill="FFFFFF"/>
          <w:lang w:val="zh-CN" w:eastAsia="zh-CN" w:bidi="ar-SA"/>
        </w:rPr>
        <w:t>，单位编制人数</w:t>
      </w:r>
      <w:r>
        <w:rPr>
          <w:rFonts w:hint="eastAsia" w:ascii="宋体" w:hAnsi="宋体" w:eastAsia="仿宋_GB2312" w:cs="宋体"/>
          <w:color w:val="auto"/>
          <w:kern w:val="0"/>
          <w:sz w:val="32"/>
          <w:szCs w:val="32"/>
          <w:highlight w:val="none"/>
          <w:shd w:val="clear" w:color="auto" w:fill="FFFFFF"/>
          <w:lang w:val="en-US" w:eastAsia="zh-CN" w:bidi="ar-SA"/>
        </w:rPr>
        <w:t>60人</w:t>
      </w:r>
      <w:r>
        <w:rPr>
          <w:rFonts w:hint="eastAsia" w:ascii="宋体" w:hAnsi="宋体" w:eastAsia="仿宋_GB2312" w:cs="宋体"/>
          <w:color w:val="auto"/>
          <w:kern w:val="0"/>
          <w:sz w:val="32"/>
          <w:szCs w:val="32"/>
          <w:highlight w:val="none"/>
          <w:shd w:val="clear" w:color="auto" w:fill="FFFFFF"/>
          <w:lang w:val="zh-CN" w:eastAsia="zh-CN" w:bidi="ar-SA"/>
        </w:rPr>
        <w:t>，在职人员控制率</w:t>
      </w:r>
      <w:r>
        <w:rPr>
          <w:rFonts w:hint="eastAsia" w:ascii="宋体" w:hAnsi="宋体" w:eastAsia="仿宋_GB2312" w:cs="宋体"/>
          <w:color w:val="auto"/>
          <w:kern w:val="0"/>
          <w:sz w:val="32"/>
          <w:szCs w:val="32"/>
          <w:highlight w:val="none"/>
          <w:shd w:val="clear" w:color="auto" w:fill="FFFFFF"/>
          <w:lang w:val="en-US" w:eastAsia="zh-CN" w:bidi="ar-SA"/>
        </w:rPr>
        <w:t>75</w:t>
      </w:r>
      <w:r>
        <w:rPr>
          <w:rFonts w:hint="eastAsia" w:ascii="宋体" w:hAnsi="宋体" w:eastAsia="仿宋_GB2312" w:cs="宋体"/>
          <w:color w:val="auto"/>
          <w:kern w:val="0"/>
          <w:sz w:val="32"/>
          <w:szCs w:val="32"/>
          <w:highlight w:val="none"/>
          <w:shd w:val="clear" w:color="auto" w:fill="FFFFFF"/>
          <w:lang w:val="zh-CN" w:eastAsia="zh-CN" w:bidi="ar-SA"/>
        </w:rPr>
        <w:t>%，未超编制。我局</w:t>
      </w:r>
      <w:r>
        <w:rPr>
          <w:rFonts w:hint="eastAsia" w:ascii="宋体" w:hAnsi="宋体" w:eastAsia="仿宋_GB2312" w:cs="宋体"/>
          <w:color w:val="auto"/>
          <w:kern w:val="0"/>
          <w:sz w:val="32"/>
          <w:szCs w:val="32"/>
          <w:highlight w:val="none"/>
          <w:shd w:val="clear" w:color="auto" w:fill="FFFFFF"/>
          <w:lang w:val="en-US" w:eastAsia="zh-CN" w:bidi="ar-SA"/>
        </w:rPr>
        <w:t>严格执行</w:t>
      </w:r>
      <w:r>
        <w:rPr>
          <w:rFonts w:hint="eastAsia" w:ascii="宋体" w:hAnsi="宋体" w:eastAsia="仿宋_GB2312" w:cs="宋体"/>
          <w:color w:val="auto"/>
          <w:kern w:val="0"/>
          <w:sz w:val="32"/>
          <w:szCs w:val="32"/>
          <w:highlight w:val="none"/>
          <w:shd w:val="clear" w:color="auto" w:fill="FFFFFF"/>
          <w:lang w:val="zh-CN" w:eastAsia="zh-CN" w:bidi="ar-SA"/>
        </w:rPr>
        <w:t>预算资金管理办法、内部财务管理制度、会计核算制度等管理制度。资金使用符合国家财经法规和财务管理制度规定以及有关专项资金管理办法的规定，拨付有完整的审批程序和手续。项目的重大开支均经过评估论证，符合部门预算批复的用途，不存在截留、挤占、挪用、</w:t>
      </w:r>
      <w:r>
        <w:rPr>
          <w:rFonts w:hint="eastAsia" w:ascii="宋体" w:hAnsi="宋体" w:eastAsia="仿宋_GB2312" w:cs="宋体"/>
          <w:color w:val="auto"/>
          <w:kern w:val="0"/>
          <w:sz w:val="32"/>
          <w:szCs w:val="32"/>
          <w:highlight w:val="none"/>
          <w:shd w:val="clear" w:color="auto" w:fill="FFFFFF"/>
          <w:lang w:val="en-US" w:eastAsia="zh-CN" w:bidi="ar-SA"/>
        </w:rPr>
        <w:t>虚</w:t>
      </w:r>
      <w:r>
        <w:rPr>
          <w:rFonts w:hint="eastAsia" w:ascii="宋体" w:hAnsi="宋体" w:eastAsia="仿宋_GB2312" w:cs="宋体"/>
          <w:color w:val="auto"/>
          <w:kern w:val="0"/>
          <w:sz w:val="32"/>
          <w:szCs w:val="32"/>
          <w:highlight w:val="none"/>
          <w:shd w:val="clear" w:color="auto" w:fill="FFFFFF"/>
          <w:lang w:val="zh-CN" w:eastAsia="zh-CN" w:bidi="ar-SA"/>
        </w:rPr>
        <w:t>列支出等情况。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5．</w:t>
      </w:r>
      <w:r>
        <w:rPr>
          <w:rFonts w:hint="eastAsia" w:ascii="宋体" w:hAnsi="宋体" w:eastAsia="仿宋_GB2312" w:cs="宋体"/>
          <w:color w:val="auto"/>
          <w:kern w:val="0"/>
          <w:sz w:val="32"/>
          <w:szCs w:val="32"/>
          <w:highlight w:val="none"/>
          <w:shd w:val="clear" w:color="auto" w:fill="FFFFFF"/>
          <w:lang w:val="zh-CN" w:eastAsia="zh-CN" w:bidi="ar-SA"/>
        </w:rPr>
        <w:t>资产管理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截至2022年末，我局固定资产账面原值182.06万元，累计折旧124.73万元，净值57.33万元。我局共有车辆3辆，主要是用于接待来广考察对接洽谈项目的客商，陪同客商赴各地考察项目基本要素等所需的公务用车燃料费、维修费、过路过桥费、保险费等支出，无单价50万元以上通用设备，无单价100万元以上专用设备。我局严格按照相关规定进行新增资产登记和入账，2022年期间我单位新入账资产共计0.72万元，该资产通过新增资产配置程序签批，严格按照标准范围内配置资产，并按相关规定在四川省资产管理平台登记同时入账，确保账实一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（三）结果应用情况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 在信息公开方面，我单位按照要求将部门整体绩效自评情况和自行组织的评价情况随单位2022决算情况说明在单位网站进行了公开。</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 在绩效目标设置上，详细反映相应项</w:t>
      </w:r>
      <w:r>
        <w:rPr>
          <w:rFonts w:hint="default" w:ascii="宋体" w:hAnsi="宋体" w:eastAsia="仿宋_GB2312" w:cs="宋体"/>
          <w:color w:val="auto"/>
          <w:kern w:val="0"/>
          <w:sz w:val="32"/>
          <w:szCs w:val="32"/>
          <w:highlight w:val="none"/>
          <w:shd w:val="clear" w:color="auto" w:fill="FFFFFF"/>
          <w:lang w:val="en-US" w:eastAsia="zh-CN" w:bidi="ar-SA"/>
        </w:rPr>
        <w:t>目工作任务、达成的效果，进一步提高绩效目标的针对性、有效性，便于对项目的实施情况进行考核。</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（四）自评质量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2022年我单位支出绩效总体情况较好，完成了各项目标任务。主要表现在：及时、准确地完成了预算编制；严格预算执行及资金支付，无违规列支的情况；会计核算较为规范，制度基本健全，严格按照相关会计制度和财务管理办法进行核算。项目整体支出情况良好，各项经费严格执行单位支出审批制度，坚持“厉行节约、反对浪费”的原则，充分发挥了资金的使用效益。资金管理严格按政策执行项目资金申报与实际使用符合，无超报、虚报现象，达到项目预期效果。</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（一）评价结论。</w:t>
      </w:r>
      <w:r>
        <w:rPr>
          <w:rFonts w:hint="eastAsia" w:ascii="宋体" w:hAnsi="宋体" w:eastAsia="仿宋_GB2312" w:cs="宋体"/>
          <w:color w:val="auto"/>
          <w:kern w:val="0"/>
          <w:sz w:val="32"/>
          <w:szCs w:val="32"/>
          <w:highlight w:val="none"/>
          <w:shd w:val="clear" w:color="auto" w:fill="FFFFFF"/>
          <w:lang w:val="zh-CN" w:eastAsia="zh-CN" w:bidi="ar-SA"/>
        </w:rPr>
        <w:t>202</w:t>
      </w:r>
      <w:r>
        <w:rPr>
          <w:rFonts w:hint="eastAsia" w:ascii="宋体" w:hAnsi="宋体" w:eastAsia="仿宋_GB2312" w:cs="宋体"/>
          <w:color w:val="auto"/>
          <w:kern w:val="0"/>
          <w:sz w:val="32"/>
          <w:szCs w:val="32"/>
          <w:highlight w:val="none"/>
          <w:shd w:val="clear" w:color="auto" w:fill="FFFFFF"/>
          <w:lang w:val="en-US" w:eastAsia="zh-CN" w:bidi="ar-SA"/>
        </w:rPr>
        <w:t>2</w:t>
      </w:r>
      <w:r>
        <w:rPr>
          <w:rFonts w:hint="eastAsia" w:ascii="宋体" w:hAnsi="宋体" w:eastAsia="仿宋_GB2312" w:cs="宋体"/>
          <w:color w:val="auto"/>
          <w:kern w:val="0"/>
          <w:sz w:val="32"/>
          <w:szCs w:val="32"/>
          <w:highlight w:val="none"/>
          <w:shd w:val="clear" w:color="auto" w:fill="FFFFFF"/>
          <w:lang w:val="zh-CN" w:eastAsia="zh-CN" w:bidi="ar-SA"/>
        </w:rPr>
        <w:t>年我单位整体支出绩效自查自评结果良好，全年基本支出保证了单位的正常运转，项目支出保障了重点专项工作的开展，按照 202</w:t>
      </w:r>
      <w:r>
        <w:rPr>
          <w:rFonts w:hint="eastAsia" w:ascii="宋体" w:hAnsi="宋体" w:eastAsia="仿宋_GB2312" w:cs="宋体"/>
          <w:color w:val="auto"/>
          <w:kern w:val="0"/>
          <w:sz w:val="32"/>
          <w:szCs w:val="32"/>
          <w:highlight w:val="none"/>
          <w:shd w:val="clear" w:color="auto" w:fill="FFFFFF"/>
          <w:lang w:val="en-US" w:eastAsia="zh-CN" w:bidi="ar-SA"/>
        </w:rPr>
        <w:t>2</w:t>
      </w:r>
      <w:r>
        <w:rPr>
          <w:rFonts w:hint="eastAsia" w:ascii="宋体" w:hAnsi="宋体" w:eastAsia="仿宋_GB2312" w:cs="宋体"/>
          <w:color w:val="auto"/>
          <w:kern w:val="0"/>
          <w:sz w:val="32"/>
          <w:szCs w:val="32"/>
          <w:highlight w:val="none"/>
          <w:shd w:val="clear" w:color="auto" w:fill="FFFFFF"/>
          <w:lang w:val="zh-CN" w:eastAsia="zh-CN" w:bidi="ar-SA"/>
        </w:rPr>
        <w:t>年度部门整体支出绩效评价指标体系对我单位预算编制、预算执行、完成结果、信息公开、整改反馈等方面进行了自评，最终得分</w:t>
      </w:r>
      <w:r>
        <w:rPr>
          <w:rFonts w:hint="eastAsia" w:ascii="宋体" w:hAnsi="宋体" w:eastAsia="仿宋_GB2312" w:cs="宋体"/>
          <w:color w:val="auto"/>
          <w:kern w:val="0"/>
          <w:sz w:val="32"/>
          <w:szCs w:val="32"/>
          <w:highlight w:val="none"/>
          <w:shd w:val="clear" w:color="auto" w:fill="FFFFFF"/>
          <w:lang w:val="en-US" w:eastAsia="zh-CN" w:bidi="ar-SA"/>
        </w:rPr>
        <w:t>97.6</w:t>
      </w:r>
      <w:r>
        <w:rPr>
          <w:rFonts w:hint="eastAsia" w:ascii="宋体" w:hAnsi="宋体" w:eastAsia="仿宋_GB2312" w:cs="宋体"/>
          <w:color w:val="auto"/>
          <w:kern w:val="0"/>
          <w:sz w:val="32"/>
          <w:szCs w:val="32"/>
          <w:highlight w:val="none"/>
          <w:shd w:val="clear" w:color="auto" w:fill="FFFFFF"/>
          <w:lang w:val="zh-CN" w:eastAsia="zh-CN" w:bidi="ar-SA"/>
        </w:rPr>
        <w:t>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（二）存在问题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1.2022年财政资金支出中存在个别会计核算不规范的情况。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2.在预算执行过程中，个别项目资金分配不及时，导致支付进度跟不上。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楷体_GB2312" w:hAnsi="楷体_GB2312" w:eastAsia="楷体_GB2312" w:cs="楷体_GB2312"/>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highlight w:val="none"/>
          <w:shd w:val="clear" w:color="auto" w:fill="FFFFFF"/>
          <w:lang w:val="zh-CN" w:eastAsia="zh-CN" w:bidi="ar-SA"/>
        </w:rPr>
        <w:t>（三）改进建议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en-US"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1. 进一步加强财务管理。规范会计核算，加强财务人员的专业化培训，做到财务核算规范、依据充分、数据准确。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宋体" w:hAnsi="宋体" w:eastAsia="仿宋_GB2312" w:cs="宋体"/>
          <w:color w:val="auto"/>
          <w:kern w:val="0"/>
          <w:sz w:val="32"/>
          <w:szCs w:val="32"/>
          <w:highlight w:val="none"/>
          <w:shd w:val="clear" w:color="auto" w:fill="FFFFFF"/>
          <w:lang w:val="zh-CN" w:eastAsia="zh-CN" w:bidi="ar-SA"/>
        </w:rPr>
      </w:pPr>
      <w:r>
        <w:rPr>
          <w:rFonts w:hint="eastAsia" w:ascii="宋体" w:hAnsi="宋体" w:eastAsia="仿宋_GB2312" w:cs="宋体"/>
          <w:color w:val="auto"/>
          <w:kern w:val="0"/>
          <w:sz w:val="32"/>
          <w:szCs w:val="32"/>
          <w:highlight w:val="none"/>
          <w:shd w:val="clear" w:color="auto" w:fill="FFFFFF"/>
          <w:lang w:val="en-US" w:eastAsia="zh-CN" w:bidi="ar-SA"/>
        </w:rPr>
        <w:t>2. 进一步加强预算执行管理。加强部门支出专项资金管理和项目前期管理，加快项目执行进度。</w:t>
      </w:r>
    </w:p>
    <w:p>
      <w:pPr>
        <w:keepNext w:val="0"/>
        <w:keepLines w:val="0"/>
        <w:pageBreakBefore w:val="0"/>
        <w:shd w:val="clear"/>
        <w:kinsoku/>
        <w:wordWrap/>
        <w:overflowPunct/>
        <w:topLinePunct w:val="0"/>
        <w:autoSpaceDE/>
        <w:autoSpaceDN/>
        <w:bidi w:val="0"/>
        <w:outlineLvl w:val="9"/>
        <w:rPr>
          <w:rFonts w:hint="eastAsia" w:ascii="宋体" w:hAnsi="宋体" w:eastAsia="仿宋_GB2312" w:cs="宋体"/>
          <w:color w:val="auto"/>
          <w:kern w:val="0"/>
          <w:sz w:val="32"/>
          <w:szCs w:val="32"/>
          <w:highlight w:val="none"/>
          <w:shd w:val="clear" w:color="auto" w:fill="FFFFFF"/>
          <w:lang w:val="zh-CN" w:eastAsia="zh-CN" w:bidi="ar-SA"/>
        </w:rPr>
        <w:sectPr>
          <w:footerReference r:id="rId7" w:type="default"/>
          <w:pgSz w:w="11906" w:h="16838"/>
          <w:pgMar w:top="2098" w:right="1474" w:bottom="1984" w:left="1587" w:header="851" w:footer="1587" w:gutter="0"/>
          <w:pgNumType w:fmt="decimal" w:start="1"/>
          <w:cols w:space="0" w:num="1"/>
          <w:rtlGutter w:val="0"/>
          <w:docGrid w:type="lines" w:linePitch="312" w:charSpace="0"/>
        </w:sectPr>
      </w:pPr>
    </w:p>
    <w:tbl>
      <w:tblPr>
        <w:tblStyle w:val="18"/>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8"/>
        <w:gridCol w:w="1201"/>
        <w:gridCol w:w="267"/>
        <w:gridCol w:w="2380"/>
        <w:gridCol w:w="985"/>
        <w:gridCol w:w="2660"/>
        <w:gridCol w:w="1026"/>
        <w:gridCol w:w="1759"/>
        <w:gridCol w:w="1817"/>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2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11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任务</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26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4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4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经济合作目标任务</w:t>
            </w:r>
          </w:p>
        </w:tc>
        <w:tc>
          <w:tcPr>
            <w:tcW w:w="26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负责全市投资环境推介工作，统筹组织市级重大投促活动，牵头全市重大招商引资项目的促进与落实，争取在2022年引进到位国内市外资金700亿以上，新签约投资额亿元以上项目100个以上。</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305.16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驻外分局工作目标</w:t>
            </w:r>
          </w:p>
        </w:tc>
        <w:tc>
          <w:tcPr>
            <w:tcW w:w="26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强化驻外分局管理，招引产业项目53个</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乡村振兴工作</w:t>
            </w:r>
          </w:p>
        </w:tc>
        <w:tc>
          <w:tcPr>
            <w:tcW w:w="26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全面完成我局乡村振兴工作</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721.46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721.46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626.62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626.62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4833"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8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111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到位国内市外资金850亿元、同比增长25%；牵头做好中外知名企业四川行等省市重大投资促进平台活动，签约项目30个，签约资金150亿元；积极融入成渝地区双城经济圈建设，落实与成都天府新区、重庆渝北区和合川区签订的协同招商机制，签约成渝地区项目30个、签约资金100亿元；新签约投资额亿元以上项目100个，其中新签约50亿元及以上项目1个；新开工亿元以上项目100个；省级重大平台活动签约项目履约率90%、开工率80%、资金到位率30%。</w:t>
            </w:r>
          </w:p>
        </w:tc>
        <w:tc>
          <w:tcPr>
            <w:tcW w:w="832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全市到位资金的招商引资项目523个，引进到位市外资金751.95亿元；全市新签约项目272个，签约资金893.47亿元，其中亿元以上项目161个；全市新开工亿元以上项目164个。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2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引进到位国内市外资金</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850亿元</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893.47亿元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新开工亿元以上项目</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新签约投资额亿元以上项目</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签约50亿元项目</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省级重大平台活动签约项目履约率</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省级重大平台活动签约项目开工率</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招商引资和经济合作洽谈费用支出情况</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716万元</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全市到位资金招商项目</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500个</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就业情况、创税情况</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带动更多人就业、创更多税收</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就业率提升，税收提升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客商满意度</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11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2022年我单位整体支出绩效自查自评结果良好，全年基本支出保证了单位的正常运转，项目支出保障了重点专项工作的开展，按照 2022年度部门整体支出绩效评价指标体系对我单位预算编制、预算执行、完成结果、信息公开、整改反馈等方面进行了自评，最终得分97.6分。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11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1.2022年财政资金支出中存在个别会计核算不规范的情况。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2.在预算执行过程中，个别项目资金分配不及时，导致支付进度跟不上。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11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进一步加强财务管理。规范会计核算，加强财务人员的专业化培训，做到财务核算规范、依据充分、数据准确。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进一步加强预算执行管理。加强部门支出专项资金管理和项目前期管理，加快项目执行进度。</w:t>
            </w:r>
          </w:p>
        </w:tc>
      </w:tr>
    </w:tbl>
    <w:p>
      <w:pPr>
        <w:keepNext w:val="0"/>
        <w:keepLines w:val="0"/>
        <w:pageBreakBefore w:val="0"/>
        <w:shd w:val="clear"/>
        <w:kinsoku/>
        <w:wordWrap/>
        <w:overflowPunct/>
        <w:topLinePunct w:val="0"/>
        <w:autoSpaceDE/>
        <w:autoSpaceDN/>
        <w:bidi w:val="0"/>
        <w:outlineLvl w:val="9"/>
        <w:rPr>
          <w:rFonts w:hint="eastAsia" w:ascii="宋体" w:hAnsi="宋体" w:eastAsia="仿宋_GB2312" w:cs="宋体"/>
          <w:color w:val="auto"/>
          <w:kern w:val="0"/>
          <w:sz w:val="32"/>
          <w:szCs w:val="32"/>
          <w:highlight w:val="none"/>
          <w:shd w:val="clear" w:color="auto" w:fill="FFFFFF"/>
          <w:lang w:val="zh-CN" w:eastAsia="zh-CN" w:bidi="ar-SA"/>
        </w:rPr>
        <w:sectPr>
          <w:pgSz w:w="16838" w:h="11906" w:orient="landscape"/>
          <w:pgMar w:top="1587" w:right="2098" w:bottom="1474" w:left="1984" w:header="851" w:footer="1587" w:gutter="0"/>
          <w:pgNumType w:fmt="decimal" w:start="1"/>
          <w:cols w:space="0" w:num="1"/>
          <w:rtlGutter w:val="0"/>
          <w:docGrid w:type="lines" w:linePitch="312" w:charSpace="0"/>
        </w:sectPr>
      </w:pP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r>
        <w:rPr>
          <w:rFonts w:hint="eastAsia" w:ascii="宋体" w:hAnsi="宋体" w:eastAsia="方正小标宋简体" w:cs="方正小标宋简体"/>
          <w:b w:val="0"/>
          <w:bCs w:val="0"/>
          <w:color w:val="auto"/>
          <w:kern w:val="2"/>
          <w:sz w:val="44"/>
          <w:szCs w:val="44"/>
          <w:highlight w:val="none"/>
          <w:lang w:val="en-US" w:eastAsia="zh-CN"/>
        </w:rPr>
        <w:t>广元市经济合作和外事局</w:t>
      </w: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r>
        <w:rPr>
          <w:rFonts w:hint="eastAsia" w:ascii="宋体" w:hAnsi="宋体" w:eastAsia="方正小标宋简体" w:cs="方正小标宋简体"/>
          <w:b w:val="0"/>
          <w:bCs w:val="0"/>
          <w:color w:val="auto"/>
          <w:kern w:val="2"/>
          <w:sz w:val="44"/>
          <w:szCs w:val="44"/>
          <w:highlight w:val="none"/>
          <w:lang w:val="en-US" w:eastAsia="zh-CN"/>
        </w:rPr>
        <w:t>关于</w:t>
      </w:r>
      <w:r>
        <w:rPr>
          <w:rFonts w:hint="eastAsia" w:ascii="方正小标宋简体" w:hAnsi="方正小标宋简体" w:eastAsia="方正小标宋简体" w:cs="方正小标宋简体"/>
          <w:b w:val="0"/>
          <w:bCs w:val="0"/>
          <w:color w:val="auto"/>
          <w:kern w:val="2"/>
          <w:sz w:val="44"/>
          <w:szCs w:val="44"/>
          <w:highlight w:val="none"/>
          <w:lang w:val="en-US" w:eastAsia="zh-CN"/>
        </w:rPr>
        <w:t>2022</w:t>
      </w:r>
      <w:r>
        <w:rPr>
          <w:rFonts w:hint="eastAsia" w:ascii="宋体" w:hAnsi="宋体" w:eastAsia="方正小标宋简体" w:cs="方正小标宋简体"/>
          <w:b w:val="0"/>
          <w:bCs w:val="0"/>
          <w:color w:val="auto"/>
          <w:kern w:val="2"/>
          <w:sz w:val="44"/>
          <w:szCs w:val="44"/>
          <w:highlight w:val="none"/>
          <w:lang w:val="en-US" w:eastAsia="zh-CN"/>
        </w:rPr>
        <w:t>年度驻外分局工作经费及</w:t>
      </w: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r>
        <w:rPr>
          <w:rFonts w:hint="eastAsia" w:ascii="宋体" w:hAnsi="宋体" w:eastAsia="方正小标宋简体" w:cs="方正小标宋简体"/>
          <w:b w:val="0"/>
          <w:bCs w:val="0"/>
          <w:color w:val="auto"/>
          <w:kern w:val="2"/>
          <w:sz w:val="44"/>
          <w:szCs w:val="44"/>
          <w:highlight w:val="none"/>
          <w:lang w:val="en-US" w:eastAsia="zh-CN"/>
        </w:rPr>
        <w:t>房租支出绩效自评报告</w:t>
      </w:r>
    </w:p>
    <w:p>
      <w:pPr>
        <w:pStyle w:val="37"/>
        <w:keepNext w:val="0"/>
        <w:keepLines w:val="0"/>
        <w:pageBreakBefore w:val="0"/>
        <w:widowControl w:val="0"/>
        <w:shd w:val="clear"/>
        <w:kinsoku/>
        <w:wordWrap/>
        <w:overflowPunct/>
        <w:topLinePunct w:val="0"/>
        <w:autoSpaceDE/>
        <w:autoSpaceDN/>
        <w:bidi w:val="0"/>
        <w:spacing w:line="576" w:lineRule="exact"/>
        <w:jc w:val="left"/>
        <w:textAlignment w:val="auto"/>
        <w:outlineLvl w:val="9"/>
        <w:rPr>
          <w:rFonts w:hint="eastAsia" w:ascii="宋体" w:hAnsi="宋体" w:eastAsia="仿宋_GB2312" w:cs="仿宋_GB2312"/>
          <w:color w:val="auto"/>
          <w:kern w:val="0"/>
          <w:sz w:val="32"/>
          <w:szCs w:val="32"/>
          <w:highlight w:val="none"/>
          <w:lang w:val="en-US" w:eastAsia="zh-CN" w:bidi="ar-SA"/>
        </w:rPr>
      </w:pP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按照市财政局《关于开展2022年市级部门绩效自评工作的通知》（广财绩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）文件精神和要求，我局结合单位财务管理实际，认真开展了2022年市级部门专项支出绩效评价工作，现将我单位驻外分局工作经费及房租专项工作经费自评工作报告如下：</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一、</w:t>
      </w:r>
      <w:r>
        <w:rPr>
          <w:rFonts w:hint="eastAsia" w:ascii="黑体" w:hAnsi="黑体" w:eastAsia="黑体" w:cs="黑体"/>
          <w:color w:val="auto"/>
          <w:kern w:val="0"/>
          <w:sz w:val="32"/>
          <w:szCs w:val="32"/>
          <w:highlight w:val="none"/>
          <w:lang w:val="zh-CN" w:eastAsia="zh-CN" w:bidi="ar-SA"/>
        </w:rPr>
        <w:t>项目概况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（一）项目基本情况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1．说明项目主管部门（单位）在该项目管理中的职能。</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贯彻执行</w:t>
      </w:r>
      <w:r>
        <w:rPr>
          <w:rFonts w:hint="eastAsia" w:ascii="宋体" w:hAnsi="宋体" w:eastAsia="仿宋_GB2312" w:cs="仿宋_GB2312"/>
          <w:color w:val="auto"/>
          <w:kern w:val="0"/>
          <w:sz w:val="32"/>
          <w:szCs w:val="32"/>
          <w:highlight w:val="none"/>
          <w:lang w:val="en-US" w:eastAsia="zh-CN" w:bidi="ar-SA"/>
        </w:rPr>
        <w:t>相关</w:t>
      </w:r>
      <w:r>
        <w:rPr>
          <w:rFonts w:hint="eastAsia" w:ascii="宋体" w:hAnsi="宋体" w:eastAsia="仿宋_GB2312" w:cs="仿宋_GB2312"/>
          <w:color w:val="auto"/>
          <w:kern w:val="0"/>
          <w:sz w:val="32"/>
          <w:szCs w:val="32"/>
          <w:highlight w:val="none"/>
          <w:lang w:val="zh-CN" w:eastAsia="zh-CN" w:bidi="ar-SA"/>
        </w:rPr>
        <w:t>的政策，负责项目资金规划方案编制、组织实施、监督管理、检查验收和区域绩效目标申报及配合做好项目绩效评价工作。</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项目立项、资金申报的依据。</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根据《中共广元市委 广元市人民政府关于推进投资促进体制机制改革的实施意见》（广委发〔2017〕12号）精神，我单位设立8个驻外分局，驻外分局因招商工作产生的工作经费以及驻外房租费用通过“驻外分局工作及房租”项目中核算。</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资金</w:t>
      </w:r>
      <w:r>
        <w:rPr>
          <w:rFonts w:hint="eastAsia" w:ascii="宋体" w:hAnsi="宋体" w:eastAsia="仿宋_GB2312" w:cs="仿宋_GB2312"/>
          <w:color w:val="auto"/>
          <w:kern w:val="0"/>
          <w:sz w:val="32"/>
          <w:szCs w:val="32"/>
          <w:highlight w:val="none"/>
          <w:lang w:val="en-US" w:eastAsia="zh-CN" w:bidi="ar-SA"/>
        </w:rPr>
        <w:t>或项目</w:t>
      </w:r>
      <w:r>
        <w:rPr>
          <w:rFonts w:hint="eastAsia" w:ascii="宋体" w:hAnsi="宋体" w:eastAsia="仿宋_GB2312" w:cs="仿宋_GB2312"/>
          <w:color w:val="auto"/>
          <w:kern w:val="0"/>
          <w:sz w:val="32"/>
          <w:szCs w:val="32"/>
          <w:highlight w:val="none"/>
          <w:lang w:val="zh-CN" w:eastAsia="zh-CN" w:bidi="ar-SA"/>
        </w:rPr>
        <w:t>管理办法制定情况，资金支持具体项目的条件、范围与支持方式概况。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按照现行项目管理相关制度，严格按照项目绩效管理制度，扎实开展事前绩效评估，加强预算项目前端绩效管控，推动预算安排理性决策动态实施绩效运行监控，真实反映绩效目标实现程度，及时发现目标执行偏差和管理漏洞。深入开展绩效自评；严格按照中共广元市经济合作局党组《关于印发广元市经济合作局驻外分局管理办法的通知》（广经合党组〔</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10</w:t>
      </w:r>
      <w:r>
        <w:rPr>
          <w:rFonts w:hint="eastAsia" w:ascii="宋体" w:hAnsi="宋体" w:eastAsia="仿宋_GB2312" w:cs="仿宋_GB2312"/>
          <w:color w:val="auto"/>
          <w:kern w:val="0"/>
          <w:sz w:val="32"/>
          <w:szCs w:val="32"/>
          <w:highlight w:val="none"/>
          <w:lang w:val="zh-CN" w:eastAsia="zh-CN" w:bidi="ar-SA"/>
        </w:rPr>
        <w:t xml:space="preserve"> 号）等文件要求，实行专款专用，严禁任何形式的挤占、截留、挪用、强年绩效考核情况进行分配。</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（二）项目绩效目标</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1．项目主要内容。</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主要用于市经济合作局北京、成都、浙江、江苏、广东、山东、福建、直属（重庆）8个驻外分局年度开展投资促进各项工作的保障，充分</w:t>
      </w:r>
      <w:r>
        <w:rPr>
          <w:rFonts w:hint="default" w:ascii="宋体" w:hAnsi="宋体" w:eastAsia="仿宋_GB2312" w:cs="仿宋_GB2312"/>
          <w:color w:val="auto"/>
          <w:kern w:val="0"/>
          <w:sz w:val="32"/>
          <w:szCs w:val="32"/>
          <w:highlight w:val="none"/>
          <w:lang w:val="en-US" w:eastAsia="zh-CN" w:bidi="ar-SA"/>
        </w:rPr>
        <w:t>发挥好</w:t>
      </w:r>
      <w:r>
        <w:rPr>
          <w:rFonts w:hint="eastAsia" w:ascii="宋体" w:hAnsi="宋体" w:eastAsia="仿宋_GB2312" w:cs="仿宋_GB2312"/>
          <w:color w:val="auto"/>
          <w:kern w:val="0"/>
          <w:sz w:val="32"/>
          <w:szCs w:val="32"/>
          <w:highlight w:val="none"/>
          <w:lang w:val="zh-CN" w:eastAsia="zh-CN" w:bidi="ar-SA"/>
        </w:rPr>
        <w:t>8个驻外分局</w:t>
      </w:r>
      <w:r>
        <w:rPr>
          <w:rFonts w:hint="default" w:ascii="宋体" w:hAnsi="宋体" w:eastAsia="仿宋_GB2312" w:cs="仿宋_GB2312"/>
          <w:color w:val="auto"/>
          <w:kern w:val="0"/>
          <w:sz w:val="32"/>
          <w:szCs w:val="32"/>
          <w:highlight w:val="none"/>
          <w:lang w:val="en-US" w:eastAsia="zh-CN" w:bidi="ar-SA"/>
        </w:rPr>
        <w:t>的“窗口”“桥梁”和“前沿阵地”作用，捕捉更多有效投资信息</w:t>
      </w:r>
      <w:r>
        <w:rPr>
          <w:rFonts w:hint="eastAsia" w:ascii="宋体" w:hAnsi="宋体" w:eastAsia="仿宋_GB2312" w:cs="仿宋_GB2312"/>
          <w:color w:val="auto"/>
          <w:kern w:val="0"/>
          <w:sz w:val="32"/>
          <w:szCs w:val="32"/>
          <w:highlight w:val="none"/>
          <w:lang w:val="en-US" w:eastAsia="zh-CN" w:bidi="ar-SA"/>
        </w:rPr>
        <w:t>，</w:t>
      </w:r>
      <w:r>
        <w:rPr>
          <w:rFonts w:hint="eastAsia" w:ascii="宋体" w:hAnsi="宋体" w:eastAsia="仿宋_GB2312" w:cs="仿宋_GB2312"/>
          <w:color w:val="auto"/>
          <w:kern w:val="0"/>
          <w:sz w:val="32"/>
          <w:szCs w:val="32"/>
          <w:highlight w:val="none"/>
          <w:lang w:val="zh-CN" w:eastAsia="zh-CN" w:bidi="ar-SA"/>
        </w:rPr>
        <w:t>积极推动一批重大产业项目签约落地、开工建设、投产见效。</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项目应实现的具体绩效目标，</w:t>
      </w:r>
      <w:r>
        <w:rPr>
          <w:rFonts w:hint="eastAsia" w:ascii="宋体" w:hAnsi="宋体" w:eastAsia="仿宋_GB2312" w:cs="仿宋_GB2312"/>
          <w:color w:val="auto"/>
          <w:kern w:val="0"/>
          <w:sz w:val="32"/>
          <w:szCs w:val="32"/>
          <w:highlight w:val="none"/>
          <w:lang w:val="en-US" w:eastAsia="zh-CN" w:bidi="ar-SA"/>
        </w:rPr>
        <w:t>包括但不限于：8个驻外分局要共提供并动态追踪项目信息500条以上；引荐100批次以上企业来广投资考察；签约引进产业项目50个以上。驻外分局动态追踪项目信息中，产业项目信息条数不低于90%。其中铝基材料、绿色家居、食品饮料、生物医药、机械电子战略性新兴产业、军民融合产业项目不低于总任务的60%。项目签约金额中，产业项目签约金额不低于80%。其中铝基材料、绿色家居、食品饮料、生物医药、机械电子和战略性新兴产业项目签约金额不低于总任务的50%。</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分析评价申报内容与实际相符，申报目标合理可行。</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4．</w:t>
      </w:r>
      <w:r>
        <w:rPr>
          <w:rFonts w:hint="eastAsia" w:ascii="宋体" w:hAnsi="宋体" w:eastAsia="仿宋_GB2312" w:cs="仿宋_GB2312"/>
          <w:color w:val="auto"/>
          <w:kern w:val="0"/>
          <w:sz w:val="32"/>
          <w:szCs w:val="32"/>
          <w:highlight w:val="none"/>
          <w:lang w:val="zh-CN" w:eastAsia="zh-CN" w:bidi="ar-SA"/>
        </w:rPr>
        <w:t>资金分配的原则及考虑因素。</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根据</w:t>
      </w:r>
      <w:r>
        <w:rPr>
          <w:rFonts w:hint="eastAsia" w:ascii="宋体" w:hAnsi="宋体" w:eastAsia="仿宋_GB2312" w:cs="仿宋_GB2312"/>
          <w:color w:val="auto"/>
          <w:kern w:val="0"/>
          <w:sz w:val="32"/>
          <w:szCs w:val="32"/>
          <w:highlight w:val="none"/>
          <w:lang w:val="en-US" w:eastAsia="zh-CN" w:bidi="ar-SA"/>
        </w:rPr>
        <w:t>《中共广元市委 广元市人民政府关于推进投资促进体制机制改革的实施意见》（广委发〔2017〕12号）</w:t>
      </w:r>
      <w:r>
        <w:rPr>
          <w:rFonts w:hint="eastAsia" w:ascii="宋体" w:hAnsi="宋体" w:eastAsia="仿宋_GB2312" w:cs="仿宋_GB2312"/>
          <w:color w:val="auto"/>
          <w:kern w:val="0"/>
          <w:sz w:val="32"/>
          <w:szCs w:val="32"/>
          <w:highlight w:val="none"/>
          <w:lang w:val="zh-CN" w:eastAsia="zh-CN" w:bidi="ar-SA"/>
        </w:rPr>
        <w:t>、中共广元市经济合作局党组《关于印发广元市经济合作局驻外分局管理办法的通知》（广经合党组〔</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10</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等文件精神，</w:t>
      </w:r>
      <w:r>
        <w:rPr>
          <w:rFonts w:hint="eastAsia" w:ascii="宋体" w:hAnsi="宋体" w:eastAsia="仿宋_GB2312" w:cs="仿宋_GB2312"/>
          <w:color w:val="auto"/>
          <w:kern w:val="0"/>
          <w:sz w:val="32"/>
          <w:szCs w:val="32"/>
          <w:highlight w:val="none"/>
          <w:lang w:val="zh-CN" w:eastAsia="zh-CN" w:bidi="ar-SA"/>
        </w:rPr>
        <w:t>按照“政策目标明确、分配规范、支出方向协调、绩效结果挂钩”的原则分配。资金分配考虑因素主要为分局当年实际在岗人员，以及当</w:t>
      </w:r>
      <w:r>
        <w:rPr>
          <w:rFonts w:hint="eastAsia" w:ascii="宋体" w:hAnsi="宋体" w:eastAsia="仿宋_GB2312" w:cs="仿宋_GB2312"/>
          <w:color w:val="auto"/>
          <w:kern w:val="0"/>
          <w:sz w:val="32"/>
          <w:szCs w:val="32"/>
          <w:highlight w:val="none"/>
          <w:lang w:val="en-US" w:eastAsia="zh-CN" w:bidi="ar-SA"/>
        </w:rPr>
        <w:t>财政支出绩效评价自查工作，成立了由局主要领导为组长，党组成员、财务分管领导为副组长，区域合作科负责人、财务人员为成员的各驻外分局工作经费及房租项目支出绩效评价工作领导小组。由财务分管领导牵头负责部门财政支出绩效评价自查各项工作。</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（三）项目自评步骤及方法</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1. 强化组织领导。为做好部门财政支出绩效评价自查工作，成立了由局主要领导为组长，党组成员、财务分管领导为副组长，区域合作科负责人、财务人员为成员的各驻外分局工作经费及房租项目支出绩效评价工作领导小组。由财务分管领导牵头负责部门财政支出绩效评价自查各项工作。</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2. 实施步骤分为两个阶段：一是前期准备阶段。组织认真学习《关于开展2022年市级部门绩效自评工作的通知》（广财绩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号）文件精神和要求，提高对开展部门支出绩效评价工作的认识，统一思想，确保自查工作的顺利开展。二是自查工作阶段。对市经和外事局2022年驻外分局工作经费收入、支出、预算编制、财务管理、项目资金使用投入产出等情况进行认真的自查。根据“坚持定量优先、简便有效原则”，我局对2022年度部门支出绩效评价主要采用了成本效益分析法、比较法：一是成本效益分析法。评价2022年度部门财政支出与招商引资工作取得的成效进行对比分析以评价绩效目标实现程度。二是比较法。通过对绩效目标与实施效果、历史与当期情况同类支出的比较，综合分析绩效目标实现程度。</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二、项目资金申报及使用情况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（一）项目资金申报及批复情况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年初申报该项目预算</w:t>
      </w:r>
      <w:r>
        <w:rPr>
          <w:rFonts w:hint="eastAsia" w:ascii="宋体" w:hAnsi="宋体" w:eastAsia="仿宋_GB2312" w:cs="仿宋_GB2312"/>
          <w:color w:val="auto"/>
          <w:kern w:val="0"/>
          <w:sz w:val="32"/>
          <w:szCs w:val="32"/>
          <w:highlight w:val="none"/>
          <w:lang w:val="en-US" w:eastAsia="zh-CN" w:bidi="ar-SA"/>
        </w:rPr>
        <w:t>316万元，实际批复预算316万元。</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（二）资金计划、到位及使用情况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1．资金计划。全年计划使用资金</w:t>
      </w:r>
      <w:r>
        <w:rPr>
          <w:rFonts w:hint="eastAsia" w:ascii="宋体" w:hAnsi="宋体" w:eastAsia="仿宋_GB2312" w:cs="仿宋_GB2312"/>
          <w:color w:val="auto"/>
          <w:kern w:val="0"/>
          <w:sz w:val="32"/>
          <w:szCs w:val="32"/>
          <w:highlight w:val="none"/>
          <w:lang w:val="en-US" w:eastAsia="zh-CN" w:bidi="ar-SA"/>
        </w:rPr>
        <w:t>316万元，其中包括8个驻外分局房租费用100万元，工作经费216万元。</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2．资金到位。全年到位资金</w:t>
      </w:r>
      <w:r>
        <w:rPr>
          <w:rFonts w:hint="eastAsia" w:ascii="宋体" w:hAnsi="宋体" w:eastAsia="仿宋_GB2312" w:cs="仿宋_GB2312"/>
          <w:color w:val="auto"/>
          <w:kern w:val="0"/>
          <w:sz w:val="32"/>
          <w:szCs w:val="32"/>
          <w:highlight w:val="none"/>
          <w:lang w:val="en-US" w:eastAsia="zh-CN" w:bidi="ar-SA"/>
        </w:rPr>
        <w:t>316万元</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3．资金使用。截止</w:t>
      </w:r>
      <w:r>
        <w:rPr>
          <w:rFonts w:hint="eastAsia" w:ascii="宋体" w:hAnsi="宋体" w:eastAsia="仿宋_GB2312" w:cs="仿宋_GB2312"/>
          <w:color w:val="auto"/>
          <w:kern w:val="0"/>
          <w:sz w:val="32"/>
          <w:szCs w:val="32"/>
          <w:highlight w:val="none"/>
          <w:lang w:val="en-US" w:eastAsia="zh-CN" w:bidi="ar-SA"/>
        </w:rPr>
        <w:t>2021年12月31日，该项目资金支出总额316万元，预算执行率100%。在支付过程中严格按照该项目使用要求进行资金拨付，资金支付合法合规，与预算相符，无挤占、超标准使用该资金的情况。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（三）项目财务管理情况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我单位严格</w:t>
      </w:r>
      <w:r>
        <w:rPr>
          <w:rFonts w:hint="eastAsia" w:ascii="宋体" w:hAnsi="宋体" w:eastAsia="仿宋_GB2312" w:cs="仿宋_GB2312"/>
          <w:color w:val="auto"/>
          <w:kern w:val="0"/>
          <w:sz w:val="32"/>
          <w:szCs w:val="32"/>
          <w:highlight w:val="none"/>
          <w:lang w:val="zh-CN" w:eastAsia="zh-CN" w:bidi="ar-SA"/>
        </w:rPr>
        <w:t>按照中共广元市经济合作局党组关于印发《广元市经济合作局驻外分局管理制度》（</w:t>
      </w:r>
      <w:r>
        <w:rPr>
          <w:rFonts w:hint="eastAsia" w:ascii="宋体" w:hAnsi="宋体" w:eastAsia="仿宋_GB2312" w:cs="仿宋_GB2312"/>
          <w:color w:val="auto"/>
          <w:kern w:val="0"/>
          <w:sz w:val="32"/>
          <w:szCs w:val="32"/>
          <w:highlight w:val="none"/>
          <w:lang w:val="en-US" w:eastAsia="zh-CN" w:bidi="ar-SA"/>
        </w:rPr>
        <w:t>广经合党组</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10号）</w:t>
      </w:r>
      <w:r>
        <w:rPr>
          <w:rFonts w:hint="eastAsia" w:ascii="宋体" w:hAnsi="宋体" w:eastAsia="仿宋_GB2312" w:cs="仿宋_GB2312"/>
          <w:color w:val="auto"/>
          <w:kern w:val="0"/>
          <w:sz w:val="32"/>
          <w:szCs w:val="32"/>
          <w:highlight w:val="none"/>
          <w:lang w:val="zh-CN" w:eastAsia="zh-CN" w:bidi="ar-SA"/>
        </w:rPr>
        <w:t>文件精神，严格执行财务管理制度，按照“专款专用，注重实效”的原则进行管理。严格执行</w:t>
      </w:r>
      <w:r>
        <w:rPr>
          <w:rFonts w:hint="eastAsia" w:ascii="宋体" w:hAnsi="宋体" w:eastAsia="仿宋_GB2312" w:cs="仿宋_GB2312"/>
          <w:color w:val="auto"/>
          <w:kern w:val="0"/>
          <w:sz w:val="32"/>
          <w:szCs w:val="32"/>
          <w:highlight w:val="none"/>
          <w:lang w:val="en-US" w:eastAsia="zh-CN" w:bidi="ar-SA"/>
        </w:rPr>
        <w:t>财务</w:t>
      </w:r>
      <w:r>
        <w:rPr>
          <w:rFonts w:hint="eastAsia" w:ascii="宋体" w:hAnsi="宋体" w:eastAsia="仿宋_GB2312" w:cs="仿宋_GB2312"/>
          <w:color w:val="auto"/>
          <w:kern w:val="0"/>
          <w:sz w:val="32"/>
          <w:szCs w:val="32"/>
          <w:highlight w:val="none"/>
          <w:lang w:val="zh-CN" w:eastAsia="zh-CN" w:bidi="ar-SA"/>
        </w:rPr>
        <w:t>管理及资金支付制度，从制度上为规范资金管理提供保障，促进了资金使用管理的规范性、安全性和有效性。</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三、项目实施及管理情况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（一）项目组织架构及实施流程。</w:t>
      </w:r>
      <w:r>
        <w:rPr>
          <w:rFonts w:hint="default" w:ascii="宋体" w:hAnsi="宋体" w:eastAsia="仿宋_GB2312" w:cs="仿宋_GB2312"/>
          <w:color w:val="auto"/>
          <w:kern w:val="0"/>
          <w:sz w:val="32"/>
          <w:szCs w:val="32"/>
          <w:highlight w:val="none"/>
          <w:lang w:val="zh-CN" w:eastAsia="zh-CN" w:bidi="ar-SA"/>
        </w:rPr>
        <w:t>严格按照</w:t>
      </w:r>
      <w:r>
        <w:rPr>
          <w:rFonts w:hint="eastAsia" w:ascii="宋体" w:hAnsi="宋体" w:eastAsia="仿宋_GB2312" w:cs="仿宋_GB2312"/>
          <w:color w:val="auto"/>
          <w:kern w:val="0"/>
          <w:sz w:val="32"/>
          <w:szCs w:val="32"/>
          <w:highlight w:val="none"/>
          <w:lang w:val="zh-CN" w:eastAsia="zh-CN" w:bidi="ar-SA"/>
        </w:rPr>
        <w:t>单位相关</w:t>
      </w:r>
      <w:r>
        <w:rPr>
          <w:rFonts w:hint="default" w:ascii="宋体" w:hAnsi="宋体" w:eastAsia="仿宋_GB2312" w:cs="仿宋_GB2312"/>
          <w:color w:val="auto"/>
          <w:kern w:val="0"/>
          <w:sz w:val="32"/>
          <w:szCs w:val="32"/>
          <w:highlight w:val="none"/>
          <w:lang w:val="zh-CN" w:eastAsia="zh-CN" w:bidi="ar-SA"/>
        </w:rPr>
        <w:t>财务内控制度</w:t>
      </w:r>
      <w:r>
        <w:rPr>
          <w:rFonts w:hint="eastAsia" w:ascii="宋体" w:hAnsi="宋体" w:eastAsia="仿宋_GB2312" w:cs="仿宋_GB2312"/>
          <w:color w:val="auto"/>
          <w:kern w:val="0"/>
          <w:sz w:val="32"/>
          <w:szCs w:val="32"/>
          <w:highlight w:val="none"/>
          <w:lang w:val="zh-CN" w:eastAsia="zh-CN" w:bidi="ar-SA"/>
        </w:rPr>
        <w:t>、</w:t>
      </w:r>
      <w:r>
        <w:rPr>
          <w:rFonts w:hint="default" w:ascii="宋体" w:hAnsi="宋体" w:eastAsia="仿宋_GB2312" w:cs="仿宋_GB2312"/>
          <w:color w:val="auto"/>
          <w:kern w:val="0"/>
          <w:sz w:val="32"/>
          <w:szCs w:val="32"/>
          <w:highlight w:val="none"/>
          <w:lang w:val="zh-CN" w:eastAsia="zh-CN" w:bidi="ar-SA"/>
        </w:rPr>
        <w:t>财务报销流程进行管理，</w:t>
      </w:r>
      <w:r>
        <w:rPr>
          <w:rFonts w:hint="eastAsia" w:ascii="宋体" w:hAnsi="宋体" w:eastAsia="仿宋_GB2312" w:cs="仿宋_GB2312"/>
          <w:color w:val="auto"/>
          <w:kern w:val="0"/>
          <w:sz w:val="32"/>
          <w:szCs w:val="32"/>
          <w:highlight w:val="none"/>
          <w:lang w:val="zh-CN" w:eastAsia="zh-CN" w:bidi="ar-SA"/>
        </w:rPr>
        <w:t>严格按照驻外分局管理制度</w:t>
      </w:r>
      <w:r>
        <w:rPr>
          <w:rFonts w:hint="default" w:ascii="宋体" w:hAnsi="宋体" w:eastAsia="仿宋_GB2312" w:cs="仿宋_GB2312"/>
          <w:color w:val="auto"/>
          <w:kern w:val="0"/>
          <w:sz w:val="32"/>
          <w:szCs w:val="32"/>
          <w:highlight w:val="none"/>
          <w:lang w:val="zh-CN" w:eastAsia="zh-CN" w:bidi="ar-SA"/>
        </w:rPr>
        <w:t>保证项目按照工作需要实施。</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（二）项目管理情况。</w:t>
      </w:r>
      <w:r>
        <w:rPr>
          <w:rFonts w:hint="eastAsia" w:ascii="宋体" w:hAnsi="宋体" w:eastAsia="仿宋_GB2312" w:cs="仿宋_GB2312"/>
          <w:color w:val="auto"/>
          <w:kern w:val="0"/>
          <w:sz w:val="32"/>
          <w:szCs w:val="32"/>
          <w:highlight w:val="none"/>
          <w:lang w:val="zh-CN" w:eastAsia="zh-CN" w:bidi="ar-SA"/>
        </w:rPr>
        <w:t>制定了中共广元市经济合作局党组关于印发《广元市经济合作局驻外分局管理制度》（</w:t>
      </w:r>
      <w:r>
        <w:rPr>
          <w:rFonts w:hint="eastAsia" w:ascii="宋体" w:hAnsi="宋体" w:eastAsia="仿宋_GB2312" w:cs="仿宋_GB2312"/>
          <w:color w:val="auto"/>
          <w:kern w:val="0"/>
          <w:sz w:val="32"/>
          <w:szCs w:val="32"/>
          <w:highlight w:val="none"/>
          <w:lang w:val="en-US" w:eastAsia="zh-CN" w:bidi="ar-SA"/>
        </w:rPr>
        <w:t>广经合党组</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10号）</w:t>
      </w:r>
      <w:r>
        <w:rPr>
          <w:rFonts w:hint="eastAsia" w:ascii="宋体" w:hAnsi="宋体" w:eastAsia="仿宋_GB2312" w:cs="仿宋_GB2312"/>
          <w:color w:val="auto"/>
          <w:kern w:val="0"/>
          <w:sz w:val="32"/>
          <w:szCs w:val="32"/>
          <w:highlight w:val="none"/>
          <w:lang w:val="zh-CN" w:eastAsia="zh-CN" w:bidi="ar-SA"/>
        </w:rPr>
        <w:t>，强化对驻外分局工作经费及房租费用的管理。各驻外分局工作经费及房租项目主要用于各驻外分局办公和生活用房房租、招商引资活动、重大投促活动中的商务接待、差旅、交通费用等。</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（三）项目监管情况。</w:t>
      </w:r>
      <w:r>
        <w:rPr>
          <w:rFonts w:hint="eastAsia" w:ascii="宋体" w:hAnsi="宋体" w:eastAsia="仿宋_GB2312" w:cs="仿宋_GB2312"/>
          <w:color w:val="auto"/>
          <w:kern w:val="0"/>
          <w:sz w:val="32"/>
          <w:szCs w:val="32"/>
          <w:highlight w:val="none"/>
          <w:lang w:val="en-US" w:eastAsia="zh-CN" w:bidi="ar-SA"/>
        </w:rPr>
        <w:t>我单位除严格遵守财经纪律以及相关管理制度以外，还配合市纪委监委派驻市政府办纪检组不定期抽查监督，确保项目使用合理、合规</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四、项目绩效情况</w:t>
      </w:r>
      <w:r>
        <w:rPr>
          <w:rFonts w:hint="eastAsia" w:ascii="黑体" w:hAnsi="黑体" w:eastAsia="黑体" w:cs="黑体"/>
          <w:color w:val="auto"/>
          <w:kern w:val="0"/>
          <w:sz w:val="32"/>
          <w:szCs w:val="32"/>
          <w:highlight w:val="none"/>
          <w:lang w:val="zh-CN" w:eastAsia="zh-CN" w:bidi="ar-SA"/>
        </w:rPr>
        <w:tab/>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（一）项目完成情况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完成了年初预算申报目标绩效任务，并同时保障了驻外分局职工权益，圆满完成了全年招商引资任务，促进了广元经济发展。</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（二）项目效益情况</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分项目类别</w:t>
      </w:r>
      <w:r>
        <w:rPr>
          <w:rFonts w:hint="eastAsia" w:ascii="宋体" w:hAnsi="宋体" w:eastAsia="仿宋_GB2312" w:cs="仿宋_GB2312"/>
          <w:color w:val="auto"/>
          <w:kern w:val="0"/>
          <w:sz w:val="32"/>
          <w:szCs w:val="32"/>
          <w:highlight w:val="none"/>
          <w:lang w:val="zh-CN" w:eastAsia="zh-CN" w:bidi="ar-SA"/>
        </w:rPr>
        <w:t>从项目经济效益、社会效益、生态效益、可持续效益以及服务对象满意度等方面对项目效益进行全面分析评价。</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五、评价结论及建议</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（一）评价结论</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年我单位驻外分局工作经费及房租专项经费支出绩效自查自评结果良好，全年基本支出保证了驻外分局工作的正常运转，按照2021年度部门驻外分局工作经费及房租专项经费支出绩效评价指标体系对我单位预算编制、预算执行、完成结果、信息公开、整改反馈等方面进行了自评，最终得分</w:t>
      </w:r>
      <w:r>
        <w:rPr>
          <w:rFonts w:hint="eastAsia" w:ascii="宋体" w:hAnsi="宋体" w:eastAsia="仿宋_GB2312" w:cs="仿宋_GB2312"/>
          <w:color w:val="auto"/>
          <w:kern w:val="0"/>
          <w:sz w:val="32"/>
          <w:szCs w:val="32"/>
          <w:highlight w:val="none"/>
          <w:lang w:val="en-US" w:eastAsia="zh-CN" w:bidi="ar-SA"/>
        </w:rPr>
        <w:t>97.5</w:t>
      </w:r>
      <w:r>
        <w:rPr>
          <w:rFonts w:hint="eastAsia" w:ascii="宋体" w:hAnsi="宋体" w:eastAsia="仿宋_GB2312" w:cs="仿宋_GB2312"/>
          <w:color w:val="auto"/>
          <w:kern w:val="0"/>
          <w:sz w:val="32"/>
          <w:szCs w:val="32"/>
          <w:highlight w:val="none"/>
          <w:lang w:val="zh-CN" w:eastAsia="zh-CN" w:bidi="ar-SA"/>
        </w:rPr>
        <w:t>分。</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（二）存在的问题</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相关管理制度不够完善，驻外分局经费管理难度较大。</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（三）相关建议</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default" w:ascii="宋体" w:hAnsi="宋体" w:eastAsia="仿宋_GB2312" w:cs="仿宋_GB2312"/>
          <w:color w:val="auto"/>
          <w:kern w:val="0"/>
          <w:sz w:val="32"/>
          <w:szCs w:val="32"/>
          <w:highlight w:val="none"/>
          <w:lang w:val="en-US" w:eastAsia="zh-CN" w:bidi="ar-SA"/>
        </w:rPr>
        <w:t>进一步健全和完善财务管理制度</w:t>
      </w:r>
      <w:r>
        <w:rPr>
          <w:rFonts w:hint="eastAsia" w:ascii="宋体" w:hAnsi="宋体" w:eastAsia="仿宋_GB2312" w:cs="仿宋_GB2312"/>
          <w:color w:val="auto"/>
          <w:kern w:val="0"/>
          <w:sz w:val="32"/>
          <w:szCs w:val="32"/>
          <w:highlight w:val="none"/>
          <w:lang w:val="en-US" w:eastAsia="zh-CN" w:bidi="ar-SA"/>
        </w:rPr>
        <w:t>、驻外分局管理制度</w:t>
      </w:r>
      <w:r>
        <w:rPr>
          <w:rFonts w:hint="default" w:ascii="宋体" w:hAnsi="宋体" w:eastAsia="仿宋_GB2312" w:cs="仿宋_GB2312"/>
          <w:color w:val="auto"/>
          <w:kern w:val="0"/>
          <w:sz w:val="32"/>
          <w:szCs w:val="32"/>
          <w:highlight w:val="none"/>
          <w:lang w:val="en-US" w:eastAsia="zh-CN" w:bidi="ar-SA"/>
        </w:rPr>
        <w:t>及内部控制制度，创新管理手段，用新思路、新方法，改进完善财务管理方法</w:t>
      </w:r>
      <w:r>
        <w:rPr>
          <w:rFonts w:hint="eastAsia" w:ascii="宋体" w:hAnsi="宋体" w:eastAsia="仿宋_GB2312" w:cs="仿宋_GB2312"/>
          <w:color w:val="auto"/>
          <w:kern w:val="0"/>
          <w:sz w:val="32"/>
          <w:szCs w:val="32"/>
          <w:highlight w:val="none"/>
          <w:lang w:val="en-US" w:eastAsia="zh-CN" w:bidi="ar-SA"/>
        </w:rPr>
        <w:t>。</w:t>
      </w: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color w:val="auto"/>
          <w:kern w:val="0"/>
          <w:sz w:val="32"/>
          <w:szCs w:val="32"/>
          <w:highlight w:val="none"/>
          <w:lang w:val="en-US" w:eastAsia="zh-CN" w:bidi="ar-SA"/>
        </w:rPr>
      </w:pPr>
    </w:p>
    <w:p>
      <w:pPr>
        <w:pStyle w:val="37"/>
        <w:keepNext w:val="0"/>
        <w:keepLines w:val="0"/>
        <w:pageBreakBefore w:val="0"/>
        <w:widowControl w:val="0"/>
        <w:shd w:val="clear"/>
        <w:kinsoku/>
        <w:wordWrap/>
        <w:overflowPunct/>
        <w:topLinePunct w:val="0"/>
        <w:autoSpaceDE/>
        <w:autoSpaceDN/>
        <w:bidi w:val="0"/>
        <w:spacing w:line="576" w:lineRule="exact"/>
        <w:ind w:firstLine="640" w:firstLineChars="200"/>
        <w:jc w:val="left"/>
        <w:textAlignment w:val="auto"/>
        <w:outlineLvl w:val="9"/>
        <w:rPr>
          <w:rFonts w:hint="eastAsia" w:ascii="宋体" w:hAnsi="宋体" w:eastAsia="仿宋_GB2312" w:cs="仿宋_GB2312"/>
          <w:b w:val="0"/>
          <w:bCs w:val="0"/>
          <w:color w:val="auto"/>
          <w:kern w:val="0"/>
          <w:sz w:val="32"/>
          <w:szCs w:val="32"/>
          <w:highlight w:val="none"/>
          <w:u w:val="none"/>
          <w:shd w:val="clear" w:color="auto" w:fill="FFFFFF"/>
          <w:lang w:val="zh-CN" w:eastAsia="zh-CN"/>
        </w:rPr>
      </w:pPr>
      <w:r>
        <w:rPr>
          <w:rFonts w:hint="eastAsia" w:ascii="宋体" w:hAnsi="宋体" w:eastAsia="仿宋_GB2312" w:cs="仿宋_GB2312"/>
          <w:color w:val="auto"/>
          <w:kern w:val="0"/>
          <w:sz w:val="32"/>
          <w:szCs w:val="32"/>
          <w:highlight w:val="none"/>
          <w:lang w:val="en-US" w:eastAsia="zh-CN" w:bidi="ar-SA"/>
        </w:rPr>
        <w:t>附件：部门预算、专项资金预算项目支出绩效目标自评表</w:t>
      </w:r>
    </w:p>
    <w:p>
      <w:pPr>
        <w:keepNext w:val="0"/>
        <w:keepLines w:val="0"/>
        <w:pageBreakBefore w:val="0"/>
        <w:widowControl/>
        <w:shd w:val="clear"/>
        <w:kinsoku/>
        <w:wordWrap/>
        <w:overflowPunct/>
        <w:topLinePunct w:val="0"/>
        <w:autoSpaceDE/>
        <w:autoSpaceDN/>
        <w:bidi w:val="0"/>
        <w:jc w:val="left"/>
        <w:outlineLvl w:val="9"/>
        <w:rPr>
          <w:rStyle w:val="22"/>
          <w:rFonts w:ascii="黑体" w:hAnsi="黑体" w:eastAsia="黑体"/>
          <w:b w:val="0"/>
          <w:color w:val="auto"/>
          <w:highlight w:val="none"/>
        </w:rPr>
        <w:sectPr>
          <w:pgSz w:w="11906" w:h="16838"/>
          <w:pgMar w:top="2098" w:right="1474" w:bottom="1984" w:left="1587" w:header="851" w:footer="1587" w:gutter="0"/>
          <w:pgNumType w:fmt="decimal" w:start="1"/>
          <w:cols w:space="0" w:num="1"/>
          <w:rtlGutter w:val="0"/>
          <w:docGrid w:type="lines" w:linePitch="312" w:charSpace="0"/>
        </w:sectPr>
      </w:pPr>
    </w:p>
    <w:p>
      <w:pPr>
        <w:pStyle w:val="2"/>
        <w:keepNext w:val="0"/>
        <w:keepLines w:val="0"/>
        <w:pageBreakBefore w:val="0"/>
        <w:shd w:val="clear"/>
        <w:kinsoku/>
        <w:wordWrap/>
        <w:overflowPunct/>
        <w:topLinePunct w:val="0"/>
        <w:autoSpaceDE/>
        <w:autoSpaceDN/>
        <w:bidi w:val="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2"/>
        <w:keepNext w:val="0"/>
        <w:keepLines w:val="0"/>
        <w:pageBreakBefore w:val="0"/>
        <w:shd w:val="clear"/>
        <w:kinsoku/>
        <w:wordWrap/>
        <w:overflowPunct/>
        <w:topLinePunct w:val="0"/>
        <w:autoSpaceDE/>
        <w:autoSpaceDN/>
        <w:bidi w:val="0"/>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部门预算、专项资金预算项目支出绩效目标自评表（2022年度）</w:t>
      </w: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6"/>
        <w:gridCol w:w="2015"/>
        <w:gridCol w:w="1271"/>
        <w:gridCol w:w="1146"/>
        <w:gridCol w:w="630"/>
        <w:gridCol w:w="847"/>
        <w:gridCol w:w="542"/>
        <w:gridCol w:w="1106"/>
        <w:gridCol w:w="811"/>
        <w:gridCol w:w="683"/>
        <w:gridCol w:w="1211"/>
        <w:gridCol w:w="3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驻外分局工作经费及房租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主管部门（盖章）</w:t>
            </w:r>
          </w:p>
        </w:tc>
        <w:tc>
          <w:tcPr>
            <w:tcW w:w="15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实施单位 （盖章）</w:t>
            </w:r>
          </w:p>
        </w:tc>
        <w:tc>
          <w:tcPr>
            <w:tcW w:w="20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项目基本情况</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1.项目年度目标完成情况</w:t>
            </w:r>
          </w:p>
        </w:tc>
        <w:tc>
          <w:tcPr>
            <w:tcW w:w="15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项目年度目标</w:t>
            </w:r>
          </w:p>
        </w:tc>
        <w:tc>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b/>
                <w:bCs/>
                <w:i w:val="0"/>
                <w:iCs w:val="0"/>
                <w:color w:val="auto"/>
                <w:sz w:val="21"/>
                <w:szCs w:val="21"/>
                <w:highlight w:val="none"/>
                <w:u w:val="none"/>
              </w:rPr>
            </w:pPr>
          </w:p>
        </w:tc>
        <w:tc>
          <w:tcPr>
            <w:tcW w:w="15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保障8个驻外分局正常开展投资促进各项工作，驻外分局要共提供并动态追踪项目信息500条以上；引荐100批次以上企业来广投资考察；签约引进产业项目50个以上。</w:t>
            </w:r>
          </w:p>
        </w:tc>
        <w:tc>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保障了8个驻外分局正常开展投资促进各项工作，全年共提供并动态追踪项目信息500条以上；引荐100批次以上企业来广投资考察；签约引进产业项目68个。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2.项目实施内容及过程概述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主要用于市经济合作局北京、成都、浙江、江苏、广东、山东、福建、直属等8个驻外分局年度开展投资促进各项工作的保障，深入实施“大开放大合作”战略，聚力项目投资、产业发展、乡村振兴经济建设“三大主战场”，积极推动一批重大产业项目签约落地、开工建设、投产见效。通过市经济合作局8个驻外分局积极有效工作，为全市决战决胜整体连片贫困到同步全面小康跨越、加快建设川陕甘结合部区域中心城市和四川北向东出桥头堡提供扎实的项目支撑、产业支撑、发展支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预算执行情况（10分）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年度预算数（万元）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年初预算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调整后</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预算数</w:t>
            </w: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总额</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其中：财政资金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财政专户管理资金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绩效指标（90分）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二级指标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指标性质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度量单位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效益指标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Style w:val="40"/>
                <w:color w:val="auto"/>
                <w:sz w:val="21"/>
                <w:szCs w:val="21"/>
                <w:highlight w:val="none"/>
                <w:lang w:val="en-US" w:eastAsia="zh-CN" w:bidi="ar"/>
              </w:rPr>
            </w:pPr>
            <w:r>
              <w:rPr>
                <w:rStyle w:val="40"/>
                <w:color w:val="auto"/>
                <w:sz w:val="21"/>
                <w:szCs w:val="21"/>
                <w:highlight w:val="none"/>
                <w:lang w:val="en-US" w:eastAsia="zh-CN" w:bidi="ar"/>
              </w:rPr>
              <w:t>社会效益</w:t>
            </w:r>
          </w:p>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宣传、推介我市优势资源，营造优良营商环境</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定性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优良中低差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质量指标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引荐企业赴广考察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效益指标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Style w:val="40"/>
                <w:color w:val="auto"/>
                <w:sz w:val="21"/>
                <w:szCs w:val="21"/>
                <w:highlight w:val="none"/>
                <w:lang w:val="en-US" w:eastAsia="zh-CN" w:bidi="ar"/>
              </w:rPr>
            </w:pPr>
            <w:r>
              <w:rPr>
                <w:rStyle w:val="40"/>
                <w:color w:val="auto"/>
                <w:sz w:val="21"/>
                <w:szCs w:val="21"/>
                <w:highlight w:val="none"/>
                <w:lang w:val="en-US" w:eastAsia="zh-CN" w:bidi="ar"/>
              </w:rPr>
              <w:t>经济效益</w:t>
            </w:r>
          </w:p>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签约引进产业项目</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时效指标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全年目标任务完成情况</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质量指标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产业项目签约金额</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164.75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质量指标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产业项目信息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满意度指标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服务对象满意度指标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服务对象满意度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质量指标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提供动态项目信息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质量指标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新兴产业引进项目</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Style w:val="40"/>
                <w:color w:val="auto"/>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9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部门（单位）自评结论</w:t>
            </w:r>
          </w:p>
        </w:tc>
        <w:tc>
          <w:tcPr>
            <w:tcW w:w="463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2022年我单位驻外分局工作经费及房租专项经费支出绩效自查自评结果良好，全年基本支出保证了驻外分局工作的正常运转，按照 2021年度部门驻外分局工作经费及房租专项经费支出绩效评价指标体系对我单位预算编制、预算执行、完成结果、信息公开、整改反馈等方面进行了自评，整体情况较好。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部门（单位）自评存在问题</w:t>
            </w:r>
          </w:p>
        </w:tc>
        <w:tc>
          <w:tcPr>
            <w:tcW w:w="463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相关管理制度不够完善，驻外分局经费管理难度较大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部门（单位）自评改进措施</w:t>
            </w:r>
          </w:p>
        </w:tc>
        <w:tc>
          <w:tcPr>
            <w:tcW w:w="463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进一步健全和完善财务管理制度、驻外分局管理制度及内部控制制度，创新管理手段，用新思路、新方法，改进完善财务管理方法。</w:t>
            </w:r>
          </w:p>
        </w:tc>
      </w:tr>
    </w:tbl>
    <w:p>
      <w:pPr>
        <w:pStyle w:val="2"/>
        <w:keepNext w:val="0"/>
        <w:keepLines w:val="0"/>
        <w:pageBreakBefore w:val="0"/>
        <w:shd w:val="clear"/>
        <w:kinsoku/>
        <w:wordWrap/>
        <w:overflowPunct/>
        <w:topLinePunct w:val="0"/>
        <w:autoSpaceDE/>
        <w:autoSpaceDN/>
        <w:bidi w:val="0"/>
        <w:outlineLvl w:val="9"/>
        <w:rPr>
          <w:rFonts w:hint="eastAsia"/>
          <w:color w:val="auto"/>
          <w:highlight w:val="none"/>
        </w:rPr>
      </w:pPr>
    </w:p>
    <w:p>
      <w:pPr>
        <w:pStyle w:val="2"/>
        <w:keepNext w:val="0"/>
        <w:keepLines w:val="0"/>
        <w:pageBreakBefore w:val="0"/>
        <w:shd w:val="clear"/>
        <w:kinsoku/>
        <w:wordWrap/>
        <w:overflowPunct/>
        <w:topLinePunct w:val="0"/>
        <w:autoSpaceDE/>
        <w:autoSpaceDN/>
        <w:bidi w:val="0"/>
        <w:outlineLvl w:val="9"/>
        <w:rPr>
          <w:color w:val="auto"/>
          <w:highlight w:val="none"/>
        </w:rPr>
        <w:sectPr>
          <w:pgSz w:w="16838" w:h="11906" w:orient="landscape"/>
          <w:pgMar w:top="1134" w:right="1134" w:bottom="1134" w:left="1134" w:header="851" w:footer="992" w:gutter="0"/>
          <w:pgNumType w:fmt="decimal"/>
          <w:cols w:space="0" w:num="1"/>
          <w:titlePg/>
          <w:rtlGutter w:val="0"/>
          <w:docGrid w:type="lines" w:linePitch="321" w:charSpace="0"/>
        </w:sectPr>
      </w:pPr>
    </w:p>
    <w:p>
      <w:pPr>
        <w:pStyle w:val="37"/>
        <w:keepNext w:val="0"/>
        <w:keepLines w:val="0"/>
        <w:pageBreakBefore w:val="0"/>
        <w:widowControl w:val="0"/>
        <w:shd w:val="clear"/>
        <w:kinsoku/>
        <w:wordWrap/>
        <w:overflowPunct/>
        <w:topLinePunct w:val="0"/>
        <w:autoSpaceDE/>
        <w:autoSpaceDN/>
        <w:bidi w:val="0"/>
        <w:spacing w:line="576" w:lineRule="exact"/>
        <w:ind w:left="0" w:leftChars="0" w:firstLine="880" w:firstLineChars="200"/>
        <w:jc w:val="both"/>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p>
    <w:p>
      <w:pPr>
        <w:pStyle w:val="37"/>
        <w:keepNext w:val="0"/>
        <w:keepLines w:val="0"/>
        <w:pageBreakBefore w:val="0"/>
        <w:widowControl w:val="0"/>
        <w:shd w:val="clear"/>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广元市经济合作和外事局</w:t>
      </w:r>
    </w:p>
    <w:p>
      <w:pPr>
        <w:pStyle w:val="37"/>
        <w:keepNext w:val="0"/>
        <w:keepLines w:val="0"/>
        <w:pageBreakBefore w:val="0"/>
        <w:widowControl w:val="0"/>
        <w:shd w:val="clear"/>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关于2022年度乡村振兴项目支出绩效</w:t>
      </w:r>
    </w:p>
    <w:p>
      <w:pPr>
        <w:pStyle w:val="37"/>
        <w:keepNext w:val="0"/>
        <w:keepLines w:val="0"/>
        <w:pageBreakBefore w:val="0"/>
        <w:widowControl w:val="0"/>
        <w:shd w:val="clear"/>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 评 报 告</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880" w:firstLineChars="200"/>
        <w:jc w:val="both"/>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p>
    <w:p>
      <w:pPr>
        <w:pStyle w:val="37"/>
        <w:keepNext w:val="0"/>
        <w:keepLines w:val="0"/>
        <w:pageBreakBefore w:val="0"/>
        <w:widowControl w:val="0"/>
        <w:shd w:val="clear"/>
        <w:kinsoku/>
        <w:wordWrap/>
        <w:overflowPunct/>
        <w:topLinePunct w:val="0"/>
        <w:autoSpaceDE/>
        <w:autoSpaceDN/>
        <w:bidi w:val="0"/>
        <w:spacing w:line="576" w:lineRule="exact"/>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市财政局绩效管理中心：</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按照市财政局《关于开展2022年市级部门绩效自评工作的通知》（广财绩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）文件精神和要求，我局结合单位财务管理实际，认真开展了2022年市级部门专项支出绩效评价工作，现将我单位乡村振兴专项工作经费自评工作报告如下：</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一、</w:t>
      </w:r>
      <w:r>
        <w:rPr>
          <w:rFonts w:hint="eastAsia" w:ascii="黑体" w:hAnsi="黑体" w:eastAsia="黑体" w:cs="黑体"/>
          <w:color w:val="auto"/>
          <w:kern w:val="0"/>
          <w:sz w:val="32"/>
          <w:szCs w:val="32"/>
          <w:highlight w:val="none"/>
          <w:lang w:val="zh-CN" w:eastAsia="zh-CN" w:bidi="ar-SA"/>
        </w:rPr>
        <w:t>项目概况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（一）项目基本情况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1．说明项目主管部门（单位）在该项目管理中的职能。</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规范管理乡村振兴驻村帮扶项目资金，用于工作调研、规划编制、考察交流、日常工作运转以及驻村期间因公产生的差旅费等。</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项目立项、资金申报的依据。</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根据中共四川省委组织部《关于印发四川省驻村第一书记和工作队管理办法的通知》（川组通</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75号）以及中共广元市经济合作和外事局机关委员会《关于进一步加强脱贫村、重点乡村驻村帮扶工作的通知》（广经合外事局机关党委</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6号）文件精神作为该项目立项依据。</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资金</w:t>
      </w:r>
      <w:r>
        <w:rPr>
          <w:rFonts w:hint="eastAsia" w:ascii="宋体" w:hAnsi="宋体" w:eastAsia="仿宋_GB2312" w:cs="仿宋_GB2312"/>
          <w:color w:val="auto"/>
          <w:kern w:val="0"/>
          <w:sz w:val="32"/>
          <w:szCs w:val="32"/>
          <w:highlight w:val="none"/>
          <w:lang w:val="en-US" w:eastAsia="zh-CN" w:bidi="ar-SA"/>
        </w:rPr>
        <w:t>或项目</w:t>
      </w:r>
      <w:r>
        <w:rPr>
          <w:rFonts w:hint="eastAsia" w:ascii="宋体" w:hAnsi="宋体" w:eastAsia="仿宋_GB2312" w:cs="仿宋_GB2312"/>
          <w:color w:val="auto"/>
          <w:kern w:val="0"/>
          <w:sz w:val="32"/>
          <w:szCs w:val="32"/>
          <w:highlight w:val="none"/>
          <w:lang w:val="zh-CN" w:eastAsia="zh-CN" w:bidi="ar-SA"/>
        </w:rPr>
        <w:t>管理办法制定情况，资金支持具体项目的条件、范围与支持方式概况。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根据中共四川省委组织部《关于印发四川省驻村第一书记和工作队管理办法的通知》（川组通</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75号）、中共广元市经济合作和外事局机关委员会《关于进一步加强脱贫村、重点乡村驻村帮扶工作的通知》（广经合外事局机关党委</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6号）文件精神以及</w:t>
      </w:r>
      <w:r>
        <w:rPr>
          <w:rFonts w:hint="eastAsia" w:ascii="宋体" w:hAnsi="宋体" w:eastAsia="仿宋_GB2312" w:cs="仿宋_GB2312"/>
          <w:color w:val="auto"/>
          <w:kern w:val="0"/>
          <w:sz w:val="32"/>
          <w:szCs w:val="32"/>
          <w:highlight w:val="none"/>
          <w:lang w:val="zh-CN" w:eastAsia="zh-CN" w:bidi="ar-SA"/>
        </w:rPr>
        <w:t>相关财务</w:t>
      </w:r>
      <w:r>
        <w:rPr>
          <w:rFonts w:hint="default" w:ascii="宋体" w:hAnsi="宋体" w:eastAsia="仿宋_GB2312" w:cs="仿宋_GB2312"/>
          <w:color w:val="auto"/>
          <w:kern w:val="0"/>
          <w:sz w:val="32"/>
          <w:szCs w:val="32"/>
          <w:highlight w:val="none"/>
          <w:lang w:val="en-US" w:eastAsia="zh-CN" w:bidi="ar-SA"/>
        </w:rPr>
        <w:t>管理制度，强化对</w:t>
      </w:r>
      <w:r>
        <w:rPr>
          <w:rFonts w:hint="eastAsia" w:ascii="宋体" w:hAnsi="宋体" w:eastAsia="仿宋_GB2312" w:cs="仿宋_GB2312"/>
          <w:color w:val="auto"/>
          <w:kern w:val="0"/>
          <w:sz w:val="32"/>
          <w:szCs w:val="32"/>
          <w:highlight w:val="none"/>
          <w:lang w:val="zh-CN" w:eastAsia="zh-CN" w:bidi="ar-SA"/>
        </w:rPr>
        <w:t>乡村振兴驻村帮扶</w:t>
      </w:r>
      <w:r>
        <w:rPr>
          <w:rFonts w:hint="eastAsia" w:ascii="宋体" w:hAnsi="宋体" w:eastAsia="仿宋_GB2312" w:cs="仿宋_GB2312"/>
          <w:color w:val="auto"/>
          <w:kern w:val="0"/>
          <w:sz w:val="32"/>
          <w:szCs w:val="32"/>
          <w:highlight w:val="none"/>
          <w:lang w:val="en-US" w:eastAsia="zh-CN" w:bidi="ar-SA"/>
        </w:rPr>
        <w:t>项目资金</w:t>
      </w:r>
      <w:r>
        <w:rPr>
          <w:rFonts w:hint="default" w:ascii="宋体" w:hAnsi="宋体" w:eastAsia="仿宋_GB2312" w:cs="仿宋_GB2312"/>
          <w:color w:val="auto"/>
          <w:kern w:val="0"/>
          <w:sz w:val="32"/>
          <w:szCs w:val="32"/>
          <w:highlight w:val="none"/>
          <w:lang w:val="en-US" w:eastAsia="zh-CN" w:bidi="ar-SA"/>
        </w:rPr>
        <w:t>的管理。</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4．资金分配的原则及考虑因素。严格按照</w:t>
      </w:r>
      <w:r>
        <w:rPr>
          <w:rFonts w:hint="eastAsia" w:ascii="宋体" w:hAnsi="宋体" w:eastAsia="仿宋_GB2312" w:cs="仿宋_GB2312"/>
          <w:color w:val="auto"/>
          <w:kern w:val="0"/>
          <w:sz w:val="32"/>
          <w:szCs w:val="32"/>
          <w:highlight w:val="none"/>
          <w:lang w:val="en-US" w:eastAsia="zh-CN" w:bidi="ar-SA"/>
        </w:rPr>
        <w:t>中共四川省委组织部《关于印发四川省驻村第一书记和工作队管理办法的通知》（川组通</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75号）、中共广元市经济合作和外事局机关委员会《关于进一步加强脱贫村、重点乡村驻村帮扶工作的通知》（广经合外事局机关党委</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6号）要求，根据乡村振兴驻村帮扶实际进行分配。</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（二）项目绩效目标</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1．项目主要内容。</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规范管理乡村振兴驻村帮扶项目资金，用于与乡村振兴工作相关的工作调研、日常工作运转以及驻村期间因公产生的差旅费等。保证高质量完成乡村振兴工作任务，巩固脱贫攻坚工作质量成果。</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项目应实现的具体绩效目标，</w:t>
      </w:r>
      <w:r>
        <w:rPr>
          <w:rFonts w:hint="eastAsia" w:ascii="宋体" w:hAnsi="宋体" w:eastAsia="仿宋_GB2312" w:cs="仿宋_GB2312"/>
          <w:color w:val="auto"/>
          <w:kern w:val="0"/>
          <w:sz w:val="32"/>
          <w:szCs w:val="32"/>
          <w:highlight w:val="none"/>
          <w:lang w:val="en-US" w:eastAsia="zh-CN" w:bidi="ar-SA"/>
        </w:rPr>
        <w:t>包括但不限于：保障驻村工作队有效履行职责任务；</w:t>
      </w:r>
      <w:r>
        <w:rPr>
          <w:rFonts w:hint="eastAsia" w:ascii="宋体" w:hAnsi="宋体" w:eastAsia="仿宋_GB2312" w:cs="仿宋_GB2312"/>
          <w:color w:val="auto"/>
          <w:kern w:val="0"/>
          <w:sz w:val="32"/>
          <w:szCs w:val="32"/>
          <w:highlight w:val="none"/>
          <w:lang w:val="zh-CN" w:eastAsia="zh-CN" w:bidi="ar-SA"/>
        </w:rPr>
        <w:t>为</w:t>
      </w:r>
      <w:r>
        <w:rPr>
          <w:rFonts w:hint="eastAsia" w:ascii="宋体" w:hAnsi="宋体" w:eastAsia="仿宋_GB2312" w:cs="仿宋_GB2312"/>
          <w:color w:val="auto"/>
          <w:kern w:val="0"/>
          <w:sz w:val="32"/>
          <w:szCs w:val="32"/>
          <w:highlight w:val="none"/>
          <w:lang w:val="en-US" w:eastAsia="zh-CN" w:bidi="ar-SA"/>
        </w:rPr>
        <w:t>3名</w:t>
      </w:r>
      <w:r>
        <w:rPr>
          <w:rFonts w:hint="eastAsia" w:ascii="宋体" w:hAnsi="宋体" w:eastAsia="仿宋_GB2312" w:cs="仿宋_GB2312"/>
          <w:color w:val="auto"/>
          <w:kern w:val="0"/>
          <w:sz w:val="32"/>
          <w:szCs w:val="32"/>
          <w:highlight w:val="none"/>
          <w:lang w:val="zh-CN" w:eastAsia="zh-CN" w:bidi="ar-SA"/>
        </w:rPr>
        <w:t>驻村工作队人员购买人身意外伤害保险；巩固</w:t>
      </w:r>
      <w:r>
        <w:rPr>
          <w:rFonts w:hint="default" w:ascii="宋体" w:hAnsi="宋体" w:eastAsia="仿宋_GB2312" w:cs="仿宋_GB2312"/>
          <w:color w:val="auto"/>
          <w:kern w:val="0"/>
          <w:sz w:val="32"/>
          <w:szCs w:val="32"/>
          <w:highlight w:val="none"/>
          <w:lang w:val="zh-CN" w:eastAsia="zh-CN" w:bidi="ar-SA"/>
        </w:rPr>
        <w:t>贫困村</w:t>
      </w:r>
      <w:r>
        <w:rPr>
          <w:rFonts w:hint="eastAsia" w:ascii="宋体" w:hAnsi="宋体" w:eastAsia="仿宋_GB2312" w:cs="仿宋_GB2312"/>
          <w:color w:val="auto"/>
          <w:kern w:val="0"/>
          <w:sz w:val="32"/>
          <w:szCs w:val="32"/>
          <w:highlight w:val="none"/>
          <w:lang w:val="zh-CN" w:eastAsia="zh-CN" w:bidi="ar-SA"/>
        </w:rPr>
        <w:t>与非贫困村脱贫攻坚成果。</w:t>
      </w:r>
      <w:r>
        <w:rPr>
          <w:rFonts w:hint="eastAsia" w:ascii="宋体" w:hAnsi="宋体" w:eastAsia="仿宋_GB2312" w:cs="仿宋_GB2312"/>
          <w:color w:val="auto"/>
          <w:kern w:val="0"/>
          <w:sz w:val="32"/>
          <w:szCs w:val="32"/>
          <w:highlight w:val="none"/>
          <w:lang w:val="en-US" w:eastAsia="zh-CN" w:bidi="ar-SA"/>
        </w:rPr>
        <w:t xml:space="preserve">  </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3．分析评价申报内容是否与实际相符，申报目标是否合理可行。该目标制定根据实际情况出发，目标制定合理可行。</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（三）项目自评步骤及方法</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1. 强化组织领导。为做好部门财政支出绩效评价自查工作，成立了由局主要领导为组长，党组成员、财务分管领导为副组长，财务人员为成员的乡村振兴项目支出绩效评价工作领导小组，由财务分管领导牵头负责部门财政支出绩效评价自查各项工作。</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2. 实施步骤分为两个阶段：一</w:t>
      </w:r>
      <w:r>
        <w:rPr>
          <w:rFonts w:hint="eastAsia" w:ascii="宋体" w:hAnsi="宋体" w:eastAsia="仿宋_GB2312" w:cs="仿宋_GB2312"/>
          <w:color w:val="auto"/>
          <w:kern w:val="0"/>
          <w:sz w:val="32"/>
          <w:szCs w:val="32"/>
          <w:highlight w:val="none"/>
          <w:lang w:val="zh-CN" w:eastAsia="zh-CN" w:bidi="ar-SA"/>
        </w:rPr>
        <w:t>是前期准备阶段。认真组织学习</w:t>
      </w:r>
      <w:r>
        <w:rPr>
          <w:rFonts w:hint="eastAsia" w:ascii="宋体" w:hAnsi="宋体" w:eastAsia="仿宋_GB2312" w:cs="仿宋_GB2312"/>
          <w:color w:val="auto"/>
          <w:kern w:val="0"/>
          <w:sz w:val="32"/>
          <w:szCs w:val="32"/>
          <w:highlight w:val="none"/>
          <w:lang w:val="en-US" w:eastAsia="zh-CN" w:bidi="ar-SA"/>
        </w:rPr>
        <w:t>市财政局《关于开展2022年市级部门绩效自评工作的通知》（广财绩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w:t>
      </w:r>
      <w:r>
        <w:rPr>
          <w:rFonts w:hint="eastAsia" w:ascii="宋体" w:hAnsi="宋体" w:eastAsia="仿宋_GB2312" w:cs="仿宋_GB2312"/>
          <w:color w:val="auto"/>
          <w:kern w:val="0"/>
          <w:sz w:val="32"/>
          <w:szCs w:val="32"/>
          <w:highlight w:val="none"/>
          <w:lang w:val="zh-CN" w:eastAsia="zh-CN" w:bidi="ar-SA"/>
        </w:rPr>
        <w:t>文件精神和要求，提高对开展支出绩效评价工作的认识，统一思想，确保自查工作的顺利开展。二是自查工作阶段。对乡村振兴驻村帮扶项目资金收入、支出、预算编制、财务管理、项目资金使用投入产出等情况进行认真的自查，撰写《自查报告》。</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二、项目资金申报及使用情况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（一）项目资金申报及批复情况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2022年我单位共申报乡村振兴项目资金5.46万元，共批复该项目资金5.46万元。</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（二）资金计划、到位及使用情况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1．资金计划。全年共计划使用该项目资金</w:t>
      </w:r>
      <w:r>
        <w:rPr>
          <w:rFonts w:hint="eastAsia" w:ascii="宋体" w:hAnsi="宋体" w:eastAsia="仿宋_GB2312" w:cs="仿宋_GB2312"/>
          <w:color w:val="auto"/>
          <w:kern w:val="0"/>
          <w:sz w:val="32"/>
          <w:szCs w:val="32"/>
          <w:highlight w:val="none"/>
          <w:lang w:val="en-US" w:eastAsia="zh-CN" w:bidi="ar-SA"/>
        </w:rPr>
        <w:t>5.46万元。</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2．资金到位。全年到位资金</w:t>
      </w:r>
      <w:r>
        <w:rPr>
          <w:rFonts w:hint="eastAsia" w:ascii="宋体" w:hAnsi="宋体" w:eastAsia="仿宋_GB2312" w:cs="仿宋_GB2312"/>
          <w:color w:val="auto"/>
          <w:kern w:val="0"/>
          <w:sz w:val="32"/>
          <w:szCs w:val="32"/>
          <w:highlight w:val="none"/>
          <w:lang w:val="en-US" w:eastAsia="zh-CN" w:bidi="ar-SA"/>
        </w:rPr>
        <w:t>5.46万元</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3．资金使用。主要用于保障驻村工作队履行</w:t>
      </w:r>
      <w:r>
        <w:rPr>
          <w:rFonts w:hint="eastAsia" w:ascii="宋体" w:hAnsi="宋体" w:eastAsia="仿宋_GB2312" w:cs="仿宋_GB2312"/>
          <w:color w:val="auto"/>
          <w:kern w:val="0"/>
          <w:sz w:val="32"/>
          <w:szCs w:val="32"/>
          <w:highlight w:val="none"/>
          <w:lang w:val="en-US" w:eastAsia="zh-CN" w:bidi="ar-SA"/>
        </w:rPr>
        <w:t>职责任务、</w:t>
      </w:r>
      <w:r>
        <w:rPr>
          <w:rFonts w:hint="eastAsia" w:ascii="宋体" w:hAnsi="宋体" w:eastAsia="仿宋_GB2312" w:cs="仿宋_GB2312"/>
          <w:color w:val="auto"/>
          <w:kern w:val="0"/>
          <w:sz w:val="32"/>
          <w:szCs w:val="32"/>
          <w:highlight w:val="none"/>
          <w:lang w:val="zh-CN" w:eastAsia="zh-CN" w:bidi="ar-SA"/>
        </w:rPr>
        <w:t>购买人身意外伤害保险等，全年共支出该项目资金</w:t>
      </w:r>
      <w:r>
        <w:rPr>
          <w:rFonts w:hint="eastAsia" w:ascii="宋体" w:hAnsi="宋体" w:eastAsia="仿宋_GB2312" w:cs="仿宋_GB2312"/>
          <w:color w:val="auto"/>
          <w:kern w:val="0"/>
          <w:sz w:val="32"/>
          <w:szCs w:val="32"/>
          <w:highlight w:val="none"/>
          <w:lang w:val="en-US" w:eastAsia="zh-CN" w:bidi="ar-SA"/>
        </w:rPr>
        <w:t>5.46万元，预算执行率100%。在资金支付过程中严格按照该项目使用要求进行资金拨付，资金支付合法合规，与预算相符，无挤占、超标准使用该项目资金的情况。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（三）项目财务管理情况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我单位严格执行财务管理制度，按照“专款专用，注重实效”的原则进行管理。严格执行</w:t>
      </w:r>
      <w:r>
        <w:rPr>
          <w:rFonts w:hint="eastAsia" w:ascii="宋体" w:hAnsi="宋体" w:eastAsia="仿宋_GB2312" w:cs="仿宋_GB2312"/>
          <w:color w:val="auto"/>
          <w:kern w:val="0"/>
          <w:sz w:val="32"/>
          <w:szCs w:val="32"/>
          <w:highlight w:val="none"/>
          <w:lang w:val="en-US" w:eastAsia="zh-CN" w:bidi="ar-SA"/>
        </w:rPr>
        <w:t>财务</w:t>
      </w:r>
      <w:r>
        <w:rPr>
          <w:rFonts w:hint="eastAsia" w:ascii="宋体" w:hAnsi="宋体" w:eastAsia="仿宋_GB2312" w:cs="仿宋_GB2312"/>
          <w:color w:val="auto"/>
          <w:kern w:val="0"/>
          <w:sz w:val="32"/>
          <w:szCs w:val="32"/>
          <w:highlight w:val="none"/>
          <w:lang w:val="zh-CN" w:eastAsia="zh-CN" w:bidi="ar-SA"/>
        </w:rPr>
        <w:t>管理及资金支付制度，从制度上为规范资金管理提供保障，促进了资金使用管理的规范性、安全性和有效性。</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三、项目实施及管理情况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（一）项目组织架构及实施流程。</w:t>
      </w:r>
      <w:r>
        <w:rPr>
          <w:rFonts w:hint="eastAsia" w:ascii="宋体" w:hAnsi="宋体" w:eastAsia="仿宋_GB2312" w:cs="仿宋_GB2312"/>
          <w:color w:val="auto"/>
          <w:kern w:val="0"/>
          <w:sz w:val="32"/>
          <w:szCs w:val="32"/>
          <w:highlight w:val="none"/>
          <w:lang w:val="zh-CN" w:eastAsia="zh-CN" w:bidi="ar-SA"/>
        </w:rPr>
        <w:t>根据财务内控管理，制定</w:t>
      </w:r>
      <w:r>
        <w:rPr>
          <w:rFonts w:hint="default" w:ascii="宋体" w:hAnsi="宋体" w:eastAsia="仿宋_GB2312" w:cs="仿宋_GB2312"/>
          <w:color w:val="auto"/>
          <w:kern w:val="0"/>
          <w:sz w:val="32"/>
          <w:szCs w:val="32"/>
          <w:highlight w:val="none"/>
          <w:lang w:val="en-US" w:eastAsia="zh-CN" w:bidi="ar-SA"/>
        </w:rPr>
        <w:t>《市</w:t>
      </w:r>
      <w:r>
        <w:rPr>
          <w:rFonts w:hint="eastAsia" w:ascii="宋体" w:hAnsi="宋体" w:eastAsia="仿宋_GB2312" w:cs="仿宋_GB2312"/>
          <w:color w:val="auto"/>
          <w:kern w:val="0"/>
          <w:sz w:val="32"/>
          <w:szCs w:val="32"/>
          <w:highlight w:val="none"/>
          <w:lang w:val="en-US" w:eastAsia="zh-CN" w:bidi="ar-SA"/>
        </w:rPr>
        <w:t>经济合作局</w:t>
      </w:r>
      <w:r>
        <w:rPr>
          <w:rFonts w:hint="default" w:ascii="宋体" w:hAnsi="宋体" w:eastAsia="仿宋_GB2312" w:cs="仿宋_GB2312"/>
          <w:color w:val="auto"/>
          <w:kern w:val="0"/>
          <w:sz w:val="32"/>
          <w:szCs w:val="32"/>
          <w:highlight w:val="none"/>
          <w:lang w:val="en-US" w:eastAsia="zh-CN" w:bidi="ar-SA"/>
        </w:rPr>
        <w:t>财务管理办法》等管理制度，强化对</w:t>
      </w:r>
      <w:r>
        <w:rPr>
          <w:rFonts w:hint="eastAsia" w:ascii="宋体" w:hAnsi="宋体" w:eastAsia="仿宋_GB2312" w:cs="仿宋_GB2312"/>
          <w:color w:val="auto"/>
          <w:kern w:val="0"/>
          <w:sz w:val="32"/>
          <w:szCs w:val="32"/>
          <w:highlight w:val="none"/>
          <w:lang w:val="zh-CN" w:eastAsia="zh-CN" w:bidi="ar-SA"/>
        </w:rPr>
        <w:t>乡村振兴驻村帮扶</w:t>
      </w:r>
      <w:r>
        <w:rPr>
          <w:rFonts w:hint="eastAsia" w:ascii="宋体" w:hAnsi="宋体" w:eastAsia="仿宋_GB2312" w:cs="仿宋_GB2312"/>
          <w:color w:val="auto"/>
          <w:kern w:val="0"/>
          <w:sz w:val="32"/>
          <w:szCs w:val="32"/>
          <w:highlight w:val="none"/>
          <w:lang w:val="en-US" w:eastAsia="zh-CN" w:bidi="ar-SA"/>
        </w:rPr>
        <w:t>项目资金</w:t>
      </w:r>
      <w:r>
        <w:rPr>
          <w:rFonts w:hint="default" w:ascii="宋体" w:hAnsi="宋体" w:eastAsia="仿宋_GB2312" w:cs="仿宋_GB2312"/>
          <w:color w:val="auto"/>
          <w:kern w:val="0"/>
          <w:sz w:val="32"/>
          <w:szCs w:val="32"/>
          <w:highlight w:val="none"/>
          <w:lang w:val="en-US" w:eastAsia="zh-CN" w:bidi="ar-SA"/>
        </w:rPr>
        <w:t>的管理。</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（二）项目管理情况。</w:t>
      </w:r>
      <w:r>
        <w:rPr>
          <w:rFonts w:hint="eastAsia" w:ascii="宋体" w:hAnsi="宋体" w:eastAsia="仿宋_GB2312" w:cs="仿宋_GB2312"/>
          <w:color w:val="auto"/>
          <w:kern w:val="0"/>
          <w:sz w:val="32"/>
          <w:szCs w:val="32"/>
          <w:highlight w:val="none"/>
          <w:lang w:val="zh-CN" w:eastAsia="zh-CN" w:bidi="ar-SA"/>
        </w:rPr>
        <w:t>根据相关财务</w:t>
      </w:r>
      <w:r>
        <w:rPr>
          <w:rFonts w:hint="default" w:ascii="宋体" w:hAnsi="宋体" w:eastAsia="仿宋_GB2312" w:cs="仿宋_GB2312"/>
          <w:color w:val="auto"/>
          <w:kern w:val="0"/>
          <w:sz w:val="32"/>
          <w:szCs w:val="32"/>
          <w:highlight w:val="none"/>
          <w:lang w:val="en-US" w:eastAsia="zh-CN" w:bidi="ar-SA"/>
        </w:rPr>
        <w:t>管理制度</w:t>
      </w:r>
      <w:r>
        <w:rPr>
          <w:rFonts w:hint="eastAsia" w:ascii="宋体" w:hAnsi="宋体" w:eastAsia="仿宋_GB2312" w:cs="仿宋_GB2312"/>
          <w:color w:val="auto"/>
          <w:kern w:val="0"/>
          <w:sz w:val="32"/>
          <w:szCs w:val="32"/>
          <w:highlight w:val="none"/>
          <w:lang w:val="en-US" w:eastAsia="zh-CN" w:bidi="ar-SA"/>
        </w:rPr>
        <w:t>及中共广元市经济合作和外事局机关委员会《关于进一步加强脱贫村、重点乡村驻村帮扶工作的通知》（广经合外事局机关党委</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6号）、中共四川省委组织部《关于印发四川省驻村第一书记和工作队管理办法的通知》（川组通</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75号）要求</w:t>
      </w:r>
      <w:r>
        <w:rPr>
          <w:rFonts w:hint="default" w:ascii="宋体" w:hAnsi="宋体" w:eastAsia="仿宋_GB2312" w:cs="仿宋_GB2312"/>
          <w:color w:val="auto"/>
          <w:kern w:val="0"/>
          <w:sz w:val="32"/>
          <w:szCs w:val="32"/>
          <w:highlight w:val="none"/>
          <w:lang w:val="en-US" w:eastAsia="zh-CN" w:bidi="ar-SA"/>
        </w:rPr>
        <w:t>，强化对</w:t>
      </w:r>
      <w:r>
        <w:rPr>
          <w:rFonts w:hint="eastAsia" w:ascii="宋体" w:hAnsi="宋体" w:eastAsia="仿宋_GB2312" w:cs="仿宋_GB2312"/>
          <w:color w:val="auto"/>
          <w:kern w:val="0"/>
          <w:sz w:val="32"/>
          <w:szCs w:val="32"/>
          <w:highlight w:val="none"/>
          <w:lang w:val="zh-CN" w:eastAsia="zh-CN" w:bidi="ar-SA"/>
        </w:rPr>
        <w:t>脱贫攻坚驻村帮扶</w:t>
      </w:r>
      <w:r>
        <w:rPr>
          <w:rFonts w:hint="eastAsia" w:ascii="宋体" w:hAnsi="宋体" w:eastAsia="仿宋_GB2312" w:cs="仿宋_GB2312"/>
          <w:color w:val="auto"/>
          <w:kern w:val="0"/>
          <w:sz w:val="32"/>
          <w:szCs w:val="32"/>
          <w:highlight w:val="none"/>
          <w:lang w:val="en-US" w:eastAsia="zh-CN" w:bidi="ar-SA"/>
        </w:rPr>
        <w:t>项目资金</w:t>
      </w:r>
      <w:r>
        <w:rPr>
          <w:rFonts w:hint="default" w:ascii="宋体" w:hAnsi="宋体" w:eastAsia="仿宋_GB2312" w:cs="仿宋_GB2312"/>
          <w:color w:val="auto"/>
          <w:kern w:val="0"/>
          <w:sz w:val="32"/>
          <w:szCs w:val="32"/>
          <w:highlight w:val="none"/>
          <w:lang w:val="en-US" w:eastAsia="zh-CN" w:bidi="ar-SA"/>
        </w:rPr>
        <w:t>的管理</w:t>
      </w:r>
      <w:r>
        <w:rPr>
          <w:rFonts w:hint="eastAsia" w:ascii="宋体" w:hAnsi="宋体" w:eastAsia="仿宋_GB2312" w:cs="仿宋_GB2312"/>
          <w:color w:val="auto"/>
          <w:kern w:val="0"/>
          <w:sz w:val="32"/>
          <w:szCs w:val="32"/>
          <w:highlight w:val="none"/>
          <w:lang w:val="en-US" w:eastAsia="zh-CN" w:bidi="ar-SA"/>
        </w:rPr>
        <w:t>，保证专款专用，保证项目高效实施。</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（三）项目监管情况。</w:t>
      </w:r>
      <w:r>
        <w:rPr>
          <w:rFonts w:hint="eastAsia" w:ascii="宋体" w:hAnsi="宋体" w:eastAsia="仿宋_GB2312" w:cs="仿宋_GB2312"/>
          <w:color w:val="auto"/>
          <w:kern w:val="0"/>
          <w:sz w:val="32"/>
          <w:szCs w:val="32"/>
          <w:highlight w:val="none"/>
          <w:lang w:val="en-US" w:eastAsia="zh-CN" w:bidi="ar-SA"/>
        </w:rPr>
        <w:t>我单位除严格遵守财经纪律以及相关管理制度以外，还配合市纪委监委派驻市政府办纪检组不定期抽查监督，确保项目使用合理、合规</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四、项目绩效情况</w:t>
      </w:r>
      <w:r>
        <w:rPr>
          <w:rFonts w:hint="eastAsia" w:ascii="黑体" w:hAnsi="黑体" w:eastAsia="黑体" w:cs="黑体"/>
          <w:color w:val="auto"/>
          <w:kern w:val="0"/>
          <w:sz w:val="32"/>
          <w:szCs w:val="32"/>
          <w:highlight w:val="none"/>
          <w:lang w:val="zh-CN" w:eastAsia="zh-CN" w:bidi="ar-SA"/>
        </w:rPr>
        <w:tab/>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（一）项目完成情况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有效保障了驻村工作队履行“宣传党的政策、建强基层组织、推动乡村振兴、为民办事服务、提升治理水平”等职责任务。为驻村工作队人员购买人身意外伤害保险，</w:t>
      </w:r>
      <w:r>
        <w:rPr>
          <w:rFonts w:hint="default" w:ascii="宋体" w:hAnsi="宋体" w:eastAsia="仿宋_GB2312" w:cs="仿宋_GB2312"/>
          <w:color w:val="auto"/>
          <w:kern w:val="0"/>
          <w:sz w:val="32"/>
          <w:szCs w:val="32"/>
          <w:highlight w:val="none"/>
          <w:lang w:val="en-US" w:eastAsia="zh-CN" w:bidi="ar-SA"/>
        </w:rPr>
        <w:t>消除</w:t>
      </w:r>
      <w:r>
        <w:rPr>
          <w:rFonts w:hint="eastAsia" w:ascii="宋体" w:hAnsi="宋体" w:eastAsia="仿宋_GB2312" w:cs="仿宋_GB2312"/>
          <w:color w:val="auto"/>
          <w:kern w:val="0"/>
          <w:sz w:val="32"/>
          <w:szCs w:val="32"/>
          <w:highlight w:val="none"/>
          <w:lang w:val="en-US" w:eastAsia="zh-CN" w:bidi="ar-SA"/>
        </w:rPr>
        <w:t>了</w:t>
      </w:r>
      <w:r>
        <w:rPr>
          <w:rFonts w:hint="default" w:ascii="宋体" w:hAnsi="宋体" w:eastAsia="仿宋_GB2312" w:cs="仿宋_GB2312"/>
          <w:color w:val="auto"/>
          <w:kern w:val="0"/>
          <w:sz w:val="32"/>
          <w:szCs w:val="32"/>
          <w:highlight w:val="none"/>
          <w:lang w:val="en-US" w:eastAsia="zh-CN" w:bidi="ar-SA"/>
        </w:rPr>
        <w:t>驻村工作队</w:t>
      </w:r>
      <w:r>
        <w:rPr>
          <w:rFonts w:hint="eastAsia" w:ascii="宋体" w:hAnsi="宋体" w:eastAsia="仿宋_GB2312" w:cs="仿宋_GB2312"/>
          <w:color w:val="auto"/>
          <w:kern w:val="0"/>
          <w:sz w:val="32"/>
          <w:szCs w:val="32"/>
          <w:highlight w:val="none"/>
          <w:lang w:val="en-US" w:eastAsia="zh-CN" w:bidi="ar-SA"/>
        </w:rPr>
        <w:t>人员</w:t>
      </w:r>
      <w:r>
        <w:rPr>
          <w:rFonts w:hint="default" w:ascii="宋体" w:hAnsi="宋体" w:eastAsia="仿宋_GB2312" w:cs="仿宋_GB2312"/>
          <w:color w:val="auto"/>
          <w:kern w:val="0"/>
          <w:sz w:val="32"/>
          <w:szCs w:val="32"/>
          <w:highlight w:val="none"/>
          <w:lang w:val="en-US" w:eastAsia="zh-CN" w:bidi="ar-SA"/>
        </w:rPr>
        <w:t>及其家人的后顾之忧</w:t>
      </w:r>
      <w:r>
        <w:rPr>
          <w:rFonts w:hint="eastAsia" w:ascii="宋体" w:hAnsi="宋体" w:eastAsia="仿宋_GB2312" w:cs="仿宋_GB2312"/>
          <w:color w:val="auto"/>
          <w:kern w:val="0"/>
          <w:sz w:val="32"/>
          <w:szCs w:val="32"/>
          <w:highlight w:val="none"/>
          <w:lang w:val="en-US" w:eastAsia="zh-CN" w:bidi="ar-SA"/>
        </w:rPr>
        <w:t>。</w:t>
      </w:r>
      <w:r>
        <w:rPr>
          <w:rFonts w:hint="default" w:ascii="宋体" w:hAnsi="宋体" w:eastAsia="仿宋_GB2312" w:cs="仿宋_GB2312"/>
          <w:color w:val="auto"/>
          <w:kern w:val="0"/>
          <w:sz w:val="32"/>
          <w:szCs w:val="32"/>
          <w:highlight w:val="none"/>
          <w:lang w:val="en-US" w:eastAsia="zh-CN" w:bidi="ar-SA"/>
        </w:rPr>
        <w:t>高质量完成</w:t>
      </w:r>
      <w:r>
        <w:rPr>
          <w:rFonts w:hint="eastAsia" w:ascii="宋体" w:hAnsi="宋体" w:eastAsia="仿宋_GB2312" w:cs="仿宋_GB2312"/>
          <w:color w:val="auto"/>
          <w:kern w:val="0"/>
          <w:sz w:val="32"/>
          <w:szCs w:val="32"/>
          <w:highlight w:val="none"/>
          <w:lang w:val="en-US" w:eastAsia="zh-CN" w:bidi="ar-SA"/>
        </w:rPr>
        <w:t>乡村振兴工作</w:t>
      </w:r>
      <w:r>
        <w:rPr>
          <w:rFonts w:hint="default" w:ascii="宋体" w:hAnsi="宋体" w:eastAsia="仿宋_GB2312" w:cs="仿宋_GB2312"/>
          <w:color w:val="auto"/>
          <w:kern w:val="0"/>
          <w:sz w:val="32"/>
          <w:szCs w:val="32"/>
          <w:highlight w:val="none"/>
          <w:lang w:val="en-US" w:eastAsia="zh-CN" w:bidi="ar-SA"/>
        </w:rPr>
        <w:t>任务，</w:t>
      </w:r>
      <w:r>
        <w:rPr>
          <w:rFonts w:hint="eastAsia" w:ascii="宋体" w:hAnsi="宋体" w:eastAsia="仿宋_GB2312" w:cs="仿宋_GB2312"/>
          <w:color w:val="auto"/>
          <w:kern w:val="0"/>
          <w:sz w:val="32"/>
          <w:szCs w:val="32"/>
          <w:highlight w:val="none"/>
          <w:lang w:val="en-US" w:eastAsia="zh-CN" w:bidi="ar-SA"/>
        </w:rPr>
        <w:t>巩固脱贫攻坚工作成果。</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（二）项目效益情况</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我单位</w:t>
      </w:r>
      <w:r>
        <w:rPr>
          <w:rFonts w:hint="default" w:ascii="宋体" w:hAnsi="宋体" w:eastAsia="仿宋_GB2312" w:cs="仿宋_GB2312"/>
          <w:color w:val="auto"/>
          <w:kern w:val="0"/>
          <w:sz w:val="32"/>
          <w:szCs w:val="32"/>
          <w:highlight w:val="none"/>
          <w:lang w:val="en-US" w:eastAsia="zh-CN" w:bidi="ar-SA"/>
        </w:rPr>
        <w:t>选派3名优秀干部全脱产赴旺苍县大两镇新华村、金光村开展驻村帮扶</w:t>
      </w:r>
      <w:r>
        <w:rPr>
          <w:rFonts w:hint="eastAsia" w:ascii="宋体" w:hAnsi="宋体" w:eastAsia="仿宋_GB2312" w:cs="仿宋_GB2312"/>
          <w:color w:val="auto"/>
          <w:kern w:val="0"/>
          <w:sz w:val="32"/>
          <w:szCs w:val="32"/>
          <w:highlight w:val="none"/>
          <w:lang w:val="en-US" w:eastAsia="zh-CN" w:bidi="ar-SA"/>
        </w:rPr>
        <w:t>，</w:t>
      </w:r>
      <w:r>
        <w:rPr>
          <w:rFonts w:hint="default" w:ascii="宋体" w:hAnsi="宋体" w:eastAsia="仿宋_GB2312" w:cs="仿宋_GB2312"/>
          <w:color w:val="auto"/>
          <w:kern w:val="0"/>
          <w:sz w:val="32"/>
          <w:szCs w:val="32"/>
          <w:highlight w:val="none"/>
          <w:lang w:val="en-US" w:eastAsia="zh-CN" w:bidi="ar-SA"/>
        </w:rPr>
        <w:t>依托帮扶村资源禀赋和产业基础，有效开展产业振兴帮扶，</w:t>
      </w:r>
      <w:r>
        <w:rPr>
          <w:rFonts w:hint="eastAsia" w:ascii="宋体" w:hAnsi="宋体" w:eastAsia="仿宋_GB2312" w:cs="仿宋_GB2312"/>
          <w:color w:val="auto"/>
          <w:kern w:val="0"/>
          <w:sz w:val="32"/>
          <w:szCs w:val="32"/>
          <w:highlight w:val="none"/>
          <w:lang w:val="en-US" w:eastAsia="zh-CN" w:bidi="ar-SA"/>
        </w:rPr>
        <w:t>2022年期间</w:t>
      </w:r>
      <w:r>
        <w:rPr>
          <w:rFonts w:hint="default" w:ascii="宋体" w:hAnsi="宋体" w:eastAsia="仿宋_GB2312" w:cs="仿宋_GB2312"/>
          <w:color w:val="auto"/>
          <w:kern w:val="0"/>
          <w:sz w:val="32"/>
          <w:szCs w:val="32"/>
          <w:highlight w:val="none"/>
          <w:lang w:val="en-US" w:eastAsia="zh-CN" w:bidi="ar-SA"/>
        </w:rPr>
        <w:t>积极协调争取到20万元农业项目专项资金用于发展新华村中药材种植产业、金光村肉牛羊养殖产业。积极宣传政策，还为两个村争取到20万元交通项目资金用于修建村内错车道，“以购代扶</w:t>
      </w:r>
      <w:r>
        <w:rPr>
          <w:rFonts w:hint="eastAsia" w:ascii="宋体" w:hAnsi="宋体" w:eastAsia="仿宋_GB2312" w:cs="仿宋_GB2312"/>
          <w:color w:val="auto"/>
          <w:kern w:val="0"/>
          <w:sz w:val="32"/>
          <w:szCs w:val="32"/>
          <w:highlight w:val="none"/>
          <w:lang w:val="en-US" w:eastAsia="zh-CN" w:bidi="ar-SA"/>
        </w:rPr>
        <w:t>”13800元，</w:t>
      </w:r>
      <w:r>
        <w:rPr>
          <w:rFonts w:hint="default" w:ascii="宋体" w:hAnsi="宋体" w:eastAsia="仿宋_GB2312" w:cs="仿宋_GB2312"/>
          <w:color w:val="auto"/>
          <w:kern w:val="0"/>
          <w:sz w:val="32"/>
          <w:szCs w:val="32"/>
          <w:highlight w:val="none"/>
          <w:lang w:val="en-US" w:eastAsia="zh-CN" w:bidi="ar-SA"/>
        </w:rPr>
        <w:t>以实际行动巩固拓展脱贫攻坚成果，全面推进乡村振兴。</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五、评价结论及建议</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（一）评价结论</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年我单位乡村振兴支出绩效自查自评结果良好，全年基本支出保证了乡村振兴工作的正常运转，按照 202</w:t>
      </w: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年度部门</w:t>
      </w:r>
      <w:r>
        <w:rPr>
          <w:rFonts w:hint="eastAsia" w:ascii="宋体" w:hAnsi="宋体" w:eastAsia="仿宋_GB2312" w:cs="仿宋_GB2312"/>
          <w:color w:val="auto"/>
          <w:kern w:val="0"/>
          <w:sz w:val="32"/>
          <w:szCs w:val="32"/>
          <w:highlight w:val="none"/>
          <w:lang w:val="en-US" w:eastAsia="zh-CN" w:bidi="ar-SA"/>
        </w:rPr>
        <w:t xml:space="preserve"> 脱贫攻坚专项资金</w:t>
      </w:r>
      <w:r>
        <w:rPr>
          <w:rFonts w:hint="eastAsia" w:ascii="宋体" w:hAnsi="宋体" w:eastAsia="仿宋_GB2312" w:cs="仿宋_GB2312"/>
          <w:color w:val="auto"/>
          <w:kern w:val="0"/>
          <w:sz w:val="32"/>
          <w:szCs w:val="32"/>
          <w:highlight w:val="none"/>
          <w:lang w:val="zh-CN" w:eastAsia="zh-CN" w:bidi="ar-SA"/>
        </w:rPr>
        <w:t>支出绩效评价指标体系对我单位预算编制、预算执行、完成结果、信息公开、整改反馈等方面进行了自评，最终得分</w:t>
      </w:r>
      <w:r>
        <w:rPr>
          <w:rFonts w:hint="eastAsia" w:ascii="宋体" w:hAnsi="宋体" w:eastAsia="仿宋_GB2312" w:cs="仿宋_GB2312"/>
          <w:color w:val="auto"/>
          <w:kern w:val="0"/>
          <w:sz w:val="32"/>
          <w:szCs w:val="32"/>
          <w:highlight w:val="none"/>
          <w:lang w:val="en-US" w:eastAsia="zh-CN" w:bidi="ar-SA"/>
        </w:rPr>
        <w:t>98.5</w:t>
      </w:r>
      <w:r>
        <w:rPr>
          <w:rFonts w:hint="eastAsia" w:ascii="宋体" w:hAnsi="宋体" w:eastAsia="仿宋_GB2312" w:cs="仿宋_GB2312"/>
          <w:color w:val="auto"/>
          <w:kern w:val="0"/>
          <w:sz w:val="32"/>
          <w:szCs w:val="32"/>
          <w:highlight w:val="none"/>
          <w:lang w:val="zh-CN" w:eastAsia="zh-CN" w:bidi="ar-SA"/>
        </w:rPr>
        <w:t>分。</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（二）存在的问题</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预算绩效管理需进一步加强，设定的绩效目标还不够科学精准。</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（三）相关建议</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1．</w:t>
      </w:r>
      <w:r>
        <w:rPr>
          <w:rFonts w:hint="default" w:ascii="宋体" w:hAnsi="宋体" w:eastAsia="仿宋_GB2312" w:cs="仿宋_GB2312"/>
          <w:color w:val="auto"/>
          <w:kern w:val="0"/>
          <w:sz w:val="32"/>
          <w:szCs w:val="32"/>
          <w:highlight w:val="none"/>
          <w:lang w:val="en-US" w:eastAsia="zh-CN" w:bidi="ar-SA"/>
        </w:rPr>
        <w:t>进一步健全和完善财务管理制度及内部控制制度，创新管理手段，用新思路、新方法，改进完善财务管理方法。</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2．</w:t>
      </w:r>
      <w:r>
        <w:rPr>
          <w:rFonts w:hint="default" w:ascii="宋体" w:hAnsi="宋体" w:eastAsia="仿宋_GB2312" w:cs="仿宋_GB2312"/>
          <w:color w:val="auto"/>
          <w:kern w:val="0"/>
          <w:sz w:val="32"/>
          <w:szCs w:val="32"/>
          <w:highlight w:val="none"/>
          <w:lang w:val="en-US" w:eastAsia="zh-CN" w:bidi="ar-SA"/>
        </w:rPr>
        <w:t>加强部门预算绩效管理的指导和培训，增强提高绩效管理业务人员绩效管理能力、专业素质和思想水平。</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p>
    <w:p>
      <w:pPr>
        <w:pStyle w:val="37"/>
        <w:keepNext w:val="0"/>
        <w:keepLines w:val="0"/>
        <w:pageBreakBefore w:val="0"/>
        <w:widowControl w:val="0"/>
        <w:shd w:val="clear"/>
        <w:kinsoku/>
        <w:wordWrap/>
        <w:overflowPunct/>
        <w:topLinePunct w:val="0"/>
        <w:autoSpaceDE/>
        <w:autoSpaceDN/>
        <w:bidi w:val="0"/>
        <w:spacing w:line="576" w:lineRule="exact"/>
        <w:ind w:left="0" w:leftChars="0" w:firstLine="614" w:firstLineChars="200"/>
        <w:jc w:val="both"/>
        <w:textAlignment w:val="auto"/>
        <w:outlineLvl w:val="9"/>
        <w:rPr>
          <w:rFonts w:hint="eastAsia" w:ascii="宋体" w:hAnsi="宋体" w:eastAsia="仿宋_GB2312" w:cs="仿宋_GB2312"/>
          <w:color w:val="auto"/>
          <w:w w:val="96"/>
          <w:kern w:val="0"/>
          <w:sz w:val="32"/>
          <w:szCs w:val="32"/>
          <w:highlight w:val="none"/>
          <w:lang w:val="en-US" w:eastAsia="zh-CN" w:bidi="ar-SA"/>
        </w:rPr>
      </w:pPr>
      <w:r>
        <w:rPr>
          <w:rFonts w:hint="eastAsia" w:ascii="宋体" w:hAnsi="宋体" w:eastAsia="仿宋_GB2312" w:cs="仿宋_GB2312"/>
          <w:color w:val="auto"/>
          <w:w w:val="96"/>
          <w:kern w:val="0"/>
          <w:sz w:val="32"/>
          <w:szCs w:val="32"/>
          <w:highlight w:val="none"/>
          <w:lang w:val="en-US" w:eastAsia="zh-CN" w:bidi="ar-SA"/>
        </w:rPr>
        <w:t>附件：部门预算、专项资金预算项目支出绩效目标自评表</w:t>
      </w:r>
    </w:p>
    <w:p>
      <w:pPr>
        <w:pStyle w:val="37"/>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sectPr>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shd w:val="clear"/>
        <w:kinsoku/>
        <w:wordWrap/>
        <w:overflowPunct/>
        <w:topLinePunct w:val="0"/>
        <w:autoSpaceDE/>
        <w:autoSpaceDN/>
        <w:bidi w:val="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2"/>
        <w:keepNext w:val="0"/>
        <w:keepLines w:val="0"/>
        <w:pageBreakBefore w:val="0"/>
        <w:shd w:val="clear"/>
        <w:kinsoku/>
        <w:wordWrap/>
        <w:overflowPunct/>
        <w:topLinePunct w:val="0"/>
        <w:autoSpaceDE/>
        <w:autoSpaceDN/>
        <w:bidi w:val="0"/>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部门预算、专项资金预算项目支出绩效目标自评表（2022年度）</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6"/>
        <w:gridCol w:w="1576"/>
        <w:gridCol w:w="1274"/>
        <w:gridCol w:w="1318"/>
        <w:gridCol w:w="588"/>
        <w:gridCol w:w="849"/>
        <w:gridCol w:w="519"/>
        <w:gridCol w:w="1100"/>
        <w:gridCol w:w="701"/>
        <w:gridCol w:w="857"/>
        <w:gridCol w:w="1049"/>
        <w:gridCol w:w="3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主管部门（盖章）</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实施单位 （盖章）</w:t>
            </w:r>
          </w:p>
        </w:tc>
        <w:tc>
          <w:tcPr>
            <w:tcW w:w="20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项目基本情况</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项目年度目标</w:t>
            </w: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21"/>
                <w:szCs w:val="21"/>
                <w:highlight w:val="none"/>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21"/>
                <w:szCs w:val="21"/>
                <w:highlight w:val="none"/>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为驻村工作队履职提供坚强保障，有效推进乡村振兴、巩固拓展脱贫攻坚成果；为驻村工作队购买人身意外伤害保险，消除驻村工作队及其家人的后顾之忧；慰问困难群众等。</w:t>
            </w: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为驻村工作队员提供了坚强保障，有效的巩固了脱贫攻坚成果。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2.项目实施内容及过程概述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预算执行情况（10分）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年度预算数（万元）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年初预算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调整后</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预算数</w:t>
            </w: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执行率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总额</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其中：财政</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财政专户管理资金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绩效指标</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一级指标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二级指标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三级指标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指标性质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指标值</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度量单位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完成值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驻村工作队员人数</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实际3人，年初申报有误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效益指标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集体经济收入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2022</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已完成</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驻村工作队员年度考核</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定性</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优良中低差</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成本指标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驻村工作队员生活补助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元/年</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效益指标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可持续影响指标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全村人均纯收入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年初申报有误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满意度指标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帮扶对象满意度指标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帮扶对象满意度</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部门（单位）自评结论</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2022年我单位乡村振兴支出绩效自查自评结果良好，全年基本支出保证了乡村振兴工作的正常运转，按照 2022年度部门 脱贫攻坚专项资金支出绩效评价指标体系对我单位预算编制、预算执行、完成结果、信息公开、整改反馈等方面进行了自评。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部门（单位）自评存在问题</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预算绩效管理需进一步加强，设定的绩效目标还不够科学精准。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部门（单位）自评改进措施</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1、进一步健全和完善财务管理制度及内部控制制度，创新管理手段，用新思路、新方法，改进完善财务管理方法。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2、加强部门预算绩效管理的指导和培训，增强提高绩效管理业务人员绩效管理能力、专业素质和思想水平。</w:t>
            </w:r>
          </w:p>
        </w:tc>
      </w:tr>
    </w:tbl>
    <w:p>
      <w:pPr>
        <w:keepNext w:val="0"/>
        <w:keepLines w:val="0"/>
        <w:pageBreakBefore w:val="0"/>
        <w:widowControl w:val="0"/>
        <w:shd w:val="clear"/>
        <w:kinsoku/>
        <w:wordWrap/>
        <w:overflowPunct/>
        <w:topLinePunct w:val="0"/>
        <w:autoSpaceDE/>
        <w:autoSpaceDN/>
        <w:bidi w:val="0"/>
        <w:adjustRightInd/>
        <w:snapToGrid/>
        <w:spacing w:line="100" w:lineRule="exact"/>
        <w:textAlignment w:val="auto"/>
        <w:outlineLvl w:val="9"/>
        <w:rPr>
          <w:rStyle w:val="22"/>
          <w:rFonts w:ascii="黑体" w:hAnsi="黑体" w:eastAsia="黑体"/>
          <w:b w:val="0"/>
          <w:color w:val="auto"/>
          <w:highlight w:val="none"/>
        </w:rPr>
      </w:pPr>
    </w:p>
    <w:p>
      <w:pPr>
        <w:pStyle w:val="14"/>
        <w:keepNext w:val="0"/>
        <w:keepLines w:val="0"/>
        <w:pageBreakBefore w:val="0"/>
        <w:shd w:val="clear"/>
        <w:kinsoku/>
        <w:wordWrap/>
        <w:overflowPunct/>
        <w:topLinePunct w:val="0"/>
        <w:autoSpaceDE/>
        <w:autoSpaceDN/>
        <w:bidi w:val="0"/>
        <w:outlineLvl w:val="9"/>
        <w:rPr>
          <w:color w:val="auto"/>
          <w:highlight w:val="none"/>
        </w:rPr>
        <w:sectPr>
          <w:pgSz w:w="16838" w:h="11906" w:orient="landscape"/>
          <w:pgMar w:top="1134" w:right="1134" w:bottom="1134" w:left="1134" w:header="851" w:footer="992" w:gutter="0"/>
          <w:pgNumType w:fmt="decimal"/>
          <w:cols w:space="0" w:num="1"/>
          <w:titlePg/>
          <w:rtlGutter w:val="0"/>
          <w:docGrid w:type="lines" w:linePitch="321" w:charSpace="0"/>
        </w:sectPr>
      </w:pPr>
    </w:p>
    <w:p>
      <w:pPr>
        <w:keepNext w:val="0"/>
        <w:keepLines w:val="0"/>
        <w:pageBreakBefore w:val="0"/>
        <w:shd w:val="clear"/>
        <w:kinsoku/>
        <w:wordWrap/>
        <w:overflowPunct/>
        <w:topLinePunct w:val="0"/>
        <w:autoSpaceDE/>
        <w:autoSpaceDN/>
        <w:bidi w:val="0"/>
        <w:outlineLvl w:val="9"/>
        <w:rPr>
          <w:color w:val="auto"/>
          <w:highlight w:val="none"/>
        </w:rPr>
      </w:pP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广元市经济合作和外事局</w:t>
      </w: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关于2022年度招商引资项目支出绩效</w:t>
      </w:r>
    </w:p>
    <w:p>
      <w:pPr>
        <w:pStyle w:val="37"/>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 评 报 告</w:t>
      </w:r>
    </w:p>
    <w:p>
      <w:pPr>
        <w:pStyle w:val="37"/>
        <w:keepNext w:val="0"/>
        <w:keepLines w:val="0"/>
        <w:pageBreakBefore w:val="0"/>
        <w:widowControl w:val="0"/>
        <w:shd w:val="clear"/>
        <w:kinsoku/>
        <w:wordWrap/>
        <w:overflowPunct/>
        <w:topLinePunct w:val="0"/>
        <w:autoSpaceDE/>
        <w:autoSpaceDN/>
        <w:bidi w:val="0"/>
        <w:spacing w:line="578" w:lineRule="exact"/>
        <w:jc w:val="center"/>
        <w:textAlignment w:val="auto"/>
        <w:outlineLvl w:val="9"/>
        <w:rPr>
          <w:rFonts w:hint="eastAsia" w:ascii="宋体" w:hAnsi="宋体" w:eastAsia="方正小标宋简体" w:cs="方正小标宋简体"/>
          <w:b w:val="0"/>
          <w:bCs w:val="0"/>
          <w:color w:val="auto"/>
          <w:kern w:val="2"/>
          <w:sz w:val="44"/>
          <w:szCs w:val="44"/>
          <w:highlight w:val="none"/>
          <w:lang w:val="en-US" w:eastAsia="zh-CN"/>
        </w:rPr>
      </w:pPr>
    </w:p>
    <w:p>
      <w:pPr>
        <w:pStyle w:val="37"/>
        <w:keepNext w:val="0"/>
        <w:keepLines w:val="0"/>
        <w:pageBreakBefore w:val="0"/>
        <w:widowControl w:val="0"/>
        <w:shd w:val="clear"/>
        <w:kinsoku/>
        <w:wordWrap/>
        <w:overflowPunct/>
        <w:topLinePunct w:val="0"/>
        <w:autoSpaceDE/>
        <w:autoSpaceDN/>
        <w:bidi w:val="0"/>
        <w:spacing w:line="576" w:lineRule="exact"/>
        <w:jc w:val="left"/>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市财政局绩效管理中心：</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按照市财政局《关于开展2022年市级部门绩效自评工作的通知》（广财绩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）文件精神和要求，我局结合单位财务管理实际，认真开展了2022年市级部门专项支出绩效评价工作，现将我单位招商引资专项工作经费自评工作报告如下：</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一、</w:t>
      </w:r>
      <w:r>
        <w:rPr>
          <w:rFonts w:hint="eastAsia" w:ascii="黑体" w:hAnsi="黑体" w:eastAsia="黑体" w:cs="黑体"/>
          <w:color w:val="auto"/>
          <w:kern w:val="0"/>
          <w:sz w:val="32"/>
          <w:szCs w:val="32"/>
          <w:highlight w:val="none"/>
          <w:lang w:val="zh-CN" w:eastAsia="zh-CN" w:bidi="ar-SA"/>
        </w:rPr>
        <w:t>项目概况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（一）项目基本情况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1．说明项目主管部门（单位）在该项目管理中的职能。</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用于保障我单位重大招商引资项目的考察、论证、洽谈、宣传和推介活动，国内外重要投资商来广元考察、洽谈及接待活动，市委、市政府在国内外开展的重点招商引资等工作的顺利开展。</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项目立项、资金申报的依据。</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根据广元市财政局《关于印发</w:t>
      </w:r>
      <w:r>
        <w:rPr>
          <w:rFonts w:hint="eastAsia" w:ascii="宋体" w:hAnsi="宋体" w:eastAsia="仿宋_GB2312" w:cs="仿宋_GB2312"/>
          <w:color w:val="auto"/>
          <w:kern w:val="0"/>
          <w:sz w:val="32"/>
          <w:szCs w:val="32"/>
          <w:highlight w:val="none"/>
          <w:lang w:val="en-US" w:eastAsia="zh-CN" w:bidi="ar-SA"/>
        </w:rPr>
        <w:t>&lt;</w:t>
      </w:r>
      <w:r>
        <w:rPr>
          <w:rFonts w:hint="eastAsia" w:ascii="宋体" w:hAnsi="宋体" w:eastAsia="仿宋_GB2312" w:cs="仿宋_GB2312"/>
          <w:color w:val="auto"/>
          <w:kern w:val="0"/>
          <w:sz w:val="32"/>
          <w:szCs w:val="32"/>
          <w:highlight w:val="none"/>
          <w:lang w:val="zh-CN" w:eastAsia="zh-CN" w:bidi="ar-SA"/>
        </w:rPr>
        <w:t>广元市招商引资专项资金管理办法</w:t>
      </w:r>
      <w:r>
        <w:rPr>
          <w:rFonts w:hint="eastAsia" w:ascii="宋体" w:hAnsi="宋体" w:eastAsia="仿宋_GB2312" w:cs="仿宋_GB2312"/>
          <w:color w:val="auto"/>
          <w:kern w:val="0"/>
          <w:sz w:val="32"/>
          <w:szCs w:val="32"/>
          <w:highlight w:val="none"/>
          <w:lang w:val="en-US" w:eastAsia="zh-CN" w:bidi="ar-SA"/>
        </w:rPr>
        <w:t>&gt;</w:t>
      </w:r>
      <w:r>
        <w:rPr>
          <w:rFonts w:hint="eastAsia" w:ascii="宋体" w:hAnsi="宋体" w:eastAsia="仿宋_GB2312" w:cs="仿宋_GB2312"/>
          <w:color w:val="auto"/>
          <w:kern w:val="0"/>
          <w:sz w:val="32"/>
          <w:szCs w:val="32"/>
          <w:highlight w:val="none"/>
          <w:lang w:val="zh-CN" w:eastAsia="zh-CN" w:bidi="ar-SA"/>
        </w:rPr>
        <w:t>的通知》（</w:t>
      </w:r>
      <w:r>
        <w:rPr>
          <w:rFonts w:hint="eastAsia" w:ascii="宋体" w:hAnsi="宋体" w:eastAsia="仿宋_GB2312" w:cs="仿宋_GB2312"/>
          <w:color w:val="auto"/>
          <w:kern w:val="0"/>
          <w:sz w:val="32"/>
          <w:szCs w:val="32"/>
          <w:highlight w:val="none"/>
          <w:lang w:val="en-US" w:eastAsia="zh-CN" w:bidi="ar-SA"/>
        </w:rPr>
        <w:t>广财行</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2018</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46号）</w:t>
      </w:r>
      <w:r>
        <w:rPr>
          <w:rFonts w:hint="eastAsia" w:ascii="宋体" w:hAnsi="宋体" w:eastAsia="仿宋_GB2312" w:cs="仿宋_GB2312"/>
          <w:color w:val="auto"/>
          <w:kern w:val="0"/>
          <w:sz w:val="32"/>
          <w:szCs w:val="32"/>
          <w:highlight w:val="none"/>
          <w:lang w:val="zh-CN" w:eastAsia="zh-CN" w:bidi="ar-SA"/>
        </w:rPr>
        <w:t>。招商引资专项经费按照每季度</w:t>
      </w:r>
      <w:r>
        <w:rPr>
          <w:rFonts w:hint="eastAsia" w:ascii="宋体" w:hAnsi="宋体" w:eastAsia="仿宋_GB2312" w:cs="仿宋_GB2312"/>
          <w:color w:val="auto"/>
          <w:kern w:val="0"/>
          <w:sz w:val="32"/>
          <w:szCs w:val="32"/>
          <w:highlight w:val="none"/>
          <w:lang w:val="en-US" w:eastAsia="zh-CN" w:bidi="ar-SA"/>
        </w:rPr>
        <w:t>100万实时</w:t>
      </w:r>
      <w:r>
        <w:rPr>
          <w:rFonts w:hint="eastAsia" w:ascii="宋体" w:hAnsi="宋体" w:eastAsia="仿宋_GB2312" w:cs="仿宋_GB2312"/>
          <w:color w:val="auto"/>
          <w:kern w:val="0"/>
          <w:sz w:val="32"/>
          <w:szCs w:val="32"/>
          <w:highlight w:val="none"/>
          <w:lang w:val="zh-CN" w:eastAsia="zh-CN" w:bidi="ar-SA"/>
        </w:rPr>
        <w:t>拨付，经费由市财政局划拨到市经济合作和外事局统一管理和使用</w:t>
      </w:r>
      <w:r>
        <w:rPr>
          <w:rFonts w:hint="eastAsia" w:ascii="宋体" w:hAnsi="宋体" w:eastAsia="仿宋_GB2312" w:cs="仿宋_GB2312"/>
          <w:color w:val="auto"/>
          <w:kern w:val="0"/>
          <w:sz w:val="32"/>
          <w:szCs w:val="32"/>
          <w:highlight w:val="none"/>
          <w:lang w:val="en-US" w:eastAsia="zh-CN" w:bidi="ar-SA"/>
        </w:rPr>
        <w:t>。</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资金</w:t>
      </w:r>
      <w:r>
        <w:rPr>
          <w:rFonts w:hint="eastAsia" w:ascii="宋体" w:hAnsi="宋体" w:eastAsia="仿宋_GB2312" w:cs="仿宋_GB2312"/>
          <w:color w:val="auto"/>
          <w:kern w:val="0"/>
          <w:sz w:val="32"/>
          <w:szCs w:val="32"/>
          <w:highlight w:val="none"/>
          <w:lang w:val="en-US" w:eastAsia="zh-CN" w:bidi="ar-SA"/>
        </w:rPr>
        <w:t>或项目</w:t>
      </w:r>
      <w:r>
        <w:rPr>
          <w:rFonts w:hint="eastAsia" w:ascii="宋体" w:hAnsi="宋体" w:eastAsia="仿宋_GB2312" w:cs="仿宋_GB2312"/>
          <w:color w:val="auto"/>
          <w:kern w:val="0"/>
          <w:sz w:val="32"/>
          <w:szCs w:val="32"/>
          <w:highlight w:val="none"/>
          <w:lang w:val="zh-CN" w:eastAsia="zh-CN" w:bidi="ar-SA"/>
        </w:rPr>
        <w:t>管理办法制定情况，资金支持具体项目的条件、范围与支持方式概况。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广元市财政局制定了</w:t>
      </w:r>
      <w:r>
        <w:rPr>
          <w:rFonts w:hint="eastAsia" w:ascii="宋体" w:hAnsi="宋体" w:eastAsia="仿宋_GB2312" w:cs="仿宋_GB2312"/>
          <w:color w:val="auto"/>
          <w:kern w:val="0"/>
          <w:sz w:val="32"/>
          <w:szCs w:val="32"/>
          <w:highlight w:val="none"/>
          <w:lang w:val="zh-CN" w:eastAsia="zh-CN" w:bidi="ar-SA"/>
        </w:rPr>
        <w:t>《关于印发</w:t>
      </w:r>
      <w:r>
        <w:rPr>
          <w:rFonts w:hint="eastAsia" w:ascii="宋体" w:hAnsi="宋体" w:eastAsia="仿宋_GB2312" w:cs="仿宋_GB2312"/>
          <w:color w:val="auto"/>
          <w:kern w:val="0"/>
          <w:sz w:val="32"/>
          <w:szCs w:val="32"/>
          <w:highlight w:val="none"/>
          <w:lang w:val="en-US" w:eastAsia="zh-CN" w:bidi="ar-SA"/>
        </w:rPr>
        <w:t>&lt;</w:t>
      </w:r>
      <w:r>
        <w:rPr>
          <w:rFonts w:hint="eastAsia" w:ascii="宋体" w:hAnsi="宋体" w:eastAsia="仿宋_GB2312" w:cs="仿宋_GB2312"/>
          <w:color w:val="auto"/>
          <w:kern w:val="0"/>
          <w:sz w:val="32"/>
          <w:szCs w:val="32"/>
          <w:highlight w:val="none"/>
          <w:lang w:val="zh-CN" w:eastAsia="zh-CN" w:bidi="ar-SA"/>
        </w:rPr>
        <w:t>广元市招商引资专项资金管理办法</w:t>
      </w:r>
      <w:r>
        <w:rPr>
          <w:rFonts w:hint="eastAsia" w:ascii="宋体" w:hAnsi="宋体" w:eastAsia="仿宋_GB2312" w:cs="仿宋_GB2312"/>
          <w:color w:val="auto"/>
          <w:kern w:val="0"/>
          <w:sz w:val="32"/>
          <w:szCs w:val="32"/>
          <w:highlight w:val="none"/>
          <w:lang w:val="en-US" w:eastAsia="zh-CN" w:bidi="ar-SA"/>
        </w:rPr>
        <w:t>&gt;</w:t>
      </w:r>
      <w:r>
        <w:rPr>
          <w:rFonts w:hint="eastAsia" w:ascii="宋体" w:hAnsi="宋体" w:eastAsia="仿宋_GB2312" w:cs="仿宋_GB2312"/>
          <w:color w:val="auto"/>
          <w:kern w:val="0"/>
          <w:sz w:val="32"/>
          <w:szCs w:val="32"/>
          <w:highlight w:val="none"/>
          <w:lang w:val="zh-CN" w:eastAsia="zh-CN" w:bidi="ar-SA"/>
        </w:rPr>
        <w:t>的通知》（</w:t>
      </w:r>
      <w:r>
        <w:rPr>
          <w:rFonts w:hint="eastAsia" w:ascii="宋体" w:hAnsi="宋体" w:eastAsia="仿宋_GB2312" w:cs="仿宋_GB2312"/>
          <w:color w:val="auto"/>
          <w:kern w:val="0"/>
          <w:sz w:val="32"/>
          <w:szCs w:val="32"/>
          <w:highlight w:val="none"/>
          <w:lang w:val="en-US" w:eastAsia="zh-CN" w:bidi="ar-SA"/>
        </w:rPr>
        <w:t>广财行</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2018</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46号）</w:t>
      </w:r>
      <w:r>
        <w:rPr>
          <w:rFonts w:hint="eastAsia" w:ascii="宋体" w:hAnsi="宋体" w:eastAsia="仿宋_GB2312" w:cs="仿宋_GB2312"/>
          <w:color w:val="auto"/>
          <w:kern w:val="0"/>
          <w:sz w:val="32"/>
          <w:szCs w:val="32"/>
          <w:highlight w:val="none"/>
          <w:lang w:val="zh-CN" w:eastAsia="zh-CN" w:bidi="ar-SA"/>
        </w:rPr>
        <w:t>，我单位制定了《广元市经济合作局商务接待管理办法（试行）的通知》（</w:t>
      </w:r>
      <w:r>
        <w:rPr>
          <w:rFonts w:hint="eastAsia" w:ascii="宋体" w:hAnsi="宋体" w:eastAsia="仿宋_GB2312" w:cs="仿宋_GB2312"/>
          <w:color w:val="auto"/>
          <w:kern w:val="0"/>
          <w:sz w:val="32"/>
          <w:szCs w:val="32"/>
          <w:highlight w:val="none"/>
          <w:lang w:val="en-US" w:eastAsia="zh-CN" w:bidi="ar-SA"/>
        </w:rPr>
        <w:t>广经合办</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1号</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等一系列管理办法，并</w:t>
      </w:r>
      <w:r>
        <w:rPr>
          <w:rFonts w:hint="eastAsia" w:ascii="宋体" w:hAnsi="宋体" w:eastAsia="仿宋_GB2312" w:cs="仿宋_GB2312"/>
          <w:color w:val="auto"/>
          <w:kern w:val="0"/>
          <w:sz w:val="32"/>
          <w:szCs w:val="32"/>
          <w:highlight w:val="none"/>
          <w:lang w:val="zh-CN" w:eastAsia="zh-CN" w:bidi="ar-SA"/>
        </w:rPr>
        <w:t>严格执行财务管理制度，按照“专款专用，注重实效”的原则进行管理。严格执行</w:t>
      </w:r>
      <w:r>
        <w:rPr>
          <w:rFonts w:hint="eastAsia" w:ascii="宋体" w:hAnsi="宋体" w:eastAsia="仿宋_GB2312" w:cs="仿宋_GB2312"/>
          <w:color w:val="auto"/>
          <w:kern w:val="0"/>
          <w:sz w:val="32"/>
          <w:szCs w:val="32"/>
          <w:highlight w:val="none"/>
          <w:lang w:val="en-US" w:eastAsia="zh-CN" w:bidi="ar-SA"/>
        </w:rPr>
        <w:t>财务</w:t>
      </w:r>
      <w:r>
        <w:rPr>
          <w:rFonts w:hint="eastAsia" w:ascii="宋体" w:hAnsi="宋体" w:eastAsia="仿宋_GB2312" w:cs="仿宋_GB2312"/>
          <w:color w:val="auto"/>
          <w:kern w:val="0"/>
          <w:sz w:val="32"/>
          <w:szCs w:val="32"/>
          <w:highlight w:val="none"/>
          <w:lang w:val="zh-CN" w:eastAsia="zh-CN" w:bidi="ar-SA"/>
        </w:rPr>
        <w:t>管理及资金支付制度，从制度上为规范资金管理提供保障，保证了资金使用管理的规范性、安全性和有效性。</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4．资金分配的原则及考虑因素。招商引资专项经费主要分配原则是按照全年招商引资任务进行拨付。</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（二）项目绩效目标</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1．项目主要内容。</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 xml:space="preserve">主用于保障我单位重大招商引资项目的考察、论证、洽谈、宣传和推介活动，国内外重要投资商来广元考察、洽谈及接待活动，市委、市政府在国内外开展的重点招商引资等工作的顺利开展。  </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项目应实现的具体绩效目标，</w:t>
      </w:r>
      <w:r>
        <w:rPr>
          <w:rFonts w:hint="eastAsia" w:ascii="宋体" w:hAnsi="宋体" w:eastAsia="仿宋_GB2312" w:cs="仿宋_GB2312"/>
          <w:color w:val="auto"/>
          <w:kern w:val="0"/>
          <w:sz w:val="32"/>
          <w:szCs w:val="32"/>
          <w:highlight w:val="none"/>
          <w:lang w:val="en-US" w:eastAsia="zh-CN" w:bidi="ar-SA"/>
        </w:rPr>
        <w:t xml:space="preserve">包括但不限于：负责全市投资环境推介工作，统筹组织市级重大投资促进活动，牵头全市重大招商引资项目的促进与落实。争取在2022年引进到位国内市外资金700亿以上，新签约投资额亿元以上项目100个以上。  </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3．分析评价申报内容是否与实际相符，申报目标是否合理可行。</w:t>
      </w:r>
      <w:r>
        <w:rPr>
          <w:rFonts w:hint="eastAsia" w:ascii="宋体" w:hAnsi="宋体" w:eastAsia="仿宋_GB2312" w:cs="仿宋_GB2312"/>
          <w:color w:val="auto"/>
          <w:kern w:val="0"/>
          <w:sz w:val="32"/>
          <w:szCs w:val="32"/>
          <w:highlight w:val="none"/>
          <w:lang w:val="en-US" w:eastAsia="zh-CN" w:bidi="ar-SA"/>
        </w:rPr>
        <w:t>2022年我单位下招商引资经费400万元，该资金用于我单位招商引资项目支出。该项目专项预算申报内容与实际相符，申报目标合理可行。</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（三）项目自评步骤及方法。</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1.强化组织领导。为做好部门财政支出绩效评价自查工作，成立了由局主要领导为组长，党组成员、财务分管领导为副组长，财务人员为成员的招商引资项目支出绩效评价工作领导小组，由财务分管领导牵头负责部门财政支出绩效评价自查各项工作。</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2.实施步骤分为两个阶段：一是前期准备阶段。组织认真学习《关于开展2022年市级部门绩效自评工作的通知》（广财绩</w:t>
      </w: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5</w:t>
      </w:r>
      <w:r>
        <w:rPr>
          <w:rFonts w:hint="eastAsia" w:ascii="宋体" w:hAnsi="宋体" w:eastAsia="仿宋_GB2312" w:cs="仿宋_GB2312"/>
          <w:color w:val="auto"/>
          <w:kern w:val="0"/>
          <w:sz w:val="32"/>
          <w:szCs w:val="32"/>
          <w:highlight w:val="none"/>
          <w:lang w:val="zh-CN" w:eastAsia="zh-CN" w:bidi="ar-SA"/>
        </w:rPr>
        <w:t>号</w:t>
      </w:r>
      <w:r>
        <w:rPr>
          <w:rFonts w:hint="eastAsia" w:ascii="宋体" w:hAnsi="宋体" w:eastAsia="仿宋_GB2312" w:cs="仿宋_GB2312"/>
          <w:color w:val="auto"/>
          <w:kern w:val="0"/>
          <w:sz w:val="32"/>
          <w:szCs w:val="32"/>
          <w:highlight w:val="none"/>
          <w:lang w:val="en-US" w:eastAsia="zh-CN" w:bidi="ar-SA"/>
        </w:rPr>
        <w:t>）文件精神和要求，提高对开展部门支出绩效评价工作的认识，统一思想，确保自查工作的顺利开展。二是自查工作阶段。对市经合局外事局2022年招商引资专项经费收入、支出、预算编制、财务管理、项目资金使用投入产出等情况进行认真的自查。根据“坚持定量优先、简便有效原则”，我局对2021年度部门支出绩效评价主要采用了成本效益分析法、比较法：一是成本效益分析法。评价2022年度部门财政支出与招商引资工作取得的成效进行对比分析以评价绩效目标实现程度。二是比较法。通过对绩效目标与实施效果、历史与当期情况同类支出的比较，综合分析绩效目标实现程度。</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二、项目资金申报及使用情况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（一）项目资金申报及批复情况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2022年我单位共申报招商引资项目资金400万元，共批复该项目资金400万元。</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（二）资金计划、到位及使用情况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1．资金计划。按照全年每个季度</w:t>
      </w:r>
      <w:r>
        <w:rPr>
          <w:rFonts w:hint="eastAsia" w:ascii="宋体" w:hAnsi="宋体" w:eastAsia="仿宋_GB2312" w:cs="仿宋_GB2312"/>
          <w:color w:val="auto"/>
          <w:kern w:val="0"/>
          <w:sz w:val="32"/>
          <w:szCs w:val="32"/>
          <w:highlight w:val="none"/>
          <w:lang w:val="en-US" w:eastAsia="zh-CN" w:bidi="ar-SA"/>
        </w:rPr>
        <w:t>100万元招商引资运行成本，</w:t>
      </w:r>
      <w:r>
        <w:rPr>
          <w:rFonts w:hint="eastAsia" w:ascii="宋体" w:hAnsi="宋体" w:eastAsia="仿宋_GB2312" w:cs="仿宋_GB2312"/>
          <w:color w:val="auto"/>
          <w:kern w:val="0"/>
          <w:sz w:val="32"/>
          <w:szCs w:val="32"/>
          <w:highlight w:val="none"/>
          <w:lang w:val="zh-CN" w:eastAsia="zh-CN" w:bidi="ar-SA"/>
        </w:rPr>
        <w:t>全年共计划使用资金</w:t>
      </w:r>
      <w:r>
        <w:rPr>
          <w:rFonts w:hint="eastAsia" w:ascii="宋体" w:hAnsi="宋体" w:eastAsia="仿宋_GB2312" w:cs="仿宋_GB2312"/>
          <w:color w:val="auto"/>
          <w:kern w:val="0"/>
          <w:sz w:val="32"/>
          <w:szCs w:val="32"/>
          <w:highlight w:val="none"/>
          <w:lang w:val="en-US" w:eastAsia="zh-CN" w:bidi="ar-SA"/>
        </w:rPr>
        <w:t>400万元。</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2．资金到位。全年到位资金</w:t>
      </w:r>
      <w:r>
        <w:rPr>
          <w:rFonts w:hint="eastAsia" w:ascii="宋体" w:hAnsi="宋体" w:eastAsia="仿宋_GB2312" w:cs="仿宋_GB2312"/>
          <w:color w:val="auto"/>
          <w:kern w:val="0"/>
          <w:sz w:val="32"/>
          <w:szCs w:val="32"/>
          <w:highlight w:val="none"/>
          <w:lang w:val="en-US" w:eastAsia="zh-CN" w:bidi="ar-SA"/>
        </w:rPr>
        <w:t>400万元</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3．资金使用。</w:t>
      </w:r>
      <w:r>
        <w:rPr>
          <w:rFonts w:hint="eastAsia" w:ascii="宋体" w:hAnsi="宋体" w:eastAsia="仿宋_GB2312" w:cs="仿宋_GB2312"/>
          <w:color w:val="auto"/>
          <w:kern w:val="0"/>
          <w:sz w:val="32"/>
          <w:szCs w:val="32"/>
          <w:highlight w:val="none"/>
          <w:lang w:val="en-US" w:eastAsia="zh-CN" w:bidi="ar-SA"/>
        </w:rPr>
        <w:t>因受疫情影响，外出招商困难，</w:t>
      </w:r>
      <w:r>
        <w:rPr>
          <w:rFonts w:hint="eastAsia" w:ascii="宋体" w:hAnsi="宋体" w:eastAsia="仿宋_GB2312" w:cs="仿宋_GB2312"/>
          <w:color w:val="auto"/>
          <w:kern w:val="0"/>
          <w:sz w:val="32"/>
          <w:szCs w:val="32"/>
          <w:highlight w:val="none"/>
          <w:lang w:val="zh-CN" w:eastAsia="zh-CN" w:bidi="ar-SA"/>
        </w:rPr>
        <w:t>截止</w:t>
      </w:r>
      <w:r>
        <w:rPr>
          <w:rFonts w:hint="eastAsia" w:ascii="宋体" w:hAnsi="宋体" w:eastAsia="仿宋_GB2312" w:cs="仿宋_GB2312"/>
          <w:color w:val="auto"/>
          <w:kern w:val="0"/>
          <w:sz w:val="32"/>
          <w:szCs w:val="32"/>
          <w:highlight w:val="none"/>
          <w:lang w:val="en-US" w:eastAsia="zh-CN" w:bidi="ar-SA"/>
        </w:rPr>
        <w:t>2022年12月31日，该项目资金支出总额305.16万元，预算执行率为76.29%。在支付过程中严格按照该项目使用要求进行资金拨付，资金支付合法合规，与预算相符，无挤占、超标准使用该项目资金的情况。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（三）项目财务管理情况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en-US" w:eastAsia="zh-CN" w:bidi="ar-SA"/>
        </w:rPr>
        <w:t>我单位严格</w:t>
      </w:r>
      <w:r>
        <w:rPr>
          <w:rFonts w:hint="eastAsia" w:ascii="宋体" w:hAnsi="宋体" w:eastAsia="仿宋_GB2312" w:cs="仿宋_GB2312"/>
          <w:color w:val="auto"/>
          <w:kern w:val="0"/>
          <w:sz w:val="32"/>
          <w:szCs w:val="32"/>
          <w:highlight w:val="none"/>
          <w:lang w:val="zh-CN" w:eastAsia="zh-CN" w:bidi="ar-SA"/>
        </w:rPr>
        <w:t>按照广元市财政局《关于印发</w:t>
      </w:r>
      <w:r>
        <w:rPr>
          <w:rFonts w:hint="eastAsia" w:ascii="宋体" w:hAnsi="宋体" w:eastAsia="仿宋_GB2312" w:cs="仿宋_GB2312"/>
          <w:color w:val="auto"/>
          <w:kern w:val="0"/>
          <w:sz w:val="32"/>
          <w:szCs w:val="32"/>
          <w:highlight w:val="none"/>
          <w:lang w:val="en-US" w:eastAsia="zh-CN" w:bidi="ar-SA"/>
        </w:rPr>
        <w:t>&lt;</w:t>
      </w:r>
      <w:r>
        <w:rPr>
          <w:rFonts w:hint="eastAsia" w:ascii="宋体" w:hAnsi="宋体" w:eastAsia="仿宋_GB2312" w:cs="仿宋_GB2312"/>
          <w:color w:val="auto"/>
          <w:kern w:val="0"/>
          <w:sz w:val="32"/>
          <w:szCs w:val="32"/>
          <w:highlight w:val="none"/>
          <w:lang w:val="zh-CN" w:eastAsia="zh-CN" w:bidi="ar-SA"/>
        </w:rPr>
        <w:t>广元市招商引资专项资金管理办法</w:t>
      </w:r>
      <w:r>
        <w:rPr>
          <w:rFonts w:hint="eastAsia" w:ascii="宋体" w:hAnsi="宋体" w:eastAsia="仿宋_GB2312" w:cs="仿宋_GB2312"/>
          <w:color w:val="auto"/>
          <w:kern w:val="0"/>
          <w:sz w:val="32"/>
          <w:szCs w:val="32"/>
          <w:highlight w:val="none"/>
          <w:lang w:val="en-US" w:eastAsia="zh-CN" w:bidi="ar-SA"/>
        </w:rPr>
        <w:t>&gt;</w:t>
      </w:r>
      <w:r>
        <w:rPr>
          <w:rFonts w:hint="eastAsia" w:ascii="宋体" w:hAnsi="宋体" w:eastAsia="仿宋_GB2312" w:cs="仿宋_GB2312"/>
          <w:color w:val="auto"/>
          <w:kern w:val="0"/>
          <w:sz w:val="32"/>
          <w:szCs w:val="32"/>
          <w:highlight w:val="none"/>
          <w:lang w:val="zh-CN" w:eastAsia="zh-CN" w:bidi="ar-SA"/>
        </w:rPr>
        <w:t>的通知》（</w:t>
      </w:r>
      <w:r>
        <w:rPr>
          <w:rFonts w:hint="eastAsia" w:ascii="宋体" w:hAnsi="宋体" w:eastAsia="仿宋_GB2312" w:cs="仿宋_GB2312"/>
          <w:color w:val="auto"/>
          <w:kern w:val="0"/>
          <w:sz w:val="32"/>
          <w:szCs w:val="32"/>
          <w:highlight w:val="none"/>
          <w:lang w:val="en-US" w:eastAsia="zh-CN" w:bidi="ar-SA"/>
        </w:rPr>
        <w:t>广财行</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2018</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46号）</w:t>
      </w:r>
      <w:r>
        <w:rPr>
          <w:rFonts w:hint="eastAsia" w:ascii="宋体" w:hAnsi="宋体" w:eastAsia="仿宋_GB2312" w:cs="仿宋_GB2312"/>
          <w:color w:val="auto"/>
          <w:kern w:val="0"/>
          <w:sz w:val="32"/>
          <w:szCs w:val="32"/>
          <w:highlight w:val="none"/>
          <w:lang w:val="zh-CN" w:eastAsia="zh-CN" w:bidi="ar-SA"/>
        </w:rPr>
        <w:t>）文件精神，严格执行财务管理制度，按照“专款专用，注重实效”的原则进行管理。严格执行</w:t>
      </w:r>
      <w:r>
        <w:rPr>
          <w:rFonts w:hint="eastAsia" w:ascii="宋体" w:hAnsi="宋体" w:eastAsia="仿宋_GB2312" w:cs="仿宋_GB2312"/>
          <w:color w:val="auto"/>
          <w:kern w:val="0"/>
          <w:sz w:val="32"/>
          <w:szCs w:val="32"/>
          <w:highlight w:val="none"/>
          <w:lang w:val="en-US" w:eastAsia="zh-CN" w:bidi="ar-SA"/>
        </w:rPr>
        <w:t>财务</w:t>
      </w:r>
      <w:r>
        <w:rPr>
          <w:rFonts w:hint="eastAsia" w:ascii="宋体" w:hAnsi="宋体" w:eastAsia="仿宋_GB2312" w:cs="仿宋_GB2312"/>
          <w:color w:val="auto"/>
          <w:kern w:val="0"/>
          <w:sz w:val="32"/>
          <w:szCs w:val="32"/>
          <w:highlight w:val="none"/>
          <w:lang w:val="zh-CN" w:eastAsia="zh-CN" w:bidi="ar-SA"/>
        </w:rPr>
        <w:t>管理及资金支付制度，从制度上为规范资金管理提供保障，促进了资金使用管理的规范性、安全性和有效性。</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三、项目实施及管理情况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（一）项目组织架构及实施流程。</w:t>
      </w:r>
      <w:r>
        <w:rPr>
          <w:rFonts w:hint="eastAsia" w:ascii="宋体" w:hAnsi="宋体" w:eastAsia="仿宋_GB2312" w:cs="仿宋_GB2312"/>
          <w:color w:val="auto"/>
          <w:kern w:val="0"/>
          <w:sz w:val="32"/>
          <w:szCs w:val="32"/>
          <w:highlight w:val="none"/>
          <w:lang w:val="zh-CN" w:eastAsia="zh-CN" w:bidi="ar-SA"/>
        </w:rPr>
        <w:t>制定了中共广元市经济合作局办公室关于印发《广元市经济合作局上午接待管理办法（试行）的通知》（</w:t>
      </w:r>
      <w:r>
        <w:rPr>
          <w:rFonts w:hint="eastAsia" w:ascii="宋体" w:hAnsi="宋体" w:eastAsia="仿宋_GB2312" w:cs="仿宋_GB2312"/>
          <w:color w:val="auto"/>
          <w:kern w:val="0"/>
          <w:sz w:val="32"/>
          <w:szCs w:val="32"/>
          <w:highlight w:val="none"/>
          <w:lang w:val="en-US" w:eastAsia="zh-CN" w:bidi="ar-SA"/>
        </w:rPr>
        <w:t>广经合办</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2021</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1号）</w:t>
      </w:r>
      <w:r>
        <w:rPr>
          <w:rFonts w:hint="eastAsia" w:ascii="宋体" w:hAnsi="宋体" w:eastAsia="仿宋_GB2312" w:cs="仿宋_GB2312"/>
          <w:color w:val="auto"/>
          <w:kern w:val="0"/>
          <w:sz w:val="32"/>
          <w:szCs w:val="32"/>
          <w:highlight w:val="none"/>
          <w:lang w:val="zh-CN" w:eastAsia="zh-CN" w:bidi="ar-SA"/>
        </w:rPr>
        <w:t>，并根据广元市财政局《关于印发</w:t>
      </w:r>
      <w:r>
        <w:rPr>
          <w:rFonts w:hint="eastAsia" w:ascii="宋体" w:hAnsi="宋体" w:eastAsia="仿宋_GB2312" w:cs="仿宋_GB2312"/>
          <w:color w:val="auto"/>
          <w:kern w:val="0"/>
          <w:sz w:val="32"/>
          <w:szCs w:val="32"/>
          <w:highlight w:val="none"/>
          <w:lang w:val="en-US" w:eastAsia="zh-CN" w:bidi="ar-SA"/>
        </w:rPr>
        <w:t>&lt;</w:t>
      </w:r>
      <w:r>
        <w:rPr>
          <w:rFonts w:hint="eastAsia" w:ascii="宋体" w:hAnsi="宋体" w:eastAsia="仿宋_GB2312" w:cs="仿宋_GB2312"/>
          <w:color w:val="auto"/>
          <w:kern w:val="0"/>
          <w:sz w:val="32"/>
          <w:szCs w:val="32"/>
          <w:highlight w:val="none"/>
          <w:lang w:val="zh-CN" w:eastAsia="zh-CN" w:bidi="ar-SA"/>
        </w:rPr>
        <w:t>广元市招商引资专项资金管理办法</w:t>
      </w:r>
      <w:r>
        <w:rPr>
          <w:rFonts w:hint="eastAsia" w:ascii="宋体" w:hAnsi="宋体" w:eastAsia="仿宋_GB2312" w:cs="仿宋_GB2312"/>
          <w:color w:val="auto"/>
          <w:kern w:val="0"/>
          <w:sz w:val="32"/>
          <w:szCs w:val="32"/>
          <w:highlight w:val="none"/>
          <w:lang w:val="en-US" w:eastAsia="zh-CN" w:bidi="ar-SA"/>
        </w:rPr>
        <w:t>&gt;</w:t>
      </w:r>
      <w:r>
        <w:rPr>
          <w:rFonts w:hint="eastAsia" w:ascii="宋体" w:hAnsi="宋体" w:eastAsia="仿宋_GB2312" w:cs="仿宋_GB2312"/>
          <w:color w:val="auto"/>
          <w:kern w:val="0"/>
          <w:sz w:val="32"/>
          <w:szCs w:val="32"/>
          <w:highlight w:val="none"/>
          <w:lang w:val="zh-CN" w:eastAsia="zh-CN" w:bidi="ar-SA"/>
        </w:rPr>
        <w:t>的通知》（</w:t>
      </w:r>
      <w:r>
        <w:rPr>
          <w:rFonts w:hint="eastAsia" w:ascii="宋体" w:hAnsi="宋体" w:eastAsia="仿宋_GB2312" w:cs="仿宋_GB2312"/>
          <w:color w:val="auto"/>
          <w:kern w:val="0"/>
          <w:sz w:val="32"/>
          <w:szCs w:val="32"/>
          <w:highlight w:val="none"/>
          <w:lang w:val="en-US" w:eastAsia="zh-CN" w:bidi="ar-SA"/>
        </w:rPr>
        <w:t>广财行</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2018</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46号）</w:t>
      </w:r>
      <w:r>
        <w:rPr>
          <w:rFonts w:hint="eastAsia" w:ascii="宋体" w:hAnsi="宋体" w:eastAsia="仿宋_GB2312" w:cs="仿宋_GB2312"/>
          <w:color w:val="auto"/>
          <w:kern w:val="0"/>
          <w:sz w:val="32"/>
          <w:szCs w:val="32"/>
          <w:highlight w:val="none"/>
          <w:lang w:val="zh-CN" w:eastAsia="zh-CN" w:bidi="ar-SA"/>
        </w:rPr>
        <w:t>文件精神，强化对招商引资专项经费的管理</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zh-CN" w:eastAsia="zh-CN" w:bidi="ar-SA"/>
        </w:rPr>
        <w:t>（二）项目管理情况。</w:t>
      </w:r>
      <w:r>
        <w:rPr>
          <w:rFonts w:hint="eastAsia" w:ascii="宋体" w:hAnsi="宋体" w:eastAsia="仿宋_GB2312" w:cs="仿宋_GB2312"/>
          <w:color w:val="auto"/>
          <w:kern w:val="0"/>
          <w:sz w:val="32"/>
          <w:szCs w:val="32"/>
          <w:highlight w:val="none"/>
          <w:lang w:val="en-US" w:eastAsia="zh-CN" w:bidi="ar-SA"/>
        </w:rPr>
        <w:t>我单位根据广元市财政局</w:t>
      </w:r>
      <w:r>
        <w:rPr>
          <w:rFonts w:hint="eastAsia" w:ascii="宋体" w:hAnsi="宋体" w:eastAsia="仿宋_GB2312" w:cs="仿宋_GB2312"/>
          <w:color w:val="auto"/>
          <w:kern w:val="0"/>
          <w:sz w:val="32"/>
          <w:szCs w:val="32"/>
          <w:highlight w:val="none"/>
          <w:lang w:val="zh-CN" w:eastAsia="zh-CN" w:bidi="ar-SA"/>
        </w:rPr>
        <w:t>《关于印发</w:t>
      </w:r>
      <w:r>
        <w:rPr>
          <w:rFonts w:hint="eastAsia" w:ascii="宋体" w:hAnsi="宋体" w:eastAsia="仿宋_GB2312" w:cs="仿宋_GB2312"/>
          <w:color w:val="auto"/>
          <w:kern w:val="0"/>
          <w:sz w:val="32"/>
          <w:szCs w:val="32"/>
          <w:highlight w:val="none"/>
          <w:lang w:val="en-US" w:eastAsia="zh-CN" w:bidi="ar-SA"/>
        </w:rPr>
        <w:t>&lt;</w:t>
      </w:r>
      <w:r>
        <w:rPr>
          <w:rFonts w:hint="eastAsia" w:ascii="宋体" w:hAnsi="宋体" w:eastAsia="仿宋_GB2312" w:cs="仿宋_GB2312"/>
          <w:color w:val="auto"/>
          <w:kern w:val="0"/>
          <w:sz w:val="32"/>
          <w:szCs w:val="32"/>
          <w:highlight w:val="none"/>
          <w:lang w:val="zh-CN" w:eastAsia="zh-CN" w:bidi="ar-SA"/>
        </w:rPr>
        <w:t>广元市招商引资专项资金管理办法</w:t>
      </w:r>
      <w:r>
        <w:rPr>
          <w:rFonts w:hint="eastAsia" w:ascii="宋体" w:hAnsi="宋体" w:eastAsia="仿宋_GB2312" w:cs="仿宋_GB2312"/>
          <w:color w:val="auto"/>
          <w:kern w:val="0"/>
          <w:sz w:val="32"/>
          <w:szCs w:val="32"/>
          <w:highlight w:val="none"/>
          <w:lang w:val="en-US" w:eastAsia="zh-CN" w:bidi="ar-SA"/>
        </w:rPr>
        <w:t>&gt;</w:t>
      </w:r>
      <w:r>
        <w:rPr>
          <w:rFonts w:hint="eastAsia" w:ascii="宋体" w:hAnsi="宋体" w:eastAsia="仿宋_GB2312" w:cs="仿宋_GB2312"/>
          <w:color w:val="auto"/>
          <w:kern w:val="0"/>
          <w:sz w:val="32"/>
          <w:szCs w:val="32"/>
          <w:highlight w:val="none"/>
          <w:lang w:val="zh-CN" w:eastAsia="zh-CN" w:bidi="ar-SA"/>
        </w:rPr>
        <w:t>的通知》（</w:t>
      </w:r>
      <w:r>
        <w:rPr>
          <w:rFonts w:hint="eastAsia" w:ascii="宋体" w:hAnsi="宋体" w:eastAsia="仿宋_GB2312" w:cs="仿宋_GB2312"/>
          <w:color w:val="auto"/>
          <w:kern w:val="0"/>
          <w:sz w:val="32"/>
          <w:szCs w:val="32"/>
          <w:highlight w:val="none"/>
          <w:lang w:val="en-US" w:eastAsia="zh-CN" w:bidi="ar-SA"/>
        </w:rPr>
        <w:t>广财行</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2018</w:t>
      </w:r>
      <w:r>
        <w:rPr>
          <w:rFonts w:hint="eastAsia" w:ascii="宋体" w:hAnsi="宋体" w:eastAsia="仿宋_GB2312" w:cs="仿宋_GB2312"/>
          <w:color w:val="auto"/>
          <w:kern w:val="0"/>
          <w:sz w:val="32"/>
          <w:szCs w:val="32"/>
          <w:highlight w:val="none"/>
          <w:lang w:val="zh-CN" w:eastAsia="zh-CN" w:bidi="ar-SA"/>
        </w:rPr>
        <w:t>〕</w:t>
      </w:r>
      <w:r>
        <w:rPr>
          <w:rFonts w:hint="eastAsia" w:ascii="宋体" w:hAnsi="宋体" w:eastAsia="仿宋_GB2312" w:cs="仿宋_GB2312"/>
          <w:color w:val="auto"/>
          <w:kern w:val="0"/>
          <w:sz w:val="32"/>
          <w:szCs w:val="32"/>
          <w:highlight w:val="none"/>
          <w:lang w:val="en-US" w:eastAsia="zh-CN" w:bidi="ar-SA"/>
        </w:rPr>
        <w:t>46号</w:t>
      </w:r>
      <w:r>
        <w:rPr>
          <w:rFonts w:hint="eastAsia" w:ascii="宋体" w:hAnsi="宋体" w:eastAsia="仿宋_GB2312" w:cs="仿宋_GB2312"/>
          <w:color w:val="auto"/>
          <w:kern w:val="0"/>
          <w:sz w:val="32"/>
          <w:szCs w:val="32"/>
          <w:highlight w:val="none"/>
          <w:lang w:val="zh-CN" w:eastAsia="zh-CN" w:bidi="ar-SA"/>
        </w:rPr>
        <w:t>）文件精神，并制定了《广元市经济合作局商务接待管理办法（试行）的通知》等一系列管理制度，强化对招商引资专项经费的管理。该专项经费主要</w:t>
      </w:r>
      <w:r>
        <w:rPr>
          <w:rFonts w:hint="eastAsia" w:ascii="宋体" w:hAnsi="宋体" w:eastAsia="仿宋_GB2312" w:cs="仿宋_GB2312"/>
          <w:color w:val="auto"/>
          <w:kern w:val="0"/>
          <w:sz w:val="32"/>
          <w:szCs w:val="32"/>
          <w:highlight w:val="none"/>
          <w:lang w:val="en-US" w:eastAsia="zh-CN" w:bidi="ar-SA"/>
        </w:rPr>
        <w:t xml:space="preserve">用于保障我单位重大招商引资项目的考察、论证、洽谈、宣传和推介活动，国内外重要投资商来广元考察、洽谈及接待活动，市委、市政府在国内外开展的重点招商引资等工作的顺利开展。 </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（三）项目监管情况。</w:t>
      </w:r>
      <w:r>
        <w:rPr>
          <w:rFonts w:hint="eastAsia" w:ascii="宋体" w:hAnsi="宋体" w:eastAsia="仿宋_GB2312" w:cs="仿宋_GB2312"/>
          <w:color w:val="auto"/>
          <w:kern w:val="0"/>
          <w:sz w:val="32"/>
          <w:szCs w:val="32"/>
          <w:highlight w:val="none"/>
          <w:lang w:val="en-US" w:eastAsia="zh-CN" w:bidi="ar-SA"/>
        </w:rPr>
        <w:t>我单位除严格遵守财经纪律以及相关管理制度以外，还配合市纪委监委派驻市政府办纪检组不定期抽查监督，确保项目使用合理、合规</w:t>
      </w:r>
      <w:r>
        <w:rPr>
          <w:rFonts w:hint="eastAsia" w:ascii="宋体" w:hAnsi="宋体" w:eastAsia="仿宋_GB2312" w:cs="仿宋_GB2312"/>
          <w:color w:val="auto"/>
          <w:kern w:val="0"/>
          <w:sz w:val="32"/>
          <w:szCs w:val="32"/>
          <w:highlight w:val="none"/>
          <w:lang w:val="zh-CN" w:eastAsia="zh-CN" w:bidi="ar-SA"/>
        </w:rPr>
        <w:t>。</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四、项目绩效情况</w:t>
      </w:r>
      <w:r>
        <w:rPr>
          <w:rFonts w:hint="eastAsia" w:ascii="黑体" w:hAnsi="黑体" w:eastAsia="黑体" w:cs="黑体"/>
          <w:color w:val="auto"/>
          <w:kern w:val="0"/>
          <w:sz w:val="32"/>
          <w:szCs w:val="32"/>
          <w:highlight w:val="none"/>
          <w:lang w:val="zh-CN" w:eastAsia="zh-CN" w:bidi="ar-SA"/>
        </w:rPr>
        <w:tab/>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（一）项目完成情况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完成了年初预算申报目标绩效任务，圆满完成了全年招商引资任务，促进了广元经济发展。</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（二）项目效益情况</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全市到位资金的招商引资项目</w:t>
      </w:r>
      <w:r>
        <w:rPr>
          <w:rFonts w:hint="default" w:ascii="宋体" w:hAnsi="宋体" w:eastAsia="仿宋_GB2312" w:cs="仿宋_GB2312"/>
          <w:color w:val="auto"/>
          <w:kern w:val="0"/>
          <w:sz w:val="32"/>
          <w:szCs w:val="32"/>
          <w:highlight w:val="none"/>
          <w:lang w:val="en-US" w:eastAsia="zh-CN" w:bidi="ar-SA"/>
        </w:rPr>
        <w:t>523</w:t>
      </w:r>
      <w:r>
        <w:rPr>
          <w:rFonts w:hint="eastAsia" w:ascii="宋体" w:hAnsi="宋体" w:eastAsia="仿宋_GB2312" w:cs="仿宋_GB2312"/>
          <w:color w:val="auto"/>
          <w:kern w:val="0"/>
          <w:sz w:val="32"/>
          <w:szCs w:val="32"/>
          <w:highlight w:val="none"/>
          <w:lang w:val="en-US" w:eastAsia="zh-CN" w:bidi="ar-SA"/>
        </w:rPr>
        <w:t>个，引进到位市外资金</w:t>
      </w:r>
      <w:r>
        <w:rPr>
          <w:rFonts w:hint="default" w:ascii="宋体" w:hAnsi="宋体" w:eastAsia="仿宋_GB2312" w:cs="仿宋_GB2312"/>
          <w:color w:val="auto"/>
          <w:kern w:val="0"/>
          <w:sz w:val="32"/>
          <w:szCs w:val="32"/>
          <w:highlight w:val="none"/>
          <w:lang w:val="en-US" w:eastAsia="zh-CN" w:bidi="ar-SA"/>
        </w:rPr>
        <w:t>751.95</w:t>
      </w:r>
      <w:r>
        <w:rPr>
          <w:rFonts w:hint="eastAsia" w:ascii="宋体" w:hAnsi="宋体" w:eastAsia="仿宋_GB2312" w:cs="仿宋_GB2312"/>
          <w:color w:val="auto"/>
          <w:kern w:val="0"/>
          <w:sz w:val="32"/>
          <w:szCs w:val="32"/>
          <w:highlight w:val="none"/>
          <w:lang w:val="en-US" w:eastAsia="zh-CN" w:bidi="ar-SA"/>
        </w:rPr>
        <w:t>亿元；全市新签约项目</w:t>
      </w:r>
      <w:r>
        <w:rPr>
          <w:rFonts w:hint="default" w:ascii="宋体" w:hAnsi="宋体" w:eastAsia="仿宋_GB2312" w:cs="仿宋_GB2312"/>
          <w:color w:val="auto"/>
          <w:kern w:val="0"/>
          <w:sz w:val="32"/>
          <w:szCs w:val="32"/>
          <w:highlight w:val="none"/>
          <w:lang w:val="en-US" w:eastAsia="zh-CN" w:bidi="ar-SA"/>
        </w:rPr>
        <w:t>272</w:t>
      </w:r>
      <w:r>
        <w:rPr>
          <w:rFonts w:hint="eastAsia" w:ascii="宋体" w:hAnsi="宋体" w:eastAsia="仿宋_GB2312" w:cs="仿宋_GB2312"/>
          <w:color w:val="auto"/>
          <w:kern w:val="0"/>
          <w:sz w:val="32"/>
          <w:szCs w:val="32"/>
          <w:highlight w:val="none"/>
          <w:lang w:val="en-US" w:eastAsia="zh-CN" w:bidi="ar-SA"/>
        </w:rPr>
        <w:t>个，签约资金</w:t>
      </w:r>
      <w:r>
        <w:rPr>
          <w:rFonts w:hint="default" w:ascii="宋体" w:hAnsi="宋体" w:eastAsia="仿宋_GB2312" w:cs="仿宋_GB2312"/>
          <w:color w:val="auto"/>
          <w:kern w:val="0"/>
          <w:sz w:val="32"/>
          <w:szCs w:val="32"/>
          <w:highlight w:val="none"/>
          <w:lang w:val="en-US" w:eastAsia="zh-CN" w:bidi="ar-SA"/>
        </w:rPr>
        <w:t>893.47</w:t>
      </w:r>
      <w:r>
        <w:rPr>
          <w:rFonts w:hint="eastAsia" w:ascii="宋体" w:hAnsi="宋体" w:eastAsia="仿宋_GB2312" w:cs="仿宋_GB2312"/>
          <w:color w:val="auto"/>
          <w:kern w:val="0"/>
          <w:sz w:val="32"/>
          <w:szCs w:val="32"/>
          <w:highlight w:val="none"/>
          <w:lang w:val="en-US" w:eastAsia="zh-CN" w:bidi="ar-SA"/>
        </w:rPr>
        <w:t>亿元，其中亿元以上项目</w:t>
      </w:r>
      <w:r>
        <w:rPr>
          <w:rFonts w:hint="default" w:ascii="宋体" w:hAnsi="宋体" w:eastAsia="仿宋_GB2312" w:cs="仿宋_GB2312"/>
          <w:color w:val="auto"/>
          <w:kern w:val="0"/>
          <w:sz w:val="32"/>
          <w:szCs w:val="32"/>
          <w:highlight w:val="none"/>
          <w:lang w:val="en-US" w:eastAsia="zh-CN" w:bidi="ar-SA"/>
        </w:rPr>
        <w:t>161</w:t>
      </w:r>
      <w:r>
        <w:rPr>
          <w:rFonts w:hint="eastAsia" w:ascii="宋体" w:hAnsi="宋体" w:eastAsia="仿宋_GB2312" w:cs="仿宋_GB2312"/>
          <w:color w:val="auto"/>
          <w:kern w:val="0"/>
          <w:sz w:val="32"/>
          <w:szCs w:val="32"/>
          <w:highlight w:val="none"/>
          <w:lang w:val="en-US" w:eastAsia="zh-CN" w:bidi="ar-SA"/>
        </w:rPr>
        <w:t>个；全市新开工亿元以上项目</w:t>
      </w:r>
      <w:r>
        <w:rPr>
          <w:rFonts w:hint="default" w:ascii="宋体" w:hAnsi="宋体" w:eastAsia="仿宋_GB2312" w:cs="仿宋_GB2312"/>
          <w:color w:val="auto"/>
          <w:kern w:val="0"/>
          <w:sz w:val="32"/>
          <w:szCs w:val="32"/>
          <w:highlight w:val="none"/>
          <w:lang w:val="en-US" w:eastAsia="zh-CN" w:bidi="ar-SA"/>
        </w:rPr>
        <w:t>164</w:t>
      </w:r>
      <w:r>
        <w:rPr>
          <w:rFonts w:hint="eastAsia" w:ascii="宋体" w:hAnsi="宋体" w:eastAsia="仿宋_GB2312" w:cs="仿宋_GB2312"/>
          <w:color w:val="auto"/>
          <w:kern w:val="0"/>
          <w:sz w:val="32"/>
          <w:szCs w:val="32"/>
          <w:highlight w:val="none"/>
          <w:lang w:val="en-US" w:eastAsia="zh-CN" w:bidi="ar-SA"/>
        </w:rPr>
        <w:t>个。全年招商引资项目绩效目标均按期完成，对广元本地经济发展和就业提供了极大的促进作用。</w:t>
      </w:r>
    </w:p>
    <w:p>
      <w:pPr>
        <w:pStyle w:val="37"/>
        <w:keepNext w:val="0"/>
        <w:keepLines w:val="0"/>
        <w:pageBreakBefore w:val="0"/>
        <w:widowControl w:val="0"/>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五、评价结论及建议</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（一）评价结论</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eastAsia" w:ascii="宋体" w:hAnsi="宋体" w:eastAsia="仿宋_GB2312" w:cs="仿宋_GB2312"/>
          <w:color w:val="auto"/>
          <w:kern w:val="0"/>
          <w:sz w:val="32"/>
          <w:szCs w:val="32"/>
          <w:highlight w:val="none"/>
          <w:lang w:val="zh-CN" w:eastAsia="zh-CN" w:bidi="ar-SA"/>
        </w:rPr>
        <w:t>202</w:t>
      </w: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年我单招商引资专项资金支出绩效自查自评结果良好，全年基本支出保证了单位招商引资工作的正常运转，保障了重点专项工作的开展，按照 202</w:t>
      </w:r>
      <w:r>
        <w:rPr>
          <w:rFonts w:hint="eastAsia" w:ascii="宋体" w:hAnsi="宋体" w:eastAsia="仿宋_GB2312" w:cs="仿宋_GB2312"/>
          <w:color w:val="auto"/>
          <w:kern w:val="0"/>
          <w:sz w:val="32"/>
          <w:szCs w:val="32"/>
          <w:highlight w:val="none"/>
          <w:lang w:val="en-US" w:eastAsia="zh-CN" w:bidi="ar-SA"/>
        </w:rPr>
        <w:t>2</w:t>
      </w:r>
      <w:r>
        <w:rPr>
          <w:rFonts w:hint="eastAsia" w:ascii="宋体" w:hAnsi="宋体" w:eastAsia="仿宋_GB2312" w:cs="仿宋_GB2312"/>
          <w:color w:val="auto"/>
          <w:kern w:val="0"/>
          <w:sz w:val="32"/>
          <w:szCs w:val="32"/>
          <w:highlight w:val="none"/>
          <w:lang w:val="zh-CN" w:eastAsia="zh-CN" w:bidi="ar-SA"/>
        </w:rPr>
        <w:t>年度部门招商引资专项资金支出绩效评价指标体系对我单位预算编制、预算执行、完成结果、信息公开、整改反馈等方面进行了自评，最终得分</w:t>
      </w:r>
      <w:r>
        <w:rPr>
          <w:rFonts w:hint="eastAsia" w:ascii="宋体" w:hAnsi="宋体" w:eastAsia="仿宋_GB2312" w:cs="仿宋_GB2312"/>
          <w:color w:val="auto"/>
          <w:kern w:val="0"/>
          <w:sz w:val="32"/>
          <w:szCs w:val="32"/>
          <w:highlight w:val="none"/>
          <w:lang w:val="en-US" w:eastAsia="zh-CN" w:bidi="ar-SA"/>
        </w:rPr>
        <w:t>97</w:t>
      </w:r>
      <w:r>
        <w:rPr>
          <w:rFonts w:hint="eastAsia" w:ascii="宋体" w:hAnsi="宋体" w:eastAsia="仿宋_GB2312" w:cs="仿宋_GB2312"/>
          <w:color w:val="auto"/>
          <w:kern w:val="0"/>
          <w:sz w:val="32"/>
          <w:szCs w:val="32"/>
          <w:highlight w:val="none"/>
          <w:lang w:val="zh-CN" w:eastAsia="zh-CN" w:bidi="ar-SA"/>
        </w:rPr>
        <w:t>分。</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（二）存在的问题</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zh-CN" w:eastAsia="zh-CN" w:bidi="ar-SA"/>
        </w:rPr>
        <w:t>预算绩效管理需进一步加强，设定的绩效目标还不够科学精准。</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楷体_GB2312" w:hAnsi="楷体_GB2312" w:eastAsia="楷体_GB2312" w:cs="楷体_GB2312"/>
          <w:color w:val="auto"/>
          <w:kern w:val="0"/>
          <w:sz w:val="32"/>
          <w:szCs w:val="32"/>
          <w:highlight w:val="none"/>
          <w:lang w:val="zh-CN" w:eastAsia="zh-CN" w:bidi="ar-SA"/>
        </w:rPr>
      </w:pPr>
      <w:r>
        <w:rPr>
          <w:rFonts w:hint="eastAsia" w:ascii="楷体_GB2312" w:hAnsi="楷体_GB2312" w:eastAsia="楷体_GB2312" w:cs="楷体_GB2312"/>
          <w:color w:val="auto"/>
          <w:kern w:val="0"/>
          <w:sz w:val="32"/>
          <w:szCs w:val="32"/>
          <w:highlight w:val="none"/>
          <w:lang w:val="zh-CN" w:eastAsia="zh-CN" w:bidi="ar-SA"/>
        </w:rPr>
        <w:t>（三）相关建议</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r>
        <w:rPr>
          <w:rFonts w:hint="default" w:ascii="宋体" w:hAnsi="宋体" w:eastAsia="仿宋_GB2312" w:cs="仿宋_GB2312"/>
          <w:color w:val="auto"/>
          <w:kern w:val="0"/>
          <w:sz w:val="32"/>
          <w:szCs w:val="32"/>
          <w:highlight w:val="none"/>
          <w:lang w:val="en-US" w:eastAsia="zh-CN" w:bidi="ar-SA"/>
        </w:rPr>
        <w:t>进一步健全和完善财务管理制度及内部控制制度，创新管理手段，用新思路、新方法，改进完善财务管理方法。</w:t>
      </w:r>
    </w:p>
    <w:p>
      <w:pPr>
        <w:pStyle w:val="37"/>
        <w:keepNext w:val="0"/>
        <w:keepLines w:val="0"/>
        <w:pageBreakBefore w:val="0"/>
        <w:widowControl w:val="0"/>
        <w:shd w:val="clear"/>
        <w:kinsoku/>
        <w:wordWrap/>
        <w:overflowPunct/>
        <w:topLinePunct w:val="0"/>
        <w:autoSpaceDE/>
        <w:autoSpaceDN/>
        <w:bidi w:val="0"/>
        <w:spacing w:line="576" w:lineRule="exact"/>
        <w:ind w:left="0" w:firstLine="640" w:firstLineChars="200"/>
        <w:jc w:val="both"/>
        <w:textAlignment w:val="auto"/>
        <w:outlineLvl w:val="9"/>
        <w:rPr>
          <w:rFonts w:hint="eastAsia" w:ascii="宋体" w:hAnsi="宋体" w:eastAsia="仿宋_GB2312" w:cs="仿宋_GB2312"/>
          <w:color w:val="auto"/>
          <w:kern w:val="0"/>
          <w:sz w:val="32"/>
          <w:szCs w:val="32"/>
          <w:highlight w:val="none"/>
          <w:lang w:val="zh-CN" w:eastAsia="zh-CN" w:bidi="ar-SA"/>
        </w:rPr>
      </w:pPr>
    </w:p>
    <w:p>
      <w:pPr>
        <w:pStyle w:val="37"/>
        <w:keepNext w:val="0"/>
        <w:keepLines w:val="0"/>
        <w:pageBreakBefore w:val="0"/>
        <w:widowControl w:val="0"/>
        <w:shd w:val="clear"/>
        <w:kinsoku/>
        <w:wordWrap/>
        <w:overflowPunct/>
        <w:topLinePunct w:val="0"/>
        <w:autoSpaceDE/>
        <w:autoSpaceDN/>
        <w:bidi w:val="0"/>
        <w:spacing w:line="576" w:lineRule="exact"/>
        <w:ind w:left="0" w:firstLine="614" w:firstLineChars="200"/>
        <w:jc w:val="both"/>
        <w:textAlignment w:val="auto"/>
        <w:outlineLvl w:val="9"/>
        <w:rPr>
          <w:rFonts w:hint="eastAsia" w:ascii="宋体" w:hAnsi="宋体" w:eastAsia="仿宋_GB2312" w:cs="仿宋_GB2312"/>
          <w:color w:val="auto"/>
          <w:w w:val="96"/>
          <w:kern w:val="0"/>
          <w:sz w:val="32"/>
          <w:szCs w:val="32"/>
          <w:highlight w:val="none"/>
          <w:lang w:val="en-US"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宋体" w:hAnsi="宋体" w:eastAsia="仿宋_GB2312" w:cs="仿宋_GB2312"/>
          <w:color w:val="auto"/>
          <w:w w:val="96"/>
          <w:kern w:val="0"/>
          <w:sz w:val="32"/>
          <w:szCs w:val="32"/>
          <w:highlight w:val="none"/>
          <w:lang w:val="zh-CN" w:eastAsia="zh-CN" w:bidi="ar-SA"/>
        </w:rPr>
        <w:t>附件：</w:t>
      </w:r>
      <w:r>
        <w:rPr>
          <w:rFonts w:hint="eastAsia" w:ascii="宋体" w:hAnsi="宋体" w:eastAsia="仿宋_GB2312" w:cs="仿宋_GB2312"/>
          <w:color w:val="auto"/>
          <w:w w:val="96"/>
          <w:kern w:val="0"/>
          <w:sz w:val="32"/>
          <w:szCs w:val="32"/>
          <w:highlight w:val="none"/>
          <w:lang w:val="en-US" w:eastAsia="zh-CN" w:bidi="ar-SA"/>
        </w:rPr>
        <w:t>部门预算、专项资金预算项目支出绩效目标自评表</w:t>
      </w:r>
    </w:p>
    <w:p>
      <w:pPr>
        <w:keepNext w:val="0"/>
        <w:keepLines w:val="0"/>
        <w:pageBreakBefore w:val="0"/>
        <w:shd w:val="clear"/>
        <w:kinsoku/>
        <w:wordWrap/>
        <w:overflowPunct/>
        <w:topLinePunct w:val="0"/>
        <w:autoSpaceDE/>
        <w:autoSpaceDN/>
        <w:bidi w:val="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2"/>
        <w:keepNext w:val="0"/>
        <w:keepLines w:val="0"/>
        <w:pageBreakBefore w:val="0"/>
        <w:shd w:val="clear"/>
        <w:kinsoku/>
        <w:wordWrap/>
        <w:overflowPunct/>
        <w:topLinePunct w:val="0"/>
        <w:autoSpaceDE/>
        <w:autoSpaceDN/>
        <w:bidi w:val="0"/>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部门预算、专项资金预算项目支出绩效目标自评表（2022年度）</w:t>
      </w:r>
    </w:p>
    <w:tbl>
      <w:tblPr>
        <w:tblStyle w:val="18"/>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1472"/>
        <w:gridCol w:w="1257"/>
        <w:gridCol w:w="1274"/>
        <w:gridCol w:w="779"/>
        <w:gridCol w:w="832"/>
        <w:gridCol w:w="658"/>
        <w:gridCol w:w="1174"/>
        <w:gridCol w:w="637"/>
        <w:gridCol w:w="761"/>
        <w:gridCol w:w="1086"/>
        <w:gridCol w:w="3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9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主管部门（盖章）</w:t>
            </w: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实施单位 （盖章）</w:t>
            </w:r>
          </w:p>
        </w:tc>
        <w:tc>
          <w:tcPr>
            <w:tcW w:w="19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项目基本情况</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项目年度目标完成</w:t>
            </w:r>
          </w:p>
          <w:p>
            <w:pPr>
              <w:keepNext w:val="0"/>
              <w:keepLines w:val="0"/>
              <w:pageBreakBefore w:val="0"/>
              <w:widowControl/>
              <w:numPr>
                <w:ilvl w:val="0"/>
                <w:numId w:val="4"/>
              </w:numPr>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情况</w:t>
            </w: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项目年度目标</w:t>
            </w:r>
          </w:p>
        </w:tc>
        <w:tc>
          <w:tcPr>
            <w:tcW w:w="2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负责全市投资环境推介工作，统筹组织市级重大投促活动，牵头全市重大招商引资项目的促进与落实，争取在2022年引进到位国内市外资金700亿以上，新签约投资额亿元以上项目100个以上。</w:t>
            </w:r>
          </w:p>
        </w:tc>
        <w:tc>
          <w:tcPr>
            <w:tcW w:w="2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全市到位资金的招商引资项目523个，引进到位市外资金751.95亿元；全市新签约项目272个，签约资金893.47亿元，其中亿元以上项目161个；全市新开工亿元以上项目164个。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2.项目实施内容及过程概述</w:t>
            </w:r>
          </w:p>
        </w:tc>
        <w:tc>
          <w:tcPr>
            <w:tcW w:w="39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预算执行情况（10分）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年初预算</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调整后</w:t>
            </w:r>
          </w:p>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预算执行数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w:t>
            </w:r>
          </w:p>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执行率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305.16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其中：财政</w:t>
            </w:r>
          </w:p>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305.16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绩效指标</w:t>
            </w:r>
          </w:p>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（90分）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二级指标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三级指标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指标性质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指标值</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度量单位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完成值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部门自评得分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财政部门科室复评得分</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推动项目落户广元、促进当地经济发展</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优良中低差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2022年</w:t>
            </w:r>
          </w:p>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已完成</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新开工亿元项目数</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就业率提升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经济效益指标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引进资金</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亿元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751.95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服务对象满意度指标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群众满意度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jc w:val="center"/>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05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outlineLvl w:val="9"/>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部门（单位）自评结论</w:t>
            </w:r>
          </w:p>
        </w:tc>
        <w:tc>
          <w:tcPr>
            <w:tcW w:w="446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2022年我单招商引资专项资金支出绩效自查自评结果良好，全年基本支出保证了单位招商引资工作的正常运转，保障了重点专项工作的开展，按照 2022年度部门招商引资专项资金支出绩效评价指标体系对我单位预算编制、预算执行、完成结果、信息公开、整改反馈等方面进行了自评，最终得分98分。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部门（单位）自评存在问题</w:t>
            </w:r>
          </w:p>
        </w:tc>
        <w:tc>
          <w:tcPr>
            <w:tcW w:w="446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预算绩效管理需进一步加强，设定的绩效目标还不够科学精准。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部门（单位）自评改进措施</w:t>
            </w:r>
          </w:p>
        </w:tc>
        <w:tc>
          <w:tcPr>
            <w:tcW w:w="446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进一步健全和完善财务管理制度及内部控制制度，创新管理手段，用新思路、新方法，改进完善财务管理方法。</w:t>
            </w:r>
          </w:p>
        </w:tc>
      </w:tr>
    </w:tbl>
    <w:p>
      <w:pPr>
        <w:pStyle w:val="2"/>
        <w:keepNext w:val="0"/>
        <w:keepLines w:val="0"/>
        <w:pageBreakBefore w:val="0"/>
        <w:widowControl w:val="0"/>
        <w:shd w:val="clear"/>
        <w:kinsoku/>
        <w:wordWrap/>
        <w:overflowPunct/>
        <w:topLinePunct w:val="0"/>
        <w:autoSpaceDE/>
        <w:autoSpaceDN/>
        <w:bidi w:val="0"/>
        <w:adjustRightInd/>
        <w:snapToGrid/>
        <w:spacing w:line="100" w:lineRule="exact"/>
        <w:textAlignment w:val="auto"/>
        <w:outlineLvl w:val="9"/>
        <w:rPr>
          <w:color w:val="auto"/>
          <w:highlight w:val="none"/>
        </w:rPr>
      </w:pPr>
    </w:p>
    <w:p>
      <w:pPr>
        <w:pStyle w:val="2"/>
        <w:keepNext w:val="0"/>
        <w:keepLines w:val="0"/>
        <w:pageBreakBefore w:val="0"/>
        <w:shd w:val="clear"/>
        <w:kinsoku/>
        <w:wordWrap/>
        <w:overflowPunct/>
        <w:topLinePunct w:val="0"/>
        <w:autoSpaceDE/>
        <w:autoSpaceDN/>
        <w:bidi w:val="0"/>
        <w:outlineLvl w:val="9"/>
        <w:rPr>
          <w:color w:val="auto"/>
          <w:highlight w:val="none"/>
        </w:rPr>
        <w:sectPr>
          <w:pgSz w:w="16838" w:h="11906" w:orient="landscape"/>
          <w:pgMar w:top="1134" w:right="1134" w:bottom="1134" w:left="1134" w:header="851" w:footer="992" w:gutter="0"/>
          <w:pgNumType w:fmt="decimal"/>
          <w:cols w:space="0" w:num="1"/>
          <w:titlePg/>
          <w:rtlGutter w:val="0"/>
          <w:docGrid w:type="lines" w:linePitch="321" w:charSpace="0"/>
        </w:sectPr>
      </w:pPr>
    </w:p>
    <w:p>
      <w:pPr>
        <w:pStyle w:val="2"/>
        <w:keepNext w:val="0"/>
        <w:keepLines w:val="0"/>
        <w:pageBreakBefore w:val="0"/>
        <w:widowControl w:val="0"/>
        <w:shd w:val="clear"/>
        <w:kinsoku/>
        <w:wordWrap/>
        <w:overflowPunct/>
        <w:topLinePunct w:val="0"/>
        <w:autoSpaceDE/>
        <w:autoSpaceDN/>
        <w:bidi w:val="0"/>
        <w:adjustRightInd/>
        <w:snapToGrid/>
        <w:spacing w:line="576" w:lineRule="exact"/>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0" w:firstLineChars="0"/>
        <w:jc w:val="center"/>
        <w:textAlignment w:val="auto"/>
        <w:outlineLvl w:val="0"/>
        <w:rPr>
          <w:rFonts w:hint="eastAsia" w:ascii="方正小标宋简体" w:hAnsi="方正小标宋简体" w:eastAsia="方正小标宋简体" w:cs="方正小标宋简体"/>
          <w:b w:val="0"/>
          <w:color w:val="auto"/>
          <w:sz w:val="44"/>
          <w:szCs w:val="44"/>
          <w:highlight w:val="none"/>
        </w:rPr>
      </w:pPr>
      <w:bookmarkStart w:id="90" w:name="_Toc15396618"/>
      <w:bookmarkStart w:id="91" w:name="_Toc12274"/>
      <w:bookmarkStart w:id="92" w:name="_Toc9752"/>
      <w:bookmarkStart w:id="93" w:name="_Toc13537"/>
      <w:r>
        <w:rPr>
          <w:rFonts w:hint="eastAsia" w:ascii="方正小标宋简体" w:hAnsi="方正小标宋简体" w:eastAsia="方正小标宋简体" w:cs="方正小标宋简体"/>
          <w:b w:val="0"/>
          <w:color w:val="auto"/>
          <w:sz w:val="44"/>
          <w:szCs w:val="44"/>
          <w:highlight w:val="none"/>
        </w:rPr>
        <w:t>第五部分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 xml:space="preserve"> 附表</w:t>
      </w:r>
      <w:bookmarkEnd w:id="85"/>
      <w:bookmarkEnd w:id="90"/>
      <w:bookmarkEnd w:id="91"/>
      <w:bookmarkEnd w:id="92"/>
      <w:bookmarkEnd w:id="93"/>
      <w:bookmarkStart w:id="94" w:name="_Toc15396619"/>
    </w:p>
    <w:p>
      <w:pPr>
        <w:pStyle w:val="2"/>
        <w:keepNext w:val="0"/>
        <w:keepLines w:val="0"/>
        <w:pageBreakBefore w:val="0"/>
        <w:widowControl w:val="0"/>
        <w:shd w:val="clear"/>
        <w:kinsoku/>
        <w:wordWrap/>
        <w:overflowPunct/>
        <w:topLinePunct w:val="0"/>
        <w:autoSpaceDE/>
        <w:autoSpaceDN/>
        <w:bidi w:val="0"/>
        <w:adjustRightInd/>
        <w:snapToGrid/>
        <w:spacing w:line="576" w:lineRule="exact"/>
        <w:textAlignment w:val="auto"/>
        <w:outlineLvl w:val="9"/>
        <w:rPr>
          <w:rFonts w:hint="eastAsia"/>
          <w:color w:val="auto"/>
          <w:highlight w:val="none"/>
        </w:rPr>
      </w:pP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95" w:name="_Toc20131"/>
      <w:bookmarkStart w:id="96" w:name="_Toc3483"/>
      <w:r>
        <w:rPr>
          <w:rFonts w:hint="eastAsia" w:ascii="黑体" w:hAnsi="黑体" w:eastAsia="黑体" w:cs="黑体"/>
          <w:b w:val="0"/>
          <w:color w:val="auto"/>
          <w:sz w:val="32"/>
          <w:szCs w:val="32"/>
          <w:highlight w:val="none"/>
        </w:rPr>
        <w:t>一、收</w:t>
      </w:r>
      <w:r>
        <w:rPr>
          <w:rStyle w:val="23"/>
          <w:rFonts w:hint="eastAsia" w:ascii="黑体" w:hAnsi="黑体" w:eastAsia="黑体" w:cs="黑体"/>
          <w:b w:val="0"/>
          <w:bCs w:val="0"/>
          <w:color w:val="auto"/>
          <w:sz w:val="32"/>
          <w:szCs w:val="32"/>
          <w:highlight w:val="none"/>
        </w:rPr>
        <w:t>入支出决算总表</w:t>
      </w:r>
      <w:bookmarkEnd w:id="94"/>
      <w:bookmarkEnd w:id="95"/>
      <w:bookmarkEnd w:id="96"/>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97" w:name="_Toc25513"/>
      <w:bookmarkStart w:id="98" w:name="_Toc9238"/>
      <w:bookmarkStart w:id="99" w:name="_Toc15396620"/>
      <w:r>
        <w:rPr>
          <w:rFonts w:hint="eastAsia" w:ascii="黑体" w:hAnsi="黑体" w:eastAsia="黑体" w:cs="黑体"/>
          <w:b w:val="0"/>
          <w:color w:val="auto"/>
          <w:sz w:val="32"/>
          <w:szCs w:val="32"/>
          <w:highlight w:val="none"/>
        </w:rPr>
        <w:t>二、收</w:t>
      </w:r>
      <w:r>
        <w:rPr>
          <w:rStyle w:val="23"/>
          <w:rFonts w:hint="eastAsia" w:ascii="黑体" w:hAnsi="黑体" w:eastAsia="黑体" w:cs="黑体"/>
          <w:b w:val="0"/>
          <w:bCs w:val="0"/>
          <w:color w:val="auto"/>
          <w:sz w:val="32"/>
          <w:szCs w:val="32"/>
          <w:highlight w:val="none"/>
        </w:rPr>
        <w:t>入决算表</w:t>
      </w:r>
      <w:bookmarkEnd w:id="97"/>
      <w:bookmarkEnd w:id="98"/>
      <w:bookmarkEnd w:id="99"/>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00" w:name="_Toc1639"/>
      <w:bookmarkStart w:id="101" w:name="_Toc25523"/>
      <w:bookmarkStart w:id="102" w:name="_Toc15396621"/>
      <w:r>
        <w:rPr>
          <w:rStyle w:val="23"/>
          <w:rFonts w:hint="eastAsia" w:ascii="黑体" w:hAnsi="黑体" w:eastAsia="黑体" w:cs="黑体"/>
          <w:b w:val="0"/>
          <w:bCs w:val="0"/>
          <w:color w:val="auto"/>
          <w:sz w:val="32"/>
          <w:szCs w:val="32"/>
          <w:highlight w:val="none"/>
        </w:rPr>
        <w:t>三、</w:t>
      </w:r>
      <w:r>
        <w:rPr>
          <w:rFonts w:hint="eastAsia" w:ascii="黑体" w:hAnsi="黑体" w:eastAsia="黑体" w:cs="黑体"/>
          <w:b w:val="0"/>
          <w:color w:val="auto"/>
          <w:sz w:val="32"/>
          <w:szCs w:val="32"/>
          <w:highlight w:val="none"/>
        </w:rPr>
        <w:t>支</w:t>
      </w:r>
      <w:r>
        <w:rPr>
          <w:rStyle w:val="23"/>
          <w:rFonts w:hint="eastAsia" w:ascii="黑体" w:hAnsi="黑体" w:eastAsia="黑体" w:cs="黑体"/>
          <w:b w:val="0"/>
          <w:bCs w:val="0"/>
          <w:color w:val="auto"/>
          <w:sz w:val="32"/>
          <w:szCs w:val="32"/>
          <w:highlight w:val="none"/>
        </w:rPr>
        <w:t>出决算表</w:t>
      </w:r>
      <w:bookmarkEnd w:id="100"/>
      <w:bookmarkEnd w:id="101"/>
      <w:bookmarkEnd w:id="102"/>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color w:val="auto"/>
          <w:sz w:val="32"/>
          <w:szCs w:val="32"/>
          <w:highlight w:val="none"/>
        </w:rPr>
      </w:pPr>
      <w:bookmarkStart w:id="103" w:name="_Toc15396622"/>
      <w:bookmarkStart w:id="104" w:name="_Toc7852"/>
      <w:bookmarkStart w:id="105" w:name="_Toc10078"/>
      <w:r>
        <w:rPr>
          <w:rStyle w:val="23"/>
          <w:rFonts w:hint="eastAsia" w:ascii="黑体" w:hAnsi="黑体" w:eastAsia="黑体" w:cs="黑体"/>
          <w:b w:val="0"/>
          <w:bCs w:val="0"/>
          <w:color w:val="auto"/>
          <w:sz w:val="32"/>
          <w:szCs w:val="32"/>
          <w:highlight w:val="none"/>
        </w:rPr>
        <w:t>四、</w:t>
      </w:r>
      <w:r>
        <w:rPr>
          <w:rFonts w:hint="eastAsia" w:ascii="黑体" w:hAnsi="黑体" w:eastAsia="黑体" w:cs="黑体"/>
          <w:b w:val="0"/>
          <w:color w:val="auto"/>
          <w:sz w:val="32"/>
          <w:szCs w:val="32"/>
          <w:highlight w:val="none"/>
        </w:rPr>
        <w:t>财</w:t>
      </w:r>
      <w:r>
        <w:rPr>
          <w:rStyle w:val="23"/>
          <w:rFonts w:hint="eastAsia" w:ascii="黑体" w:hAnsi="黑体" w:eastAsia="黑体" w:cs="黑体"/>
          <w:b w:val="0"/>
          <w:bCs w:val="0"/>
          <w:color w:val="auto"/>
          <w:sz w:val="32"/>
          <w:szCs w:val="32"/>
          <w:highlight w:val="none"/>
        </w:rPr>
        <w:t>政拨款收入支出决算总表</w:t>
      </w:r>
      <w:bookmarkEnd w:id="103"/>
      <w:bookmarkEnd w:id="104"/>
      <w:bookmarkEnd w:id="105"/>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Style w:val="23"/>
          <w:rFonts w:hint="eastAsia" w:ascii="黑体" w:hAnsi="黑体" w:eastAsia="黑体" w:cs="黑体"/>
          <w:b w:val="0"/>
          <w:bCs w:val="0"/>
          <w:color w:val="auto"/>
          <w:sz w:val="32"/>
          <w:szCs w:val="32"/>
          <w:highlight w:val="none"/>
        </w:rPr>
      </w:pPr>
      <w:bookmarkStart w:id="106" w:name="_Toc29127"/>
      <w:bookmarkStart w:id="107" w:name="_Toc8851"/>
      <w:bookmarkStart w:id="108" w:name="_Toc15396623"/>
      <w:r>
        <w:rPr>
          <w:rStyle w:val="23"/>
          <w:rFonts w:hint="eastAsia" w:ascii="黑体" w:hAnsi="黑体" w:eastAsia="黑体" w:cs="黑体"/>
          <w:b w:val="0"/>
          <w:bCs w:val="0"/>
          <w:color w:val="auto"/>
          <w:sz w:val="32"/>
          <w:szCs w:val="32"/>
          <w:highlight w:val="none"/>
        </w:rPr>
        <w:t>五、</w:t>
      </w:r>
      <w:r>
        <w:rPr>
          <w:rFonts w:hint="eastAsia" w:ascii="黑体" w:hAnsi="黑体" w:eastAsia="黑体" w:cs="黑体"/>
          <w:b w:val="0"/>
          <w:color w:val="auto"/>
          <w:sz w:val="32"/>
          <w:szCs w:val="32"/>
          <w:highlight w:val="none"/>
        </w:rPr>
        <w:t>财</w:t>
      </w:r>
      <w:r>
        <w:rPr>
          <w:rStyle w:val="23"/>
          <w:rFonts w:hint="eastAsia" w:ascii="黑体" w:hAnsi="黑体" w:eastAsia="黑体" w:cs="黑体"/>
          <w:b w:val="0"/>
          <w:bCs w:val="0"/>
          <w:color w:val="auto"/>
          <w:sz w:val="32"/>
          <w:szCs w:val="32"/>
          <w:highlight w:val="none"/>
        </w:rPr>
        <w:t>政拨款支出决算明细表</w:t>
      </w:r>
      <w:bookmarkEnd w:id="106"/>
      <w:bookmarkEnd w:id="107"/>
      <w:bookmarkEnd w:id="108"/>
      <w:bookmarkStart w:id="109" w:name="_Toc15396624"/>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10" w:name="_Toc1578"/>
      <w:bookmarkStart w:id="111" w:name="_Toc15233"/>
      <w:r>
        <w:rPr>
          <w:rStyle w:val="23"/>
          <w:rFonts w:hint="eastAsia" w:ascii="黑体" w:hAnsi="黑体" w:eastAsia="黑体" w:cs="黑体"/>
          <w:b w:val="0"/>
          <w:bCs w:val="0"/>
          <w:color w:val="auto"/>
          <w:sz w:val="32"/>
          <w:szCs w:val="32"/>
          <w:highlight w:val="none"/>
        </w:rPr>
        <w:t>六、</w:t>
      </w:r>
      <w:r>
        <w:rPr>
          <w:rFonts w:hint="eastAsia" w:ascii="黑体" w:hAnsi="黑体" w:eastAsia="黑体" w:cs="黑体"/>
          <w:b w:val="0"/>
          <w:color w:val="auto"/>
          <w:sz w:val="32"/>
          <w:szCs w:val="32"/>
          <w:highlight w:val="none"/>
        </w:rPr>
        <w:t>一</w:t>
      </w:r>
      <w:r>
        <w:rPr>
          <w:rStyle w:val="23"/>
          <w:rFonts w:hint="eastAsia" w:ascii="黑体" w:hAnsi="黑体" w:eastAsia="黑体" w:cs="黑体"/>
          <w:b w:val="0"/>
          <w:bCs w:val="0"/>
          <w:color w:val="auto"/>
          <w:sz w:val="32"/>
          <w:szCs w:val="32"/>
          <w:highlight w:val="none"/>
        </w:rPr>
        <w:t>般公共预算财政拨款支出决算表</w:t>
      </w:r>
      <w:bookmarkEnd w:id="109"/>
      <w:bookmarkEnd w:id="110"/>
      <w:bookmarkEnd w:id="111"/>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12" w:name="_Toc26594"/>
      <w:bookmarkStart w:id="113" w:name="_Toc19761"/>
      <w:bookmarkStart w:id="114" w:name="_Toc15396625"/>
      <w:r>
        <w:rPr>
          <w:rStyle w:val="23"/>
          <w:rFonts w:hint="eastAsia" w:ascii="黑体" w:hAnsi="黑体" w:eastAsia="黑体" w:cs="黑体"/>
          <w:b w:val="0"/>
          <w:bCs w:val="0"/>
          <w:color w:val="auto"/>
          <w:sz w:val="32"/>
          <w:szCs w:val="32"/>
          <w:highlight w:val="none"/>
        </w:rPr>
        <w:t>七、</w:t>
      </w:r>
      <w:r>
        <w:rPr>
          <w:rFonts w:hint="eastAsia" w:ascii="黑体" w:hAnsi="黑体" w:eastAsia="黑体" w:cs="黑体"/>
          <w:b w:val="0"/>
          <w:color w:val="auto"/>
          <w:sz w:val="32"/>
          <w:szCs w:val="32"/>
          <w:highlight w:val="none"/>
        </w:rPr>
        <w:t>一</w:t>
      </w:r>
      <w:r>
        <w:rPr>
          <w:rStyle w:val="23"/>
          <w:rFonts w:hint="eastAsia" w:ascii="黑体" w:hAnsi="黑体" w:eastAsia="黑体" w:cs="黑体"/>
          <w:b w:val="0"/>
          <w:bCs w:val="0"/>
          <w:color w:val="auto"/>
          <w:sz w:val="32"/>
          <w:szCs w:val="32"/>
          <w:highlight w:val="none"/>
        </w:rPr>
        <w:t>般公共预算财政拨款支出决算明细表</w:t>
      </w:r>
      <w:bookmarkEnd w:id="112"/>
      <w:bookmarkEnd w:id="113"/>
      <w:bookmarkEnd w:id="114"/>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15" w:name="_Toc9128"/>
      <w:bookmarkStart w:id="116" w:name="_Toc15396626"/>
      <w:bookmarkStart w:id="117" w:name="_Toc30920"/>
      <w:r>
        <w:rPr>
          <w:rStyle w:val="23"/>
          <w:rFonts w:hint="eastAsia" w:ascii="黑体" w:hAnsi="黑体" w:eastAsia="黑体" w:cs="黑体"/>
          <w:b w:val="0"/>
          <w:bCs w:val="0"/>
          <w:color w:val="auto"/>
          <w:sz w:val="32"/>
          <w:szCs w:val="32"/>
          <w:highlight w:val="none"/>
        </w:rPr>
        <w:t>八、</w:t>
      </w:r>
      <w:r>
        <w:rPr>
          <w:rFonts w:hint="eastAsia" w:ascii="黑体" w:hAnsi="黑体" w:eastAsia="黑体" w:cs="黑体"/>
          <w:b w:val="0"/>
          <w:color w:val="auto"/>
          <w:sz w:val="32"/>
          <w:szCs w:val="32"/>
          <w:highlight w:val="none"/>
        </w:rPr>
        <w:t>一</w:t>
      </w:r>
      <w:r>
        <w:rPr>
          <w:rStyle w:val="23"/>
          <w:rFonts w:hint="eastAsia" w:ascii="黑体" w:hAnsi="黑体" w:eastAsia="黑体" w:cs="黑体"/>
          <w:b w:val="0"/>
          <w:bCs w:val="0"/>
          <w:color w:val="auto"/>
          <w:sz w:val="32"/>
          <w:szCs w:val="32"/>
          <w:highlight w:val="none"/>
        </w:rPr>
        <w:t>般公共预算财政拨款基本支出决算表</w:t>
      </w:r>
      <w:bookmarkEnd w:id="115"/>
      <w:bookmarkEnd w:id="116"/>
      <w:bookmarkEnd w:id="117"/>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18" w:name="_Toc15396627"/>
      <w:bookmarkStart w:id="119" w:name="_Toc11242"/>
      <w:bookmarkStart w:id="120" w:name="_Toc23243"/>
      <w:r>
        <w:rPr>
          <w:rStyle w:val="23"/>
          <w:rFonts w:hint="eastAsia" w:ascii="黑体" w:hAnsi="黑体" w:eastAsia="黑体" w:cs="黑体"/>
          <w:b w:val="0"/>
          <w:bCs w:val="0"/>
          <w:color w:val="auto"/>
          <w:sz w:val="32"/>
          <w:szCs w:val="32"/>
          <w:highlight w:val="none"/>
        </w:rPr>
        <w:t>九、</w:t>
      </w:r>
      <w:r>
        <w:rPr>
          <w:rFonts w:hint="eastAsia" w:ascii="黑体" w:hAnsi="黑体" w:eastAsia="黑体" w:cs="黑体"/>
          <w:b w:val="0"/>
          <w:color w:val="auto"/>
          <w:sz w:val="32"/>
          <w:szCs w:val="32"/>
          <w:highlight w:val="none"/>
        </w:rPr>
        <w:t>一</w:t>
      </w:r>
      <w:r>
        <w:rPr>
          <w:rStyle w:val="23"/>
          <w:rFonts w:hint="eastAsia" w:ascii="黑体" w:hAnsi="黑体" w:eastAsia="黑体" w:cs="黑体"/>
          <w:b w:val="0"/>
          <w:bCs w:val="0"/>
          <w:color w:val="auto"/>
          <w:sz w:val="32"/>
          <w:szCs w:val="32"/>
          <w:highlight w:val="none"/>
        </w:rPr>
        <w:t>般公共预算财政拨款项目支出决算表</w:t>
      </w:r>
      <w:bookmarkEnd w:id="118"/>
      <w:bookmarkEnd w:id="119"/>
      <w:bookmarkEnd w:id="120"/>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21" w:name="_Toc15396628"/>
      <w:bookmarkStart w:id="122" w:name="_Toc3645"/>
      <w:bookmarkStart w:id="123" w:name="_Toc10550"/>
      <w:r>
        <w:rPr>
          <w:rStyle w:val="23"/>
          <w:rFonts w:hint="eastAsia" w:ascii="黑体" w:hAnsi="黑体" w:eastAsia="黑体" w:cs="黑体"/>
          <w:b w:val="0"/>
          <w:bCs w:val="0"/>
          <w:color w:val="auto"/>
          <w:sz w:val="32"/>
          <w:szCs w:val="32"/>
          <w:highlight w:val="none"/>
        </w:rPr>
        <w:t>十、</w:t>
      </w:r>
      <w:bookmarkEnd w:id="121"/>
      <w:r>
        <w:rPr>
          <w:rFonts w:hint="eastAsia" w:ascii="黑体" w:hAnsi="黑体" w:eastAsia="黑体" w:cs="黑体"/>
          <w:b w:val="0"/>
          <w:color w:val="auto"/>
          <w:sz w:val="32"/>
          <w:szCs w:val="32"/>
          <w:highlight w:val="none"/>
        </w:rPr>
        <w:t>政</w:t>
      </w:r>
      <w:r>
        <w:rPr>
          <w:rStyle w:val="23"/>
          <w:rFonts w:hint="eastAsia" w:ascii="黑体" w:hAnsi="黑体" w:eastAsia="黑体" w:cs="黑体"/>
          <w:b w:val="0"/>
          <w:bCs w:val="0"/>
          <w:color w:val="auto"/>
          <w:sz w:val="32"/>
          <w:szCs w:val="32"/>
          <w:highlight w:val="none"/>
        </w:rPr>
        <w:t>府性基金预算财政拨款收入支出决算表</w:t>
      </w:r>
      <w:bookmarkEnd w:id="122"/>
      <w:bookmarkEnd w:id="123"/>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24" w:name="_Toc15396629"/>
      <w:bookmarkStart w:id="125" w:name="_Toc4106"/>
      <w:bookmarkStart w:id="126" w:name="_Toc21673"/>
      <w:r>
        <w:rPr>
          <w:rStyle w:val="23"/>
          <w:rFonts w:hint="eastAsia" w:ascii="黑体" w:hAnsi="黑体" w:eastAsia="黑体" w:cs="黑体"/>
          <w:b w:val="0"/>
          <w:bCs w:val="0"/>
          <w:color w:val="auto"/>
          <w:sz w:val="32"/>
          <w:szCs w:val="32"/>
          <w:highlight w:val="none"/>
        </w:rPr>
        <w:t>十一、</w:t>
      </w:r>
      <w:bookmarkEnd w:id="124"/>
      <w:r>
        <w:rPr>
          <w:rFonts w:hint="eastAsia" w:ascii="黑体" w:hAnsi="黑体" w:eastAsia="黑体" w:cs="黑体"/>
          <w:b w:val="0"/>
          <w:color w:val="auto"/>
          <w:sz w:val="32"/>
          <w:szCs w:val="32"/>
          <w:highlight w:val="none"/>
        </w:rPr>
        <w:t>国</w:t>
      </w:r>
      <w:r>
        <w:rPr>
          <w:rStyle w:val="23"/>
          <w:rFonts w:hint="eastAsia" w:ascii="黑体" w:hAnsi="黑体" w:eastAsia="黑体" w:cs="黑体"/>
          <w:b w:val="0"/>
          <w:bCs w:val="0"/>
          <w:color w:val="auto"/>
          <w:sz w:val="32"/>
          <w:szCs w:val="32"/>
          <w:highlight w:val="none"/>
        </w:rPr>
        <w:t>有资本经营预算</w:t>
      </w:r>
      <w:r>
        <w:rPr>
          <w:rStyle w:val="23"/>
          <w:rFonts w:hint="eastAsia" w:ascii="黑体" w:hAnsi="黑体" w:eastAsia="黑体" w:cs="黑体"/>
          <w:b w:val="0"/>
          <w:bCs w:val="0"/>
          <w:color w:val="auto"/>
          <w:sz w:val="32"/>
          <w:szCs w:val="32"/>
          <w:highlight w:val="none"/>
          <w:lang w:eastAsia="zh-CN"/>
        </w:rPr>
        <w:t>财政拨款收入</w:t>
      </w:r>
      <w:r>
        <w:rPr>
          <w:rStyle w:val="23"/>
          <w:rFonts w:hint="eastAsia" w:ascii="黑体" w:hAnsi="黑体" w:eastAsia="黑体" w:cs="黑体"/>
          <w:b w:val="0"/>
          <w:bCs w:val="0"/>
          <w:color w:val="auto"/>
          <w:sz w:val="32"/>
          <w:szCs w:val="32"/>
          <w:highlight w:val="none"/>
        </w:rPr>
        <w:t>支出决算表</w:t>
      </w:r>
      <w:bookmarkEnd w:id="125"/>
      <w:bookmarkEnd w:id="126"/>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rPr>
      </w:pPr>
      <w:bookmarkStart w:id="127" w:name="_Toc15396630"/>
      <w:bookmarkStart w:id="128" w:name="_Toc29179"/>
      <w:bookmarkStart w:id="129" w:name="_Toc556"/>
      <w:r>
        <w:rPr>
          <w:rStyle w:val="23"/>
          <w:rFonts w:hint="eastAsia" w:ascii="黑体" w:hAnsi="黑体" w:eastAsia="黑体" w:cs="黑体"/>
          <w:b w:val="0"/>
          <w:bCs w:val="0"/>
          <w:color w:val="auto"/>
          <w:sz w:val="32"/>
          <w:szCs w:val="32"/>
          <w:highlight w:val="none"/>
        </w:rPr>
        <w:t>十二、</w:t>
      </w:r>
      <w:bookmarkEnd w:id="127"/>
      <w:r>
        <w:rPr>
          <w:rStyle w:val="23"/>
          <w:rFonts w:hint="eastAsia" w:ascii="黑体" w:hAnsi="黑体" w:eastAsia="黑体" w:cs="黑体"/>
          <w:b w:val="0"/>
          <w:bCs w:val="0"/>
          <w:color w:val="auto"/>
          <w:sz w:val="32"/>
          <w:szCs w:val="32"/>
          <w:highlight w:val="none"/>
          <w:lang w:eastAsia="zh-CN"/>
        </w:rPr>
        <w:t>国有资本经营预算财政拨款支出决算表</w:t>
      </w:r>
      <w:bookmarkEnd w:id="128"/>
      <w:bookmarkEnd w:id="129"/>
    </w:p>
    <w:p>
      <w:pPr>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color w:val="auto"/>
          <w:sz w:val="32"/>
          <w:szCs w:val="32"/>
          <w:highlight w:val="none"/>
          <w:lang w:eastAsia="zh-CN"/>
        </w:rPr>
      </w:pPr>
      <w:bookmarkStart w:id="130" w:name="_Toc15396631"/>
      <w:bookmarkStart w:id="131" w:name="_Toc8536"/>
      <w:bookmarkStart w:id="132" w:name="_Toc24051"/>
      <w:r>
        <w:rPr>
          <w:rStyle w:val="23"/>
          <w:rFonts w:hint="eastAsia" w:ascii="黑体" w:hAnsi="黑体" w:eastAsia="黑体" w:cs="黑体"/>
          <w:b w:val="0"/>
          <w:bCs w:val="0"/>
          <w:color w:val="auto"/>
          <w:sz w:val="32"/>
          <w:szCs w:val="32"/>
          <w:highlight w:val="none"/>
        </w:rPr>
        <w:t>十三、</w:t>
      </w:r>
      <w:bookmarkEnd w:id="130"/>
      <w:r>
        <w:rPr>
          <w:rStyle w:val="23"/>
          <w:rFonts w:hint="eastAsia" w:ascii="黑体" w:hAnsi="黑体" w:eastAsia="黑体" w:cs="黑体"/>
          <w:b w:val="0"/>
          <w:bCs w:val="0"/>
          <w:color w:val="auto"/>
          <w:sz w:val="32"/>
          <w:szCs w:val="32"/>
          <w:highlight w:val="none"/>
          <w:lang w:eastAsia="zh-CN"/>
        </w:rPr>
        <w:t>财政拨款“三公”经费支出决算表</w:t>
      </w:r>
      <w:bookmarkEnd w:id="131"/>
      <w:bookmarkEnd w:id="132"/>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sdt>
      <w:sdtPr>
        <w:id w:val="-1994781956"/>
      </w:sdtPr>
      <w:sdtContent/>
    </w:sdt>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994781956"/>
      </w:sdtPr>
      <w:sdtContent/>
    </w:sdt>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EE3DF"/>
    <w:multiLevelType w:val="singleLevel"/>
    <w:tmpl w:val="9A7EE3DF"/>
    <w:lvl w:ilvl="0" w:tentative="0">
      <w:start w:val="1"/>
      <w:numFmt w:val="decimal"/>
      <w:suff w:val="nothing"/>
      <w:lvlText w:val="%1．"/>
      <w:lvlJc w:val="left"/>
      <w:pPr>
        <w:ind w:left="0" w:firstLine="400"/>
      </w:pPr>
      <w:rPr>
        <w:rFonts w:hint="default"/>
      </w:rPr>
    </w:lvl>
  </w:abstractNum>
  <w:abstractNum w:abstractNumId="1">
    <w:nsid w:val="EB48C8E2"/>
    <w:multiLevelType w:val="singleLevel"/>
    <w:tmpl w:val="EB48C8E2"/>
    <w:lvl w:ilvl="0" w:tentative="0">
      <w:start w:val="1"/>
      <w:numFmt w:val="decimal"/>
      <w:lvlText w:val="%1."/>
      <w:lvlJc w:val="left"/>
      <w:pPr>
        <w:tabs>
          <w:tab w:val="left" w:pos="312"/>
        </w:tabs>
      </w:pPr>
    </w:lvl>
  </w:abstractNum>
  <w:abstractNum w:abstractNumId="2">
    <w:nsid w:val="6E100D21"/>
    <w:multiLevelType w:val="singleLevel"/>
    <w:tmpl w:val="6E100D21"/>
    <w:lvl w:ilvl="0" w:tentative="0">
      <w:start w:val="1"/>
      <w:numFmt w:val="decimal"/>
      <w:suff w:val="space"/>
      <w:lvlText w:val="%1."/>
      <w:lvlJc w:val="left"/>
    </w:lvl>
  </w:abstractNum>
  <w:abstractNum w:abstractNumId="3">
    <w:nsid w:val="733AA38F"/>
    <w:multiLevelType w:val="singleLevel"/>
    <w:tmpl w:val="733AA38F"/>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mU1MWQ5OTY1MjVmZWQ0ZjRjZGYzZTNlMjIxY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E1C"/>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0FF77AA3"/>
    <w:rsid w:val="101860EC"/>
    <w:rsid w:val="108F5D13"/>
    <w:rsid w:val="10C055FF"/>
    <w:rsid w:val="118107EC"/>
    <w:rsid w:val="11AD7D8F"/>
    <w:rsid w:val="13D50BC4"/>
    <w:rsid w:val="16BB723D"/>
    <w:rsid w:val="1B641233"/>
    <w:rsid w:val="1BE8440E"/>
    <w:rsid w:val="1D155CEE"/>
    <w:rsid w:val="1D6565CB"/>
    <w:rsid w:val="1FF35744"/>
    <w:rsid w:val="23860B96"/>
    <w:rsid w:val="240371BF"/>
    <w:rsid w:val="246B4DDC"/>
    <w:rsid w:val="26C26CF7"/>
    <w:rsid w:val="297D6BF7"/>
    <w:rsid w:val="29FD04D3"/>
    <w:rsid w:val="2C8A61B5"/>
    <w:rsid w:val="2DF04E50"/>
    <w:rsid w:val="2F040D46"/>
    <w:rsid w:val="306D4B10"/>
    <w:rsid w:val="319F7F4E"/>
    <w:rsid w:val="32A9493D"/>
    <w:rsid w:val="3304709D"/>
    <w:rsid w:val="36297177"/>
    <w:rsid w:val="36AA5135"/>
    <w:rsid w:val="376D39B2"/>
    <w:rsid w:val="37E16F03"/>
    <w:rsid w:val="38D469F0"/>
    <w:rsid w:val="3D98207C"/>
    <w:rsid w:val="3E78745D"/>
    <w:rsid w:val="40D9220F"/>
    <w:rsid w:val="422E093B"/>
    <w:rsid w:val="44E268DA"/>
    <w:rsid w:val="46942BA1"/>
    <w:rsid w:val="4A627F82"/>
    <w:rsid w:val="4B0E749A"/>
    <w:rsid w:val="4B4F25DA"/>
    <w:rsid w:val="4BE068DB"/>
    <w:rsid w:val="4D577224"/>
    <w:rsid w:val="4EAB630A"/>
    <w:rsid w:val="4ECE2238"/>
    <w:rsid w:val="537E6D0A"/>
    <w:rsid w:val="552D518D"/>
    <w:rsid w:val="5AF92295"/>
    <w:rsid w:val="5CD71FC4"/>
    <w:rsid w:val="601F1B03"/>
    <w:rsid w:val="62B9487B"/>
    <w:rsid w:val="687C2CD5"/>
    <w:rsid w:val="6C4A05C8"/>
    <w:rsid w:val="6E7E3605"/>
    <w:rsid w:val="6FF5CC65"/>
    <w:rsid w:val="7137124E"/>
    <w:rsid w:val="715C0E4B"/>
    <w:rsid w:val="71671D9D"/>
    <w:rsid w:val="72734D90"/>
    <w:rsid w:val="72C232B3"/>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0" w:after="0" w:afterAutospacing="0" w:line="240" w:lineRule="auto"/>
      <w:ind w:left="0" w:right="0" w:firstLine="0"/>
      <w:jc w:val="left"/>
    </w:pPr>
    <w:rPr>
      <w:rFonts w:hint="default" w:ascii="Calibri" w:hAnsi="Calibri" w:eastAsia="宋体" w:cs="Times New Roman"/>
      <w:kern w:val="0"/>
      <w:sz w:val="24"/>
      <w:szCs w:val="20"/>
      <w:lang w:val="en-US" w:eastAsia="zh-CN" w:bidi="ar"/>
    </w:rPr>
  </w:style>
  <w:style w:type="paragraph" w:styleId="6">
    <w:name w:val="Salutation"/>
    <w:basedOn w:val="1"/>
    <w:next w:val="1"/>
    <w:qFormat/>
    <w:uiPriority w:val="99"/>
    <w:pPr>
      <w:widowControl/>
      <w:ind w:firstLine="573"/>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unhideWhenUsed/>
    <w:qFormat/>
    <w:uiPriority w:val="99"/>
    <w:pPr>
      <w:spacing w:before="100" w:beforeAutospacing="1" w:after="100" w:afterAutospacing="1"/>
      <w:ind w:left="400" w:leftChars="200" w:hanging="200" w:hangingChars="200"/>
    </w:pPr>
    <w:rPr>
      <w:rFonts w:ascii="Times New Roman" w:hAnsi="Times New Roman"/>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7"/>
    <w:qFormat/>
    <w:uiPriority w:val="0"/>
    <w:pPr>
      <w:ind w:firstLine="420" w:firstLineChars="100"/>
    </w:pPr>
  </w:style>
  <w:style w:type="paragraph" w:styleId="17">
    <w:name w:val="Body Text First Indent 2"/>
    <w:basedOn w:val="8"/>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1 Char"/>
    <w:basedOn w:val="19"/>
    <w:link w:val="3"/>
    <w:qFormat/>
    <w:uiPriority w:val="9"/>
    <w:rPr>
      <w:rFonts w:ascii="Times New Roman" w:hAnsi="Times New Roman"/>
      <w:b/>
      <w:bCs/>
      <w:kern w:val="44"/>
      <w:sz w:val="44"/>
      <w:szCs w:val="44"/>
    </w:rPr>
  </w:style>
  <w:style w:type="character" w:customStyle="1" w:styleId="23">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9"/>
    <w:link w:val="5"/>
    <w:qFormat/>
    <w:uiPriority w:val="9"/>
    <w:rPr>
      <w:rFonts w:ascii="Times New Roman" w:hAnsi="Times New Roman"/>
      <w:b/>
      <w:bCs/>
      <w:kern w:val="2"/>
      <w:sz w:val="32"/>
      <w:szCs w:val="32"/>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2"/>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1"/>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0"/>
    <w:semiHidden/>
    <w:qFormat/>
    <w:uiPriority w:val="99"/>
    <w:rPr>
      <w:rFonts w:ascii="Times New Roman" w:hAnsi="Times New Roman"/>
      <w:kern w:val="2"/>
      <w:sz w:val="18"/>
      <w:szCs w:val="18"/>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样式 行距: 固定值 28.9 磅"/>
    <w:basedOn w:val="1"/>
    <w:qFormat/>
    <w:uiPriority w:val="0"/>
    <w:pPr>
      <w:spacing w:line="578" w:lineRule="exact"/>
    </w:pPr>
    <w:rPr>
      <w:rFonts w:cs="宋体"/>
      <w:szCs w:val="20"/>
    </w:rPr>
  </w:style>
  <w:style w:type="character" w:customStyle="1" w:styleId="39">
    <w:name w:val="font21"/>
    <w:basedOn w:val="19"/>
    <w:qFormat/>
    <w:uiPriority w:val="0"/>
    <w:rPr>
      <w:rFonts w:hint="eastAsia" w:ascii="宋体" w:hAnsi="宋体" w:eastAsia="宋体" w:cs="宋体"/>
      <w:color w:val="000000"/>
      <w:sz w:val="18"/>
      <w:szCs w:val="18"/>
      <w:u w:val="none"/>
    </w:rPr>
  </w:style>
  <w:style w:type="character" w:customStyle="1" w:styleId="40">
    <w:name w:val="font4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8889;&#21191;&#20197;&#21069;&#36164;&#26009;\Desktop\2022&#24180;&#20915;&#31639;&#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8889;&#21191;&#20197;&#21069;&#36164;&#26009;\Desktop\2022&#24180;&#20915;&#31639;&#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8889;&#21191;&#20197;&#21069;&#36164;&#26009;\Desktop\2022&#24180;&#20915;&#31639;&#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38889;&#21191;&#20197;&#21069;&#36164;&#26009;\Desktop\2022&#24180;&#20915;&#31639;&#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8889;&#21191;&#20197;&#21069;&#36164;&#26009;\Desktop\2022&#24180;&#20915;&#31639;&#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38889;&#21191;&#20197;&#21069;&#36164;&#26009;\Desktop\2022&#24180;&#20915;&#31639;&#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38889;&#21191;&#20197;&#21069;&#36164;&#26009;\Desktop\2022&#24180;&#20915;&#3163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[2022年决算图表.xls]Sheet1!$A$1:$A$2</c:f>
              <c:strCache>
                <c:ptCount val="2"/>
                <c:pt idx="0">
                  <c:v>2021年</c:v>
                </c:pt>
                <c:pt idx="1">
                  <c:v>2022年</c:v>
                </c:pt>
              </c:strCache>
            </c:strRef>
          </c:cat>
          <c:val>
            <c:numRef>
              <c:f>[2022年决算图表.xls]Sheet1!$B$1:$B$2</c:f>
              <c:numCache>
                <c:formatCode>General</c:formatCode>
                <c:ptCount val="2"/>
                <c:pt idx="0">
                  <c:v>1815.63</c:v>
                </c:pt>
                <c:pt idx="1">
                  <c:v>1588.71</c:v>
                </c:pt>
              </c:numCache>
            </c:numRef>
          </c:val>
        </c:ser>
        <c:dLbls>
          <c:showLegendKey val="0"/>
          <c:showVal val="0"/>
          <c:showCatName val="0"/>
          <c:showSerName val="0"/>
          <c:showPercent val="0"/>
          <c:showBubbleSize val="0"/>
        </c:dLbls>
        <c:gapWidth val="246"/>
        <c:overlap val="-28"/>
        <c:axId val="535574783"/>
        <c:axId val="860130199"/>
      </c:barChart>
      <c:catAx>
        <c:axId val="535574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30199"/>
        <c:crosses val="autoZero"/>
        <c:auto val="1"/>
        <c:lblAlgn val="ctr"/>
        <c:lblOffset val="100"/>
        <c:noMultiLvlLbl val="0"/>
      </c:catAx>
      <c:valAx>
        <c:axId val="86013019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574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[2022年决算图表.xls]Sheet1!$A$19:$A$20</c:f>
              <c:strCache>
                <c:ptCount val="2"/>
                <c:pt idx="0">
                  <c:v>一般公共预算财政收入</c:v>
                </c:pt>
                <c:pt idx="1">
                  <c:v>其他收入</c:v>
                </c:pt>
              </c:strCache>
            </c:strRef>
          </c:cat>
          <c:val>
            <c:numRef>
              <c:f>[2022年决算图表.xls]Sheet1!$B$19:$B$20</c:f>
              <c:numCache>
                <c:formatCode>General</c:formatCode>
                <c:ptCount val="2"/>
                <c:pt idx="0">
                  <c:v>1756.11</c:v>
                </c:pt>
                <c:pt idx="1">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manualLayout>
          <c:xMode val="edge"/>
          <c:yMode val="edge"/>
          <c:x val="0.345187999557485"/>
          <c:y val="0.031887710832115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[2022年决算图表.xls]Sheet1!$A$35:$A$36</c:f>
              <c:strCache>
                <c:ptCount val="2"/>
                <c:pt idx="0">
                  <c:v>基本支出</c:v>
                </c:pt>
                <c:pt idx="1">
                  <c:v>项目支出</c:v>
                </c:pt>
              </c:strCache>
            </c:strRef>
          </c:cat>
          <c:val>
            <c:numRef>
              <c:f>[2022年决算图表.xls]Sheet1!$B$35:$B$36</c:f>
              <c:numCache>
                <c:formatCode>General</c:formatCode>
                <c:ptCount val="2"/>
                <c:pt idx="0">
                  <c:v>977.81</c:v>
                </c:pt>
                <c:pt idx="1">
                  <c:v>548.98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70365409004439"/>
          <c:y val="0.196029553457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[2022年决算图表.xls]Sheet1!$A$1:$A$2</c:f>
              <c:strCache>
                <c:ptCount val="2"/>
                <c:pt idx="0">
                  <c:v>2021年</c:v>
                </c:pt>
                <c:pt idx="1">
                  <c:v>2022年</c:v>
                </c:pt>
              </c:strCache>
            </c:strRef>
          </c:cat>
          <c:val>
            <c:numRef>
              <c:f>[2022年决算图表.xls]Sheet1!$B$1:$B$2</c:f>
              <c:numCache>
                <c:formatCode>General</c:formatCode>
                <c:ptCount val="2"/>
                <c:pt idx="0">
                  <c:v>1815.63</c:v>
                </c:pt>
                <c:pt idx="1">
                  <c:v>1588.71</c:v>
                </c:pt>
              </c:numCache>
            </c:numRef>
          </c:val>
        </c:ser>
        <c:dLbls>
          <c:showLegendKey val="0"/>
          <c:showVal val="0"/>
          <c:showCatName val="0"/>
          <c:showSerName val="0"/>
          <c:showPercent val="0"/>
          <c:showBubbleSize val="0"/>
        </c:dLbls>
        <c:gapWidth val="246"/>
        <c:overlap val="-28"/>
        <c:axId val="535574783"/>
        <c:axId val="860130199"/>
      </c:barChart>
      <c:catAx>
        <c:axId val="535574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30199"/>
        <c:crosses val="autoZero"/>
        <c:auto val="1"/>
        <c:lblAlgn val="ctr"/>
        <c:lblOffset val="100"/>
        <c:noMultiLvlLbl val="0"/>
      </c:catAx>
      <c:valAx>
        <c:axId val="86013019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574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[2022年决算图表.xls]Sheet1!$A$56:$A$57</c:f>
              <c:strCache>
                <c:ptCount val="2"/>
                <c:pt idx="0">
                  <c:v>2021年</c:v>
                </c:pt>
                <c:pt idx="1">
                  <c:v>2022年</c:v>
                </c:pt>
              </c:strCache>
            </c:strRef>
          </c:cat>
          <c:val>
            <c:numRef>
              <c:f>[2022年决算图表.xls]Sheet1!$B$56:$B$57</c:f>
              <c:numCache>
                <c:formatCode>General</c:formatCode>
                <c:ptCount val="2"/>
                <c:pt idx="0">
                  <c:v>1758</c:v>
                </c:pt>
                <c:pt idx="1">
                  <c:v>1526.78</c:v>
                </c:pt>
              </c:numCache>
            </c:numRef>
          </c:val>
        </c:ser>
        <c:dLbls>
          <c:showLegendKey val="0"/>
          <c:showVal val="0"/>
          <c:showCatName val="0"/>
          <c:showSerName val="0"/>
          <c:showPercent val="0"/>
          <c:showBubbleSize val="0"/>
        </c:dLbls>
        <c:gapWidth val="246"/>
        <c:overlap val="-28"/>
        <c:axId val="990421015"/>
        <c:axId val="17353094"/>
      </c:barChart>
      <c:catAx>
        <c:axId val="9904210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53094"/>
        <c:crosses val="autoZero"/>
        <c:auto val="1"/>
        <c:lblAlgn val="ctr"/>
        <c:lblOffset val="100"/>
        <c:noMultiLvlLbl val="0"/>
      </c:catAx>
      <c:valAx>
        <c:axId val="1735309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0421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[2022年决算图表.xls]Sheet1!$L$1:$L$4</c:f>
              <c:strCache>
                <c:ptCount val="4"/>
                <c:pt idx="0">
                  <c:v>一般公共服务</c:v>
                </c:pt>
                <c:pt idx="1">
                  <c:v>社会保障和就业</c:v>
                </c:pt>
                <c:pt idx="2">
                  <c:v>卫生健康</c:v>
                </c:pt>
                <c:pt idx="3">
                  <c:v>住房保障</c:v>
                </c:pt>
              </c:strCache>
            </c:strRef>
          </c:cat>
          <c:val>
            <c:numRef>
              <c:f>[2022年决算图表.xls]Sheet1!$M$1:$M$4</c:f>
              <c:numCache>
                <c:formatCode>General</c:formatCode>
                <c:ptCount val="4"/>
                <c:pt idx="0">
                  <c:v>1353.7</c:v>
                </c:pt>
                <c:pt idx="1">
                  <c:v>87.84</c:v>
                </c:pt>
                <c:pt idx="2">
                  <c:v>22.52</c:v>
                </c:pt>
                <c:pt idx="3">
                  <c:v>62.72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93486842105263"/>
          <c:y val="0.16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[2022年决算图表.xls]Sheet1!$L$20:$L$22</c:f>
              <c:strCache>
                <c:ptCount val="3"/>
                <c:pt idx="0">
                  <c:v>因公出国（境）</c:v>
                </c:pt>
                <c:pt idx="1">
                  <c:v>公务用车购置及维修</c:v>
                </c:pt>
                <c:pt idx="2">
                  <c:v>公务接待</c:v>
                </c:pt>
              </c:strCache>
            </c:strRef>
          </c:cat>
          <c:val>
            <c:numRef>
              <c:f>[2022年决算图表.xls]Sheet1!$M$20:$M$22</c:f>
              <c:numCache>
                <c:formatCode>General</c:formatCode>
                <c:ptCount val="3"/>
                <c:pt idx="0">
                  <c:v>0</c:v>
                </c:pt>
                <c:pt idx="1">
                  <c:v>2.94</c:v>
                </c:pt>
                <c:pt idx="2">
                  <c:v>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8753</Words>
  <Characters>9300</Characters>
  <Lines>61</Lines>
  <Paragraphs>17</Paragraphs>
  <TotalTime>65</TotalTime>
  <ScaleCrop>false</ScaleCrop>
  <LinksUpToDate>false</LinksUpToDate>
  <CharactersWithSpaces>9321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2023-09-28T01:32:00Z</cp:lastPrinted>
  <dcterms:modified xsi:type="dcterms:W3CDTF">2023-09-28T02:18:03Z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C49F1735D2854C6CBA75713354F54FB2_13</vt:lpwstr>
  </property>
</Properties>
</file>